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tblGrid>
      <w:tr w:rsidR="008E7846" w:rsidRPr="00487162" w14:paraId="522C98F1" w14:textId="77777777" w:rsidTr="00C10435">
        <w:trPr>
          <w:trHeight w:val="1863"/>
        </w:trPr>
        <w:tc>
          <w:tcPr>
            <w:tcW w:w="7054" w:type="dxa"/>
            <w:tcBorders>
              <w:top w:val="nil"/>
              <w:left w:val="nil"/>
              <w:bottom w:val="nil"/>
              <w:right w:val="nil"/>
            </w:tcBorders>
          </w:tcPr>
          <w:p w14:paraId="522C98EF" w14:textId="77777777" w:rsidR="00C10435" w:rsidRDefault="00C10435" w:rsidP="00C10435">
            <w:pPr>
              <w:rPr>
                <w:rFonts w:ascii="Arial" w:hAnsi="Arial" w:cs="Arial"/>
                <w:b/>
                <w:color w:val="002C47"/>
                <w:sz w:val="36"/>
                <w:szCs w:val="36"/>
              </w:rPr>
            </w:pPr>
            <w:r>
              <w:rPr>
                <w:rFonts w:ascii="Arial" w:hAnsi="Arial" w:cs="Arial"/>
                <w:b/>
                <w:color w:val="002C47"/>
                <w:sz w:val="36"/>
                <w:szCs w:val="36"/>
              </w:rPr>
              <w:t>First round</w:t>
            </w:r>
            <w:r w:rsidR="00CD5AF5">
              <w:rPr>
                <w:rFonts w:ascii="Arial" w:hAnsi="Arial" w:cs="Arial"/>
                <w:b/>
                <w:color w:val="002C47"/>
                <w:sz w:val="36"/>
                <w:szCs w:val="36"/>
              </w:rPr>
              <w:t xml:space="preserve"> </w:t>
            </w:r>
            <w:r w:rsidR="00D53B25">
              <w:rPr>
                <w:rFonts w:ascii="Arial" w:hAnsi="Arial" w:cs="Arial"/>
                <w:b/>
                <w:color w:val="002C47"/>
                <w:sz w:val="36"/>
                <w:szCs w:val="36"/>
              </w:rPr>
              <w:t>12 August 2016</w:t>
            </w:r>
          </w:p>
          <w:p w14:paraId="522C98F0" w14:textId="77777777" w:rsidR="008E7846" w:rsidRPr="0017078F" w:rsidRDefault="00C10435" w:rsidP="00C10435">
            <w:pPr>
              <w:rPr>
                <w:rFonts w:ascii="Arial" w:hAnsi="Arial" w:cs="Arial"/>
                <w:b/>
                <w:color w:val="002C47"/>
                <w:sz w:val="36"/>
                <w:szCs w:val="36"/>
              </w:rPr>
            </w:pPr>
            <w:r>
              <w:rPr>
                <w:rFonts w:ascii="Arial" w:hAnsi="Arial" w:cs="Arial"/>
                <w:b/>
                <w:color w:val="002C47"/>
                <w:sz w:val="36"/>
                <w:szCs w:val="36"/>
              </w:rPr>
              <w:t>Second round 8 November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22C98F3" w14:textId="77777777" w:rsidTr="00E07F15">
        <w:trPr>
          <w:trHeight w:val="1548"/>
        </w:trPr>
        <w:tc>
          <w:tcPr>
            <w:tcW w:w="9079" w:type="dxa"/>
          </w:tcPr>
          <w:p w14:paraId="522C98F2"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522C98F5" w14:textId="77777777" w:rsidTr="00E07F15">
        <w:trPr>
          <w:trHeight w:val="868"/>
        </w:trPr>
        <w:tc>
          <w:tcPr>
            <w:tcW w:w="9079" w:type="dxa"/>
          </w:tcPr>
          <w:p w14:paraId="522C98F4" w14:textId="77777777" w:rsidR="00E07F15" w:rsidRPr="00A964D1" w:rsidRDefault="00E07F15" w:rsidP="00D2601D">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D2601D">
              <w:rPr>
                <w:color w:val="FFFFFF" w:themeColor="background1"/>
              </w:rPr>
              <w:t>Pembrolizumab</w:t>
            </w:r>
          </w:p>
        </w:tc>
      </w:tr>
      <w:tr w:rsidR="00E07F15" w:rsidRPr="00B64760" w14:paraId="522C98F7" w14:textId="77777777" w:rsidTr="00E07F15">
        <w:tc>
          <w:tcPr>
            <w:tcW w:w="9079" w:type="dxa"/>
          </w:tcPr>
          <w:p w14:paraId="522C98F6" w14:textId="77777777" w:rsidR="00E07F15" w:rsidRPr="008E7846" w:rsidRDefault="00E07F15" w:rsidP="007A175B">
            <w:pPr>
              <w:pStyle w:val="Subtitle"/>
              <w:ind w:left="0"/>
              <w:rPr>
                <w:color w:val="FFFFFF" w:themeColor="background1"/>
              </w:rPr>
            </w:pPr>
            <w:r w:rsidRPr="008E7846">
              <w:rPr>
                <w:color w:val="FFFFFF" w:themeColor="background1"/>
              </w:rPr>
              <w:t xml:space="preserve">Proprietary Product Name: </w:t>
            </w:r>
            <w:r w:rsidR="00D2601D">
              <w:rPr>
                <w:color w:val="FFFFFF" w:themeColor="background1"/>
              </w:rPr>
              <w:t>Keytruda</w:t>
            </w:r>
          </w:p>
        </w:tc>
      </w:tr>
      <w:tr w:rsidR="00E07F15" w:rsidRPr="00B64760" w14:paraId="522C98F9" w14:textId="77777777" w:rsidTr="00E07F15">
        <w:trPr>
          <w:trHeight w:val="486"/>
        </w:trPr>
        <w:tc>
          <w:tcPr>
            <w:tcW w:w="9079" w:type="dxa"/>
          </w:tcPr>
          <w:p w14:paraId="522C98F8" w14:textId="438A3AD9" w:rsidR="00E07F15" w:rsidRPr="008E7846" w:rsidRDefault="00E07F15" w:rsidP="007C51B3">
            <w:pPr>
              <w:pStyle w:val="Subtitle"/>
              <w:ind w:left="0"/>
              <w:rPr>
                <w:color w:val="FFFFFF" w:themeColor="background1"/>
              </w:rPr>
            </w:pPr>
            <w:r w:rsidRPr="008E7846">
              <w:rPr>
                <w:color w:val="FFFFFF" w:themeColor="background1"/>
              </w:rPr>
              <w:t xml:space="preserve">Sponsor: </w:t>
            </w:r>
            <w:r w:rsidR="00D2601D" w:rsidRPr="00D2601D">
              <w:rPr>
                <w:color w:val="FFFFFF" w:themeColor="background1"/>
              </w:rPr>
              <w:t xml:space="preserve">Merck Sharp </w:t>
            </w:r>
            <w:r w:rsidR="007C51B3">
              <w:rPr>
                <w:color w:val="FFFFFF" w:themeColor="background1"/>
              </w:rPr>
              <w:t xml:space="preserve">and </w:t>
            </w:r>
            <w:r w:rsidR="00D2601D" w:rsidRPr="00D2601D">
              <w:rPr>
                <w:color w:val="FFFFFF" w:themeColor="background1"/>
              </w:rPr>
              <w:t>Dohme Australia Pty Ltd</w:t>
            </w:r>
          </w:p>
        </w:tc>
      </w:tr>
    </w:tbl>
    <w:p w14:paraId="522C98FA" w14:textId="77777777" w:rsidR="008E7846" w:rsidRDefault="008E7846" w:rsidP="008E7846">
      <w:pPr>
        <w:pStyle w:val="NonTOCHeading2"/>
      </w:pPr>
      <w:r>
        <w:br w:type="page"/>
      </w:r>
    </w:p>
    <w:p w14:paraId="522C98FB" w14:textId="77777777" w:rsidR="008E7846" w:rsidRPr="001F6CBA" w:rsidRDefault="008E7846" w:rsidP="008E7846">
      <w:pPr>
        <w:pStyle w:val="NonTOCHeading2"/>
      </w:pPr>
      <w:r w:rsidRPr="001F6CBA">
        <w:lastRenderedPageBreak/>
        <w:t>About the Therapeutic Goods Administration (TGA)</w:t>
      </w:r>
    </w:p>
    <w:p w14:paraId="522C98FC" w14:textId="77777777" w:rsidR="008E7846" w:rsidRDefault="008E7846" w:rsidP="00E961A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22C98FD" w14:textId="77777777" w:rsidR="008E7846" w:rsidRDefault="00C811C0" w:rsidP="00E961A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522C98FE" w14:textId="77777777" w:rsidR="008E7846" w:rsidRDefault="008E7846" w:rsidP="00E961A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22C98FF" w14:textId="77777777" w:rsidR="008E7846" w:rsidRDefault="008E7846" w:rsidP="00E961A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22C9900" w14:textId="7107A52C" w:rsidR="008E7846" w:rsidRDefault="008E7846" w:rsidP="00E961A5">
      <w:pPr>
        <w:pStyle w:val="ListBullet"/>
        <w:numPr>
          <w:ilvl w:val="0"/>
          <w:numId w:val="1"/>
        </w:numPr>
        <w:ind w:left="357" w:hanging="357"/>
      </w:pPr>
      <w:r>
        <w:t>To report a problem with a medicine or medical device, please see the information on the TGA website</w:t>
      </w:r>
      <w:r w:rsidR="00112F56">
        <w:t xml:space="preserve"> </w:t>
      </w:r>
      <w:r w:rsidR="009B28D9">
        <w:t xml:space="preserve">&lt; </w:t>
      </w:r>
      <w:hyperlink r:id="rId10" w:history="1">
        <w:r w:rsidR="00E979F4" w:rsidRPr="00FE02B1">
          <w:rPr>
            <w:rStyle w:val="Hyperlink"/>
          </w:rPr>
          <w:t>https://www.tga.gov.au</w:t>
        </w:r>
      </w:hyperlink>
      <w:r w:rsidR="00D53B25">
        <w:t xml:space="preserve"> &gt;</w:t>
      </w:r>
      <w:r>
        <w:t>.</w:t>
      </w:r>
    </w:p>
    <w:p w14:paraId="522C9901"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522C9902"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522C9903" w14:textId="77777777" w:rsidR="003D0A3B" w:rsidRDefault="003D0A3B" w:rsidP="003D0A3B">
      <w:pPr>
        <w:pStyle w:val="ListBullet"/>
      </w:pPr>
      <w:r w:rsidRPr="003D0A3B">
        <w:t>The words [Information redacted], where they appear in this document, indicate that confidential information has been deleted.</w:t>
      </w:r>
    </w:p>
    <w:p w14:paraId="522C9904" w14:textId="4D588A89" w:rsidR="0017078F" w:rsidRDefault="003D0A3B" w:rsidP="0017078F">
      <w:pPr>
        <w:pStyle w:val="ListBullet"/>
      </w:pPr>
      <w:r w:rsidRPr="003D0A3B">
        <w:t>For the most recent Product Information (PI), please refer to the TGA website</w:t>
      </w:r>
      <w:r>
        <w:t xml:space="preserve"> </w:t>
      </w:r>
      <w:r w:rsidR="009B28D9">
        <w:t xml:space="preserve">&lt; </w:t>
      </w:r>
      <w:hyperlink r:id="rId11" w:history="1">
        <w:r w:rsidR="0010193C">
          <w:rPr>
            <w:rStyle w:val="Hyperlink"/>
          </w:rPr>
          <w:t>https://www.tga.gov.au/product-information-pi</w:t>
        </w:r>
      </w:hyperlink>
      <w:r w:rsidR="00D53B25">
        <w:t xml:space="preserve"> &gt;</w:t>
      </w:r>
      <w:r w:rsidR="0017078F">
        <w:t>.</w:t>
      </w:r>
    </w:p>
    <w:p w14:paraId="522C9905" w14:textId="77777777" w:rsidR="00924482" w:rsidRPr="00DF1D7F" w:rsidRDefault="00924482" w:rsidP="00D2601D">
      <w:pPr>
        <w:pStyle w:val="LegalSubheading"/>
        <w:spacing w:before="3720"/>
      </w:pPr>
      <w:r w:rsidRPr="00DF1D7F">
        <w:t>Copyright</w:t>
      </w:r>
    </w:p>
    <w:p w14:paraId="522C9906" w14:textId="77777777" w:rsidR="00924482" w:rsidRDefault="00924482" w:rsidP="00924482">
      <w:pPr>
        <w:pStyle w:val="LegalCopy"/>
      </w:pPr>
      <w:r w:rsidRPr="00191B3B">
        <w:rPr>
          <w:rFonts w:cs="Arial"/>
          <w:lang w:val="en-GB"/>
        </w:rPr>
        <w:t>© Comm</w:t>
      </w:r>
      <w:r>
        <w:rPr>
          <w:rFonts w:cs="Arial"/>
          <w:lang w:val="en-GB"/>
        </w:rPr>
        <w:t>onwealth of Australia 201</w:t>
      </w:r>
      <w:r w:rsidR="00D2601D">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9B28D9">
        <w:rPr>
          <w:rFonts w:cs="Arial"/>
          <w:lang w:val="en-GB"/>
        </w:rPr>
        <w:t xml:space="preserve">&lt; </w:t>
      </w:r>
      <w:hyperlink r:id="rId12" w:history="1">
        <w:r w:rsidRPr="00191B3B">
          <w:rPr>
            <w:rStyle w:val="Hyperlink"/>
            <w:rFonts w:cs="Arial"/>
            <w:lang w:val="en-GB"/>
          </w:rPr>
          <w:t>tga.copyright@tga.gov.au</w:t>
        </w:r>
      </w:hyperlink>
      <w:r w:rsidR="00D53B25">
        <w:rPr>
          <w:rFonts w:cs="Arial"/>
        </w:rPr>
        <w:t xml:space="preserve"> </w:t>
      </w:r>
      <w:proofErr w:type="gramStart"/>
      <w:r w:rsidR="00D53B25">
        <w:rPr>
          <w:rFonts w:cs="Arial"/>
        </w:rPr>
        <w:t>&gt;</w:t>
      </w:r>
      <w:r w:rsidR="00C10435">
        <w:rPr>
          <w:rFonts w:cs="Arial"/>
        </w:rPr>
        <w:t xml:space="preserve"> </w:t>
      </w:r>
      <w:r w:rsidRPr="00191B3B">
        <w:rPr>
          <w:rFonts w:cs="Arial"/>
        </w:rPr>
        <w:t>.</w:t>
      </w:r>
      <w:proofErr w:type="gramEnd"/>
    </w:p>
    <w:p w14:paraId="522C9907"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22C9908" w14:textId="77777777" w:rsidR="0089635C" w:rsidRPr="0089635C" w:rsidRDefault="0089635C" w:rsidP="0010788A">
          <w:pPr>
            <w:pStyle w:val="Contents"/>
          </w:pPr>
          <w:r w:rsidRPr="0010788A">
            <w:t>Contents</w:t>
          </w:r>
        </w:p>
        <w:p w14:paraId="0B2F243F" w14:textId="77777777" w:rsidR="007A175B"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3557794" w:history="1">
            <w:r w:rsidR="007A175B" w:rsidRPr="00D65E26">
              <w:rPr>
                <w:rStyle w:val="Hyperlink"/>
                <w:noProof/>
              </w:rPr>
              <w:t>List of abbreviations</w:t>
            </w:r>
            <w:r w:rsidR="007A175B">
              <w:rPr>
                <w:noProof/>
                <w:webHidden/>
              </w:rPr>
              <w:tab/>
            </w:r>
            <w:r w:rsidR="007A175B">
              <w:rPr>
                <w:noProof/>
                <w:webHidden/>
              </w:rPr>
              <w:fldChar w:fldCharType="begin"/>
            </w:r>
            <w:r w:rsidR="007A175B">
              <w:rPr>
                <w:noProof/>
                <w:webHidden/>
              </w:rPr>
              <w:instrText xml:space="preserve"> PAGEREF _Toc513557794 \h </w:instrText>
            </w:r>
            <w:r w:rsidR="007A175B">
              <w:rPr>
                <w:noProof/>
                <w:webHidden/>
              </w:rPr>
            </w:r>
            <w:r w:rsidR="007A175B">
              <w:rPr>
                <w:noProof/>
                <w:webHidden/>
              </w:rPr>
              <w:fldChar w:fldCharType="separate"/>
            </w:r>
            <w:r w:rsidR="007A175B">
              <w:rPr>
                <w:noProof/>
                <w:webHidden/>
              </w:rPr>
              <w:t>5</w:t>
            </w:r>
            <w:r w:rsidR="007A175B">
              <w:rPr>
                <w:noProof/>
                <w:webHidden/>
              </w:rPr>
              <w:fldChar w:fldCharType="end"/>
            </w:r>
          </w:hyperlink>
        </w:p>
        <w:p w14:paraId="2A8E3D89" w14:textId="77777777" w:rsidR="007A175B" w:rsidRDefault="00863496">
          <w:pPr>
            <w:pStyle w:val="TOC2"/>
            <w:tabs>
              <w:tab w:val="left" w:pos="1100"/>
            </w:tabs>
            <w:rPr>
              <w:rFonts w:asciiTheme="minorHAnsi" w:eastAsiaTheme="minorEastAsia" w:hAnsiTheme="minorHAnsi" w:cstheme="minorBidi"/>
              <w:b w:val="0"/>
              <w:noProof/>
              <w:sz w:val="22"/>
              <w:lang w:eastAsia="en-AU"/>
            </w:rPr>
          </w:pPr>
          <w:hyperlink w:anchor="_Toc513557795" w:history="1">
            <w:r w:rsidR="007A175B" w:rsidRPr="00D65E26">
              <w:rPr>
                <w:rStyle w:val="Hyperlink"/>
                <w:noProof/>
                <w:lang w:eastAsia="en-AU"/>
              </w:rPr>
              <w:t>1.</w:t>
            </w:r>
            <w:r w:rsidR="007A175B">
              <w:rPr>
                <w:rFonts w:asciiTheme="minorHAnsi" w:eastAsiaTheme="minorEastAsia" w:hAnsiTheme="minorHAnsi" w:cstheme="minorBidi"/>
                <w:b w:val="0"/>
                <w:noProof/>
                <w:sz w:val="22"/>
                <w:lang w:eastAsia="en-AU"/>
              </w:rPr>
              <w:tab/>
            </w:r>
            <w:r w:rsidR="007A175B" w:rsidRPr="00D65E26">
              <w:rPr>
                <w:rStyle w:val="Hyperlink"/>
                <w:noProof/>
                <w:lang w:eastAsia="en-AU"/>
              </w:rPr>
              <w:t>Introduction</w:t>
            </w:r>
            <w:r w:rsidR="007A175B">
              <w:rPr>
                <w:noProof/>
                <w:webHidden/>
              </w:rPr>
              <w:tab/>
            </w:r>
            <w:r w:rsidR="007A175B">
              <w:rPr>
                <w:noProof/>
                <w:webHidden/>
              </w:rPr>
              <w:fldChar w:fldCharType="begin"/>
            </w:r>
            <w:r w:rsidR="007A175B">
              <w:rPr>
                <w:noProof/>
                <w:webHidden/>
              </w:rPr>
              <w:instrText xml:space="preserve"> PAGEREF _Toc513557795 \h </w:instrText>
            </w:r>
            <w:r w:rsidR="007A175B">
              <w:rPr>
                <w:noProof/>
                <w:webHidden/>
              </w:rPr>
            </w:r>
            <w:r w:rsidR="007A175B">
              <w:rPr>
                <w:noProof/>
                <w:webHidden/>
              </w:rPr>
              <w:fldChar w:fldCharType="separate"/>
            </w:r>
            <w:r w:rsidR="007A175B">
              <w:rPr>
                <w:noProof/>
                <w:webHidden/>
              </w:rPr>
              <w:t>7</w:t>
            </w:r>
            <w:r w:rsidR="007A175B">
              <w:rPr>
                <w:noProof/>
                <w:webHidden/>
              </w:rPr>
              <w:fldChar w:fldCharType="end"/>
            </w:r>
          </w:hyperlink>
        </w:p>
        <w:p w14:paraId="2DDB7089"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796" w:history="1">
            <w:r w:rsidR="007A175B" w:rsidRPr="00D65E26">
              <w:rPr>
                <w:rStyle w:val="Hyperlink"/>
                <w:noProof/>
              </w:rPr>
              <w:t>1.1.</w:t>
            </w:r>
            <w:r w:rsidR="007A175B">
              <w:rPr>
                <w:rFonts w:asciiTheme="minorHAnsi" w:eastAsiaTheme="minorEastAsia" w:hAnsiTheme="minorHAnsi" w:cstheme="minorBidi"/>
                <w:noProof/>
                <w:lang w:eastAsia="en-AU"/>
              </w:rPr>
              <w:tab/>
            </w:r>
            <w:r w:rsidR="007A175B" w:rsidRPr="00D65E26">
              <w:rPr>
                <w:rStyle w:val="Hyperlink"/>
                <w:noProof/>
              </w:rPr>
              <w:t>Dosage forms and strengths</w:t>
            </w:r>
            <w:r w:rsidR="007A175B">
              <w:rPr>
                <w:noProof/>
                <w:webHidden/>
              </w:rPr>
              <w:tab/>
            </w:r>
            <w:r w:rsidR="007A175B">
              <w:rPr>
                <w:noProof/>
                <w:webHidden/>
              </w:rPr>
              <w:fldChar w:fldCharType="begin"/>
            </w:r>
            <w:r w:rsidR="007A175B">
              <w:rPr>
                <w:noProof/>
                <w:webHidden/>
              </w:rPr>
              <w:instrText xml:space="preserve"> PAGEREF _Toc513557796 \h </w:instrText>
            </w:r>
            <w:r w:rsidR="007A175B">
              <w:rPr>
                <w:noProof/>
                <w:webHidden/>
              </w:rPr>
            </w:r>
            <w:r w:rsidR="007A175B">
              <w:rPr>
                <w:noProof/>
                <w:webHidden/>
              </w:rPr>
              <w:fldChar w:fldCharType="separate"/>
            </w:r>
            <w:r w:rsidR="007A175B">
              <w:rPr>
                <w:noProof/>
                <w:webHidden/>
              </w:rPr>
              <w:t>7</w:t>
            </w:r>
            <w:r w:rsidR="007A175B">
              <w:rPr>
                <w:noProof/>
                <w:webHidden/>
              </w:rPr>
              <w:fldChar w:fldCharType="end"/>
            </w:r>
          </w:hyperlink>
        </w:p>
        <w:p w14:paraId="56790159"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797" w:history="1">
            <w:r w:rsidR="007A175B" w:rsidRPr="00D65E26">
              <w:rPr>
                <w:rStyle w:val="Hyperlink"/>
                <w:noProof/>
              </w:rPr>
              <w:t>1.2.</w:t>
            </w:r>
            <w:r w:rsidR="007A175B">
              <w:rPr>
                <w:rFonts w:asciiTheme="minorHAnsi" w:eastAsiaTheme="minorEastAsia" w:hAnsiTheme="minorHAnsi" w:cstheme="minorBidi"/>
                <w:noProof/>
                <w:lang w:eastAsia="en-AU"/>
              </w:rPr>
              <w:tab/>
            </w:r>
            <w:r w:rsidR="007A175B" w:rsidRPr="00D65E26">
              <w:rPr>
                <w:rStyle w:val="Hyperlink"/>
                <w:noProof/>
              </w:rPr>
              <w:t>Dosage and administration</w:t>
            </w:r>
            <w:r w:rsidR="007A175B">
              <w:rPr>
                <w:noProof/>
                <w:webHidden/>
              </w:rPr>
              <w:tab/>
            </w:r>
            <w:r w:rsidR="007A175B">
              <w:rPr>
                <w:noProof/>
                <w:webHidden/>
              </w:rPr>
              <w:fldChar w:fldCharType="begin"/>
            </w:r>
            <w:r w:rsidR="007A175B">
              <w:rPr>
                <w:noProof/>
                <w:webHidden/>
              </w:rPr>
              <w:instrText xml:space="preserve"> PAGEREF _Toc513557797 \h </w:instrText>
            </w:r>
            <w:r w:rsidR="007A175B">
              <w:rPr>
                <w:noProof/>
                <w:webHidden/>
              </w:rPr>
            </w:r>
            <w:r w:rsidR="007A175B">
              <w:rPr>
                <w:noProof/>
                <w:webHidden/>
              </w:rPr>
              <w:fldChar w:fldCharType="separate"/>
            </w:r>
            <w:r w:rsidR="007A175B">
              <w:rPr>
                <w:noProof/>
                <w:webHidden/>
              </w:rPr>
              <w:t>7</w:t>
            </w:r>
            <w:r w:rsidR="007A175B">
              <w:rPr>
                <w:noProof/>
                <w:webHidden/>
              </w:rPr>
              <w:fldChar w:fldCharType="end"/>
            </w:r>
          </w:hyperlink>
        </w:p>
        <w:p w14:paraId="7B359B67" w14:textId="77777777" w:rsidR="007A175B" w:rsidRDefault="00863496">
          <w:pPr>
            <w:pStyle w:val="TOC2"/>
            <w:tabs>
              <w:tab w:val="left" w:pos="1100"/>
            </w:tabs>
            <w:rPr>
              <w:rFonts w:asciiTheme="minorHAnsi" w:eastAsiaTheme="minorEastAsia" w:hAnsiTheme="minorHAnsi" w:cstheme="minorBidi"/>
              <w:b w:val="0"/>
              <w:noProof/>
              <w:sz w:val="22"/>
              <w:lang w:eastAsia="en-AU"/>
            </w:rPr>
          </w:pPr>
          <w:hyperlink w:anchor="_Toc513557798" w:history="1">
            <w:r w:rsidR="007A175B" w:rsidRPr="00D65E26">
              <w:rPr>
                <w:rStyle w:val="Hyperlink"/>
                <w:noProof/>
              </w:rPr>
              <w:t>2.</w:t>
            </w:r>
            <w:r w:rsidR="007A175B">
              <w:rPr>
                <w:rFonts w:asciiTheme="minorHAnsi" w:eastAsiaTheme="minorEastAsia" w:hAnsiTheme="minorHAnsi" w:cstheme="minorBidi"/>
                <w:b w:val="0"/>
                <w:noProof/>
                <w:sz w:val="22"/>
                <w:lang w:eastAsia="en-AU"/>
              </w:rPr>
              <w:tab/>
            </w:r>
            <w:r w:rsidR="007A175B" w:rsidRPr="00D65E26">
              <w:rPr>
                <w:rStyle w:val="Hyperlink"/>
                <w:noProof/>
              </w:rPr>
              <w:t>Clinical rationale</w:t>
            </w:r>
            <w:r w:rsidR="007A175B">
              <w:rPr>
                <w:noProof/>
                <w:webHidden/>
              </w:rPr>
              <w:tab/>
            </w:r>
            <w:r w:rsidR="007A175B">
              <w:rPr>
                <w:noProof/>
                <w:webHidden/>
              </w:rPr>
              <w:fldChar w:fldCharType="begin"/>
            </w:r>
            <w:r w:rsidR="007A175B">
              <w:rPr>
                <w:noProof/>
                <w:webHidden/>
              </w:rPr>
              <w:instrText xml:space="preserve"> PAGEREF _Toc513557798 \h </w:instrText>
            </w:r>
            <w:r w:rsidR="007A175B">
              <w:rPr>
                <w:noProof/>
                <w:webHidden/>
              </w:rPr>
            </w:r>
            <w:r w:rsidR="007A175B">
              <w:rPr>
                <w:noProof/>
                <w:webHidden/>
              </w:rPr>
              <w:fldChar w:fldCharType="separate"/>
            </w:r>
            <w:r w:rsidR="007A175B">
              <w:rPr>
                <w:noProof/>
                <w:webHidden/>
              </w:rPr>
              <w:t>8</w:t>
            </w:r>
            <w:r w:rsidR="007A175B">
              <w:rPr>
                <w:noProof/>
                <w:webHidden/>
              </w:rPr>
              <w:fldChar w:fldCharType="end"/>
            </w:r>
          </w:hyperlink>
        </w:p>
        <w:p w14:paraId="5297CA15" w14:textId="77777777" w:rsidR="007A175B" w:rsidRDefault="00863496">
          <w:pPr>
            <w:pStyle w:val="TOC2"/>
            <w:tabs>
              <w:tab w:val="left" w:pos="1100"/>
            </w:tabs>
            <w:rPr>
              <w:rFonts w:asciiTheme="minorHAnsi" w:eastAsiaTheme="minorEastAsia" w:hAnsiTheme="minorHAnsi" w:cstheme="minorBidi"/>
              <w:b w:val="0"/>
              <w:noProof/>
              <w:sz w:val="22"/>
              <w:lang w:eastAsia="en-AU"/>
            </w:rPr>
          </w:pPr>
          <w:hyperlink w:anchor="_Toc513557799" w:history="1">
            <w:r w:rsidR="007A175B" w:rsidRPr="00D65E26">
              <w:rPr>
                <w:rStyle w:val="Hyperlink"/>
                <w:noProof/>
                <w:lang w:eastAsia="en-AU"/>
              </w:rPr>
              <w:t>3.</w:t>
            </w:r>
            <w:r w:rsidR="007A175B">
              <w:rPr>
                <w:rFonts w:asciiTheme="minorHAnsi" w:eastAsiaTheme="minorEastAsia" w:hAnsiTheme="minorHAnsi" w:cstheme="minorBidi"/>
                <w:b w:val="0"/>
                <w:noProof/>
                <w:sz w:val="22"/>
                <w:lang w:eastAsia="en-AU"/>
              </w:rPr>
              <w:tab/>
            </w:r>
            <w:r w:rsidR="007A175B" w:rsidRPr="00D65E26">
              <w:rPr>
                <w:rStyle w:val="Hyperlink"/>
                <w:noProof/>
                <w:lang w:eastAsia="en-AU"/>
              </w:rPr>
              <w:t>Contents of the clinical dossier</w:t>
            </w:r>
            <w:r w:rsidR="007A175B">
              <w:rPr>
                <w:noProof/>
                <w:webHidden/>
              </w:rPr>
              <w:tab/>
            </w:r>
            <w:r w:rsidR="007A175B">
              <w:rPr>
                <w:noProof/>
                <w:webHidden/>
              </w:rPr>
              <w:fldChar w:fldCharType="begin"/>
            </w:r>
            <w:r w:rsidR="007A175B">
              <w:rPr>
                <w:noProof/>
                <w:webHidden/>
              </w:rPr>
              <w:instrText xml:space="preserve"> PAGEREF _Toc513557799 \h </w:instrText>
            </w:r>
            <w:r w:rsidR="007A175B">
              <w:rPr>
                <w:noProof/>
                <w:webHidden/>
              </w:rPr>
            </w:r>
            <w:r w:rsidR="007A175B">
              <w:rPr>
                <w:noProof/>
                <w:webHidden/>
              </w:rPr>
              <w:fldChar w:fldCharType="separate"/>
            </w:r>
            <w:r w:rsidR="007A175B">
              <w:rPr>
                <w:noProof/>
                <w:webHidden/>
              </w:rPr>
              <w:t>8</w:t>
            </w:r>
            <w:r w:rsidR="007A175B">
              <w:rPr>
                <w:noProof/>
                <w:webHidden/>
              </w:rPr>
              <w:fldChar w:fldCharType="end"/>
            </w:r>
          </w:hyperlink>
        </w:p>
        <w:p w14:paraId="243077A6"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00" w:history="1">
            <w:r w:rsidR="007A175B" w:rsidRPr="00D65E26">
              <w:rPr>
                <w:rStyle w:val="Hyperlink"/>
                <w:noProof/>
              </w:rPr>
              <w:t>3.1.</w:t>
            </w:r>
            <w:r w:rsidR="007A175B">
              <w:rPr>
                <w:rFonts w:asciiTheme="minorHAnsi" w:eastAsiaTheme="minorEastAsia" w:hAnsiTheme="minorHAnsi" w:cstheme="minorBidi"/>
                <w:noProof/>
                <w:lang w:eastAsia="en-AU"/>
              </w:rPr>
              <w:tab/>
            </w:r>
            <w:r w:rsidR="007A175B" w:rsidRPr="00D65E26">
              <w:rPr>
                <w:rStyle w:val="Hyperlink"/>
                <w:noProof/>
              </w:rPr>
              <w:t>Scope of the clinical dossier</w:t>
            </w:r>
            <w:r w:rsidR="007A175B">
              <w:rPr>
                <w:noProof/>
                <w:webHidden/>
              </w:rPr>
              <w:tab/>
            </w:r>
            <w:r w:rsidR="007A175B">
              <w:rPr>
                <w:noProof/>
                <w:webHidden/>
              </w:rPr>
              <w:fldChar w:fldCharType="begin"/>
            </w:r>
            <w:r w:rsidR="007A175B">
              <w:rPr>
                <w:noProof/>
                <w:webHidden/>
              </w:rPr>
              <w:instrText xml:space="preserve"> PAGEREF _Toc513557800 \h </w:instrText>
            </w:r>
            <w:r w:rsidR="007A175B">
              <w:rPr>
                <w:noProof/>
                <w:webHidden/>
              </w:rPr>
            </w:r>
            <w:r w:rsidR="007A175B">
              <w:rPr>
                <w:noProof/>
                <w:webHidden/>
              </w:rPr>
              <w:fldChar w:fldCharType="separate"/>
            </w:r>
            <w:r w:rsidR="007A175B">
              <w:rPr>
                <w:noProof/>
                <w:webHidden/>
              </w:rPr>
              <w:t>8</w:t>
            </w:r>
            <w:r w:rsidR="007A175B">
              <w:rPr>
                <w:noProof/>
                <w:webHidden/>
              </w:rPr>
              <w:fldChar w:fldCharType="end"/>
            </w:r>
          </w:hyperlink>
        </w:p>
        <w:p w14:paraId="726AE3FB"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01" w:history="1">
            <w:r w:rsidR="007A175B" w:rsidRPr="00D65E26">
              <w:rPr>
                <w:rStyle w:val="Hyperlink"/>
                <w:noProof/>
              </w:rPr>
              <w:t>3.2.</w:t>
            </w:r>
            <w:r w:rsidR="007A175B">
              <w:rPr>
                <w:rFonts w:asciiTheme="minorHAnsi" w:eastAsiaTheme="minorEastAsia" w:hAnsiTheme="minorHAnsi" w:cstheme="minorBidi"/>
                <w:noProof/>
                <w:lang w:eastAsia="en-AU"/>
              </w:rPr>
              <w:tab/>
            </w:r>
            <w:r w:rsidR="007A175B" w:rsidRPr="00D65E26">
              <w:rPr>
                <w:rStyle w:val="Hyperlink"/>
                <w:noProof/>
              </w:rPr>
              <w:t>Paediatric data</w:t>
            </w:r>
            <w:r w:rsidR="007A175B">
              <w:rPr>
                <w:noProof/>
                <w:webHidden/>
              </w:rPr>
              <w:tab/>
            </w:r>
            <w:r w:rsidR="007A175B">
              <w:rPr>
                <w:noProof/>
                <w:webHidden/>
              </w:rPr>
              <w:fldChar w:fldCharType="begin"/>
            </w:r>
            <w:r w:rsidR="007A175B">
              <w:rPr>
                <w:noProof/>
                <w:webHidden/>
              </w:rPr>
              <w:instrText xml:space="preserve"> PAGEREF _Toc513557801 \h </w:instrText>
            </w:r>
            <w:r w:rsidR="007A175B">
              <w:rPr>
                <w:noProof/>
                <w:webHidden/>
              </w:rPr>
            </w:r>
            <w:r w:rsidR="007A175B">
              <w:rPr>
                <w:noProof/>
                <w:webHidden/>
              </w:rPr>
              <w:fldChar w:fldCharType="separate"/>
            </w:r>
            <w:r w:rsidR="007A175B">
              <w:rPr>
                <w:noProof/>
                <w:webHidden/>
              </w:rPr>
              <w:t>9</w:t>
            </w:r>
            <w:r w:rsidR="007A175B">
              <w:rPr>
                <w:noProof/>
                <w:webHidden/>
              </w:rPr>
              <w:fldChar w:fldCharType="end"/>
            </w:r>
          </w:hyperlink>
        </w:p>
        <w:p w14:paraId="09B91BBC"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02" w:history="1">
            <w:r w:rsidR="007A175B" w:rsidRPr="00D65E26">
              <w:rPr>
                <w:rStyle w:val="Hyperlink"/>
                <w:noProof/>
              </w:rPr>
              <w:t>3.3.</w:t>
            </w:r>
            <w:r w:rsidR="007A175B">
              <w:rPr>
                <w:rFonts w:asciiTheme="minorHAnsi" w:eastAsiaTheme="minorEastAsia" w:hAnsiTheme="minorHAnsi" w:cstheme="minorBidi"/>
                <w:noProof/>
                <w:lang w:eastAsia="en-AU"/>
              </w:rPr>
              <w:tab/>
            </w:r>
            <w:r w:rsidR="007A175B" w:rsidRPr="00D65E26">
              <w:rPr>
                <w:rStyle w:val="Hyperlink"/>
                <w:noProof/>
              </w:rPr>
              <w:t>Good clinical practice</w:t>
            </w:r>
            <w:r w:rsidR="007A175B">
              <w:rPr>
                <w:noProof/>
                <w:webHidden/>
              </w:rPr>
              <w:tab/>
            </w:r>
            <w:r w:rsidR="007A175B">
              <w:rPr>
                <w:noProof/>
                <w:webHidden/>
              </w:rPr>
              <w:fldChar w:fldCharType="begin"/>
            </w:r>
            <w:r w:rsidR="007A175B">
              <w:rPr>
                <w:noProof/>
                <w:webHidden/>
              </w:rPr>
              <w:instrText xml:space="preserve"> PAGEREF _Toc513557802 \h </w:instrText>
            </w:r>
            <w:r w:rsidR="007A175B">
              <w:rPr>
                <w:noProof/>
                <w:webHidden/>
              </w:rPr>
            </w:r>
            <w:r w:rsidR="007A175B">
              <w:rPr>
                <w:noProof/>
                <w:webHidden/>
              </w:rPr>
              <w:fldChar w:fldCharType="separate"/>
            </w:r>
            <w:r w:rsidR="007A175B">
              <w:rPr>
                <w:noProof/>
                <w:webHidden/>
              </w:rPr>
              <w:t>9</w:t>
            </w:r>
            <w:r w:rsidR="007A175B">
              <w:rPr>
                <w:noProof/>
                <w:webHidden/>
              </w:rPr>
              <w:fldChar w:fldCharType="end"/>
            </w:r>
          </w:hyperlink>
        </w:p>
        <w:p w14:paraId="1D699F0A" w14:textId="77777777" w:rsidR="007A175B" w:rsidRDefault="00863496">
          <w:pPr>
            <w:pStyle w:val="TOC2"/>
            <w:tabs>
              <w:tab w:val="left" w:pos="1100"/>
            </w:tabs>
            <w:rPr>
              <w:rFonts w:asciiTheme="minorHAnsi" w:eastAsiaTheme="minorEastAsia" w:hAnsiTheme="minorHAnsi" w:cstheme="minorBidi"/>
              <w:b w:val="0"/>
              <w:noProof/>
              <w:sz w:val="22"/>
              <w:lang w:eastAsia="en-AU"/>
            </w:rPr>
          </w:pPr>
          <w:hyperlink w:anchor="_Toc513557803" w:history="1">
            <w:r w:rsidR="007A175B" w:rsidRPr="00D65E26">
              <w:rPr>
                <w:rStyle w:val="Hyperlink"/>
                <w:noProof/>
              </w:rPr>
              <w:t>4.</w:t>
            </w:r>
            <w:r w:rsidR="007A175B">
              <w:rPr>
                <w:rFonts w:asciiTheme="minorHAnsi" w:eastAsiaTheme="minorEastAsia" w:hAnsiTheme="minorHAnsi" w:cstheme="minorBidi"/>
                <w:b w:val="0"/>
                <w:noProof/>
                <w:sz w:val="22"/>
                <w:lang w:eastAsia="en-AU"/>
              </w:rPr>
              <w:tab/>
            </w:r>
            <w:r w:rsidR="007A175B" w:rsidRPr="00D65E26">
              <w:rPr>
                <w:rStyle w:val="Hyperlink"/>
                <w:noProof/>
              </w:rPr>
              <w:t>Pharmacokinetics</w:t>
            </w:r>
            <w:r w:rsidR="007A175B">
              <w:rPr>
                <w:noProof/>
                <w:webHidden/>
              </w:rPr>
              <w:tab/>
            </w:r>
            <w:r w:rsidR="007A175B">
              <w:rPr>
                <w:noProof/>
                <w:webHidden/>
              </w:rPr>
              <w:fldChar w:fldCharType="begin"/>
            </w:r>
            <w:r w:rsidR="007A175B">
              <w:rPr>
                <w:noProof/>
                <w:webHidden/>
              </w:rPr>
              <w:instrText xml:space="preserve"> PAGEREF _Toc513557803 \h </w:instrText>
            </w:r>
            <w:r w:rsidR="007A175B">
              <w:rPr>
                <w:noProof/>
                <w:webHidden/>
              </w:rPr>
            </w:r>
            <w:r w:rsidR="007A175B">
              <w:rPr>
                <w:noProof/>
                <w:webHidden/>
              </w:rPr>
              <w:fldChar w:fldCharType="separate"/>
            </w:r>
            <w:r w:rsidR="007A175B">
              <w:rPr>
                <w:noProof/>
                <w:webHidden/>
              </w:rPr>
              <w:t>9</w:t>
            </w:r>
            <w:r w:rsidR="007A175B">
              <w:rPr>
                <w:noProof/>
                <w:webHidden/>
              </w:rPr>
              <w:fldChar w:fldCharType="end"/>
            </w:r>
          </w:hyperlink>
        </w:p>
        <w:p w14:paraId="78070EC2"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04" w:history="1">
            <w:r w:rsidR="007A175B" w:rsidRPr="00D65E26">
              <w:rPr>
                <w:rStyle w:val="Hyperlink"/>
                <w:noProof/>
              </w:rPr>
              <w:t>4.1.</w:t>
            </w:r>
            <w:r w:rsidR="007A175B">
              <w:rPr>
                <w:rFonts w:asciiTheme="minorHAnsi" w:eastAsiaTheme="minorEastAsia" w:hAnsiTheme="minorHAnsi" w:cstheme="minorBidi"/>
                <w:noProof/>
                <w:lang w:eastAsia="en-AU"/>
              </w:rPr>
              <w:tab/>
            </w:r>
            <w:r w:rsidR="007A175B" w:rsidRPr="00D65E26">
              <w:rPr>
                <w:rStyle w:val="Hyperlink"/>
                <w:noProof/>
              </w:rPr>
              <w:t>Studies providing pharmacokinetic data</w:t>
            </w:r>
            <w:r w:rsidR="007A175B">
              <w:rPr>
                <w:noProof/>
                <w:webHidden/>
              </w:rPr>
              <w:tab/>
            </w:r>
            <w:r w:rsidR="007A175B">
              <w:rPr>
                <w:noProof/>
                <w:webHidden/>
              </w:rPr>
              <w:fldChar w:fldCharType="begin"/>
            </w:r>
            <w:r w:rsidR="007A175B">
              <w:rPr>
                <w:noProof/>
                <w:webHidden/>
              </w:rPr>
              <w:instrText xml:space="preserve"> PAGEREF _Toc513557804 \h </w:instrText>
            </w:r>
            <w:r w:rsidR="007A175B">
              <w:rPr>
                <w:noProof/>
                <w:webHidden/>
              </w:rPr>
            </w:r>
            <w:r w:rsidR="007A175B">
              <w:rPr>
                <w:noProof/>
                <w:webHidden/>
              </w:rPr>
              <w:fldChar w:fldCharType="separate"/>
            </w:r>
            <w:r w:rsidR="007A175B">
              <w:rPr>
                <w:noProof/>
                <w:webHidden/>
              </w:rPr>
              <w:t>9</w:t>
            </w:r>
            <w:r w:rsidR="007A175B">
              <w:rPr>
                <w:noProof/>
                <w:webHidden/>
              </w:rPr>
              <w:fldChar w:fldCharType="end"/>
            </w:r>
          </w:hyperlink>
        </w:p>
        <w:p w14:paraId="41CE174C"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05" w:history="1">
            <w:r w:rsidR="007A175B" w:rsidRPr="00D65E26">
              <w:rPr>
                <w:rStyle w:val="Hyperlink"/>
                <w:noProof/>
              </w:rPr>
              <w:t>4.2.</w:t>
            </w:r>
            <w:r w:rsidR="007A175B">
              <w:rPr>
                <w:rFonts w:asciiTheme="minorHAnsi" w:eastAsiaTheme="minorEastAsia" w:hAnsiTheme="minorHAnsi" w:cstheme="minorBidi"/>
                <w:noProof/>
                <w:lang w:eastAsia="en-AU"/>
              </w:rPr>
              <w:tab/>
            </w:r>
            <w:r w:rsidR="007A175B" w:rsidRPr="00D65E26">
              <w:rPr>
                <w:rStyle w:val="Hyperlink"/>
                <w:noProof/>
              </w:rPr>
              <w:t>Summary of pharmacokinetics</w:t>
            </w:r>
            <w:r w:rsidR="007A175B">
              <w:rPr>
                <w:noProof/>
                <w:webHidden/>
              </w:rPr>
              <w:tab/>
            </w:r>
            <w:r w:rsidR="007A175B">
              <w:rPr>
                <w:noProof/>
                <w:webHidden/>
              </w:rPr>
              <w:fldChar w:fldCharType="begin"/>
            </w:r>
            <w:r w:rsidR="007A175B">
              <w:rPr>
                <w:noProof/>
                <w:webHidden/>
              </w:rPr>
              <w:instrText xml:space="preserve"> PAGEREF _Toc513557805 \h </w:instrText>
            </w:r>
            <w:r w:rsidR="007A175B">
              <w:rPr>
                <w:noProof/>
                <w:webHidden/>
              </w:rPr>
            </w:r>
            <w:r w:rsidR="007A175B">
              <w:rPr>
                <w:noProof/>
                <w:webHidden/>
              </w:rPr>
              <w:fldChar w:fldCharType="separate"/>
            </w:r>
            <w:r w:rsidR="007A175B">
              <w:rPr>
                <w:noProof/>
                <w:webHidden/>
              </w:rPr>
              <w:t>9</w:t>
            </w:r>
            <w:r w:rsidR="007A175B">
              <w:rPr>
                <w:noProof/>
                <w:webHidden/>
              </w:rPr>
              <w:fldChar w:fldCharType="end"/>
            </w:r>
          </w:hyperlink>
        </w:p>
        <w:p w14:paraId="1A608AF7"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06" w:history="1">
            <w:r w:rsidR="007A175B" w:rsidRPr="00D65E26">
              <w:rPr>
                <w:rStyle w:val="Hyperlink"/>
                <w:noProof/>
              </w:rPr>
              <w:t>4.3.</w:t>
            </w:r>
            <w:r w:rsidR="007A175B">
              <w:rPr>
                <w:rFonts w:asciiTheme="minorHAnsi" w:eastAsiaTheme="minorEastAsia" w:hAnsiTheme="minorHAnsi" w:cstheme="minorBidi"/>
                <w:noProof/>
                <w:lang w:eastAsia="en-AU"/>
              </w:rPr>
              <w:tab/>
            </w:r>
            <w:r w:rsidR="007A175B" w:rsidRPr="00D65E26">
              <w:rPr>
                <w:rStyle w:val="Hyperlink"/>
                <w:noProof/>
              </w:rPr>
              <w:t>Population pharmacokinetics</w:t>
            </w:r>
            <w:r w:rsidR="007A175B">
              <w:rPr>
                <w:noProof/>
                <w:webHidden/>
              </w:rPr>
              <w:tab/>
            </w:r>
            <w:r w:rsidR="007A175B">
              <w:rPr>
                <w:noProof/>
                <w:webHidden/>
              </w:rPr>
              <w:fldChar w:fldCharType="begin"/>
            </w:r>
            <w:r w:rsidR="007A175B">
              <w:rPr>
                <w:noProof/>
                <w:webHidden/>
              </w:rPr>
              <w:instrText xml:space="preserve"> PAGEREF _Toc513557806 \h </w:instrText>
            </w:r>
            <w:r w:rsidR="007A175B">
              <w:rPr>
                <w:noProof/>
                <w:webHidden/>
              </w:rPr>
            </w:r>
            <w:r w:rsidR="007A175B">
              <w:rPr>
                <w:noProof/>
                <w:webHidden/>
              </w:rPr>
              <w:fldChar w:fldCharType="separate"/>
            </w:r>
            <w:r w:rsidR="007A175B">
              <w:rPr>
                <w:noProof/>
                <w:webHidden/>
              </w:rPr>
              <w:t>11</w:t>
            </w:r>
            <w:r w:rsidR="007A175B">
              <w:rPr>
                <w:noProof/>
                <w:webHidden/>
              </w:rPr>
              <w:fldChar w:fldCharType="end"/>
            </w:r>
          </w:hyperlink>
        </w:p>
        <w:p w14:paraId="04BFDCBB"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07" w:history="1">
            <w:r w:rsidR="007A175B" w:rsidRPr="00D65E26">
              <w:rPr>
                <w:rStyle w:val="Hyperlink"/>
                <w:noProof/>
              </w:rPr>
              <w:t>4.4.</w:t>
            </w:r>
            <w:r w:rsidR="007A175B">
              <w:rPr>
                <w:rFonts w:asciiTheme="minorHAnsi" w:eastAsiaTheme="minorEastAsia" w:hAnsiTheme="minorHAnsi" w:cstheme="minorBidi"/>
                <w:noProof/>
                <w:lang w:eastAsia="en-AU"/>
              </w:rPr>
              <w:tab/>
            </w:r>
            <w:r w:rsidR="007A175B" w:rsidRPr="00D65E26">
              <w:rPr>
                <w:rStyle w:val="Hyperlink"/>
                <w:noProof/>
              </w:rPr>
              <w:t>Evaluator’s overall conclusions on pharmacokinetics</w:t>
            </w:r>
            <w:r w:rsidR="007A175B">
              <w:rPr>
                <w:noProof/>
                <w:webHidden/>
              </w:rPr>
              <w:tab/>
            </w:r>
            <w:r w:rsidR="007A175B">
              <w:rPr>
                <w:noProof/>
                <w:webHidden/>
              </w:rPr>
              <w:fldChar w:fldCharType="begin"/>
            </w:r>
            <w:r w:rsidR="007A175B">
              <w:rPr>
                <w:noProof/>
                <w:webHidden/>
              </w:rPr>
              <w:instrText xml:space="preserve"> PAGEREF _Toc513557807 \h </w:instrText>
            </w:r>
            <w:r w:rsidR="007A175B">
              <w:rPr>
                <w:noProof/>
                <w:webHidden/>
              </w:rPr>
            </w:r>
            <w:r w:rsidR="007A175B">
              <w:rPr>
                <w:noProof/>
                <w:webHidden/>
              </w:rPr>
              <w:fldChar w:fldCharType="separate"/>
            </w:r>
            <w:r w:rsidR="007A175B">
              <w:rPr>
                <w:noProof/>
                <w:webHidden/>
              </w:rPr>
              <w:t>11</w:t>
            </w:r>
            <w:r w:rsidR="007A175B">
              <w:rPr>
                <w:noProof/>
                <w:webHidden/>
              </w:rPr>
              <w:fldChar w:fldCharType="end"/>
            </w:r>
          </w:hyperlink>
        </w:p>
        <w:p w14:paraId="4F83B1D9" w14:textId="77777777" w:rsidR="007A175B" w:rsidRDefault="00863496">
          <w:pPr>
            <w:pStyle w:val="TOC2"/>
            <w:tabs>
              <w:tab w:val="left" w:pos="1100"/>
            </w:tabs>
            <w:rPr>
              <w:rFonts w:asciiTheme="minorHAnsi" w:eastAsiaTheme="minorEastAsia" w:hAnsiTheme="minorHAnsi" w:cstheme="minorBidi"/>
              <w:b w:val="0"/>
              <w:noProof/>
              <w:sz w:val="22"/>
              <w:lang w:eastAsia="en-AU"/>
            </w:rPr>
          </w:pPr>
          <w:hyperlink w:anchor="_Toc513557808" w:history="1">
            <w:r w:rsidR="007A175B" w:rsidRPr="00D65E26">
              <w:rPr>
                <w:rStyle w:val="Hyperlink"/>
                <w:noProof/>
              </w:rPr>
              <w:t>5.</w:t>
            </w:r>
            <w:r w:rsidR="007A175B">
              <w:rPr>
                <w:rFonts w:asciiTheme="minorHAnsi" w:eastAsiaTheme="minorEastAsia" w:hAnsiTheme="minorHAnsi" w:cstheme="minorBidi"/>
                <w:b w:val="0"/>
                <w:noProof/>
                <w:sz w:val="22"/>
                <w:lang w:eastAsia="en-AU"/>
              </w:rPr>
              <w:tab/>
            </w:r>
            <w:r w:rsidR="007A175B" w:rsidRPr="00D65E26">
              <w:rPr>
                <w:rStyle w:val="Hyperlink"/>
                <w:noProof/>
              </w:rPr>
              <w:t>Pharmacodynamics</w:t>
            </w:r>
            <w:r w:rsidR="007A175B">
              <w:rPr>
                <w:noProof/>
                <w:webHidden/>
              </w:rPr>
              <w:tab/>
            </w:r>
            <w:r w:rsidR="007A175B">
              <w:rPr>
                <w:noProof/>
                <w:webHidden/>
              </w:rPr>
              <w:fldChar w:fldCharType="begin"/>
            </w:r>
            <w:r w:rsidR="007A175B">
              <w:rPr>
                <w:noProof/>
                <w:webHidden/>
              </w:rPr>
              <w:instrText xml:space="preserve"> PAGEREF _Toc513557808 \h </w:instrText>
            </w:r>
            <w:r w:rsidR="007A175B">
              <w:rPr>
                <w:noProof/>
                <w:webHidden/>
              </w:rPr>
            </w:r>
            <w:r w:rsidR="007A175B">
              <w:rPr>
                <w:noProof/>
                <w:webHidden/>
              </w:rPr>
              <w:fldChar w:fldCharType="separate"/>
            </w:r>
            <w:r w:rsidR="007A175B">
              <w:rPr>
                <w:noProof/>
                <w:webHidden/>
              </w:rPr>
              <w:t>11</w:t>
            </w:r>
            <w:r w:rsidR="007A175B">
              <w:rPr>
                <w:noProof/>
                <w:webHidden/>
              </w:rPr>
              <w:fldChar w:fldCharType="end"/>
            </w:r>
          </w:hyperlink>
        </w:p>
        <w:p w14:paraId="0A4AA95A" w14:textId="77777777" w:rsidR="007A175B" w:rsidRDefault="00863496">
          <w:pPr>
            <w:pStyle w:val="TOC2"/>
            <w:tabs>
              <w:tab w:val="left" w:pos="1100"/>
            </w:tabs>
            <w:rPr>
              <w:rFonts w:asciiTheme="minorHAnsi" w:eastAsiaTheme="minorEastAsia" w:hAnsiTheme="minorHAnsi" w:cstheme="minorBidi"/>
              <w:b w:val="0"/>
              <w:noProof/>
              <w:sz w:val="22"/>
              <w:lang w:eastAsia="en-AU"/>
            </w:rPr>
          </w:pPr>
          <w:hyperlink w:anchor="_Toc513557809" w:history="1">
            <w:r w:rsidR="007A175B" w:rsidRPr="00D65E26">
              <w:rPr>
                <w:rStyle w:val="Hyperlink"/>
                <w:noProof/>
              </w:rPr>
              <w:t>6.</w:t>
            </w:r>
            <w:r w:rsidR="007A175B">
              <w:rPr>
                <w:rFonts w:asciiTheme="minorHAnsi" w:eastAsiaTheme="minorEastAsia" w:hAnsiTheme="minorHAnsi" w:cstheme="minorBidi"/>
                <w:b w:val="0"/>
                <w:noProof/>
                <w:sz w:val="22"/>
                <w:lang w:eastAsia="en-AU"/>
              </w:rPr>
              <w:tab/>
            </w:r>
            <w:r w:rsidR="007A175B" w:rsidRPr="00D65E26">
              <w:rPr>
                <w:rStyle w:val="Hyperlink"/>
                <w:noProof/>
              </w:rPr>
              <w:t>Dosage selection for the pivotal studies</w:t>
            </w:r>
            <w:r w:rsidR="007A175B">
              <w:rPr>
                <w:noProof/>
                <w:webHidden/>
              </w:rPr>
              <w:tab/>
            </w:r>
            <w:r w:rsidR="007A175B">
              <w:rPr>
                <w:noProof/>
                <w:webHidden/>
              </w:rPr>
              <w:fldChar w:fldCharType="begin"/>
            </w:r>
            <w:r w:rsidR="007A175B">
              <w:rPr>
                <w:noProof/>
                <w:webHidden/>
              </w:rPr>
              <w:instrText xml:space="preserve"> PAGEREF _Toc513557809 \h </w:instrText>
            </w:r>
            <w:r w:rsidR="007A175B">
              <w:rPr>
                <w:noProof/>
                <w:webHidden/>
              </w:rPr>
            </w:r>
            <w:r w:rsidR="007A175B">
              <w:rPr>
                <w:noProof/>
                <w:webHidden/>
              </w:rPr>
              <w:fldChar w:fldCharType="separate"/>
            </w:r>
            <w:r w:rsidR="007A175B">
              <w:rPr>
                <w:noProof/>
                <w:webHidden/>
              </w:rPr>
              <w:t>11</w:t>
            </w:r>
            <w:r w:rsidR="007A175B">
              <w:rPr>
                <w:noProof/>
                <w:webHidden/>
              </w:rPr>
              <w:fldChar w:fldCharType="end"/>
            </w:r>
          </w:hyperlink>
        </w:p>
        <w:p w14:paraId="6D4F9B2A" w14:textId="77777777" w:rsidR="007A175B" w:rsidRDefault="00863496">
          <w:pPr>
            <w:pStyle w:val="TOC2"/>
            <w:tabs>
              <w:tab w:val="left" w:pos="1100"/>
            </w:tabs>
            <w:rPr>
              <w:rFonts w:asciiTheme="minorHAnsi" w:eastAsiaTheme="minorEastAsia" w:hAnsiTheme="minorHAnsi" w:cstheme="minorBidi"/>
              <w:b w:val="0"/>
              <w:noProof/>
              <w:sz w:val="22"/>
              <w:lang w:eastAsia="en-AU"/>
            </w:rPr>
          </w:pPr>
          <w:hyperlink w:anchor="_Toc513557810" w:history="1">
            <w:r w:rsidR="007A175B" w:rsidRPr="00D65E26">
              <w:rPr>
                <w:rStyle w:val="Hyperlink"/>
                <w:noProof/>
              </w:rPr>
              <w:t>7.</w:t>
            </w:r>
            <w:r w:rsidR="007A175B">
              <w:rPr>
                <w:rFonts w:asciiTheme="minorHAnsi" w:eastAsiaTheme="minorEastAsia" w:hAnsiTheme="minorHAnsi" w:cstheme="minorBidi"/>
                <w:b w:val="0"/>
                <w:noProof/>
                <w:sz w:val="22"/>
                <w:lang w:eastAsia="en-AU"/>
              </w:rPr>
              <w:tab/>
            </w:r>
            <w:r w:rsidR="007A175B" w:rsidRPr="00D65E26">
              <w:rPr>
                <w:rStyle w:val="Hyperlink"/>
                <w:noProof/>
              </w:rPr>
              <w:t>Clinical efficacy</w:t>
            </w:r>
            <w:r w:rsidR="007A175B">
              <w:rPr>
                <w:noProof/>
                <w:webHidden/>
              </w:rPr>
              <w:tab/>
            </w:r>
            <w:r w:rsidR="007A175B">
              <w:rPr>
                <w:noProof/>
                <w:webHidden/>
              </w:rPr>
              <w:fldChar w:fldCharType="begin"/>
            </w:r>
            <w:r w:rsidR="007A175B">
              <w:rPr>
                <w:noProof/>
                <w:webHidden/>
              </w:rPr>
              <w:instrText xml:space="preserve"> PAGEREF _Toc513557810 \h </w:instrText>
            </w:r>
            <w:r w:rsidR="007A175B">
              <w:rPr>
                <w:noProof/>
                <w:webHidden/>
              </w:rPr>
            </w:r>
            <w:r w:rsidR="007A175B">
              <w:rPr>
                <w:noProof/>
                <w:webHidden/>
              </w:rPr>
              <w:fldChar w:fldCharType="separate"/>
            </w:r>
            <w:r w:rsidR="007A175B">
              <w:rPr>
                <w:noProof/>
                <w:webHidden/>
              </w:rPr>
              <w:t>11</w:t>
            </w:r>
            <w:r w:rsidR="007A175B">
              <w:rPr>
                <w:noProof/>
                <w:webHidden/>
              </w:rPr>
              <w:fldChar w:fldCharType="end"/>
            </w:r>
          </w:hyperlink>
        </w:p>
        <w:p w14:paraId="22008050"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11" w:history="1">
            <w:r w:rsidR="007A175B" w:rsidRPr="00D65E26">
              <w:rPr>
                <w:rStyle w:val="Hyperlink"/>
                <w:noProof/>
              </w:rPr>
              <w:t>7.1.</w:t>
            </w:r>
            <w:r w:rsidR="007A175B">
              <w:rPr>
                <w:rFonts w:asciiTheme="minorHAnsi" w:eastAsiaTheme="minorEastAsia" w:hAnsiTheme="minorHAnsi" w:cstheme="minorBidi"/>
                <w:noProof/>
                <w:lang w:eastAsia="en-AU"/>
              </w:rPr>
              <w:tab/>
            </w:r>
            <w:r w:rsidR="007A175B" w:rsidRPr="00D65E26">
              <w:rPr>
                <w:rStyle w:val="Hyperlink"/>
                <w:noProof/>
              </w:rPr>
              <w:t>Pivotal efficacy studies</w:t>
            </w:r>
            <w:r w:rsidR="007A175B">
              <w:rPr>
                <w:noProof/>
                <w:webHidden/>
              </w:rPr>
              <w:tab/>
            </w:r>
            <w:r w:rsidR="007A175B">
              <w:rPr>
                <w:noProof/>
                <w:webHidden/>
              </w:rPr>
              <w:fldChar w:fldCharType="begin"/>
            </w:r>
            <w:r w:rsidR="007A175B">
              <w:rPr>
                <w:noProof/>
                <w:webHidden/>
              </w:rPr>
              <w:instrText xml:space="preserve"> PAGEREF _Toc513557811 \h </w:instrText>
            </w:r>
            <w:r w:rsidR="007A175B">
              <w:rPr>
                <w:noProof/>
                <w:webHidden/>
              </w:rPr>
            </w:r>
            <w:r w:rsidR="007A175B">
              <w:rPr>
                <w:noProof/>
                <w:webHidden/>
              </w:rPr>
              <w:fldChar w:fldCharType="separate"/>
            </w:r>
            <w:r w:rsidR="007A175B">
              <w:rPr>
                <w:noProof/>
                <w:webHidden/>
              </w:rPr>
              <w:t>11</w:t>
            </w:r>
            <w:r w:rsidR="007A175B">
              <w:rPr>
                <w:noProof/>
                <w:webHidden/>
              </w:rPr>
              <w:fldChar w:fldCharType="end"/>
            </w:r>
          </w:hyperlink>
        </w:p>
        <w:p w14:paraId="08473FAD"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12" w:history="1">
            <w:r w:rsidR="007A175B" w:rsidRPr="00D65E26">
              <w:rPr>
                <w:rStyle w:val="Hyperlink"/>
                <w:noProof/>
              </w:rPr>
              <w:t>7.2.</w:t>
            </w:r>
            <w:r w:rsidR="007A175B">
              <w:rPr>
                <w:rFonts w:asciiTheme="minorHAnsi" w:eastAsiaTheme="minorEastAsia" w:hAnsiTheme="minorHAnsi" w:cstheme="minorBidi"/>
                <w:noProof/>
                <w:lang w:eastAsia="en-AU"/>
              </w:rPr>
              <w:tab/>
            </w:r>
            <w:r w:rsidR="007A175B" w:rsidRPr="00D65E26">
              <w:rPr>
                <w:rStyle w:val="Hyperlink"/>
                <w:noProof/>
              </w:rPr>
              <w:t>Analyses performed across trials (pooled analyses and meta</w:t>
            </w:r>
            <w:r w:rsidR="007A175B" w:rsidRPr="00D65E26">
              <w:rPr>
                <w:rStyle w:val="Hyperlink"/>
                <w:noProof/>
              </w:rPr>
              <w:noBreakHyphen/>
              <w:t>analyses)</w:t>
            </w:r>
            <w:r w:rsidR="007A175B">
              <w:rPr>
                <w:noProof/>
                <w:webHidden/>
              </w:rPr>
              <w:tab/>
            </w:r>
            <w:r w:rsidR="007A175B">
              <w:rPr>
                <w:noProof/>
                <w:webHidden/>
              </w:rPr>
              <w:fldChar w:fldCharType="begin"/>
            </w:r>
            <w:r w:rsidR="007A175B">
              <w:rPr>
                <w:noProof/>
                <w:webHidden/>
              </w:rPr>
              <w:instrText xml:space="preserve"> PAGEREF _Toc513557812 \h </w:instrText>
            </w:r>
            <w:r w:rsidR="007A175B">
              <w:rPr>
                <w:noProof/>
                <w:webHidden/>
              </w:rPr>
            </w:r>
            <w:r w:rsidR="007A175B">
              <w:rPr>
                <w:noProof/>
                <w:webHidden/>
              </w:rPr>
              <w:fldChar w:fldCharType="separate"/>
            </w:r>
            <w:r w:rsidR="007A175B">
              <w:rPr>
                <w:noProof/>
                <w:webHidden/>
              </w:rPr>
              <w:t>36</w:t>
            </w:r>
            <w:r w:rsidR="007A175B">
              <w:rPr>
                <w:noProof/>
                <w:webHidden/>
              </w:rPr>
              <w:fldChar w:fldCharType="end"/>
            </w:r>
          </w:hyperlink>
        </w:p>
        <w:p w14:paraId="306295AF"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13" w:history="1">
            <w:r w:rsidR="007A175B" w:rsidRPr="00D65E26">
              <w:rPr>
                <w:rStyle w:val="Hyperlink"/>
                <w:noProof/>
              </w:rPr>
              <w:t>7.3.</w:t>
            </w:r>
            <w:r w:rsidR="007A175B">
              <w:rPr>
                <w:rFonts w:asciiTheme="minorHAnsi" w:eastAsiaTheme="minorEastAsia" w:hAnsiTheme="minorHAnsi" w:cstheme="minorBidi"/>
                <w:noProof/>
                <w:lang w:eastAsia="en-AU"/>
              </w:rPr>
              <w:tab/>
            </w:r>
            <w:r w:rsidR="007A175B" w:rsidRPr="00D65E26">
              <w:rPr>
                <w:rStyle w:val="Hyperlink"/>
                <w:noProof/>
              </w:rPr>
              <w:t>Evaluator’s conclusions on clinical efficacy of pembrolizumab for the treatment of non-small cell lung cancer</w:t>
            </w:r>
            <w:r w:rsidR="007A175B">
              <w:rPr>
                <w:noProof/>
                <w:webHidden/>
              </w:rPr>
              <w:tab/>
            </w:r>
            <w:r w:rsidR="007A175B">
              <w:rPr>
                <w:noProof/>
                <w:webHidden/>
              </w:rPr>
              <w:fldChar w:fldCharType="begin"/>
            </w:r>
            <w:r w:rsidR="007A175B">
              <w:rPr>
                <w:noProof/>
                <w:webHidden/>
              </w:rPr>
              <w:instrText xml:space="preserve"> PAGEREF _Toc513557813 \h </w:instrText>
            </w:r>
            <w:r w:rsidR="007A175B">
              <w:rPr>
                <w:noProof/>
                <w:webHidden/>
              </w:rPr>
            </w:r>
            <w:r w:rsidR="007A175B">
              <w:rPr>
                <w:noProof/>
                <w:webHidden/>
              </w:rPr>
              <w:fldChar w:fldCharType="separate"/>
            </w:r>
            <w:r w:rsidR="007A175B">
              <w:rPr>
                <w:noProof/>
                <w:webHidden/>
              </w:rPr>
              <w:t>38</w:t>
            </w:r>
            <w:r w:rsidR="007A175B">
              <w:rPr>
                <w:noProof/>
                <w:webHidden/>
              </w:rPr>
              <w:fldChar w:fldCharType="end"/>
            </w:r>
          </w:hyperlink>
        </w:p>
        <w:p w14:paraId="51151923" w14:textId="77777777" w:rsidR="007A175B" w:rsidRDefault="00863496">
          <w:pPr>
            <w:pStyle w:val="TOC2"/>
            <w:tabs>
              <w:tab w:val="left" w:pos="1100"/>
            </w:tabs>
            <w:rPr>
              <w:rFonts w:asciiTheme="minorHAnsi" w:eastAsiaTheme="minorEastAsia" w:hAnsiTheme="minorHAnsi" w:cstheme="minorBidi"/>
              <w:b w:val="0"/>
              <w:noProof/>
              <w:sz w:val="22"/>
              <w:lang w:eastAsia="en-AU"/>
            </w:rPr>
          </w:pPr>
          <w:hyperlink w:anchor="_Toc513557814" w:history="1">
            <w:r w:rsidR="007A175B" w:rsidRPr="00D65E26">
              <w:rPr>
                <w:rStyle w:val="Hyperlink"/>
                <w:noProof/>
              </w:rPr>
              <w:t>8.</w:t>
            </w:r>
            <w:r w:rsidR="007A175B">
              <w:rPr>
                <w:rFonts w:asciiTheme="minorHAnsi" w:eastAsiaTheme="minorEastAsia" w:hAnsiTheme="minorHAnsi" w:cstheme="minorBidi"/>
                <w:b w:val="0"/>
                <w:noProof/>
                <w:sz w:val="22"/>
                <w:lang w:eastAsia="en-AU"/>
              </w:rPr>
              <w:tab/>
            </w:r>
            <w:r w:rsidR="007A175B" w:rsidRPr="00D65E26">
              <w:rPr>
                <w:rStyle w:val="Hyperlink"/>
                <w:noProof/>
              </w:rPr>
              <w:t>Clinical safety</w:t>
            </w:r>
            <w:r w:rsidR="007A175B">
              <w:rPr>
                <w:noProof/>
                <w:webHidden/>
              </w:rPr>
              <w:tab/>
            </w:r>
            <w:r w:rsidR="007A175B">
              <w:rPr>
                <w:noProof/>
                <w:webHidden/>
              </w:rPr>
              <w:fldChar w:fldCharType="begin"/>
            </w:r>
            <w:r w:rsidR="007A175B">
              <w:rPr>
                <w:noProof/>
                <w:webHidden/>
              </w:rPr>
              <w:instrText xml:space="preserve"> PAGEREF _Toc513557814 \h </w:instrText>
            </w:r>
            <w:r w:rsidR="007A175B">
              <w:rPr>
                <w:noProof/>
                <w:webHidden/>
              </w:rPr>
            </w:r>
            <w:r w:rsidR="007A175B">
              <w:rPr>
                <w:noProof/>
                <w:webHidden/>
              </w:rPr>
              <w:fldChar w:fldCharType="separate"/>
            </w:r>
            <w:r w:rsidR="007A175B">
              <w:rPr>
                <w:noProof/>
                <w:webHidden/>
              </w:rPr>
              <w:t>39</w:t>
            </w:r>
            <w:r w:rsidR="007A175B">
              <w:rPr>
                <w:noProof/>
                <w:webHidden/>
              </w:rPr>
              <w:fldChar w:fldCharType="end"/>
            </w:r>
          </w:hyperlink>
        </w:p>
        <w:p w14:paraId="31724741"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15" w:history="1">
            <w:r w:rsidR="007A175B" w:rsidRPr="00D65E26">
              <w:rPr>
                <w:rStyle w:val="Hyperlink"/>
                <w:noProof/>
              </w:rPr>
              <w:t>8.1.</w:t>
            </w:r>
            <w:r w:rsidR="007A175B">
              <w:rPr>
                <w:rFonts w:asciiTheme="minorHAnsi" w:eastAsiaTheme="minorEastAsia" w:hAnsiTheme="minorHAnsi" w:cstheme="minorBidi"/>
                <w:noProof/>
                <w:lang w:eastAsia="en-AU"/>
              </w:rPr>
              <w:tab/>
            </w:r>
            <w:r w:rsidR="007A175B" w:rsidRPr="00D65E26">
              <w:rPr>
                <w:rStyle w:val="Hyperlink"/>
                <w:noProof/>
              </w:rPr>
              <w:t>Studies providing evaluable safety data</w:t>
            </w:r>
            <w:r w:rsidR="007A175B">
              <w:rPr>
                <w:noProof/>
                <w:webHidden/>
              </w:rPr>
              <w:tab/>
            </w:r>
            <w:r w:rsidR="007A175B">
              <w:rPr>
                <w:noProof/>
                <w:webHidden/>
              </w:rPr>
              <w:fldChar w:fldCharType="begin"/>
            </w:r>
            <w:r w:rsidR="007A175B">
              <w:rPr>
                <w:noProof/>
                <w:webHidden/>
              </w:rPr>
              <w:instrText xml:space="preserve"> PAGEREF _Toc513557815 \h </w:instrText>
            </w:r>
            <w:r w:rsidR="007A175B">
              <w:rPr>
                <w:noProof/>
                <w:webHidden/>
              </w:rPr>
            </w:r>
            <w:r w:rsidR="007A175B">
              <w:rPr>
                <w:noProof/>
                <w:webHidden/>
              </w:rPr>
              <w:fldChar w:fldCharType="separate"/>
            </w:r>
            <w:r w:rsidR="007A175B">
              <w:rPr>
                <w:noProof/>
                <w:webHidden/>
              </w:rPr>
              <w:t>39</w:t>
            </w:r>
            <w:r w:rsidR="007A175B">
              <w:rPr>
                <w:noProof/>
                <w:webHidden/>
              </w:rPr>
              <w:fldChar w:fldCharType="end"/>
            </w:r>
          </w:hyperlink>
        </w:p>
        <w:p w14:paraId="082465E7"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16" w:history="1">
            <w:r w:rsidR="007A175B" w:rsidRPr="00D65E26">
              <w:rPr>
                <w:rStyle w:val="Hyperlink"/>
                <w:noProof/>
              </w:rPr>
              <w:t>8.2.</w:t>
            </w:r>
            <w:r w:rsidR="007A175B">
              <w:rPr>
                <w:rFonts w:asciiTheme="minorHAnsi" w:eastAsiaTheme="minorEastAsia" w:hAnsiTheme="minorHAnsi" w:cstheme="minorBidi"/>
                <w:noProof/>
                <w:lang w:eastAsia="en-AU"/>
              </w:rPr>
              <w:tab/>
            </w:r>
            <w:r w:rsidR="007A175B" w:rsidRPr="00D65E26">
              <w:rPr>
                <w:rStyle w:val="Hyperlink"/>
                <w:noProof/>
              </w:rPr>
              <w:t>Pivotal studies that assessed safety as a primary outcome</w:t>
            </w:r>
            <w:r w:rsidR="007A175B">
              <w:rPr>
                <w:noProof/>
                <w:webHidden/>
              </w:rPr>
              <w:tab/>
            </w:r>
            <w:r w:rsidR="007A175B">
              <w:rPr>
                <w:noProof/>
                <w:webHidden/>
              </w:rPr>
              <w:fldChar w:fldCharType="begin"/>
            </w:r>
            <w:r w:rsidR="007A175B">
              <w:rPr>
                <w:noProof/>
                <w:webHidden/>
              </w:rPr>
              <w:instrText xml:space="preserve"> PAGEREF _Toc513557816 \h </w:instrText>
            </w:r>
            <w:r w:rsidR="007A175B">
              <w:rPr>
                <w:noProof/>
                <w:webHidden/>
              </w:rPr>
            </w:r>
            <w:r w:rsidR="007A175B">
              <w:rPr>
                <w:noProof/>
                <w:webHidden/>
              </w:rPr>
              <w:fldChar w:fldCharType="separate"/>
            </w:r>
            <w:r w:rsidR="007A175B">
              <w:rPr>
                <w:noProof/>
                <w:webHidden/>
              </w:rPr>
              <w:t>42</w:t>
            </w:r>
            <w:r w:rsidR="007A175B">
              <w:rPr>
                <w:noProof/>
                <w:webHidden/>
              </w:rPr>
              <w:fldChar w:fldCharType="end"/>
            </w:r>
          </w:hyperlink>
        </w:p>
        <w:p w14:paraId="776607DC"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17" w:history="1">
            <w:r w:rsidR="007A175B" w:rsidRPr="00D65E26">
              <w:rPr>
                <w:rStyle w:val="Hyperlink"/>
                <w:noProof/>
              </w:rPr>
              <w:t>8.3.</w:t>
            </w:r>
            <w:r w:rsidR="007A175B">
              <w:rPr>
                <w:rFonts w:asciiTheme="minorHAnsi" w:eastAsiaTheme="minorEastAsia" w:hAnsiTheme="minorHAnsi" w:cstheme="minorBidi"/>
                <w:noProof/>
                <w:lang w:eastAsia="en-AU"/>
              </w:rPr>
              <w:tab/>
            </w:r>
            <w:r w:rsidR="007A175B" w:rsidRPr="00D65E26">
              <w:rPr>
                <w:rStyle w:val="Hyperlink"/>
                <w:noProof/>
              </w:rPr>
              <w:t>Patient exposure</w:t>
            </w:r>
            <w:r w:rsidR="007A175B">
              <w:rPr>
                <w:noProof/>
                <w:webHidden/>
              </w:rPr>
              <w:tab/>
            </w:r>
            <w:r w:rsidR="007A175B">
              <w:rPr>
                <w:noProof/>
                <w:webHidden/>
              </w:rPr>
              <w:fldChar w:fldCharType="begin"/>
            </w:r>
            <w:r w:rsidR="007A175B">
              <w:rPr>
                <w:noProof/>
                <w:webHidden/>
              </w:rPr>
              <w:instrText xml:space="preserve"> PAGEREF _Toc513557817 \h </w:instrText>
            </w:r>
            <w:r w:rsidR="007A175B">
              <w:rPr>
                <w:noProof/>
                <w:webHidden/>
              </w:rPr>
            </w:r>
            <w:r w:rsidR="007A175B">
              <w:rPr>
                <w:noProof/>
                <w:webHidden/>
              </w:rPr>
              <w:fldChar w:fldCharType="separate"/>
            </w:r>
            <w:r w:rsidR="007A175B">
              <w:rPr>
                <w:noProof/>
                <w:webHidden/>
              </w:rPr>
              <w:t>42</w:t>
            </w:r>
            <w:r w:rsidR="007A175B">
              <w:rPr>
                <w:noProof/>
                <w:webHidden/>
              </w:rPr>
              <w:fldChar w:fldCharType="end"/>
            </w:r>
          </w:hyperlink>
        </w:p>
        <w:p w14:paraId="204884ED"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18" w:history="1">
            <w:r w:rsidR="007A175B" w:rsidRPr="00D65E26">
              <w:rPr>
                <w:rStyle w:val="Hyperlink"/>
                <w:noProof/>
              </w:rPr>
              <w:t>8.4.</w:t>
            </w:r>
            <w:r w:rsidR="007A175B">
              <w:rPr>
                <w:rFonts w:asciiTheme="minorHAnsi" w:eastAsiaTheme="minorEastAsia" w:hAnsiTheme="minorHAnsi" w:cstheme="minorBidi"/>
                <w:noProof/>
                <w:lang w:eastAsia="en-AU"/>
              </w:rPr>
              <w:tab/>
            </w:r>
            <w:r w:rsidR="007A175B" w:rsidRPr="00D65E26">
              <w:rPr>
                <w:rStyle w:val="Hyperlink"/>
                <w:noProof/>
              </w:rPr>
              <w:t>Adverse events</w:t>
            </w:r>
            <w:r w:rsidR="007A175B">
              <w:rPr>
                <w:noProof/>
                <w:webHidden/>
              </w:rPr>
              <w:tab/>
            </w:r>
            <w:r w:rsidR="007A175B">
              <w:rPr>
                <w:noProof/>
                <w:webHidden/>
              </w:rPr>
              <w:fldChar w:fldCharType="begin"/>
            </w:r>
            <w:r w:rsidR="007A175B">
              <w:rPr>
                <w:noProof/>
                <w:webHidden/>
              </w:rPr>
              <w:instrText xml:space="preserve"> PAGEREF _Toc513557818 \h </w:instrText>
            </w:r>
            <w:r w:rsidR="007A175B">
              <w:rPr>
                <w:noProof/>
                <w:webHidden/>
              </w:rPr>
            </w:r>
            <w:r w:rsidR="007A175B">
              <w:rPr>
                <w:noProof/>
                <w:webHidden/>
              </w:rPr>
              <w:fldChar w:fldCharType="separate"/>
            </w:r>
            <w:r w:rsidR="007A175B">
              <w:rPr>
                <w:noProof/>
                <w:webHidden/>
              </w:rPr>
              <w:t>42</w:t>
            </w:r>
            <w:r w:rsidR="007A175B">
              <w:rPr>
                <w:noProof/>
                <w:webHidden/>
              </w:rPr>
              <w:fldChar w:fldCharType="end"/>
            </w:r>
          </w:hyperlink>
        </w:p>
        <w:p w14:paraId="19203145"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19" w:history="1">
            <w:r w:rsidR="007A175B" w:rsidRPr="00D65E26">
              <w:rPr>
                <w:rStyle w:val="Hyperlink"/>
                <w:noProof/>
              </w:rPr>
              <w:t>8.5.</w:t>
            </w:r>
            <w:r w:rsidR="007A175B">
              <w:rPr>
                <w:rFonts w:asciiTheme="minorHAnsi" w:eastAsiaTheme="minorEastAsia" w:hAnsiTheme="minorHAnsi" w:cstheme="minorBidi"/>
                <w:noProof/>
                <w:lang w:eastAsia="en-AU"/>
              </w:rPr>
              <w:tab/>
            </w:r>
            <w:r w:rsidR="007A175B" w:rsidRPr="00D65E26">
              <w:rPr>
                <w:rStyle w:val="Hyperlink"/>
                <w:noProof/>
              </w:rPr>
              <w:t>Post-marketing experience</w:t>
            </w:r>
            <w:r w:rsidR="007A175B">
              <w:rPr>
                <w:noProof/>
                <w:webHidden/>
              </w:rPr>
              <w:tab/>
            </w:r>
            <w:r w:rsidR="007A175B">
              <w:rPr>
                <w:noProof/>
                <w:webHidden/>
              </w:rPr>
              <w:fldChar w:fldCharType="begin"/>
            </w:r>
            <w:r w:rsidR="007A175B">
              <w:rPr>
                <w:noProof/>
                <w:webHidden/>
              </w:rPr>
              <w:instrText xml:space="preserve"> PAGEREF _Toc513557819 \h </w:instrText>
            </w:r>
            <w:r w:rsidR="007A175B">
              <w:rPr>
                <w:noProof/>
                <w:webHidden/>
              </w:rPr>
            </w:r>
            <w:r w:rsidR="007A175B">
              <w:rPr>
                <w:noProof/>
                <w:webHidden/>
              </w:rPr>
              <w:fldChar w:fldCharType="separate"/>
            </w:r>
            <w:r w:rsidR="007A175B">
              <w:rPr>
                <w:noProof/>
                <w:webHidden/>
              </w:rPr>
              <w:t>45</w:t>
            </w:r>
            <w:r w:rsidR="007A175B">
              <w:rPr>
                <w:noProof/>
                <w:webHidden/>
              </w:rPr>
              <w:fldChar w:fldCharType="end"/>
            </w:r>
          </w:hyperlink>
        </w:p>
        <w:p w14:paraId="030EEE40"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20" w:history="1">
            <w:r w:rsidR="007A175B" w:rsidRPr="00D65E26">
              <w:rPr>
                <w:rStyle w:val="Hyperlink"/>
                <w:noProof/>
              </w:rPr>
              <w:t>8.6.</w:t>
            </w:r>
            <w:r w:rsidR="007A175B">
              <w:rPr>
                <w:rFonts w:asciiTheme="minorHAnsi" w:eastAsiaTheme="minorEastAsia" w:hAnsiTheme="minorHAnsi" w:cstheme="minorBidi"/>
                <w:noProof/>
                <w:lang w:eastAsia="en-AU"/>
              </w:rPr>
              <w:tab/>
            </w:r>
            <w:r w:rsidR="007A175B" w:rsidRPr="00D65E26">
              <w:rPr>
                <w:rStyle w:val="Hyperlink"/>
                <w:noProof/>
              </w:rPr>
              <w:t>Safety issues with the potential for major regulatory impact</w:t>
            </w:r>
            <w:r w:rsidR="007A175B">
              <w:rPr>
                <w:noProof/>
                <w:webHidden/>
              </w:rPr>
              <w:tab/>
            </w:r>
            <w:r w:rsidR="007A175B">
              <w:rPr>
                <w:noProof/>
                <w:webHidden/>
              </w:rPr>
              <w:fldChar w:fldCharType="begin"/>
            </w:r>
            <w:r w:rsidR="007A175B">
              <w:rPr>
                <w:noProof/>
                <w:webHidden/>
              </w:rPr>
              <w:instrText xml:space="preserve"> PAGEREF _Toc513557820 \h </w:instrText>
            </w:r>
            <w:r w:rsidR="007A175B">
              <w:rPr>
                <w:noProof/>
                <w:webHidden/>
              </w:rPr>
            </w:r>
            <w:r w:rsidR="007A175B">
              <w:rPr>
                <w:noProof/>
                <w:webHidden/>
              </w:rPr>
              <w:fldChar w:fldCharType="separate"/>
            </w:r>
            <w:r w:rsidR="007A175B">
              <w:rPr>
                <w:noProof/>
                <w:webHidden/>
              </w:rPr>
              <w:t>47</w:t>
            </w:r>
            <w:r w:rsidR="007A175B">
              <w:rPr>
                <w:noProof/>
                <w:webHidden/>
              </w:rPr>
              <w:fldChar w:fldCharType="end"/>
            </w:r>
          </w:hyperlink>
        </w:p>
        <w:p w14:paraId="6ED6B9FB"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21" w:history="1">
            <w:r w:rsidR="007A175B" w:rsidRPr="00D65E26">
              <w:rPr>
                <w:rStyle w:val="Hyperlink"/>
                <w:noProof/>
              </w:rPr>
              <w:t>8.7.</w:t>
            </w:r>
            <w:r w:rsidR="007A175B">
              <w:rPr>
                <w:rFonts w:asciiTheme="minorHAnsi" w:eastAsiaTheme="minorEastAsia" w:hAnsiTheme="minorHAnsi" w:cstheme="minorBidi"/>
                <w:noProof/>
                <w:lang w:eastAsia="en-AU"/>
              </w:rPr>
              <w:tab/>
            </w:r>
            <w:r w:rsidR="007A175B" w:rsidRPr="00D65E26">
              <w:rPr>
                <w:rStyle w:val="Hyperlink"/>
                <w:noProof/>
              </w:rPr>
              <w:t>Other safety issues</w:t>
            </w:r>
            <w:r w:rsidR="007A175B">
              <w:rPr>
                <w:noProof/>
                <w:webHidden/>
              </w:rPr>
              <w:tab/>
            </w:r>
            <w:r w:rsidR="007A175B">
              <w:rPr>
                <w:noProof/>
                <w:webHidden/>
              </w:rPr>
              <w:fldChar w:fldCharType="begin"/>
            </w:r>
            <w:r w:rsidR="007A175B">
              <w:rPr>
                <w:noProof/>
                <w:webHidden/>
              </w:rPr>
              <w:instrText xml:space="preserve"> PAGEREF _Toc513557821 \h </w:instrText>
            </w:r>
            <w:r w:rsidR="007A175B">
              <w:rPr>
                <w:noProof/>
                <w:webHidden/>
              </w:rPr>
            </w:r>
            <w:r w:rsidR="007A175B">
              <w:rPr>
                <w:noProof/>
                <w:webHidden/>
              </w:rPr>
              <w:fldChar w:fldCharType="separate"/>
            </w:r>
            <w:r w:rsidR="007A175B">
              <w:rPr>
                <w:noProof/>
                <w:webHidden/>
              </w:rPr>
              <w:t>51</w:t>
            </w:r>
            <w:r w:rsidR="007A175B">
              <w:rPr>
                <w:noProof/>
                <w:webHidden/>
              </w:rPr>
              <w:fldChar w:fldCharType="end"/>
            </w:r>
          </w:hyperlink>
        </w:p>
        <w:p w14:paraId="3EA9BCE2"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22" w:history="1">
            <w:r w:rsidR="007A175B" w:rsidRPr="00D65E26">
              <w:rPr>
                <w:rStyle w:val="Hyperlink"/>
                <w:noProof/>
              </w:rPr>
              <w:t>8.8.</w:t>
            </w:r>
            <w:r w:rsidR="007A175B">
              <w:rPr>
                <w:rFonts w:asciiTheme="minorHAnsi" w:eastAsiaTheme="minorEastAsia" w:hAnsiTheme="minorHAnsi" w:cstheme="minorBidi"/>
                <w:noProof/>
                <w:lang w:eastAsia="en-AU"/>
              </w:rPr>
              <w:tab/>
            </w:r>
            <w:r w:rsidR="007A175B" w:rsidRPr="00D65E26">
              <w:rPr>
                <w:rStyle w:val="Hyperlink"/>
                <w:noProof/>
              </w:rPr>
              <w:t>Evaluator’s overall conclusions on clinical safety</w:t>
            </w:r>
            <w:r w:rsidR="007A175B">
              <w:rPr>
                <w:noProof/>
                <w:webHidden/>
              </w:rPr>
              <w:tab/>
            </w:r>
            <w:r w:rsidR="007A175B">
              <w:rPr>
                <w:noProof/>
                <w:webHidden/>
              </w:rPr>
              <w:fldChar w:fldCharType="begin"/>
            </w:r>
            <w:r w:rsidR="007A175B">
              <w:rPr>
                <w:noProof/>
                <w:webHidden/>
              </w:rPr>
              <w:instrText xml:space="preserve"> PAGEREF _Toc513557822 \h </w:instrText>
            </w:r>
            <w:r w:rsidR="007A175B">
              <w:rPr>
                <w:noProof/>
                <w:webHidden/>
              </w:rPr>
            </w:r>
            <w:r w:rsidR="007A175B">
              <w:rPr>
                <w:noProof/>
                <w:webHidden/>
              </w:rPr>
              <w:fldChar w:fldCharType="separate"/>
            </w:r>
            <w:r w:rsidR="007A175B">
              <w:rPr>
                <w:noProof/>
                <w:webHidden/>
              </w:rPr>
              <w:t>52</w:t>
            </w:r>
            <w:r w:rsidR="007A175B">
              <w:rPr>
                <w:noProof/>
                <w:webHidden/>
              </w:rPr>
              <w:fldChar w:fldCharType="end"/>
            </w:r>
          </w:hyperlink>
        </w:p>
        <w:p w14:paraId="10C00DAF" w14:textId="77777777" w:rsidR="007A175B" w:rsidRDefault="00863496">
          <w:pPr>
            <w:pStyle w:val="TOC2"/>
            <w:tabs>
              <w:tab w:val="left" w:pos="1100"/>
            </w:tabs>
            <w:rPr>
              <w:rFonts w:asciiTheme="minorHAnsi" w:eastAsiaTheme="minorEastAsia" w:hAnsiTheme="minorHAnsi" w:cstheme="minorBidi"/>
              <w:b w:val="0"/>
              <w:noProof/>
              <w:sz w:val="22"/>
              <w:lang w:eastAsia="en-AU"/>
            </w:rPr>
          </w:pPr>
          <w:hyperlink w:anchor="_Toc513557823" w:history="1">
            <w:r w:rsidR="007A175B" w:rsidRPr="00D65E26">
              <w:rPr>
                <w:rStyle w:val="Hyperlink"/>
                <w:noProof/>
              </w:rPr>
              <w:t>9.</w:t>
            </w:r>
            <w:r w:rsidR="007A175B">
              <w:rPr>
                <w:rFonts w:asciiTheme="minorHAnsi" w:eastAsiaTheme="minorEastAsia" w:hAnsiTheme="minorHAnsi" w:cstheme="minorBidi"/>
                <w:b w:val="0"/>
                <w:noProof/>
                <w:sz w:val="22"/>
                <w:lang w:eastAsia="en-AU"/>
              </w:rPr>
              <w:tab/>
            </w:r>
            <w:r w:rsidR="007A175B" w:rsidRPr="00D65E26">
              <w:rPr>
                <w:rStyle w:val="Hyperlink"/>
                <w:noProof/>
              </w:rPr>
              <w:t>First round benefit-risk assessment</w:t>
            </w:r>
            <w:r w:rsidR="007A175B">
              <w:rPr>
                <w:noProof/>
                <w:webHidden/>
              </w:rPr>
              <w:tab/>
            </w:r>
            <w:r w:rsidR="007A175B">
              <w:rPr>
                <w:noProof/>
                <w:webHidden/>
              </w:rPr>
              <w:fldChar w:fldCharType="begin"/>
            </w:r>
            <w:r w:rsidR="007A175B">
              <w:rPr>
                <w:noProof/>
                <w:webHidden/>
              </w:rPr>
              <w:instrText xml:space="preserve"> PAGEREF _Toc513557823 \h </w:instrText>
            </w:r>
            <w:r w:rsidR="007A175B">
              <w:rPr>
                <w:noProof/>
                <w:webHidden/>
              </w:rPr>
            </w:r>
            <w:r w:rsidR="007A175B">
              <w:rPr>
                <w:noProof/>
                <w:webHidden/>
              </w:rPr>
              <w:fldChar w:fldCharType="separate"/>
            </w:r>
            <w:r w:rsidR="007A175B">
              <w:rPr>
                <w:noProof/>
                <w:webHidden/>
              </w:rPr>
              <w:t>53</w:t>
            </w:r>
            <w:r w:rsidR="007A175B">
              <w:rPr>
                <w:noProof/>
                <w:webHidden/>
              </w:rPr>
              <w:fldChar w:fldCharType="end"/>
            </w:r>
          </w:hyperlink>
        </w:p>
        <w:p w14:paraId="32D9B569"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24" w:history="1">
            <w:r w:rsidR="007A175B" w:rsidRPr="00D65E26">
              <w:rPr>
                <w:rStyle w:val="Hyperlink"/>
                <w:noProof/>
              </w:rPr>
              <w:t>9.1.</w:t>
            </w:r>
            <w:r w:rsidR="007A175B">
              <w:rPr>
                <w:rFonts w:asciiTheme="minorHAnsi" w:eastAsiaTheme="minorEastAsia" w:hAnsiTheme="minorHAnsi" w:cstheme="minorBidi"/>
                <w:noProof/>
                <w:lang w:eastAsia="en-AU"/>
              </w:rPr>
              <w:tab/>
            </w:r>
            <w:r w:rsidR="007A175B" w:rsidRPr="00D65E26">
              <w:rPr>
                <w:rStyle w:val="Hyperlink"/>
                <w:noProof/>
              </w:rPr>
              <w:t>First round assessment of benefits</w:t>
            </w:r>
            <w:r w:rsidR="007A175B">
              <w:rPr>
                <w:noProof/>
                <w:webHidden/>
              </w:rPr>
              <w:tab/>
            </w:r>
            <w:r w:rsidR="007A175B">
              <w:rPr>
                <w:noProof/>
                <w:webHidden/>
              </w:rPr>
              <w:fldChar w:fldCharType="begin"/>
            </w:r>
            <w:r w:rsidR="007A175B">
              <w:rPr>
                <w:noProof/>
                <w:webHidden/>
              </w:rPr>
              <w:instrText xml:space="preserve"> PAGEREF _Toc513557824 \h </w:instrText>
            </w:r>
            <w:r w:rsidR="007A175B">
              <w:rPr>
                <w:noProof/>
                <w:webHidden/>
              </w:rPr>
            </w:r>
            <w:r w:rsidR="007A175B">
              <w:rPr>
                <w:noProof/>
                <w:webHidden/>
              </w:rPr>
              <w:fldChar w:fldCharType="separate"/>
            </w:r>
            <w:r w:rsidR="007A175B">
              <w:rPr>
                <w:noProof/>
                <w:webHidden/>
              </w:rPr>
              <w:t>53</w:t>
            </w:r>
            <w:r w:rsidR="007A175B">
              <w:rPr>
                <w:noProof/>
                <w:webHidden/>
              </w:rPr>
              <w:fldChar w:fldCharType="end"/>
            </w:r>
          </w:hyperlink>
        </w:p>
        <w:p w14:paraId="651157E1"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25" w:history="1">
            <w:r w:rsidR="007A175B" w:rsidRPr="00D65E26">
              <w:rPr>
                <w:rStyle w:val="Hyperlink"/>
                <w:noProof/>
              </w:rPr>
              <w:t>9.2.</w:t>
            </w:r>
            <w:r w:rsidR="007A175B">
              <w:rPr>
                <w:rFonts w:asciiTheme="minorHAnsi" w:eastAsiaTheme="minorEastAsia" w:hAnsiTheme="minorHAnsi" w:cstheme="minorBidi"/>
                <w:noProof/>
                <w:lang w:eastAsia="en-AU"/>
              </w:rPr>
              <w:tab/>
            </w:r>
            <w:r w:rsidR="007A175B" w:rsidRPr="00D65E26">
              <w:rPr>
                <w:rStyle w:val="Hyperlink"/>
                <w:noProof/>
              </w:rPr>
              <w:t>First round assessment of risks</w:t>
            </w:r>
            <w:r w:rsidR="007A175B">
              <w:rPr>
                <w:noProof/>
                <w:webHidden/>
              </w:rPr>
              <w:tab/>
            </w:r>
            <w:r w:rsidR="007A175B">
              <w:rPr>
                <w:noProof/>
                <w:webHidden/>
              </w:rPr>
              <w:fldChar w:fldCharType="begin"/>
            </w:r>
            <w:r w:rsidR="007A175B">
              <w:rPr>
                <w:noProof/>
                <w:webHidden/>
              </w:rPr>
              <w:instrText xml:space="preserve"> PAGEREF _Toc513557825 \h </w:instrText>
            </w:r>
            <w:r w:rsidR="007A175B">
              <w:rPr>
                <w:noProof/>
                <w:webHidden/>
              </w:rPr>
            </w:r>
            <w:r w:rsidR="007A175B">
              <w:rPr>
                <w:noProof/>
                <w:webHidden/>
              </w:rPr>
              <w:fldChar w:fldCharType="separate"/>
            </w:r>
            <w:r w:rsidR="007A175B">
              <w:rPr>
                <w:noProof/>
                <w:webHidden/>
              </w:rPr>
              <w:t>53</w:t>
            </w:r>
            <w:r w:rsidR="007A175B">
              <w:rPr>
                <w:noProof/>
                <w:webHidden/>
              </w:rPr>
              <w:fldChar w:fldCharType="end"/>
            </w:r>
          </w:hyperlink>
        </w:p>
        <w:p w14:paraId="656551AA"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26" w:history="1">
            <w:r w:rsidR="007A175B" w:rsidRPr="00D65E26">
              <w:rPr>
                <w:rStyle w:val="Hyperlink"/>
                <w:noProof/>
              </w:rPr>
              <w:t>9.3.</w:t>
            </w:r>
            <w:r w:rsidR="007A175B">
              <w:rPr>
                <w:rFonts w:asciiTheme="minorHAnsi" w:eastAsiaTheme="minorEastAsia" w:hAnsiTheme="minorHAnsi" w:cstheme="minorBidi"/>
                <w:noProof/>
                <w:lang w:eastAsia="en-AU"/>
              </w:rPr>
              <w:tab/>
            </w:r>
            <w:r w:rsidR="007A175B" w:rsidRPr="00D65E26">
              <w:rPr>
                <w:rStyle w:val="Hyperlink"/>
                <w:noProof/>
              </w:rPr>
              <w:t>First round assessment of benefit-risk balance</w:t>
            </w:r>
            <w:r w:rsidR="007A175B">
              <w:rPr>
                <w:noProof/>
                <w:webHidden/>
              </w:rPr>
              <w:tab/>
            </w:r>
            <w:r w:rsidR="007A175B">
              <w:rPr>
                <w:noProof/>
                <w:webHidden/>
              </w:rPr>
              <w:fldChar w:fldCharType="begin"/>
            </w:r>
            <w:r w:rsidR="007A175B">
              <w:rPr>
                <w:noProof/>
                <w:webHidden/>
              </w:rPr>
              <w:instrText xml:space="preserve"> PAGEREF _Toc513557826 \h </w:instrText>
            </w:r>
            <w:r w:rsidR="007A175B">
              <w:rPr>
                <w:noProof/>
                <w:webHidden/>
              </w:rPr>
            </w:r>
            <w:r w:rsidR="007A175B">
              <w:rPr>
                <w:noProof/>
                <w:webHidden/>
              </w:rPr>
              <w:fldChar w:fldCharType="separate"/>
            </w:r>
            <w:r w:rsidR="007A175B">
              <w:rPr>
                <w:noProof/>
                <w:webHidden/>
              </w:rPr>
              <w:t>54</w:t>
            </w:r>
            <w:r w:rsidR="007A175B">
              <w:rPr>
                <w:noProof/>
                <w:webHidden/>
              </w:rPr>
              <w:fldChar w:fldCharType="end"/>
            </w:r>
          </w:hyperlink>
        </w:p>
        <w:p w14:paraId="7AFADB6B" w14:textId="77777777" w:rsidR="007A175B" w:rsidRDefault="00863496">
          <w:pPr>
            <w:pStyle w:val="TOC2"/>
            <w:tabs>
              <w:tab w:val="left" w:pos="1320"/>
            </w:tabs>
            <w:rPr>
              <w:rFonts w:asciiTheme="minorHAnsi" w:eastAsiaTheme="minorEastAsia" w:hAnsiTheme="minorHAnsi" w:cstheme="minorBidi"/>
              <w:b w:val="0"/>
              <w:noProof/>
              <w:sz w:val="22"/>
              <w:lang w:eastAsia="en-AU"/>
            </w:rPr>
          </w:pPr>
          <w:hyperlink w:anchor="_Toc513557827" w:history="1">
            <w:r w:rsidR="007A175B" w:rsidRPr="00D65E26">
              <w:rPr>
                <w:rStyle w:val="Hyperlink"/>
                <w:noProof/>
              </w:rPr>
              <w:t>10.</w:t>
            </w:r>
            <w:r w:rsidR="007A175B">
              <w:rPr>
                <w:rFonts w:asciiTheme="minorHAnsi" w:eastAsiaTheme="minorEastAsia" w:hAnsiTheme="minorHAnsi" w:cstheme="minorBidi"/>
                <w:b w:val="0"/>
                <w:noProof/>
                <w:sz w:val="22"/>
                <w:lang w:eastAsia="en-AU"/>
              </w:rPr>
              <w:tab/>
            </w:r>
            <w:r w:rsidR="007A175B" w:rsidRPr="00D65E26">
              <w:rPr>
                <w:rStyle w:val="Hyperlink"/>
                <w:noProof/>
              </w:rPr>
              <w:t>First round recommendation regarding authorisation</w:t>
            </w:r>
            <w:r w:rsidR="007A175B">
              <w:rPr>
                <w:noProof/>
                <w:webHidden/>
              </w:rPr>
              <w:tab/>
            </w:r>
            <w:r w:rsidR="007A175B">
              <w:rPr>
                <w:noProof/>
                <w:webHidden/>
              </w:rPr>
              <w:fldChar w:fldCharType="begin"/>
            </w:r>
            <w:r w:rsidR="007A175B">
              <w:rPr>
                <w:noProof/>
                <w:webHidden/>
              </w:rPr>
              <w:instrText xml:space="preserve"> PAGEREF _Toc513557827 \h </w:instrText>
            </w:r>
            <w:r w:rsidR="007A175B">
              <w:rPr>
                <w:noProof/>
                <w:webHidden/>
              </w:rPr>
            </w:r>
            <w:r w:rsidR="007A175B">
              <w:rPr>
                <w:noProof/>
                <w:webHidden/>
              </w:rPr>
              <w:fldChar w:fldCharType="separate"/>
            </w:r>
            <w:r w:rsidR="007A175B">
              <w:rPr>
                <w:noProof/>
                <w:webHidden/>
              </w:rPr>
              <w:t>54</w:t>
            </w:r>
            <w:r w:rsidR="007A175B">
              <w:rPr>
                <w:noProof/>
                <w:webHidden/>
              </w:rPr>
              <w:fldChar w:fldCharType="end"/>
            </w:r>
          </w:hyperlink>
        </w:p>
        <w:p w14:paraId="04C090F6" w14:textId="77777777" w:rsidR="007A175B" w:rsidRDefault="00863496">
          <w:pPr>
            <w:pStyle w:val="TOC2"/>
            <w:tabs>
              <w:tab w:val="left" w:pos="1320"/>
            </w:tabs>
            <w:rPr>
              <w:rFonts w:asciiTheme="minorHAnsi" w:eastAsiaTheme="minorEastAsia" w:hAnsiTheme="minorHAnsi" w:cstheme="minorBidi"/>
              <w:b w:val="0"/>
              <w:noProof/>
              <w:sz w:val="22"/>
              <w:lang w:eastAsia="en-AU"/>
            </w:rPr>
          </w:pPr>
          <w:hyperlink w:anchor="_Toc513557828" w:history="1">
            <w:r w:rsidR="007A175B" w:rsidRPr="00D65E26">
              <w:rPr>
                <w:rStyle w:val="Hyperlink"/>
                <w:noProof/>
              </w:rPr>
              <w:t>11.</w:t>
            </w:r>
            <w:r w:rsidR="007A175B">
              <w:rPr>
                <w:rFonts w:asciiTheme="minorHAnsi" w:eastAsiaTheme="minorEastAsia" w:hAnsiTheme="minorHAnsi" w:cstheme="minorBidi"/>
                <w:b w:val="0"/>
                <w:noProof/>
                <w:sz w:val="22"/>
                <w:lang w:eastAsia="en-AU"/>
              </w:rPr>
              <w:tab/>
            </w:r>
            <w:r w:rsidR="007A175B" w:rsidRPr="00D65E26">
              <w:rPr>
                <w:rStyle w:val="Hyperlink"/>
                <w:noProof/>
              </w:rPr>
              <w:t>Clinical questions</w:t>
            </w:r>
            <w:r w:rsidR="007A175B">
              <w:rPr>
                <w:noProof/>
                <w:webHidden/>
              </w:rPr>
              <w:tab/>
            </w:r>
            <w:r w:rsidR="007A175B">
              <w:rPr>
                <w:noProof/>
                <w:webHidden/>
              </w:rPr>
              <w:fldChar w:fldCharType="begin"/>
            </w:r>
            <w:r w:rsidR="007A175B">
              <w:rPr>
                <w:noProof/>
                <w:webHidden/>
              </w:rPr>
              <w:instrText xml:space="preserve"> PAGEREF _Toc513557828 \h </w:instrText>
            </w:r>
            <w:r w:rsidR="007A175B">
              <w:rPr>
                <w:noProof/>
                <w:webHidden/>
              </w:rPr>
            </w:r>
            <w:r w:rsidR="007A175B">
              <w:rPr>
                <w:noProof/>
                <w:webHidden/>
              </w:rPr>
              <w:fldChar w:fldCharType="separate"/>
            </w:r>
            <w:r w:rsidR="007A175B">
              <w:rPr>
                <w:noProof/>
                <w:webHidden/>
              </w:rPr>
              <w:t>55</w:t>
            </w:r>
            <w:r w:rsidR="007A175B">
              <w:rPr>
                <w:noProof/>
                <w:webHidden/>
              </w:rPr>
              <w:fldChar w:fldCharType="end"/>
            </w:r>
          </w:hyperlink>
        </w:p>
        <w:p w14:paraId="6A85CEDC"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29" w:history="1">
            <w:r w:rsidR="007A175B" w:rsidRPr="00D65E26">
              <w:rPr>
                <w:rStyle w:val="Hyperlink"/>
                <w:noProof/>
              </w:rPr>
              <w:t>11.1.</w:t>
            </w:r>
            <w:r w:rsidR="007A175B">
              <w:rPr>
                <w:rFonts w:asciiTheme="minorHAnsi" w:eastAsiaTheme="minorEastAsia" w:hAnsiTheme="minorHAnsi" w:cstheme="minorBidi"/>
                <w:noProof/>
                <w:lang w:eastAsia="en-AU"/>
              </w:rPr>
              <w:tab/>
            </w:r>
            <w:r w:rsidR="007A175B" w:rsidRPr="00D65E26">
              <w:rPr>
                <w:rStyle w:val="Hyperlink"/>
                <w:noProof/>
              </w:rPr>
              <w:t>General questions</w:t>
            </w:r>
            <w:r w:rsidR="007A175B">
              <w:rPr>
                <w:noProof/>
                <w:webHidden/>
              </w:rPr>
              <w:tab/>
            </w:r>
            <w:r w:rsidR="007A175B">
              <w:rPr>
                <w:noProof/>
                <w:webHidden/>
              </w:rPr>
              <w:fldChar w:fldCharType="begin"/>
            </w:r>
            <w:r w:rsidR="007A175B">
              <w:rPr>
                <w:noProof/>
                <w:webHidden/>
              </w:rPr>
              <w:instrText xml:space="preserve"> PAGEREF _Toc513557829 \h </w:instrText>
            </w:r>
            <w:r w:rsidR="007A175B">
              <w:rPr>
                <w:noProof/>
                <w:webHidden/>
              </w:rPr>
            </w:r>
            <w:r w:rsidR="007A175B">
              <w:rPr>
                <w:noProof/>
                <w:webHidden/>
              </w:rPr>
              <w:fldChar w:fldCharType="separate"/>
            </w:r>
            <w:r w:rsidR="007A175B">
              <w:rPr>
                <w:noProof/>
                <w:webHidden/>
              </w:rPr>
              <w:t>55</w:t>
            </w:r>
            <w:r w:rsidR="007A175B">
              <w:rPr>
                <w:noProof/>
                <w:webHidden/>
              </w:rPr>
              <w:fldChar w:fldCharType="end"/>
            </w:r>
          </w:hyperlink>
        </w:p>
        <w:p w14:paraId="2A5DAF2E"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30" w:history="1">
            <w:r w:rsidR="007A175B" w:rsidRPr="00D65E26">
              <w:rPr>
                <w:rStyle w:val="Hyperlink"/>
                <w:noProof/>
              </w:rPr>
              <w:t>11.2.</w:t>
            </w:r>
            <w:r w:rsidR="007A175B">
              <w:rPr>
                <w:rFonts w:asciiTheme="minorHAnsi" w:eastAsiaTheme="minorEastAsia" w:hAnsiTheme="minorHAnsi" w:cstheme="minorBidi"/>
                <w:noProof/>
                <w:lang w:eastAsia="en-AU"/>
              </w:rPr>
              <w:tab/>
            </w:r>
            <w:r w:rsidR="007A175B" w:rsidRPr="00D65E26">
              <w:rPr>
                <w:rStyle w:val="Hyperlink"/>
                <w:noProof/>
              </w:rPr>
              <w:t>Pharmacokinetics</w:t>
            </w:r>
            <w:r w:rsidR="007A175B">
              <w:rPr>
                <w:noProof/>
                <w:webHidden/>
              </w:rPr>
              <w:tab/>
            </w:r>
            <w:r w:rsidR="007A175B">
              <w:rPr>
                <w:noProof/>
                <w:webHidden/>
              </w:rPr>
              <w:fldChar w:fldCharType="begin"/>
            </w:r>
            <w:r w:rsidR="007A175B">
              <w:rPr>
                <w:noProof/>
                <w:webHidden/>
              </w:rPr>
              <w:instrText xml:space="preserve"> PAGEREF _Toc513557830 \h </w:instrText>
            </w:r>
            <w:r w:rsidR="007A175B">
              <w:rPr>
                <w:noProof/>
                <w:webHidden/>
              </w:rPr>
            </w:r>
            <w:r w:rsidR="007A175B">
              <w:rPr>
                <w:noProof/>
                <w:webHidden/>
              </w:rPr>
              <w:fldChar w:fldCharType="separate"/>
            </w:r>
            <w:r w:rsidR="007A175B">
              <w:rPr>
                <w:noProof/>
                <w:webHidden/>
              </w:rPr>
              <w:t>55</w:t>
            </w:r>
            <w:r w:rsidR="007A175B">
              <w:rPr>
                <w:noProof/>
                <w:webHidden/>
              </w:rPr>
              <w:fldChar w:fldCharType="end"/>
            </w:r>
          </w:hyperlink>
        </w:p>
        <w:p w14:paraId="671648B5"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31" w:history="1">
            <w:r w:rsidR="007A175B" w:rsidRPr="00D65E26">
              <w:rPr>
                <w:rStyle w:val="Hyperlink"/>
                <w:noProof/>
              </w:rPr>
              <w:t>11.3.</w:t>
            </w:r>
            <w:r w:rsidR="007A175B">
              <w:rPr>
                <w:rFonts w:asciiTheme="minorHAnsi" w:eastAsiaTheme="minorEastAsia" w:hAnsiTheme="minorHAnsi" w:cstheme="minorBidi"/>
                <w:noProof/>
                <w:lang w:eastAsia="en-AU"/>
              </w:rPr>
              <w:tab/>
            </w:r>
            <w:r w:rsidR="007A175B" w:rsidRPr="00D65E26">
              <w:rPr>
                <w:rStyle w:val="Hyperlink"/>
                <w:noProof/>
              </w:rPr>
              <w:t>Efficacy</w:t>
            </w:r>
            <w:r w:rsidR="007A175B">
              <w:rPr>
                <w:noProof/>
                <w:webHidden/>
              </w:rPr>
              <w:tab/>
            </w:r>
            <w:r w:rsidR="007A175B">
              <w:rPr>
                <w:noProof/>
                <w:webHidden/>
              </w:rPr>
              <w:fldChar w:fldCharType="begin"/>
            </w:r>
            <w:r w:rsidR="007A175B">
              <w:rPr>
                <w:noProof/>
                <w:webHidden/>
              </w:rPr>
              <w:instrText xml:space="preserve"> PAGEREF _Toc513557831 \h </w:instrText>
            </w:r>
            <w:r w:rsidR="007A175B">
              <w:rPr>
                <w:noProof/>
                <w:webHidden/>
              </w:rPr>
            </w:r>
            <w:r w:rsidR="007A175B">
              <w:rPr>
                <w:noProof/>
                <w:webHidden/>
              </w:rPr>
              <w:fldChar w:fldCharType="separate"/>
            </w:r>
            <w:r w:rsidR="007A175B">
              <w:rPr>
                <w:noProof/>
                <w:webHidden/>
              </w:rPr>
              <w:t>55</w:t>
            </w:r>
            <w:r w:rsidR="007A175B">
              <w:rPr>
                <w:noProof/>
                <w:webHidden/>
              </w:rPr>
              <w:fldChar w:fldCharType="end"/>
            </w:r>
          </w:hyperlink>
        </w:p>
        <w:p w14:paraId="5CF02F27"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32" w:history="1">
            <w:r w:rsidR="007A175B" w:rsidRPr="00D65E26">
              <w:rPr>
                <w:rStyle w:val="Hyperlink"/>
                <w:noProof/>
              </w:rPr>
              <w:t>11.4.</w:t>
            </w:r>
            <w:r w:rsidR="007A175B">
              <w:rPr>
                <w:rFonts w:asciiTheme="minorHAnsi" w:eastAsiaTheme="minorEastAsia" w:hAnsiTheme="minorHAnsi" w:cstheme="minorBidi"/>
                <w:noProof/>
                <w:lang w:eastAsia="en-AU"/>
              </w:rPr>
              <w:tab/>
            </w:r>
            <w:r w:rsidR="007A175B" w:rsidRPr="00D65E26">
              <w:rPr>
                <w:rStyle w:val="Hyperlink"/>
                <w:noProof/>
              </w:rPr>
              <w:t>Safety</w:t>
            </w:r>
            <w:r w:rsidR="007A175B">
              <w:rPr>
                <w:noProof/>
                <w:webHidden/>
              </w:rPr>
              <w:tab/>
            </w:r>
            <w:r w:rsidR="007A175B">
              <w:rPr>
                <w:noProof/>
                <w:webHidden/>
              </w:rPr>
              <w:fldChar w:fldCharType="begin"/>
            </w:r>
            <w:r w:rsidR="007A175B">
              <w:rPr>
                <w:noProof/>
                <w:webHidden/>
              </w:rPr>
              <w:instrText xml:space="preserve"> PAGEREF _Toc513557832 \h </w:instrText>
            </w:r>
            <w:r w:rsidR="007A175B">
              <w:rPr>
                <w:noProof/>
                <w:webHidden/>
              </w:rPr>
            </w:r>
            <w:r w:rsidR="007A175B">
              <w:rPr>
                <w:noProof/>
                <w:webHidden/>
              </w:rPr>
              <w:fldChar w:fldCharType="separate"/>
            </w:r>
            <w:r w:rsidR="007A175B">
              <w:rPr>
                <w:noProof/>
                <w:webHidden/>
              </w:rPr>
              <w:t>55</w:t>
            </w:r>
            <w:r w:rsidR="007A175B">
              <w:rPr>
                <w:noProof/>
                <w:webHidden/>
              </w:rPr>
              <w:fldChar w:fldCharType="end"/>
            </w:r>
          </w:hyperlink>
        </w:p>
        <w:p w14:paraId="054DDE7D" w14:textId="77777777" w:rsidR="007A175B" w:rsidRDefault="00863496">
          <w:pPr>
            <w:pStyle w:val="TOC2"/>
            <w:tabs>
              <w:tab w:val="left" w:pos="1320"/>
            </w:tabs>
            <w:rPr>
              <w:rFonts w:asciiTheme="minorHAnsi" w:eastAsiaTheme="minorEastAsia" w:hAnsiTheme="minorHAnsi" w:cstheme="minorBidi"/>
              <w:b w:val="0"/>
              <w:noProof/>
              <w:sz w:val="22"/>
              <w:lang w:eastAsia="en-AU"/>
            </w:rPr>
          </w:pPr>
          <w:hyperlink w:anchor="_Toc513557833" w:history="1">
            <w:r w:rsidR="007A175B" w:rsidRPr="00D65E26">
              <w:rPr>
                <w:rStyle w:val="Hyperlink"/>
                <w:noProof/>
              </w:rPr>
              <w:t>12.</w:t>
            </w:r>
            <w:r w:rsidR="007A175B">
              <w:rPr>
                <w:rFonts w:asciiTheme="minorHAnsi" w:eastAsiaTheme="minorEastAsia" w:hAnsiTheme="minorHAnsi" w:cstheme="minorBidi"/>
                <w:b w:val="0"/>
                <w:noProof/>
                <w:sz w:val="22"/>
                <w:lang w:eastAsia="en-AU"/>
              </w:rPr>
              <w:tab/>
            </w:r>
            <w:r w:rsidR="007A175B" w:rsidRPr="00D65E26">
              <w:rPr>
                <w:rStyle w:val="Hyperlink"/>
                <w:noProof/>
              </w:rPr>
              <w:t>Second round evaluation of clinical data submitted in response to questions</w:t>
            </w:r>
            <w:r w:rsidR="007A175B">
              <w:rPr>
                <w:noProof/>
                <w:webHidden/>
              </w:rPr>
              <w:tab/>
            </w:r>
            <w:r w:rsidR="007A175B">
              <w:rPr>
                <w:noProof/>
                <w:webHidden/>
              </w:rPr>
              <w:fldChar w:fldCharType="begin"/>
            </w:r>
            <w:r w:rsidR="007A175B">
              <w:rPr>
                <w:noProof/>
                <w:webHidden/>
              </w:rPr>
              <w:instrText xml:space="preserve"> PAGEREF _Toc513557833 \h </w:instrText>
            </w:r>
            <w:r w:rsidR="007A175B">
              <w:rPr>
                <w:noProof/>
                <w:webHidden/>
              </w:rPr>
            </w:r>
            <w:r w:rsidR="007A175B">
              <w:rPr>
                <w:noProof/>
                <w:webHidden/>
              </w:rPr>
              <w:fldChar w:fldCharType="separate"/>
            </w:r>
            <w:r w:rsidR="007A175B">
              <w:rPr>
                <w:noProof/>
                <w:webHidden/>
              </w:rPr>
              <w:t>56</w:t>
            </w:r>
            <w:r w:rsidR="007A175B">
              <w:rPr>
                <w:noProof/>
                <w:webHidden/>
              </w:rPr>
              <w:fldChar w:fldCharType="end"/>
            </w:r>
          </w:hyperlink>
        </w:p>
        <w:p w14:paraId="175D036E"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34" w:history="1">
            <w:r w:rsidR="007A175B" w:rsidRPr="00D65E26">
              <w:rPr>
                <w:rStyle w:val="Hyperlink"/>
                <w:noProof/>
              </w:rPr>
              <w:t>12.1.</w:t>
            </w:r>
            <w:r w:rsidR="007A175B">
              <w:rPr>
                <w:rFonts w:asciiTheme="minorHAnsi" w:eastAsiaTheme="minorEastAsia" w:hAnsiTheme="minorHAnsi" w:cstheme="minorBidi"/>
                <w:noProof/>
                <w:lang w:eastAsia="en-AU"/>
              </w:rPr>
              <w:tab/>
            </w:r>
            <w:r w:rsidR="007A175B" w:rsidRPr="00D65E26">
              <w:rPr>
                <w:rStyle w:val="Hyperlink"/>
                <w:noProof/>
              </w:rPr>
              <w:t>General questions</w:t>
            </w:r>
            <w:r w:rsidR="007A175B">
              <w:rPr>
                <w:noProof/>
                <w:webHidden/>
              </w:rPr>
              <w:tab/>
            </w:r>
            <w:r w:rsidR="007A175B">
              <w:rPr>
                <w:noProof/>
                <w:webHidden/>
              </w:rPr>
              <w:fldChar w:fldCharType="begin"/>
            </w:r>
            <w:r w:rsidR="007A175B">
              <w:rPr>
                <w:noProof/>
                <w:webHidden/>
              </w:rPr>
              <w:instrText xml:space="preserve"> PAGEREF _Toc513557834 \h </w:instrText>
            </w:r>
            <w:r w:rsidR="007A175B">
              <w:rPr>
                <w:noProof/>
                <w:webHidden/>
              </w:rPr>
            </w:r>
            <w:r w:rsidR="007A175B">
              <w:rPr>
                <w:noProof/>
                <w:webHidden/>
              </w:rPr>
              <w:fldChar w:fldCharType="separate"/>
            </w:r>
            <w:r w:rsidR="007A175B">
              <w:rPr>
                <w:noProof/>
                <w:webHidden/>
              </w:rPr>
              <w:t>56</w:t>
            </w:r>
            <w:r w:rsidR="007A175B">
              <w:rPr>
                <w:noProof/>
                <w:webHidden/>
              </w:rPr>
              <w:fldChar w:fldCharType="end"/>
            </w:r>
          </w:hyperlink>
        </w:p>
        <w:p w14:paraId="66595845"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35" w:history="1">
            <w:r w:rsidR="007A175B" w:rsidRPr="00D65E26">
              <w:rPr>
                <w:rStyle w:val="Hyperlink"/>
                <w:noProof/>
              </w:rPr>
              <w:t>12.2.</w:t>
            </w:r>
            <w:r w:rsidR="007A175B">
              <w:rPr>
                <w:rFonts w:asciiTheme="minorHAnsi" w:eastAsiaTheme="minorEastAsia" w:hAnsiTheme="minorHAnsi" w:cstheme="minorBidi"/>
                <w:noProof/>
                <w:lang w:eastAsia="en-AU"/>
              </w:rPr>
              <w:tab/>
            </w:r>
            <w:r w:rsidR="007A175B" w:rsidRPr="00D65E26">
              <w:rPr>
                <w:rStyle w:val="Hyperlink"/>
                <w:noProof/>
              </w:rPr>
              <w:t>Pharmacokinetics</w:t>
            </w:r>
            <w:r w:rsidR="007A175B">
              <w:rPr>
                <w:noProof/>
                <w:webHidden/>
              </w:rPr>
              <w:tab/>
            </w:r>
            <w:r w:rsidR="007A175B">
              <w:rPr>
                <w:noProof/>
                <w:webHidden/>
              </w:rPr>
              <w:fldChar w:fldCharType="begin"/>
            </w:r>
            <w:r w:rsidR="007A175B">
              <w:rPr>
                <w:noProof/>
                <w:webHidden/>
              </w:rPr>
              <w:instrText xml:space="preserve"> PAGEREF _Toc513557835 \h </w:instrText>
            </w:r>
            <w:r w:rsidR="007A175B">
              <w:rPr>
                <w:noProof/>
                <w:webHidden/>
              </w:rPr>
            </w:r>
            <w:r w:rsidR="007A175B">
              <w:rPr>
                <w:noProof/>
                <w:webHidden/>
              </w:rPr>
              <w:fldChar w:fldCharType="separate"/>
            </w:r>
            <w:r w:rsidR="007A175B">
              <w:rPr>
                <w:noProof/>
                <w:webHidden/>
              </w:rPr>
              <w:t>67</w:t>
            </w:r>
            <w:r w:rsidR="007A175B">
              <w:rPr>
                <w:noProof/>
                <w:webHidden/>
              </w:rPr>
              <w:fldChar w:fldCharType="end"/>
            </w:r>
          </w:hyperlink>
        </w:p>
        <w:p w14:paraId="0C9C2995"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36" w:history="1">
            <w:r w:rsidR="007A175B" w:rsidRPr="00D65E26">
              <w:rPr>
                <w:rStyle w:val="Hyperlink"/>
                <w:noProof/>
              </w:rPr>
              <w:t>12.3.</w:t>
            </w:r>
            <w:r w:rsidR="007A175B">
              <w:rPr>
                <w:rFonts w:asciiTheme="minorHAnsi" w:eastAsiaTheme="minorEastAsia" w:hAnsiTheme="minorHAnsi" w:cstheme="minorBidi"/>
                <w:noProof/>
                <w:lang w:eastAsia="en-AU"/>
              </w:rPr>
              <w:tab/>
            </w:r>
            <w:r w:rsidR="007A175B" w:rsidRPr="00D65E26">
              <w:rPr>
                <w:rStyle w:val="Hyperlink"/>
                <w:noProof/>
              </w:rPr>
              <w:t>Efficacy</w:t>
            </w:r>
            <w:r w:rsidR="007A175B">
              <w:rPr>
                <w:noProof/>
                <w:webHidden/>
              </w:rPr>
              <w:tab/>
            </w:r>
            <w:r w:rsidR="007A175B">
              <w:rPr>
                <w:noProof/>
                <w:webHidden/>
              </w:rPr>
              <w:fldChar w:fldCharType="begin"/>
            </w:r>
            <w:r w:rsidR="007A175B">
              <w:rPr>
                <w:noProof/>
                <w:webHidden/>
              </w:rPr>
              <w:instrText xml:space="preserve"> PAGEREF _Toc513557836 \h </w:instrText>
            </w:r>
            <w:r w:rsidR="007A175B">
              <w:rPr>
                <w:noProof/>
                <w:webHidden/>
              </w:rPr>
            </w:r>
            <w:r w:rsidR="007A175B">
              <w:rPr>
                <w:noProof/>
                <w:webHidden/>
              </w:rPr>
              <w:fldChar w:fldCharType="separate"/>
            </w:r>
            <w:r w:rsidR="007A175B">
              <w:rPr>
                <w:noProof/>
                <w:webHidden/>
              </w:rPr>
              <w:t>67</w:t>
            </w:r>
            <w:r w:rsidR="007A175B">
              <w:rPr>
                <w:noProof/>
                <w:webHidden/>
              </w:rPr>
              <w:fldChar w:fldCharType="end"/>
            </w:r>
          </w:hyperlink>
        </w:p>
        <w:p w14:paraId="5DF3FCCA"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37" w:history="1">
            <w:r w:rsidR="007A175B" w:rsidRPr="00D65E26">
              <w:rPr>
                <w:rStyle w:val="Hyperlink"/>
                <w:noProof/>
              </w:rPr>
              <w:t>12.4.</w:t>
            </w:r>
            <w:r w:rsidR="007A175B">
              <w:rPr>
                <w:rFonts w:asciiTheme="minorHAnsi" w:eastAsiaTheme="minorEastAsia" w:hAnsiTheme="minorHAnsi" w:cstheme="minorBidi"/>
                <w:noProof/>
                <w:lang w:eastAsia="en-AU"/>
              </w:rPr>
              <w:tab/>
            </w:r>
            <w:r w:rsidR="007A175B" w:rsidRPr="00D65E26">
              <w:rPr>
                <w:rStyle w:val="Hyperlink"/>
                <w:noProof/>
              </w:rPr>
              <w:t>Safety</w:t>
            </w:r>
            <w:r w:rsidR="007A175B">
              <w:rPr>
                <w:noProof/>
                <w:webHidden/>
              </w:rPr>
              <w:tab/>
            </w:r>
            <w:r w:rsidR="007A175B">
              <w:rPr>
                <w:noProof/>
                <w:webHidden/>
              </w:rPr>
              <w:fldChar w:fldCharType="begin"/>
            </w:r>
            <w:r w:rsidR="007A175B">
              <w:rPr>
                <w:noProof/>
                <w:webHidden/>
              </w:rPr>
              <w:instrText xml:space="preserve"> PAGEREF _Toc513557837 \h </w:instrText>
            </w:r>
            <w:r w:rsidR="007A175B">
              <w:rPr>
                <w:noProof/>
                <w:webHidden/>
              </w:rPr>
            </w:r>
            <w:r w:rsidR="007A175B">
              <w:rPr>
                <w:noProof/>
                <w:webHidden/>
              </w:rPr>
              <w:fldChar w:fldCharType="separate"/>
            </w:r>
            <w:r w:rsidR="007A175B">
              <w:rPr>
                <w:noProof/>
                <w:webHidden/>
              </w:rPr>
              <w:t>78</w:t>
            </w:r>
            <w:r w:rsidR="007A175B">
              <w:rPr>
                <w:noProof/>
                <w:webHidden/>
              </w:rPr>
              <w:fldChar w:fldCharType="end"/>
            </w:r>
          </w:hyperlink>
        </w:p>
        <w:p w14:paraId="7435AC0B" w14:textId="77777777" w:rsidR="007A175B" w:rsidRDefault="00863496">
          <w:pPr>
            <w:pStyle w:val="TOC2"/>
            <w:tabs>
              <w:tab w:val="left" w:pos="1320"/>
            </w:tabs>
            <w:rPr>
              <w:rFonts w:asciiTheme="minorHAnsi" w:eastAsiaTheme="minorEastAsia" w:hAnsiTheme="minorHAnsi" w:cstheme="minorBidi"/>
              <w:b w:val="0"/>
              <w:noProof/>
              <w:sz w:val="22"/>
              <w:lang w:eastAsia="en-AU"/>
            </w:rPr>
          </w:pPr>
          <w:hyperlink w:anchor="_Toc513557838" w:history="1">
            <w:r w:rsidR="007A175B" w:rsidRPr="00D65E26">
              <w:rPr>
                <w:rStyle w:val="Hyperlink"/>
                <w:noProof/>
              </w:rPr>
              <w:t>13.</w:t>
            </w:r>
            <w:r w:rsidR="007A175B">
              <w:rPr>
                <w:rFonts w:asciiTheme="minorHAnsi" w:eastAsiaTheme="minorEastAsia" w:hAnsiTheme="minorHAnsi" w:cstheme="minorBidi"/>
                <w:b w:val="0"/>
                <w:noProof/>
                <w:sz w:val="22"/>
                <w:lang w:eastAsia="en-AU"/>
              </w:rPr>
              <w:tab/>
            </w:r>
            <w:r w:rsidR="007A175B" w:rsidRPr="00D65E26">
              <w:rPr>
                <w:rStyle w:val="Hyperlink"/>
                <w:noProof/>
              </w:rPr>
              <w:t>Second round benefit-risk assessment</w:t>
            </w:r>
            <w:r w:rsidR="007A175B">
              <w:rPr>
                <w:noProof/>
                <w:webHidden/>
              </w:rPr>
              <w:tab/>
            </w:r>
            <w:r w:rsidR="007A175B">
              <w:rPr>
                <w:noProof/>
                <w:webHidden/>
              </w:rPr>
              <w:fldChar w:fldCharType="begin"/>
            </w:r>
            <w:r w:rsidR="007A175B">
              <w:rPr>
                <w:noProof/>
                <w:webHidden/>
              </w:rPr>
              <w:instrText xml:space="preserve"> PAGEREF _Toc513557838 \h </w:instrText>
            </w:r>
            <w:r w:rsidR="007A175B">
              <w:rPr>
                <w:noProof/>
                <w:webHidden/>
              </w:rPr>
            </w:r>
            <w:r w:rsidR="007A175B">
              <w:rPr>
                <w:noProof/>
                <w:webHidden/>
              </w:rPr>
              <w:fldChar w:fldCharType="separate"/>
            </w:r>
            <w:r w:rsidR="007A175B">
              <w:rPr>
                <w:noProof/>
                <w:webHidden/>
              </w:rPr>
              <w:t>78</w:t>
            </w:r>
            <w:r w:rsidR="007A175B">
              <w:rPr>
                <w:noProof/>
                <w:webHidden/>
              </w:rPr>
              <w:fldChar w:fldCharType="end"/>
            </w:r>
          </w:hyperlink>
        </w:p>
        <w:p w14:paraId="4A1619F5"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39" w:history="1">
            <w:r w:rsidR="007A175B" w:rsidRPr="00D65E26">
              <w:rPr>
                <w:rStyle w:val="Hyperlink"/>
                <w:noProof/>
              </w:rPr>
              <w:t>13.1.</w:t>
            </w:r>
            <w:r w:rsidR="007A175B">
              <w:rPr>
                <w:rFonts w:asciiTheme="minorHAnsi" w:eastAsiaTheme="minorEastAsia" w:hAnsiTheme="minorHAnsi" w:cstheme="minorBidi"/>
                <w:noProof/>
                <w:lang w:eastAsia="en-AU"/>
              </w:rPr>
              <w:tab/>
            </w:r>
            <w:r w:rsidR="007A175B" w:rsidRPr="00D65E26">
              <w:rPr>
                <w:rStyle w:val="Hyperlink"/>
                <w:noProof/>
              </w:rPr>
              <w:t>Second round assessment of benefits</w:t>
            </w:r>
            <w:r w:rsidR="007A175B">
              <w:rPr>
                <w:noProof/>
                <w:webHidden/>
              </w:rPr>
              <w:tab/>
            </w:r>
            <w:r w:rsidR="007A175B">
              <w:rPr>
                <w:noProof/>
                <w:webHidden/>
              </w:rPr>
              <w:fldChar w:fldCharType="begin"/>
            </w:r>
            <w:r w:rsidR="007A175B">
              <w:rPr>
                <w:noProof/>
                <w:webHidden/>
              </w:rPr>
              <w:instrText xml:space="preserve"> PAGEREF _Toc513557839 \h </w:instrText>
            </w:r>
            <w:r w:rsidR="007A175B">
              <w:rPr>
                <w:noProof/>
                <w:webHidden/>
              </w:rPr>
            </w:r>
            <w:r w:rsidR="007A175B">
              <w:rPr>
                <w:noProof/>
                <w:webHidden/>
              </w:rPr>
              <w:fldChar w:fldCharType="separate"/>
            </w:r>
            <w:r w:rsidR="007A175B">
              <w:rPr>
                <w:noProof/>
                <w:webHidden/>
              </w:rPr>
              <w:t>78</w:t>
            </w:r>
            <w:r w:rsidR="007A175B">
              <w:rPr>
                <w:noProof/>
                <w:webHidden/>
              </w:rPr>
              <w:fldChar w:fldCharType="end"/>
            </w:r>
          </w:hyperlink>
        </w:p>
        <w:p w14:paraId="4CEE9E80"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40" w:history="1">
            <w:r w:rsidR="007A175B" w:rsidRPr="00D65E26">
              <w:rPr>
                <w:rStyle w:val="Hyperlink"/>
                <w:noProof/>
              </w:rPr>
              <w:t>13.2.</w:t>
            </w:r>
            <w:r w:rsidR="007A175B">
              <w:rPr>
                <w:rFonts w:asciiTheme="minorHAnsi" w:eastAsiaTheme="minorEastAsia" w:hAnsiTheme="minorHAnsi" w:cstheme="minorBidi"/>
                <w:noProof/>
                <w:lang w:eastAsia="en-AU"/>
              </w:rPr>
              <w:tab/>
            </w:r>
            <w:r w:rsidR="007A175B" w:rsidRPr="00D65E26">
              <w:rPr>
                <w:rStyle w:val="Hyperlink"/>
                <w:noProof/>
              </w:rPr>
              <w:t>Second round assessment of risks</w:t>
            </w:r>
            <w:r w:rsidR="007A175B">
              <w:rPr>
                <w:noProof/>
                <w:webHidden/>
              </w:rPr>
              <w:tab/>
            </w:r>
            <w:r w:rsidR="007A175B">
              <w:rPr>
                <w:noProof/>
                <w:webHidden/>
              </w:rPr>
              <w:fldChar w:fldCharType="begin"/>
            </w:r>
            <w:r w:rsidR="007A175B">
              <w:rPr>
                <w:noProof/>
                <w:webHidden/>
              </w:rPr>
              <w:instrText xml:space="preserve"> PAGEREF _Toc513557840 \h </w:instrText>
            </w:r>
            <w:r w:rsidR="007A175B">
              <w:rPr>
                <w:noProof/>
                <w:webHidden/>
              </w:rPr>
            </w:r>
            <w:r w:rsidR="007A175B">
              <w:rPr>
                <w:noProof/>
                <w:webHidden/>
              </w:rPr>
              <w:fldChar w:fldCharType="separate"/>
            </w:r>
            <w:r w:rsidR="007A175B">
              <w:rPr>
                <w:noProof/>
                <w:webHidden/>
              </w:rPr>
              <w:t>78</w:t>
            </w:r>
            <w:r w:rsidR="007A175B">
              <w:rPr>
                <w:noProof/>
                <w:webHidden/>
              </w:rPr>
              <w:fldChar w:fldCharType="end"/>
            </w:r>
          </w:hyperlink>
        </w:p>
        <w:p w14:paraId="79436DD0" w14:textId="77777777" w:rsidR="007A175B" w:rsidRDefault="00863496">
          <w:pPr>
            <w:pStyle w:val="TOC3"/>
            <w:tabs>
              <w:tab w:val="left" w:pos="1760"/>
            </w:tabs>
            <w:rPr>
              <w:rFonts w:asciiTheme="minorHAnsi" w:eastAsiaTheme="minorEastAsia" w:hAnsiTheme="minorHAnsi" w:cstheme="minorBidi"/>
              <w:noProof/>
              <w:lang w:eastAsia="en-AU"/>
            </w:rPr>
          </w:pPr>
          <w:hyperlink w:anchor="_Toc513557841" w:history="1">
            <w:r w:rsidR="007A175B" w:rsidRPr="00D65E26">
              <w:rPr>
                <w:rStyle w:val="Hyperlink"/>
                <w:noProof/>
              </w:rPr>
              <w:t>13.3.</w:t>
            </w:r>
            <w:r w:rsidR="007A175B">
              <w:rPr>
                <w:rFonts w:asciiTheme="minorHAnsi" w:eastAsiaTheme="minorEastAsia" w:hAnsiTheme="minorHAnsi" w:cstheme="minorBidi"/>
                <w:noProof/>
                <w:lang w:eastAsia="en-AU"/>
              </w:rPr>
              <w:tab/>
            </w:r>
            <w:r w:rsidR="007A175B" w:rsidRPr="00D65E26">
              <w:rPr>
                <w:rStyle w:val="Hyperlink"/>
                <w:noProof/>
              </w:rPr>
              <w:t>Second round assessment of benefit-risk balance</w:t>
            </w:r>
            <w:r w:rsidR="007A175B">
              <w:rPr>
                <w:noProof/>
                <w:webHidden/>
              </w:rPr>
              <w:tab/>
            </w:r>
            <w:r w:rsidR="007A175B">
              <w:rPr>
                <w:noProof/>
                <w:webHidden/>
              </w:rPr>
              <w:fldChar w:fldCharType="begin"/>
            </w:r>
            <w:r w:rsidR="007A175B">
              <w:rPr>
                <w:noProof/>
                <w:webHidden/>
              </w:rPr>
              <w:instrText xml:space="preserve"> PAGEREF _Toc513557841 \h </w:instrText>
            </w:r>
            <w:r w:rsidR="007A175B">
              <w:rPr>
                <w:noProof/>
                <w:webHidden/>
              </w:rPr>
            </w:r>
            <w:r w:rsidR="007A175B">
              <w:rPr>
                <w:noProof/>
                <w:webHidden/>
              </w:rPr>
              <w:fldChar w:fldCharType="separate"/>
            </w:r>
            <w:r w:rsidR="007A175B">
              <w:rPr>
                <w:noProof/>
                <w:webHidden/>
              </w:rPr>
              <w:t>79</w:t>
            </w:r>
            <w:r w:rsidR="007A175B">
              <w:rPr>
                <w:noProof/>
                <w:webHidden/>
              </w:rPr>
              <w:fldChar w:fldCharType="end"/>
            </w:r>
          </w:hyperlink>
        </w:p>
        <w:p w14:paraId="2AD8B22F" w14:textId="77777777" w:rsidR="007A175B" w:rsidRDefault="00863496">
          <w:pPr>
            <w:pStyle w:val="TOC2"/>
            <w:tabs>
              <w:tab w:val="left" w:pos="1320"/>
            </w:tabs>
            <w:rPr>
              <w:rFonts w:asciiTheme="minorHAnsi" w:eastAsiaTheme="minorEastAsia" w:hAnsiTheme="minorHAnsi" w:cstheme="minorBidi"/>
              <w:b w:val="0"/>
              <w:noProof/>
              <w:sz w:val="22"/>
              <w:lang w:eastAsia="en-AU"/>
            </w:rPr>
          </w:pPr>
          <w:hyperlink w:anchor="_Toc513557842" w:history="1">
            <w:r w:rsidR="007A175B" w:rsidRPr="00D65E26">
              <w:rPr>
                <w:rStyle w:val="Hyperlink"/>
                <w:noProof/>
              </w:rPr>
              <w:t>14.</w:t>
            </w:r>
            <w:r w:rsidR="007A175B">
              <w:rPr>
                <w:rFonts w:asciiTheme="minorHAnsi" w:eastAsiaTheme="minorEastAsia" w:hAnsiTheme="minorHAnsi" w:cstheme="minorBidi"/>
                <w:b w:val="0"/>
                <w:noProof/>
                <w:sz w:val="22"/>
                <w:lang w:eastAsia="en-AU"/>
              </w:rPr>
              <w:tab/>
            </w:r>
            <w:r w:rsidR="007A175B" w:rsidRPr="00D65E26">
              <w:rPr>
                <w:rStyle w:val="Hyperlink"/>
                <w:noProof/>
              </w:rPr>
              <w:t>Second round recommendation regarding authorisation</w:t>
            </w:r>
            <w:r w:rsidR="007A175B">
              <w:rPr>
                <w:noProof/>
                <w:webHidden/>
              </w:rPr>
              <w:tab/>
            </w:r>
            <w:r w:rsidR="007A175B">
              <w:rPr>
                <w:noProof/>
                <w:webHidden/>
              </w:rPr>
              <w:fldChar w:fldCharType="begin"/>
            </w:r>
            <w:r w:rsidR="007A175B">
              <w:rPr>
                <w:noProof/>
                <w:webHidden/>
              </w:rPr>
              <w:instrText xml:space="preserve"> PAGEREF _Toc513557842 \h </w:instrText>
            </w:r>
            <w:r w:rsidR="007A175B">
              <w:rPr>
                <w:noProof/>
                <w:webHidden/>
              </w:rPr>
            </w:r>
            <w:r w:rsidR="007A175B">
              <w:rPr>
                <w:noProof/>
                <w:webHidden/>
              </w:rPr>
              <w:fldChar w:fldCharType="separate"/>
            </w:r>
            <w:r w:rsidR="007A175B">
              <w:rPr>
                <w:noProof/>
                <w:webHidden/>
              </w:rPr>
              <w:t>79</w:t>
            </w:r>
            <w:r w:rsidR="007A175B">
              <w:rPr>
                <w:noProof/>
                <w:webHidden/>
              </w:rPr>
              <w:fldChar w:fldCharType="end"/>
            </w:r>
          </w:hyperlink>
        </w:p>
        <w:p w14:paraId="56388506" w14:textId="77777777" w:rsidR="007A175B" w:rsidRDefault="00863496">
          <w:pPr>
            <w:pStyle w:val="TOC2"/>
            <w:tabs>
              <w:tab w:val="left" w:pos="1320"/>
            </w:tabs>
            <w:rPr>
              <w:rFonts w:asciiTheme="minorHAnsi" w:eastAsiaTheme="minorEastAsia" w:hAnsiTheme="minorHAnsi" w:cstheme="minorBidi"/>
              <w:b w:val="0"/>
              <w:noProof/>
              <w:sz w:val="22"/>
              <w:lang w:eastAsia="en-AU"/>
            </w:rPr>
          </w:pPr>
          <w:hyperlink w:anchor="_Toc513557843" w:history="1">
            <w:r w:rsidR="007A175B" w:rsidRPr="00D65E26">
              <w:rPr>
                <w:rStyle w:val="Hyperlink"/>
                <w:noProof/>
              </w:rPr>
              <w:t>15.</w:t>
            </w:r>
            <w:r w:rsidR="007A175B">
              <w:rPr>
                <w:rFonts w:asciiTheme="minorHAnsi" w:eastAsiaTheme="minorEastAsia" w:hAnsiTheme="minorHAnsi" w:cstheme="minorBidi"/>
                <w:b w:val="0"/>
                <w:noProof/>
                <w:sz w:val="22"/>
                <w:lang w:eastAsia="en-AU"/>
              </w:rPr>
              <w:tab/>
            </w:r>
            <w:r w:rsidR="007A175B" w:rsidRPr="00D65E26">
              <w:rPr>
                <w:rStyle w:val="Hyperlink"/>
                <w:noProof/>
              </w:rPr>
              <w:t>References</w:t>
            </w:r>
            <w:r w:rsidR="007A175B">
              <w:rPr>
                <w:noProof/>
                <w:webHidden/>
              </w:rPr>
              <w:tab/>
            </w:r>
            <w:r w:rsidR="007A175B">
              <w:rPr>
                <w:noProof/>
                <w:webHidden/>
              </w:rPr>
              <w:fldChar w:fldCharType="begin"/>
            </w:r>
            <w:r w:rsidR="007A175B">
              <w:rPr>
                <w:noProof/>
                <w:webHidden/>
              </w:rPr>
              <w:instrText xml:space="preserve"> PAGEREF _Toc513557843 \h </w:instrText>
            </w:r>
            <w:r w:rsidR="007A175B">
              <w:rPr>
                <w:noProof/>
                <w:webHidden/>
              </w:rPr>
            </w:r>
            <w:r w:rsidR="007A175B">
              <w:rPr>
                <w:noProof/>
                <w:webHidden/>
              </w:rPr>
              <w:fldChar w:fldCharType="separate"/>
            </w:r>
            <w:r w:rsidR="007A175B">
              <w:rPr>
                <w:noProof/>
                <w:webHidden/>
              </w:rPr>
              <w:t>79</w:t>
            </w:r>
            <w:r w:rsidR="007A175B">
              <w:rPr>
                <w:noProof/>
                <w:webHidden/>
              </w:rPr>
              <w:fldChar w:fldCharType="end"/>
            </w:r>
          </w:hyperlink>
        </w:p>
        <w:p w14:paraId="522C993A" w14:textId="77777777" w:rsidR="003A7F6C" w:rsidRPr="00B811C6" w:rsidRDefault="004F4AF5" w:rsidP="00B811C6">
          <w:pPr>
            <w:pStyle w:val="TOC2"/>
          </w:pPr>
          <w:r>
            <w:fldChar w:fldCharType="end"/>
          </w:r>
        </w:p>
      </w:sdtContent>
    </w:sdt>
    <w:bookmarkStart w:id="2" w:name="_Toc314842482" w:displacedByCustomXml="prev"/>
    <w:p w14:paraId="522C993B" w14:textId="77777777" w:rsidR="00F6710E" w:rsidRPr="00F6710E" w:rsidRDefault="00586F98" w:rsidP="00C10435">
      <w:pPr>
        <w:pStyle w:val="Heading2"/>
        <w:pageBreakBefore/>
        <w:numPr>
          <w:ilvl w:val="0"/>
          <w:numId w:val="0"/>
        </w:numPr>
      </w:pPr>
      <w:bookmarkStart w:id="3" w:name="_Toc351716269"/>
      <w:bookmarkStart w:id="4" w:name="_Toc351718881"/>
      <w:bookmarkStart w:id="5" w:name="_Toc355338616"/>
      <w:bookmarkStart w:id="6" w:name="_Toc513557794"/>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RPr="00F6710E" w14:paraId="522C993E" w14:textId="77777777" w:rsidTr="00F671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522C993C" w14:textId="77777777" w:rsidR="00586F98" w:rsidRPr="00F6710E" w:rsidRDefault="00586F98" w:rsidP="00F6710E">
            <w:r w:rsidRPr="00F6710E">
              <w:t>Abbreviation</w:t>
            </w:r>
          </w:p>
        </w:tc>
        <w:tc>
          <w:tcPr>
            <w:tcW w:w="6911" w:type="dxa"/>
          </w:tcPr>
          <w:p w14:paraId="522C993D" w14:textId="77777777" w:rsidR="00586F98" w:rsidRPr="00F6710E" w:rsidRDefault="00586F98" w:rsidP="00F6710E">
            <w:pPr>
              <w:cnfStyle w:val="100000000000" w:firstRow="1" w:lastRow="0" w:firstColumn="0" w:lastColumn="0" w:oddVBand="0" w:evenVBand="0" w:oddHBand="0" w:evenHBand="0" w:firstRowFirstColumn="0" w:firstRowLastColumn="0" w:lastRowFirstColumn="0" w:lastRowLastColumn="0"/>
            </w:pPr>
            <w:r w:rsidRPr="00F6710E">
              <w:t>Meaning</w:t>
            </w:r>
          </w:p>
        </w:tc>
      </w:tr>
      <w:tr w:rsidR="00F6710E" w:rsidRPr="00F6710E" w14:paraId="522C9941"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3F" w14:textId="77777777" w:rsidR="00F6710E" w:rsidRPr="00F6710E" w:rsidRDefault="00F6710E" w:rsidP="00F6710E">
            <w:r w:rsidRPr="00F6710E">
              <w:t>ADA</w:t>
            </w:r>
          </w:p>
        </w:tc>
        <w:tc>
          <w:tcPr>
            <w:tcW w:w="6911" w:type="dxa"/>
          </w:tcPr>
          <w:p w14:paraId="522C9940"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anti-drug antibodies</w:t>
            </w:r>
          </w:p>
        </w:tc>
      </w:tr>
      <w:tr w:rsidR="00F6710E" w:rsidRPr="00F6710E" w14:paraId="522C9944"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42" w14:textId="77777777" w:rsidR="00F6710E" w:rsidRPr="00F6710E" w:rsidRDefault="00F6710E" w:rsidP="00F6710E">
            <w:r w:rsidRPr="00F6710E">
              <w:t>AE</w:t>
            </w:r>
          </w:p>
        </w:tc>
        <w:tc>
          <w:tcPr>
            <w:tcW w:w="6911" w:type="dxa"/>
          </w:tcPr>
          <w:p w14:paraId="522C9943"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adverse event</w:t>
            </w:r>
          </w:p>
        </w:tc>
      </w:tr>
      <w:tr w:rsidR="00F6710E" w:rsidRPr="00F6710E" w14:paraId="522C9947"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45" w14:textId="77777777" w:rsidR="00F6710E" w:rsidRPr="00F6710E" w:rsidRDefault="00F6710E" w:rsidP="00F6710E">
            <w:r w:rsidRPr="00F6710E">
              <w:t>AEOSI</w:t>
            </w:r>
          </w:p>
        </w:tc>
        <w:tc>
          <w:tcPr>
            <w:tcW w:w="6911" w:type="dxa"/>
          </w:tcPr>
          <w:p w14:paraId="522C9946"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adverse event of special interest</w:t>
            </w:r>
          </w:p>
        </w:tc>
      </w:tr>
      <w:tr w:rsidR="00F6710E" w:rsidRPr="00F6710E" w14:paraId="522C994A"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48" w14:textId="77777777" w:rsidR="00F6710E" w:rsidRPr="00F6710E" w:rsidRDefault="00F6710E" w:rsidP="00F6710E">
            <w:proofErr w:type="spellStart"/>
            <w:r w:rsidRPr="00F6710E">
              <w:t>APaT</w:t>
            </w:r>
            <w:proofErr w:type="spellEnd"/>
          </w:p>
        </w:tc>
        <w:tc>
          <w:tcPr>
            <w:tcW w:w="6911" w:type="dxa"/>
          </w:tcPr>
          <w:p w14:paraId="522C9949"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All patients as treated</w:t>
            </w:r>
          </w:p>
        </w:tc>
      </w:tr>
      <w:tr w:rsidR="00F6710E" w:rsidRPr="00F6710E" w14:paraId="522C994D"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4B" w14:textId="77777777" w:rsidR="00F6710E" w:rsidRPr="00F6710E" w:rsidRDefault="00A22931" w:rsidP="00F6710E">
            <w:proofErr w:type="spellStart"/>
            <w:r w:rsidRPr="009439B4">
              <w:t>AUC</w:t>
            </w:r>
            <w:r w:rsidRPr="00A22931">
              <w:rPr>
                <w:vertAlign w:val="subscript"/>
              </w:rPr>
              <w:t>ss</w:t>
            </w:r>
            <w:proofErr w:type="spellEnd"/>
          </w:p>
        </w:tc>
        <w:tc>
          <w:tcPr>
            <w:tcW w:w="6911" w:type="dxa"/>
          </w:tcPr>
          <w:p w14:paraId="522C994C"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Area under the time-concentration curve at steady state</w:t>
            </w:r>
          </w:p>
        </w:tc>
      </w:tr>
      <w:tr w:rsidR="00F6710E" w:rsidRPr="00F6710E" w14:paraId="522C9950"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4E" w14:textId="77777777" w:rsidR="00F6710E" w:rsidRPr="00F6710E" w:rsidRDefault="00F6710E" w:rsidP="00F6710E">
            <w:r w:rsidRPr="00F6710E">
              <w:t>ALK</w:t>
            </w:r>
          </w:p>
        </w:tc>
        <w:tc>
          <w:tcPr>
            <w:tcW w:w="6911" w:type="dxa"/>
          </w:tcPr>
          <w:p w14:paraId="522C994F"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Anaplastic lymphoma receptor tyrosine kinase</w:t>
            </w:r>
          </w:p>
        </w:tc>
      </w:tr>
      <w:tr w:rsidR="00F6710E" w:rsidRPr="00F6710E" w14:paraId="522C9953"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51" w14:textId="77777777" w:rsidR="00F6710E" w:rsidRPr="00F6710E" w:rsidRDefault="00A22931" w:rsidP="00F6710E">
            <w:proofErr w:type="spellStart"/>
            <w:r w:rsidRPr="009439B4">
              <w:t>C</w:t>
            </w:r>
            <w:r w:rsidRPr="00A22931">
              <w:rPr>
                <w:vertAlign w:val="subscript"/>
              </w:rPr>
              <w:t>max</w:t>
            </w:r>
            <w:proofErr w:type="spellEnd"/>
          </w:p>
        </w:tc>
        <w:tc>
          <w:tcPr>
            <w:tcW w:w="6911" w:type="dxa"/>
          </w:tcPr>
          <w:p w14:paraId="522C9952"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Maximal concentration</w:t>
            </w:r>
          </w:p>
        </w:tc>
      </w:tr>
      <w:tr w:rsidR="00F6710E" w:rsidRPr="00F6710E" w14:paraId="522C9956"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54" w14:textId="77777777" w:rsidR="00F6710E" w:rsidRPr="00F6710E" w:rsidRDefault="0042775A" w:rsidP="00F6710E">
            <w:proofErr w:type="spellStart"/>
            <w:r w:rsidRPr="00F5372F">
              <w:t>C</w:t>
            </w:r>
            <w:r w:rsidRPr="0042775A">
              <w:rPr>
                <w:vertAlign w:val="subscript"/>
              </w:rPr>
              <w:t>trough</w:t>
            </w:r>
            <w:proofErr w:type="spellEnd"/>
          </w:p>
        </w:tc>
        <w:tc>
          <w:tcPr>
            <w:tcW w:w="6911" w:type="dxa"/>
          </w:tcPr>
          <w:p w14:paraId="522C9955"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Trough concentration</w:t>
            </w:r>
          </w:p>
        </w:tc>
      </w:tr>
      <w:tr w:rsidR="00F6710E" w:rsidRPr="00F6710E" w14:paraId="522C9959"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57" w14:textId="77777777" w:rsidR="00F6710E" w:rsidRPr="00F6710E" w:rsidRDefault="00F6710E" w:rsidP="00F6710E">
            <w:r w:rsidRPr="00F6710E">
              <w:t>CSR</w:t>
            </w:r>
          </w:p>
        </w:tc>
        <w:tc>
          <w:tcPr>
            <w:tcW w:w="6911" w:type="dxa"/>
          </w:tcPr>
          <w:p w14:paraId="522C9958"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Clinical study report</w:t>
            </w:r>
          </w:p>
        </w:tc>
      </w:tr>
      <w:tr w:rsidR="00F6710E" w:rsidRPr="00F6710E" w14:paraId="522C995C"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5A" w14:textId="77777777" w:rsidR="00F6710E" w:rsidRPr="00F6710E" w:rsidRDefault="00F6710E" w:rsidP="00F6710E">
            <w:r w:rsidRPr="00F6710E">
              <w:t>CTCAE</w:t>
            </w:r>
          </w:p>
        </w:tc>
        <w:tc>
          <w:tcPr>
            <w:tcW w:w="6911" w:type="dxa"/>
          </w:tcPr>
          <w:p w14:paraId="522C995B"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Common terminology criteria for adverse events</w:t>
            </w:r>
          </w:p>
        </w:tc>
      </w:tr>
      <w:tr w:rsidR="00F6710E" w:rsidRPr="00F6710E" w14:paraId="522C995F"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5D" w14:textId="77777777" w:rsidR="00F6710E" w:rsidRPr="00F6710E" w:rsidRDefault="00F6710E" w:rsidP="00F6710E">
            <w:r w:rsidRPr="00F6710E">
              <w:t>CV</w:t>
            </w:r>
          </w:p>
        </w:tc>
        <w:tc>
          <w:tcPr>
            <w:tcW w:w="6911" w:type="dxa"/>
          </w:tcPr>
          <w:p w14:paraId="522C995E"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Coefficient of variation</w:t>
            </w:r>
          </w:p>
        </w:tc>
      </w:tr>
      <w:tr w:rsidR="00F6710E" w:rsidRPr="00F6710E" w14:paraId="522C9962"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60" w14:textId="77777777" w:rsidR="00F6710E" w:rsidRPr="00F6710E" w:rsidRDefault="00F6710E" w:rsidP="00F6710E">
            <w:r w:rsidRPr="00F6710E">
              <w:t>ECOG</w:t>
            </w:r>
          </w:p>
        </w:tc>
        <w:tc>
          <w:tcPr>
            <w:tcW w:w="6911" w:type="dxa"/>
          </w:tcPr>
          <w:p w14:paraId="522C9961"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Eastern Cooperative Oncology Group</w:t>
            </w:r>
          </w:p>
        </w:tc>
      </w:tr>
      <w:tr w:rsidR="00F6710E" w:rsidRPr="00F6710E" w14:paraId="522C9965"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63" w14:textId="77777777" w:rsidR="00F6710E" w:rsidRPr="00F6710E" w:rsidRDefault="00F6710E" w:rsidP="00F6710E">
            <w:r w:rsidRPr="00F6710E">
              <w:t>EGFR</w:t>
            </w:r>
          </w:p>
        </w:tc>
        <w:tc>
          <w:tcPr>
            <w:tcW w:w="6911" w:type="dxa"/>
          </w:tcPr>
          <w:p w14:paraId="522C9964"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endothelium growth factor receptor</w:t>
            </w:r>
          </w:p>
        </w:tc>
      </w:tr>
      <w:tr w:rsidR="00F6710E" w:rsidRPr="00F6710E" w14:paraId="522C9968"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66" w14:textId="77777777" w:rsidR="00F6710E" w:rsidRPr="00F6710E" w:rsidRDefault="00C10435" w:rsidP="00F6710E">
            <w:r>
              <w:t>EORTC</w:t>
            </w:r>
          </w:p>
        </w:tc>
        <w:tc>
          <w:tcPr>
            <w:tcW w:w="6911" w:type="dxa"/>
          </w:tcPr>
          <w:p w14:paraId="522C9967"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European Organization for Research and Treatment of Cancer</w:t>
            </w:r>
          </w:p>
        </w:tc>
      </w:tr>
      <w:tr w:rsidR="00F6710E" w:rsidRPr="00F6710E" w14:paraId="522C996B"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69" w14:textId="77777777" w:rsidR="00F6710E" w:rsidRPr="00F6710E" w:rsidRDefault="00F6710E" w:rsidP="00F6710E">
            <w:proofErr w:type="spellStart"/>
            <w:r w:rsidRPr="00F6710E">
              <w:t>HRQoL</w:t>
            </w:r>
            <w:proofErr w:type="spellEnd"/>
          </w:p>
        </w:tc>
        <w:tc>
          <w:tcPr>
            <w:tcW w:w="6911" w:type="dxa"/>
          </w:tcPr>
          <w:p w14:paraId="522C996A"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Health-related quality of life</w:t>
            </w:r>
          </w:p>
        </w:tc>
      </w:tr>
      <w:tr w:rsidR="00F6710E" w:rsidRPr="00F6710E" w14:paraId="522C996E"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6C" w14:textId="77777777" w:rsidR="00F6710E" w:rsidRPr="00F6710E" w:rsidRDefault="00F6710E" w:rsidP="00F6710E">
            <w:r w:rsidRPr="00F6710E">
              <w:t>IRC</w:t>
            </w:r>
          </w:p>
        </w:tc>
        <w:tc>
          <w:tcPr>
            <w:tcW w:w="6911" w:type="dxa"/>
          </w:tcPr>
          <w:p w14:paraId="522C996D"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Independent review committee</w:t>
            </w:r>
          </w:p>
        </w:tc>
      </w:tr>
      <w:tr w:rsidR="00F6710E" w:rsidRPr="00F6710E" w14:paraId="522C9971"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6F" w14:textId="77777777" w:rsidR="00F6710E" w:rsidRPr="00F6710E" w:rsidRDefault="00F6710E" w:rsidP="00F6710E">
            <w:r w:rsidRPr="00F6710E">
              <w:t>IV</w:t>
            </w:r>
          </w:p>
        </w:tc>
        <w:tc>
          <w:tcPr>
            <w:tcW w:w="6911" w:type="dxa"/>
          </w:tcPr>
          <w:p w14:paraId="522C9970"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intravenous</w:t>
            </w:r>
          </w:p>
        </w:tc>
      </w:tr>
      <w:tr w:rsidR="00F6710E" w:rsidRPr="00F6710E" w14:paraId="522C9974"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72" w14:textId="77777777" w:rsidR="00F6710E" w:rsidRPr="00F6710E" w:rsidRDefault="00F6710E" w:rsidP="00F6710E">
            <w:r w:rsidRPr="00F6710E">
              <w:t>NSCLC</w:t>
            </w:r>
          </w:p>
        </w:tc>
        <w:tc>
          <w:tcPr>
            <w:tcW w:w="6911" w:type="dxa"/>
          </w:tcPr>
          <w:p w14:paraId="522C9973"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 xml:space="preserve">non-small cell lung carcinoma </w:t>
            </w:r>
          </w:p>
        </w:tc>
      </w:tr>
      <w:tr w:rsidR="00F6710E" w:rsidRPr="00F6710E" w14:paraId="522C9977"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75" w14:textId="77777777" w:rsidR="00F6710E" w:rsidRPr="00F6710E" w:rsidRDefault="00F6710E" w:rsidP="00F6710E">
            <w:r w:rsidRPr="00F6710E">
              <w:t>ORR</w:t>
            </w:r>
          </w:p>
        </w:tc>
        <w:tc>
          <w:tcPr>
            <w:tcW w:w="6911" w:type="dxa"/>
          </w:tcPr>
          <w:p w14:paraId="522C9976"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overall response rate</w:t>
            </w:r>
          </w:p>
        </w:tc>
      </w:tr>
      <w:tr w:rsidR="00F6710E" w:rsidRPr="00F6710E" w14:paraId="522C997A"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78" w14:textId="77777777" w:rsidR="00F6710E" w:rsidRPr="00F6710E" w:rsidRDefault="00C10435" w:rsidP="00F6710E">
            <w:r>
              <w:t>OS</w:t>
            </w:r>
          </w:p>
        </w:tc>
        <w:tc>
          <w:tcPr>
            <w:tcW w:w="6911" w:type="dxa"/>
          </w:tcPr>
          <w:p w14:paraId="522C9979"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overall survival</w:t>
            </w:r>
          </w:p>
        </w:tc>
      </w:tr>
      <w:tr w:rsidR="00F6710E" w:rsidRPr="00F6710E" w14:paraId="522C997D"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7B" w14:textId="77777777" w:rsidR="00F6710E" w:rsidRPr="00F6710E" w:rsidRDefault="00F6710E" w:rsidP="00F6710E">
            <w:r w:rsidRPr="00F6710E">
              <w:t>PD-</w:t>
            </w:r>
            <w:r>
              <w:t>1</w:t>
            </w:r>
          </w:p>
        </w:tc>
        <w:tc>
          <w:tcPr>
            <w:tcW w:w="6911" w:type="dxa"/>
          </w:tcPr>
          <w:p w14:paraId="522C997C"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Programmed cell death 1</w:t>
            </w:r>
          </w:p>
        </w:tc>
      </w:tr>
      <w:tr w:rsidR="00F6710E" w:rsidRPr="00F6710E" w14:paraId="522C9980"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7E" w14:textId="77777777" w:rsidR="00F6710E" w:rsidRPr="00F6710E" w:rsidRDefault="00F6710E" w:rsidP="00F6710E">
            <w:r w:rsidRPr="00F6710E">
              <w:t>PD</w:t>
            </w:r>
          </w:p>
        </w:tc>
        <w:tc>
          <w:tcPr>
            <w:tcW w:w="6911" w:type="dxa"/>
          </w:tcPr>
          <w:p w14:paraId="522C997F"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Progression of disease</w:t>
            </w:r>
          </w:p>
        </w:tc>
      </w:tr>
      <w:tr w:rsidR="00F6710E" w:rsidRPr="00F6710E" w14:paraId="522C9983"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81" w14:textId="77777777" w:rsidR="00F6710E" w:rsidRPr="00F6710E" w:rsidRDefault="00F6710E" w:rsidP="00F6710E">
            <w:r w:rsidRPr="00F6710E">
              <w:t>PD-L1</w:t>
            </w:r>
          </w:p>
        </w:tc>
        <w:tc>
          <w:tcPr>
            <w:tcW w:w="6911" w:type="dxa"/>
          </w:tcPr>
          <w:p w14:paraId="522C9982"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Programmed cell death 1 ligand 1</w:t>
            </w:r>
          </w:p>
        </w:tc>
      </w:tr>
      <w:tr w:rsidR="00F6710E" w:rsidRPr="00F6710E" w14:paraId="522C9986"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84" w14:textId="77777777" w:rsidR="00F6710E" w:rsidRPr="00F6710E" w:rsidRDefault="00F6710E" w:rsidP="00F6710E">
            <w:r w:rsidRPr="00F6710E">
              <w:t>PD-L2</w:t>
            </w:r>
          </w:p>
        </w:tc>
        <w:tc>
          <w:tcPr>
            <w:tcW w:w="6911" w:type="dxa"/>
          </w:tcPr>
          <w:p w14:paraId="522C9985"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Programmed Cell death 1 ligand 2</w:t>
            </w:r>
          </w:p>
        </w:tc>
      </w:tr>
      <w:tr w:rsidR="00F6710E" w:rsidRPr="00F6710E" w14:paraId="522C9989"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87" w14:textId="77777777" w:rsidR="00F6710E" w:rsidRPr="00F6710E" w:rsidRDefault="00C10435" w:rsidP="00F6710E">
            <w:r>
              <w:lastRenderedPageBreak/>
              <w:t>PFS</w:t>
            </w:r>
          </w:p>
        </w:tc>
        <w:tc>
          <w:tcPr>
            <w:tcW w:w="6911" w:type="dxa"/>
          </w:tcPr>
          <w:p w14:paraId="522C9988" w14:textId="77777777" w:rsidR="00F6710E" w:rsidRPr="00F6710E" w:rsidRDefault="00FC7793" w:rsidP="00F6710E">
            <w:pPr>
              <w:cnfStyle w:val="000000000000" w:firstRow="0" w:lastRow="0" w:firstColumn="0" w:lastColumn="0" w:oddVBand="0" w:evenVBand="0" w:oddHBand="0" w:evenHBand="0" w:firstRowFirstColumn="0" w:firstRowLastColumn="0" w:lastRowFirstColumn="0" w:lastRowLastColumn="0"/>
            </w:pPr>
            <w:r>
              <w:t>progression free</w:t>
            </w:r>
            <w:r w:rsidR="00F6710E" w:rsidRPr="00F6710E">
              <w:t xml:space="preserve"> survival</w:t>
            </w:r>
          </w:p>
        </w:tc>
      </w:tr>
      <w:tr w:rsidR="00F6710E" w:rsidRPr="00F6710E" w14:paraId="522C998C"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8A" w14:textId="77777777" w:rsidR="00F6710E" w:rsidRPr="00F6710E" w:rsidRDefault="00F6710E" w:rsidP="00F6710E">
            <w:r w:rsidRPr="00F6710E">
              <w:t>PI</w:t>
            </w:r>
          </w:p>
        </w:tc>
        <w:tc>
          <w:tcPr>
            <w:tcW w:w="6911" w:type="dxa"/>
          </w:tcPr>
          <w:p w14:paraId="522C998B"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Product information</w:t>
            </w:r>
          </w:p>
        </w:tc>
      </w:tr>
      <w:tr w:rsidR="00F6710E" w:rsidRPr="00F6710E" w14:paraId="522C998F"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8D" w14:textId="77777777" w:rsidR="00F6710E" w:rsidRPr="00F6710E" w:rsidRDefault="00F6710E" w:rsidP="00F6710E">
            <w:r w:rsidRPr="00F6710E">
              <w:t>PK</w:t>
            </w:r>
          </w:p>
        </w:tc>
        <w:tc>
          <w:tcPr>
            <w:tcW w:w="6911" w:type="dxa"/>
          </w:tcPr>
          <w:p w14:paraId="522C998E"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pharmacokinetic</w:t>
            </w:r>
          </w:p>
        </w:tc>
      </w:tr>
      <w:tr w:rsidR="00F6710E" w:rsidRPr="00F6710E" w14:paraId="522C9992"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90" w14:textId="77777777" w:rsidR="00F6710E" w:rsidRPr="00F6710E" w:rsidRDefault="00F6710E" w:rsidP="00F6710E">
            <w:r w:rsidRPr="00F6710E">
              <w:t>PRO</w:t>
            </w:r>
          </w:p>
        </w:tc>
        <w:tc>
          <w:tcPr>
            <w:tcW w:w="6911" w:type="dxa"/>
          </w:tcPr>
          <w:p w14:paraId="522C9991"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patient-reported outcomes</w:t>
            </w:r>
          </w:p>
        </w:tc>
      </w:tr>
      <w:tr w:rsidR="00F6710E" w:rsidRPr="00F6710E" w14:paraId="522C9995"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93" w14:textId="77777777" w:rsidR="00F6710E" w:rsidRPr="00F6710E" w:rsidRDefault="00F6710E" w:rsidP="00F6710E">
            <w:r w:rsidRPr="00F6710E">
              <w:t>Q2W</w:t>
            </w:r>
          </w:p>
        </w:tc>
        <w:tc>
          <w:tcPr>
            <w:tcW w:w="6911" w:type="dxa"/>
          </w:tcPr>
          <w:p w14:paraId="522C9994"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every two weeks</w:t>
            </w:r>
          </w:p>
        </w:tc>
      </w:tr>
      <w:tr w:rsidR="00F6710E" w:rsidRPr="00F6710E" w14:paraId="522C9998"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96" w14:textId="77777777" w:rsidR="00F6710E" w:rsidRPr="00F6710E" w:rsidRDefault="00F6710E" w:rsidP="00F6710E">
            <w:r w:rsidRPr="00F6710E">
              <w:t>Q3W</w:t>
            </w:r>
          </w:p>
        </w:tc>
        <w:tc>
          <w:tcPr>
            <w:tcW w:w="6911" w:type="dxa"/>
          </w:tcPr>
          <w:p w14:paraId="522C9997"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every three weeks</w:t>
            </w:r>
          </w:p>
        </w:tc>
      </w:tr>
      <w:tr w:rsidR="00F6710E" w:rsidRPr="00F6710E" w14:paraId="522C999B"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99" w14:textId="77777777" w:rsidR="00F6710E" w:rsidRPr="00F6710E" w:rsidRDefault="00F6710E" w:rsidP="00F6710E">
            <w:r w:rsidRPr="00F6710E">
              <w:t>RECIST</w:t>
            </w:r>
          </w:p>
        </w:tc>
        <w:tc>
          <w:tcPr>
            <w:tcW w:w="6911" w:type="dxa"/>
          </w:tcPr>
          <w:p w14:paraId="522C999A"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Response Criteria in Solid Tumours</w:t>
            </w:r>
          </w:p>
        </w:tc>
      </w:tr>
      <w:tr w:rsidR="00F6710E" w:rsidRPr="00F6710E" w14:paraId="522C999E"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9C" w14:textId="77777777" w:rsidR="00F6710E" w:rsidRPr="00F6710E" w:rsidRDefault="00F6710E" w:rsidP="00F6710E">
            <w:r w:rsidRPr="00F6710E">
              <w:t>SAE</w:t>
            </w:r>
          </w:p>
        </w:tc>
        <w:tc>
          <w:tcPr>
            <w:tcW w:w="6911" w:type="dxa"/>
          </w:tcPr>
          <w:p w14:paraId="522C999D"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serious adverse event</w:t>
            </w:r>
          </w:p>
        </w:tc>
      </w:tr>
      <w:tr w:rsidR="00F6710E" w:rsidRPr="00F6710E" w14:paraId="522C99A1"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9F" w14:textId="77777777" w:rsidR="00F6710E" w:rsidRPr="00F6710E" w:rsidRDefault="00F6710E" w:rsidP="00F6710E">
            <w:r w:rsidRPr="00F6710E">
              <w:t>SD</w:t>
            </w:r>
          </w:p>
        </w:tc>
        <w:tc>
          <w:tcPr>
            <w:tcW w:w="6911" w:type="dxa"/>
          </w:tcPr>
          <w:p w14:paraId="522C99A0"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standard deviation</w:t>
            </w:r>
          </w:p>
        </w:tc>
      </w:tr>
      <w:tr w:rsidR="00F6710E" w:rsidRPr="00F6710E" w14:paraId="522C99A4"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A2" w14:textId="77777777" w:rsidR="00F6710E" w:rsidRPr="00F6710E" w:rsidRDefault="00F6710E" w:rsidP="00F6710E">
            <w:r w:rsidRPr="00F6710E">
              <w:t>TGA</w:t>
            </w:r>
          </w:p>
        </w:tc>
        <w:tc>
          <w:tcPr>
            <w:tcW w:w="6911" w:type="dxa"/>
          </w:tcPr>
          <w:p w14:paraId="522C99A3"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Therapeutic Goods Administration</w:t>
            </w:r>
          </w:p>
        </w:tc>
      </w:tr>
      <w:tr w:rsidR="00F6710E" w:rsidRPr="00F6710E" w14:paraId="522C99A7"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A5" w14:textId="77777777" w:rsidR="00F6710E" w:rsidRPr="00F6710E" w:rsidRDefault="00F6710E" w:rsidP="00F6710E">
            <w:r w:rsidRPr="00F6710E">
              <w:t>TKI</w:t>
            </w:r>
          </w:p>
        </w:tc>
        <w:tc>
          <w:tcPr>
            <w:tcW w:w="6911" w:type="dxa"/>
          </w:tcPr>
          <w:p w14:paraId="522C99A6"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tyrosine kinase inhibitor</w:t>
            </w:r>
          </w:p>
        </w:tc>
      </w:tr>
      <w:tr w:rsidR="00F6710E" w:rsidRPr="00F6710E" w14:paraId="522C99AA" w14:textId="77777777" w:rsidTr="00F6710E">
        <w:tc>
          <w:tcPr>
            <w:cnfStyle w:val="001000000000" w:firstRow="0" w:lastRow="0" w:firstColumn="1" w:lastColumn="0" w:oddVBand="0" w:evenVBand="0" w:oddHBand="0" w:evenHBand="0" w:firstRowFirstColumn="0" w:firstRowLastColumn="0" w:lastRowFirstColumn="0" w:lastRowLastColumn="0"/>
            <w:tcW w:w="1890" w:type="dxa"/>
          </w:tcPr>
          <w:p w14:paraId="522C99A8" w14:textId="77777777" w:rsidR="00F6710E" w:rsidRPr="00F6710E" w:rsidRDefault="00F6710E" w:rsidP="00F6710E">
            <w:r w:rsidRPr="00F6710E">
              <w:t>TPS</w:t>
            </w:r>
          </w:p>
        </w:tc>
        <w:tc>
          <w:tcPr>
            <w:tcW w:w="6911" w:type="dxa"/>
          </w:tcPr>
          <w:p w14:paraId="522C99A9" w14:textId="77777777" w:rsidR="00F6710E" w:rsidRPr="00F6710E" w:rsidRDefault="00F6710E" w:rsidP="00F6710E">
            <w:pPr>
              <w:cnfStyle w:val="000000000000" w:firstRow="0" w:lastRow="0" w:firstColumn="0" w:lastColumn="0" w:oddVBand="0" w:evenVBand="0" w:oddHBand="0" w:evenHBand="0" w:firstRowFirstColumn="0" w:firstRowLastColumn="0" w:lastRowFirstColumn="0" w:lastRowLastColumn="0"/>
            </w:pPr>
            <w:r w:rsidRPr="00F6710E">
              <w:t>tumour proportion score</w:t>
            </w:r>
          </w:p>
        </w:tc>
      </w:tr>
    </w:tbl>
    <w:p w14:paraId="522C99AB" w14:textId="77777777" w:rsidR="0094614A" w:rsidRDefault="0094614A" w:rsidP="0043797D">
      <w:pPr>
        <w:pStyle w:val="Heading2"/>
        <w:pageBreakBefore/>
        <w:rPr>
          <w:lang w:eastAsia="en-AU"/>
        </w:rPr>
      </w:pPr>
      <w:bookmarkStart w:id="7" w:name="_Toc513557795"/>
      <w:bookmarkStart w:id="8" w:name="_Toc351718900"/>
      <w:bookmarkStart w:id="9" w:name="_Toc355338635"/>
      <w:r>
        <w:rPr>
          <w:lang w:eastAsia="en-AU"/>
        </w:rPr>
        <w:lastRenderedPageBreak/>
        <w:t>Introduction</w:t>
      </w:r>
      <w:bookmarkEnd w:id="7"/>
    </w:p>
    <w:p w14:paraId="522C99AC" w14:textId="22C09BD7" w:rsidR="00767CC3" w:rsidRDefault="00767CC3" w:rsidP="00767CC3">
      <w:r>
        <w:t>This is</w:t>
      </w:r>
      <w:r w:rsidRPr="002A39EB">
        <w:t xml:space="preserve"> a </w:t>
      </w:r>
      <w:r>
        <w:t>submission to extend the</w:t>
      </w:r>
      <w:r w:rsidR="00EF3E5B">
        <w:t xml:space="preserve"> current</w:t>
      </w:r>
      <w:r>
        <w:t xml:space="preserve"> indications</w:t>
      </w:r>
      <w:r w:rsidR="00EF3E5B">
        <w:t>.</w:t>
      </w:r>
    </w:p>
    <w:p w14:paraId="522C99AD" w14:textId="77777777" w:rsidR="00767CC3" w:rsidRDefault="00767CC3" w:rsidP="00767CC3">
      <w:r w:rsidRPr="00357123">
        <w:t xml:space="preserve">The </w:t>
      </w:r>
      <w:r>
        <w:t>approved</w:t>
      </w:r>
      <w:r w:rsidRPr="00357123">
        <w:t xml:space="preserve"> indication is</w:t>
      </w:r>
      <w:r>
        <w:t>:</w:t>
      </w:r>
    </w:p>
    <w:p w14:paraId="522C99AE" w14:textId="4A0169A2" w:rsidR="00767CC3" w:rsidRPr="00C10435" w:rsidRDefault="00EF3E5B" w:rsidP="007C51B3">
      <w:pPr>
        <w:ind w:left="1138"/>
        <w:rPr>
          <w:i/>
          <w:lang w:eastAsia="ja-JP"/>
        </w:rPr>
      </w:pPr>
      <w:r>
        <w:rPr>
          <w:i/>
          <w:lang w:eastAsia="ja-JP"/>
        </w:rPr>
        <w:t>‘</w:t>
      </w:r>
      <w:r w:rsidR="00767CC3" w:rsidRPr="00C10435">
        <w:rPr>
          <w:i/>
          <w:lang w:eastAsia="ja-JP"/>
        </w:rPr>
        <w:t>K</w:t>
      </w:r>
      <w:r w:rsidR="00C10435" w:rsidRPr="00C10435">
        <w:rPr>
          <w:i/>
          <w:lang w:eastAsia="ja-JP"/>
        </w:rPr>
        <w:t>eytruda</w:t>
      </w:r>
      <w:r w:rsidR="00767CC3" w:rsidRPr="00C10435">
        <w:rPr>
          <w:i/>
          <w:lang w:eastAsia="ja-JP"/>
        </w:rPr>
        <w:t xml:space="preserve"> (pembrolizumab) is indicated as monotherapy for the treatment of unresectable or metastatic melanoma in adults.</w:t>
      </w:r>
      <w:r>
        <w:rPr>
          <w:i/>
          <w:lang w:eastAsia="ja-JP"/>
        </w:rPr>
        <w:t>’</w:t>
      </w:r>
    </w:p>
    <w:p w14:paraId="522C99AF" w14:textId="77777777" w:rsidR="00767CC3" w:rsidRPr="00C31D1A" w:rsidRDefault="00767CC3" w:rsidP="00767CC3">
      <w:r>
        <w:t>The proposed additional indication is:</w:t>
      </w:r>
    </w:p>
    <w:p w14:paraId="522C99B0" w14:textId="74F0A0E5" w:rsidR="00767CC3" w:rsidRPr="00C10435" w:rsidRDefault="00EF3E5B" w:rsidP="007C51B3">
      <w:pPr>
        <w:ind w:left="1138"/>
        <w:rPr>
          <w:i/>
          <w:lang w:eastAsia="ja-JP"/>
        </w:rPr>
      </w:pPr>
      <w:r>
        <w:rPr>
          <w:i/>
          <w:lang w:eastAsia="ja-JP"/>
        </w:rPr>
        <w:t>‘</w:t>
      </w:r>
      <w:r w:rsidR="00C10435" w:rsidRPr="00C10435">
        <w:rPr>
          <w:i/>
          <w:lang w:eastAsia="ja-JP"/>
        </w:rPr>
        <w:t>Keytruda</w:t>
      </w:r>
      <w:r w:rsidR="00767CC3" w:rsidRPr="00C10435">
        <w:rPr>
          <w:i/>
          <w:lang w:eastAsia="ja-JP"/>
        </w:rPr>
        <w:t xml:space="preserve"> is indicated for the treatment of patients with advanced non-small cell lung carcinoma (NSCLC) whose tumours express PD-L1 and who have received </w:t>
      </w:r>
      <w:r w:rsidR="00D53B25">
        <w:rPr>
          <w:i/>
          <w:lang w:eastAsia="ja-JP"/>
        </w:rPr>
        <w:t>platinum containing</w:t>
      </w:r>
      <w:r w:rsidR="00767CC3" w:rsidRPr="00C10435">
        <w:rPr>
          <w:i/>
          <w:lang w:eastAsia="ja-JP"/>
        </w:rPr>
        <w:t xml:space="preserve"> chemotherapy. Patients with EGFR or ALK genomic tumour aberrations should also have received approved therapy for these aberrations prior to receiving </w:t>
      </w:r>
      <w:r w:rsidR="00C10435" w:rsidRPr="00C10435">
        <w:rPr>
          <w:i/>
          <w:lang w:eastAsia="ja-JP"/>
        </w:rPr>
        <w:t>Keytruda</w:t>
      </w:r>
      <w:r w:rsidR="00767CC3" w:rsidRPr="00C10435">
        <w:rPr>
          <w:i/>
          <w:lang w:eastAsia="ja-JP"/>
        </w:rPr>
        <w:t xml:space="preserve"> [see CLINICAL TRIALS].</w:t>
      </w:r>
      <w:r>
        <w:rPr>
          <w:i/>
          <w:lang w:eastAsia="ja-JP"/>
        </w:rPr>
        <w:t>’</w:t>
      </w:r>
    </w:p>
    <w:p w14:paraId="522C99B1" w14:textId="06981C2E" w:rsidR="00767CC3" w:rsidRDefault="00767CC3" w:rsidP="00767CC3">
      <w:pPr>
        <w:pStyle w:val="Comment"/>
        <w:rPr>
          <w:lang w:eastAsia="ja-JP"/>
        </w:rPr>
      </w:pPr>
      <w:r>
        <w:rPr>
          <w:b/>
          <w:lang w:eastAsia="ja-JP"/>
        </w:rPr>
        <w:t>C</w:t>
      </w:r>
      <w:r w:rsidRPr="00EA3918">
        <w:rPr>
          <w:b/>
          <w:lang w:eastAsia="ja-JP"/>
        </w:rPr>
        <w:t>omment</w:t>
      </w:r>
      <w:r>
        <w:rPr>
          <w:lang w:eastAsia="ja-JP"/>
        </w:rPr>
        <w:t>:</w:t>
      </w:r>
      <w:r w:rsidR="00EF3E5B" w:rsidRPr="007C51B3">
        <w:rPr>
          <w:b/>
          <w:lang w:eastAsia="ja-JP"/>
        </w:rPr>
        <w:t xml:space="preserve"> </w:t>
      </w:r>
      <w:r w:rsidRPr="00945A48">
        <w:rPr>
          <w:lang w:eastAsia="ja-JP"/>
        </w:rPr>
        <w:t>The proposed indication states ‘advanced non-small cell lung cancer’ as opposed to that</w:t>
      </w:r>
      <w:r>
        <w:rPr>
          <w:lang w:eastAsia="ja-JP"/>
        </w:rPr>
        <w:t xml:space="preserve"> currently</w:t>
      </w:r>
      <w:r w:rsidRPr="00945A48">
        <w:rPr>
          <w:lang w:eastAsia="ja-JP"/>
        </w:rPr>
        <w:t xml:space="preserve"> approved by the FDA which states ‘metastatic non-small cell lung can</w:t>
      </w:r>
      <w:r>
        <w:rPr>
          <w:lang w:eastAsia="ja-JP"/>
        </w:rPr>
        <w:t>cer’.</w:t>
      </w:r>
    </w:p>
    <w:p w14:paraId="522C99B2" w14:textId="6F6BB026" w:rsidR="00767CC3" w:rsidRPr="00767CC3" w:rsidRDefault="00767CC3" w:rsidP="00767CC3">
      <w:pPr>
        <w:ind w:left="1134"/>
      </w:pPr>
      <w:r w:rsidRPr="00767CC3">
        <w:t>The current FDA approved use of pembrolizumab in patients with NSCLC is restricted to patients with a</w:t>
      </w:r>
      <w:r w:rsidR="00D53B25">
        <w:t xml:space="preserve"> &gt;</w:t>
      </w:r>
      <w:r w:rsidR="00C10435">
        <w:t xml:space="preserve"> </w:t>
      </w:r>
      <w:r w:rsidRPr="00767CC3">
        <w:t xml:space="preserve">50% expression of PD-L1 on tumour cells. The proposed indication in Australia </w:t>
      </w:r>
      <w:r w:rsidR="00EF3E5B">
        <w:t>‘</w:t>
      </w:r>
      <w:r w:rsidRPr="00767CC3">
        <w:t>whose tumours express PD-L1…</w:t>
      </w:r>
      <w:r w:rsidR="00EF3E5B">
        <w:t>’</w:t>
      </w:r>
      <w:r w:rsidRPr="00767CC3">
        <w:t xml:space="preserve"> requires a cut</w:t>
      </w:r>
      <w:r w:rsidR="00C432EE">
        <w:noBreakHyphen/>
      </w:r>
      <w:r w:rsidRPr="00767CC3">
        <w:t>off of PD-L1 expression at the nominal value of 1%.</w:t>
      </w:r>
    </w:p>
    <w:p w14:paraId="522C99B3" w14:textId="0DAFFCD4" w:rsidR="00767CC3" w:rsidRPr="00767CC3" w:rsidRDefault="00767CC3" w:rsidP="00767CC3">
      <w:pPr>
        <w:ind w:left="1134"/>
      </w:pPr>
      <w:r w:rsidRPr="00767CC3">
        <w:t>It is noted that the proposed indication does not contain the FDA’s requirement for patients to be evaluated for treatment eligibility using an approved test. This information is, however, documented in the PI in the ‘Dosage and Administration’ section:</w:t>
      </w:r>
    </w:p>
    <w:p w14:paraId="522C99B4" w14:textId="3383186D" w:rsidR="00767CC3" w:rsidRPr="007C51B3" w:rsidRDefault="00EF3E5B" w:rsidP="00767CC3">
      <w:pPr>
        <w:ind w:left="1134"/>
        <w:rPr>
          <w:i/>
        </w:rPr>
      </w:pPr>
      <w:r w:rsidRPr="007C51B3">
        <w:rPr>
          <w:i/>
        </w:rPr>
        <w:t>‘</w:t>
      </w:r>
      <w:r w:rsidR="00767CC3" w:rsidRPr="007C51B3">
        <w:rPr>
          <w:i/>
        </w:rPr>
        <w:t>Patient Selection</w:t>
      </w:r>
    </w:p>
    <w:p w14:paraId="522C99B5" w14:textId="77777777" w:rsidR="00767CC3" w:rsidRPr="007C51B3" w:rsidRDefault="00767CC3" w:rsidP="00767CC3">
      <w:pPr>
        <w:ind w:left="1134"/>
        <w:rPr>
          <w:i/>
        </w:rPr>
      </w:pPr>
      <w:r w:rsidRPr="007C51B3">
        <w:rPr>
          <w:i/>
        </w:rPr>
        <w:t>Non-Small Cell Lung Carcinoma</w:t>
      </w:r>
    </w:p>
    <w:p w14:paraId="522C99B6" w14:textId="77777777" w:rsidR="00767CC3" w:rsidRPr="007C51B3" w:rsidRDefault="00767CC3" w:rsidP="00767CC3">
      <w:pPr>
        <w:ind w:left="1134"/>
        <w:rPr>
          <w:i/>
        </w:rPr>
      </w:pPr>
      <w:r w:rsidRPr="007C51B3">
        <w:rPr>
          <w:i/>
        </w:rPr>
        <w:t xml:space="preserve">Patients should be selected for treatment of advanced NSCLC with </w:t>
      </w:r>
      <w:r w:rsidR="00C10435" w:rsidRPr="007C51B3">
        <w:rPr>
          <w:i/>
        </w:rPr>
        <w:t>Keytruda</w:t>
      </w:r>
      <w:r w:rsidRPr="007C51B3">
        <w:rPr>
          <w:i/>
        </w:rPr>
        <w:t xml:space="preserve"> based on the presence of positive (tumour proportion score</w:t>
      </w:r>
      <w:r w:rsidR="00D53B25" w:rsidRPr="007C51B3">
        <w:rPr>
          <w:i/>
        </w:rPr>
        <w:t xml:space="preserve"> ≥ </w:t>
      </w:r>
      <w:r w:rsidRPr="007C51B3">
        <w:rPr>
          <w:i/>
        </w:rPr>
        <w:t xml:space="preserve">1%) </w:t>
      </w:r>
      <w:proofErr w:type="gramStart"/>
      <w:r w:rsidRPr="007C51B3">
        <w:rPr>
          <w:i/>
        </w:rPr>
        <w:t>PD-L1 expression [see CLINICAL TRIALS].</w:t>
      </w:r>
      <w:proofErr w:type="gramEnd"/>
    </w:p>
    <w:p w14:paraId="522C99B7" w14:textId="474CD08C" w:rsidR="00767CC3" w:rsidRPr="007C51B3" w:rsidRDefault="00767CC3" w:rsidP="00767CC3">
      <w:pPr>
        <w:ind w:left="1134"/>
        <w:rPr>
          <w:i/>
        </w:rPr>
      </w:pPr>
      <w:r w:rsidRPr="007C51B3">
        <w:rPr>
          <w:i/>
        </w:rPr>
        <w:t>Determination of PD-L1 expression for the treatment of advanced NSCLC should be performed using a v</w:t>
      </w:r>
      <w:bookmarkStart w:id="10" w:name="_Toc272414597"/>
      <w:bookmarkStart w:id="11" w:name="_Toc290846219"/>
      <w:bookmarkStart w:id="12" w:name="_Toc453755669"/>
      <w:r w:rsidRPr="007C51B3">
        <w:rPr>
          <w:i/>
        </w:rPr>
        <w:t>alidated test by laboratories.</w:t>
      </w:r>
      <w:r w:rsidR="00EF3E5B" w:rsidRPr="007C51B3">
        <w:rPr>
          <w:i/>
        </w:rPr>
        <w:t>’</w:t>
      </w:r>
    </w:p>
    <w:p w14:paraId="522C99B8" w14:textId="68E95CDE" w:rsidR="00767CC3" w:rsidRDefault="00C10435" w:rsidP="00767CC3">
      <w:pPr>
        <w:rPr>
          <w:lang w:eastAsia="ja-JP"/>
        </w:rPr>
      </w:pPr>
      <w:r>
        <w:rPr>
          <w:lang w:eastAsia="ja-JP"/>
        </w:rPr>
        <w:t>Keytruda</w:t>
      </w:r>
      <w:r w:rsidR="00767CC3">
        <w:rPr>
          <w:lang w:eastAsia="ja-JP"/>
        </w:rPr>
        <w:t>, pembrolizumab (previously known as MK-3475 or SCH 900475) is a highly selective human</w:t>
      </w:r>
      <w:r w:rsidR="00EF3E5B">
        <w:rPr>
          <w:lang w:eastAsia="ja-JP"/>
        </w:rPr>
        <w:t>ised</w:t>
      </w:r>
      <w:r w:rsidR="00767CC3">
        <w:rPr>
          <w:lang w:eastAsia="ja-JP"/>
        </w:rPr>
        <w:t xml:space="preserve"> monoclonal antibody (</w:t>
      </w:r>
      <w:proofErr w:type="spellStart"/>
      <w:r w:rsidR="00767CC3">
        <w:rPr>
          <w:lang w:eastAsia="ja-JP"/>
        </w:rPr>
        <w:t>mAb</w:t>
      </w:r>
      <w:proofErr w:type="spellEnd"/>
      <w:r w:rsidR="00767CC3">
        <w:rPr>
          <w:lang w:eastAsia="ja-JP"/>
        </w:rPr>
        <w:t>) that binds to human programmed cell death 1 (PD-1) and blocks the interaction between the PD-1 pathway receptor and its ligands, programmed cell death 1 ligand 1 (PD-L1) and programmed cell death 1 ligand 2 (PD-L2).</w:t>
      </w:r>
    </w:p>
    <w:p w14:paraId="522C99B9" w14:textId="77777777" w:rsidR="00767CC3" w:rsidRPr="00C10435" w:rsidRDefault="00767CC3" w:rsidP="00C10435">
      <w:pPr>
        <w:pStyle w:val="Heading3"/>
      </w:pPr>
      <w:bookmarkStart w:id="13" w:name="_Toc513557796"/>
      <w:r w:rsidRPr="00C10435">
        <w:t>Dosage forms and strengths</w:t>
      </w:r>
      <w:bookmarkEnd w:id="10"/>
      <w:bookmarkEnd w:id="11"/>
      <w:bookmarkEnd w:id="12"/>
      <w:bookmarkEnd w:id="13"/>
    </w:p>
    <w:p w14:paraId="522C99BA" w14:textId="77777777" w:rsidR="00767CC3" w:rsidRPr="00767CC3" w:rsidRDefault="00767CC3" w:rsidP="00767CC3">
      <w:r w:rsidRPr="00767CC3">
        <w:t>The following dosage forms and strengths are currently registered:</w:t>
      </w:r>
    </w:p>
    <w:p w14:paraId="522C99BB" w14:textId="77777777" w:rsidR="00767CC3" w:rsidRPr="00767CC3" w:rsidRDefault="00767CC3" w:rsidP="007C51B3">
      <w:pPr>
        <w:pStyle w:val="ListBullet"/>
      </w:pPr>
      <w:r w:rsidRPr="00767CC3">
        <w:t>Keytruda is presented as a 50 mg powder for solution for infusion (ARTG 226597)</w:t>
      </w:r>
      <w:r w:rsidR="00D53B25">
        <w:t>.</w:t>
      </w:r>
    </w:p>
    <w:p w14:paraId="522C99BC" w14:textId="77777777" w:rsidR="00767CC3" w:rsidRPr="00767CC3" w:rsidRDefault="00767CC3" w:rsidP="007C51B3">
      <w:pPr>
        <w:pStyle w:val="ListBullet"/>
      </w:pPr>
      <w:r w:rsidRPr="00767CC3">
        <w:t>No new dosage f</w:t>
      </w:r>
      <w:r>
        <w:t>orms or strengths are proposed.</w:t>
      </w:r>
    </w:p>
    <w:p w14:paraId="522C99BD" w14:textId="77777777" w:rsidR="00767CC3" w:rsidRPr="00767CC3" w:rsidRDefault="00767CC3" w:rsidP="00767CC3">
      <w:pPr>
        <w:pStyle w:val="Heading3"/>
      </w:pPr>
      <w:bookmarkStart w:id="14" w:name="_Toc272414598"/>
      <w:bookmarkStart w:id="15" w:name="_Toc290846220"/>
      <w:bookmarkStart w:id="16" w:name="_Toc453755670"/>
      <w:bookmarkStart w:id="17" w:name="_Toc513557797"/>
      <w:r w:rsidRPr="00767CC3">
        <w:t>Dosage and administration</w:t>
      </w:r>
      <w:bookmarkEnd w:id="14"/>
      <w:bookmarkEnd w:id="15"/>
      <w:bookmarkEnd w:id="16"/>
      <w:bookmarkEnd w:id="17"/>
    </w:p>
    <w:p w14:paraId="522C99BE" w14:textId="77777777" w:rsidR="00767CC3" w:rsidRPr="00767CC3" w:rsidRDefault="00767CC3" w:rsidP="00767CC3">
      <w:r w:rsidRPr="00767CC3">
        <w:t>As per the PI, the proposed dosing regimen for both melanoma and NSCLC is:</w:t>
      </w:r>
    </w:p>
    <w:p w14:paraId="522C99BF" w14:textId="213CFAC8" w:rsidR="00767CC3" w:rsidRPr="00767CC3" w:rsidRDefault="00EF3E5B" w:rsidP="007C51B3">
      <w:pPr>
        <w:ind w:left="1138"/>
      </w:pPr>
      <w:r>
        <w:lastRenderedPageBreak/>
        <w:t>‘</w:t>
      </w:r>
      <w:r w:rsidR="00767CC3" w:rsidRPr="00767CC3">
        <w:t xml:space="preserve">The recommended dose of </w:t>
      </w:r>
      <w:r w:rsidR="00C10435">
        <w:t>Keytruda</w:t>
      </w:r>
      <w:r w:rsidR="00767CC3" w:rsidRPr="00767CC3">
        <w:t xml:space="preserve"> is 2 mg/kg administered intravenously over 30 minutes every 3 weeks. Patients should be treated with </w:t>
      </w:r>
      <w:r w:rsidR="00C10435">
        <w:t>Keytruda</w:t>
      </w:r>
      <w:r w:rsidR="00767CC3" w:rsidRPr="00767CC3">
        <w:t xml:space="preserve"> until disease progres</w:t>
      </w:r>
      <w:r w:rsidR="00767CC3">
        <w:t>sion or unacceptable toxicity.</w:t>
      </w:r>
      <w:r>
        <w:t>’</w:t>
      </w:r>
    </w:p>
    <w:p w14:paraId="522C99C0" w14:textId="3B6D82DA" w:rsidR="00767CC3" w:rsidRPr="00767CC3" w:rsidRDefault="00767CC3" w:rsidP="00767CC3">
      <w:pPr>
        <w:pStyle w:val="Comment"/>
      </w:pPr>
      <w:r w:rsidRPr="00767CC3">
        <w:rPr>
          <w:b/>
        </w:rPr>
        <w:t>Comment</w:t>
      </w:r>
      <w:r w:rsidRPr="00EF3E5B">
        <w:rPr>
          <w:b/>
        </w:rPr>
        <w:t>:</w:t>
      </w:r>
      <w:r w:rsidR="00EF3E5B" w:rsidRPr="00EF3E5B">
        <w:rPr>
          <w:b/>
        </w:rPr>
        <w:t xml:space="preserve"> </w:t>
      </w:r>
      <w:r w:rsidRPr="00767CC3">
        <w:t>Of note, at the pre-submission meeting, the sponsor had discussed submitting a flat-dosing schedule for patients with NSCLC and melanoma. This proposal has not eventuated.</w:t>
      </w:r>
    </w:p>
    <w:p w14:paraId="522C99C1" w14:textId="77777777" w:rsidR="00586F98" w:rsidRDefault="00586F98" w:rsidP="006B4C50">
      <w:pPr>
        <w:pStyle w:val="Heading2"/>
      </w:pPr>
      <w:bookmarkStart w:id="18" w:name="_Toc513557798"/>
      <w:r w:rsidRPr="0094614A">
        <w:t>Clinical rationale</w:t>
      </w:r>
      <w:bookmarkEnd w:id="18"/>
    </w:p>
    <w:p w14:paraId="522C99C2" w14:textId="77777777" w:rsidR="00767CC3" w:rsidRPr="003D1BCE" w:rsidRDefault="00767CC3" w:rsidP="00767CC3">
      <w:r w:rsidRPr="003D1BCE">
        <w:t>Traditional treatment of non-small cell lung cancer (NSCLC) employed regimens of chemotherapy and/or radiotherapy depending upon the patient characteristics and tumour staging.</w:t>
      </w:r>
    </w:p>
    <w:p w14:paraId="522C99C3" w14:textId="77777777" w:rsidR="00767CC3" w:rsidRPr="003D1BCE" w:rsidRDefault="00767CC3" w:rsidP="00767CC3">
      <w:r w:rsidRPr="003D1BCE">
        <w:t>Programmed death receptor 1 (PD-1) is expressed by T cells, natural killer cells and some B cells, its action being to active T cells in peripheral tissues. PD-1 has two ligands, programmed death ligand-1 and -2, These ligands are major histocompatibility complex cell surface proteins, and have been identified as molecular target expressed on a number of types of tumours, including NSCLC. Pembrolizumab binds to PD-1, thereby blocking the PD-1:</w:t>
      </w:r>
      <w:r w:rsidR="00C10435">
        <w:t xml:space="preserve"> PD-L1 interaction.</w:t>
      </w:r>
    </w:p>
    <w:p w14:paraId="522C99C4" w14:textId="3D9DBEAE" w:rsidR="00767CC3" w:rsidRPr="003D1BCE" w:rsidRDefault="00767CC3" w:rsidP="00767CC3">
      <w:r w:rsidRPr="003D1BCE">
        <w:t xml:space="preserve">The expression of PD-L1 is </w:t>
      </w:r>
      <w:r w:rsidR="00EF3E5B">
        <w:t>‘</w:t>
      </w:r>
      <w:r w:rsidRPr="003D1BCE">
        <w:t>variable and dynamic</w:t>
      </w:r>
      <w:r w:rsidR="00EF3E5B">
        <w:t>’</w:t>
      </w:r>
      <w:r w:rsidRPr="003D1BCE">
        <w:t>, and in practical terms is thus a continuous variable</w:t>
      </w:r>
      <w:proofErr w:type="gramStart"/>
      <w:r w:rsidRPr="003D1BCE">
        <w:t>.</w:t>
      </w:r>
      <w:r w:rsidR="00C432EE" w:rsidRPr="007C51B3">
        <w:rPr>
          <w:vertAlign w:val="superscript"/>
        </w:rPr>
        <w:t>[</w:t>
      </w:r>
      <w:proofErr w:type="gramEnd"/>
      <w:r w:rsidRPr="003D1BCE">
        <w:rPr>
          <w:vertAlign w:val="superscript"/>
        </w:rPr>
        <w:t>1</w:t>
      </w:r>
      <w:r w:rsidR="00C432EE">
        <w:rPr>
          <w:vertAlign w:val="superscript"/>
        </w:rPr>
        <w:t>]</w:t>
      </w:r>
      <w:r w:rsidRPr="003D1BCE">
        <w:t xml:space="preserve"> Furthermore, within tumours, PD-L1 expression, as assessed by more than one assay, is heterogeneous.</w:t>
      </w:r>
      <w:r w:rsidR="00C432EE" w:rsidRPr="007C51B3">
        <w:rPr>
          <w:vertAlign w:val="superscript"/>
        </w:rPr>
        <w:t>[</w:t>
      </w:r>
      <w:r w:rsidRPr="003D1BCE">
        <w:rPr>
          <w:vertAlign w:val="superscript"/>
        </w:rPr>
        <w:t>2</w:t>
      </w:r>
      <w:r w:rsidR="00C432EE">
        <w:rPr>
          <w:vertAlign w:val="superscript"/>
        </w:rPr>
        <w:t>]</w:t>
      </w:r>
    </w:p>
    <w:p w14:paraId="522C99C5" w14:textId="78A12995" w:rsidR="00767CC3" w:rsidRPr="003D1BCE" w:rsidRDefault="00767CC3" w:rsidP="00767CC3">
      <w:r w:rsidRPr="003D1BCE">
        <w:t>The FDA has approved the use of pembrolizumab, registered under provisional licencing arrangements, pending review of this dossier of the confirmatory study, for patients with NSCLC whose tumours express PD-L1</w:t>
      </w:r>
      <w:r w:rsidR="00D53B25">
        <w:t xml:space="preserve"> &gt;</w:t>
      </w:r>
      <w:r w:rsidR="00C10435">
        <w:t xml:space="preserve"> </w:t>
      </w:r>
      <w:r w:rsidRPr="003D1BCE">
        <w:t>50% of the cells examined, when assessed using an FDA approved assay.</w:t>
      </w:r>
    </w:p>
    <w:p w14:paraId="522C99C6" w14:textId="77777777" w:rsidR="00767CC3" w:rsidRPr="003D1BCE" w:rsidRDefault="00767CC3" w:rsidP="00767CC3">
      <w:r w:rsidRPr="003D1BCE">
        <w:t>The TGA is currently evaluating the companion diagnostic test proposed for use with pembrolizumab in NSCLC. The current submission proposes an extension of the use of pembrolizumab beyond that approved by the FDA, in that, patients with PD-L1 expression of</w:t>
      </w:r>
      <w:r w:rsidR="00D53B25">
        <w:t xml:space="preserve"> &gt;</w:t>
      </w:r>
      <w:r w:rsidR="00C10435">
        <w:t> </w:t>
      </w:r>
      <w:r w:rsidRPr="003D1BCE">
        <w:t>1% of the cells examined are captured by the indication. Given the diagnostic test assay measures PD-L1 expression, this is a proxy for the PD-1 target of pembrolizumab.</w:t>
      </w:r>
    </w:p>
    <w:p w14:paraId="522C99C7" w14:textId="44D11B9E" w:rsidR="00767CC3" w:rsidRPr="00767CC3" w:rsidRDefault="00767CC3" w:rsidP="00767CC3">
      <w:pPr>
        <w:rPr>
          <w:vertAlign w:val="superscript"/>
        </w:rPr>
      </w:pPr>
      <w:r w:rsidRPr="003D1BCE">
        <w:t>Previous studies have demonstrated a variation in the efficacy of PD-L1 inhibition depending upon the level of expression of PD-L1</w:t>
      </w:r>
      <w:proofErr w:type="gramStart"/>
      <w:r w:rsidRPr="003D1BCE">
        <w:t>.</w:t>
      </w:r>
      <w:r w:rsidR="00C432EE" w:rsidRPr="007C51B3">
        <w:rPr>
          <w:vertAlign w:val="superscript"/>
        </w:rPr>
        <w:t>[</w:t>
      </w:r>
      <w:proofErr w:type="gramEnd"/>
      <w:r>
        <w:rPr>
          <w:vertAlign w:val="superscript"/>
        </w:rPr>
        <w:t>3,4</w:t>
      </w:r>
      <w:r w:rsidR="00C432EE">
        <w:rPr>
          <w:vertAlign w:val="superscript"/>
        </w:rPr>
        <w:t>]</w:t>
      </w:r>
    </w:p>
    <w:p w14:paraId="522C99C8" w14:textId="77777777" w:rsidR="00586F98" w:rsidRDefault="00586F98" w:rsidP="00586F98">
      <w:pPr>
        <w:pStyle w:val="Heading2"/>
        <w:rPr>
          <w:lang w:eastAsia="en-AU"/>
        </w:rPr>
      </w:pPr>
      <w:bookmarkStart w:id="19" w:name="_Toc513557799"/>
      <w:r>
        <w:rPr>
          <w:lang w:eastAsia="en-AU"/>
        </w:rPr>
        <w:t>Contents of the clinical dossier</w:t>
      </w:r>
      <w:bookmarkEnd w:id="8"/>
      <w:bookmarkEnd w:id="9"/>
      <w:bookmarkEnd w:id="19"/>
    </w:p>
    <w:p w14:paraId="522C99C9" w14:textId="77777777" w:rsidR="00586F98" w:rsidRDefault="00586F98" w:rsidP="00586F98">
      <w:pPr>
        <w:pStyle w:val="Heading3"/>
      </w:pPr>
      <w:bookmarkStart w:id="20" w:name="_Toc513557800"/>
      <w:r>
        <w:t>Scope of the clinical dossier</w:t>
      </w:r>
      <w:bookmarkEnd w:id="20"/>
    </w:p>
    <w:p w14:paraId="522C99CA" w14:textId="77777777" w:rsidR="00767CC3" w:rsidRPr="00D24BD9" w:rsidRDefault="00767CC3" w:rsidP="00767CC3">
      <w:r w:rsidRPr="00D24BD9">
        <w:t xml:space="preserve">The submission contained the </w:t>
      </w:r>
      <w:r>
        <w:t>following clinical information:</w:t>
      </w:r>
    </w:p>
    <w:p w14:paraId="522C99CB" w14:textId="1F866D3B" w:rsidR="00767CC3" w:rsidRPr="00767CC3" w:rsidRDefault="00767CC3" w:rsidP="00767CC3">
      <w:pPr>
        <w:pStyle w:val="ListBullet"/>
      </w:pPr>
      <w:r w:rsidRPr="00767CC3">
        <w:t xml:space="preserve">A pivotal full CSR for </w:t>
      </w:r>
      <w:r w:rsidR="00EF3E5B">
        <w:t>S</w:t>
      </w:r>
      <w:r w:rsidRPr="00767CC3">
        <w:t>tu</w:t>
      </w:r>
      <w:r w:rsidR="00C10435">
        <w:t>dy 3745-P010V01 (Keynote-010</w:t>
      </w:r>
      <w:r w:rsidR="00095A9C">
        <w:t xml:space="preserve"> trial</w:t>
      </w:r>
      <w:r w:rsidR="00C10435">
        <w:t xml:space="preserve">); </w:t>
      </w:r>
      <w:r w:rsidRPr="00767CC3">
        <w:t>A Phase II/III random</w:t>
      </w:r>
      <w:r w:rsidR="00EF3E5B">
        <w:t>ised</w:t>
      </w:r>
      <w:r w:rsidRPr="00767CC3">
        <w:t xml:space="preserve"> trial of two doses of Pembrolizumab versus Docetaxel in previously treated subjects with non-small cell lung cancer (NSCLC).</w:t>
      </w:r>
    </w:p>
    <w:p w14:paraId="522C99CC" w14:textId="0319342C" w:rsidR="00767CC3" w:rsidRPr="00767CC3" w:rsidRDefault="00767CC3" w:rsidP="00767CC3">
      <w:pPr>
        <w:pStyle w:val="ListBullet"/>
      </w:pPr>
      <w:r w:rsidRPr="00767CC3">
        <w:t xml:space="preserve">Interim CSR for </w:t>
      </w:r>
      <w:r w:rsidR="00095A9C">
        <w:t>S</w:t>
      </w:r>
      <w:r w:rsidRPr="00767CC3">
        <w:t>tudy 3475-P001V04 (Keynote-</w:t>
      </w:r>
      <w:r w:rsidR="00C10435">
        <w:t>001</w:t>
      </w:r>
      <w:r w:rsidR="00095A9C">
        <w:t xml:space="preserve"> trial</w:t>
      </w:r>
      <w:r w:rsidR="00C10435">
        <w:t>);</w:t>
      </w:r>
      <w:r w:rsidRPr="00767CC3">
        <w:t xml:space="preserve"> Phase I Study of Single agent MK-3475 in patients with progressive locally advanced or metastati</w:t>
      </w:r>
      <w:r w:rsidR="00C10435">
        <w:t>c carcinoma, melanoma, and non</w:t>
      </w:r>
      <w:r w:rsidR="00C10435">
        <w:noBreakHyphen/>
      </w:r>
      <w:r w:rsidRPr="00767CC3">
        <w:t>small cell lung cancer.</w:t>
      </w:r>
    </w:p>
    <w:p w14:paraId="522C99CD" w14:textId="00509991" w:rsidR="00767CC3" w:rsidRPr="00767CC3" w:rsidRDefault="00C10435" w:rsidP="00767CC3">
      <w:pPr>
        <w:pStyle w:val="ListBullet"/>
      </w:pPr>
      <w:r>
        <w:t xml:space="preserve">A full CSR for </w:t>
      </w:r>
      <w:r w:rsidR="00095A9C">
        <w:t>S</w:t>
      </w:r>
      <w:r>
        <w:t>tudy 3475-006;</w:t>
      </w:r>
      <w:r w:rsidR="00767CC3" w:rsidRPr="00767CC3">
        <w:t xml:space="preserve"> A multicentre</w:t>
      </w:r>
      <w:r>
        <w:t>, random</w:t>
      </w:r>
      <w:r w:rsidR="00EF3E5B">
        <w:t>ised</w:t>
      </w:r>
      <w:r>
        <w:t>, controlled, three arm, P</w:t>
      </w:r>
      <w:r w:rsidR="00767CC3" w:rsidRPr="00767CC3">
        <w:t xml:space="preserve">hase III study to evaluate the safety and efficacy of two dosing schedules of MK-3475 compared to </w:t>
      </w:r>
      <w:r w:rsidR="00095A9C">
        <w:t>i</w:t>
      </w:r>
      <w:r w:rsidR="00767CC3" w:rsidRPr="00767CC3">
        <w:t>pilimumab in patients with advanced melanoma.</w:t>
      </w:r>
    </w:p>
    <w:p w14:paraId="522C99CE" w14:textId="59B48031" w:rsidR="00767CC3" w:rsidRPr="00767CC3" w:rsidRDefault="00767CC3" w:rsidP="00767CC3">
      <w:pPr>
        <w:pStyle w:val="ListBullet"/>
      </w:pPr>
      <w:r w:rsidRPr="00767CC3">
        <w:lastRenderedPageBreak/>
        <w:t xml:space="preserve">Integrated summaries of efficacy and safety (combining data from patients with NSCLC and melanoma from </w:t>
      </w:r>
      <w:r w:rsidR="00095A9C">
        <w:t xml:space="preserve">the </w:t>
      </w:r>
      <w:r w:rsidRPr="00767CC3">
        <w:t>KEYNOTE-001,-002 and -006 and -010</w:t>
      </w:r>
      <w:r w:rsidR="00095A9C">
        <w:t xml:space="preserve"> trials</w:t>
      </w:r>
      <w:r w:rsidRPr="00767CC3">
        <w:t>)</w:t>
      </w:r>
      <w:r w:rsidR="00095A9C">
        <w:t>.</w:t>
      </w:r>
    </w:p>
    <w:p w14:paraId="522C99CF" w14:textId="1500D7CF" w:rsidR="00767CC3" w:rsidRPr="00767CC3" w:rsidRDefault="00767CC3" w:rsidP="00767CC3">
      <w:pPr>
        <w:pStyle w:val="ListBullet"/>
      </w:pPr>
      <w:r w:rsidRPr="00767CC3">
        <w:t>Population pharmacokinetic analyses</w:t>
      </w:r>
      <w:r w:rsidR="00095A9C">
        <w:t>.</w:t>
      </w:r>
    </w:p>
    <w:p w14:paraId="522C99D0" w14:textId="2F2009BF" w:rsidR="00767CC3" w:rsidRPr="00767CC3" w:rsidRDefault="00767CC3" w:rsidP="00767CC3">
      <w:pPr>
        <w:pStyle w:val="ListBullet"/>
      </w:pPr>
      <w:r w:rsidRPr="00767CC3">
        <w:t xml:space="preserve">Pooled </w:t>
      </w:r>
      <w:r w:rsidR="00095A9C">
        <w:t>p</w:t>
      </w:r>
      <w:r w:rsidRPr="00767CC3">
        <w:t xml:space="preserve">embrolizumab (MK-3475) </w:t>
      </w:r>
      <w:r w:rsidR="00095A9C" w:rsidRPr="00767CC3">
        <w:t>immunogenicity analysis in melanoma and non-small cell lung cancer patients from</w:t>
      </w:r>
      <w:r w:rsidRPr="00767CC3">
        <w:t xml:space="preserve"> Protocol 001, 002, 006 and 010</w:t>
      </w:r>
      <w:r w:rsidR="00095A9C">
        <w:t>.</w:t>
      </w:r>
    </w:p>
    <w:p w14:paraId="522C99D1" w14:textId="1737E5F7" w:rsidR="00767CC3" w:rsidRPr="00767CC3" w:rsidRDefault="00767CC3" w:rsidP="00767CC3">
      <w:pPr>
        <w:pStyle w:val="ListBullet"/>
      </w:pPr>
      <w:r w:rsidRPr="00767CC3">
        <w:t xml:space="preserve">Periodic Safety update </w:t>
      </w:r>
      <w:r w:rsidR="00D53B25">
        <w:t>Report (PSUR) for the period 4 September 2014 to 3</w:t>
      </w:r>
      <w:r w:rsidR="00095A9C">
        <w:t> </w:t>
      </w:r>
      <w:r w:rsidR="00D53B25">
        <w:t>September</w:t>
      </w:r>
      <w:r w:rsidR="00095A9C">
        <w:t> </w:t>
      </w:r>
      <w:r w:rsidRPr="00767CC3">
        <w:t>2015</w:t>
      </w:r>
    </w:p>
    <w:p w14:paraId="522C99D2" w14:textId="567DF491" w:rsidR="00767CC3" w:rsidRPr="00767CC3" w:rsidRDefault="00095A9C" w:rsidP="00767CC3">
      <w:pPr>
        <w:pStyle w:val="ListBullet"/>
      </w:pPr>
      <w:r>
        <w:t>The s</w:t>
      </w:r>
      <w:r w:rsidR="00767CC3" w:rsidRPr="00767CC3">
        <w:t>ponsor’s Clinical Overview, Summary of Clinical Efficacy, Summary of Clinical Safety, synopses of individual studies and literature references.</w:t>
      </w:r>
    </w:p>
    <w:p w14:paraId="522C99D3" w14:textId="77777777" w:rsidR="00586F98" w:rsidRDefault="00586F98" w:rsidP="00586F98">
      <w:pPr>
        <w:pStyle w:val="Heading3"/>
      </w:pPr>
      <w:bookmarkStart w:id="21" w:name="_Toc513557801"/>
      <w:r>
        <w:t>Paediatric data</w:t>
      </w:r>
      <w:bookmarkEnd w:id="21"/>
    </w:p>
    <w:p w14:paraId="522C99D4" w14:textId="77777777" w:rsidR="00767CC3" w:rsidRDefault="00767CC3" w:rsidP="00767CC3">
      <w:r>
        <w:t>The submission did not include paediatric data.</w:t>
      </w:r>
    </w:p>
    <w:p w14:paraId="522C99D5" w14:textId="77777777" w:rsidR="00586F98" w:rsidRDefault="00586F98" w:rsidP="00586F98">
      <w:pPr>
        <w:pStyle w:val="Heading3"/>
      </w:pPr>
      <w:bookmarkStart w:id="22" w:name="_Toc513557802"/>
      <w:r>
        <w:t>Good clinical practice</w:t>
      </w:r>
      <w:bookmarkEnd w:id="22"/>
    </w:p>
    <w:p w14:paraId="522C99D6" w14:textId="77777777" w:rsidR="00767CC3" w:rsidRDefault="00767CC3" w:rsidP="00767CC3">
      <w:bookmarkStart w:id="23" w:name="_Toc241374282"/>
      <w:bookmarkStart w:id="24" w:name="_Toc355338639"/>
      <w:r>
        <w:t>Each of the clinical study reports states that Good Clinical Practice guidance was adhered to.</w:t>
      </w:r>
    </w:p>
    <w:p w14:paraId="54F25DDC" w14:textId="77777777" w:rsidR="00863496" w:rsidRDefault="00586F98" w:rsidP="00586F98">
      <w:pPr>
        <w:pStyle w:val="Heading2"/>
      </w:pPr>
      <w:bookmarkStart w:id="25" w:name="_Toc513557803"/>
      <w:bookmarkEnd w:id="23"/>
      <w:r>
        <w:t>Pharmacokinetics</w:t>
      </w:r>
      <w:bookmarkEnd w:id="24"/>
      <w:bookmarkEnd w:id="25"/>
    </w:p>
    <w:p w14:paraId="522C99D8" w14:textId="43A6114C" w:rsidR="00767CC3" w:rsidRPr="00767CC3" w:rsidRDefault="00767CC3" w:rsidP="00767CC3">
      <w:pPr>
        <w:pStyle w:val="Heading3"/>
      </w:pPr>
      <w:bookmarkStart w:id="26" w:name="_Ref271017296"/>
      <w:bookmarkStart w:id="27" w:name="_Ref271018924"/>
      <w:bookmarkStart w:id="28" w:name="_Ref271018934"/>
      <w:bookmarkStart w:id="29" w:name="_Toc272414614"/>
      <w:bookmarkStart w:id="30" w:name="_Toc290846238"/>
      <w:bookmarkStart w:id="31" w:name="_Toc453755687"/>
      <w:bookmarkStart w:id="32" w:name="_Toc513557804"/>
      <w:r w:rsidRPr="00767CC3">
        <w:t>Studies</w:t>
      </w:r>
      <w:bookmarkEnd w:id="26"/>
      <w:bookmarkEnd w:id="27"/>
      <w:bookmarkEnd w:id="28"/>
      <w:r w:rsidRPr="00767CC3">
        <w:t xml:space="preserve"> providing pharmacokinetic data</w:t>
      </w:r>
      <w:bookmarkEnd w:id="29"/>
      <w:bookmarkEnd w:id="30"/>
      <w:bookmarkEnd w:id="31"/>
      <w:bookmarkEnd w:id="32"/>
    </w:p>
    <w:p w14:paraId="522C99D9" w14:textId="77777777" w:rsidR="00767CC3" w:rsidRPr="00767CC3" w:rsidRDefault="00767CC3" w:rsidP="00767CC3">
      <w:r w:rsidRPr="00767CC3">
        <w:t>Study P001V04 was a multi-part study:</w:t>
      </w:r>
    </w:p>
    <w:p w14:paraId="522C99DA" w14:textId="77777777" w:rsidR="00767CC3" w:rsidRPr="00767CC3" w:rsidRDefault="00767CC3" w:rsidP="007C51B3">
      <w:pPr>
        <w:pStyle w:val="ListBullet"/>
      </w:pPr>
      <w:r w:rsidRPr="00767CC3">
        <w:t xml:space="preserve">Part A used a traditional </w:t>
      </w:r>
      <w:r w:rsidR="00C10435">
        <w:t>3</w:t>
      </w:r>
      <w:r w:rsidR="00D53B25">
        <w:t xml:space="preserve"> </w:t>
      </w:r>
      <w:r w:rsidR="00C10435">
        <w:t>+</w:t>
      </w:r>
      <w:r w:rsidR="00D53B25">
        <w:t xml:space="preserve"> </w:t>
      </w:r>
      <w:r w:rsidR="00C10435">
        <w:t>3 design for dose escalation.</w:t>
      </w:r>
    </w:p>
    <w:p w14:paraId="522C99DB" w14:textId="77777777" w:rsidR="00767CC3" w:rsidRPr="00767CC3" w:rsidRDefault="00767CC3" w:rsidP="007C51B3">
      <w:pPr>
        <w:pStyle w:val="ListBullet"/>
      </w:pPr>
      <w:r w:rsidRPr="00767CC3">
        <w:t>Parts B and D enrolled patients with melanoma and have been evaluated previously.</w:t>
      </w:r>
    </w:p>
    <w:p w14:paraId="522C99DC" w14:textId="391C5596" w:rsidR="00767CC3" w:rsidRPr="00767CC3" w:rsidRDefault="00767CC3" w:rsidP="00767CC3">
      <w:r w:rsidRPr="00767CC3">
        <w:t>In Part C, patients with previously treated NSCLC were enrol</w:t>
      </w:r>
      <w:r w:rsidR="00C10435">
        <w:t>led to receive 10 mg/kg every 3 </w:t>
      </w:r>
      <w:r w:rsidRPr="00767CC3">
        <w:t xml:space="preserve">weeks </w:t>
      </w:r>
      <w:r w:rsidR="00D53B25">
        <w:t xml:space="preserve">(Q3W) </w:t>
      </w:r>
      <w:r w:rsidRPr="00767CC3">
        <w:t xml:space="preserve">to assess the tolerability, safety, and anti-tumour activity of pembrolizumab. Subjects with previously untreated NSCLC in Cohort F-1 and Cohort F-2 (subjects with prior systemic therapy) whose tumours express PD-L1 were enrolled at 10 </w:t>
      </w:r>
      <w:r w:rsidR="00C10435">
        <w:t>mg/kg every 2 weeks (Q2W) or 10 </w:t>
      </w:r>
      <w:r w:rsidRPr="00767CC3">
        <w:t>mg/kg Q3W to character</w:t>
      </w:r>
      <w:r w:rsidR="00BA53BD">
        <w:t>ise</w:t>
      </w:r>
      <w:r w:rsidRPr="00767CC3">
        <w:t xml:space="preserve"> the tolerability, safety, and anti-tumour activity of</w:t>
      </w:r>
      <w:r w:rsidR="00C10435">
        <w:t xml:space="preserve"> pembrolizumab in NSCLC.</w:t>
      </w:r>
    </w:p>
    <w:p w14:paraId="522C99DD" w14:textId="77777777" w:rsidR="00767CC3" w:rsidRPr="00767CC3" w:rsidRDefault="00767CC3" w:rsidP="00767CC3">
      <w:r w:rsidRPr="00767CC3">
        <w:t xml:space="preserve">A small cohort of </w:t>
      </w:r>
      <w:r w:rsidR="00D53B25">
        <w:t>previously treated</w:t>
      </w:r>
      <w:r w:rsidRPr="00767CC3">
        <w:t xml:space="preserve"> subjects with NSCLC who had received at least 2 lines of systemic therapy and whose tumours did not express PD-L1 were enrolled and treated at a dose</w:t>
      </w:r>
      <w:r w:rsidR="00C10435">
        <w:t xml:space="preserve"> of 10 mg/kg Q2W in Cohort F-2.</w:t>
      </w:r>
    </w:p>
    <w:p w14:paraId="522C99DE" w14:textId="0F0C3F73" w:rsidR="00767CC3" w:rsidRPr="00767CC3" w:rsidRDefault="00767CC3" w:rsidP="00767CC3">
      <w:r w:rsidRPr="00767CC3">
        <w:t>In Cohort F-3, previously treated subjects with NSCLC whose tumours expressed PD-L1 were enrolled at 2 mg/kg Q3W to better character</w:t>
      </w:r>
      <w:r w:rsidR="00BA53BD">
        <w:t>ise</w:t>
      </w:r>
      <w:r w:rsidRPr="00767CC3">
        <w:t xml:space="preserve"> the efficacy, safety, and anti-tumour activity of pembrolizumab in NSCLC.</w:t>
      </w:r>
    </w:p>
    <w:p w14:paraId="522C99DF" w14:textId="77777777" w:rsidR="00767CC3" w:rsidRPr="00767CC3" w:rsidRDefault="00767CC3" w:rsidP="00F5372F">
      <w:pPr>
        <w:pStyle w:val="Heading3"/>
      </w:pPr>
      <w:bookmarkStart w:id="33" w:name="_Ref269118175"/>
      <w:bookmarkStart w:id="34" w:name="_Toc272414616"/>
      <w:bookmarkStart w:id="35" w:name="_Toc290846239"/>
      <w:bookmarkStart w:id="36" w:name="_Toc453755688"/>
      <w:bookmarkStart w:id="37" w:name="_Toc513557805"/>
      <w:r w:rsidRPr="00767CC3">
        <w:t>Summary of pharmacokinetics</w:t>
      </w:r>
      <w:bookmarkEnd w:id="33"/>
      <w:bookmarkEnd w:id="34"/>
      <w:bookmarkEnd w:id="35"/>
      <w:bookmarkEnd w:id="36"/>
      <w:bookmarkEnd w:id="37"/>
    </w:p>
    <w:p w14:paraId="522C99E0" w14:textId="77777777" w:rsidR="00767CC3" w:rsidRPr="00767CC3" w:rsidRDefault="00767CC3" w:rsidP="00767CC3">
      <w:r w:rsidRPr="00767CC3">
        <w:t>The information in the following summary is derived from conventional pharmacokinetic studies unless otherwise stated.</w:t>
      </w:r>
    </w:p>
    <w:p w14:paraId="522C99E1" w14:textId="77777777" w:rsidR="00F5372F" w:rsidRPr="00F5372F" w:rsidRDefault="00F5372F" w:rsidP="00F5372F">
      <w:pPr>
        <w:pStyle w:val="Heading4"/>
      </w:pPr>
      <w:bookmarkStart w:id="38" w:name="_Toc241374288"/>
      <w:bookmarkStart w:id="39" w:name="_Toc272414621"/>
      <w:bookmarkStart w:id="40" w:name="_Toc290846244"/>
      <w:bookmarkStart w:id="41" w:name="_Toc453755689"/>
      <w:r w:rsidRPr="00F5372F">
        <w:lastRenderedPageBreak/>
        <w:t>Distribution</w:t>
      </w:r>
      <w:bookmarkEnd w:id="38"/>
      <w:bookmarkEnd w:id="39"/>
      <w:bookmarkEnd w:id="40"/>
      <w:bookmarkEnd w:id="41"/>
    </w:p>
    <w:p w14:paraId="522C99E2" w14:textId="77777777" w:rsidR="00F5372F" w:rsidRPr="00F5372F" w:rsidRDefault="00F5372F" w:rsidP="00F5372F">
      <w:pPr>
        <w:pStyle w:val="Heading5"/>
      </w:pPr>
      <w:r w:rsidRPr="00F5372F">
        <w:t xml:space="preserve">Pre-dose </w:t>
      </w:r>
      <w:r w:rsidR="0042775A">
        <w:t>and</w:t>
      </w:r>
      <w:r w:rsidRPr="00F5372F">
        <w:t xml:space="preserve"> post-dose concentration</w:t>
      </w:r>
    </w:p>
    <w:p w14:paraId="522C99E3" w14:textId="63EADE17" w:rsidR="00F5372F" w:rsidRPr="00F5372F" w:rsidRDefault="004D4D6E" w:rsidP="00F5372F">
      <w:r>
        <w:t xml:space="preserve">The </w:t>
      </w:r>
      <w:r w:rsidR="00F5372F" w:rsidRPr="00F5372F">
        <w:t xml:space="preserve">Keynote-001 </w:t>
      </w:r>
      <w:r>
        <w:t xml:space="preserve">trial </w:t>
      </w:r>
      <w:r w:rsidR="00F5372F" w:rsidRPr="00F5372F">
        <w:t>reported mean pre-dose minimum serum concentration (</w:t>
      </w:r>
      <w:proofErr w:type="spellStart"/>
      <w:r w:rsidR="0042775A" w:rsidRPr="00F5372F">
        <w:t>C</w:t>
      </w:r>
      <w:r w:rsidR="0042775A" w:rsidRPr="0042775A">
        <w:rPr>
          <w:vertAlign w:val="subscript"/>
        </w:rPr>
        <w:t>trough</w:t>
      </w:r>
      <w:proofErr w:type="spellEnd"/>
      <w:r w:rsidR="00F5372F" w:rsidRPr="00F5372F">
        <w:t>) and post-dose maximum serum concentration, following multiple doses of: 2 mg/kg Q3W, 10 mg/kg Q3W or 10 mg</w:t>
      </w:r>
      <w:r w:rsidR="00F5372F">
        <w:t>/kg Q2W in patients with NSCLC.</w:t>
      </w:r>
    </w:p>
    <w:p w14:paraId="522C99E4" w14:textId="77777777" w:rsidR="00F5372F" w:rsidRPr="00F5372F" w:rsidRDefault="00F5372F" w:rsidP="00F5372F">
      <w:r w:rsidRPr="00F5372F">
        <w:t xml:space="preserve">Consistent with the difference in administered dose of 2 mg/kg Q3W and 10 mg/kg Q3W, dose proportionality was observed with an approximately 5-fold difference in mean </w:t>
      </w:r>
      <w:proofErr w:type="spellStart"/>
      <w:r w:rsidR="0042775A" w:rsidRPr="00F5372F">
        <w:t>C</w:t>
      </w:r>
      <w:r w:rsidR="0042775A" w:rsidRPr="0042775A">
        <w:rPr>
          <w:vertAlign w:val="subscript"/>
        </w:rPr>
        <w:t>trough</w:t>
      </w:r>
      <w:proofErr w:type="spellEnd"/>
      <w:r w:rsidR="0042775A">
        <w:t xml:space="preserve"> concentration </w:t>
      </w:r>
      <w:r w:rsidR="0042775A" w:rsidRPr="00374C1D">
        <w:t>F</w:t>
      </w:r>
      <w:r w:rsidRPr="00374C1D">
        <w:t>igure 1.</w:t>
      </w:r>
      <w:r w:rsidRPr="00F5372F">
        <w:t xml:space="preserve"> The geometric mean </w:t>
      </w:r>
      <w:proofErr w:type="spellStart"/>
      <w:r w:rsidR="0042775A" w:rsidRPr="00F5372F">
        <w:t>C</w:t>
      </w:r>
      <w:r w:rsidR="0042775A" w:rsidRPr="0042775A">
        <w:rPr>
          <w:vertAlign w:val="subscript"/>
        </w:rPr>
        <w:t>trough</w:t>
      </w:r>
      <w:proofErr w:type="spellEnd"/>
      <w:r w:rsidRPr="00F5372F">
        <w:t xml:space="preserve"> concentration at </w:t>
      </w:r>
      <w:r w:rsidR="00265880">
        <w:t>Week</w:t>
      </w:r>
      <w:r w:rsidRPr="00F5372F">
        <w:t xml:space="preserve"> 16 was higher for the 10 mg/kg Q2W patients (131 </w:t>
      </w:r>
      <w:r w:rsidR="0042775A">
        <w:t>μ</w:t>
      </w:r>
      <w:r w:rsidRPr="00F5372F">
        <w:t>g/mL) as compared to 10 mg/kg Q3W (205 μg/mL).</w:t>
      </w:r>
    </w:p>
    <w:p w14:paraId="522C99E5" w14:textId="5961F9A2" w:rsidR="00F5372F" w:rsidRDefault="00F5372F" w:rsidP="00F5372F">
      <w:pPr>
        <w:pStyle w:val="FigureTitle"/>
      </w:pPr>
      <w:bookmarkStart w:id="42" w:name="_Toc453752517"/>
      <w:r w:rsidRPr="00374C1D">
        <w:t>Figure</w:t>
      </w:r>
      <w:r w:rsidR="00374C1D">
        <w:t xml:space="preserve"> 1</w:t>
      </w:r>
      <w:r w:rsidR="0042775A" w:rsidRPr="00374C1D">
        <w:rPr>
          <w:noProof/>
        </w:rPr>
        <w:t>:</w:t>
      </w:r>
      <w:r w:rsidRPr="00374C1D">
        <w:t xml:space="preserve"> Arithmetic Mean (SE) </w:t>
      </w:r>
      <w:r w:rsidR="00D53B25" w:rsidRPr="00374C1D">
        <w:t>pre-dose concentration-time profile of pembrolizumab</w:t>
      </w:r>
      <w:r w:rsidR="00D53B25">
        <w:t xml:space="preserve"> following mul</w:t>
      </w:r>
      <w:r>
        <w:t xml:space="preserve">tiple IV </w:t>
      </w:r>
      <w:r w:rsidR="00D53B25">
        <w:t>a</w:t>
      </w:r>
      <w:r>
        <w:t xml:space="preserve">dministrations of 2 or 10 mg/kg </w:t>
      </w:r>
      <w:r w:rsidR="00D53B25">
        <w:t>p</w:t>
      </w:r>
      <w:r>
        <w:t>embrolizumab every 2 or 3</w:t>
      </w:r>
      <w:r w:rsidR="004D4D6E">
        <w:t> </w:t>
      </w:r>
      <w:r>
        <w:t xml:space="preserve">weeks to </w:t>
      </w:r>
      <w:r w:rsidR="004D4D6E">
        <w:t>s</w:t>
      </w:r>
      <w:r>
        <w:t xml:space="preserve">ubjects with NSCLC in </w:t>
      </w:r>
      <w:r w:rsidR="004D4D6E">
        <w:t xml:space="preserve">Study </w:t>
      </w:r>
      <w:r>
        <w:t>P001 (Log-Linear Scale)</w:t>
      </w:r>
      <w:bookmarkEnd w:id="42"/>
    </w:p>
    <w:p w14:paraId="522C99E6" w14:textId="77777777" w:rsidR="00767CC3" w:rsidRDefault="00F5372F" w:rsidP="00586F98">
      <w:r>
        <w:rPr>
          <w:noProof/>
          <w:lang w:eastAsia="en-AU"/>
        </w:rPr>
        <w:drawing>
          <wp:inline distT="0" distB="0" distL="0" distR="0" wp14:anchorId="522C9CC9" wp14:editId="522C9CCA">
            <wp:extent cx="5372100" cy="3028950"/>
            <wp:effectExtent l="0" t="0" r="0" b="0"/>
            <wp:docPr id="3" name="Picture 3" descr="Figure 1: Arithmetic Mean (SE) pre-dose concentration-time profile of pembrolizumab following multiple IV administrations of 2 or 10 mg/kg pembrolizumab every 2 or 3 weeks to Subjects with NSCLC in P001 (Log-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100" cy="3028950"/>
                    </a:xfrm>
                    <a:prstGeom prst="rect">
                      <a:avLst/>
                    </a:prstGeom>
                  </pic:spPr>
                </pic:pic>
              </a:graphicData>
            </a:graphic>
          </wp:inline>
        </w:drawing>
      </w:r>
    </w:p>
    <w:p w14:paraId="522C99E7" w14:textId="45870911" w:rsidR="00F5372F" w:rsidRPr="00F5372F" w:rsidRDefault="00F5372F" w:rsidP="00F5372F">
      <w:pPr>
        <w:pStyle w:val="Comment"/>
      </w:pPr>
      <w:r w:rsidRPr="00F5372F">
        <w:rPr>
          <w:b/>
        </w:rPr>
        <w:t>Comment:</w:t>
      </w:r>
      <w:r>
        <w:rPr>
          <w:b/>
        </w:rPr>
        <w:t xml:space="preserve"> </w:t>
      </w:r>
      <w:r w:rsidRPr="00F5372F">
        <w:t xml:space="preserve">The </w:t>
      </w:r>
      <w:r w:rsidR="00EF3E5B">
        <w:t>‘</w:t>
      </w:r>
      <w:r w:rsidRPr="00F5372F">
        <w:t>Pharmacokinetic Result Summary</w:t>
      </w:r>
      <w:r w:rsidR="00EF3E5B">
        <w:t>’</w:t>
      </w:r>
      <w:r w:rsidRPr="00F5372F">
        <w:t xml:space="preserve"> for this study states:</w:t>
      </w:r>
    </w:p>
    <w:p w14:paraId="522C99E8" w14:textId="3729F900" w:rsidR="00F5372F" w:rsidRPr="00F5372F" w:rsidRDefault="00EF3E5B" w:rsidP="00F5372F">
      <w:pPr>
        <w:ind w:left="1134"/>
      </w:pPr>
      <w:r>
        <w:t>‘</w:t>
      </w:r>
      <w:r w:rsidR="00F5372F" w:rsidRPr="00F5372F">
        <w:t>Pembrolizumab has low to moderate PK variability [inter</w:t>
      </w:r>
      <w:r w:rsidR="00D53B25">
        <w:t>-</w:t>
      </w:r>
      <w:r w:rsidR="00F5372F" w:rsidRPr="00F5372F">
        <w:t>subject coefficient of variation (CV) of 25 to 63%]</w:t>
      </w:r>
      <w:r>
        <w:t>’</w:t>
      </w:r>
    </w:p>
    <w:p w14:paraId="522C99E9" w14:textId="77777777" w:rsidR="00F5372F" w:rsidRPr="00F5372F" w:rsidRDefault="00F5372F" w:rsidP="00F5372F">
      <w:pPr>
        <w:ind w:left="1134"/>
      </w:pPr>
      <w:r w:rsidRPr="00F5372F">
        <w:t>It is not clear as to the variability of which pharmacokinetic measure this statement r</w:t>
      </w:r>
      <w:r w:rsidR="00D53B25">
        <w:t xml:space="preserve">efers; </w:t>
      </w:r>
      <w:r>
        <w:t>see clinical questions.</w:t>
      </w:r>
    </w:p>
    <w:p w14:paraId="522C99EA" w14:textId="77777777" w:rsidR="00F5372F" w:rsidRPr="00F5372F" w:rsidRDefault="00F5372F" w:rsidP="00F5372F">
      <w:pPr>
        <w:pStyle w:val="Heading4"/>
      </w:pPr>
      <w:bookmarkStart w:id="43" w:name="_Toc272414622"/>
      <w:bookmarkStart w:id="44" w:name="_Toc290846245"/>
      <w:bookmarkStart w:id="45" w:name="_Toc453755690"/>
      <w:r w:rsidRPr="00F5372F">
        <w:t>Metabolism</w:t>
      </w:r>
      <w:bookmarkEnd w:id="43"/>
      <w:bookmarkEnd w:id="44"/>
      <w:bookmarkEnd w:id="45"/>
    </w:p>
    <w:p w14:paraId="522C99EB" w14:textId="77777777" w:rsidR="00F5372F" w:rsidRPr="00F5372F" w:rsidRDefault="00F5372F" w:rsidP="00F5372F">
      <w:pPr>
        <w:pStyle w:val="Heading5"/>
      </w:pPr>
      <w:r w:rsidRPr="00F5372F">
        <w:t>Clearance</w:t>
      </w:r>
    </w:p>
    <w:p w14:paraId="522C99EC" w14:textId="77777777" w:rsidR="00D53B25" w:rsidRDefault="00F5372F" w:rsidP="00F5372F">
      <w:r w:rsidRPr="00F5372F">
        <w:t>Pembrolizumab clearance is via intrinsic catabolic mechanisms and is dependent upon body weight</w:t>
      </w:r>
      <w:r w:rsidR="00D53B25">
        <w:t>.</w:t>
      </w:r>
    </w:p>
    <w:p w14:paraId="522C99ED" w14:textId="77777777" w:rsidR="00D53B25" w:rsidRDefault="00F5372F" w:rsidP="00F5372F">
      <w:r w:rsidRPr="00F5372F">
        <w:t>Among patients with NSCLC, there was no impact on clearance by the variables: age, gender, race, renal impairment or hepatic impairment</w:t>
      </w:r>
      <w:r w:rsidR="00D53B25">
        <w:t>.</w:t>
      </w:r>
    </w:p>
    <w:p w14:paraId="522C99EE" w14:textId="77777777" w:rsidR="00F5372F" w:rsidRPr="00F5372F" w:rsidRDefault="00F5372F" w:rsidP="00F5372F">
      <w:r w:rsidRPr="00F5372F">
        <w:t>Consequently, there are no dosing regimen amendments proposed according to any of these variables. It is noted that the sponsor did not proceed with a proposed change from body weight dependent dosing to flat dosing for this submission.</w:t>
      </w:r>
    </w:p>
    <w:p w14:paraId="522C99EF" w14:textId="77777777" w:rsidR="00F5372F" w:rsidRPr="00F5372F" w:rsidRDefault="00F5372F" w:rsidP="00F5372F">
      <w:pPr>
        <w:pStyle w:val="Heading3"/>
      </w:pPr>
      <w:bookmarkStart w:id="46" w:name="_Toc453755691"/>
      <w:bookmarkStart w:id="47" w:name="_Toc513557806"/>
      <w:r w:rsidRPr="00F5372F">
        <w:lastRenderedPageBreak/>
        <w:t>Population pharmacokinetics</w:t>
      </w:r>
      <w:bookmarkEnd w:id="46"/>
      <w:bookmarkEnd w:id="47"/>
    </w:p>
    <w:p w14:paraId="522C99F0" w14:textId="77777777" w:rsidR="00F5372F" w:rsidRPr="00F5372F" w:rsidRDefault="00F5372F" w:rsidP="00F5372F">
      <w:r w:rsidRPr="00F5372F">
        <w:t>The population PK model developed for the registration dossier and updated for the studies in NSCLC is discussed in the efficacy section.</w:t>
      </w:r>
    </w:p>
    <w:p w14:paraId="522C99F1" w14:textId="77777777" w:rsidR="00F5372F" w:rsidRPr="00F5372F" w:rsidRDefault="00F5372F" w:rsidP="00F5372F">
      <w:pPr>
        <w:pStyle w:val="Heading3"/>
      </w:pPr>
      <w:bookmarkStart w:id="48" w:name="_Toc241374296"/>
      <w:bookmarkStart w:id="49" w:name="_Ref269982040"/>
      <w:bookmarkStart w:id="50" w:name="_Ref271018704"/>
      <w:bookmarkStart w:id="51" w:name="_Ref271018755"/>
      <w:bookmarkStart w:id="52" w:name="_Toc272414635"/>
      <w:bookmarkStart w:id="53" w:name="_Toc290846258"/>
      <w:bookmarkStart w:id="54" w:name="_Toc453755692"/>
      <w:bookmarkStart w:id="55" w:name="_Toc513557807"/>
      <w:r w:rsidRPr="00F5372F">
        <w:t>Evaluator’s overall conclusions on pharmacokinetics</w:t>
      </w:r>
      <w:bookmarkEnd w:id="48"/>
      <w:bookmarkEnd w:id="49"/>
      <w:bookmarkEnd w:id="50"/>
      <w:bookmarkEnd w:id="51"/>
      <w:bookmarkEnd w:id="52"/>
      <w:bookmarkEnd w:id="53"/>
      <w:bookmarkEnd w:id="54"/>
      <w:bookmarkEnd w:id="55"/>
    </w:p>
    <w:p w14:paraId="522C99F2" w14:textId="77777777" w:rsidR="00F5372F" w:rsidRPr="00F5372F" w:rsidRDefault="00F5372F" w:rsidP="00F5372F">
      <w:r w:rsidRPr="00F5372F">
        <w:t>Pharmacokinetic data from Keynote-001, and the updated population pharmacokinetic model, demonstrate no substantial changes to the understanding of the pharmacokinetics of pembrolizumab from that described in the initial registration dossier.</w:t>
      </w:r>
    </w:p>
    <w:p w14:paraId="522C99F3" w14:textId="77777777" w:rsidR="00D53B25" w:rsidRDefault="00F5372F" w:rsidP="00F5372F">
      <w:r w:rsidRPr="00F5372F">
        <w:t xml:space="preserve">There is no demonstrated effect of mild or moderate renal </w:t>
      </w:r>
      <w:r w:rsidR="00D53B25" w:rsidRPr="00F5372F">
        <w:t>impairment</w:t>
      </w:r>
      <w:r w:rsidRPr="00F5372F">
        <w:t xml:space="preserve"> or mild hepatic impairment on the pharmacokinetics of pembrolizumab, and thus no dose modifications are required for such patients</w:t>
      </w:r>
      <w:r w:rsidR="00D53B25">
        <w:t>.</w:t>
      </w:r>
    </w:p>
    <w:p w14:paraId="522C99F4" w14:textId="77777777" w:rsidR="00F5372F" w:rsidRPr="00F5372F" w:rsidRDefault="00F5372F" w:rsidP="00F5372F">
      <w:r w:rsidRPr="00F5372F">
        <w:t>There is no data regarding the PK in patients with severe renal impairment or moderate or severe hepatic impairment.</w:t>
      </w:r>
    </w:p>
    <w:p w14:paraId="522C99F5" w14:textId="3C734F72" w:rsidR="00F5372F" w:rsidRPr="00F5372F" w:rsidRDefault="00F5372F" w:rsidP="00F5372F">
      <w:r w:rsidRPr="00F5372F">
        <w:t>There are updates to the product information PK values of volume of distribution (</w:t>
      </w:r>
      <w:r w:rsidR="00D53B25">
        <w:t>and</w:t>
      </w:r>
      <w:r w:rsidRPr="00F5372F">
        <w:t xml:space="preserve"> CV), plasma terminal </w:t>
      </w:r>
      <w:r w:rsidR="007C51B3" w:rsidRPr="00F5372F">
        <w:t>half</w:t>
      </w:r>
      <w:r w:rsidR="007C51B3">
        <w:t>-</w:t>
      </w:r>
      <w:r w:rsidR="007C51B3" w:rsidRPr="00F5372F">
        <w:t>life</w:t>
      </w:r>
      <w:r w:rsidRPr="00F5372F">
        <w:t xml:space="preserve"> (</w:t>
      </w:r>
      <w:r w:rsidR="00D53B25">
        <w:t>and</w:t>
      </w:r>
      <w:r w:rsidRPr="00F5372F">
        <w:t xml:space="preserve"> CV), time to steady state, </w:t>
      </w:r>
      <w:proofErr w:type="spellStart"/>
      <w:r w:rsidR="00D53B25" w:rsidRPr="00F5372F">
        <w:t>C</w:t>
      </w:r>
      <w:r w:rsidR="00D53B25" w:rsidRPr="00D53B25">
        <w:rPr>
          <w:vertAlign w:val="subscript"/>
        </w:rPr>
        <w:t>min</w:t>
      </w:r>
      <w:proofErr w:type="spellEnd"/>
      <w:r w:rsidRPr="00F5372F">
        <w:t>, for the dosing regimen of 2 mg/kg Q3W across indications. These updates are considered satisfactory.</w:t>
      </w:r>
    </w:p>
    <w:p w14:paraId="522C99F6" w14:textId="77777777" w:rsidR="00586F98" w:rsidRDefault="00586F98" w:rsidP="00586F98">
      <w:pPr>
        <w:pStyle w:val="Heading2"/>
      </w:pPr>
      <w:bookmarkStart w:id="56" w:name="_Toc513557808"/>
      <w:r>
        <w:t>Pharmacodynamics</w:t>
      </w:r>
      <w:bookmarkEnd w:id="56"/>
    </w:p>
    <w:p w14:paraId="522C99F7" w14:textId="77777777" w:rsidR="00F5372F" w:rsidRPr="00F4109A" w:rsidRDefault="00F5372F" w:rsidP="00F5372F">
      <w:r>
        <w:t>No separate studies of pharmacodynamics were presented for evaluation.</w:t>
      </w:r>
    </w:p>
    <w:p w14:paraId="522C99F8" w14:textId="77777777" w:rsidR="00586F98" w:rsidRDefault="00C22678" w:rsidP="00586F98">
      <w:pPr>
        <w:pStyle w:val="Heading2"/>
      </w:pPr>
      <w:bookmarkStart w:id="57" w:name="_Toc513557809"/>
      <w:r>
        <w:t>Dosage selection for the pivotal studies</w:t>
      </w:r>
      <w:bookmarkEnd w:id="57"/>
    </w:p>
    <w:p w14:paraId="522C99F9" w14:textId="1C77BFD0" w:rsidR="00F5372F" w:rsidRPr="00F5372F" w:rsidRDefault="00F5372F" w:rsidP="00F5372F">
      <w:pPr>
        <w:rPr>
          <w:lang w:eastAsia="ja-JP"/>
        </w:rPr>
      </w:pPr>
      <w:r>
        <w:rPr>
          <w:lang w:eastAsia="ja-JP"/>
        </w:rPr>
        <w:t xml:space="preserve">Data from </w:t>
      </w:r>
      <w:r w:rsidR="004D4D6E">
        <w:rPr>
          <w:lang w:eastAsia="ja-JP"/>
        </w:rPr>
        <w:t>S</w:t>
      </w:r>
      <w:r w:rsidRPr="007E7144">
        <w:rPr>
          <w:lang w:eastAsia="ja-JP"/>
        </w:rPr>
        <w:t>tudy</w:t>
      </w:r>
      <w:r>
        <w:rPr>
          <w:lang w:eastAsia="ja-JP"/>
        </w:rPr>
        <w:t xml:space="preserve"> P001V04</w:t>
      </w:r>
      <w:r w:rsidRPr="007E7144">
        <w:rPr>
          <w:lang w:eastAsia="ja-JP"/>
        </w:rPr>
        <w:t xml:space="preserve"> informed the dose selection of pe</w:t>
      </w:r>
      <w:r w:rsidR="00D53B25">
        <w:rPr>
          <w:lang w:eastAsia="ja-JP"/>
        </w:rPr>
        <w:t xml:space="preserve">mbrolizumab for </w:t>
      </w:r>
      <w:r w:rsidR="004D4D6E">
        <w:rPr>
          <w:lang w:eastAsia="ja-JP"/>
        </w:rPr>
        <w:t>St</w:t>
      </w:r>
      <w:r w:rsidR="00D53B25">
        <w:rPr>
          <w:lang w:eastAsia="ja-JP"/>
        </w:rPr>
        <w:t xml:space="preserve">udy P010V01; </w:t>
      </w:r>
      <w:r w:rsidRPr="007E7144">
        <w:rPr>
          <w:lang w:eastAsia="ja-JP"/>
        </w:rPr>
        <w:t xml:space="preserve">a </w:t>
      </w:r>
      <w:r w:rsidR="00D53B25">
        <w:rPr>
          <w:lang w:eastAsia="ja-JP"/>
        </w:rPr>
        <w:t>Phase</w:t>
      </w:r>
      <w:r w:rsidRPr="007E7144">
        <w:rPr>
          <w:lang w:eastAsia="ja-JP"/>
        </w:rPr>
        <w:t xml:space="preserve"> II/III study of either 2 mg/kg Q3W or 10 mg/kg Q3W</w:t>
      </w:r>
      <w:r>
        <w:rPr>
          <w:lang w:eastAsia="ja-JP"/>
        </w:rPr>
        <w:t xml:space="preserve"> </w:t>
      </w:r>
      <w:r w:rsidR="004D4D6E">
        <w:rPr>
          <w:lang w:eastAsia="ja-JP"/>
        </w:rPr>
        <w:t>p</w:t>
      </w:r>
      <w:r>
        <w:rPr>
          <w:lang w:eastAsia="ja-JP"/>
        </w:rPr>
        <w:t xml:space="preserve">embrolizumab versus </w:t>
      </w:r>
      <w:r w:rsidR="004D4D6E">
        <w:rPr>
          <w:lang w:eastAsia="ja-JP"/>
        </w:rPr>
        <w:t>d</w:t>
      </w:r>
      <w:r>
        <w:rPr>
          <w:lang w:eastAsia="ja-JP"/>
        </w:rPr>
        <w:t>ocetaxel 75 mg/</w:t>
      </w:r>
      <w:r w:rsidR="00D53B25">
        <w:rPr>
          <w:lang w:eastAsia="ja-JP"/>
        </w:rPr>
        <w:t>m</w:t>
      </w:r>
      <w:r w:rsidR="00D53B25" w:rsidRPr="00D53B25">
        <w:rPr>
          <w:vertAlign w:val="superscript"/>
          <w:lang w:eastAsia="ja-JP"/>
        </w:rPr>
        <w:t>2</w:t>
      </w:r>
      <w:r>
        <w:rPr>
          <w:lang w:eastAsia="ja-JP"/>
        </w:rPr>
        <w:t xml:space="preserve"> Q3W. </w:t>
      </w:r>
      <w:r w:rsidR="00374C1D">
        <w:rPr>
          <w:lang w:eastAsia="ja-JP"/>
        </w:rPr>
        <w:t>These studies are discussed in S</w:t>
      </w:r>
      <w:r>
        <w:rPr>
          <w:lang w:eastAsia="ja-JP"/>
        </w:rPr>
        <w:t xml:space="preserve">ections 7 </w:t>
      </w:r>
      <w:r w:rsidR="00D53B25">
        <w:rPr>
          <w:lang w:eastAsia="ja-JP"/>
        </w:rPr>
        <w:t>and</w:t>
      </w:r>
      <w:r>
        <w:rPr>
          <w:lang w:eastAsia="ja-JP"/>
        </w:rPr>
        <w:t xml:space="preserve"> 8</w:t>
      </w:r>
      <w:r w:rsidR="004D4D6E">
        <w:rPr>
          <w:lang w:eastAsia="ja-JP"/>
        </w:rPr>
        <w:t xml:space="preserve"> (below)</w:t>
      </w:r>
      <w:r>
        <w:rPr>
          <w:lang w:eastAsia="ja-JP"/>
        </w:rPr>
        <w:t>.</w:t>
      </w:r>
    </w:p>
    <w:p w14:paraId="522C99FA" w14:textId="77777777" w:rsidR="00C22678" w:rsidRDefault="00C22678" w:rsidP="00C22678">
      <w:pPr>
        <w:pStyle w:val="Heading2"/>
      </w:pPr>
      <w:bookmarkStart w:id="58" w:name="_Toc513557810"/>
      <w:r>
        <w:t>Clinical efficacy</w:t>
      </w:r>
      <w:bookmarkEnd w:id="58"/>
    </w:p>
    <w:p w14:paraId="522C99FB" w14:textId="3536632D" w:rsidR="00CC79E6" w:rsidRPr="00CC79E6" w:rsidRDefault="00CC79E6" w:rsidP="00CC79E6">
      <w:bookmarkStart w:id="59" w:name="_Toc453755696"/>
      <w:proofErr w:type="gramStart"/>
      <w:r w:rsidRPr="00CC79E6">
        <w:t>Studies in NSCLC</w:t>
      </w:r>
      <w:bookmarkEnd w:id="59"/>
      <w:r w:rsidR="004D4D6E">
        <w:t>.</w:t>
      </w:r>
      <w:proofErr w:type="gramEnd"/>
    </w:p>
    <w:p w14:paraId="522C99FC" w14:textId="77777777" w:rsidR="00CC79E6" w:rsidRPr="00CC79E6" w:rsidRDefault="00CC79E6" w:rsidP="00CC79E6">
      <w:pPr>
        <w:pStyle w:val="Heading3"/>
      </w:pPr>
      <w:bookmarkStart w:id="60" w:name="_Ref271037274"/>
      <w:bookmarkStart w:id="61" w:name="_Toc272414652"/>
      <w:bookmarkStart w:id="62" w:name="_Toc290846274"/>
      <w:bookmarkStart w:id="63" w:name="_Toc453755697"/>
      <w:bookmarkStart w:id="64" w:name="_Toc513557811"/>
      <w:r w:rsidRPr="00CC79E6">
        <w:t>Pivotal efficacy studies</w:t>
      </w:r>
      <w:bookmarkEnd w:id="60"/>
      <w:bookmarkEnd w:id="61"/>
      <w:bookmarkEnd w:id="62"/>
      <w:bookmarkEnd w:id="63"/>
      <w:bookmarkEnd w:id="64"/>
    </w:p>
    <w:p w14:paraId="522C99FD" w14:textId="39064902" w:rsidR="00CC79E6" w:rsidRPr="00CC79E6" w:rsidRDefault="00CC79E6" w:rsidP="00CC79E6">
      <w:pPr>
        <w:pStyle w:val="Heading4"/>
      </w:pPr>
      <w:bookmarkStart w:id="65" w:name="_Ref243301615"/>
      <w:bookmarkStart w:id="66" w:name="_Ref271040927"/>
      <w:bookmarkStart w:id="67" w:name="_Ref271040932"/>
      <w:bookmarkStart w:id="68" w:name="_Toc272414653"/>
      <w:bookmarkStart w:id="69" w:name="_Toc290846275"/>
      <w:bookmarkStart w:id="70" w:name="_Toc453755698"/>
      <w:r w:rsidRPr="00CC79E6">
        <w:t xml:space="preserve">Study </w:t>
      </w:r>
      <w:bookmarkEnd w:id="65"/>
      <w:bookmarkEnd w:id="66"/>
      <w:bookmarkEnd w:id="67"/>
      <w:bookmarkEnd w:id="68"/>
      <w:bookmarkEnd w:id="69"/>
      <w:r w:rsidRPr="00CC79E6">
        <w:t>P010V01 (</w:t>
      </w:r>
      <w:r w:rsidR="004D4D6E">
        <w:t>K</w:t>
      </w:r>
      <w:r w:rsidRPr="00CC79E6">
        <w:t>eynote-010</w:t>
      </w:r>
      <w:r w:rsidR="004D4D6E">
        <w:t xml:space="preserve"> trial</w:t>
      </w:r>
      <w:r w:rsidRPr="00CC79E6">
        <w:t>)</w:t>
      </w:r>
      <w:bookmarkEnd w:id="70"/>
    </w:p>
    <w:p w14:paraId="522C99FE" w14:textId="77777777" w:rsidR="00CC79E6" w:rsidRPr="00CC79E6" w:rsidRDefault="00CC79E6" w:rsidP="00CC79E6">
      <w:pPr>
        <w:pStyle w:val="Heading5"/>
      </w:pPr>
      <w:r w:rsidRPr="00CC79E6">
        <w:t>Study design, objectives, locations and dates</w:t>
      </w:r>
    </w:p>
    <w:p w14:paraId="522C99FF" w14:textId="6FDB78A6" w:rsidR="00CC79E6" w:rsidRPr="00CC79E6" w:rsidRDefault="00CC79E6" w:rsidP="00CC79E6">
      <w:r w:rsidRPr="00CC79E6">
        <w:t xml:space="preserve">This was an </w:t>
      </w:r>
      <w:r w:rsidR="00D53B25">
        <w:t>open label</w:t>
      </w:r>
      <w:r w:rsidRPr="00CC79E6">
        <w:t xml:space="preserve"> Phase </w:t>
      </w:r>
      <w:r w:rsidR="00D53B25">
        <w:t>II/III</w:t>
      </w:r>
      <w:r w:rsidRPr="00CC79E6">
        <w:t xml:space="preserve"> trial of intravenous (IV) pembrolizumab at two dosing schedules (2 mg/kg and 10 mg/kg) versus docetaxel in subjects with NSCLC with PD-L1 positive tumours who had experienced disease progression after </w:t>
      </w:r>
      <w:r w:rsidR="00D53B25">
        <w:t>platinum containing</w:t>
      </w:r>
      <w:r w:rsidRPr="00CC79E6">
        <w:t xml:space="preserve"> systemic therapy.</w:t>
      </w:r>
      <w:r w:rsidR="00D53B25">
        <w:t xml:space="preserve"> This is </w:t>
      </w:r>
      <w:r w:rsidR="00D53B25" w:rsidRPr="00374C1D">
        <w:t>shown in F</w:t>
      </w:r>
      <w:r w:rsidRPr="00374C1D">
        <w:t>igure 2</w:t>
      </w:r>
      <w:r w:rsidR="004D4D6E">
        <w:t>, below</w:t>
      </w:r>
    </w:p>
    <w:p w14:paraId="522C9A00" w14:textId="77777777" w:rsidR="00CC79E6" w:rsidRPr="00CC79E6" w:rsidRDefault="00CC79E6" w:rsidP="00CC79E6">
      <w:pPr>
        <w:pStyle w:val="FigureTitle"/>
      </w:pPr>
      <w:bookmarkStart w:id="71" w:name="_Toc453752518"/>
      <w:r w:rsidRPr="00374C1D">
        <w:lastRenderedPageBreak/>
        <w:t>Figure</w:t>
      </w:r>
      <w:r w:rsidR="00374C1D" w:rsidRPr="00374C1D">
        <w:t xml:space="preserve"> 2</w:t>
      </w:r>
      <w:r w:rsidR="00D53B25" w:rsidRPr="00374C1D">
        <w:t>:</w:t>
      </w:r>
      <w:r w:rsidRPr="00374C1D">
        <w:t xml:space="preserve"> Keynote-010 schematic design</w:t>
      </w:r>
      <w:bookmarkEnd w:id="71"/>
    </w:p>
    <w:p w14:paraId="522C9A01" w14:textId="77777777" w:rsidR="00CC79E6" w:rsidRDefault="00CC79E6" w:rsidP="00C22678">
      <w:pPr>
        <w:rPr>
          <w:lang w:eastAsia="ja-JP"/>
        </w:rPr>
      </w:pPr>
      <w:r w:rsidRPr="007C51B3">
        <w:rPr>
          <w:noProof/>
          <w:vertAlign w:val="superscript"/>
          <w:lang w:eastAsia="en-AU"/>
        </w:rPr>
        <w:drawing>
          <wp:inline distT="0" distB="0" distL="0" distR="0" wp14:anchorId="522C9CCB" wp14:editId="360A5045">
            <wp:extent cx="3924300" cy="3095625"/>
            <wp:effectExtent l="0" t="0" r="0" b="9525"/>
            <wp:docPr id="4" name="Picture 4" descr="Figure 2: Keynote-010 schematic design&#10;lead in  MK-3475 2 mg/kg N= 18&#10;Randomization 1:1:1 n = 390 &#10;MK-3475 2mg/kg : MK-3745 10 mg/kg : Docetaxel 75 mg/m2&#10;Randomization of the 3390 subject cohort will begin immediatly upon completion os the 18 patient cohort. The dose assignments were blinded to subjects and sponsor&#10;&#10;all were followed to progressive disease and survival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24300" cy="3095625"/>
                    </a:xfrm>
                    <a:prstGeom prst="rect">
                      <a:avLst/>
                    </a:prstGeom>
                  </pic:spPr>
                </pic:pic>
              </a:graphicData>
            </a:graphic>
          </wp:inline>
        </w:drawing>
      </w:r>
    </w:p>
    <w:p w14:paraId="522C9A02" w14:textId="77777777" w:rsidR="00CC79E6" w:rsidRPr="00CC79E6" w:rsidRDefault="00CC79E6" w:rsidP="00CC79E6">
      <w:r w:rsidRPr="00CC79E6">
        <w:t xml:space="preserve">The </w:t>
      </w:r>
      <w:r>
        <w:t>objectives of the study were to:</w:t>
      </w:r>
    </w:p>
    <w:p w14:paraId="522C9A03" w14:textId="7A98BE8F" w:rsidR="00CC79E6" w:rsidRPr="00CC79E6" w:rsidRDefault="00CC79E6" w:rsidP="00CC79E6">
      <w:pPr>
        <w:pStyle w:val="Numberbullet0"/>
      </w:pPr>
      <w:r w:rsidRPr="00CC79E6">
        <w:t>Compare the OS of previously treated subjects with NSCLC in the strongly positive (TPS</w:t>
      </w:r>
      <w:r w:rsidR="00C432EE">
        <w:t> </w:t>
      </w:r>
      <w:r w:rsidR="00D53B25">
        <w:t>&gt;</w:t>
      </w:r>
      <w:r w:rsidR="00C432EE">
        <w:t> </w:t>
      </w:r>
      <w:r w:rsidRPr="00CC79E6">
        <w:t>50%) PD-L1 stratum treated with pembrolizumab to docetaxel.</w:t>
      </w:r>
    </w:p>
    <w:p w14:paraId="522C9A04" w14:textId="59868013" w:rsidR="00CC79E6" w:rsidRPr="00CC79E6" w:rsidRDefault="00CC79E6" w:rsidP="007C51B3">
      <w:pPr>
        <w:ind w:left="425"/>
      </w:pPr>
      <w:r w:rsidRPr="00CC79E6">
        <w:t xml:space="preserve">Hypothesis: Pembrolizumab prolongs OS in </w:t>
      </w:r>
      <w:r w:rsidR="00D53B25">
        <w:t>previously treated</w:t>
      </w:r>
      <w:r w:rsidRPr="00CC79E6">
        <w:t xml:space="preserve"> subjects with NSCLC in the TPS</w:t>
      </w:r>
      <w:r w:rsidR="00C432EE">
        <w:t> </w:t>
      </w:r>
      <w:r w:rsidR="00D53B25">
        <w:t>≥</w:t>
      </w:r>
      <w:r w:rsidR="00C432EE">
        <w:t> </w:t>
      </w:r>
      <w:r w:rsidRPr="00CC79E6">
        <w:t>50% stratum compared to docetaxel.</w:t>
      </w:r>
    </w:p>
    <w:p w14:paraId="522C9A05" w14:textId="77777777" w:rsidR="00CC79E6" w:rsidRPr="00CC79E6" w:rsidRDefault="00CC79E6" w:rsidP="00CC79E6">
      <w:pPr>
        <w:pStyle w:val="Numberbullet0"/>
      </w:pPr>
      <w:r w:rsidRPr="00CC79E6">
        <w:t xml:space="preserve">Compare PFS per RECIST 1.1 by independent radiologists’ review of </w:t>
      </w:r>
      <w:r w:rsidR="00D53B25">
        <w:t>previously treated</w:t>
      </w:r>
      <w:r w:rsidRPr="00CC79E6">
        <w:t xml:space="preserve"> subjects with NSCLC in the TPS</w:t>
      </w:r>
      <w:r w:rsidR="00D53B25">
        <w:t xml:space="preserve"> ≥ </w:t>
      </w:r>
      <w:r w:rsidRPr="00CC79E6">
        <w:t>50% stratum treated with pembrolizumab to docetaxel.</w:t>
      </w:r>
    </w:p>
    <w:p w14:paraId="522C9A06" w14:textId="77777777" w:rsidR="00CC79E6" w:rsidRPr="00CC79E6" w:rsidRDefault="00CC79E6" w:rsidP="007C51B3">
      <w:pPr>
        <w:ind w:left="425"/>
      </w:pPr>
      <w:r w:rsidRPr="00CC79E6">
        <w:t xml:space="preserve">Hypothesis: Pembrolizumab prolongs PFS per RECIST 1.1 by independent radiologists’ review in </w:t>
      </w:r>
      <w:r w:rsidR="00D53B25">
        <w:t>previously treated</w:t>
      </w:r>
      <w:r w:rsidRPr="00CC79E6">
        <w:t xml:space="preserve"> subjects with NSCLC in the TPS</w:t>
      </w:r>
      <w:r w:rsidR="00D53B25">
        <w:t xml:space="preserve"> ≥ </w:t>
      </w:r>
      <w:r w:rsidRPr="00CC79E6">
        <w:t>50% stratum compared to docetaxel.</w:t>
      </w:r>
    </w:p>
    <w:p w14:paraId="522C9A07" w14:textId="77777777" w:rsidR="00CC79E6" w:rsidRPr="00CC79E6" w:rsidRDefault="00CC79E6" w:rsidP="00CC79E6">
      <w:pPr>
        <w:pStyle w:val="Numberbullet0"/>
      </w:pPr>
      <w:r w:rsidRPr="00CC79E6">
        <w:t xml:space="preserve">Objective: To evaluate OS of </w:t>
      </w:r>
      <w:r w:rsidR="00D53B25">
        <w:t>previously treated</w:t>
      </w:r>
      <w:r w:rsidRPr="00CC79E6">
        <w:t xml:space="preserve"> subjects with NSCLC whose tumours express PD-L1 and are treated with pembrolizumab compared to docetaxel.</w:t>
      </w:r>
    </w:p>
    <w:p w14:paraId="522C9A08" w14:textId="77777777" w:rsidR="00CC79E6" w:rsidRPr="00CC79E6" w:rsidRDefault="00CC79E6" w:rsidP="007C51B3">
      <w:pPr>
        <w:ind w:left="425"/>
      </w:pPr>
      <w:r w:rsidRPr="00CC79E6">
        <w:t xml:space="preserve">Hypothesis: Pembrolizumab prolongs OS in </w:t>
      </w:r>
      <w:r w:rsidR="00D53B25">
        <w:t>previously treated</w:t>
      </w:r>
      <w:r w:rsidRPr="00CC79E6">
        <w:t xml:space="preserve"> subjects with NSCLC whose tumours express PD-L1 compared to docetaxel.</w:t>
      </w:r>
    </w:p>
    <w:p w14:paraId="522C9A09" w14:textId="77777777" w:rsidR="00CC79E6" w:rsidRPr="00CC79E6" w:rsidRDefault="00CC79E6" w:rsidP="00CC79E6">
      <w:pPr>
        <w:pStyle w:val="Numberbullet0"/>
      </w:pPr>
      <w:r w:rsidRPr="00CC79E6">
        <w:t xml:space="preserve">Objective: To evaluate PFS per RECIST 1.1 by independent radiologists’ review of </w:t>
      </w:r>
      <w:r w:rsidR="00D53B25">
        <w:t>previously treated</w:t>
      </w:r>
      <w:r w:rsidRPr="00CC79E6">
        <w:t xml:space="preserve"> subjects with NSCLC whose tumours express PD-L1 and are treated with pembrolizumab compared to docetaxel.</w:t>
      </w:r>
    </w:p>
    <w:p w14:paraId="522C9A0A" w14:textId="77777777" w:rsidR="00CC79E6" w:rsidRPr="00CC79E6" w:rsidRDefault="00CC79E6" w:rsidP="007C51B3">
      <w:pPr>
        <w:ind w:left="425"/>
      </w:pPr>
      <w:r w:rsidRPr="00CC79E6">
        <w:t xml:space="preserve">Hypothesis: Pembrolizumab prolongs PFS per RECIST 1.1 by independent radiologists’ review in </w:t>
      </w:r>
      <w:r w:rsidR="00D53B25">
        <w:t>previously treated</w:t>
      </w:r>
      <w:r w:rsidRPr="00CC79E6">
        <w:t xml:space="preserve"> subjects with NSCLC whose tumours express PD-L1 compared to docetaxel.</w:t>
      </w:r>
    </w:p>
    <w:p w14:paraId="522C9A0B" w14:textId="77777777" w:rsidR="00CC79E6" w:rsidRPr="00CC79E6" w:rsidRDefault="00CC79E6" w:rsidP="00CC79E6">
      <w:pPr>
        <w:pStyle w:val="Numberbullet0"/>
      </w:pPr>
      <w:r w:rsidRPr="00CC79E6">
        <w:t>Objective: Evaluate safety and tolerability profile of pembrolizumab in previously treated subjects with NSCLC in the TPS</w:t>
      </w:r>
      <w:r w:rsidR="00D53B25">
        <w:t xml:space="preserve"> ≥ </w:t>
      </w:r>
      <w:r w:rsidRPr="00CC79E6">
        <w:t>50% stratum and the overall positive TPS</w:t>
      </w:r>
      <w:r w:rsidR="00D53B25">
        <w:t xml:space="preserve"> ≥ </w:t>
      </w:r>
      <w:r w:rsidRPr="00CC79E6">
        <w:t>1% population.</w:t>
      </w:r>
    </w:p>
    <w:p w14:paraId="522C9A0C" w14:textId="77777777" w:rsidR="00CC79E6" w:rsidRDefault="00CC79E6" w:rsidP="00CC79E6">
      <w:r w:rsidRPr="00CC79E6">
        <w:t>The study was considered to have met its primary objective if at least one pembrolizumab arm was superior to docetaxel either in PFS or in OS at an interim analysis or the final analysis in the overall population whose tumours express PD-L1 (TPS</w:t>
      </w:r>
      <w:r w:rsidR="00D53B25">
        <w:t xml:space="preserve"> ≥ </w:t>
      </w:r>
      <w:r w:rsidRPr="00CC79E6">
        <w:t>1%) or the TPS</w:t>
      </w:r>
      <w:r w:rsidR="00D53B25">
        <w:t xml:space="preserve"> ≥ </w:t>
      </w:r>
      <w:r w:rsidRPr="00CC79E6">
        <w:t xml:space="preserve">50% </w:t>
      </w:r>
      <w:r>
        <w:t>stratum.</w:t>
      </w:r>
    </w:p>
    <w:p w14:paraId="522C9A0D" w14:textId="77777777" w:rsidR="00CC79E6" w:rsidRPr="00CC79E6" w:rsidRDefault="00CC79E6" w:rsidP="007C51B3">
      <w:pPr>
        <w:keepNext/>
      </w:pPr>
      <w:r w:rsidRPr="00CC79E6">
        <w:lastRenderedPageBreak/>
        <w:t>Secondary objectives were:</w:t>
      </w:r>
    </w:p>
    <w:p w14:paraId="522C9A0E" w14:textId="77777777" w:rsidR="00CC79E6" w:rsidRPr="00CC79E6" w:rsidRDefault="00CC79E6" w:rsidP="00E961A5">
      <w:pPr>
        <w:pStyle w:val="Numberbullet0"/>
        <w:numPr>
          <w:ilvl w:val="0"/>
          <w:numId w:val="9"/>
        </w:numPr>
      </w:pPr>
      <w:r w:rsidRPr="00CC79E6">
        <w:t xml:space="preserve">To evaluate ORR per RECIST 1.1 by independent radiologists’ review in </w:t>
      </w:r>
      <w:r w:rsidR="00D53B25">
        <w:t>previously treated</w:t>
      </w:r>
      <w:r w:rsidRPr="00CC79E6">
        <w:t xml:space="preserve"> subjects with NSCLC in the TPS</w:t>
      </w:r>
      <w:r w:rsidR="00D53B25">
        <w:t xml:space="preserve"> ≥ </w:t>
      </w:r>
      <w:r w:rsidRPr="00CC79E6">
        <w:t xml:space="preserve">50% stratum and in overall study population whose </w:t>
      </w:r>
      <w:r w:rsidR="00D53B25" w:rsidRPr="00CC79E6">
        <w:t>tumours</w:t>
      </w:r>
      <w:r w:rsidRPr="00CC79E6">
        <w:t xml:space="preserve"> express PD-L1 (TPS</w:t>
      </w:r>
      <w:r w:rsidR="00D53B25">
        <w:t xml:space="preserve"> ≥ </w:t>
      </w:r>
      <w:r w:rsidRPr="00CC79E6">
        <w:t>1%) treated with pembrolizumab compared to docetaxel.</w:t>
      </w:r>
    </w:p>
    <w:p w14:paraId="522C9A0F" w14:textId="77777777" w:rsidR="00CC79E6" w:rsidRPr="00CC79E6" w:rsidRDefault="00CC79E6" w:rsidP="00E961A5">
      <w:pPr>
        <w:pStyle w:val="Numberbullet0"/>
        <w:numPr>
          <w:ilvl w:val="0"/>
          <w:numId w:val="9"/>
        </w:numPr>
      </w:pPr>
      <w:r w:rsidRPr="00CC79E6">
        <w:t xml:space="preserve">To evaluate response duration per RECIST 1.1 by independent radiologists’ review in </w:t>
      </w:r>
      <w:r w:rsidR="00D53B25">
        <w:t>previously treated</w:t>
      </w:r>
      <w:r w:rsidRPr="00CC79E6">
        <w:t xml:space="preserve"> subjects with NSCLC in the TPS</w:t>
      </w:r>
      <w:r w:rsidR="00D53B25">
        <w:t xml:space="preserve"> ≥ </w:t>
      </w:r>
      <w:r w:rsidRPr="00CC79E6">
        <w:t>50% stratum and in overall study population treated with pembrolizumab compared to docetaxel.</w:t>
      </w:r>
    </w:p>
    <w:p w14:paraId="522C9A10" w14:textId="77777777" w:rsidR="00CC79E6" w:rsidRPr="00CC79E6" w:rsidRDefault="00CC79E6" w:rsidP="00CC79E6">
      <w:r w:rsidRPr="00CC79E6">
        <w:t>Exploratory objectives were:</w:t>
      </w:r>
    </w:p>
    <w:p w14:paraId="522C9A11" w14:textId="77777777" w:rsidR="00CC79E6" w:rsidRPr="00CC79E6" w:rsidRDefault="00CC79E6" w:rsidP="00E961A5">
      <w:pPr>
        <w:pStyle w:val="Numberbullet0"/>
        <w:numPr>
          <w:ilvl w:val="0"/>
          <w:numId w:val="10"/>
        </w:numPr>
      </w:pPr>
      <w:r w:rsidRPr="00CC79E6">
        <w:t xml:space="preserve">To evaluate PFS per </w:t>
      </w:r>
      <w:r w:rsidR="00D53B25">
        <w:t>immune related</w:t>
      </w:r>
      <w:r w:rsidRPr="00CC79E6">
        <w:t xml:space="preserve"> response criteria (</w:t>
      </w:r>
      <w:proofErr w:type="spellStart"/>
      <w:r w:rsidRPr="00CC79E6">
        <w:t>irRC</w:t>
      </w:r>
      <w:proofErr w:type="spellEnd"/>
      <w:r w:rsidRPr="00CC79E6">
        <w:t xml:space="preserve">) by Investigators’ review of </w:t>
      </w:r>
      <w:r w:rsidR="00D53B25">
        <w:t>previously treated</w:t>
      </w:r>
      <w:r w:rsidRPr="00CC79E6">
        <w:t xml:space="preserve"> subjects with NSCLC in the TPS</w:t>
      </w:r>
      <w:r w:rsidR="00D53B25">
        <w:t xml:space="preserve"> ≥ </w:t>
      </w:r>
      <w:r w:rsidRPr="00CC79E6">
        <w:t xml:space="preserve">50% stratum and in overall study population whose </w:t>
      </w:r>
      <w:r w:rsidR="00D53B25" w:rsidRPr="00CC79E6">
        <w:t>tumours</w:t>
      </w:r>
      <w:r w:rsidRPr="00CC79E6">
        <w:t xml:space="preserve"> express PD-L1 (TPS</w:t>
      </w:r>
      <w:r w:rsidR="00D53B25">
        <w:t xml:space="preserve"> ≥ </w:t>
      </w:r>
      <w:r w:rsidRPr="00CC79E6">
        <w:t>1%) treated with pembrolizumab compared to docetaxel.</w:t>
      </w:r>
    </w:p>
    <w:p w14:paraId="522C9A12" w14:textId="77777777" w:rsidR="00CC79E6" w:rsidRPr="00CC79E6" w:rsidRDefault="00CC79E6" w:rsidP="00E961A5">
      <w:pPr>
        <w:pStyle w:val="Numberbullet0"/>
        <w:numPr>
          <w:ilvl w:val="0"/>
          <w:numId w:val="10"/>
        </w:numPr>
      </w:pPr>
      <w:r w:rsidRPr="00CC79E6">
        <w:t xml:space="preserve">To evaluate ORR per </w:t>
      </w:r>
      <w:proofErr w:type="spellStart"/>
      <w:r w:rsidRPr="00CC79E6">
        <w:t>irRC</w:t>
      </w:r>
      <w:proofErr w:type="spellEnd"/>
      <w:r w:rsidRPr="00CC79E6">
        <w:t xml:space="preserve"> by Investigators’ review in </w:t>
      </w:r>
      <w:r w:rsidR="00D53B25">
        <w:t>previously treated</w:t>
      </w:r>
      <w:r w:rsidRPr="00CC79E6">
        <w:t xml:space="preserve"> subjects with NSCLC in the TPS</w:t>
      </w:r>
      <w:r w:rsidR="00D53B25">
        <w:t xml:space="preserve"> ≥ </w:t>
      </w:r>
      <w:r w:rsidRPr="00CC79E6">
        <w:t>50% stratum and in overall study population (TPS</w:t>
      </w:r>
      <w:r w:rsidR="00D53B25">
        <w:t xml:space="preserve"> ≥ </w:t>
      </w:r>
      <w:r w:rsidRPr="00CC79E6">
        <w:t>1%) treated with pembrolizumab compared to docetaxel.</w:t>
      </w:r>
    </w:p>
    <w:p w14:paraId="522C9A13" w14:textId="77777777" w:rsidR="00CC79E6" w:rsidRPr="00CC79E6" w:rsidRDefault="00CC79E6" w:rsidP="00E961A5">
      <w:pPr>
        <w:pStyle w:val="Numberbullet0"/>
        <w:numPr>
          <w:ilvl w:val="0"/>
          <w:numId w:val="10"/>
        </w:numPr>
      </w:pPr>
      <w:r w:rsidRPr="00CC79E6">
        <w:t xml:space="preserve">To evaluate response duration per </w:t>
      </w:r>
      <w:proofErr w:type="spellStart"/>
      <w:r w:rsidRPr="00CC79E6">
        <w:t>irRC</w:t>
      </w:r>
      <w:proofErr w:type="spellEnd"/>
      <w:r w:rsidRPr="00CC79E6">
        <w:t xml:space="preserve"> by Investigators’ review in </w:t>
      </w:r>
      <w:r w:rsidR="00D53B25">
        <w:t>previously treated</w:t>
      </w:r>
      <w:r w:rsidRPr="00CC79E6">
        <w:t xml:space="preserve"> subjects with NSCLC in the TPS</w:t>
      </w:r>
      <w:r w:rsidR="00D53B25">
        <w:t xml:space="preserve"> ≥ </w:t>
      </w:r>
      <w:r w:rsidRPr="00CC79E6">
        <w:t>50% stratum and in overall study population whose tumours express PD-L1 (TPS</w:t>
      </w:r>
      <w:r w:rsidR="00D53B25">
        <w:t xml:space="preserve"> ≥ </w:t>
      </w:r>
      <w:r w:rsidRPr="00CC79E6">
        <w:t>1%) treated with pembrolizumab compared to docetaxel.</w:t>
      </w:r>
    </w:p>
    <w:p w14:paraId="522C9A14" w14:textId="77777777" w:rsidR="00CC79E6" w:rsidRPr="00CC79E6" w:rsidRDefault="00CC79E6" w:rsidP="00E961A5">
      <w:pPr>
        <w:pStyle w:val="Numberbullet0"/>
        <w:numPr>
          <w:ilvl w:val="0"/>
          <w:numId w:val="10"/>
        </w:numPr>
      </w:pPr>
      <w:r w:rsidRPr="00CC79E6">
        <w:t xml:space="preserve">To evaluate the influence of age of tumour specimen (archival </w:t>
      </w:r>
      <w:r w:rsidR="00D53B25">
        <w:t>versus</w:t>
      </w:r>
      <w:r w:rsidRPr="00CC79E6">
        <w:t xml:space="preserve"> new) submitted for PD-L1 analysis on the primary endpoints PFS and OS.</w:t>
      </w:r>
    </w:p>
    <w:p w14:paraId="522C9A15" w14:textId="77777777" w:rsidR="00CC79E6" w:rsidRPr="00CC79E6" w:rsidRDefault="00CC79E6" w:rsidP="00E961A5">
      <w:pPr>
        <w:pStyle w:val="Numberbullet0"/>
        <w:numPr>
          <w:ilvl w:val="0"/>
          <w:numId w:val="10"/>
        </w:numPr>
      </w:pPr>
      <w:r w:rsidRPr="00CC79E6">
        <w:t xml:space="preserve">To evaluate tumour volumetric changes of </w:t>
      </w:r>
      <w:r w:rsidR="00D53B25">
        <w:t>previously treated</w:t>
      </w:r>
      <w:r w:rsidRPr="00CC79E6">
        <w:t xml:space="preserve"> subjects with NSCLC in the TPS</w:t>
      </w:r>
      <w:r w:rsidR="00D53B25">
        <w:t xml:space="preserve"> ≥ </w:t>
      </w:r>
      <w:r w:rsidRPr="00CC79E6">
        <w:t>50% stratum treated with pembrolizumab compared to docetaxel.</w:t>
      </w:r>
    </w:p>
    <w:p w14:paraId="522C9A16" w14:textId="77777777" w:rsidR="00CC79E6" w:rsidRPr="00CC79E6" w:rsidRDefault="00CC79E6" w:rsidP="00E961A5">
      <w:pPr>
        <w:pStyle w:val="Numberbullet0"/>
        <w:numPr>
          <w:ilvl w:val="0"/>
          <w:numId w:val="10"/>
        </w:numPr>
      </w:pPr>
      <w:r w:rsidRPr="00CC79E6">
        <w:t xml:space="preserve">To explore the correlation of tumour volumetric changes with OS in </w:t>
      </w:r>
      <w:r w:rsidR="00D53B25">
        <w:t>previously treated</w:t>
      </w:r>
      <w:r w:rsidRPr="00CC79E6">
        <w:t xml:space="preserve"> subjects with NSCLC in the TPS</w:t>
      </w:r>
      <w:r w:rsidR="00D53B25">
        <w:t xml:space="preserve"> ≥ </w:t>
      </w:r>
      <w:r w:rsidRPr="00CC79E6">
        <w:t>50% stratum with pembrolizumab compared to docetaxel.</w:t>
      </w:r>
    </w:p>
    <w:p w14:paraId="522C9A17" w14:textId="4A7B3482" w:rsidR="00CC79E6" w:rsidRPr="00CC79E6" w:rsidRDefault="00CC79E6" w:rsidP="00E961A5">
      <w:pPr>
        <w:pStyle w:val="Numberbullet0"/>
        <w:numPr>
          <w:ilvl w:val="0"/>
          <w:numId w:val="10"/>
        </w:numPr>
      </w:pPr>
      <w:r w:rsidRPr="00CC79E6">
        <w:t>To evaluate changes in health-related quality-of-life (</w:t>
      </w:r>
      <w:proofErr w:type="spellStart"/>
      <w:r w:rsidRPr="00CC79E6">
        <w:t>HRQoL</w:t>
      </w:r>
      <w:proofErr w:type="spellEnd"/>
      <w:r w:rsidRPr="00CC79E6">
        <w:t xml:space="preserve">) assessments from baseline in </w:t>
      </w:r>
      <w:r w:rsidR="00D53B25">
        <w:t>previously treated</w:t>
      </w:r>
      <w:r w:rsidRPr="00CC79E6">
        <w:t xml:space="preserve"> subjects with NSCLC in the TPS</w:t>
      </w:r>
      <w:r w:rsidR="00D53B25">
        <w:t xml:space="preserve"> ≥ </w:t>
      </w:r>
      <w:r w:rsidRPr="00CC79E6">
        <w:t>50% stratum and the TPS</w:t>
      </w:r>
      <w:r w:rsidR="00D53B25">
        <w:t xml:space="preserve"> ≥ </w:t>
      </w:r>
      <w:r w:rsidRPr="00CC79E6">
        <w:t>1% population treated with pembrolizumab compared to docetaxel using the electronic European Organization for Research and Treatment of Cancer Quality of Life Questionnaire Core 30 items (</w:t>
      </w:r>
      <w:proofErr w:type="spellStart"/>
      <w:r w:rsidRPr="00CC79E6">
        <w:t>eEORTC</w:t>
      </w:r>
      <w:proofErr w:type="spellEnd"/>
      <w:r w:rsidRPr="00CC79E6">
        <w:t xml:space="preserve"> QLQ-C30) and </w:t>
      </w:r>
      <w:proofErr w:type="spellStart"/>
      <w:r w:rsidRPr="00CC79E6">
        <w:t>eEORTC</w:t>
      </w:r>
      <w:proofErr w:type="spellEnd"/>
      <w:r w:rsidRPr="00CC79E6">
        <w:t xml:space="preserve"> QLQ Lung Cancer 13 items (</w:t>
      </w:r>
      <w:proofErr w:type="spellStart"/>
      <w:r w:rsidRPr="00CC79E6">
        <w:t>eEORTC</w:t>
      </w:r>
      <w:proofErr w:type="spellEnd"/>
      <w:r w:rsidRPr="00CC79E6">
        <w:t xml:space="preserve"> QLQ</w:t>
      </w:r>
      <w:r w:rsidR="00C432EE">
        <w:noBreakHyphen/>
      </w:r>
      <w:r w:rsidRPr="00CC79E6">
        <w:t>LC13).</w:t>
      </w:r>
    </w:p>
    <w:p w14:paraId="522C9A18" w14:textId="739A474D" w:rsidR="00D53B25" w:rsidRDefault="00CC79E6" w:rsidP="00E961A5">
      <w:pPr>
        <w:pStyle w:val="Numberbullet0"/>
        <w:numPr>
          <w:ilvl w:val="0"/>
          <w:numId w:val="10"/>
        </w:numPr>
      </w:pPr>
      <w:r w:rsidRPr="00CC79E6">
        <w:t>To character</w:t>
      </w:r>
      <w:r w:rsidR="00BA53BD">
        <w:t>ise</w:t>
      </w:r>
      <w:r w:rsidRPr="00CC79E6">
        <w:t xml:space="preserve"> utilities in </w:t>
      </w:r>
      <w:r w:rsidR="00D53B25">
        <w:t>previously treated</w:t>
      </w:r>
      <w:r w:rsidRPr="00CC79E6">
        <w:t xml:space="preserve"> subjects with NSCLC in the TPS</w:t>
      </w:r>
      <w:r w:rsidR="00D53B25">
        <w:t xml:space="preserve"> ≥ </w:t>
      </w:r>
      <w:r w:rsidRPr="00CC79E6">
        <w:t>50% stratum and the TPS</w:t>
      </w:r>
      <w:r w:rsidR="00D53B25">
        <w:t xml:space="preserve"> ≥ </w:t>
      </w:r>
      <w:r w:rsidRPr="00CC79E6">
        <w:t>1% population treated with pembrolizumab compared to docetaxel using the electronic European Quality</w:t>
      </w:r>
      <w:r w:rsidR="00D53B25">
        <w:t xml:space="preserve"> of Life 5 Dimensions (eEQ-5D).</w:t>
      </w:r>
    </w:p>
    <w:p w14:paraId="522C9A19" w14:textId="00AE3A48" w:rsidR="00CC79E6" w:rsidRPr="00CC79E6" w:rsidRDefault="00CC79E6" w:rsidP="00E961A5">
      <w:pPr>
        <w:pStyle w:val="Numberbullet0"/>
        <w:numPr>
          <w:ilvl w:val="0"/>
          <w:numId w:val="10"/>
        </w:numPr>
      </w:pPr>
      <w:r w:rsidRPr="00CC79E6">
        <w:t>Character</w:t>
      </w:r>
      <w:r w:rsidR="00BA53BD">
        <w:t>ise</w:t>
      </w:r>
      <w:r w:rsidRPr="00CC79E6">
        <w:t xml:space="preserve"> healthcare resource utilization in </w:t>
      </w:r>
      <w:r w:rsidR="00D53B25">
        <w:t>previously treated</w:t>
      </w:r>
      <w:r w:rsidRPr="00CC79E6">
        <w:t xml:space="preserve"> subjects with NSCLC in the TPS</w:t>
      </w:r>
      <w:r w:rsidR="00D53B25">
        <w:t xml:space="preserve"> ≥ </w:t>
      </w:r>
      <w:r w:rsidRPr="00CC79E6">
        <w:t>50% stratum treated with pembrolizumab compared to docetaxel.</w:t>
      </w:r>
    </w:p>
    <w:p w14:paraId="522C9A1A" w14:textId="77777777" w:rsidR="00CC79E6" w:rsidRPr="00CC79E6" w:rsidRDefault="00CC79E6" w:rsidP="00CC79E6">
      <w:r w:rsidRPr="00CC79E6">
        <w:t>The study was conducted in 198 trial centres in 24 countries.</w:t>
      </w:r>
    </w:p>
    <w:p w14:paraId="522C9A1B" w14:textId="5C6C2775" w:rsidR="00CC79E6" w:rsidRPr="004B259C" w:rsidRDefault="00CC79E6" w:rsidP="00CC79E6">
      <w:r w:rsidRPr="00CC79E6">
        <w:t>The first subject was enrolled in the st</w:t>
      </w:r>
      <w:r w:rsidR="00D53B25">
        <w:t xml:space="preserve">udy on 28 August </w:t>
      </w:r>
      <w:r w:rsidRPr="00CC79E6">
        <w:t xml:space="preserve">2013 and the </w:t>
      </w:r>
      <w:r w:rsidR="00D53B25">
        <w:t xml:space="preserve">last subject was enrolled on 27 February </w:t>
      </w:r>
      <w:r w:rsidRPr="00CC79E6">
        <w:t xml:space="preserve">2015. The planned duration of study was 28 months. The data cut-off date for the final analyses </w:t>
      </w:r>
      <w:r>
        <w:t>in this report was 30</w:t>
      </w:r>
      <w:r w:rsidR="00C432EE">
        <w:t xml:space="preserve"> </w:t>
      </w:r>
      <w:r w:rsidR="00D53B25">
        <w:t>September</w:t>
      </w:r>
      <w:r w:rsidR="00C432EE">
        <w:t xml:space="preserve"> </w:t>
      </w:r>
      <w:r>
        <w:t>2015.</w:t>
      </w:r>
    </w:p>
    <w:p w14:paraId="522C9A1C" w14:textId="77777777" w:rsidR="00CC79E6" w:rsidRPr="00CC79E6" w:rsidRDefault="00CC79E6" w:rsidP="00CC79E6">
      <w:pPr>
        <w:pStyle w:val="Heading5"/>
      </w:pPr>
      <w:r w:rsidRPr="00CC79E6">
        <w:t>Inclusion and exclusion criteria</w:t>
      </w:r>
    </w:p>
    <w:p w14:paraId="522C9A1D" w14:textId="3C32A027" w:rsidR="00CC79E6" w:rsidRPr="00CC79E6" w:rsidRDefault="00CC79E6" w:rsidP="00CC79E6">
      <w:r w:rsidRPr="00CC79E6">
        <w:t>A complete list of inclusion and exclusio</w:t>
      </w:r>
      <w:r>
        <w:t xml:space="preserve">n criteria </w:t>
      </w:r>
      <w:r w:rsidR="00BA53BD">
        <w:t>[are not reproduced here, but summarised below].</w:t>
      </w:r>
    </w:p>
    <w:p w14:paraId="522C9A1E" w14:textId="77777777" w:rsidR="00CC79E6" w:rsidRPr="00CC79E6" w:rsidRDefault="00CC79E6" w:rsidP="00CC79E6">
      <w:r w:rsidRPr="00CC79E6">
        <w:t xml:space="preserve">Patients were eligible for trial entry if they had NSCLC which expressed PD-L1 and had experienced disease progression following </w:t>
      </w:r>
      <w:r w:rsidR="00D53B25">
        <w:t>platinum containing</w:t>
      </w:r>
      <w:r>
        <w:t xml:space="preserve"> systemic therapy.</w:t>
      </w:r>
    </w:p>
    <w:p w14:paraId="522C9A1F" w14:textId="77777777" w:rsidR="008C5595" w:rsidRDefault="008C5595" w:rsidP="008C5595">
      <w:pPr>
        <w:pStyle w:val="Heading6"/>
      </w:pPr>
      <w:r>
        <w:lastRenderedPageBreak/>
        <w:t>Inclusion criteria</w:t>
      </w:r>
    </w:p>
    <w:p w14:paraId="522C9A20" w14:textId="77777777" w:rsidR="00CC79E6" w:rsidRPr="00CC79E6" w:rsidRDefault="00CC79E6" w:rsidP="00CC79E6">
      <w:r w:rsidRPr="00CC79E6">
        <w:t>Key inclusion criteria were:</w:t>
      </w:r>
    </w:p>
    <w:p w14:paraId="522C9A21" w14:textId="77777777" w:rsidR="00CC79E6" w:rsidRPr="00CC79E6" w:rsidRDefault="00CC79E6" w:rsidP="00E961A5">
      <w:pPr>
        <w:pStyle w:val="Numberbullet0"/>
        <w:numPr>
          <w:ilvl w:val="0"/>
          <w:numId w:val="11"/>
        </w:numPr>
      </w:pPr>
      <w:r w:rsidRPr="00CC79E6">
        <w:t>Be willing and able to provide written informed consent</w:t>
      </w:r>
      <w:r w:rsidR="00FC7793">
        <w:t>.</w:t>
      </w:r>
    </w:p>
    <w:p w14:paraId="522C9A22" w14:textId="77777777" w:rsidR="00CC79E6" w:rsidRPr="00CC79E6" w:rsidRDefault="00CC79E6" w:rsidP="00E961A5">
      <w:pPr>
        <w:pStyle w:val="Numberbullet0"/>
        <w:numPr>
          <w:ilvl w:val="0"/>
          <w:numId w:val="11"/>
        </w:numPr>
      </w:pPr>
      <w:r w:rsidRPr="00CC79E6">
        <w:t>Be</w:t>
      </w:r>
      <w:r w:rsidR="00D53B25">
        <w:t xml:space="preserve"> ≥ </w:t>
      </w:r>
      <w:r w:rsidRPr="00CC79E6">
        <w:t>18 years of age on day of signing informed consent.</w:t>
      </w:r>
    </w:p>
    <w:p w14:paraId="522C9A23" w14:textId="77777777" w:rsidR="00CC79E6" w:rsidRPr="00CC79E6" w:rsidRDefault="00CC79E6" w:rsidP="00E961A5">
      <w:pPr>
        <w:pStyle w:val="Numberbullet0"/>
        <w:numPr>
          <w:ilvl w:val="0"/>
          <w:numId w:val="11"/>
        </w:numPr>
      </w:pPr>
      <w:r w:rsidRPr="00CC79E6">
        <w:t>Have a life expectancy of at least 3 months.</w:t>
      </w:r>
    </w:p>
    <w:p w14:paraId="522C9A24" w14:textId="77777777" w:rsidR="00CC79E6" w:rsidRPr="00CC79E6" w:rsidRDefault="00CC79E6" w:rsidP="00E961A5">
      <w:pPr>
        <w:pStyle w:val="Numberbullet0"/>
        <w:numPr>
          <w:ilvl w:val="0"/>
          <w:numId w:val="11"/>
        </w:numPr>
      </w:pPr>
      <w:r w:rsidRPr="00CC79E6">
        <w:t xml:space="preserve">Have a histologically or cytologically confirmed diagnosis of NSCLC and have at least one measurable lesion as defined by RECIST 1.1. The target lesion(s) should also have bi-dimensional measurability for </w:t>
      </w:r>
      <w:proofErr w:type="spellStart"/>
      <w:r w:rsidRPr="00CC79E6">
        <w:t>irRC</w:t>
      </w:r>
      <w:proofErr w:type="spellEnd"/>
      <w:r w:rsidRPr="00CC79E6">
        <w:t xml:space="preserve"> evaluation on study.</w:t>
      </w:r>
    </w:p>
    <w:p w14:paraId="522C9A25" w14:textId="77777777" w:rsidR="00D53B25" w:rsidRDefault="00CC79E6" w:rsidP="00E961A5">
      <w:pPr>
        <w:pStyle w:val="Numberbullet0"/>
        <w:numPr>
          <w:ilvl w:val="0"/>
          <w:numId w:val="11"/>
        </w:numPr>
      </w:pPr>
      <w:r w:rsidRPr="00CC79E6">
        <w:t>Have ex</w:t>
      </w:r>
      <w:r w:rsidR="00FC7793">
        <w:t>perienced i</w:t>
      </w:r>
      <w:r w:rsidRPr="00CC79E6">
        <w:t xml:space="preserve">nvestigator determined radiographic progression per RECIST 1.1 of NSCLC after treatment with at least two cycles of a </w:t>
      </w:r>
      <w:r w:rsidR="00D53B25">
        <w:t>platinum containing</w:t>
      </w:r>
      <w:r w:rsidRPr="00CC79E6">
        <w:t xml:space="preserve"> doublet for stage IIIB/IV or recurrent disease</w:t>
      </w:r>
      <w:r w:rsidR="00D53B25">
        <w:t>.</w:t>
      </w:r>
    </w:p>
    <w:p w14:paraId="522C9A26" w14:textId="7D36BA2D" w:rsidR="00D53B25" w:rsidRDefault="00CC79E6" w:rsidP="00CC79E6">
      <w:pPr>
        <w:pStyle w:val="Numberbullet2"/>
      </w:pPr>
      <w:r w:rsidRPr="00CC79E6">
        <w:t>Subjects with an EGFR sensit</w:t>
      </w:r>
      <w:r w:rsidR="001B20AC">
        <w:t>ising</w:t>
      </w:r>
      <w:r w:rsidRPr="00CC79E6">
        <w:t xml:space="preserve"> mutation must also be able to demonstrate progression of disease on the EGFR TKI (</w:t>
      </w:r>
      <w:proofErr w:type="gramStart"/>
      <w:r w:rsidRPr="00CC79E6">
        <w:t>either erlotinib</w:t>
      </w:r>
      <w:proofErr w:type="gramEnd"/>
      <w:r w:rsidRPr="00CC79E6">
        <w:t xml:space="preserve">, gefitinib, or afatinib) in a similar manner to that above for the </w:t>
      </w:r>
      <w:r w:rsidR="00D53B25">
        <w:t>platinum containing</w:t>
      </w:r>
      <w:r w:rsidRPr="00CC79E6">
        <w:t xml:space="preserve"> doublet</w:t>
      </w:r>
      <w:r w:rsidR="00D53B25">
        <w:t>.</w:t>
      </w:r>
    </w:p>
    <w:p w14:paraId="522C9A27" w14:textId="77777777" w:rsidR="00D53B25" w:rsidRDefault="00CC79E6" w:rsidP="00CC79E6">
      <w:pPr>
        <w:pStyle w:val="Numberbullet2"/>
      </w:pPr>
      <w:r w:rsidRPr="00CC79E6">
        <w:t>Subjects with an ALK translocation must also be able to demonstrate progression of disease on crizotinib in a similar manner to that above for the platinum containing doublet</w:t>
      </w:r>
      <w:r w:rsidR="00D53B25">
        <w:t>.</w:t>
      </w:r>
    </w:p>
    <w:p w14:paraId="522C9A28" w14:textId="77777777" w:rsidR="00CC79E6" w:rsidRPr="00CC79E6" w:rsidRDefault="00CC79E6" w:rsidP="00CC79E6">
      <w:pPr>
        <w:pStyle w:val="Numberbullet0"/>
      </w:pPr>
      <w:r w:rsidRPr="00CC79E6">
        <w:t>Have a performance status of 0 or 1 on the ECOG Performance Scale.</w:t>
      </w:r>
    </w:p>
    <w:p w14:paraId="522C9A29" w14:textId="77777777" w:rsidR="00CC79E6" w:rsidRDefault="00CC79E6" w:rsidP="00CC79E6">
      <w:pPr>
        <w:pStyle w:val="Numberbullet0"/>
      </w:pPr>
      <w:r w:rsidRPr="00CC79E6">
        <w:t xml:space="preserve">Have adequate organ function as indicated in </w:t>
      </w:r>
      <w:r w:rsidR="001F1098">
        <w:t>T</w:t>
      </w:r>
      <w:r w:rsidRPr="00CC79E6">
        <w:t xml:space="preserve">able </w:t>
      </w:r>
      <w:r w:rsidR="001F1098">
        <w:t>1.</w:t>
      </w:r>
    </w:p>
    <w:p w14:paraId="522C9A2A" w14:textId="77777777" w:rsidR="001F1098" w:rsidRPr="00CC79E6" w:rsidRDefault="001F1098" w:rsidP="001F1098">
      <w:pPr>
        <w:pStyle w:val="Tabletitle"/>
      </w:pPr>
      <w:r>
        <w:t>Table 1: Parameters used for assessment of organ function</w:t>
      </w:r>
    </w:p>
    <w:p w14:paraId="522C9A2B" w14:textId="77777777" w:rsidR="00CC79E6" w:rsidRDefault="008C5595" w:rsidP="00C22678">
      <w:pPr>
        <w:rPr>
          <w:lang w:eastAsia="ja-JP"/>
        </w:rPr>
      </w:pPr>
      <w:r>
        <w:rPr>
          <w:noProof/>
          <w:lang w:eastAsia="en-AU"/>
        </w:rPr>
        <w:drawing>
          <wp:inline distT="0" distB="0" distL="0" distR="0" wp14:anchorId="522C9CCD" wp14:editId="522C9CCE">
            <wp:extent cx="5731510" cy="4561250"/>
            <wp:effectExtent l="0" t="0" r="2540" b="0"/>
            <wp:docPr id="5" name="Picture 5" descr="Table 1: Parameters used for assessment of organ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561250"/>
                    </a:xfrm>
                    <a:prstGeom prst="rect">
                      <a:avLst/>
                    </a:prstGeom>
                  </pic:spPr>
                </pic:pic>
              </a:graphicData>
            </a:graphic>
          </wp:inline>
        </w:drawing>
      </w:r>
    </w:p>
    <w:p w14:paraId="522C9A2C" w14:textId="77777777" w:rsidR="008C5595" w:rsidRPr="008C5595" w:rsidRDefault="008C5595" w:rsidP="008C5595">
      <w:pPr>
        <w:pStyle w:val="Numberbullet0"/>
      </w:pPr>
      <w:r w:rsidRPr="008C5595">
        <w:lastRenderedPageBreak/>
        <w:t>Have provided tissue for PD-L1 biomarker analysis from a newly obtained formalin fixed tumour tissue from a recent biopsy of a tumour lesion not previously irradiated; no systemic antineoplastic therapy may be administered between the PD-L1 biopsy and initiating study medication.</w:t>
      </w:r>
    </w:p>
    <w:p w14:paraId="522C9A2D" w14:textId="77777777" w:rsidR="008C5595" w:rsidRPr="008C5595" w:rsidRDefault="008C5595" w:rsidP="008C5595">
      <w:pPr>
        <w:pStyle w:val="Numberbullet0"/>
      </w:pPr>
      <w:r w:rsidRPr="008C5595">
        <w:t>Have a PD-L1 positive (either strongly [TPS</w:t>
      </w:r>
      <w:r w:rsidR="00D53B25">
        <w:t xml:space="preserve"> &gt;</w:t>
      </w:r>
      <w:r w:rsidR="00C10435">
        <w:t xml:space="preserve"> </w:t>
      </w:r>
      <w:r w:rsidRPr="008C5595">
        <w:t>50%] or weakly [TPS</w:t>
      </w:r>
      <w:r w:rsidR="00FC7793">
        <w:t xml:space="preserve"> = </w:t>
      </w:r>
      <w:r w:rsidRPr="008C5595">
        <w:t>1-49%]) tumour as determined by IHC at a central laboratory. If a subject’s initial tumour specimen is not classified as PD-L1 positive by the central laboratory, a newly obtained specimen (different from the sample previously submitted) may be submitted for testing. If the newer specimen is classified as PD-L1 positive by the central laboratory, the subject meets this eligibility criterion.</w:t>
      </w:r>
    </w:p>
    <w:p w14:paraId="522C9A2E" w14:textId="77777777" w:rsidR="008C5595" w:rsidRDefault="008C5595" w:rsidP="008C5595">
      <w:pPr>
        <w:pStyle w:val="Heading6"/>
      </w:pPr>
      <w:r>
        <w:t>Exclusion criteria</w:t>
      </w:r>
    </w:p>
    <w:p w14:paraId="522C9A2F" w14:textId="77777777" w:rsidR="008C5595" w:rsidRPr="008C5595" w:rsidRDefault="008C5595" w:rsidP="008C5595">
      <w:r w:rsidRPr="008C5595">
        <w:t>Key exclusion criteria were:</w:t>
      </w:r>
    </w:p>
    <w:p w14:paraId="522C9A30" w14:textId="77777777" w:rsidR="008C5595" w:rsidRPr="008C5595" w:rsidRDefault="008C5595" w:rsidP="008C5595">
      <w:r w:rsidRPr="008C5595">
        <w:t>The subject must be excluded from participating in the trial if the subject:</w:t>
      </w:r>
    </w:p>
    <w:p w14:paraId="522C9A31" w14:textId="77777777" w:rsidR="008C5595" w:rsidRPr="008C5595" w:rsidRDefault="008C5595" w:rsidP="00E961A5">
      <w:pPr>
        <w:pStyle w:val="Numberbullet0"/>
        <w:numPr>
          <w:ilvl w:val="0"/>
          <w:numId w:val="12"/>
        </w:numPr>
      </w:pPr>
      <w:r w:rsidRPr="008C5595">
        <w:t>Has received prior therapy with docetaxel for NSCLC.</w:t>
      </w:r>
    </w:p>
    <w:p w14:paraId="522C9A32" w14:textId="77777777" w:rsidR="008C5595" w:rsidRPr="008C5595" w:rsidRDefault="008C5595" w:rsidP="00E961A5">
      <w:pPr>
        <w:pStyle w:val="Numberbullet0"/>
        <w:numPr>
          <w:ilvl w:val="0"/>
          <w:numId w:val="12"/>
        </w:numPr>
      </w:pPr>
      <w:r w:rsidRPr="008C5595">
        <w:t xml:space="preserve">Is currently participating or has participated in a study of an investigational agent or using an investigational device within 30 days of the first dose of trial treatment. The </w:t>
      </w:r>
      <w:r w:rsidR="00FC7793">
        <w:t>30 day</w:t>
      </w:r>
      <w:r w:rsidRPr="008C5595">
        <w:t xml:space="preserve"> window should be applied to the last dose of an antineoplastic investigational agent or last use of an investigational device with antineoplastic intent.</w:t>
      </w:r>
    </w:p>
    <w:p w14:paraId="522C9A33" w14:textId="77777777" w:rsidR="008C5595" w:rsidRPr="008C5595" w:rsidRDefault="008C5595" w:rsidP="00E961A5">
      <w:pPr>
        <w:pStyle w:val="Numberbullet0"/>
        <w:numPr>
          <w:ilvl w:val="0"/>
          <w:numId w:val="12"/>
        </w:numPr>
      </w:pPr>
      <w:r w:rsidRPr="008C5595">
        <w:t>Is receiving systemic steroid therapy within three days prior to the first dose of trial treatment or receiving any other form of immunosuppressive medication (corticosteroid use on study for management of events of clinical interest (ECIs) or as a pre-medication for docetaxel is allowed).</w:t>
      </w:r>
    </w:p>
    <w:p w14:paraId="522C9A34" w14:textId="37915186" w:rsidR="008C5595" w:rsidRPr="008C5595" w:rsidRDefault="008C5595" w:rsidP="00E961A5">
      <w:pPr>
        <w:pStyle w:val="Numberbullet0"/>
        <w:numPr>
          <w:ilvl w:val="0"/>
          <w:numId w:val="12"/>
        </w:numPr>
      </w:pPr>
      <w:r w:rsidRPr="008C5595">
        <w:t>Is expected to require any other form of systemic or local</w:t>
      </w:r>
      <w:r w:rsidR="00EF3E5B">
        <w:t>ised</w:t>
      </w:r>
      <w:r w:rsidRPr="008C5595">
        <w:t xml:space="preserve"> antineoplastic therapy while on trial (including maintenance therapy with another agent for NSCLC or radiation therapy).</w:t>
      </w:r>
    </w:p>
    <w:p w14:paraId="522C9A35" w14:textId="77777777" w:rsidR="008C5595" w:rsidRPr="008C5595" w:rsidRDefault="008C5595" w:rsidP="00E961A5">
      <w:pPr>
        <w:pStyle w:val="Numberbullet0"/>
        <w:numPr>
          <w:ilvl w:val="0"/>
          <w:numId w:val="12"/>
        </w:numPr>
      </w:pPr>
      <w:r w:rsidRPr="008C5595">
        <w:t>Has received prior systemic cytotoxic chemotherapy, antineoplastic biological therapy (</w:t>
      </w:r>
      <w:r w:rsidR="00FC7793">
        <w:t>for example</w:t>
      </w:r>
      <w:r w:rsidRPr="008C5595">
        <w:t xml:space="preserve">, </w:t>
      </w:r>
      <w:proofErr w:type="spellStart"/>
      <w:r w:rsidRPr="008C5595">
        <w:t>cetuximab</w:t>
      </w:r>
      <w:proofErr w:type="spellEnd"/>
      <w:r w:rsidRPr="008C5595">
        <w:t>), major surgery within 3 weeks of the first dose of trial treatment; received thoracic radiation therapy of</w:t>
      </w:r>
      <w:r w:rsidR="00D53B25">
        <w:t xml:space="preserve"> &gt;</w:t>
      </w:r>
      <w:r w:rsidR="00C10435">
        <w:t xml:space="preserve"> </w:t>
      </w:r>
      <w:r w:rsidRPr="008C5595">
        <w:t xml:space="preserve">30 </w:t>
      </w:r>
      <w:proofErr w:type="spellStart"/>
      <w:r w:rsidRPr="008C5595">
        <w:t>Gy</w:t>
      </w:r>
      <w:proofErr w:type="spellEnd"/>
      <w:r w:rsidRPr="008C5595">
        <w:t xml:space="preserve"> within 6 months of the first dose of trial treatment; received prior TKI therapy or completed palliative radiotherapy within 7 days of the first dose of trial treatment.</w:t>
      </w:r>
    </w:p>
    <w:p w14:paraId="522C9A36" w14:textId="5CF16136" w:rsidR="008C5595" w:rsidRPr="008C5595" w:rsidRDefault="008C5595" w:rsidP="00E961A5">
      <w:pPr>
        <w:pStyle w:val="Numberbullet0"/>
        <w:numPr>
          <w:ilvl w:val="0"/>
          <w:numId w:val="12"/>
        </w:numPr>
      </w:pPr>
      <w:r w:rsidRPr="008C5595">
        <w:t>Has received prior therapy with an anti-PD-1, anti-PD-L1, anti-PD-L2, anti-CD137, or anti</w:t>
      </w:r>
      <w:r w:rsidR="0072420A">
        <w:noBreakHyphen/>
      </w:r>
      <w:r w:rsidRPr="008C5595">
        <w:t>CTLA-4 antibody (including ipilimumab or any other antibody or drug specifically targeting T-cell co-stimulation or checkpoint pathways). Has participated in another pembrolizumab clinical trial.</w:t>
      </w:r>
    </w:p>
    <w:p w14:paraId="522C9A37" w14:textId="77777777" w:rsidR="008C5595" w:rsidRPr="008C5595" w:rsidRDefault="008C5595" w:rsidP="00E961A5">
      <w:pPr>
        <w:pStyle w:val="Numberbullet0"/>
        <w:numPr>
          <w:ilvl w:val="0"/>
          <w:numId w:val="12"/>
        </w:numPr>
      </w:pPr>
      <w:r w:rsidRPr="008C5595">
        <w:t>Has a known history of prior malignancy except if the subject has undergone potentially curative therapy with no evidence of that disease recurrence for 5 years since initiation of that therapy.</w:t>
      </w:r>
    </w:p>
    <w:p w14:paraId="522C9A38" w14:textId="77777777" w:rsidR="008C5595" w:rsidRPr="008C5595" w:rsidRDefault="008C5595" w:rsidP="008C5595">
      <w:pPr>
        <w:pStyle w:val="ListBullet"/>
      </w:pPr>
      <w:r w:rsidRPr="008C5595">
        <w:t>Note: The time requirement for no evidence of disease for 5 years does not apply to the NSCLC tumour for which a subject is enrolled in this trial. The time requirement also does not apply to subjects who underwent successful definitive resection of basal cell carcinoma of the skin, superficial bladder cancer, squamous cell carcinoma of the skin, or in situ cervical cancer.</w:t>
      </w:r>
    </w:p>
    <w:p w14:paraId="522C9A39" w14:textId="77777777" w:rsidR="008C5595" w:rsidRPr="008C5595" w:rsidRDefault="008C5595" w:rsidP="008C5595">
      <w:pPr>
        <w:pStyle w:val="Heading6"/>
      </w:pPr>
      <w:r>
        <w:t xml:space="preserve">Ascertainment of </w:t>
      </w:r>
      <w:r w:rsidRPr="008C5595">
        <w:t>biomarker status</w:t>
      </w:r>
    </w:p>
    <w:p w14:paraId="522C9A3A" w14:textId="77777777" w:rsidR="00D53B25" w:rsidRDefault="008C5595" w:rsidP="008C5595">
      <w:r w:rsidRPr="008C5595">
        <w:t>Tumour histological material was used to assess PD-L1, EGFR and ALK status prior to randomisation. Until the implementation of protocol amendment 8, archival material could be used for this determination</w:t>
      </w:r>
      <w:r w:rsidR="00D53B25">
        <w:t>.</w:t>
      </w:r>
    </w:p>
    <w:p w14:paraId="522C9A3B" w14:textId="1E0908FE" w:rsidR="008C5595" w:rsidRPr="008C5595" w:rsidRDefault="008C5595" w:rsidP="008C5595">
      <w:r w:rsidRPr="008C5595">
        <w:lastRenderedPageBreak/>
        <w:t xml:space="preserve">Protocol amendment 8 required the use of </w:t>
      </w:r>
      <w:r w:rsidR="00EF3E5B">
        <w:t>‘</w:t>
      </w:r>
      <w:r w:rsidRPr="008C5595">
        <w:t>newly obtained</w:t>
      </w:r>
      <w:r w:rsidR="00EF3E5B">
        <w:t>’</w:t>
      </w:r>
      <w:r w:rsidRPr="008C5595">
        <w:t xml:space="preserve"> formalin-fixed tissue from a recent biopsy of a tumour lesion not previously irradiated. Patients were precluded from receiving any anti-neoplastic treatment between the biopsy to determine PD-L1 status and commencement of allocated study therapy.</w:t>
      </w:r>
    </w:p>
    <w:p w14:paraId="522C9A3C" w14:textId="40127953" w:rsidR="008C5595" w:rsidRPr="008C5595" w:rsidRDefault="008C5595" w:rsidP="008C5595">
      <w:r w:rsidRPr="008C5595">
        <w:t xml:space="preserve">The sponsor states that exceptions to the requirement for a fresh biopsy could be given if it was deemed </w:t>
      </w:r>
      <w:r w:rsidR="00EF3E5B">
        <w:t>‘</w:t>
      </w:r>
      <w:r w:rsidRPr="008C5595">
        <w:t>medically in</w:t>
      </w:r>
      <w:r>
        <w:t>appropriate</w:t>
      </w:r>
      <w:r w:rsidR="00EF3E5B">
        <w:t>’</w:t>
      </w:r>
      <w:r>
        <w:t xml:space="preserve"> for this to occur.</w:t>
      </w:r>
    </w:p>
    <w:p w14:paraId="522C9A3D" w14:textId="4D221079" w:rsidR="008C5595" w:rsidRPr="008C5595" w:rsidRDefault="008C5595" w:rsidP="008C5595">
      <w:pPr>
        <w:pStyle w:val="Comment"/>
      </w:pPr>
      <w:r w:rsidRPr="008C5595">
        <w:rPr>
          <w:b/>
        </w:rPr>
        <w:t>Comment</w:t>
      </w:r>
      <w:r w:rsidRPr="0072420A">
        <w:rPr>
          <w:b/>
        </w:rPr>
        <w:t>:</w:t>
      </w:r>
      <w:r w:rsidRPr="00EC5C29">
        <w:rPr>
          <w:b/>
        </w:rPr>
        <w:t xml:space="preserve"> </w:t>
      </w:r>
      <w:r w:rsidRPr="008C5595">
        <w:t xml:space="preserve">The definition of </w:t>
      </w:r>
      <w:r w:rsidR="00EF3E5B">
        <w:t>‘</w:t>
      </w:r>
      <w:r w:rsidRPr="008C5595">
        <w:t>newly obtained</w:t>
      </w:r>
      <w:r w:rsidR="00EF3E5B">
        <w:t>’</w:t>
      </w:r>
      <w:r w:rsidRPr="008C5595">
        <w:t xml:space="preserve"> is uncertain. The duration between tissue sample harvest and ability to no longer accurately determine PD-L1 status is not described. See clinical questions.</w:t>
      </w:r>
    </w:p>
    <w:p w14:paraId="522C9A3E" w14:textId="77777777" w:rsidR="008C5595" w:rsidRPr="008C5595" w:rsidRDefault="008C5595" w:rsidP="008C5595">
      <w:pPr>
        <w:pStyle w:val="Heading5"/>
      </w:pPr>
      <w:r w:rsidRPr="008C5595">
        <w:t>Study treatments</w:t>
      </w:r>
    </w:p>
    <w:p w14:paraId="522C9A3F" w14:textId="77777777" w:rsidR="008C5595" w:rsidRPr="008C5595" w:rsidRDefault="008C5595" w:rsidP="008C5595">
      <w:r w:rsidRPr="008C5595">
        <w:t xml:space="preserve">Trial treatment was administered on </w:t>
      </w:r>
      <w:r w:rsidR="00FC7793">
        <w:t>Day</w:t>
      </w:r>
      <w:r w:rsidRPr="008C5595">
        <w:t xml:space="preserve"> 1 of each cycle.</w:t>
      </w:r>
    </w:p>
    <w:p w14:paraId="522C9A40" w14:textId="3DDB4A3E" w:rsidR="008C5595" w:rsidRPr="008C5595" w:rsidRDefault="008C5595" w:rsidP="008C5595">
      <w:r w:rsidRPr="008C5595">
        <w:t xml:space="preserve">Pembrolizumab was administered as a 30 minute IV infusion </w:t>
      </w:r>
      <w:r w:rsidR="00FC7793">
        <w:t>every 3 weeks (Q3W) at either 2 </w:t>
      </w:r>
      <w:r w:rsidRPr="008C5595">
        <w:t>mg/kg or 10 mg/kg</w:t>
      </w:r>
      <w:r w:rsidR="0072420A">
        <w:t>.</w:t>
      </w:r>
    </w:p>
    <w:p w14:paraId="522C9A41" w14:textId="77777777" w:rsidR="008C5595" w:rsidRPr="008C5595" w:rsidRDefault="008C5595" w:rsidP="008C5595">
      <w:r w:rsidRPr="008C5595">
        <w:t>Docetaxel at 75 mg/kg was administered as an IV infusion over 1 hour Q3W, following pre-medication with either oral or IV steroid as per the approved PI.</w:t>
      </w:r>
    </w:p>
    <w:p w14:paraId="522C9A42" w14:textId="3306B0C0" w:rsidR="008C5595" w:rsidRPr="008C5595" w:rsidRDefault="008C5595" w:rsidP="008C5595">
      <w:r w:rsidRPr="008C5595">
        <w:t>The sponsor states that the study design permitted the option to drop one of the two doses of pembrolizumab based upon the first interim ana</w:t>
      </w:r>
      <w:r>
        <w:t>lysis.</w:t>
      </w:r>
    </w:p>
    <w:p w14:paraId="522C9A43" w14:textId="77777777" w:rsidR="008C5595" w:rsidRPr="008C5595" w:rsidRDefault="008C5595" w:rsidP="008C5595">
      <w:pPr>
        <w:pStyle w:val="Heading5"/>
      </w:pPr>
      <w:r w:rsidRPr="008C5595">
        <w:t>Efficacy variables and outcomes</w:t>
      </w:r>
    </w:p>
    <w:p w14:paraId="522C9A44" w14:textId="77777777" w:rsidR="00D53B25" w:rsidRDefault="008C5595" w:rsidP="008C5595">
      <w:r w:rsidRPr="008C5595">
        <w:t xml:space="preserve">The primary efficacy outcomes were overall survival and </w:t>
      </w:r>
      <w:r w:rsidR="00FC7793">
        <w:t>progression free</w:t>
      </w:r>
      <w:r w:rsidRPr="008C5595">
        <w:t xml:space="preserve"> survival</w:t>
      </w:r>
      <w:r w:rsidR="00D53B25">
        <w:t>.</w:t>
      </w:r>
    </w:p>
    <w:p w14:paraId="522C9A45" w14:textId="77777777" w:rsidR="008C5595" w:rsidRPr="008C5595" w:rsidRDefault="008C5595" w:rsidP="008C5595">
      <w:r w:rsidRPr="008C5595">
        <w:t>Secondary outcomes were overall response rate and response duration.</w:t>
      </w:r>
    </w:p>
    <w:p w14:paraId="522C9A46" w14:textId="77777777" w:rsidR="008C5595" w:rsidRPr="008C5595" w:rsidRDefault="008C5595" w:rsidP="008C5595">
      <w:r w:rsidRPr="008C5595">
        <w:t>ORR and response duration were assessed based on independent radiologists’ review per RECIST 1.1. All analyses were performed in the TPS</w:t>
      </w:r>
      <w:r w:rsidR="00D53B25">
        <w:t xml:space="preserve"> ≥ </w:t>
      </w:r>
      <w:r w:rsidRPr="008C5595">
        <w:t>50% stratum and in the TPS</w:t>
      </w:r>
      <w:r w:rsidR="00D53B25">
        <w:t xml:space="preserve"> ≥ </w:t>
      </w:r>
      <w:r>
        <w:t>1% population.</w:t>
      </w:r>
    </w:p>
    <w:p w14:paraId="522C9A47" w14:textId="77777777" w:rsidR="008C5595" w:rsidRPr="008C5595" w:rsidRDefault="008C5595" w:rsidP="008C5595">
      <w:r w:rsidRPr="008C5595">
        <w:t xml:space="preserve">Patient reported outcomes were assessed using the tools </w:t>
      </w:r>
      <w:proofErr w:type="spellStart"/>
      <w:r w:rsidRPr="008C5595">
        <w:t>eEORTC</w:t>
      </w:r>
      <w:proofErr w:type="spellEnd"/>
      <w:r w:rsidRPr="008C5595">
        <w:t xml:space="preserve"> QLQ-C30, </w:t>
      </w:r>
      <w:proofErr w:type="spellStart"/>
      <w:r w:rsidRPr="008C5595">
        <w:t>eEORTC</w:t>
      </w:r>
      <w:proofErr w:type="spellEnd"/>
      <w:r w:rsidRPr="008C5595">
        <w:t xml:space="preserve"> QLQ-LC13 and eEQ-5D</w:t>
      </w:r>
    </w:p>
    <w:p w14:paraId="522C9A48" w14:textId="77777777" w:rsidR="008C5595" w:rsidRPr="008C5595" w:rsidRDefault="008C5595" w:rsidP="008C5595">
      <w:r w:rsidRPr="008C5595">
        <w:t>A health economic assessment was completed after the patient had complet</w:t>
      </w:r>
      <w:r w:rsidR="00FC7793">
        <w:t xml:space="preserve">ed all other questionnaires. </w:t>
      </w:r>
      <w:r w:rsidRPr="008C5595">
        <w:t xml:space="preserve">The trial flow chart schedule of patient assessments </w:t>
      </w:r>
      <w:r w:rsidR="00FC7793">
        <w:t>was provided.</w:t>
      </w:r>
    </w:p>
    <w:p w14:paraId="522C9A49" w14:textId="77777777" w:rsidR="008C5595" w:rsidRPr="008C5595" w:rsidRDefault="008C5595" w:rsidP="008C5595">
      <w:pPr>
        <w:pStyle w:val="Heading5"/>
      </w:pPr>
      <w:r w:rsidRPr="008C5595">
        <w:t>Randomisation and blinding methods</w:t>
      </w:r>
    </w:p>
    <w:p w14:paraId="522C9A4A" w14:textId="77777777" w:rsidR="008C5595" w:rsidRPr="008C5595" w:rsidRDefault="008C5595" w:rsidP="008C5595">
      <w:r w:rsidRPr="008C5595">
        <w:t>Owing to the difference in duration of infusion between docetaxel and pembrolizumab, and need for pre-medication with docetaxel, the study was open label.</w:t>
      </w:r>
    </w:p>
    <w:p w14:paraId="522C9A4B" w14:textId="77777777" w:rsidR="008C5595" w:rsidRPr="008C5595" w:rsidRDefault="008C5595" w:rsidP="008C5595">
      <w:r w:rsidRPr="008C5595">
        <w:t>Subjects were randomised via a central interactive voice response system or Interactive Voice and Web Response System in a 1:1:1 ratio in</w:t>
      </w:r>
      <w:r w:rsidR="00FC7793">
        <w:t>to one of three treatment arms; pembrolizumab 10 </w:t>
      </w:r>
      <w:r w:rsidRPr="008C5595">
        <w:t>mg/kg Q3W, pembrolizumab 2 mg/kg Q3W or docetaxel 75 mg/</w:t>
      </w:r>
      <w:r w:rsidR="00D53B25">
        <w:rPr>
          <w:lang w:eastAsia="ja-JP"/>
        </w:rPr>
        <w:t>m</w:t>
      </w:r>
      <w:r w:rsidR="00D53B25" w:rsidRPr="00D53B25">
        <w:rPr>
          <w:vertAlign w:val="superscript"/>
          <w:lang w:eastAsia="ja-JP"/>
        </w:rPr>
        <w:t>2</w:t>
      </w:r>
      <w:r w:rsidRPr="008C5595">
        <w:t xml:space="preserve"> Q3W.</w:t>
      </w:r>
    </w:p>
    <w:p w14:paraId="522C9A4C" w14:textId="77777777" w:rsidR="008C5595" w:rsidRPr="008C5595" w:rsidRDefault="008C5595" w:rsidP="008C5595">
      <w:r w:rsidRPr="008C5595">
        <w:t>For patients randomised, the degree of PD-L1</w:t>
      </w:r>
      <w:r w:rsidR="00FC7793">
        <w:t xml:space="preserve"> expression was double </w:t>
      </w:r>
      <w:r>
        <w:t>blinded.</w:t>
      </w:r>
    </w:p>
    <w:p w14:paraId="522C9A4D" w14:textId="77777777" w:rsidR="008C5595" w:rsidRPr="008C5595" w:rsidRDefault="008C5595" w:rsidP="008C5595">
      <w:pPr>
        <w:pStyle w:val="Heading5"/>
      </w:pPr>
      <w:r w:rsidRPr="008C5595">
        <w:t>Analysis populations</w:t>
      </w:r>
    </w:p>
    <w:p w14:paraId="522C9A4E" w14:textId="77777777" w:rsidR="008C5595" w:rsidRPr="008C5595" w:rsidRDefault="008C5595" w:rsidP="008C5595">
      <w:r w:rsidRPr="008C5595">
        <w:t>The ITT population was used for the analysis of the primary efficacy end-points. The primary efficacy analysis was performed using this population for those with a TPS</w:t>
      </w:r>
      <w:r w:rsidR="00D53B25">
        <w:t xml:space="preserve"> ≥ </w:t>
      </w:r>
      <w:r>
        <w:t>50% and a TPS</w:t>
      </w:r>
      <w:r w:rsidR="00FC7793">
        <w:t> ≥ </w:t>
      </w:r>
      <w:r>
        <w:t>1%.</w:t>
      </w:r>
    </w:p>
    <w:p w14:paraId="522C9A4F" w14:textId="22B77FDB" w:rsidR="008C5595" w:rsidRPr="008C5595" w:rsidRDefault="008C5595" w:rsidP="008C5595">
      <w:r w:rsidRPr="008C5595">
        <w:t xml:space="preserve">A supportive analysis was performed using the full analysis set, which included subjects who experienced disease progression after </w:t>
      </w:r>
      <w:r w:rsidR="00FC7793">
        <w:t>platinum based</w:t>
      </w:r>
      <w:r w:rsidRPr="008C5595">
        <w:t xml:space="preserve"> cytotoxic chemotherapy and/or an appropriate TKI for a sensit</w:t>
      </w:r>
      <w:r w:rsidR="001B20AC">
        <w:t>ising</w:t>
      </w:r>
      <w:r w:rsidRPr="008C5595">
        <w:t xml:space="preserve"> EGFR mutation or ALK gene rearrangement, had PD-L1 expression with a TPS</w:t>
      </w:r>
      <w:r w:rsidR="00D53B25">
        <w:t xml:space="preserve"> ≥ </w:t>
      </w:r>
      <w:r w:rsidRPr="008C5595">
        <w:t>1% and received at leas</w:t>
      </w:r>
      <w:r>
        <w:t>t one dose of study medication.</w:t>
      </w:r>
    </w:p>
    <w:p w14:paraId="522C9A50" w14:textId="74B0C0AF" w:rsidR="008C5595" w:rsidRPr="008C5595" w:rsidRDefault="008C5595" w:rsidP="008C5595">
      <w:r w:rsidRPr="008C5595">
        <w:lastRenderedPageBreak/>
        <w:t>The safety analysis in patients with NSCLC was performed in all random</w:t>
      </w:r>
      <w:r w:rsidR="00EF3E5B">
        <w:t>ised</w:t>
      </w:r>
      <w:r w:rsidRPr="008C5595">
        <w:t xml:space="preserve"> subjects who received at least one dose of study treatment. Subjects who took incorrect trial treatment for the entire treatment period were included in the treatment group corresponding to the trial treatment actually received.</w:t>
      </w:r>
    </w:p>
    <w:p w14:paraId="522C9A51" w14:textId="3BDCE865" w:rsidR="008C5595" w:rsidRPr="008C5595" w:rsidRDefault="008C5595" w:rsidP="008C5595">
      <w:r w:rsidRPr="008C5595">
        <w:t xml:space="preserve">The primary safety analysis was based on the </w:t>
      </w:r>
      <w:proofErr w:type="spellStart"/>
      <w:r w:rsidRPr="008C5595">
        <w:t>APaT</w:t>
      </w:r>
      <w:proofErr w:type="spellEnd"/>
      <w:r w:rsidRPr="008C5595">
        <w:t xml:space="preserve"> population in the TPS</w:t>
      </w:r>
      <w:r w:rsidR="00D53B25">
        <w:t xml:space="preserve"> ≥ </w:t>
      </w:r>
      <w:r w:rsidRPr="008C5595">
        <w:t>50% stratum. The pooled safety data from both the TPS</w:t>
      </w:r>
      <w:r w:rsidR="00D53B25">
        <w:t xml:space="preserve"> ≥ </w:t>
      </w:r>
      <w:r w:rsidRPr="008C5595">
        <w:t>50% stratum and TPS</w:t>
      </w:r>
      <w:r w:rsidR="00FC7793">
        <w:t xml:space="preserve"> = </w:t>
      </w:r>
      <w:r w:rsidR="00414567">
        <w:t xml:space="preserve">1 to </w:t>
      </w:r>
      <w:r w:rsidRPr="008C5595">
        <w:t>49% PD-L1 strata were summar</w:t>
      </w:r>
      <w:r w:rsidR="00EF3E5B">
        <w:t>ised</w:t>
      </w:r>
      <w:r w:rsidRPr="008C5595">
        <w:t xml:space="preserve"> in the secondary safety analysis.</w:t>
      </w:r>
    </w:p>
    <w:p w14:paraId="522C9A52" w14:textId="77777777" w:rsidR="008C5595" w:rsidRPr="008C5595" w:rsidDel="0081373E" w:rsidRDefault="008C5595" w:rsidP="008C5595">
      <w:pPr>
        <w:pStyle w:val="Heading5"/>
      </w:pPr>
      <w:r w:rsidRPr="008C5595" w:rsidDel="0081373E">
        <w:t>Sample size</w:t>
      </w:r>
    </w:p>
    <w:p w14:paraId="522C9A53" w14:textId="77777777" w:rsidR="008C5595" w:rsidRPr="008C5595" w:rsidRDefault="008C5595" w:rsidP="008C5595">
      <w:r w:rsidRPr="008C5595">
        <w:t>The sample size for subjects with TPS</w:t>
      </w:r>
      <w:r w:rsidR="00D53B25">
        <w:t xml:space="preserve"> ≥ </w:t>
      </w:r>
      <w:r w:rsidRPr="008C5595">
        <w:t>50% was targeted to be approximately 460, and the overall sample size was projected to be approximately 920 subjects.</w:t>
      </w:r>
    </w:p>
    <w:p w14:paraId="522C9A54" w14:textId="24CC370C" w:rsidR="008C5595" w:rsidRPr="008C5595" w:rsidRDefault="008C5595" w:rsidP="008C5595">
      <w:pPr>
        <w:pStyle w:val="Comment"/>
      </w:pPr>
      <w:r w:rsidRPr="008C5595">
        <w:rPr>
          <w:b/>
        </w:rPr>
        <w:t>Comment</w:t>
      </w:r>
      <w:r w:rsidRPr="0072420A">
        <w:rPr>
          <w:b/>
        </w:rPr>
        <w:t>:</w:t>
      </w:r>
      <w:r w:rsidRPr="00EC5C29">
        <w:t xml:space="preserve"> </w:t>
      </w:r>
      <w:r w:rsidRPr="008C5595">
        <w:t>The sample size was solely calculated based on the estimated event rate in the TPS</w:t>
      </w:r>
      <w:r w:rsidR="00414567">
        <w:t> ≥ </w:t>
      </w:r>
      <w:r w:rsidRPr="008C5595">
        <w:t>50% stratum</w:t>
      </w:r>
      <w:r>
        <w:t>.</w:t>
      </w:r>
    </w:p>
    <w:p w14:paraId="522C9A55" w14:textId="77777777" w:rsidR="008C5595" w:rsidRPr="008C5595" w:rsidRDefault="008C5595" w:rsidP="008C5595">
      <w:pPr>
        <w:pStyle w:val="Heading5"/>
      </w:pPr>
      <w:r w:rsidRPr="008C5595">
        <w:t>Statistical methods</w:t>
      </w:r>
    </w:p>
    <w:p w14:paraId="522C9A56" w14:textId="49687E5B" w:rsidR="008C5595" w:rsidRPr="008C5595" w:rsidRDefault="008C5595" w:rsidP="008C5595">
      <w:r w:rsidRPr="008C5595">
        <w:t xml:space="preserve">The sponsor states </w:t>
      </w:r>
      <w:r w:rsidR="00EF3E5B">
        <w:t>‘</w:t>
      </w:r>
      <w:proofErr w:type="gramStart"/>
      <w:r w:rsidRPr="008C5595">
        <w:t>The</w:t>
      </w:r>
      <w:proofErr w:type="gramEnd"/>
      <w:r w:rsidRPr="008C5595">
        <w:t xml:space="preserve"> study was event driven (</w:t>
      </w:r>
      <w:r w:rsidR="00414567">
        <w:t>that is</w:t>
      </w:r>
      <w:r w:rsidRPr="008C5595">
        <w:t>, number of subjects and follow-up time were subject to change, but the number of events was not) and would be complete after approximately</w:t>
      </w:r>
    </w:p>
    <w:p w14:paraId="522C9A57" w14:textId="46938B4F" w:rsidR="008C5595" w:rsidRPr="008C5595" w:rsidRDefault="008C5595" w:rsidP="008C5595">
      <w:r w:rsidRPr="008C5595">
        <w:t>200 deaths had been observed across the three arms in the TPS</w:t>
      </w:r>
      <w:r w:rsidR="00D53B25">
        <w:t xml:space="preserve"> ≥ </w:t>
      </w:r>
      <w:r w:rsidR="00414567">
        <w:t xml:space="preserve">50% stratum (approximately </w:t>
      </w:r>
      <w:r w:rsidRPr="008C5595">
        <w:t xml:space="preserve">140 deaths between one pembrolizumab arm and the docetaxel arm under the alternative hypothesis). With 140 deaths between one pembrolizumab arm and the docetaxel arm, the study had over 81% power to detect a 0.55 hazard ratio at the final analysis, where 0.825% alpha was allocated to the two pembrolizumab </w:t>
      </w:r>
      <w:r w:rsidR="00D53B25">
        <w:t>versus</w:t>
      </w:r>
      <w:r w:rsidRPr="008C5595">
        <w:t xml:space="preserve"> docetaxel comparisons using Hochberg procedure.</w:t>
      </w:r>
      <w:r w:rsidR="00EF3E5B">
        <w:t>’</w:t>
      </w:r>
    </w:p>
    <w:p w14:paraId="522C9A58" w14:textId="77777777" w:rsidR="008C5595" w:rsidRPr="008C5595" w:rsidRDefault="008C5595" w:rsidP="008C5595">
      <w:pPr>
        <w:pStyle w:val="Heading6"/>
      </w:pPr>
      <w:r w:rsidRPr="008C5595">
        <w:t>Multiplicity strategy</w:t>
      </w:r>
    </w:p>
    <w:p w14:paraId="522C9A59" w14:textId="2B851DBA" w:rsidR="008C5595" w:rsidRPr="008C5595" w:rsidRDefault="008C5595" w:rsidP="008C5595">
      <w:r w:rsidRPr="008C5595">
        <w:t>The multiplicity strategy specified in this study applied to the TPS</w:t>
      </w:r>
      <w:r w:rsidR="00D53B25">
        <w:t xml:space="preserve"> ≥ </w:t>
      </w:r>
      <w:r w:rsidRPr="008C5595">
        <w:t>50% stratum and the TPS</w:t>
      </w:r>
      <w:r w:rsidR="00414567">
        <w:t> ≥ </w:t>
      </w:r>
      <w:r w:rsidRPr="008C5595">
        <w:t>1% population for the testing of primary hypotheses. The Hochberg step</w:t>
      </w:r>
      <w:r w:rsidR="0072420A">
        <w:t xml:space="preserve"> </w:t>
      </w:r>
      <w:r w:rsidRPr="008C5595">
        <w:t>up procedure was to be used for multiple comparisons on an efficacy endpoint if both pembrolizumab arms continued to study completion. The type I error rates were all one</w:t>
      </w:r>
      <w:r w:rsidR="0072420A">
        <w:t xml:space="preserve"> </w:t>
      </w:r>
      <w:r w:rsidRPr="008C5595">
        <w:t>sided.</w:t>
      </w:r>
    </w:p>
    <w:p w14:paraId="522C9A5A" w14:textId="2CD22E68" w:rsidR="008C5595" w:rsidRPr="008C5595" w:rsidRDefault="008C5595" w:rsidP="008C5595">
      <w:r w:rsidRPr="008C5595">
        <w:t>The overall type I error was strongly controlled at 2.5% (one-sided) with 0.35% allocated to the PFS and 2.15% allocated to the OS hypotheses. PFS was to be tested in the TPS</w:t>
      </w:r>
      <w:r w:rsidR="00D53B25">
        <w:t xml:space="preserve"> ≥ </w:t>
      </w:r>
      <w:r w:rsidRPr="008C5595">
        <w:t>50% stratum at 0.25% at IA2 (primary analysis of PFS) and at 0.1% at the final analysis for long</w:t>
      </w:r>
      <w:r w:rsidR="00C21EBD">
        <w:t xml:space="preserve"> </w:t>
      </w:r>
      <w:r w:rsidRPr="008C5595">
        <w:t>term PFS effect. At each analysis, if both pembrolizumab arms demonstrated superior PFS in the TPS</w:t>
      </w:r>
      <w:r w:rsidR="00D53B25">
        <w:t xml:space="preserve"> ≥ </w:t>
      </w:r>
      <w:r w:rsidRPr="008C5595">
        <w:t>50% stratum, the corresponding alpha was to be rolled into OS testing at the final analysis.</w:t>
      </w:r>
    </w:p>
    <w:p w14:paraId="522C9A5B" w14:textId="77777777" w:rsidR="008C5595" w:rsidRPr="008C5595" w:rsidRDefault="008C5595" w:rsidP="008C5595">
      <w:r w:rsidRPr="008C5595">
        <w:t>Overall survival was to be tested in the TPS</w:t>
      </w:r>
      <w:r w:rsidR="00D53B25">
        <w:t xml:space="preserve"> ≥ </w:t>
      </w:r>
      <w:r w:rsidRPr="008C5595">
        <w:t>50% stratum at 0.5% at IA2, and at</w:t>
      </w:r>
      <w:r w:rsidR="00D53B25">
        <w:t xml:space="preserve"> ≥ </w:t>
      </w:r>
      <w:r w:rsidRPr="008C5595">
        <w:t>0.825% at the final analysis. At IA2, only if both pembrolizumab arms demonstrated superior OS in the TPS</w:t>
      </w:r>
      <w:r w:rsidR="00D53B25">
        <w:t xml:space="preserve"> ≥ </w:t>
      </w:r>
      <w:r w:rsidRPr="008C5595">
        <w:t>50% stratum, would OS in the TPS</w:t>
      </w:r>
      <w:r w:rsidR="00D53B25">
        <w:t xml:space="preserve"> ≥ </w:t>
      </w:r>
      <w:r w:rsidRPr="008C5595">
        <w:t>1% population have been sequentially tested at the same alpha level. At the final analysis, OS in the TPS</w:t>
      </w:r>
      <w:r w:rsidR="00D53B25">
        <w:t xml:space="preserve"> ≥ </w:t>
      </w:r>
      <w:r w:rsidRPr="008C5595">
        <w:t>50% stratum and the TPS</w:t>
      </w:r>
      <w:r w:rsidR="00D53B25">
        <w:t xml:space="preserve"> ≥ </w:t>
      </w:r>
      <w:r w:rsidRPr="008C5595">
        <w:t>1% population will be tested simultaneously, with available alpha spl</w:t>
      </w:r>
      <w:r w:rsidR="00414567">
        <w:t>it evenly between the two tests</w:t>
      </w:r>
      <w:r w:rsidRPr="008C5595">
        <w:t>.</w:t>
      </w:r>
    </w:p>
    <w:p w14:paraId="522C9A5C" w14:textId="77777777" w:rsidR="008C5595" w:rsidRPr="008C5595" w:rsidRDefault="008C5595" w:rsidP="008C5595">
      <w:r w:rsidRPr="008C5595">
        <w:t>Since the above alpha allocation strategy did not depend on the number of events, it would remain valid if the actual number of events at an interim analysis or final analysis differed from the planned number of events. Based on emerging external data, this testing strategy on PD-L1 could be modified to improve the efficiency of the design before unblinding the biomarker data. If that happened, a protocol amendment would have been issued to document the change, which was not expected to impact the conduct of the trial.</w:t>
      </w:r>
    </w:p>
    <w:p w14:paraId="522C9A5D" w14:textId="2A0C0361" w:rsidR="008C5595" w:rsidRPr="008C5595" w:rsidRDefault="008C5595" w:rsidP="008C5595">
      <w:r w:rsidRPr="008C5595">
        <w:t>The schematic for the Hochberg pr</w:t>
      </w:r>
      <w:r>
        <w:t>oc</w:t>
      </w:r>
      <w:r w:rsidR="00414567">
        <w:t xml:space="preserve">edure is </w:t>
      </w:r>
      <w:r w:rsidR="00414567" w:rsidRPr="00374C1D">
        <w:t xml:space="preserve">shown </w:t>
      </w:r>
      <w:r w:rsidR="00C21EBD">
        <w:t xml:space="preserve">below </w:t>
      </w:r>
      <w:r w:rsidR="00414567" w:rsidRPr="00374C1D">
        <w:t>in F</w:t>
      </w:r>
      <w:r w:rsidRPr="00374C1D">
        <w:t xml:space="preserve">igure </w:t>
      </w:r>
      <w:r w:rsidR="00374C1D" w:rsidRPr="00374C1D">
        <w:t>3</w:t>
      </w:r>
      <w:r w:rsidR="00414567" w:rsidRPr="00374C1D">
        <w:t>.</w:t>
      </w:r>
    </w:p>
    <w:p w14:paraId="522C9A5E" w14:textId="77777777" w:rsidR="00CC79E6" w:rsidRPr="008C5595" w:rsidRDefault="008C5595" w:rsidP="008C5595">
      <w:pPr>
        <w:pStyle w:val="FigureTitle"/>
      </w:pPr>
      <w:bookmarkStart w:id="72" w:name="_Toc453752519"/>
      <w:r w:rsidRPr="00374C1D">
        <w:lastRenderedPageBreak/>
        <w:t xml:space="preserve">Figure </w:t>
      </w:r>
      <w:r w:rsidR="00374C1D" w:rsidRPr="00374C1D">
        <w:t>3:</w:t>
      </w:r>
      <w:r w:rsidRPr="00374C1D">
        <w:t xml:space="preserve"> M</w:t>
      </w:r>
      <w:r w:rsidR="00374C1D">
        <w:t xml:space="preserve">ultiplicity strategy; </w:t>
      </w:r>
      <w:r w:rsidRPr="00374C1D">
        <w:t>Hochberg procedure</w:t>
      </w:r>
      <w:bookmarkEnd w:id="72"/>
    </w:p>
    <w:p w14:paraId="522C9A5F" w14:textId="77777777" w:rsidR="00CC79E6" w:rsidRDefault="008C5595" w:rsidP="00C22678">
      <w:pPr>
        <w:rPr>
          <w:lang w:eastAsia="ja-JP"/>
        </w:rPr>
      </w:pPr>
      <w:r>
        <w:rPr>
          <w:noProof/>
          <w:lang w:eastAsia="en-AU"/>
        </w:rPr>
        <w:drawing>
          <wp:inline distT="0" distB="0" distL="0" distR="0" wp14:anchorId="522C9CCF" wp14:editId="17040952">
            <wp:extent cx="4829175" cy="3267075"/>
            <wp:effectExtent l="0" t="0" r="9525" b="9525"/>
            <wp:docPr id="6" name="Picture 6" descr="Figure 3: Multiplicity strategy; Hochberg procedure&#10;overall alpha (one-sided) 2.5%&#10;PFS: 0.35% Hochberg procedure IA2 PFS: 0.25% Strongly postitve to PFS overall positive&#10;FA PFS 0.1% strongly positive  to PFS Overall postitive&#10;&#10;OS: 2.15% Hochberg Procedure&#10;IA 2 OS: 0.5% strongly positive to OS: Overall Positive&#10;FA: OS: 0.825% to 1% Strongly Positive OS: 0.825% to 1% Overall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29175" cy="3267075"/>
                    </a:xfrm>
                    <a:prstGeom prst="rect">
                      <a:avLst/>
                    </a:prstGeom>
                  </pic:spPr>
                </pic:pic>
              </a:graphicData>
            </a:graphic>
          </wp:inline>
        </w:drawing>
      </w:r>
    </w:p>
    <w:p w14:paraId="522C9A60" w14:textId="57D8C582" w:rsidR="008C5595" w:rsidRDefault="008C5595" w:rsidP="008C5595">
      <w:pPr>
        <w:autoSpaceDE w:val="0"/>
        <w:autoSpaceDN w:val="0"/>
        <w:adjustRightInd w:val="0"/>
      </w:pPr>
      <w:r>
        <w:t>Two interim analyses were planned prior to the final analysis</w:t>
      </w:r>
      <w:r w:rsidR="00374C1D">
        <w:t xml:space="preserve"> as </w:t>
      </w:r>
      <w:r w:rsidR="00C21EBD" w:rsidRPr="00310181">
        <w:t>shown</w:t>
      </w:r>
      <w:r w:rsidR="00C21EBD">
        <w:t xml:space="preserve"> below </w:t>
      </w:r>
      <w:r w:rsidR="00374C1D" w:rsidRPr="00310181">
        <w:t xml:space="preserve">in Table </w:t>
      </w:r>
      <w:r w:rsidR="00310181" w:rsidRPr="00310181">
        <w:t>2</w:t>
      </w:r>
      <w:r w:rsidR="00374C1D" w:rsidRPr="00310181">
        <w:t>.</w:t>
      </w:r>
    </w:p>
    <w:p w14:paraId="522C9A61" w14:textId="77777777" w:rsidR="00374C1D" w:rsidRDefault="00374C1D" w:rsidP="00374C1D">
      <w:pPr>
        <w:pStyle w:val="Tabletitle"/>
      </w:pPr>
      <w:r w:rsidRPr="00310181">
        <w:t xml:space="preserve">Table </w:t>
      </w:r>
      <w:r w:rsidR="00310181" w:rsidRPr="00310181">
        <w:t>2</w:t>
      </w:r>
      <w:r w:rsidRPr="00310181">
        <w:t>: Planned interim analyses</w:t>
      </w:r>
    </w:p>
    <w:p w14:paraId="522C9A62" w14:textId="77777777" w:rsidR="00CC79E6" w:rsidRDefault="008C5595" w:rsidP="00C22678">
      <w:pPr>
        <w:rPr>
          <w:lang w:eastAsia="ja-JP"/>
        </w:rPr>
      </w:pPr>
      <w:r>
        <w:rPr>
          <w:noProof/>
          <w:lang w:eastAsia="en-AU"/>
        </w:rPr>
        <w:drawing>
          <wp:inline distT="0" distB="0" distL="0" distR="0" wp14:anchorId="522C9CD1" wp14:editId="522C9CD2">
            <wp:extent cx="4933950" cy="3200400"/>
            <wp:effectExtent l="0" t="0" r="0" b="0"/>
            <wp:docPr id="7" name="Picture 7" descr="Table 2: Planned interim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33950" cy="3200400"/>
                    </a:xfrm>
                    <a:prstGeom prst="rect">
                      <a:avLst/>
                    </a:prstGeom>
                  </pic:spPr>
                </pic:pic>
              </a:graphicData>
            </a:graphic>
          </wp:inline>
        </w:drawing>
      </w:r>
    </w:p>
    <w:p w14:paraId="522C9A63" w14:textId="77777777" w:rsidR="008C5595" w:rsidRPr="008C5595" w:rsidRDefault="008C5595" w:rsidP="008C5595">
      <w:pPr>
        <w:pStyle w:val="Heading5"/>
      </w:pPr>
      <w:r w:rsidRPr="008C5595">
        <w:t>Participant flow</w:t>
      </w:r>
    </w:p>
    <w:p w14:paraId="522C9A64" w14:textId="39A3F377" w:rsidR="008C5595" w:rsidRDefault="008C5595" w:rsidP="008C5595">
      <w:r w:rsidRPr="008C5595">
        <w:t>The study populations with a TPS</w:t>
      </w:r>
      <w:r w:rsidR="00D53B25">
        <w:t xml:space="preserve"> ≥ </w:t>
      </w:r>
      <w:r w:rsidRPr="008C5595">
        <w:t xml:space="preserve">50% are </w:t>
      </w:r>
      <w:r w:rsidRPr="001F1098">
        <w:t>shown</w:t>
      </w:r>
      <w:r w:rsidR="00414567" w:rsidRPr="001F1098">
        <w:t xml:space="preserve"> </w:t>
      </w:r>
      <w:r w:rsidR="00C21EBD">
        <w:t xml:space="preserve">below </w:t>
      </w:r>
      <w:r w:rsidR="00414567" w:rsidRPr="001F1098">
        <w:t xml:space="preserve">in </w:t>
      </w:r>
      <w:r w:rsidR="00310181">
        <w:t>Table 3</w:t>
      </w:r>
      <w:r w:rsidR="001F1098" w:rsidRPr="001F1098">
        <w:t>.</w:t>
      </w:r>
    </w:p>
    <w:p w14:paraId="522C9A65" w14:textId="77777777" w:rsidR="00414567" w:rsidRPr="008C5595" w:rsidRDefault="00414567" w:rsidP="00414567">
      <w:pPr>
        <w:pStyle w:val="Tabletitle"/>
      </w:pPr>
      <w:r>
        <w:lastRenderedPageBreak/>
        <w:t xml:space="preserve">Table </w:t>
      </w:r>
      <w:r w:rsidR="00310181">
        <w:t>3</w:t>
      </w:r>
      <w:r w:rsidR="001F1098">
        <w:t>:</w:t>
      </w:r>
      <w:r>
        <w:t xml:space="preserve"> Study populations with a TPS ≥ </w:t>
      </w:r>
      <w:r w:rsidRPr="008C5595">
        <w:t>50%</w:t>
      </w:r>
    </w:p>
    <w:p w14:paraId="522C9A66" w14:textId="6698CB07" w:rsidR="008C5595" w:rsidRDefault="0018281E" w:rsidP="00C22678">
      <w:pPr>
        <w:rPr>
          <w:lang w:eastAsia="ja-JP"/>
        </w:rPr>
      </w:pPr>
      <w:r>
        <w:rPr>
          <w:noProof/>
          <w:lang w:eastAsia="en-AU"/>
        </w:rPr>
        <w:drawing>
          <wp:inline distT="0" distB="0" distL="0" distR="0" wp14:anchorId="0EB1B5CB" wp14:editId="33385A6B">
            <wp:extent cx="5515661" cy="1661542"/>
            <wp:effectExtent l="0" t="0" r="0" b="0"/>
            <wp:docPr id="8" name="Picture 8" descr="Table 3: Study populations with a TPS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16230" cy="1661713"/>
                    </a:xfrm>
                    <a:prstGeom prst="rect">
                      <a:avLst/>
                    </a:prstGeom>
                  </pic:spPr>
                </pic:pic>
              </a:graphicData>
            </a:graphic>
          </wp:inline>
        </w:drawing>
      </w:r>
    </w:p>
    <w:p w14:paraId="522C9A67" w14:textId="3E2EBB1B" w:rsidR="008C5595" w:rsidRDefault="008C5595" w:rsidP="008C5595">
      <w:r w:rsidRPr="008C5595">
        <w:t>The study populations with TPS</w:t>
      </w:r>
      <w:r w:rsidR="00D53B25">
        <w:t xml:space="preserve"> ≥ </w:t>
      </w:r>
      <w:r w:rsidRPr="008C5595">
        <w:t xml:space="preserve">1% are shown </w:t>
      </w:r>
      <w:r w:rsidR="00C21EBD">
        <w:t xml:space="preserve">below </w:t>
      </w:r>
      <w:r w:rsidR="00414567">
        <w:t xml:space="preserve">in Table </w:t>
      </w:r>
      <w:r w:rsidR="00310181">
        <w:t>4</w:t>
      </w:r>
      <w:r w:rsidR="00414567">
        <w:t>.</w:t>
      </w:r>
    </w:p>
    <w:p w14:paraId="522C9A68" w14:textId="77777777" w:rsidR="00414567" w:rsidRPr="008C5595" w:rsidRDefault="00310181" w:rsidP="00414567">
      <w:pPr>
        <w:pStyle w:val="Tabletitle"/>
      </w:pPr>
      <w:r>
        <w:t>Table 4</w:t>
      </w:r>
      <w:r w:rsidR="001F1098">
        <w:t>:</w:t>
      </w:r>
      <w:r w:rsidR="00414567">
        <w:t xml:space="preserve"> Study populations with a TPS ≥ 1</w:t>
      </w:r>
      <w:r w:rsidR="00414567" w:rsidRPr="008C5595">
        <w:t>%</w:t>
      </w:r>
    </w:p>
    <w:p w14:paraId="522C9A69" w14:textId="737EB2E0" w:rsidR="008C5595" w:rsidRDefault="0018281E" w:rsidP="00C22678">
      <w:pPr>
        <w:rPr>
          <w:lang w:eastAsia="ja-JP"/>
        </w:rPr>
      </w:pPr>
      <w:r>
        <w:rPr>
          <w:noProof/>
          <w:lang w:eastAsia="en-AU"/>
        </w:rPr>
        <w:drawing>
          <wp:inline distT="0" distB="0" distL="0" distR="0" wp14:anchorId="5EA13EA6" wp14:editId="7877D67A">
            <wp:extent cx="5515661" cy="1681097"/>
            <wp:effectExtent l="0" t="0" r="0" b="0"/>
            <wp:docPr id="9" name="Picture 9" descr="Table 4: Study populations with a TP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12192" cy="1680040"/>
                    </a:xfrm>
                    <a:prstGeom prst="rect">
                      <a:avLst/>
                    </a:prstGeom>
                  </pic:spPr>
                </pic:pic>
              </a:graphicData>
            </a:graphic>
          </wp:inline>
        </w:drawing>
      </w:r>
    </w:p>
    <w:p w14:paraId="522C9A6A" w14:textId="77777777" w:rsidR="008C5595" w:rsidRPr="008C5595" w:rsidRDefault="008C5595" w:rsidP="008C5595">
      <w:pPr>
        <w:pStyle w:val="Heading5"/>
      </w:pPr>
      <w:r w:rsidRPr="008C5595">
        <w:t>Major protocol deviations</w:t>
      </w:r>
    </w:p>
    <w:p w14:paraId="522C9A6B" w14:textId="77777777" w:rsidR="008C5595" w:rsidRPr="008C5595" w:rsidRDefault="008C5595" w:rsidP="008C5595">
      <w:r w:rsidRPr="008C5595">
        <w:t xml:space="preserve">The total number </w:t>
      </w:r>
      <w:r w:rsidR="00414567">
        <w:t>of protocol deviations was 829;</w:t>
      </w:r>
      <w:r w:rsidRPr="008C5595">
        <w:t xml:space="preserve"> the majority were considered by the sponsor to have had no impact on the trial conduct or outcomes. These were not reported in the dossier.</w:t>
      </w:r>
    </w:p>
    <w:p w14:paraId="522C9A6C" w14:textId="30396B43" w:rsidR="008C5595" w:rsidRPr="008C5595" w:rsidRDefault="008C5595" w:rsidP="008C5595">
      <w:r w:rsidRPr="008C5595">
        <w:t xml:space="preserve">The following 61 events were considered protocol deviations that could have </w:t>
      </w:r>
      <w:r w:rsidR="00EF3E5B">
        <w:t>‘</w:t>
      </w:r>
      <w:r w:rsidRPr="008C5595">
        <w:t xml:space="preserve">significantly/adversely impact the completeness, accuracy, and/or reliability of the trial data or that could significantly/adversely affect a subject's rights, safety, or </w:t>
      </w:r>
      <w:r w:rsidR="00C21EBD" w:rsidRPr="008C5595">
        <w:t>well</w:t>
      </w:r>
      <w:r w:rsidR="00C21EBD">
        <w:t>being</w:t>
      </w:r>
      <w:r w:rsidR="00EF3E5B">
        <w:t>’</w:t>
      </w:r>
      <w:r w:rsidR="00414567">
        <w:t>.</w:t>
      </w:r>
    </w:p>
    <w:p w14:paraId="522C9A6D" w14:textId="5ED1D170" w:rsidR="008C5595" w:rsidRPr="008C5595" w:rsidRDefault="008C5595" w:rsidP="008C5595">
      <w:r w:rsidRPr="008C5595">
        <w:t>Efficacy Assessment: 21 events</w:t>
      </w:r>
      <w:r w:rsidR="00C21EBD">
        <w:t>;</w:t>
      </w:r>
    </w:p>
    <w:p w14:paraId="522C9A6E" w14:textId="4CAFA07D" w:rsidR="008C5595" w:rsidRPr="008C5595" w:rsidRDefault="008C5595" w:rsidP="008C5595">
      <w:pPr>
        <w:pStyle w:val="ListBullet"/>
      </w:pPr>
      <w:r w:rsidRPr="008C5595">
        <w:t>Missing baseline radiographic image(s): 21</w:t>
      </w:r>
      <w:r w:rsidR="00C21EBD">
        <w:t>.</w:t>
      </w:r>
    </w:p>
    <w:p w14:paraId="522C9A6F" w14:textId="37726B46" w:rsidR="008C5595" w:rsidRPr="008C5595" w:rsidRDefault="008C5595" w:rsidP="008C5595">
      <w:r w:rsidRPr="008C5595">
        <w:t>Entry Criteria: 15 events</w:t>
      </w:r>
      <w:r w:rsidR="00C21EBD">
        <w:t>;</w:t>
      </w:r>
    </w:p>
    <w:p w14:paraId="522C9A70" w14:textId="300E2345" w:rsidR="008C5595" w:rsidRPr="008C5595" w:rsidRDefault="008C5595" w:rsidP="00662ACB">
      <w:pPr>
        <w:pStyle w:val="ListBullet"/>
      </w:pPr>
      <w:r w:rsidRPr="008C5595">
        <w:t xml:space="preserve">Did not have radiological progression from receiving at least 2 cycles of </w:t>
      </w:r>
      <w:r w:rsidR="00D53B25">
        <w:t>platinum containing</w:t>
      </w:r>
      <w:r w:rsidRPr="008C5595">
        <w:t xml:space="preserve"> doublet for stage IIIB/IV disease: 6</w:t>
      </w:r>
      <w:r w:rsidR="00C21EBD">
        <w:t>;</w:t>
      </w:r>
    </w:p>
    <w:p w14:paraId="522C9A71" w14:textId="5ABADD1B" w:rsidR="008C5595" w:rsidRPr="008C5595" w:rsidRDefault="008C5595" w:rsidP="00662ACB">
      <w:pPr>
        <w:pStyle w:val="ListBullet"/>
      </w:pPr>
      <w:r w:rsidRPr="008C5595">
        <w:t>Did not have disease progression from appropriate TKIs for EGFR and/or ALK mutation status: 1</w:t>
      </w:r>
      <w:r w:rsidR="00C21EBD">
        <w:t>;</w:t>
      </w:r>
    </w:p>
    <w:p w14:paraId="522C9A72" w14:textId="4DC134CB" w:rsidR="008C5595" w:rsidRPr="008C5595" w:rsidRDefault="008C5595" w:rsidP="00662ACB">
      <w:pPr>
        <w:pStyle w:val="ListBullet"/>
      </w:pPr>
      <w:r w:rsidRPr="008C5595">
        <w:t>No assessment of EGFR/ALK mutation status: 6</w:t>
      </w:r>
      <w:r w:rsidR="00C21EBD">
        <w:t>;</w:t>
      </w:r>
    </w:p>
    <w:p w14:paraId="522C9A73" w14:textId="5795D505" w:rsidR="008C5595" w:rsidRPr="008C5595" w:rsidRDefault="008C5595" w:rsidP="00662ACB">
      <w:pPr>
        <w:pStyle w:val="ListBullet"/>
      </w:pPr>
      <w:r w:rsidRPr="008C5595">
        <w:t>Radiotherapy to the chest within 6 months of first dose: 1</w:t>
      </w:r>
      <w:r w:rsidR="00C21EBD">
        <w:t>;</w:t>
      </w:r>
    </w:p>
    <w:p w14:paraId="522C9A74" w14:textId="4C577BAC" w:rsidR="008C5595" w:rsidRPr="008C5595" w:rsidRDefault="008C5595" w:rsidP="00662ACB">
      <w:pPr>
        <w:pStyle w:val="ListBullet"/>
      </w:pPr>
      <w:r w:rsidRPr="008C5595">
        <w:t>Signed consent</w:t>
      </w:r>
      <w:r w:rsidR="00D53B25">
        <w:t xml:space="preserve"> &gt;</w:t>
      </w:r>
      <w:r w:rsidR="00C10435">
        <w:t xml:space="preserve"> </w:t>
      </w:r>
      <w:r w:rsidRPr="008C5595">
        <w:t xml:space="preserve">1 year after </w:t>
      </w:r>
      <w:r w:rsidR="00D53B25">
        <w:t>platinum containing</w:t>
      </w:r>
      <w:r w:rsidRPr="008C5595">
        <w:t xml:space="preserve"> doublet therapy for stage IIIA disease: 1</w:t>
      </w:r>
      <w:r w:rsidR="00C21EBD">
        <w:t>.</w:t>
      </w:r>
    </w:p>
    <w:p w14:paraId="522C9A75" w14:textId="2D822EDD" w:rsidR="008C5595" w:rsidRPr="008C5595" w:rsidRDefault="008C5595" w:rsidP="008C5595">
      <w:r w:rsidRPr="008C5595">
        <w:t>Informed Consent Form: 5 events</w:t>
      </w:r>
      <w:r w:rsidR="00C21EBD">
        <w:t>;</w:t>
      </w:r>
    </w:p>
    <w:p w14:paraId="522C9A76" w14:textId="659C7D5D" w:rsidR="008C5595" w:rsidRPr="008C5595" w:rsidRDefault="008C5595" w:rsidP="00662ACB">
      <w:pPr>
        <w:pStyle w:val="ListBullet"/>
      </w:pPr>
      <w:r w:rsidRPr="008C5595">
        <w:t xml:space="preserve">Delayed signing original informed consent by </w:t>
      </w:r>
      <w:r w:rsidR="00414567">
        <w:t xml:space="preserve">approximately </w:t>
      </w:r>
      <w:r w:rsidRPr="008C5595">
        <w:t>1 month (FBR consent was signed at Screening instead): 2</w:t>
      </w:r>
      <w:r w:rsidR="00C21EBD">
        <w:t>;</w:t>
      </w:r>
    </w:p>
    <w:p w14:paraId="522C9A77" w14:textId="62F6BC34" w:rsidR="008C5595" w:rsidRPr="008C5595" w:rsidRDefault="008C5595" w:rsidP="00662ACB">
      <w:pPr>
        <w:pStyle w:val="ListBullet"/>
      </w:pPr>
      <w:r w:rsidRPr="008C5595">
        <w:t>Incomplete signature on original informed consent: 1</w:t>
      </w:r>
      <w:r w:rsidR="00C21EBD">
        <w:t>;</w:t>
      </w:r>
    </w:p>
    <w:p w14:paraId="522C9A78" w14:textId="25D4AC8D" w:rsidR="008C5595" w:rsidRPr="008C5595" w:rsidRDefault="008C5595" w:rsidP="00662ACB">
      <w:pPr>
        <w:pStyle w:val="ListBullet"/>
      </w:pPr>
      <w:r w:rsidRPr="008C5595">
        <w:lastRenderedPageBreak/>
        <w:t>Original consent form used was either not approved or administered by inappropriate staff:</w:t>
      </w:r>
      <w:r w:rsidR="00C21EBD">
        <w:t> </w:t>
      </w:r>
      <w:r w:rsidRPr="008C5595">
        <w:t>2</w:t>
      </w:r>
      <w:r w:rsidR="00C21EBD">
        <w:t>.</w:t>
      </w:r>
    </w:p>
    <w:p w14:paraId="522C9A79" w14:textId="6E799E44" w:rsidR="008C5595" w:rsidRPr="008C5595" w:rsidRDefault="008C5595" w:rsidP="008C5595">
      <w:r w:rsidRPr="008C5595">
        <w:t>Prohibited Medications: 20 events</w:t>
      </w:r>
      <w:r w:rsidR="00C21EBD">
        <w:t>;</w:t>
      </w:r>
    </w:p>
    <w:p w14:paraId="522C9A7A" w14:textId="78954CE4" w:rsidR="008C5595" w:rsidRPr="008C5595" w:rsidRDefault="008C5595" w:rsidP="00662ACB">
      <w:pPr>
        <w:pStyle w:val="ListBullet"/>
      </w:pPr>
      <w:r w:rsidRPr="008C5595">
        <w:t>Bisphosphonate/</w:t>
      </w:r>
      <w:proofErr w:type="spellStart"/>
      <w:r w:rsidRPr="008C5595">
        <w:t>denosumab</w:t>
      </w:r>
      <w:proofErr w:type="spellEnd"/>
      <w:r w:rsidRPr="008C5595">
        <w:t xml:space="preserve"> use during the study prior to radiographic progression: 17</w:t>
      </w:r>
      <w:r w:rsidR="00C21EBD">
        <w:t>;</w:t>
      </w:r>
    </w:p>
    <w:p w14:paraId="522C9A7B" w14:textId="5E8F9551" w:rsidR="008C5595" w:rsidRPr="008C5595" w:rsidRDefault="008C5595" w:rsidP="00662ACB">
      <w:pPr>
        <w:pStyle w:val="ListBullet"/>
      </w:pPr>
      <w:r w:rsidRPr="008C5595">
        <w:t>Strong CYP3A4 inhibitor use in docetaxel arm: 2</w:t>
      </w:r>
      <w:r w:rsidR="00C21EBD">
        <w:t>;</w:t>
      </w:r>
    </w:p>
    <w:p w14:paraId="522C9A7C" w14:textId="5F85F48B" w:rsidR="008C5595" w:rsidRPr="008C5595" w:rsidRDefault="008C5595" w:rsidP="008C5595">
      <w:pPr>
        <w:pStyle w:val="ListBullet"/>
      </w:pPr>
      <w:r w:rsidRPr="008C5595">
        <w:t>Radiotherapy during the study prior to radiograp</w:t>
      </w:r>
      <w:r w:rsidR="00662ACB">
        <w:t>hic progression: 1</w:t>
      </w:r>
      <w:r w:rsidR="00C21EBD">
        <w:t>.</w:t>
      </w:r>
    </w:p>
    <w:p w14:paraId="522C9A7D" w14:textId="6AEC7470" w:rsidR="008C5595" w:rsidRPr="008C5595" w:rsidRDefault="00414567" w:rsidP="00414567">
      <w:pPr>
        <w:pStyle w:val="Comment"/>
      </w:pPr>
      <w:r w:rsidRPr="00414567">
        <w:rPr>
          <w:b/>
        </w:rPr>
        <w:t>Comment:</w:t>
      </w:r>
      <w:r w:rsidR="008C5595" w:rsidRPr="00EC5C29">
        <w:t xml:space="preserve"> </w:t>
      </w:r>
      <w:r w:rsidR="008C5595" w:rsidRPr="008C5595">
        <w:t>The proportion of events in the denominator of the trial population (n</w:t>
      </w:r>
      <w:r w:rsidR="00FC7793">
        <w:t xml:space="preserve"> = </w:t>
      </w:r>
      <w:r w:rsidR="008C5595" w:rsidRPr="008C5595">
        <w:t>1</w:t>
      </w:r>
      <w:r>
        <w:t>,</w:t>
      </w:r>
      <w:r w:rsidR="008C5595" w:rsidRPr="008C5595">
        <w:t>034) ranged 0.1 to 2.0%. Although the greatest proportion was for the absence of baseline imaging, it is unlikely that this adverse finding would have substantially affected the final trial results.</w:t>
      </w:r>
    </w:p>
    <w:p w14:paraId="522C9A7E" w14:textId="77777777" w:rsidR="008C5595" w:rsidRPr="008C5595" w:rsidRDefault="008C5595" w:rsidP="00D62810">
      <w:pPr>
        <w:pStyle w:val="Heading5"/>
      </w:pPr>
      <w:r w:rsidRPr="008C5595">
        <w:t>Baseline data</w:t>
      </w:r>
    </w:p>
    <w:p w14:paraId="522C9A7F" w14:textId="77777777" w:rsidR="00D53B25" w:rsidRDefault="008C5595" w:rsidP="008C5595">
      <w:r w:rsidRPr="008C5595">
        <w:t>Baseline data was presented for those patients with a TPS</w:t>
      </w:r>
      <w:r w:rsidR="00D53B25">
        <w:t xml:space="preserve"> ≥ </w:t>
      </w:r>
      <w:r w:rsidRPr="008C5595">
        <w:t>50% and the pooled population with TPS</w:t>
      </w:r>
      <w:r w:rsidR="00D53B25">
        <w:t xml:space="preserve"> ≥ </w:t>
      </w:r>
      <w:r w:rsidRPr="008C5595">
        <w:t>1%</w:t>
      </w:r>
      <w:r w:rsidR="00D53B25">
        <w:t>.</w:t>
      </w:r>
    </w:p>
    <w:p w14:paraId="522C9A80" w14:textId="0BC23AC6" w:rsidR="008C5595" w:rsidRPr="008C5595" w:rsidRDefault="00D62810" w:rsidP="00D62810">
      <w:pPr>
        <w:pStyle w:val="Comment"/>
      </w:pPr>
      <w:r w:rsidRPr="00D62810">
        <w:rPr>
          <w:b/>
        </w:rPr>
        <w:t>C</w:t>
      </w:r>
      <w:r w:rsidR="008C5595" w:rsidRPr="00D62810">
        <w:rPr>
          <w:b/>
        </w:rPr>
        <w:t>omment</w:t>
      </w:r>
      <w:r w:rsidRPr="00C21EBD">
        <w:rPr>
          <w:b/>
        </w:rPr>
        <w:t>:</w:t>
      </w:r>
      <w:r w:rsidR="008C5595" w:rsidRPr="00EC5C29">
        <w:t xml:space="preserve"> </w:t>
      </w:r>
      <w:r w:rsidR="00C21EBD">
        <w:t>B</w:t>
      </w:r>
      <w:r w:rsidR="008C5595" w:rsidRPr="008C5595">
        <w:t>aseline data was not provid</w:t>
      </w:r>
      <w:r w:rsidR="00414567">
        <w:t>ed for those patients with TPS</w:t>
      </w:r>
      <w:r w:rsidR="00C21EBD">
        <w:t xml:space="preserve"> </w:t>
      </w:r>
      <w:r w:rsidR="00414567">
        <w:t xml:space="preserve">1 to </w:t>
      </w:r>
      <w:r w:rsidR="008C5595" w:rsidRPr="008C5595">
        <w:t>49%.</w:t>
      </w:r>
    </w:p>
    <w:p w14:paraId="522C9A81" w14:textId="77777777" w:rsidR="008C5595" w:rsidRPr="008C5595" w:rsidRDefault="008C5595" w:rsidP="008C5595">
      <w:r w:rsidRPr="008C5595">
        <w:t>Information for the TPS</w:t>
      </w:r>
      <w:r w:rsidR="00D53B25">
        <w:t xml:space="preserve"> ≥ </w:t>
      </w:r>
      <w:r w:rsidR="00414567">
        <w:t xml:space="preserve">1% patients is shown </w:t>
      </w:r>
      <w:r w:rsidR="00414567" w:rsidRPr="001F1098">
        <w:t xml:space="preserve">below in </w:t>
      </w:r>
      <w:r w:rsidR="00310181">
        <w:t>Table 5</w:t>
      </w:r>
      <w:r w:rsidR="00414567" w:rsidRPr="001F1098">
        <w:t>.</w:t>
      </w:r>
    </w:p>
    <w:p w14:paraId="522C9A82" w14:textId="6FCA19D0" w:rsidR="008C5595" w:rsidRPr="008C5595" w:rsidRDefault="008C5595" w:rsidP="00D62810">
      <w:pPr>
        <w:pStyle w:val="Tabletitle"/>
      </w:pPr>
      <w:bookmarkStart w:id="73" w:name="_Toc453755618"/>
      <w:r w:rsidRPr="001F1098">
        <w:t>Table</w:t>
      </w:r>
      <w:r w:rsidR="00310181">
        <w:t xml:space="preserve"> 5</w:t>
      </w:r>
      <w:r w:rsidR="00414567" w:rsidRPr="001F1098">
        <w:t>:</w:t>
      </w:r>
      <w:r w:rsidRPr="001F1098">
        <w:t xml:space="preserve"> ITT population (TPS</w:t>
      </w:r>
      <w:r w:rsidR="00D53B25" w:rsidRPr="001F1098">
        <w:t xml:space="preserve"> ≥ </w:t>
      </w:r>
      <w:r w:rsidRPr="001F1098">
        <w:t>1%) characteristics</w:t>
      </w:r>
      <w:bookmarkEnd w:id="73"/>
    </w:p>
    <w:p w14:paraId="522C9A83" w14:textId="77777777" w:rsidR="008C5595" w:rsidRDefault="00D62810" w:rsidP="00C22678">
      <w:pPr>
        <w:rPr>
          <w:lang w:eastAsia="ja-JP"/>
        </w:rPr>
      </w:pPr>
      <w:r>
        <w:rPr>
          <w:noProof/>
          <w:lang w:eastAsia="en-AU"/>
        </w:rPr>
        <w:drawing>
          <wp:inline distT="0" distB="0" distL="0" distR="0" wp14:anchorId="522C9CD7" wp14:editId="72A29C2E">
            <wp:extent cx="5566867" cy="5246892"/>
            <wp:effectExtent l="0" t="0" r="0" b="0"/>
            <wp:docPr id="10" name="Picture 10" descr="Table 5: ITT population (TPS ≥ 1%)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63366" cy="5243592"/>
                    </a:xfrm>
                    <a:prstGeom prst="rect">
                      <a:avLst/>
                    </a:prstGeom>
                  </pic:spPr>
                </pic:pic>
              </a:graphicData>
            </a:graphic>
          </wp:inline>
        </w:drawing>
      </w:r>
    </w:p>
    <w:p w14:paraId="522C9A84" w14:textId="77777777" w:rsidR="008C5595" w:rsidRDefault="00D62810" w:rsidP="00D62810">
      <w:pPr>
        <w:pStyle w:val="Tabletitle"/>
      </w:pPr>
      <w:r w:rsidRPr="008C5595">
        <w:lastRenderedPageBreak/>
        <w:t xml:space="preserve">Table </w:t>
      </w:r>
      <w:r w:rsidR="00310181">
        <w:t>5</w:t>
      </w:r>
      <w:r w:rsidR="001F1098">
        <w:t xml:space="preserve"> </w:t>
      </w:r>
      <w:r>
        <w:t>(continued)</w:t>
      </w:r>
      <w:r w:rsidR="00414567">
        <w:t>:</w:t>
      </w:r>
      <w:r>
        <w:t xml:space="preserve"> </w:t>
      </w:r>
      <w:r w:rsidRPr="008C5595">
        <w:t>ITT population (TPS</w:t>
      </w:r>
      <w:r w:rsidR="00D53B25">
        <w:t xml:space="preserve"> ≥ </w:t>
      </w:r>
      <w:r w:rsidR="00414567">
        <w:t>1%) characteristics</w:t>
      </w:r>
    </w:p>
    <w:p w14:paraId="522C9A85" w14:textId="77777777" w:rsidR="00D62810" w:rsidRDefault="00D62810" w:rsidP="00C22678">
      <w:pPr>
        <w:rPr>
          <w:lang w:eastAsia="ja-JP"/>
        </w:rPr>
      </w:pPr>
      <w:r>
        <w:rPr>
          <w:noProof/>
          <w:lang w:eastAsia="en-AU"/>
        </w:rPr>
        <w:drawing>
          <wp:inline distT="0" distB="0" distL="0" distR="0" wp14:anchorId="522C9CD9" wp14:editId="0A7E68D4">
            <wp:extent cx="5574887" cy="7724851"/>
            <wp:effectExtent l="0" t="0" r="6985" b="0"/>
            <wp:docPr id="11" name="Picture 11" descr="Table 5 (continued): ITT population (TPS ≥ 1%)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73181" cy="7722487"/>
                    </a:xfrm>
                    <a:prstGeom prst="rect">
                      <a:avLst/>
                    </a:prstGeom>
                  </pic:spPr>
                </pic:pic>
              </a:graphicData>
            </a:graphic>
          </wp:inline>
        </w:drawing>
      </w:r>
    </w:p>
    <w:p w14:paraId="522C9A86" w14:textId="35558051" w:rsidR="00D62810" w:rsidRPr="00D62810" w:rsidRDefault="00D62810" w:rsidP="00D62810">
      <w:pPr>
        <w:pStyle w:val="Comment"/>
      </w:pPr>
      <w:r w:rsidRPr="00D62810">
        <w:rPr>
          <w:b/>
        </w:rPr>
        <w:t>Comment</w:t>
      </w:r>
      <w:r w:rsidRPr="00C21EBD">
        <w:rPr>
          <w:b/>
        </w:rPr>
        <w:t xml:space="preserve">: </w:t>
      </w:r>
      <w:r w:rsidRPr="00D62810">
        <w:t>Not shown in the table above, but documented in the integrated summary of efficacy, of the 1</w:t>
      </w:r>
      <w:r w:rsidR="00414567">
        <w:t>,</w:t>
      </w:r>
      <w:r w:rsidRPr="00D62810">
        <w:t xml:space="preserve">034 patients enrolled in </w:t>
      </w:r>
      <w:r w:rsidR="00414567" w:rsidRPr="00D62810">
        <w:t>KEYNOTE</w:t>
      </w:r>
      <w:r w:rsidRPr="00D62810">
        <w:t xml:space="preserve">-010, only 578 (55.95%) patients provided a new tumour sample for PD-L1 analysis. </w:t>
      </w:r>
      <w:r w:rsidR="00414567">
        <w:t>that is</w:t>
      </w:r>
      <w:r w:rsidRPr="00D62810">
        <w:t xml:space="preserve"> 455 (44.05%) had their PD-L1 status assessed using an archived sample. The ability of an archived </w:t>
      </w:r>
      <w:r w:rsidRPr="00D62810">
        <w:lastRenderedPageBreak/>
        <w:t>sample to accurately demonstrate</w:t>
      </w:r>
      <w:r w:rsidR="00414567">
        <w:t xml:space="preserve"> PD-L1 status is not reported; </w:t>
      </w:r>
      <w:r w:rsidRPr="00D62810">
        <w:t>see clinical questions</w:t>
      </w:r>
      <w:r w:rsidR="00C21EBD">
        <w:t xml:space="preserve"> (below)</w:t>
      </w:r>
      <w:r w:rsidRPr="00D62810">
        <w:t>.</w:t>
      </w:r>
    </w:p>
    <w:p w14:paraId="522C9A87" w14:textId="77777777" w:rsidR="00D62810" w:rsidRPr="00D62810" w:rsidRDefault="00D62810" w:rsidP="00D62810">
      <w:pPr>
        <w:pStyle w:val="Heading5"/>
      </w:pPr>
      <w:r w:rsidRPr="00D62810">
        <w:t>Results for the primary efficacy outcomes</w:t>
      </w:r>
    </w:p>
    <w:p w14:paraId="522C9A88" w14:textId="77777777" w:rsidR="00D62810" w:rsidRPr="00D62810" w:rsidRDefault="00D62810" w:rsidP="00D62810">
      <w:pPr>
        <w:pStyle w:val="Heading6"/>
      </w:pPr>
      <w:r w:rsidRPr="00D62810">
        <w:t>Overall survival (OS)</w:t>
      </w:r>
    </w:p>
    <w:p w14:paraId="522C9A89" w14:textId="77777777" w:rsidR="00D62810" w:rsidRPr="00D62810" w:rsidRDefault="00D62810" w:rsidP="00D62810">
      <w:pPr>
        <w:pStyle w:val="Heading7"/>
        <w:rPr>
          <w:sz w:val="20"/>
        </w:rPr>
      </w:pPr>
      <w:r w:rsidRPr="00D62810">
        <w:rPr>
          <w:sz w:val="20"/>
        </w:rPr>
        <w:t>Overall positive population (TPS</w:t>
      </w:r>
      <w:r w:rsidR="00D53B25">
        <w:rPr>
          <w:sz w:val="20"/>
        </w:rPr>
        <w:t xml:space="preserve"> &gt;</w:t>
      </w:r>
      <w:r w:rsidR="00C10435">
        <w:rPr>
          <w:sz w:val="20"/>
        </w:rPr>
        <w:t xml:space="preserve"> </w:t>
      </w:r>
      <w:r w:rsidRPr="00D62810">
        <w:rPr>
          <w:sz w:val="20"/>
        </w:rPr>
        <w:t>1%)</w:t>
      </w:r>
    </w:p>
    <w:p w14:paraId="522C9A8A" w14:textId="02EF6C18" w:rsidR="00D62810" w:rsidRPr="00D62810" w:rsidRDefault="00D62810" w:rsidP="00D62810">
      <w:r w:rsidRPr="00D62810">
        <w:t>For patients receiving pembrolizumab 2 mg/kg (n</w:t>
      </w:r>
      <w:r w:rsidR="00FC7793">
        <w:t xml:space="preserve"> = </w:t>
      </w:r>
      <w:r w:rsidRPr="00D62810">
        <w:t>344) as compared to docetaxel 75</w:t>
      </w:r>
      <w:r w:rsidR="00C21EBD">
        <w:t> </w:t>
      </w:r>
      <w:r w:rsidRPr="00D62810">
        <w:t>mg/</w:t>
      </w:r>
      <w:r w:rsidR="00D53B25">
        <w:rPr>
          <w:lang w:eastAsia="ja-JP"/>
        </w:rPr>
        <w:t>m</w:t>
      </w:r>
      <w:r w:rsidR="00D53B25" w:rsidRPr="00D53B25">
        <w:rPr>
          <w:vertAlign w:val="superscript"/>
          <w:lang w:eastAsia="ja-JP"/>
        </w:rPr>
        <w:t>2</w:t>
      </w:r>
      <w:r w:rsidRPr="00D62810">
        <w:t xml:space="preserve"> (n</w:t>
      </w:r>
      <w:r w:rsidR="00414567">
        <w:t> </w:t>
      </w:r>
      <w:r w:rsidR="00FC7793">
        <w:t xml:space="preserve">= </w:t>
      </w:r>
      <w:r w:rsidRPr="00D62810">
        <w:t>343), the hazard ratio of OS was 0.71 (95% CI 0.58, 0.88).</w:t>
      </w:r>
    </w:p>
    <w:p w14:paraId="522C9A8B" w14:textId="77777777" w:rsidR="00D62810" w:rsidRPr="00D62810" w:rsidRDefault="00D62810" w:rsidP="00D62810">
      <w:r w:rsidRPr="00D62810">
        <w:t>The estimate of median duration of OS was 8.5 months (95% CI 7.5, 9.8) for patients receiving docetaxel as compared to 10.4 months (95% CI 9.4, 11.9) for receiving pembrolizumab 2 mg/kg.</w:t>
      </w:r>
    </w:p>
    <w:p w14:paraId="522C9A8C" w14:textId="77777777" w:rsidR="00D62810" w:rsidRPr="00D62810" w:rsidRDefault="00D62810" w:rsidP="00D62810">
      <w:pPr>
        <w:pStyle w:val="Heading7"/>
        <w:rPr>
          <w:sz w:val="20"/>
        </w:rPr>
      </w:pPr>
      <w:r w:rsidRPr="00D62810">
        <w:rPr>
          <w:sz w:val="20"/>
        </w:rPr>
        <w:t>TPS</w:t>
      </w:r>
      <w:r w:rsidR="00D53B25">
        <w:rPr>
          <w:sz w:val="20"/>
        </w:rPr>
        <w:t xml:space="preserve"> ≥ </w:t>
      </w:r>
      <w:r w:rsidRPr="00D62810">
        <w:rPr>
          <w:sz w:val="20"/>
        </w:rPr>
        <w:t>50% stratum OS analysis</w:t>
      </w:r>
    </w:p>
    <w:p w14:paraId="522C9A8D" w14:textId="77777777" w:rsidR="00D53B25" w:rsidRDefault="00D62810" w:rsidP="00D62810">
      <w:r w:rsidRPr="00D62810">
        <w:t>The primary efficacy analysis for overall survival, demonstrated superiority of both of the pembrolizumab arms over docetaxel</w:t>
      </w:r>
      <w:r w:rsidR="00D53B25">
        <w:t>.</w:t>
      </w:r>
    </w:p>
    <w:p w14:paraId="522C9A8E" w14:textId="53BE2709" w:rsidR="00D62810" w:rsidRPr="00D62810" w:rsidRDefault="00D62810" w:rsidP="00D62810">
      <w:r w:rsidRPr="00D62810">
        <w:t>The HR for OS was 0.54 (95% CI: 0.38, 0.77) with a one</w:t>
      </w:r>
      <w:r w:rsidR="00C21EBD">
        <w:t xml:space="preserve"> </w:t>
      </w:r>
      <w:r w:rsidRPr="00D62810">
        <w:t xml:space="preserve">sided </w:t>
      </w:r>
      <w:r w:rsidR="009B28D9">
        <w:t>p value</w:t>
      </w:r>
      <w:r w:rsidRPr="00D62810">
        <w:t xml:space="preserve"> of 0.00024 in the pembrolizumab 2 mg/kg Q3W arm </w:t>
      </w:r>
      <w:r w:rsidR="00D53B25">
        <w:t>versus</w:t>
      </w:r>
      <w:r w:rsidRPr="00D62810">
        <w:t xml:space="preserve"> the docetaxel arm. The HR for OS was 0.50 (95%</w:t>
      </w:r>
      <w:r w:rsidR="00C21EBD">
        <w:t> </w:t>
      </w:r>
      <w:r w:rsidRPr="00D62810">
        <w:t>CI:</w:t>
      </w:r>
      <w:r w:rsidR="00C21EBD">
        <w:t> </w:t>
      </w:r>
      <w:r w:rsidRPr="00D62810">
        <w:t>0.36, 0.70) with a one</w:t>
      </w:r>
      <w:r w:rsidR="00C21EBD">
        <w:t xml:space="preserve"> </w:t>
      </w:r>
      <w:r w:rsidRPr="00D62810">
        <w:t xml:space="preserve">sided </w:t>
      </w:r>
      <w:r w:rsidR="009B28D9">
        <w:t>p value</w:t>
      </w:r>
      <w:r w:rsidRPr="00D62810">
        <w:t xml:space="preserve"> of 0.00002 in the pembrolizumab 10 mg/kg Q3W arm </w:t>
      </w:r>
      <w:r w:rsidR="00D53B25">
        <w:t>versus</w:t>
      </w:r>
      <w:r w:rsidRPr="00D62810">
        <w:t xml:space="preserve"> the docetaxel arm.</w:t>
      </w:r>
    </w:p>
    <w:p w14:paraId="522C9A8F" w14:textId="273AC834" w:rsidR="00D62810" w:rsidRPr="00D62810" w:rsidRDefault="00D62810" w:rsidP="00D62810">
      <w:r w:rsidRPr="00D62810">
        <w:t>The median duration of OS for pembrolizumab 2 mg/kg was 14.9 (95% CI 10.4, NE) months and for pembrolizumab 10 mg/kg was 17.3 (95% CI 11.8, NE) months, compared to 8.2 (95%</w:t>
      </w:r>
      <w:r w:rsidR="00C21EBD">
        <w:t> </w:t>
      </w:r>
      <w:r w:rsidRPr="00D62810">
        <w:t>CI 6.4, 10.7) months for the docetaxel arm.</w:t>
      </w:r>
    </w:p>
    <w:p w14:paraId="522C9A90" w14:textId="56F6F6C2" w:rsidR="00D62810" w:rsidRPr="00D62810" w:rsidRDefault="00D62810" w:rsidP="00D62810">
      <w:r w:rsidRPr="00D62810">
        <w:t>This</w:t>
      </w:r>
      <w:r w:rsidR="00414567">
        <w:t xml:space="preserve"> is graphically </w:t>
      </w:r>
      <w:r w:rsidR="00414567" w:rsidRPr="00374C1D">
        <w:t xml:space="preserve">represented </w:t>
      </w:r>
      <w:r w:rsidR="00C21EBD">
        <w:t xml:space="preserve">below </w:t>
      </w:r>
      <w:r w:rsidR="00414567" w:rsidRPr="00374C1D">
        <w:t>in F</w:t>
      </w:r>
      <w:r w:rsidRPr="00374C1D">
        <w:t>igure 4</w:t>
      </w:r>
      <w:r w:rsidR="00414567" w:rsidRPr="00374C1D">
        <w:t>.</w:t>
      </w:r>
    </w:p>
    <w:p w14:paraId="522C9A91" w14:textId="77777777" w:rsidR="00D62810" w:rsidRPr="00D62810" w:rsidRDefault="00D62810" w:rsidP="00D62810">
      <w:pPr>
        <w:pStyle w:val="FigureTitle"/>
      </w:pPr>
      <w:bookmarkStart w:id="74" w:name="_Toc453752520"/>
      <w:r w:rsidRPr="00374C1D">
        <w:t>Figure</w:t>
      </w:r>
      <w:r w:rsidR="00374C1D" w:rsidRPr="00374C1D">
        <w:t xml:space="preserve"> 4</w:t>
      </w:r>
      <w:r w:rsidR="00414567" w:rsidRPr="00374C1D">
        <w:t>:</w:t>
      </w:r>
      <w:r w:rsidRPr="00374C1D">
        <w:t xml:space="preserve"> Kaplan</w:t>
      </w:r>
      <w:r w:rsidRPr="00D62810">
        <w:t>-Meier estimates of overall survival in subjects with TPS</w:t>
      </w:r>
      <w:r w:rsidR="00D53B25">
        <w:t xml:space="preserve"> ≥ </w:t>
      </w:r>
      <w:r w:rsidRPr="00D62810">
        <w:t>50%, ITT population</w:t>
      </w:r>
      <w:bookmarkEnd w:id="74"/>
    </w:p>
    <w:p w14:paraId="522C9A92" w14:textId="77777777" w:rsidR="008C5595" w:rsidRDefault="00D62810" w:rsidP="00C22678">
      <w:pPr>
        <w:rPr>
          <w:lang w:eastAsia="ja-JP"/>
        </w:rPr>
      </w:pPr>
      <w:r>
        <w:rPr>
          <w:noProof/>
          <w:lang w:eastAsia="en-AU"/>
        </w:rPr>
        <w:drawing>
          <wp:inline distT="0" distB="0" distL="0" distR="0" wp14:anchorId="522C9CDB" wp14:editId="10E3606B">
            <wp:extent cx="5375210" cy="3664916"/>
            <wp:effectExtent l="0" t="0" r="0" b="0"/>
            <wp:docPr id="12" name="Picture 12" descr="Figure 4: Kaplan-Meier estimates of overall survival in subjects with TPS ≥ 5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78252" cy="3666990"/>
                    </a:xfrm>
                    <a:prstGeom prst="rect">
                      <a:avLst/>
                    </a:prstGeom>
                  </pic:spPr>
                </pic:pic>
              </a:graphicData>
            </a:graphic>
          </wp:inline>
        </w:drawing>
      </w:r>
    </w:p>
    <w:p w14:paraId="522C9A93" w14:textId="13CA3321" w:rsidR="00D62810" w:rsidRPr="00D62810" w:rsidRDefault="00D62810" w:rsidP="00D62810">
      <w:r w:rsidRPr="00D62810">
        <w:t xml:space="preserve">The OS rate at </w:t>
      </w:r>
      <w:proofErr w:type="gramStart"/>
      <w:r w:rsidRPr="00D62810">
        <w:t>6,</w:t>
      </w:r>
      <w:proofErr w:type="gramEnd"/>
      <w:r w:rsidRPr="00D62810">
        <w:t xml:space="preserve"> 9 and 12 months demonstrates both pembrolizumab arms were higher in both pembrolizumab treatment arms as</w:t>
      </w:r>
      <w:r w:rsidR="009B28D9">
        <w:t xml:space="preserve"> compar</w:t>
      </w:r>
      <w:r w:rsidR="00310181">
        <w:t xml:space="preserve">ed to the docetaxel arm; </w:t>
      </w:r>
      <w:r w:rsidR="00C21EBD">
        <w:t xml:space="preserve">see </w:t>
      </w:r>
      <w:r w:rsidR="00310181">
        <w:t>Table 6</w:t>
      </w:r>
      <w:r w:rsidR="00C21EBD">
        <w:t>, below</w:t>
      </w:r>
      <w:r w:rsidR="009B28D9">
        <w:t>.</w:t>
      </w:r>
    </w:p>
    <w:p w14:paraId="522C9A94" w14:textId="77777777" w:rsidR="00D62810" w:rsidRPr="00D62810" w:rsidRDefault="00D62810" w:rsidP="00D62810">
      <w:pPr>
        <w:pStyle w:val="Tabletitle"/>
      </w:pPr>
      <w:bookmarkStart w:id="75" w:name="_Toc453755619"/>
      <w:r w:rsidRPr="001F1098">
        <w:lastRenderedPageBreak/>
        <w:t>Table</w:t>
      </w:r>
      <w:r w:rsidR="00310181">
        <w:t xml:space="preserve"> 6</w:t>
      </w:r>
      <w:r w:rsidR="009B28D9" w:rsidRPr="001F1098">
        <w:t>:</w:t>
      </w:r>
      <w:r w:rsidR="009B28D9">
        <w:t xml:space="preserve"> </w:t>
      </w:r>
      <w:r w:rsidRPr="00D62810">
        <w:t xml:space="preserve">OS rate at 6, 9 </w:t>
      </w:r>
      <w:r w:rsidR="009B28D9">
        <w:t>and</w:t>
      </w:r>
      <w:r w:rsidRPr="00D62810">
        <w:t xml:space="preserve"> 12 months, ITT population</w:t>
      </w:r>
      <w:bookmarkEnd w:id="75"/>
    </w:p>
    <w:p w14:paraId="522C9A95" w14:textId="77777777" w:rsidR="008C5595" w:rsidRDefault="00D62810" w:rsidP="00C22678">
      <w:pPr>
        <w:rPr>
          <w:lang w:eastAsia="ja-JP"/>
        </w:rPr>
      </w:pPr>
      <w:r>
        <w:rPr>
          <w:noProof/>
          <w:lang w:eastAsia="en-AU"/>
        </w:rPr>
        <w:drawing>
          <wp:inline distT="0" distB="0" distL="0" distR="0" wp14:anchorId="522C9CDD" wp14:editId="37A7316C">
            <wp:extent cx="5508346" cy="801535"/>
            <wp:effectExtent l="0" t="0" r="0" b="0"/>
            <wp:docPr id="13" name="Picture 13" descr="Table 6: OS rate at 6, 9 and 12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08841" cy="801607"/>
                    </a:xfrm>
                    <a:prstGeom prst="rect">
                      <a:avLst/>
                    </a:prstGeom>
                  </pic:spPr>
                </pic:pic>
              </a:graphicData>
            </a:graphic>
          </wp:inline>
        </w:drawing>
      </w:r>
    </w:p>
    <w:p w14:paraId="522C9A96" w14:textId="76FDD250" w:rsidR="00D62810" w:rsidRPr="00D62810" w:rsidRDefault="00D62810" w:rsidP="00D62810">
      <w:r w:rsidRPr="00D62810">
        <w:t>An exploratory analysis of pooled pembrolizumab data for OS according to patient characteristics demonstrated no substantial differences for any sub-grou</w:t>
      </w:r>
      <w:r w:rsidR="009B28D9">
        <w:t>ps, including tumour histology as shown</w:t>
      </w:r>
      <w:r w:rsidR="00B024A2">
        <w:t xml:space="preserve"> below in</w:t>
      </w:r>
      <w:r w:rsidR="009B28D9">
        <w:t xml:space="preserve"> </w:t>
      </w:r>
      <w:r w:rsidR="009B28D9" w:rsidRPr="00374C1D">
        <w:t>in</w:t>
      </w:r>
      <w:r w:rsidRPr="00374C1D">
        <w:t xml:space="preserve"> Figure 5.</w:t>
      </w:r>
    </w:p>
    <w:p w14:paraId="522C9A97" w14:textId="77777777" w:rsidR="00D62810" w:rsidRPr="00D62810" w:rsidRDefault="00D62810" w:rsidP="00D62810">
      <w:pPr>
        <w:pStyle w:val="FigureTitle"/>
      </w:pPr>
      <w:bookmarkStart w:id="76" w:name="_Toc453752521"/>
      <w:r w:rsidRPr="00D62810">
        <w:t>Figure</w:t>
      </w:r>
      <w:r w:rsidR="00374C1D">
        <w:t xml:space="preserve"> 5</w:t>
      </w:r>
      <w:r w:rsidR="009B28D9">
        <w:t>:</w:t>
      </w:r>
      <w:r w:rsidRPr="00D62810">
        <w:t xml:space="preserve"> Forest plot of OS hazard ratio by subgroup factors pembrolizumab treatment groups pooled versus docetaxel patients with TPS</w:t>
      </w:r>
      <w:r w:rsidR="00D53B25">
        <w:t xml:space="preserve"> </w:t>
      </w:r>
      <w:r w:rsidR="009B28D9">
        <w:t xml:space="preserve">≥ </w:t>
      </w:r>
      <w:r w:rsidRPr="00D62810">
        <w:t>50%</w:t>
      </w:r>
      <w:bookmarkEnd w:id="76"/>
    </w:p>
    <w:p w14:paraId="522C9A98" w14:textId="77777777" w:rsidR="008C5595" w:rsidRDefault="00D62810" w:rsidP="00C22678">
      <w:pPr>
        <w:rPr>
          <w:lang w:eastAsia="ja-JP"/>
        </w:rPr>
      </w:pPr>
      <w:r>
        <w:rPr>
          <w:noProof/>
          <w:lang w:eastAsia="en-AU"/>
        </w:rPr>
        <w:drawing>
          <wp:inline distT="0" distB="0" distL="0" distR="0" wp14:anchorId="522C9CDF" wp14:editId="35E2A1E0">
            <wp:extent cx="5359828" cy="4059936"/>
            <wp:effectExtent l="0" t="0" r="0" b="0"/>
            <wp:docPr id="14" name="Picture 14" descr="Figure 5: Forest plot of OS hazard ratio by subgroup factors pembrolizumab treatment groups pooled versus docetaxel patients with TPS ≥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56457" cy="4057383"/>
                    </a:xfrm>
                    <a:prstGeom prst="rect">
                      <a:avLst/>
                    </a:prstGeom>
                  </pic:spPr>
                </pic:pic>
              </a:graphicData>
            </a:graphic>
          </wp:inline>
        </w:drawing>
      </w:r>
    </w:p>
    <w:p w14:paraId="522C9A99" w14:textId="4578FA24" w:rsidR="00D62810" w:rsidRPr="00D62810" w:rsidRDefault="00D62810" w:rsidP="00D62810">
      <w:pPr>
        <w:pStyle w:val="Comment"/>
      </w:pPr>
      <w:r w:rsidRPr="00D62810">
        <w:rPr>
          <w:b/>
        </w:rPr>
        <w:t>Comment</w:t>
      </w:r>
      <w:r w:rsidRPr="00B024A2">
        <w:rPr>
          <w:b/>
        </w:rPr>
        <w:t>:</w:t>
      </w:r>
      <w:r w:rsidRPr="00EC5C29">
        <w:t xml:space="preserve"> </w:t>
      </w:r>
      <w:r w:rsidR="00B024A2">
        <w:t>I</w:t>
      </w:r>
      <w:r w:rsidRPr="00D62810">
        <w:t>n this analysis, the independent effect of pembrolizumab 2 mg/kg Q3W cannot be separated from that of pembrolizumab 10 mg/kg Q3W in patients with TPS</w:t>
      </w:r>
      <w:r w:rsidR="00D53B25">
        <w:t xml:space="preserve"> </w:t>
      </w:r>
      <w:r w:rsidR="009B28D9">
        <w:t>≥</w:t>
      </w:r>
      <w:r w:rsidR="00FC7793">
        <w:t xml:space="preserve"> </w:t>
      </w:r>
      <w:r w:rsidRPr="00D62810">
        <w:t>50%. See clinical questions.</w:t>
      </w:r>
    </w:p>
    <w:p w14:paraId="522C9A9A" w14:textId="4D20FEA2" w:rsidR="00D62810" w:rsidRPr="00D62810" w:rsidRDefault="00D62810" w:rsidP="00D62810">
      <w:pPr>
        <w:pStyle w:val="Heading7"/>
        <w:rPr>
          <w:sz w:val="20"/>
        </w:rPr>
      </w:pPr>
      <w:r w:rsidRPr="00D62810">
        <w:rPr>
          <w:sz w:val="20"/>
        </w:rPr>
        <w:t>TPS</w:t>
      </w:r>
      <w:r w:rsidR="00D53B25">
        <w:rPr>
          <w:sz w:val="20"/>
        </w:rPr>
        <w:t xml:space="preserve"> ≥ </w:t>
      </w:r>
      <w:r w:rsidRPr="00D62810">
        <w:rPr>
          <w:sz w:val="20"/>
        </w:rPr>
        <w:t>1% stratum</w:t>
      </w:r>
      <w:r w:rsidR="00B024A2">
        <w:rPr>
          <w:sz w:val="20"/>
        </w:rPr>
        <w:t>;</w:t>
      </w:r>
      <w:r w:rsidRPr="00D62810">
        <w:rPr>
          <w:sz w:val="20"/>
        </w:rPr>
        <w:t xml:space="preserve"> OS analysis</w:t>
      </w:r>
    </w:p>
    <w:p w14:paraId="522C9A9B" w14:textId="69806710" w:rsidR="00D62810" w:rsidRPr="00D62810" w:rsidRDefault="00D62810" w:rsidP="00D62810">
      <w:r w:rsidRPr="00D62810">
        <w:t xml:space="preserve">The OS HR for pembrolizumab 2 mg/kg </w:t>
      </w:r>
      <w:r w:rsidR="00D53B25">
        <w:t>versus</w:t>
      </w:r>
      <w:r w:rsidRPr="00D62810">
        <w:t xml:space="preserve"> docetaxel was 0.7</w:t>
      </w:r>
      <w:r w:rsidR="009B28D9">
        <w:t>1 (95% CI: 0.58, 0.88) with a p </w:t>
      </w:r>
      <w:r w:rsidRPr="00D62810">
        <w:t xml:space="preserve">value of 0.00076. The OS HR for pembrolizumab 10 mg/kg </w:t>
      </w:r>
      <w:r w:rsidR="00D53B25">
        <w:t>versus</w:t>
      </w:r>
      <w:r w:rsidRPr="00D62810">
        <w:t xml:space="preserve"> docetaxel was 0.61 (95%</w:t>
      </w:r>
      <w:r w:rsidR="00B024A2">
        <w:t> </w:t>
      </w:r>
      <w:r w:rsidRPr="00D62810">
        <w:t>CI:</w:t>
      </w:r>
      <w:r w:rsidR="00B024A2">
        <w:t> </w:t>
      </w:r>
      <w:r w:rsidRPr="00D62810">
        <w:t xml:space="preserve">0.49, 0.75) with a </w:t>
      </w:r>
      <w:r w:rsidR="009B28D9">
        <w:t>p value</w:t>
      </w:r>
      <w:r w:rsidRPr="00D62810">
        <w:t xml:space="preserve"> </w:t>
      </w:r>
      <w:r w:rsidR="009B28D9">
        <w:t xml:space="preserve">&lt; </w:t>
      </w:r>
      <w:r w:rsidRPr="00D62810">
        <w:t>0.00001.</w:t>
      </w:r>
    </w:p>
    <w:p w14:paraId="522C9A9C" w14:textId="77777777" w:rsidR="00D62810" w:rsidRPr="00D62810" w:rsidRDefault="00D62810" w:rsidP="00D62810">
      <w:r w:rsidRPr="00D62810">
        <w:t>The median OS for pembrolizumab was 10.4 months and 12.7 months for the 2 mg and 10 mg groups, respectively, compared to 8.</w:t>
      </w:r>
      <w:r>
        <w:t>5 months for the docetaxel arm.</w:t>
      </w:r>
    </w:p>
    <w:p w14:paraId="522C9A9D" w14:textId="77777777" w:rsidR="00D62810" w:rsidRPr="00D62810" w:rsidRDefault="00D62810" w:rsidP="00D62810">
      <w:r w:rsidRPr="00D62810">
        <w:t>The median OS for pembrolizumab was 10.4 months and 12.7 months for the 2 mg and 10 mg groups, respectively, which represent clinically meaningful improvements compared to 8.5 months for docetaxel.</w:t>
      </w:r>
    </w:p>
    <w:p w14:paraId="522C9A9E" w14:textId="465E7080" w:rsidR="00D62810" w:rsidRPr="00D62810" w:rsidRDefault="00D62810" w:rsidP="00D62810">
      <w:r w:rsidRPr="00D62810">
        <w:t>This</w:t>
      </w:r>
      <w:r w:rsidR="009B28D9">
        <w:t xml:space="preserve"> is graphically represented </w:t>
      </w:r>
      <w:r w:rsidR="00B024A2">
        <w:t xml:space="preserve">below </w:t>
      </w:r>
      <w:r w:rsidR="009B28D9" w:rsidRPr="00374C1D">
        <w:t>in F</w:t>
      </w:r>
      <w:r w:rsidRPr="00374C1D">
        <w:t>igure 6</w:t>
      </w:r>
      <w:r w:rsidR="009B28D9" w:rsidRPr="00374C1D">
        <w:t>.</w:t>
      </w:r>
    </w:p>
    <w:p w14:paraId="522C9A9F" w14:textId="77777777" w:rsidR="00D62810" w:rsidRPr="00D62810" w:rsidRDefault="00D62810" w:rsidP="00D62810">
      <w:pPr>
        <w:pStyle w:val="FigureTitle"/>
      </w:pPr>
      <w:bookmarkStart w:id="77" w:name="_Toc453752522"/>
      <w:r w:rsidRPr="00374C1D">
        <w:lastRenderedPageBreak/>
        <w:t>Figure</w:t>
      </w:r>
      <w:r w:rsidR="00374C1D" w:rsidRPr="00374C1D">
        <w:t xml:space="preserve"> 6</w:t>
      </w:r>
      <w:r w:rsidR="009B28D9" w:rsidRPr="00374C1D">
        <w:t>:</w:t>
      </w:r>
      <w:r w:rsidRPr="00374C1D">
        <w:t xml:space="preserve"> Kaplan-Meier</w:t>
      </w:r>
      <w:r w:rsidRPr="00D62810">
        <w:t xml:space="preserve"> estimates of overall survival ITT population with TPS</w:t>
      </w:r>
      <w:r w:rsidR="00D53B25">
        <w:t xml:space="preserve"> ≥ </w:t>
      </w:r>
      <w:r w:rsidRPr="00D62810">
        <w:t>1%</w:t>
      </w:r>
      <w:bookmarkEnd w:id="77"/>
    </w:p>
    <w:p w14:paraId="522C9AA0" w14:textId="77777777" w:rsidR="008C5595" w:rsidRDefault="00D62810" w:rsidP="00C22678">
      <w:pPr>
        <w:rPr>
          <w:lang w:eastAsia="ja-JP"/>
        </w:rPr>
      </w:pPr>
      <w:r>
        <w:rPr>
          <w:noProof/>
          <w:lang w:eastAsia="en-AU"/>
        </w:rPr>
        <w:drawing>
          <wp:inline distT="0" distB="0" distL="0" distR="0" wp14:anchorId="522C9CE1" wp14:editId="522C9CE2">
            <wp:extent cx="4581525" cy="3114675"/>
            <wp:effectExtent l="0" t="0" r="9525" b="9525"/>
            <wp:docPr id="15" name="Picture 15" descr="Figure 6: Kaplan-Meier estimates of overall survival ITT population with TP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Lst>
                    </a:blip>
                    <a:stretch>
                      <a:fillRect/>
                    </a:stretch>
                  </pic:blipFill>
                  <pic:spPr>
                    <a:xfrm>
                      <a:off x="0" y="0"/>
                      <a:ext cx="4581525" cy="3114675"/>
                    </a:xfrm>
                    <a:prstGeom prst="rect">
                      <a:avLst/>
                    </a:prstGeom>
                  </pic:spPr>
                </pic:pic>
              </a:graphicData>
            </a:graphic>
          </wp:inline>
        </w:drawing>
      </w:r>
    </w:p>
    <w:p w14:paraId="522C9AA1" w14:textId="451890F6" w:rsidR="00D62810" w:rsidRPr="00D62810" w:rsidRDefault="00D62810" w:rsidP="00D62810">
      <w:r w:rsidRPr="00D62810">
        <w:t xml:space="preserve">An exploratory analysis comparing the OS estimates of the two pembrolizumab arms showed HR </w:t>
      </w:r>
      <w:r w:rsidR="00B024A2">
        <w:t xml:space="preserve">= </w:t>
      </w:r>
      <w:r w:rsidRPr="00D62810">
        <w:t>1.17 (95% CI 0.94, 1.45), p</w:t>
      </w:r>
      <w:r w:rsidR="00FC7793">
        <w:t xml:space="preserve"> = </w:t>
      </w:r>
      <w:r w:rsidRPr="00D62810">
        <w:t>0.16.</w:t>
      </w:r>
    </w:p>
    <w:p w14:paraId="522C9AA2" w14:textId="2BE6442B" w:rsidR="00D62810" w:rsidRPr="00D62810" w:rsidRDefault="00D62810" w:rsidP="00D62810">
      <w:r w:rsidRPr="00D62810">
        <w:t>The OS rate at 6, 9 and 12 months demonstrates both pembrolizumab arms were higher in bot</w:t>
      </w:r>
      <w:r w:rsidR="00C229F8">
        <w:t>h</w:t>
      </w:r>
      <w:r w:rsidRPr="00D62810">
        <w:t xml:space="preserve"> pembrolizumab arms as compared to the docetaxel arm.</w:t>
      </w:r>
    </w:p>
    <w:p w14:paraId="522C9AA3" w14:textId="77777777" w:rsidR="00D62810" w:rsidRPr="00D62810" w:rsidRDefault="00D62810" w:rsidP="00D62810">
      <w:pPr>
        <w:pStyle w:val="Tabletitle"/>
      </w:pPr>
      <w:bookmarkStart w:id="78" w:name="_Toc453755620"/>
      <w:r w:rsidRPr="001F1098">
        <w:t>Table</w:t>
      </w:r>
      <w:r w:rsidR="00310181">
        <w:t xml:space="preserve"> 7</w:t>
      </w:r>
      <w:r w:rsidR="009B28D9" w:rsidRPr="001F1098">
        <w:t>:</w:t>
      </w:r>
      <w:r w:rsidRPr="001F1098">
        <w:t xml:space="preserve"> OS rate at</w:t>
      </w:r>
      <w:r w:rsidRPr="00D62810">
        <w:t xml:space="preserve"> 6, 9 </w:t>
      </w:r>
      <w:r w:rsidR="009B28D9">
        <w:t>and</w:t>
      </w:r>
      <w:r w:rsidRPr="00D62810">
        <w:t xml:space="preserve"> 12 months, ITT population</w:t>
      </w:r>
      <w:bookmarkEnd w:id="78"/>
    </w:p>
    <w:p w14:paraId="522C9AA4" w14:textId="77777777" w:rsidR="00D62810" w:rsidRDefault="00D62810" w:rsidP="00C22678">
      <w:pPr>
        <w:rPr>
          <w:lang w:eastAsia="ja-JP"/>
        </w:rPr>
      </w:pPr>
      <w:r>
        <w:rPr>
          <w:noProof/>
          <w:lang w:eastAsia="en-AU"/>
        </w:rPr>
        <w:drawing>
          <wp:inline distT="0" distB="0" distL="0" distR="0" wp14:anchorId="522C9CE3" wp14:editId="522C9CE4">
            <wp:extent cx="5731510" cy="817475"/>
            <wp:effectExtent l="0" t="0" r="2540" b="1905"/>
            <wp:docPr id="16" name="Picture 16" descr="Table 7: OS rate at 6, 9 and 12 month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817475"/>
                    </a:xfrm>
                    <a:prstGeom prst="rect">
                      <a:avLst/>
                    </a:prstGeom>
                  </pic:spPr>
                </pic:pic>
              </a:graphicData>
            </a:graphic>
          </wp:inline>
        </w:drawing>
      </w:r>
    </w:p>
    <w:p w14:paraId="522C9AA5" w14:textId="36A76D78" w:rsidR="00F3721E" w:rsidRPr="00F3721E" w:rsidRDefault="00F3721E" w:rsidP="00F3721E">
      <w:pPr>
        <w:pStyle w:val="Heading7"/>
        <w:rPr>
          <w:sz w:val="20"/>
        </w:rPr>
      </w:pPr>
      <w:r w:rsidRPr="00F3721E">
        <w:rPr>
          <w:sz w:val="20"/>
        </w:rPr>
        <w:t>TPS</w:t>
      </w:r>
      <w:r w:rsidR="00D53B25">
        <w:rPr>
          <w:sz w:val="20"/>
        </w:rPr>
        <w:t xml:space="preserve"> ≥ </w:t>
      </w:r>
      <w:r w:rsidRPr="00F3721E">
        <w:rPr>
          <w:sz w:val="20"/>
        </w:rPr>
        <w:t xml:space="preserve">1% to </w:t>
      </w:r>
      <w:r w:rsidR="009B28D9">
        <w:rPr>
          <w:sz w:val="20"/>
        </w:rPr>
        <w:t xml:space="preserve">&lt; </w:t>
      </w:r>
      <w:r w:rsidRPr="00F3721E">
        <w:rPr>
          <w:sz w:val="20"/>
        </w:rPr>
        <w:t>50% stratum (</w:t>
      </w:r>
      <w:r w:rsidR="001B5859">
        <w:rPr>
          <w:sz w:val="20"/>
        </w:rPr>
        <w:t>sponsor</w:t>
      </w:r>
      <w:r w:rsidRPr="00F3721E">
        <w:rPr>
          <w:sz w:val="20"/>
        </w:rPr>
        <w:t xml:space="preserve"> termed </w:t>
      </w:r>
      <w:r w:rsidR="00EF3E5B">
        <w:rPr>
          <w:sz w:val="20"/>
        </w:rPr>
        <w:t>‘</w:t>
      </w:r>
      <w:r w:rsidRPr="00F3721E">
        <w:rPr>
          <w:sz w:val="20"/>
        </w:rPr>
        <w:t>weakly positive</w:t>
      </w:r>
      <w:r w:rsidR="00EF3E5B">
        <w:rPr>
          <w:sz w:val="20"/>
        </w:rPr>
        <w:t>’</w:t>
      </w:r>
      <w:r w:rsidRPr="00F3721E">
        <w:rPr>
          <w:sz w:val="20"/>
        </w:rPr>
        <w:t>) OS analysis</w:t>
      </w:r>
    </w:p>
    <w:p w14:paraId="522C9AA6" w14:textId="5DB4AE56" w:rsidR="00F3721E" w:rsidRPr="00F3721E" w:rsidRDefault="00F3721E" w:rsidP="00F3721E">
      <w:r w:rsidRPr="00F3721E">
        <w:t xml:space="preserve">The sponsor states in the CSR </w:t>
      </w:r>
      <w:r w:rsidR="00EF3E5B">
        <w:t>‘</w:t>
      </w:r>
      <w:proofErr w:type="gramStart"/>
      <w:r w:rsidRPr="00F3721E">
        <w:t>In</w:t>
      </w:r>
      <w:proofErr w:type="gramEnd"/>
      <w:r w:rsidRPr="00F3721E">
        <w:t xml:space="preserve"> the 1%</w:t>
      </w:r>
      <w:r w:rsidR="009B28D9">
        <w:t xml:space="preserve"> ≤</w:t>
      </w:r>
      <w:r w:rsidRPr="00F3721E">
        <w:t xml:space="preserve"> TPS </w:t>
      </w:r>
      <w:r w:rsidR="009B28D9">
        <w:t xml:space="preserve">&lt; </w:t>
      </w:r>
      <w:r w:rsidRPr="00F3721E">
        <w:t>50% stratum of the ITT population; both pembrolizumab doses were superior to docetaxel with rega</w:t>
      </w:r>
      <w:r w:rsidR="009B28D9">
        <w:t>rd to OS by individual arms (HR </w:t>
      </w:r>
      <w:r w:rsidRPr="00F3721E">
        <w:t>0.79, 95% CI: 0.61, 1.04 for pembrolizumab 2 mg/kg and HR 0.71, 95% CI: 0.53, 0.94 for pembrolizumab 10 mg/kg).</w:t>
      </w:r>
      <w:r w:rsidR="00EF3E5B">
        <w:t>’</w:t>
      </w:r>
    </w:p>
    <w:p w14:paraId="522C9AA7" w14:textId="77777777" w:rsidR="00F3721E" w:rsidRPr="00F3721E" w:rsidRDefault="00F3721E" w:rsidP="00F3721E">
      <w:r w:rsidRPr="00F3721E">
        <w:t>The median OS for pembrolizumab was 9.4 months and 10.8 months for the 2 mg and 10 mg groups, respectively, which represents clinically meaning</w:t>
      </w:r>
      <w:r w:rsidR="009B28D9">
        <w:t>ful improvement compared to 8.6 </w:t>
      </w:r>
      <w:r w:rsidRPr="00F3721E">
        <w:t>months for docetaxel.</w:t>
      </w:r>
    </w:p>
    <w:p w14:paraId="522C9AA8" w14:textId="77777777" w:rsidR="00F3721E" w:rsidRPr="00F3721E" w:rsidRDefault="00F3721E" w:rsidP="00F3721E">
      <w:pPr>
        <w:pStyle w:val="Heading6"/>
      </w:pPr>
      <w:r w:rsidRPr="00F3721E">
        <w:t>Progression-free survival (PFS)</w:t>
      </w:r>
    </w:p>
    <w:p w14:paraId="522C9AA9" w14:textId="77777777" w:rsidR="00F3721E" w:rsidRPr="00F3721E" w:rsidRDefault="00F3721E" w:rsidP="00F3721E">
      <w:pPr>
        <w:pStyle w:val="Heading7"/>
        <w:rPr>
          <w:sz w:val="20"/>
        </w:rPr>
      </w:pPr>
      <w:r w:rsidRPr="00F3721E">
        <w:rPr>
          <w:sz w:val="20"/>
        </w:rPr>
        <w:t>Overall positive (TPS</w:t>
      </w:r>
      <w:r w:rsidR="00D53B25">
        <w:rPr>
          <w:sz w:val="20"/>
        </w:rPr>
        <w:t xml:space="preserve"> ≥ </w:t>
      </w:r>
      <w:r w:rsidRPr="00F3721E">
        <w:rPr>
          <w:sz w:val="20"/>
        </w:rPr>
        <w:t>1%) population</w:t>
      </w:r>
    </w:p>
    <w:p w14:paraId="522C9AAA" w14:textId="77777777" w:rsidR="00F3721E" w:rsidRPr="00F3721E" w:rsidRDefault="00F3721E" w:rsidP="00F3721E">
      <w:r w:rsidRPr="00F3721E">
        <w:t>The hazard ratio for PFS comparing patients receiving pembrolizumab 2 mg/kg Q3W and docetaxel 75mg/</w:t>
      </w:r>
      <w:r w:rsidR="00D53B25">
        <w:rPr>
          <w:lang w:eastAsia="ja-JP"/>
        </w:rPr>
        <w:t>m</w:t>
      </w:r>
      <w:r w:rsidR="00D53B25" w:rsidRPr="00D53B25">
        <w:rPr>
          <w:vertAlign w:val="superscript"/>
          <w:lang w:eastAsia="ja-JP"/>
        </w:rPr>
        <w:t>2</w:t>
      </w:r>
      <w:r w:rsidRPr="00F3721E">
        <w:t xml:space="preserve"> was 0.88 (95% CI 0.73, 1.04), p</w:t>
      </w:r>
      <w:r w:rsidR="00FC7793">
        <w:t xml:space="preserve"> = </w:t>
      </w:r>
      <w:r w:rsidRPr="00F3721E">
        <w:t>0.007.</w:t>
      </w:r>
    </w:p>
    <w:p w14:paraId="522C9AAB" w14:textId="77777777" w:rsidR="00D62810" w:rsidRPr="00F3721E" w:rsidRDefault="00F3721E" w:rsidP="00F3721E">
      <w:r w:rsidRPr="00F3721E">
        <w:t>The estimate of median duration of PFS was 4.0 months (95% CI 3.1, 4.2) for the docetaxel arm as compared to 3.9 months (95% Ci</w:t>
      </w:r>
      <w:r w:rsidR="00D53B25">
        <w:t xml:space="preserve"> </w:t>
      </w:r>
      <w:r w:rsidRPr="00F3721E">
        <w:t>3.1, 4.1) for the pembrolizumab 2 mg/kg Q3W arm</w:t>
      </w:r>
    </w:p>
    <w:p w14:paraId="522C9AAC" w14:textId="7790F9BF" w:rsidR="00F3721E" w:rsidRPr="00C8078A" w:rsidRDefault="00F3721E" w:rsidP="00F3721E">
      <w:pPr>
        <w:pStyle w:val="Comment"/>
      </w:pPr>
      <w:r w:rsidRPr="009B28D9">
        <w:rPr>
          <w:b/>
        </w:rPr>
        <w:t>Comment</w:t>
      </w:r>
      <w:r w:rsidRPr="00B024A2">
        <w:rPr>
          <w:b/>
        </w:rPr>
        <w:t xml:space="preserve">: </w:t>
      </w:r>
      <w:r w:rsidRPr="00F3721E">
        <w:t xml:space="preserve">Despite an apparent improvement in hazard of overall survival there is no improvement in </w:t>
      </w:r>
      <w:r w:rsidR="00FC7793">
        <w:t>progression free</w:t>
      </w:r>
      <w:r w:rsidRPr="00F3721E">
        <w:t xml:space="preserve"> survival for this population.</w:t>
      </w:r>
    </w:p>
    <w:p w14:paraId="522C9AAD" w14:textId="77777777" w:rsidR="00F3721E" w:rsidRPr="00F3721E" w:rsidRDefault="00F3721E" w:rsidP="00F3721E">
      <w:pPr>
        <w:pStyle w:val="Heading7"/>
        <w:rPr>
          <w:sz w:val="20"/>
        </w:rPr>
      </w:pPr>
      <w:r w:rsidRPr="00F3721E">
        <w:rPr>
          <w:sz w:val="20"/>
        </w:rPr>
        <w:lastRenderedPageBreak/>
        <w:t>TPS</w:t>
      </w:r>
      <w:r w:rsidR="00D53B25">
        <w:rPr>
          <w:sz w:val="20"/>
        </w:rPr>
        <w:t xml:space="preserve"> ≥ </w:t>
      </w:r>
      <w:r w:rsidRPr="00F3721E">
        <w:rPr>
          <w:sz w:val="20"/>
        </w:rPr>
        <w:t>50% stratum PFS analysis</w:t>
      </w:r>
    </w:p>
    <w:p w14:paraId="522C9AAE" w14:textId="65C424ED" w:rsidR="00F3721E" w:rsidRPr="00F95932" w:rsidRDefault="00F3721E" w:rsidP="00F3721E">
      <w:r w:rsidRPr="00F95932">
        <w:t>A total of 304 PFS events were reported at the time of data cut</w:t>
      </w:r>
      <w:r>
        <w:t>-</w:t>
      </w:r>
      <w:r w:rsidRPr="00F95932">
        <w:t>off. The</w:t>
      </w:r>
      <w:r>
        <w:t xml:space="preserve"> </w:t>
      </w:r>
      <w:r w:rsidRPr="00F95932">
        <w:t>HR for PFS was 0.58 (95% CI: 0.43, 0.77) with a one</w:t>
      </w:r>
      <w:r w:rsidR="00B024A2">
        <w:t xml:space="preserve"> </w:t>
      </w:r>
      <w:r>
        <w:t xml:space="preserve">sided </w:t>
      </w:r>
      <w:r w:rsidR="009B28D9">
        <w:t>p value</w:t>
      </w:r>
      <w:r>
        <w:t xml:space="preserve"> of 0.00009 in the </w:t>
      </w:r>
      <w:r w:rsidRPr="00F95932">
        <w:t xml:space="preserve">pembrolizumab 2 mg/kg Q3W arm </w:t>
      </w:r>
      <w:r w:rsidR="00D53B25">
        <w:t>versus</w:t>
      </w:r>
      <w:r w:rsidRPr="00F95932">
        <w:t xml:space="preserve"> the docetaxel ar</w:t>
      </w:r>
      <w:r>
        <w:t xml:space="preserve">m. The HR for PFS was 0.59 (95% </w:t>
      </w:r>
      <w:r w:rsidRPr="00F95932">
        <w:t>CI: 0.45, 0.78) with a one</w:t>
      </w:r>
      <w:r w:rsidR="00B024A2">
        <w:t xml:space="preserve"> </w:t>
      </w:r>
      <w:r w:rsidRPr="00F95932">
        <w:t xml:space="preserve">sided </w:t>
      </w:r>
      <w:r w:rsidR="009B28D9">
        <w:t>p value</w:t>
      </w:r>
      <w:r w:rsidRPr="00F95932">
        <w:t xml:space="preserve"> of</w:t>
      </w:r>
      <w:r>
        <w:t xml:space="preserve"> </w:t>
      </w:r>
      <w:r w:rsidRPr="00F95932">
        <w:t>0.00007 in the p</w:t>
      </w:r>
      <w:r>
        <w:t xml:space="preserve">embrolizumab 10 mg/kg Q3W </w:t>
      </w:r>
      <w:r w:rsidRPr="00F95932">
        <w:t xml:space="preserve">arm </w:t>
      </w:r>
      <w:r w:rsidR="00D53B25">
        <w:t>versus</w:t>
      </w:r>
      <w:r w:rsidRPr="00F95932">
        <w:t xml:space="preserve"> the docetaxel arm. There was no difference betw</w:t>
      </w:r>
      <w:r>
        <w:t xml:space="preserve">een the </w:t>
      </w:r>
      <w:r w:rsidR="00B024A2">
        <w:t xml:space="preserve">2 </w:t>
      </w:r>
      <w:r>
        <w:t xml:space="preserve">pembrolizumab arms; </w:t>
      </w:r>
      <w:r w:rsidRPr="00F95932">
        <w:t>HR was 1.00 (95% CI: 0.74, 1.35).</w:t>
      </w:r>
    </w:p>
    <w:p w14:paraId="522C9AAF" w14:textId="77777777" w:rsidR="00F3721E" w:rsidRDefault="00F3721E" w:rsidP="00F3721E">
      <w:r w:rsidRPr="00DA53F4">
        <w:t xml:space="preserve">The median duration of PFS was </w:t>
      </w:r>
      <w:r>
        <w:t>5.2 (95% CI 4.0, 6.5) and 5.2 (4.1, 8.1) months respectively for the 2 m/kg and 10 mg/kg pembrolizumab arms as compared to 4.1 (95% CI 3.6, 4.3) months for the docetaxel arm.</w:t>
      </w:r>
    </w:p>
    <w:p w14:paraId="522C9AB0" w14:textId="13594B92" w:rsidR="009B28D9" w:rsidRDefault="009B28D9" w:rsidP="00B1500A">
      <w:pPr>
        <w:pStyle w:val="FigureTitle"/>
      </w:pPr>
      <w:r>
        <w:t xml:space="preserve">Figure </w:t>
      </w:r>
      <w:r w:rsidR="00374C1D">
        <w:t>7</w:t>
      </w:r>
      <w:r w:rsidRPr="00483958">
        <w:t xml:space="preserve">: </w:t>
      </w:r>
      <w:r w:rsidR="00483958" w:rsidRPr="00483958">
        <w:t xml:space="preserve">Kaplan-Meier of </w:t>
      </w:r>
      <w:r w:rsidR="00B024A2">
        <w:t>p</w:t>
      </w:r>
      <w:r w:rsidR="00483958" w:rsidRPr="00483958">
        <w:t>rogression</w:t>
      </w:r>
      <w:r w:rsidR="00B024A2">
        <w:t xml:space="preserve"> f</w:t>
      </w:r>
      <w:r w:rsidR="00483958" w:rsidRPr="00483958">
        <w:t xml:space="preserve">ree </w:t>
      </w:r>
      <w:r w:rsidR="00B024A2">
        <w:t>s</w:t>
      </w:r>
      <w:r w:rsidR="00483958" w:rsidRPr="00483958">
        <w:t xml:space="preserve">urvival </w:t>
      </w:r>
      <w:r w:rsidR="00B024A2">
        <w:t>b</w:t>
      </w:r>
      <w:r w:rsidR="00483958" w:rsidRPr="00483958">
        <w:t xml:space="preserve">ased on IRC </w:t>
      </w:r>
      <w:r w:rsidR="00B024A2">
        <w:t>a</w:t>
      </w:r>
      <w:r w:rsidR="00483958" w:rsidRPr="00483958">
        <w:t>ssessment per RECIST</w:t>
      </w:r>
      <w:r w:rsidR="00B024A2">
        <w:t> </w:t>
      </w:r>
      <w:r w:rsidR="00483958" w:rsidRPr="00483958">
        <w:t>1.1</w:t>
      </w:r>
      <w:r w:rsidR="00B024A2">
        <w:t>;</w:t>
      </w:r>
      <w:r w:rsidR="00483958">
        <w:t xml:space="preserve"> </w:t>
      </w:r>
      <w:r w:rsidR="00B024A2">
        <w:t>s</w:t>
      </w:r>
      <w:r w:rsidR="00483958" w:rsidRPr="00483958">
        <w:t xml:space="preserve">ubjects with TPS </w:t>
      </w:r>
      <w:r w:rsidR="00C432EE">
        <w:t>≥</w:t>
      </w:r>
      <w:r w:rsidR="00483958" w:rsidRPr="00483958">
        <w:t xml:space="preserve"> 50%, ITT </w:t>
      </w:r>
      <w:r w:rsidR="00B024A2">
        <w:t>p</w:t>
      </w:r>
      <w:r w:rsidR="00483958" w:rsidRPr="00483958">
        <w:t>opulation</w:t>
      </w:r>
    </w:p>
    <w:p w14:paraId="522C9AB1" w14:textId="77777777" w:rsidR="00B1500A" w:rsidRPr="00483958" w:rsidRDefault="00B1500A" w:rsidP="00863496">
      <w:r>
        <w:rPr>
          <w:noProof/>
          <w:lang w:eastAsia="en-AU"/>
        </w:rPr>
        <w:drawing>
          <wp:inline distT="0" distB="0" distL="0" distR="0" wp14:anchorId="522C9CE5" wp14:editId="522C9CE6">
            <wp:extent cx="5731510" cy="4217191"/>
            <wp:effectExtent l="0" t="0" r="2540" b="0"/>
            <wp:docPr id="66" name="Picture 66" descr="Figure 7: Kaplan-Meier of Progression-Free Survival Based on IRC Assessment per RECIST 1.1 Subjects with TPS &gt;= 5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brightnessContrast contrast="-20000"/>
                              </a14:imgEffect>
                            </a14:imgLayer>
                          </a14:imgProps>
                        </a:ext>
                      </a:extLst>
                    </a:blip>
                    <a:stretch>
                      <a:fillRect/>
                    </a:stretch>
                  </pic:blipFill>
                  <pic:spPr>
                    <a:xfrm>
                      <a:off x="0" y="0"/>
                      <a:ext cx="5731510" cy="4217191"/>
                    </a:xfrm>
                    <a:prstGeom prst="rect">
                      <a:avLst/>
                    </a:prstGeom>
                  </pic:spPr>
                </pic:pic>
              </a:graphicData>
            </a:graphic>
          </wp:inline>
        </w:drawing>
      </w:r>
    </w:p>
    <w:p w14:paraId="522C9AB3" w14:textId="63B4D563" w:rsidR="00F3721E" w:rsidRPr="00F3721E" w:rsidRDefault="00F3721E" w:rsidP="00F3721E">
      <w:pPr>
        <w:pStyle w:val="Comment"/>
      </w:pPr>
      <w:r w:rsidRPr="00F3721E">
        <w:rPr>
          <w:b/>
        </w:rPr>
        <w:t>Comment</w:t>
      </w:r>
      <w:r w:rsidRPr="00B024A2">
        <w:rPr>
          <w:b/>
        </w:rPr>
        <w:t>:</w:t>
      </w:r>
      <w:r w:rsidRPr="00EC5C29">
        <w:rPr>
          <w:b/>
        </w:rPr>
        <w:t xml:space="preserve"> </w:t>
      </w:r>
      <w:r w:rsidRPr="00F3721E">
        <w:t>The sponsor has not provided an analysis of PFS according to subgroup factors comparing the pembrolizumab 2 mg/kg Q3W and docetaxel regimens. See clinical questions.</w:t>
      </w:r>
    </w:p>
    <w:p w14:paraId="522C9AB4" w14:textId="77777777" w:rsidR="00F3721E" w:rsidRPr="00F3721E" w:rsidRDefault="00F3721E" w:rsidP="00F3721E">
      <w:pPr>
        <w:pStyle w:val="Heading7"/>
        <w:rPr>
          <w:sz w:val="20"/>
        </w:rPr>
      </w:pPr>
      <w:r w:rsidRPr="00F3721E">
        <w:rPr>
          <w:sz w:val="20"/>
        </w:rPr>
        <w:t>TPS</w:t>
      </w:r>
      <w:r w:rsidR="00D53B25">
        <w:rPr>
          <w:sz w:val="20"/>
        </w:rPr>
        <w:t xml:space="preserve"> ≥ </w:t>
      </w:r>
      <w:r w:rsidRPr="00F3721E">
        <w:rPr>
          <w:sz w:val="20"/>
        </w:rPr>
        <w:t>1% stratum PFS analysis</w:t>
      </w:r>
    </w:p>
    <w:p w14:paraId="522C9AB5" w14:textId="6634523F" w:rsidR="00F3721E" w:rsidRDefault="00F3721E" w:rsidP="00F3721E">
      <w:r w:rsidRPr="00F3721E">
        <w:t>The HR for PFS (IRC assessment) was 0.88 (95% CI: 0.73, 1.04) with a one</w:t>
      </w:r>
      <w:r w:rsidR="00B024A2">
        <w:t xml:space="preserve"> </w:t>
      </w:r>
      <w:r w:rsidRPr="00F3721E">
        <w:t xml:space="preserve">sided </w:t>
      </w:r>
      <w:r w:rsidR="009B28D9">
        <w:t>p value</w:t>
      </w:r>
      <w:r w:rsidRPr="00F3721E">
        <w:t xml:space="preserve"> of 0.06758 for the pembrolizumab 2 mg/kg Q3W arm </w:t>
      </w:r>
      <w:r w:rsidR="00D53B25">
        <w:t>versus</w:t>
      </w:r>
      <w:r w:rsidRPr="00F3721E">
        <w:t xml:space="preserve"> the docetaxel arm. The HR for PFS was 0.79 (95% CI: 0.66, 0.94) with a one</w:t>
      </w:r>
      <w:r w:rsidR="00B024A2">
        <w:t xml:space="preserve"> </w:t>
      </w:r>
      <w:r w:rsidRPr="00F3721E">
        <w:t xml:space="preserve">sided </w:t>
      </w:r>
      <w:r w:rsidR="009B28D9">
        <w:t>p value</w:t>
      </w:r>
      <w:r w:rsidRPr="00F3721E">
        <w:t xml:space="preserve"> of 0.00462 for the pembrolizumab 10</w:t>
      </w:r>
      <w:r w:rsidR="00B024A2">
        <w:t> </w:t>
      </w:r>
      <w:r w:rsidRPr="00F3721E">
        <w:t xml:space="preserve">mg/kg Q3W arm </w:t>
      </w:r>
      <w:r w:rsidR="00D53B25">
        <w:t>versus</w:t>
      </w:r>
      <w:r w:rsidRPr="00F3721E">
        <w:t xml:space="preserve"> the docetaxel arm. Neither of these analyses reached statistical significance at the 0.001 level as determined by the protocol.</w:t>
      </w:r>
    </w:p>
    <w:p w14:paraId="522C9AB6" w14:textId="1D5982A2" w:rsidR="00B1500A" w:rsidRDefault="00374C1D" w:rsidP="00EC5C29">
      <w:pPr>
        <w:pStyle w:val="FigureTitle"/>
      </w:pPr>
      <w:r>
        <w:lastRenderedPageBreak/>
        <w:t>Figure 8:</w:t>
      </w:r>
      <w:r w:rsidR="00B1500A" w:rsidRPr="00B1500A">
        <w:t xml:space="preserve"> Kaplan-Meier of </w:t>
      </w:r>
      <w:r w:rsidR="00B024A2" w:rsidRPr="00B1500A">
        <w:t>progression</w:t>
      </w:r>
      <w:r w:rsidR="00B024A2">
        <w:t xml:space="preserve"> </w:t>
      </w:r>
      <w:r w:rsidR="00B024A2" w:rsidRPr="00B1500A">
        <w:t>free survival based on</w:t>
      </w:r>
      <w:r w:rsidR="00B1500A" w:rsidRPr="00B1500A">
        <w:t xml:space="preserve"> IRC </w:t>
      </w:r>
      <w:r w:rsidR="00B024A2">
        <w:t>a</w:t>
      </w:r>
      <w:r w:rsidR="00B024A2" w:rsidRPr="00B1500A">
        <w:t xml:space="preserve">ssessment </w:t>
      </w:r>
      <w:r w:rsidR="00B1500A" w:rsidRPr="00B1500A">
        <w:t>per RECIST</w:t>
      </w:r>
      <w:r w:rsidR="00B024A2">
        <w:t> </w:t>
      </w:r>
      <w:r w:rsidR="00B1500A" w:rsidRPr="00B1500A">
        <w:t>1.1</w:t>
      </w:r>
      <w:r w:rsidR="00B1500A">
        <w:t xml:space="preserve"> </w:t>
      </w:r>
      <w:r w:rsidR="00B1500A" w:rsidRPr="00B1500A">
        <w:t xml:space="preserve">ITT </w:t>
      </w:r>
      <w:proofErr w:type="gramStart"/>
      <w:r w:rsidR="00B024A2">
        <w:t>p</w:t>
      </w:r>
      <w:r w:rsidR="00B1500A" w:rsidRPr="00B1500A">
        <w:t>opulation</w:t>
      </w:r>
      <w:proofErr w:type="gramEnd"/>
      <w:r w:rsidR="00B1500A" w:rsidRPr="00B1500A">
        <w:t xml:space="preserve"> (TPS </w:t>
      </w:r>
      <w:r w:rsidR="000E6A2D">
        <w:t>≥</w:t>
      </w:r>
      <w:r w:rsidR="00B1500A" w:rsidRPr="00B1500A">
        <w:t xml:space="preserve"> 1%)</w:t>
      </w:r>
    </w:p>
    <w:p w14:paraId="522C9AB7" w14:textId="77777777" w:rsidR="00B1500A" w:rsidRPr="00B1500A" w:rsidRDefault="00B1500A" w:rsidP="00863496">
      <w:r>
        <w:rPr>
          <w:noProof/>
          <w:lang w:eastAsia="en-AU"/>
        </w:rPr>
        <w:drawing>
          <wp:inline distT="0" distB="0" distL="0" distR="0" wp14:anchorId="522C9CE7" wp14:editId="673F8050">
            <wp:extent cx="5311752" cy="3935577"/>
            <wp:effectExtent l="0" t="0" r="3810" b="8255"/>
            <wp:docPr id="76" name="Picture 76" descr="Figure 8: Kaplan-Meier of Progression-Free Survival Based on IRC Assessment per RECIST 1.1 ITT Population (TPS &g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08411" cy="3933102"/>
                    </a:xfrm>
                    <a:prstGeom prst="rect">
                      <a:avLst/>
                    </a:prstGeom>
                  </pic:spPr>
                </pic:pic>
              </a:graphicData>
            </a:graphic>
          </wp:inline>
        </w:drawing>
      </w:r>
    </w:p>
    <w:p w14:paraId="522C9AB9" w14:textId="77777777" w:rsidR="008A6025" w:rsidRPr="008A6025" w:rsidRDefault="008A6025" w:rsidP="008A6025">
      <w:pPr>
        <w:pStyle w:val="Heading7"/>
        <w:rPr>
          <w:sz w:val="20"/>
        </w:rPr>
      </w:pPr>
      <w:r w:rsidRPr="008A6025">
        <w:rPr>
          <w:sz w:val="20"/>
        </w:rPr>
        <w:t>TPS</w:t>
      </w:r>
      <w:r w:rsidR="00D53B25">
        <w:rPr>
          <w:sz w:val="20"/>
        </w:rPr>
        <w:t xml:space="preserve"> ≥ </w:t>
      </w:r>
      <w:r w:rsidRPr="008A6025">
        <w:rPr>
          <w:sz w:val="20"/>
        </w:rPr>
        <w:t xml:space="preserve">1% to </w:t>
      </w:r>
      <w:r w:rsidR="009B28D9">
        <w:rPr>
          <w:sz w:val="20"/>
        </w:rPr>
        <w:t xml:space="preserve">&lt; </w:t>
      </w:r>
      <w:r w:rsidRPr="008A6025">
        <w:rPr>
          <w:sz w:val="20"/>
        </w:rPr>
        <w:t>50% stratum PFS analysis</w:t>
      </w:r>
    </w:p>
    <w:p w14:paraId="522C9ABA" w14:textId="77777777" w:rsidR="008A6025" w:rsidRPr="008A6025" w:rsidRDefault="008A6025" w:rsidP="008A6025">
      <w:r w:rsidRPr="008A6025">
        <w:t>The IRC assessment of disease progression in this stratum demonstrated no difference between either of the two pembrolizumab arms and the docetaxel arm.</w:t>
      </w:r>
    </w:p>
    <w:p w14:paraId="522C9ABB" w14:textId="77777777" w:rsidR="008A6025" w:rsidRPr="008A6025" w:rsidRDefault="008A6025" w:rsidP="008A6025">
      <w:r w:rsidRPr="008A6025">
        <w:t>For the pembrolizumab 2 mg/kg Q3W arm, the HR was 1.07 (95% CI: 0.85, 1.34) and for the pembrolizumab 10 mg/kg Q3W arm, the HR was 0.99 (95% CI: 0.78, 1.25) as compared to docetaxel. For the pooled pembrolizumab comparison, the HR was 1.04 (95% CI: 0.85, 1.27).</w:t>
      </w:r>
    </w:p>
    <w:p w14:paraId="522C9ABC" w14:textId="00878CDD" w:rsidR="008A6025" w:rsidRPr="008A6025" w:rsidRDefault="008A6025" w:rsidP="008A6025">
      <w:r w:rsidRPr="008A6025">
        <w:t>The duration of median PFS was not different between the three</w:t>
      </w:r>
      <w:r w:rsidR="00B1500A">
        <w:t xml:space="preserve"> treatment groups, as shown in </w:t>
      </w:r>
      <w:r w:rsidR="00B1500A" w:rsidRPr="001F1098">
        <w:t>T</w:t>
      </w:r>
      <w:r w:rsidR="00310181">
        <w:t>able 8</w:t>
      </w:r>
      <w:r w:rsidR="00B024A2">
        <w:t>, below</w:t>
      </w:r>
      <w:r w:rsidRPr="001F1098">
        <w:t>. However, the median estimate of PFS in the patients receiving the proposed dose of</w:t>
      </w:r>
      <w:r w:rsidRPr="008A6025">
        <w:t xml:space="preserve"> pembrolizumab is 0.8 months worse than for those receiving docetaxel.</w:t>
      </w:r>
    </w:p>
    <w:p w14:paraId="522C9ABD" w14:textId="0F1D0DD6" w:rsidR="008A6025" w:rsidRPr="008A6025" w:rsidRDefault="008A6025" w:rsidP="008A6025">
      <w:pPr>
        <w:pStyle w:val="Tabletitle"/>
      </w:pPr>
      <w:bookmarkStart w:id="79" w:name="_Toc453755621"/>
      <w:r w:rsidRPr="001F1098">
        <w:t xml:space="preserve">Table </w:t>
      </w:r>
      <w:r w:rsidR="00310181">
        <w:t>8</w:t>
      </w:r>
      <w:r w:rsidR="001F1098" w:rsidRPr="001F1098">
        <w:t>:</w:t>
      </w:r>
      <w:r w:rsidR="001F1098">
        <w:t xml:space="preserve"> Analysis of </w:t>
      </w:r>
      <w:r w:rsidR="00B024A2">
        <w:t>p</w:t>
      </w:r>
      <w:r w:rsidR="001F1098">
        <w:t xml:space="preserve">rogression </w:t>
      </w:r>
      <w:r w:rsidR="00B024A2" w:rsidRPr="008A6025">
        <w:t xml:space="preserve">free survival based on </w:t>
      </w:r>
      <w:r w:rsidRPr="008A6025">
        <w:t xml:space="preserve">IRC </w:t>
      </w:r>
      <w:r w:rsidR="00B024A2">
        <w:t>a</w:t>
      </w:r>
      <w:r w:rsidRPr="008A6025">
        <w:t>ssessment per RECIST 1.1</w:t>
      </w:r>
      <w:bookmarkEnd w:id="79"/>
      <w:r>
        <w:t xml:space="preserve"> </w:t>
      </w:r>
      <w:r w:rsidR="00B024A2">
        <w:t>s</w:t>
      </w:r>
      <w:r w:rsidR="00B024A2" w:rsidRPr="008A6025">
        <w:t xml:space="preserve">ubjects </w:t>
      </w:r>
      <w:r w:rsidRPr="008A6025">
        <w:t>with 1%</w:t>
      </w:r>
      <w:r w:rsidR="009B28D9">
        <w:t xml:space="preserve"> ≤</w:t>
      </w:r>
      <w:r w:rsidRPr="008A6025">
        <w:t xml:space="preserve"> TPS </w:t>
      </w:r>
      <w:r w:rsidR="009B28D9">
        <w:t xml:space="preserve">&lt; </w:t>
      </w:r>
      <w:r w:rsidRPr="008A6025">
        <w:t xml:space="preserve">50%, ITT </w:t>
      </w:r>
      <w:r w:rsidR="00B024A2">
        <w:t>p</w:t>
      </w:r>
      <w:r w:rsidR="00B024A2" w:rsidRPr="008A6025">
        <w:t>opulation</w:t>
      </w:r>
    </w:p>
    <w:p w14:paraId="522C9ABE" w14:textId="77777777" w:rsidR="00D62810" w:rsidRDefault="008A6025" w:rsidP="00C22678">
      <w:pPr>
        <w:rPr>
          <w:lang w:eastAsia="ja-JP"/>
        </w:rPr>
      </w:pPr>
      <w:r>
        <w:rPr>
          <w:noProof/>
          <w:lang w:eastAsia="en-AU"/>
        </w:rPr>
        <w:drawing>
          <wp:inline distT="0" distB="0" distL="0" distR="0" wp14:anchorId="522C9CE9" wp14:editId="522C9CEA">
            <wp:extent cx="5562600" cy="733425"/>
            <wp:effectExtent l="0" t="0" r="0" b="9525"/>
            <wp:docPr id="19" name="Picture 19" descr="Table 8: Analysis of Progression Free Survival Based on IRC Assessment per RECIST 1.1 Subjects with 1% ≤ TPS &lt; 5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62600" cy="733425"/>
                    </a:xfrm>
                    <a:prstGeom prst="rect">
                      <a:avLst/>
                    </a:prstGeom>
                  </pic:spPr>
                </pic:pic>
              </a:graphicData>
            </a:graphic>
          </wp:inline>
        </w:drawing>
      </w:r>
    </w:p>
    <w:p w14:paraId="522C9ABF" w14:textId="68A8724D" w:rsidR="008A6025" w:rsidRPr="008A6025" w:rsidRDefault="008A6025" w:rsidP="008A6025">
      <w:pPr>
        <w:pStyle w:val="Comment"/>
      </w:pPr>
      <w:r w:rsidRPr="008A6025">
        <w:rPr>
          <w:b/>
        </w:rPr>
        <w:t>Comment:</w:t>
      </w:r>
      <w:r w:rsidRPr="00B024A2">
        <w:rPr>
          <w:b/>
        </w:rPr>
        <w:t xml:space="preserve"> </w:t>
      </w:r>
      <w:r w:rsidRPr="008A6025">
        <w:t>The sponsor has not satisfactorily demonstrated superiority of the 2 mg/kg pembrolizumab Q3W arm over that for docetaxel 75 mg/</w:t>
      </w:r>
      <w:r w:rsidR="00D53B25">
        <w:rPr>
          <w:lang w:eastAsia="ja-JP"/>
        </w:rPr>
        <w:t>m</w:t>
      </w:r>
      <w:r w:rsidR="00D53B25" w:rsidRPr="00D53B25">
        <w:rPr>
          <w:vertAlign w:val="superscript"/>
          <w:lang w:eastAsia="ja-JP"/>
        </w:rPr>
        <w:t>2</w:t>
      </w:r>
      <w:r w:rsidRPr="008A6025">
        <w:t xml:space="preserve"> Q3W for the population with TPS</w:t>
      </w:r>
      <w:r w:rsidR="00D53B25">
        <w:t xml:space="preserve"> ≥ </w:t>
      </w:r>
      <w:r w:rsidRPr="008A6025">
        <w:t xml:space="preserve">1% to </w:t>
      </w:r>
      <w:r w:rsidR="009B28D9">
        <w:t xml:space="preserve">&lt; </w:t>
      </w:r>
      <w:r w:rsidRPr="008A6025">
        <w:t>50%. The sample size calculation for this study was solely determined by the TPS</w:t>
      </w:r>
      <w:r w:rsidR="00D53B25">
        <w:t xml:space="preserve"> ≥ </w:t>
      </w:r>
      <w:r w:rsidRPr="008A6025">
        <w:t>50% population, thus the analyses including patients with TPS</w:t>
      </w:r>
      <w:r w:rsidR="00B1500A">
        <w:t xml:space="preserve"> </w:t>
      </w:r>
      <w:r w:rsidR="009B28D9">
        <w:t xml:space="preserve">&lt; </w:t>
      </w:r>
      <w:r w:rsidRPr="008A6025">
        <w:t>50% are exploratory and non-confirmatory.</w:t>
      </w:r>
    </w:p>
    <w:p w14:paraId="522C9AC0" w14:textId="2D5B3A3B" w:rsidR="008A6025" w:rsidRPr="008A6025" w:rsidRDefault="008A6025" w:rsidP="008A6025">
      <w:r w:rsidRPr="008A6025">
        <w:t xml:space="preserve">The 95% confidence </w:t>
      </w:r>
      <w:proofErr w:type="gramStart"/>
      <w:r w:rsidRPr="008A6025">
        <w:t>interval for the exploratory comparison of the two pembrolizumab arms with PD-L1 status of TPS</w:t>
      </w:r>
      <w:r w:rsidR="00D53B25">
        <w:t xml:space="preserve"> ≥ </w:t>
      </w:r>
      <w:r w:rsidRPr="008A6025">
        <w:t xml:space="preserve">1% to </w:t>
      </w:r>
      <w:r w:rsidR="009B28D9">
        <w:t xml:space="preserve">&lt; </w:t>
      </w:r>
      <w:r w:rsidRPr="008A6025">
        <w:t>50% crossed the line of unity and are</w:t>
      </w:r>
      <w:proofErr w:type="gramEnd"/>
      <w:r w:rsidRPr="008A6025">
        <w:t xml:space="preserve"> therefore not different.</w:t>
      </w:r>
    </w:p>
    <w:p w14:paraId="522C9AC1" w14:textId="77777777" w:rsidR="008A6025" w:rsidRPr="008A6025" w:rsidRDefault="008A6025" w:rsidP="008A6025">
      <w:r w:rsidRPr="008A6025">
        <w:lastRenderedPageBreak/>
        <w:t>The method of presenting the comparative analyses results in contradictory conclusions depending upon the cut-off used to defin</w:t>
      </w:r>
      <w:r w:rsidR="00B1500A">
        <w:t>e the denominator. For example;</w:t>
      </w:r>
      <w:r w:rsidRPr="008A6025">
        <w:t xml:space="preserve"> for a patient with TPS</w:t>
      </w:r>
      <w:r w:rsidR="00B1500A">
        <w:t> </w:t>
      </w:r>
      <w:r w:rsidR="00FC7793">
        <w:t xml:space="preserve">= </w:t>
      </w:r>
      <w:r w:rsidRPr="008A6025">
        <w:t>25%, the TPS</w:t>
      </w:r>
      <w:r w:rsidR="00D53B25">
        <w:t xml:space="preserve"> ≥ </w:t>
      </w:r>
      <w:r w:rsidRPr="008A6025">
        <w:t>1% analyses demonstrated superiority over docetaxel for OS and PFS whereas the TPS</w:t>
      </w:r>
      <w:r w:rsidR="00D53B25">
        <w:t xml:space="preserve"> ≥ </w:t>
      </w:r>
      <w:r w:rsidRPr="008A6025">
        <w:t xml:space="preserve">1 to </w:t>
      </w:r>
      <w:r w:rsidR="009B28D9">
        <w:t xml:space="preserve">&lt; </w:t>
      </w:r>
      <w:r w:rsidRPr="008A6025">
        <w:t>49% analyses for neither OS nor PFS demonstrates a difference to docetaxel.</w:t>
      </w:r>
    </w:p>
    <w:p w14:paraId="522C9AC2" w14:textId="1FD5A275" w:rsidR="008A6025" w:rsidRPr="008A6025" w:rsidRDefault="008A6025" w:rsidP="008A6025">
      <w:r w:rsidRPr="008A6025">
        <w:t>The difference in median duration of OS between pembrolizumab 2 mg/kg and do</w:t>
      </w:r>
      <w:r w:rsidR="00B1500A">
        <w:t>cetaxel 75 </w:t>
      </w:r>
      <w:r w:rsidRPr="008A6025">
        <w:t>mg/</w:t>
      </w:r>
      <w:r w:rsidR="00D53B25">
        <w:rPr>
          <w:lang w:eastAsia="ja-JP"/>
        </w:rPr>
        <w:t>m</w:t>
      </w:r>
      <w:r w:rsidR="00D53B25" w:rsidRPr="00D53B25">
        <w:rPr>
          <w:vertAlign w:val="superscript"/>
          <w:lang w:eastAsia="ja-JP"/>
        </w:rPr>
        <w:t>2</w:t>
      </w:r>
      <w:r w:rsidRPr="008A6025">
        <w:t xml:space="preserve"> was 0.8 months, favouring pembrolizumab; the difference in median PFS was 0.8</w:t>
      </w:r>
      <w:r w:rsidR="001B20AC">
        <w:t> </w:t>
      </w:r>
      <w:r w:rsidRPr="008A6025">
        <w:t>months, favouring docetaxel.</w:t>
      </w:r>
    </w:p>
    <w:p w14:paraId="522C9AC3" w14:textId="77777777" w:rsidR="008A6025" w:rsidRPr="008A6025" w:rsidRDefault="008A6025" w:rsidP="008A6025">
      <w:pPr>
        <w:pStyle w:val="Heading5"/>
      </w:pPr>
      <w:r w:rsidRPr="008A6025">
        <w:t>Results for other efficacy outcomes</w:t>
      </w:r>
    </w:p>
    <w:p w14:paraId="522C9AC4" w14:textId="77777777" w:rsidR="008A6025" w:rsidRPr="008A6025" w:rsidRDefault="00B1500A" w:rsidP="008A6025">
      <w:pPr>
        <w:pStyle w:val="Heading6"/>
      </w:pPr>
      <w:r>
        <w:t>Overall response rate;</w:t>
      </w:r>
      <w:r w:rsidR="008A6025" w:rsidRPr="008A6025">
        <w:t xml:space="preserve"> TPS</w:t>
      </w:r>
      <w:r w:rsidR="00D53B25">
        <w:t xml:space="preserve"> ≥ </w:t>
      </w:r>
      <w:r w:rsidR="00265880">
        <w:t>50% s</w:t>
      </w:r>
      <w:r w:rsidR="008A6025" w:rsidRPr="008A6025">
        <w:t>tratum</w:t>
      </w:r>
    </w:p>
    <w:p w14:paraId="522C9AC5" w14:textId="089660BA" w:rsidR="00D62810" w:rsidRPr="008A6025" w:rsidRDefault="008A6025" w:rsidP="008A6025">
      <w:pPr>
        <w:pStyle w:val="Tabletitle"/>
      </w:pPr>
      <w:bookmarkStart w:id="80" w:name="_Toc453755622"/>
      <w:r w:rsidRPr="001F1098">
        <w:t>Table</w:t>
      </w:r>
      <w:r w:rsidR="00310181">
        <w:t xml:space="preserve"> 9</w:t>
      </w:r>
      <w:r w:rsidR="00265880" w:rsidRPr="001F1098">
        <w:t>:</w:t>
      </w:r>
      <w:r w:rsidRPr="001F1098">
        <w:t xml:space="preserve"> Responses based on IRC assessment RECIST 1.1 subjects with TPS</w:t>
      </w:r>
      <w:r w:rsidR="00D53B25" w:rsidRPr="001F1098">
        <w:t xml:space="preserve"> ≥ </w:t>
      </w:r>
      <w:r w:rsidRPr="001F1098">
        <w:t>50%, ITT</w:t>
      </w:r>
      <w:r w:rsidR="001B20AC">
        <w:t> p</w:t>
      </w:r>
      <w:r w:rsidRPr="008A6025">
        <w:t>opulation</w:t>
      </w:r>
      <w:bookmarkEnd w:id="80"/>
    </w:p>
    <w:p w14:paraId="522C9AC6" w14:textId="77777777" w:rsidR="00D62810" w:rsidRDefault="008A6025" w:rsidP="00C22678">
      <w:pPr>
        <w:rPr>
          <w:lang w:eastAsia="ja-JP"/>
        </w:rPr>
      </w:pPr>
      <w:r>
        <w:rPr>
          <w:noProof/>
          <w:lang w:eastAsia="en-AU"/>
        </w:rPr>
        <w:drawing>
          <wp:inline distT="0" distB="0" distL="0" distR="0" wp14:anchorId="522C9CEB" wp14:editId="6BBA877F">
            <wp:extent cx="5537606" cy="1384402"/>
            <wp:effectExtent l="0" t="0" r="6350" b="6350"/>
            <wp:docPr id="20" name="Picture 20" descr="Table 9: Responses based on IRC assessment RECIST 1.1 subjects with TPS ≥ 5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34126" cy="1383532"/>
                    </a:xfrm>
                    <a:prstGeom prst="rect">
                      <a:avLst/>
                    </a:prstGeom>
                  </pic:spPr>
                </pic:pic>
              </a:graphicData>
            </a:graphic>
          </wp:inline>
        </w:drawing>
      </w:r>
    </w:p>
    <w:p w14:paraId="522C9AC7" w14:textId="0C098329" w:rsidR="008A6025" w:rsidRPr="008A6025" w:rsidRDefault="008A6025" w:rsidP="008A6025">
      <w:r w:rsidRPr="008A6025">
        <w:t xml:space="preserve">The ORR difference was 23.3% for pembrolizumab 2 mg/kg Q3W </w:t>
      </w:r>
      <w:r w:rsidR="00D53B25">
        <w:t>versus</w:t>
      </w:r>
      <w:r w:rsidRPr="008A6025">
        <w:t xml:space="preserve"> docetaxel and 22.2% for pembrolizumab 10 mg/kg Q3W </w:t>
      </w:r>
      <w:r w:rsidR="00D53B25">
        <w:t>versus</w:t>
      </w:r>
      <w:r w:rsidRPr="008A6025">
        <w:t xml:space="preserve"> docetaxel and the one</w:t>
      </w:r>
      <w:r w:rsidR="001B20AC">
        <w:t xml:space="preserve"> </w:t>
      </w:r>
      <w:r w:rsidRPr="008A6025">
        <w:t xml:space="preserve">sided </w:t>
      </w:r>
      <w:r w:rsidR="009B28D9">
        <w:t>p value</w:t>
      </w:r>
      <w:r w:rsidRPr="008A6025">
        <w:t xml:space="preserve"> of the difference was </w:t>
      </w:r>
      <w:r w:rsidR="009B28D9">
        <w:t xml:space="preserve">&lt; </w:t>
      </w:r>
      <w:r w:rsidRPr="008A6025">
        <w:t xml:space="preserve">0.00001 for both pembrolizumab arms </w:t>
      </w:r>
      <w:r w:rsidR="00D53B25">
        <w:t>versus</w:t>
      </w:r>
      <w:r w:rsidRPr="008A6025">
        <w:t xml:space="preserve"> docetaxel.</w:t>
      </w:r>
    </w:p>
    <w:p w14:paraId="522C9AC8" w14:textId="77777777" w:rsidR="008A6025" w:rsidRPr="008A6025" w:rsidRDefault="00265880" w:rsidP="008A6025">
      <w:pPr>
        <w:pStyle w:val="Heading6"/>
      </w:pPr>
      <w:r>
        <w:t>Overall response rate;</w:t>
      </w:r>
      <w:r w:rsidR="008A6025" w:rsidRPr="008A6025">
        <w:t xml:space="preserve"> TPS</w:t>
      </w:r>
      <w:r w:rsidR="00D53B25">
        <w:t xml:space="preserve"> ≥ </w:t>
      </w:r>
      <w:r>
        <w:t>1% s</w:t>
      </w:r>
      <w:r w:rsidR="008A6025" w:rsidRPr="008A6025">
        <w:t>tratum</w:t>
      </w:r>
    </w:p>
    <w:p w14:paraId="522C9AC9" w14:textId="7246ABC9" w:rsidR="008A6025" w:rsidRPr="008A6025" w:rsidRDefault="008A6025" w:rsidP="008A6025">
      <w:pPr>
        <w:pStyle w:val="Tabletitle"/>
      </w:pPr>
      <w:bookmarkStart w:id="81" w:name="_Toc453755623"/>
      <w:r w:rsidRPr="001F1098">
        <w:t xml:space="preserve">Table </w:t>
      </w:r>
      <w:r w:rsidR="00310181">
        <w:t>10</w:t>
      </w:r>
      <w:r w:rsidR="001F1098" w:rsidRPr="001F1098">
        <w:t>:</w:t>
      </w:r>
      <w:r w:rsidR="001F1098">
        <w:t xml:space="preserve"> </w:t>
      </w:r>
      <w:r w:rsidRPr="008A6025">
        <w:t>Responses based on IRC assessment RECIST 1.1 subjects with TPS</w:t>
      </w:r>
      <w:r w:rsidR="00D53B25">
        <w:t xml:space="preserve"> ≥ </w:t>
      </w:r>
      <w:r w:rsidRPr="008A6025">
        <w:t>1%, ITT</w:t>
      </w:r>
      <w:r w:rsidR="001B20AC">
        <w:t> p</w:t>
      </w:r>
      <w:r w:rsidRPr="008A6025">
        <w:t>opulation</w:t>
      </w:r>
      <w:bookmarkEnd w:id="81"/>
    </w:p>
    <w:p w14:paraId="522C9ACA" w14:textId="77777777" w:rsidR="00D62810" w:rsidRDefault="008A6025" w:rsidP="00C22678">
      <w:pPr>
        <w:rPr>
          <w:lang w:eastAsia="ja-JP"/>
        </w:rPr>
      </w:pPr>
      <w:r>
        <w:rPr>
          <w:noProof/>
          <w:lang w:eastAsia="en-AU"/>
        </w:rPr>
        <w:drawing>
          <wp:inline distT="0" distB="0" distL="0" distR="0" wp14:anchorId="522C9CED" wp14:editId="54039AE3">
            <wp:extent cx="5537606" cy="1363103"/>
            <wp:effectExtent l="0" t="0" r="6350" b="8890"/>
            <wp:docPr id="21" name="Picture 21" descr="Table 10: Responses based on IRC assessment RECIST 1.1 subjects with TPS ≥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34123" cy="1362246"/>
                    </a:xfrm>
                    <a:prstGeom prst="rect">
                      <a:avLst/>
                    </a:prstGeom>
                  </pic:spPr>
                </pic:pic>
              </a:graphicData>
            </a:graphic>
          </wp:inline>
        </w:drawing>
      </w:r>
    </w:p>
    <w:p w14:paraId="522C9ACB" w14:textId="77777777" w:rsidR="008A6025" w:rsidRPr="008A6025" w:rsidRDefault="008A6025" w:rsidP="008A6025">
      <w:r w:rsidRPr="008A6025">
        <w:t xml:space="preserve">Pembrolizumab produced an ORR of 18.0% and 18.5% in the 2 mg/kg Q3W and 10 mg/kg Q3W arms, respectively, compared to 9.3% in the docetaxel arm. The confirmed ORR difference was 8.7% for pembrolizumab 2 mg/kg Q3W </w:t>
      </w:r>
      <w:r w:rsidR="00D53B25">
        <w:t>versus</w:t>
      </w:r>
      <w:r w:rsidRPr="008A6025">
        <w:t xml:space="preserve"> docetaxe</w:t>
      </w:r>
      <w:r w:rsidR="00265880">
        <w:t>l and 9.1% for pembrolizumab 10 </w:t>
      </w:r>
      <w:r w:rsidRPr="008A6025">
        <w:t xml:space="preserve">mg/kg Q3W </w:t>
      </w:r>
      <w:r w:rsidR="00D53B25">
        <w:t>versus</w:t>
      </w:r>
      <w:r w:rsidRPr="008A6025">
        <w:t xml:space="preserve"> docetaxel. The one-sided </w:t>
      </w:r>
      <w:r w:rsidR="009B28D9">
        <w:t>p value</w:t>
      </w:r>
      <w:r w:rsidRPr="008A6025">
        <w:t xml:space="preserve"> of the difference was 0.00045 and 0.00024 for the pembrolizumab 2 mg/kg and 10 mg/kg arms, respectively, </w:t>
      </w:r>
      <w:r w:rsidR="00D53B25">
        <w:t>versus</w:t>
      </w:r>
      <w:r w:rsidRPr="008A6025">
        <w:t xml:space="preserve"> docetaxel.</w:t>
      </w:r>
    </w:p>
    <w:p w14:paraId="522C9ACC" w14:textId="77777777" w:rsidR="008A6025" w:rsidRPr="008A6025" w:rsidRDefault="00265880" w:rsidP="008A6025">
      <w:pPr>
        <w:pStyle w:val="Heading6"/>
      </w:pPr>
      <w:r>
        <w:t>Overall response rate;</w:t>
      </w:r>
      <w:r w:rsidR="008A6025" w:rsidRPr="008A6025">
        <w:t xml:space="preserve"> TPS</w:t>
      </w:r>
      <w:r w:rsidR="00D53B25">
        <w:t xml:space="preserve"> ≥ </w:t>
      </w:r>
      <w:r w:rsidR="008A6025" w:rsidRPr="008A6025">
        <w:t xml:space="preserve">1% to </w:t>
      </w:r>
      <w:r w:rsidR="009B28D9">
        <w:t xml:space="preserve">&lt; </w:t>
      </w:r>
      <w:r w:rsidR="008A6025" w:rsidRPr="008A6025">
        <w:t>50%</w:t>
      </w:r>
    </w:p>
    <w:p w14:paraId="522C9ACD" w14:textId="10BE54BB" w:rsidR="008A6025" w:rsidRPr="008A6025" w:rsidRDefault="008A6025" w:rsidP="008A6025">
      <w:r w:rsidRPr="008A6025">
        <w:t>The IRC assessed O</w:t>
      </w:r>
      <w:r w:rsidR="00265880">
        <w:t xml:space="preserve">RR in this stratum is shown </w:t>
      </w:r>
      <w:r w:rsidR="00265880" w:rsidRPr="001F1098">
        <w:t>in T</w:t>
      </w:r>
      <w:r w:rsidR="00310181">
        <w:t>able 11</w:t>
      </w:r>
      <w:r w:rsidR="001B20AC">
        <w:t>, below</w:t>
      </w:r>
      <w:r w:rsidR="00310181">
        <w:t>.</w:t>
      </w:r>
    </w:p>
    <w:p w14:paraId="522C9ACE" w14:textId="77777777" w:rsidR="008A6025" w:rsidRPr="008A6025" w:rsidRDefault="008A6025" w:rsidP="008A6025">
      <w:pPr>
        <w:pStyle w:val="Tabletitle"/>
      </w:pPr>
      <w:bookmarkStart w:id="82" w:name="_Toc453755624"/>
      <w:r w:rsidRPr="001F1098">
        <w:lastRenderedPageBreak/>
        <w:t>Table</w:t>
      </w:r>
      <w:r w:rsidR="00310181">
        <w:t xml:space="preserve"> 11</w:t>
      </w:r>
      <w:r w:rsidR="00265880" w:rsidRPr="001F1098">
        <w:t>:</w:t>
      </w:r>
      <w:r w:rsidRPr="001F1098">
        <w:t xml:space="preserve"> Overall</w:t>
      </w:r>
      <w:r w:rsidRPr="008A6025">
        <w:t xml:space="preserve"> response based on IRC assessment RECIST 1.1subjects with TPS</w:t>
      </w:r>
      <w:r w:rsidR="00D53B25">
        <w:t xml:space="preserve"> ≥ </w:t>
      </w:r>
      <w:r w:rsidRPr="008A6025">
        <w:t xml:space="preserve">1% to </w:t>
      </w:r>
      <w:r w:rsidR="009B28D9">
        <w:t xml:space="preserve">&lt; </w:t>
      </w:r>
      <w:r w:rsidRPr="008A6025">
        <w:t>50%, ITT population</w:t>
      </w:r>
      <w:bookmarkEnd w:id="82"/>
    </w:p>
    <w:p w14:paraId="522C9ACF" w14:textId="77777777" w:rsidR="00D62810" w:rsidRDefault="008A6025" w:rsidP="00C22678">
      <w:pPr>
        <w:rPr>
          <w:lang w:eastAsia="ja-JP"/>
        </w:rPr>
      </w:pPr>
      <w:r>
        <w:rPr>
          <w:noProof/>
          <w:lang w:eastAsia="en-AU"/>
        </w:rPr>
        <w:drawing>
          <wp:inline distT="0" distB="0" distL="0" distR="0" wp14:anchorId="522C9CEF" wp14:editId="357C8887">
            <wp:extent cx="5552237" cy="1362552"/>
            <wp:effectExtent l="0" t="0" r="0" b="9525"/>
            <wp:docPr id="22" name="Picture 22" descr="Table 11: Overall response based on IRC assessment RECIST 1.1subjects with TPS ≥ 1% to &lt; 5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48745" cy="1361695"/>
                    </a:xfrm>
                    <a:prstGeom prst="rect">
                      <a:avLst/>
                    </a:prstGeom>
                  </pic:spPr>
                </pic:pic>
              </a:graphicData>
            </a:graphic>
          </wp:inline>
        </w:drawing>
      </w:r>
    </w:p>
    <w:p w14:paraId="522C9AD0" w14:textId="77777777" w:rsidR="008A6025" w:rsidRPr="008A6025" w:rsidRDefault="008A6025" w:rsidP="008A6025">
      <w:pPr>
        <w:pStyle w:val="Heading6"/>
      </w:pPr>
      <w:r w:rsidRPr="008A6025">
        <w:t>Disease progression</w:t>
      </w:r>
    </w:p>
    <w:p w14:paraId="522C9AD1" w14:textId="77D76EF7" w:rsidR="008A6025" w:rsidRPr="008A6025" w:rsidRDefault="008A6025" w:rsidP="008A6025">
      <w:r w:rsidRPr="008A6025">
        <w:t>The risk of disease progression among the TPS</w:t>
      </w:r>
      <w:r w:rsidR="00D53B25">
        <w:t xml:space="preserve"> ≥ </w:t>
      </w:r>
      <w:r w:rsidR="00265880">
        <w:t xml:space="preserve">1 to </w:t>
      </w:r>
      <w:r w:rsidR="009B28D9">
        <w:t xml:space="preserve">&lt; </w:t>
      </w:r>
      <w:r w:rsidRPr="008A6025">
        <w:t>50% pembrolizumab 2 mg/kg cohort was approximately double for those with a TPS</w:t>
      </w:r>
      <w:r w:rsidR="00D53B25">
        <w:t xml:space="preserve"> ≥ </w:t>
      </w:r>
      <w:r w:rsidRPr="008A6025">
        <w:t>50%. The risk of disease progression was higher for both pembrolizumab arms as compared to docetaxel among the TPS</w:t>
      </w:r>
      <w:r w:rsidR="00D53B25">
        <w:t xml:space="preserve"> ≥ </w:t>
      </w:r>
      <w:r w:rsidR="00265880">
        <w:t xml:space="preserve">1 to </w:t>
      </w:r>
      <w:r w:rsidR="009B28D9">
        <w:t xml:space="preserve">&lt; </w:t>
      </w:r>
      <w:r w:rsidR="00265880">
        <w:t xml:space="preserve">50% patients; </w:t>
      </w:r>
      <w:r w:rsidR="001B20AC">
        <w:t xml:space="preserve">see </w:t>
      </w:r>
      <w:r w:rsidR="00265880">
        <w:t>T</w:t>
      </w:r>
      <w:r w:rsidR="00310181">
        <w:t>able 12</w:t>
      </w:r>
      <w:r w:rsidR="001B20AC">
        <w:t>, below</w:t>
      </w:r>
      <w:r w:rsidR="00265880">
        <w:t>.</w:t>
      </w:r>
    </w:p>
    <w:p w14:paraId="522C9AD2" w14:textId="77777777" w:rsidR="008A6025" w:rsidRPr="008A6025" w:rsidRDefault="008A6025" w:rsidP="008A6025">
      <w:pPr>
        <w:pStyle w:val="Tabletitle"/>
      </w:pPr>
      <w:bookmarkStart w:id="83" w:name="_Toc453755625"/>
      <w:r w:rsidRPr="001F1098">
        <w:t>Table</w:t>
      </w:r>
      <w:r w:rsidR="00310181">
        <w:t xml:space="preserve"> 12</w:t>
      </w:r>
      <w:r w:rsidR="00265880" w:rsidRPr="001F1098">
        <w:t>:</w:t>
      </w:r>
      <w:r w:rsidRPr="001F1098">
        <w:t xml:space="preserve"> Incidence</w:t>
      </w:r>
      <w:r w:rsidRPr="008A6025">
        <w:t xml:space="preserve"> of disease progression, ITT population</w:t>
      </w:r>
      <w:bookmarkEnd w:id="83"/>
    </w:p>
    <w:p w14:paraId="522C9AD3" w14:textId="77777777" w:rsidR="00D62810" w:rsidRDefault="009A78B0" w:rsidP="00C22678">
      <w:pPr>
        <w:rPr>
          <w:lang w:eastAsia="ja-JP"/>
        </w:rPr>
      </w:pPr>
      <w:r>
        <w:rPr>
          <w:noProof/>
          <w:lang w:eastAsia="en-AU"/>
        </w:rPr>
        <w:drawing>
          <wp:inline distT="0" distB="0" distL="0" distR="0" wp14:anchorId="522C9CF1" wp14:editId="522C9CF2">
            <wp:extent cx="5731510" cy="604380"/>
            <wp:effectExtent l="0" t="0" r="2540" b="5715"/>
            <wp:docPr id="23" name="Picture 23" descr="Table 12: Incidence of disease progressio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604380"/>
                    </a:xfrm>
                    <a:prstGeom prst="rect">
                      <a:avLst/>
                    </a:prstGeom>
                  </pic:spPr>
                </pic:pic>
              </a:graphicData>
            </a:graphic>
          </wp:inline>
        </w:drawing>
      </w:r>
    </w:p>
    <w:p w14:paraId="522C9AD4" w14:textId="77777777" w:rsidR="009A78B0" w:rsidRPr="009A78B0" w:rsidRDefault="009A78B0" w:rsidP="009A78B0">
      <w:r w:rsidRPr="009A78B0">
        <w:t xml:space="preserve">The analyses of overall survival and </w:t>
      </w:r>
      <w:r w:rsidR="00FC7793">
        <w:t>progression free</w:t>
      </w:r>
      <w:r w:rsidRPr="009A78B0">
        <w:t xml:space="preserve"> survival according to patient demographic and disease factors were exploratory. The sponsor amalgamated the two pembrolizumab treatment arms for the purpose of this analysis. This is considered unsatisfactory, and does not enable the evaluator to establish if there a</w:t>
      </w:r>
      <w:r w:rsidR="00265880">
        <w:t>re any discordant sub-groups. (S</w:t>
      </w:r>
      <w:r w:rsidRPr="009A78B0">
        <w:t>ee clinical questions)</w:t>
      </w:r>
    </w:p>
    <w:p w14:paraId="522C9AD5" w14:textId="77777777" w:rsidR="009A78B0" w:rsidRPr="009A78B0" w:rsidRDefault="009A78B0" w:rsidP="009A78B0">
      <w:pPr>
        <w:pStyle w:val="Heading6"/>
      </w:pPr>
      <w:r w:rsidRPr="009A78B0">
        <w:t>Patient reported outcome analyses</w:t>
      </w:r>
    </w:p>
    <w:p w14:paraId="522C9AD6" w14:textId="77777777" w:rsidR="009A78B0" w:rsidRPr="009A78B0" w:rsidRDefault="009A78B0" w:rsidP="009A78B0">
      <w:r w:rsidRPr="009A78B0">
        <w:t>The statistical analysis plan pre-specified exploratory PRO endpoints based on a quality of life related FAS population following the ITT principle and ICH E9 guidelines. The PRO FAS population consisted of all randomised subjects who received at least one dose of study medication and completed at least on PRO assessment.</w:t>
      </w:r>
    </w:p>
    <w:p w14:paraId="522C9AD7" w14:textId="77777777" w:rsidR="009A78B0" w:rsidRPr="009A78B0" w:rsidRDefault="009A78B0" w:rsidP="009A78B0">
      <w:r w:rsidRPr="009A78B0">
        <w:t>Patient reported outcomes have been presented for the TPS</w:t>
      </w:r>
      <w:r w:rsidR="00D53B25">
        <w:t xml:space="preserve"> ≥ </w:t>
      </w:r>
      <w:r w:rsidRPr="009A78B0">
        <w:t>50% stratum and TPS</w:t>
      </w:r>
      <w:r w:rsidR="00D53B25">
        <w:t xml:space="preserve"> ≥ </w:t>
      </w:r>
      <w:r w:rsidRPr="009A78B0">
        <w:t xml:space="preserve">1% </w:t>
      </w:r>
      <w:proofErr w:type="gramStart"/>
      <w:r w:rsidRPr="009A78B0">
        <w:t>population,</w:t>
      </w:r>
      <w:proofErr w:type="gramEnd"/>
      <w:r w:rsidRPr="009A78B0">
        <w:t xml:space="preserve"> no data was presented for the TPS</w:t>
      </w:r>
      <w:r w:rsidR="00D53B25">
        <w:t xml:space="preserve"> ≥ </w:t>
      </w:r>
      <w:r w:rsidRPr="009A78B0">
        <w:t xml:space="preserve">1 to </w:t>
      </w:r>
      <w:r w:rsidR="009B28D9">
        <w:t xml:space="preserve">&lt; </w:t>
      </w:r>
      <w:r w:rsidRPr="009A78B0">
        <w:t>50% stratum.</w:t>
      </w:r>
    </w:p>
    <w:p w14:paraId="522C9AD8" w14:textId="3A309CA4" w:rsidR="009A78B0" w:rsidRPr="009A78B0" w:rsidRDefault="009A78B0" w:rsidP="009A78B0">
      <w:r w:rsidRPr="009A78B0">
        <w:t xml:space="preserve">Compliance with PRO assessments was increasingly poor over time for those expected to complete them. Beyond </w:t>
      </w:r>
      <w:r w:rsidR="00265880">
        <w:t>Week</w:t>
      </w:r>
      <w:r w:rsidRPr="009A78B0">
        <w:t xml:space="preserve"> 12, more than 20% of the docetaxel arm did not comp</w:t>
      </w:r>
      <w:r w:rsidR="00265880">
        <w:t xml:space="preserve">lete their expected assessment; </w:t>
      </w:r>
      <w:r w:rsidR="001B20AC">
        <w:t xml:space="preserve">see </w:t>
      </w:r>
      <w:r w:rsidR="00265880">
        <w:t>T</w:t>
      </w:r>
      <w:r w:rsidR="00310181">
        <w:t>able 13</w:t>
      </w:r>
      <w:r w:rsidR="001B20AC">
        <w:t>, below</w:t>
      </w:r>
      <w:r w:rsidRPr="009A78B0">
        <w:t>.</w:t>
      </w:r>
    </w:p>
    <w:p w14:paraId="522C9AD9" w14:textId="77777777" w:rsidR="009A78B0" w:rsidRPr="009A78B0" w:rsidRDefault="009A78B0" w:rsidP="009A78B0">
      <w:pPr>
        <w:pStyle w:val="Tabletitle"/>
      </w:pPr>
      <w:bookmarkStart w:id="84" w:name="_Toc453755626"/>
      <w:r w:rsidRPr="001F1098">
        <w:t xml:space="preserve">Table </w:t>
      </w:r>
      <w:r w:rsidR="00310181">
        <w:t>13</w:t>
      </w:r>
      <w:r w:rsidR="001F1098" w:rsidRPr="001F1098">
        <w:t>:</w:t>
      </w:r>
      <w:r w:rsidRPr="009A78B0">
        <w:t xml:space="preserve"> Compliance w</w:t>
      </w:r>
      <w:r w:rsidR="00265880">
        <w:t xml:space="preserve">ith patient reported outcomes; </w:t>
      </w:r>
      <w:r w:rsidRPr="009A78B0">
        <w:t>per protocol population</w:t>
      </w:r>
      <w:bookmarkEnd w:id="84"/>
    </w:p>
    <w:p w14:paraId="522C9ADA" w14:textId="77777777" w:rsidR="008C5595" w:rsidRDefault="009A78B0" w:rsidP="00C22678">
      <w:pPr>
        <w:rPr>
          <w:lang w:eastAsia="ja-JP"/>
        </w:rPr>
      </w:pPr>
      <w:r>
        <w:rPr>
          <w:noProof/>
          <w:lang w:eastAsia="en-AU"/>
        </w:rPr>
        <w:drawing>
          <wp:inline distT="0" distB="0" distL="0" distR="0" wp14:anchorId="522C9CF3" wp14:editId="661D3330">
            <wp:extent cx="5552237" cy="1179258"/>
            <wp:effectExtent l="0" t="0" r="0" b="1905"/>
            <wp:docPr id="24" name="Picture 24" descr="Table 13: Compliance with patient reported outcomes;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48745" cy="1178516"/>
                    </a:xfrm>
                    <a:prstGeom prst="rect">
                      <a:avLst/>
                    </a:prstGeom>
                  </pic:spPr>
                </pic:pic>
              </a:graphicData>
            </a:graphic>
          </wp:inline>
        </w:drawing>
      </w:r>
    </w:p>
    <w:p w14:paraId="522C9ADB" w14:textId="77777777" w:rsidR="009A78B0" w:rsidRPr="009A78B0" w:rsidRDefault="009A78B0" w:rsidP="009A78B0">
      <w:r w:rsidRPr="009A78B0">
        <w:t xml:space="preserve">This magnitude of loss to follow-up renders the outcomes of the patient reported outcomes beyond </w:t>
      </w:r>
      <w:r w:rsidR="00265880">
        <w:t>Week</w:t>
      </w:r>
      <w:r w:rsidRPr="009A78B0">
        <w:t xml:space="preserve"> 12 subject to substantial bias, and are therefore are not supportive of registration.</w:t>
      </w:r>
    </w:p>
    <w:p w14:paraId="522C9ADC" w14:textId="77777777" w:rsidR="00D53B25" w:rsidRDefault="009A78B0" w:rsidP="009A78B0">
      <w:r w:rsidRPr="009A78B0">
        <w:t>Among the TPS</w:t>
      </w:r>
      <w:r w:rsidR="00D53B25">
        <w:t xml:space="preserve"> ≥ </w:t>
      </w:r>
      <w:r w:rsidRPr="009A78B0">
        <w:t xml:space="preserve">1% stratum, the compliance with PRO assessments (per protocol) was 96.1% </w:t>
      </w:r>
      <w:r w:rsidR="00D53B25">
        <w:t>versus</w:t>
      </w:r>
      <w:r w:rsidRPr="009A78B0">
        <w:t xml:space="preserve"> 93.2% in the pembrolizumab 2 mg/kg arm and docetaxel arms respectively. Thereafter, </w:t>
      </w:r>
      <w:r w:rsidRPr="009A78B0">
        <w:lastRenderedPageBreak/>
        <w:t xml:space="preserve">at 6 weeks, compliance was 91.6% </w:t>
      </w:r>
      <w:r w:rsidR="00D53B25">
        <w:t>versus</w:t>
      </w:r>
      <w:r w:rsidRPr="009A78B0">
        <w:t xml:space="preserve"> 88.0% respectively; at 12 weeks was 88.1% </w:t>
      </w:r>
      <w:r w:rsidR="00D53B25">
        <w:t>versus</w:t>
      </w:r>
      <w:r w:rsidRPr="009A78B0">
        <w:t xml:space="preserve"> 88.5% respectively; at </w:t>
      </w:r>
      <w:r w:rsidR="00265880">
        <w:t>Week</w:t>
      </w:r>
      <w:r w:rsidRPr="009A78B0">
        <w:t xml:space="preserve"> 24 was 84.4% </w:t>
      </w:r>
      <w:r w:rsidR="00D53B25">
        <w:t>versus</w:t>
      </w:r>
      <w:r w:rsidRPr="009A78B0">
        <w:t xml:space="preserve"> 74.8% respectively and at </w:t>
      </w:r>
      <w:r w:rsidR="00265880">
        <w:t>Week</w:t>
      </w:r>
      <w:r w:rsidRPr="009A78B0">
        <w:t xml:space="preserve"> 36 was 64.2% </w:t>
      </w:r>
      <w:r w:rsidR="00D53B25">
        <w:t>versus</w:t>
      </w:r>
      <w:r w:rsidRPr="009A78B0">
        <w:t xml:space="preserve"> 41.2%</w:t>
      </w:r>
      <w:r w:rsidR="00D53B25">
        <w:t>.</w:t>
      </w:r>
    </w:p>
    <w:p w14:paraId="522C9ADD" w14:textId="1C39366F" w:rsidR="009A78B0" w:rsidRPr="009A78B0" w:rsidRDefault="009A78B0" w:rsidP="009A78B0">
      <w:r w:rsidRPr="009A78B0">
        <w:t>As for the TPS</w:t>
      </w:r>
      <w:r w:rsidR="00D53B25">
        <w:t xml:space="preserve"> ≥ </w:t>
      </w:r>
      <w:r w:rsidRPr="009A78B0">
        <w:t>50% stratum, the magnitude of loss to follow</w:t>
      </w:r>
      <w:r w:rsidR="001B20AC">
        <w:t xml:space="preserve"> </w:t>
      </w:r>
      <w:r w:rsidRPr="009A78B0">
        <w:t>up for this population is substantial beyond 12 weeks and precludes support for registration.</w:t>
      </w:r>
    </w:p>
    <w:p w14:paraId="522C9ADE" w14:textId="59E9EFE7" w:rsidR="009A78B0" w:rsidRPr="009A78B0" w:rsidRDefault="009A78B0" w:rsidP="009A78B0">
      <w:pPr>
        <w:pStyle w:val="Heading4"/>
      </w:pPr>
      <w:bookmarkStart w:id="85" w:name="_Toc290846276"/>
      <w:bookmarkStart w:id="86" w:name="_Toc453755699"/>
      <w:r w:rsidRPr="009A78B0">
        <w:t xml:space="preserve">Supportive </w:t>
      </w:r>
      <w:r w:rsidR="001B20AC">
        <w:t>S</w:t>
      </w:r>
      <w:r w:rsidRPr="009A78B0">
        <w:t xml:space="preserve">tudy </w:t>
      </w:r>
      <w:bookmarkEnd w:id="85"/>
      <w:r w:rsidRPr="009A78B0">
        <w:t>P001V04 (Keynote-001)</w:t>
      </w:r>
      <w:bookmarkEnd w:id="86"/>
    </w:p>
    <w:p w14:paraId="522C9ADF" w14:textId="77777777" w:rsidR="009A78B0" w:rsidRPr="009A78B0" w:rsidRDefault="009A78B0" w:rsidP="009A78B0">
      <w:pPr>
        <w:pStyle w:val="Heading5"/>
      </w:pPr>
      <w:r w:rsidRPr="009A78B0">
        <w:t>Study design, objectives, locations and dates</w:t>
      </w:r>
    </w:p>
    <w:p w14:paraId="522C9AE0" w14:textId="77777777" w:rsidR="009A78B0" w:rsidRPr="009A78B0" w:rsidRDefault="009A78B0" w:rsidP="009A78B0">
      <w:r w:rsidRPr="009A78B0">
        <w:t xml:space="preserve">This was a multicentre, </w:t>
      </w:r>
      <w:r w:rsidR="00D53B25">
        <w:t>open label</w:t>
      </w:r>
      <w:r w:rsidRPr="009A78B0">
        <w:t xml:space="preserve">, </w:t>
      </w:r>
      <w:r w:rsidR="00D53B25">
        <w:t>Phase</w:t>
      </w:r>
      <w:r w:rsidRPr="009A78B0">
        <w:t xml:space="preserve"> I study of pembrolizumab monotherapy in patients with locally advanced or metastatic carcinoma, melanoma and non-small cell lung cancer.</w:t>
      </w:r>
    </w:p>
    <w:p w14:paraId="522C9AE1" w14:textId="77777777" w:rsidR="009A78B0" w:rsidRPr="009A78B0" w:rsidRDefault="009A78B0" w:rsidP="009A78B0">
      <w:r w:rsidRPr="009A78B0">
        <w:t>The study was initiated on 14 April 2011, with cut-off of 23 Feb</w:t>
      </w:r>
      <w:r w:rsidR="00265880">
        <w:t>ruary 2015. The CSR is dated 25 </w:t>
      </w:r>
      <w:r w:rsidRPr="009A78B0">
        <w:t>November 2015.</w:t>
      </w:r>
    </w:p>
    <w:p w14:paraId="522C9AE2" w14:textId="77777777" w:rsidR="009A78B0" w:rsidRPr="009A78B0" w:rsidRDefault="009A78B0" w:rsidP="009A78B0">
      <w:r w:rsidRPr="009A78B0">
        <w:t>The trial enrolled subjects at 47 centres, of which 44 sites allocated subjects with NSCLC to study treatment. Eighteen trial centres were in the US, five were in France, five were in Italy, three were in Korea, three were in Spain, three were in United Kingdom, two were in Canada, two were in Norway, two were in Taiwan, and one was in Australia.</w:t>
      </w:r>
    </w:p>
    <w:p w14:paraId="522C9AE3" w14:textId="77777777" w:rsidR="009A78B0" w:rsidRPr="009A78B0" w:rsidRDefault="009A78B0" w:rsidP="009A78B0">
      <w:r w:rsidRPr="009A78B0">
        <w:t>The trial investigated multiple expansion cohorts. Those pe</w:t>
      </w:r>
      <w:r>
        <w:t>rtinent to this submission are:</w:t>
      </w:r>
    </w:p>
    <w:p w14:paraId="522C9AE4" w14:textId="7EA557DE" w:rsidR="009A78B0" w:rsidRPr="009A78B0" w:rsidRDefault="009A78B0" w:rsidP="009A78B0">
      <w:pPr>
        <w:pStyle w:val="ListBullet"/>
      </w:pPr>
      <w:r w:rsidRPr="009A78B0">
        <w:t>Part C allocated 41 subjects with NSCLC who had experienced disease progression after two systemic anti-tumour regimens.</w:t>
      </w:r>
    </w:p>
    <w:p w14:paraId="522C9AE5" w14:textId="77777777" w:rsidR="009A78B0" w:rsidRPr="009A78B0" w:rsidRDefault="009A78B0" w:rsidP="009A78B0">
      <w:pPr>
        <w:pStyle w:val="ListBullet"/>
      </w:pPr>
      <w:r w:rsidRPr="009A78B0">
        <w:t xml:space="preserve">Part </w:t>
      </w:r>
      <w:proofErr w:type="spellStart"/>
      <w:r w:rsidRPr="009A78B0">
        <w:t>F</w:t>
      </w:r>
      <w:proofErr w:type="spellEnd"/>
      <w:r w:rsidRPr="009A78B0">
        <w:t xml:space="preserve"> allocated patients with NSCLC to three additional cohorts:</w:t>
      </w:r>
    </w:p>
    <w:p w14:paraId="522C9AE6" w14:textId="6F4F2796" w:rsidR="009A78B0" w:rsidRPr="009A78B0" w:rsidRDefault="00265880" w:rsidP="009A78B0">
      <w:pPr>
        <w:pStyle w:val="ListBullet2"/>
      </w:pPr>
      <w:r>
        <w:t>F-1;</w:t>
      </w:r>
      <w:r w:rsidR="009A78B0" w:rsidRPr="009A78B0">
        <w:t xml:space="preserve"> was introduced with protocol Amendment 06. The first eleven subjects allocated and treated were required to be treatment naïve, have a diagnosis of non-squamous NSCLC and have tumours that expressed PD-L1 by the Prototype Assay (PA). These subjects were random</w:t>
      </w:r>
      <w:r w:rsidR="00EF3E5B">
        <w:t>ised</w:t>
      </w:r>
      <w:r w:rsidR="009A78B0" w:rsidRPr="009A78B0">
        <w:t xml:space="preserve"> (1:1) between 2 mg/</w:t>
      </w:r>
      <w:r>
        <w:t>kg Q3W and 10 mg/kg Q3W. The 92 </w:t>
      </w:r>
      <w:r w:rsidR="009A78B0" w:rsidRPr="009A78B0">
        <w:t>subjects allocated under Amendment 07 and greater were further required to have Stage IV NSCLC and were random</w:t>
      </w:r>
      <w:r w:rsidR="00EF3E5B">
        <w:t>ised</w:t>
      </w:r>
      <w:r w:rsidR="009A78B0" w:rsidRPr="009A78B0">
        <w:t xml:space="preserve"> (1:1) to 10 mg/kg Q3W or every 2 weeks </w:t>
      </w:r>
      <w:r w:rsidR="001B20AC">
        <w:t>(</w:t>
      </w:r>
      <w:r w:rsidR="009A78B0" w:rsidRPr="009A78B0">
        <w:t>Q2W</w:t>
      </w:r>
      <w:r w:rsidR="001B20AC">
        <w:t>)</w:t>
      </w:r>
      <w:r w:rsidR="009A78B0" w:rsidRPr="009A78B0">
        <w:t>. Ninety of these subjects were treated. Subjects were not permitted to have a sensit</w:t>
      </w:r>
      <w:r w:rsidR="001B20AC">
        <w:t>ising</w:t>
      </w:r>
      <w:r w:rsidR="009A78B0" w:rsidRPr="009A78B0">
        <w:t xml:space="preserve"> EGFR mutation or ALK gene rearrangement starting with Amendment 07. Subjects were allowed prior exposure to adjuvant/neoadjuvant therapy if at least one year had passed between finishing the treatment and the recurrence.</w:t>
      </w:r>
    </w:p>
    <w:p w14:paraId="522C9AE7" w14:textId="291A4F35" w:rsidR="009A78B0" w:rsidRPr="009A78B0" w:rsidRDefault="00265880" w:rsidP="009A78B0">
      <w:pPr>
        <w:pStyle w:val="ListBullet2"/>
      </w:pPr>
      <w:r>
        <w:t>F-2;</w:t>
      </w:r>
      <w:r w:rsidR="009A78B0" w:rsidRPr="009A78B0">
        <w:t xml:space="preserve"> The first 33 subjects allocated and treated in Cohort F-2 (Amendment 06) were required to have experienced disease progression after two prior systemic therapies for non-squamous NSCLC and the new pre-treatment tumour biopsy needed to demonstrate PD-L1 expression by the PA. They were treated at 10 mg/kg Q3W. Cohort F-2 (Amendment 07 and greater) allocated 285 subjects with locally advanced or metastatic NSCLC (all histologies) whose tumours expressed PD-L1 by the PA and had experienced progression of disease after at least one prior systemic antineoplastic regimen, at least one of which was a </w:t>
      </w:r>
      <w:r w:rsidR="00D53B25">
        <w:t>platinum containing</w:t>
      </w:r>
      <w:r w:rsidR="009A78B0" w:rsidRPr="009A78B0">
        <w:t xml:space="preserve"> doublet. If a sensit</w:t>
      </w:r>
      <w:r w:rsidR="001B20AC">
        <w:t>ising</w:t>
      </w:r>
      <w:r w:rsidR="009A78B0" w:rsidRPr="009A78B0">
        <w:t xml:space="preserve"> EGFR mutation or ALK gene rearrangement was present, progression of disease after initiating the appropriate tyrosine kinase inhibitor was required. These subjects were random</w:t>
      </w:r>
      <w:r w:rsidR="00EF3E5B">
        <w:t>ised</w:t>
      </w:r>
      <w:r w:rsidR="009A78B0" w:rsidRPr="009A78B0">
        <w:t xml:space="preserve"> (3:2) between pembrolizumab 10 mg/kg Q3W or Q2W. Two hundred eighty subjects were treated. The last F-2 cohort (Amendment 07 and greater) included 43 subjects (allocated and treated) with locally advanced or metastatic NSCLC (all histologies) whose tumours did not express PD-L1 by the PA and had experienced progression of disease after at least two prior systemic antineoplastic regimens, at least one of which was a </w:t>
      </w:r>
      <w:r w:rsidR="00D53B25">
        <w:t>platinum containing</w:t>
      </w:r>
      <w:r w:rsidR="009A78B0" w:rsidRPr="009A78B0">
        <w:t xml:space="preserve"> doublet. These subjects were dosed at 10 mg/kg Q2W.</w:t>
      </w:r>
    </w:p>
    <w:p w14:paraId="522C9AE8" w14:textId="77777777" w:rsidR="009A78B0" w:rsidRPr="009A78B0" w:rsidRDefault="0062255D" w:rsidP="009A78B0">
      <w:pPr>
        <w:pStyle w:val="ListBullet2"/>
      </w:pPr>
      <w:r>
        <w:t>F-3;</w:t>
      </w:r>
      <w:r w:rsidR="009A78B0" w:rsidRPr="009A78B0">
        <w:t xml:space="preserve"> protocol amendment 09 allocated and treated 55 subjects with locally advanced or metastatic NSCLC whose tumours expressed PD-L1 by the PA and had experienced </w:t>
      </w:r>
      <w:r w:rsidR="009A78B0" w:rsidRPr="009A78B0">
        <w:lastRenderedPageBreak/>
        <w:t xml:space="preserve">progression of disease after at least one prior systemic antineoplastic regimen, at least one of which was a </w:t>
      </w:r>
      <w:r w:rsidR="00D53B25">
        <w:t>platinum containing</w:t>
      </w:r>
      <w:r w:rsidR="009A78B0" w:rsidRPr="009A78B0">
        <w:t xml:space="preserve"> doublet. Subjects in Cohort F-3 were dosed at 2 mg/kg Q3W.</w:t>
      </w:r>
    </w:p>
    <w:p w14:paraId="522C9AE9" w14:textId="715D7985" w:rsidR="009A78B0" w:rsidRPr="009A78B0" w:rsidRDefault="009A78B0" w:rsidP="009A78B0">
      <w:r w:rsidRPr="009A78B0">
        <w:t>Of note, at the request of the FDA, a proposed part of the study (Part E) designed to characteri</w:t>
      </w:r>
      <w:r w:rsidR="001B20AC">
        <w:t>s</w:t>
      </w:r>
      <w:r w:rsidRPr="009A78B0">
        <w:t>e pembrolizumab in combination with chemotherapy in patients with NSCLC was removed.</w:t>
      </w:r>
    </w:p>
    <w:p w14:paraId="522C9AEA" w14:textId="36613C6C" w:rsidR="009A78B0" w:rsidRPr="009A78B0" w:rsidRDefault="009A78B0" w:rsidP="009A78B0">
      <w:r w:rsidRPr="009A78B0">
        <w:t xml:space="preserve">The study </w:t>
      </w:r>
      <w:proofErr w:type="gramStart"/>
      <w:r w:rsidRPr="009A78B0">
        <w:t xml:space="preserve">design for </w:t>
      </w:r>
      <w:r w:rsidR="0062255D">
        <w:t>the NSCLC cohorts are</w:t>
      </w:r>
      <w:proofErr w:type="gramEnd"/>
      <w:r w:rsidR="0062255D">
        <w:t xml:space="preserve"> </w:t>
      </w:r>
      <w:r w:rsidR="0062255D" w:rsidRPr="00374C1D">
        <w:t>shown</w:t>
      </w:r>
      <w:r w:rsidR="001B20AC">
        <w:t xml:space="preserve"> below</w:t>
      </w:r>
      <w:r w:rsidR="0062255D" w:rsidRPr="00374C1D">
        <w:t xml:space="preserve"> in F</w:t>
      </w:r>
      <w:r w:rsidR="00374C1D" w:rsidRPr="00374C1D">
        <w:t>igure 9</w:t>
      </w:r>
      <w:r w:rsidR="0062255D" w:rsidRPr="00374C1D">
        <w:t>.</w:t>
      </w:r>
    </w:p>
    <w:p w14:paraId="522C9AEB" w14:textId="77777777" w:rsidR="009A78B0" w:rsidRPr="009A78B0" w:rsidRDefault="009A78B0" w:rsidP="009A78B0">
      <w:pPr>
        <w:pStyle w:val="FigureTitle"/>
      </w:pPr>
      <w:bookmarkStart w:id="87" w:name="_Toc453752523"/>
      <w:r w:rsidRPr="00374C1D">
        <w:t xml:space="preserve">Figure </w:t>
      </w:r>
      <w:r w:rsidR="00374C1D" w:rsidRPr="00374C1D">
        <w:t>9:</w:t>
      </w:r>
      <w:r w:rsidRPr="009A78B0">
        <w:t xml:space="preserve"> Study P001, NSCLC expansion cohorts</w:t>
      </w:r>
      <w:bookmarkEnd w:id="87"/>
    </w:p>
    <w:p w14:paraId="522C9AEC" w14:textId="77777777" w:rsidR="008C5595" w:rsidRDefault="009A78B0" w:rsidP="00C22678">
      <w:pPr>
        <w:rPr>
          <w:lang w:eastAsia="ja-JP"/>
        </w:rPr>
      </w:pPr>
      <w:r>
        <w:rPr>
          <w:noProof/>
          <w:lang w:eastAsia="en-AU"/>
        </w:rPr>
        <w:drawing>
          <wp:inline distT="0" distB="0" distL="0" distR="0" wp14:anchorId="522C9CF5" wp14:editId="3E7517A4">
            <wp:extent cx="5376343" cy="3211373"/>
            <wp:effectExtent l="0" t="0" r="0" b="8255"/>
            <wp:docPr id="25" name="Picture 25" descr="Figure 9: Study P001, NSCLC expansion cohorts&#10;The trial investigated multiple expansion cohorts. Those pertinent to this submission are:&#10;• Part C allocated 41 subjects with NSCLC who had experienced disease progression after two systemic anti-tumour regimens.&#10;• Part F allocated patients with NSCLC to three additional cohorts:&#10;– F-1; was introduced with protocol Amendment 06. The first eleven subjects allocated and treated were required to be treatment naïve, have a diagnosis of non-squamous NSCLC and have tumours that expressed PD-L1 by the Prototype Assay (PA). These subjects were randomized (1:1) between 2 mg/kg Q3W and 10 mg/kg Q3W. The 92 subjects allocated under Amendment 07 and greater were further required to have Stage IV NSCLC and were randomized (1:1) to 10 mg/kg Q3W or every 2 weeks [Q2W]. Ninety of these subjects were treated. Subjects were not permitted to have a sensitizing EGFR mutation or ALK gene rearrangement starting with Amendment 07. Subjects were allowed prior exposure to adjuvant/neoadjuvant therapy if at least one year had passed between finishing the treatment and the recurrence.&#10;– F-2; The first 33 subjects allocated and treated in Cohort F-2 (Amendment 06) were required to have experienced disease progression after two prior systemic therapies for non-squamous NSCLC and the new pre-treatment tumour biopsy needed to demonstrate PD-L1 expression by the PA. They were treated at 10 mg/kg Q3W. Cohort F-2 (Amendment 07 and greater) allocated 285 subjects with locally advanced or metastatic NSCLC (all histologies) whose tumours expressed PD-L1 by the PA and had experienced progression of disease after at least one prior systemic antineoplastic regimen, at least one of which was a platinum containing doublet. If a sensitizing EGFR mutation or ALK gene rearrangement was present, progression of disease after initiating the appropriate tyrosine kinase inhibitor was required. These subjects were randomized (3:2) between pembrolizumab 10 mg/kg Q3W or Q2W. Two hundred eighty subjects were treated. The last F-2 cohort (Amendment 07 and greater) included 43 subjects (allocated and treated) with locally advanced or metastatic NSCLC (all histologies) whose tumours did not express PD-L1 by the PA and had experienced progression of disease after at least two prior systemic antineoplastic regimens, at least one of which was a platinum containing doublet. These subjects were dosed at 10 mg/kg Q2W.&#10;– F-3; protocol amendment 09 allocated and treated 55 subjects with locally advanced or metastatic NSCLC whose tumours expressed PD-L1 by the PA and had experienced progression of disease after at least one prior systemic antineoplastic regimen, at least one of which was a platinum containing doublet. Subjects in Cohort F-3 were dosed at 2 mg/kg Q3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76632" cy="3211546"/>
                    </a:xfrm>
                    <a:prstGeom prst="rect">
                      <a:avLst/>
                    </a:prstGeom>
                  </pic:spPr>
                </pic:pic>
              </a:graphicData>
            </a:graphic>
          </wp:inline>
        </w:drawing>
      </w:r>
    </w:p>
    <w:p w14:paraId="522C9AED" w14:textId="23750A77" w:rsidR="009A78B0" w:rsidRPr="009A78B0" w:rsidRDefault="009A78B0" w:rsidP="009A78B0">
      <w:r w:rsidRPr="009A78B0">
        <w:t xml:space="preserve">Protocol amendment 7 was implemented to define the biomarker training set and biomarker validation set. Using the </w:t>
      </w:r>
      <w:proofErr w:type="spellStart"/>
      <w:r w:rsidRPr="009A78B0">
        <w:t>Dako</w:t>
      </w:r>
      <w:proofErr w:type="spellEnd"/>
      <w:r w:rsidRPr="009A78B0">
        <w:t xml:space="preserve"> clinical trial assay (the proposed companion diagnostic to accompany this submission), the cut</w:t>
      </w:r>
      <w:r w:rsidR="00EC5C29">
        <w:t xml:space="preserve"> off</w:t>
      </w:r>
      <w:r w:rsidR="001B20AC">
        <w:t xml:space="preserve"> </w:t>
      </w:r>
      <w:r w:rsidRPr="009A78B0">
        <w:t>points predicting response to pembrolizumab would be established in the training set, and then confirmed in the validation set. The primary analysis assessed the overall objective response rate (RECIST 1.1) in the subject population with PD-L1 expressing lesions with a TPS</w:t>
      </w:r>
      <w:r w:rsidR="00D53B25">
        <w:t xml:space="preserve"> ≥ </w:t>
      </w:r>
      <w:r w:rsidRPr="009A78B0">
        <w:t>50%.</w:t>
      </w:r>
    </w:p>
    <w:p w14:paraId="522C9AEE" w14:textId="77777777" w:rsidR="009A78B0" w:rsidRPr="009A78B0" w:rsidRDefault="009A78B0" w:rsidP="009A78B0">
      <w:pPr>
        <w:pStyle w:val="Heading5"/>
      </w:pPr>
      <w:r w:rsidRPr="009A78B0">
        <w:t>Inclusion and exclusion criteria</w:t>
      </w:r>
    </w:p>
    <w:p w14:paraId="522C9AEF" w14:textId="77777777" w:rsidR="009A78B0" w:rsidRPr="009A78B0" w:rsidRDefault="009A78B0" w:rsidP="009A78B0">
      <w:r w:rsidRPr="009A78B0">
        <w:t>The relevant population of this study pertaining to this submission were patients with NSCLC had to have histologically or cytologically confirmed NSCLC with progressive (within 1 year) locally advanced or metastatic disease.</w:t>
      </w:r>
    </w:p>
    <w:p w14:paraId="522C9AF0" w14:textId="77777777" w:rsidR="009A78B0" w:rsidRPr="009A78B0" w:rsidRDefault="009A78B0" w:rsidP="009A78B0">
      <w:r w:rsidRPr="009A78B0">
        <w:t>Patients had to have newly obtained tumour biopsies within 60 days prior to commencement of treatment with pembrolizumab.</w:t>
      </w:r>
    </w:p>
    <w:p w14:paraId="522C9AF1" w14:textId="77777777" w:rsidR="00D53B25" w:rsidRDefault="009A78B0" w:rsidP="009A78B0">
      <w:r w:rsidRPr="009A78B0">
        <w:t>For part F, patients had to have histologically or cytologically confirmed NSCLC, which was amendable to biopsy</w:t>
      </w:r>
      <w:r w:rsidR="00D53B25">
        <w:t>.</w:t>
      </w:r>
    </w:p>
    <w:p w14:paraId="522C9AF2" w14:textId="77777777" w:rsidR="009A78B0" w:rsidRPr="009A78B0" w:rsidRDefault="009A78B0" w:rsidP="009A78B0">
      <w:pPr>
        <w:pStyle w:val="Heading5"/>
      </w:pPr>
      <w:r w:rsidRPr="009A78B0">
        <w:t>Study treatments</w:t>
      </w:r>
    </w:p>
    <w:p w14:paraId="522C9AF3" w14:textId="5C1F3592" w:rsidR="009A78B0" w:rsidRPr="009A78B0" w:rsidRDefault="009A78B0" w:rsidP="009A78B0">
      <w:r w:rsidRPr="009A78B0">
        <w:t xml:space="preserve">See description of expansion cohorts above. Study treatment continued until disease progression, unacceptable toxicity or decision by the investigator to cease in the best interests of the patient. Imaging assessments were performed at baseline and, for parts C </w:t>
      </w:r>
      <w:r w:rsidR="0062255D">
        <w:t>and</w:t>
      </w:r>
      <w:r w:rsidRPr="009A78B0">
        <w:t xml:space="preserve"> F, every 9</w:t>
      </w:r>
      <w:r w:rsidR="00124015">
        <w:t> </w:t>
      </w:r>
      <w:r w:rsidRPr="009A78B0">
        <w:t>(±</w:t>
      </w:r>
      <w:r w:rsidR="0062255D">
        <w:t> </w:t>
      </w:r>
      <w:r w:rsidRPr="009A78B0">
        <w:t>1) weeks from initiation of pembrolizumab.</w:t>
      </w:r>
    </w:p>
    <w:p w14:paraId="522C9AF4" w14:textId="77777777" w:rsidR="009A78B0" w:rsidRPr="009A78B0" w:rsidRDefault="009A78B0" w:rsidP="009A78B0">
      <w:pPr>
        <w:pStyle w:val="Heading5"/>
      </w:pPr>
      <w:r w:rsidRPr="009A78B0">
        <w:lastRenderedPageBreak/>
        <w:t>Efficacy variables and outcomes</w:t>
      </w:r>
    </w:p>
    <w:p w14:paraId="522C9AF5" w14:textId="77777777" w:rsidR="009A78B0" w:rsidRPr="009A78B0" w:rsidRDefault="009A78B0" w:rsidP="009A78B0">
      <w:r w:rsidRPr="009A78B0">
        <w:t xml:space="preserve">The imaging criteria for parts C and F were tumour response as determined by investigator assessment using </w:t>
      </w:r>
      <w:r w:rsidR="00D53B25">
        <w:t>immune related</w:t>
      </w:r>
      <w:r w:rsidRPr="009A78B0">
        <w:t xml:space="preserve"> Response Criteria (</w:t>
      </w:r>
      <w:proofErr w:type="spellStart"/>
      <w:r w:rsidRPr="009A78B0">
        <w:t>irRC</w:t>
      </w:r>
      <w:proofErr w:type="spellEnd"/>
      <w:r w:rsidRPr="009A78B0">
        <w:t xml:space="preserve">). Retrospective independent central review occurred, using RECIST 1.1 and </w:t>
      </w:r>
      <w:proofErr w:type="spellStart"/>
      <w:r w:rsidRPr="009A78B0">
        <w:t>irRC</w:t>
      </w:r>
      <w:proofErr w:type="spellEnd"/>
      <w:r w:rsidRPr="009A78B0">
        <w:t xml:space="preserve"> criteria. If a CR, PR or PD was observed, repeat imaging was repeated at le</w:t>
      </w:r>
      <w:r>
        <w:t>ast 4 weeks from the last scan.</w:t>
      </w:r>
    </w:p>
    <w:p w14:paraId="522C9AF6" w14:textId="77777777" w:rsidR="009A78B0" w:rsidRPr="009A78B0" w:rsidRDefault="009A78B0" w:rsidP="009A78B0">
      <w:r w:rsidRPr="009A78B0">
        <w:t>Primary objective of the study pertinent to this dossier was:</w:t>
      </w:r>
    </w:p>
    <w:p w14:paraId="522C9AF7" w14:textId="77777777" w:rsidR="009A78B0" w:rsidRPr="009A78B0" w:rsidRDefault="009A78B0" w:rsidP="00EC5C29">
      <w:pPr>
        <w:pStyle w:val="ListBullet"/>
      </w:pPr>
      <w:r w:rsidRPr="009A78B0">
        <w:t>To evaluate the ORR per RECIST 1.1 of pembrolizumab in subjects with NSCLC with at least one prior systemic therapy whose tumours express a high level of PD-L1 (</w:t>
      </w:r>
      <w:r w:rsidR="00D53B25">
        <w:t>&gt;</w:t>
      </w:r>
      <w:r w:rsidR="00C10435">
        <w:t xml:space="preserve"> </w:t>
      </w:r>
      <w:r w:rsidRPr="009A78B0">
        <w:t>50%)</w:t>
      </w:r>
      <w:proofErr w:type="gramStart"/>
      <w:r w:rsidRPr="009A78B0">
        <w:t>.</w:t>
      </w:r>
      <w:proofErr w:type="gramEnd"/>
    </w:p>
    <w:p w14:paraId="522C9AF8" w14:textId="77777777" w:rsidR="009A78B0" w:rsidRPr="009A78B0" w:rsidRDefault="009A78B0" w:rsidP="00EC5C29">
      <w:r w:rsidRPr="009A78B0">
        <w:t>Hypothesis: Single agent pembrolizumab will show a clinically meaningful ORR per RECIST 1.1 in subjects with NSCLC with at least one prior systemic therapy whose tumours express a high level of PD-L1.</w:t>
      </w:r>
    </w:p>
    <w:p w14:paraId="522C9AF9" w14:textId="77777777" w:rsidR="009A78B0" w:rsidRPr="009A78B0" w:rsidRDefault="009A78B0" w:rsidP="009A78B0">
      <w:r w:rsidRPr="009A78B0">
        <w:t>Secondary objectives of the study pertinent to this submission were:</w:t>
      </w:r>
    </w:p>
    <w:p w14:paraId="522C9AFA" w14:textId="345700AD" w:rsidR="009A78B0" w:rsidRPr="009A78B0" w:rsidRDefault="009A78B0" w:rsidP="00E961A5">
      <w:pPr>
        <w:pStyle w:val="Numberbullet0"/>
        <w:numPr>
          <w:ilvl w:val="0"/>
          <w:numId w:val="14"/>
        </w:numPr>
      </w:pPr>
      <w:r w:rsidRPr="009A78B0">
        <w:t>To character</w:t>
      </w:r>
      <w:r w:rsidR="00BA53BD">
        <w:t>ise</w:t>
      </w:r>
      <w:r w:rsidRPr="009A78B0">
        <w:t xml:space="preserve"> the PK profile</w:t>
      </w:r>
      <w:r>
        <w:t xml:space="preserve"> of single agent pembrolizumab.</w:t>
      </w:r>
    </w:p>
    <w:p w14:paraId="522C9AFB" w14:textId="77777777" w:rsidR="009A78B0" w:rsidRPr="009A78B0" w:rsidRDefault="009A78B0" w:rsidP="00E961A5">
      <w:pPr>
        <w:pStyle w:val="Numberbullet0"/>
        <w:numPr>
          <w:ilvl w:val="0"/>
          <w:numId w:val="14"/>
        </w:numPr>
      </w:pPr>
      <w:r w:rsidRPr="009A78B0">
        <w:t>To investigate the relationship between candidate efficacy biomarkers and anti-tumour activity of pembrolizumab:</w:t>
      </w:r>
    </w:p>
    <w:p w14:paraId="522C9AFC" w14:textId="77777777" w:rsidR="009A78B0" w:rsidRPr="009A78B0" w:rsidRDefault="009A78B0" w:rsidP="009A78B0">
      <w:pPr>
        <w:pStyle w:val="ListBullet"/>
      </w:pPr>
      <w:r w:rsidRPr="009A78B0">
        <w:t>To evaluate the correlation between PD-L1 expression levels and anti-tumour activity of pembrolizumab in subjects with melanoma, excluding IPI-refractory subjects as stated in the primary objectives, and separately, non-small cell lung cancer.</w:t>
      </w:r>
    </w:p>
    <w:p w14:paraId="522C9AFD" w14:textId="07855002" w:rsidR="009A78B0" w:rsidRPr="009A78B0" w:rsidRDefault="009A78B0" w:rsidP="009A78B0">
      <w:pPr>
        <w:pStyle w:val="ListBullet"/>
      </w:pPr>
      <w:r w:rsidRPr="009A78B0">
        <w:t>To investigate other biomarkers (</w:t>
      </w:r>
      <w:r w:rsidR="00FC7793">
        <w:t>for example</w:t>
      </w:r>
      <w:r w:rsidRPr="009A78B0">
        <w:t>, tumour infi</w:t>
      </w:r>
      <w:r w:rsidR="0062255D">
        <w:t xml:space="preserve">ltrating lymphocytes </w:t>
      </w:r>
      <w:r w:rsidR="001B20AC">
        <w:t>(</w:t>
      </w:r>
      <w:r w:rsidR="0062255D">
        <w:t>TILs</w:t>
      </w:r>
      <w:r w:rsidR="001B20AC">
        <w:t>)</w:t>
      </w:r>
      <w:r w:rsidR="0062255D">
        <w:t>, PD</w:t>
      </w:r>
      <w:r w:rsidR="0062255D">
        <w:noBreakHyphen/>
      </w:r>
      <w:r w:rsidRPr="009A78B0">
        <w:t xml:space="preserve">L2, PD-1; ribonucleic acid </w:t>
      </w:r>
      <w:r w:rsidR="001B20AC">
        <w:t>(</w:t>
      </w:r>
      <w:r w:rsidRPr="009A78B0">
        <w:t>RNA</w:t>
      </w:r>
      <w:r w:rsidR="001B20AC">
        <w:t>)</w:t>
      </w:r>
      <w:r w:rsidRPr="009A78B0">
        <w:t xml:space="preserve"> signature profiles) that may correlate with tumour responses.</w:t>
      </w:r>
    </w:p>
    <w:p w14:paraId="522C9AFE" w14:textId="205B1A52" w:rsidR="009A78B0" w:rsidRPr="009A78B0" w:rsidRDefault="009A78B0" w:rsidP="009A78B0">
      <w:pPr>
        <w:pStyle w:val="ListBullet"/>
      </w:pPr>
      <w:r w:rsidRPr="009A78B0">
        <w:t>To evaluate differences in tumour tissue characteristics in biopsies taken during or post</w:t>
      </w:r>
      <w:r w:rsidR="00E9080D">
        <w:noBreakHyphen/>
      </w:r>
      <w:r w:rsidRPr="009A78B0">
        <w:t xml:space="preserve">treatment with pembrolizumab </w:t>
      </w:r>
      <w:r w:rsidR="00D53B25">
        <w:t>versus</w:t>
      </w:r>
      <w:r w:rsidRPr="009A78B0">
        <w:t xml:space="preserve"> baseline.</w:t>
      </w:r>
    </w:p>
    <w:p w14:paraId="522C9AFF" w14:textId="77777777" w:rsidR="009A78B0" w:rsidRPr="009A78B0" w:rsidRDefault="0062255D" w:rsidP="009A78B0">
      <w:r>
        <w:t>(D</w:t>
      </w:r>
      <w:r w:rsidR="009A78B0" w:rsidRPr="009A78B0">
        <w:t>ata pertaining to melanoma patients were not presented in the current dossier)</w:t>
      </w:r>
    </w:p>
    <w:p w14:paraId="522C9B00" w14:textId="77777777" w:rsidR="009A78B0" w:rsidRPr="009A78B0" w:rsidRDefault="009A78B0" w:rsidP="009A78B0">
      <w:pPr>
        <w:pStyle w:val="Numberbullet0"/>
      </w:pPr>
      <w:r w:rsidRPr="009A78B0">
        <w:t xml:space="preserve">To evaluate response duration, PFS and OS of melanoma subjects who </w:t>
      </w:r>
      <w:r>
        <w:t>are treated with pembrolizumab.</w:t>
      </w:r>
    </w:p>
    <w:p w14:paraId="522C9B01" w14:textId="77777777" w:rsidR="009A78B0" w:rsidRPr="009A78B0" w:rsidRDefault="009A78B0" w:rsidP="009A78B0">
      <w:pPr>
        <w:pStyle w:val="Numberbullet0"/>
      </w:pPr>
      <w:r w:rsidRPr="009A78B0">
        <w:t xml:space="preserve">To evaluate response duration, PFS and OS of NSCLC subjects who </w:t>
      </w:r>
      <w:r>
        <w:t>are treated with pembrolizumab.</w:t>
      </w:r>
    </w:p>
    <w:p w14:paraId="522C9B02" w14:textId="77777777" w:rsidR="009A78B0" w:rsidRPr="009A78B0" w:rsidRDefault="009A78B0" w:rsidP="009A78B0">
      <w:pPr>
        <w:pStyle w:val="Heading5"/>
      </w:pPr>
      <w:r w:rsidRPr="009A78B0">
        <w:t>Randomisation and blinding methods</w:t>
      </w:r>
    </w:p>
    <w:p w14:paraId="522C9B03" w14:textId="77777777" w:rsidR="009A78B0" w:rsidRPr="009A78B0" w:rsidRDefault="009A78B0" w:rsidP="009A78B0">
      <w:r>
        <w:t>The study was open label.</w:t>
      </w:r>
    </w:p>
    <w:p w14:paraId="522C9B04" w14:textId="620D7B1A" w:rsidR="00D53B25" w:rsidRDefault="009A78B0" w:rsidP="009A78B0">
      <w:r w:rsidRPr="009A78B0">
        <w:t>Cohort C was not randomised</w:t>
      </w:r>
      <w:r w:rsidR="0067489D">
        <w:t>;</w:t>
      </w:r>
      <w:r w:rsidRPr="009A78B0">
        <w:t xml:space="preserve"> all patients received pembrolizumab 10 mg/kg Q3W</w:t>
      </w:r>
      <w:r w:rsidR="00D53B25">
        <w:t>.</w:t>
      </w:r>
    </w:p>
    <w:p w14:paraId="522C9B05" w14:textId="77777777" w:rsidR="00D53B25" w:rsidRDefault="009A78B0" w:rsidP="009A78B0">
      <w:r w:rsidRPr="009A78B0">
        <w:t>Cohort F1 (PD-L1 positive) was randomised 1:1 to pembrolizumab 2 mg/kg Q3W or 10 mg/kg (Q2W or Q3W)</w:t>
      </w:r>
      <w:r w:rsidR="00D53B25">
        <w:t>.</w:t>
      </w:r>
    </w:p>
    <w:p w14:paraId="522C9B06" w14:textId="77777777" w:rsidR="009A78B0" w:rsidRPr="009A78B0" w:rsidRDefault="009A78B0" w:rsidP="009A78B0">
      <w:r w:rsidRPr="009A78B0">
        <w:t>Cohort F2 (PD-L1 positive) was randomised 3:2 to pembrolizumab 10 mg/kg Q3W and Q2W respectively.</w:t>
      </w:r>
    </w:p>
    <w:p w14:paraId="522C9B07" w14:textId="7F2195F5" w:rsidR="009A78B0" w:rsidRPr="009A78B0" w:rsidRDefault="009A78B0" w:rsidP="009A78B0">
      <w:r w:rsidRPr="009A78B0">
        <w:t>Cohort F3 (PD-L</w:t>
      </w:r>
      <w:r w:rsidR="0062255D">
        <w:t>1 negative) was not randomised;</w:t>
      </w:r>
      <w:r w:rsidRPr="009A78B0">
        <w:t xml:space="preserve"> all patients received pe</w:t>
      </w:r>
      <w:r w:rsidR="0062255D">
        <w:t>mbrolizumab 2</w:t>
      </w:r>
      <w:r w:rsidR="0067489D">
        <w:t> </w:t>
      </w:r>
      <w:r w:rsidR="0062255D">
        <w:t>mg/kg </w:t>
      </w:r>
      <w:r>
        <w:t>Q3W</w:t>
      </w:r>
    </w:p>
    <w:p w14:paraId="522C9B08" w14:textId="77777777" w:rsidR="009A78B0" w:rsidRPr="009A78B0" w:rsidRDefault="009A78B0" w:rsidP="009A78B0">
      <w:pPr>
        <w:pStyle w:val="Heading5"/>
      </w:pPr>
      <w:r w:rsidRPr="009A78B0">
        <w:t>Analysis populations</w:t>
      </w:r>
    </w:p>
    <w:p w14:paraId="522C9B09" w14:textId="77777777" w:rsidR="009A78B0" w:rsidRPr="009A78B0" w:rsidRDefault="009A78B0" w:rsidP="009A78B0">
      <w:r w:rsidRPr="009A78B0">
        <w:t xml:space="preserve">The </w:t>
      </w:r>
      <w:r w:rsidR="00D53B25">
        <w:t>previously treated</w:t>
      </w:r>
      <w:r w:rsidRPr="009A78B0">
        <w:t xml:space="preserve"> primary efficacy population (the randomised portion of cohort F2) comprised 61 patients randomised to pembrolizumab 10 mg/kg or 2 mg/kg with:</w:t>
      </w:r>
    </w:p>
    <w:p w14:paraId="522C9B0A" w14:textId="1764858F" w:rsidR="009A78B0" w:rsidRPr="009A78B0" w:rsidRDefault="009A78B0" w:rsidP="009A78B0">
      <w:pPr>
        <w:pStyle w:val="ListBullet"/>
      </w:pPr>
      <w:r w:rsidRPr="009A78B0">
        <w:t xml:space="preserve">progression of advanced/metastatic disease after initiating </w:t>
      </w:r>
      <w:r w:rsidR="00FC7793">
        <w:t>platinum based</w:t>
      </w:r>
      <w:r w:rsidR="0062255D">
        <w:t xml:space="preserve"> cytotoxic chemotherapy</w:t>
      </w:r>
      <w:r w:rsidR="0067489D">
        <w:t>;</w:t>
      </w:r>
    </w:p>
    <w:p w14:paraId="522C9B0B" w14:textId="3A3880F1" w:rsidR="009A78B0" w:rsidRPr="009A78B0" w:rsidRDefault="009A78B0" w:rsidP="009A78B0">
      <w:pPr>
        <w:pStyle w:val="ListBullet"/>
      </w:pPr>
      <w:r w:rsidRPr="009A78B0">
        <w:lastRenderedPageBreak/>
        <w:t>progression of disease after initiation of the relevant TKI for a sensit</w:t>
      </w:r>
      <w:r w:rsidR="001B20AC">
        <w:t>ising</w:t>
      </w:r>
      <w:r w:rsidRPr="009A78B0">
        <w:t xml:space="preserve"> EFGR</w:t>
      </w:r>
      <w:r w:rsidR="0067489D">
        <w:t>;</w:t>
      </w:r>
    </w:p>
    <w:p w14:paraId="522C9B0C" w14:textId="299DA1FA" w:rsidR="009A78B0" w:rsidRPr="009A78B0" w:rsidRDefault="009A78B0" w:rsidP="009A78B0">
      <w:pPr>
        <w:pStyle w:val="ListBullet"/>
      </w:pPr>
      <w:r w:rsidRPr="009A78B0">
        <w:t>mutation or ALK gene rearrangement, if present</w:t>
      </w:r>
      <w:r w:rsidR="0067489D">
        <w:t>;</w:t>
      </w:r>
    </w:p>
    <w:p w14:paraId="522C9B0D" w14:textId="24B777FE" w:rsidR="009A78B0" w:rsidRPr="009A78B0" w:rsidRDefault="009A78B0" w:rsidP="009A78B0">
      <w:pPr>
        <w:pStyle w:val="ListBullet"/>
      </w:pPr>
      <w:r w:rsidRPr="009A78B0">
        <w:t>tumour sample within the stability window for the CRA</w:t>
      </w:r>
      <w:r w:rsidR="0067489D">
        <w:t>;</w:t>
      </w:r>
      <w:r w:rsidRPr="009A78B0">
        <w:t xml:space="preserve"> and</w:t>
      </w:r>
    </w:p>
    <w:p w14:paraId="522C9B0E" w14:textId="2DFFB16B" w:rsidR="009A78B0" w:rsidRPr="009A78B0" w:rsidRDefault="009A78B0" w:rsidP="009A78B0">
      <w:pPr>
        <w:pStyle w:val="ListBullet"/>
      </w:pPr>
      <w:proofErr w:type="gramStart"/>
      <w:r w:rsidRPr="009A78B0">
        <w:t>a</w:t>
      </w:r>
      <w:proofErr w:type="gramEnd"/>
      <w:r w:rsidRPr="009A78B0">
        <w:t xml:space="preserve"> TPS</w:t>
      </w:r>
      <w:r w:rsidR="00D53B25">
        <w:t xml:space="preserve"> ≥ </w:t>
      </w:r>
      <w:r>
        <w:t>50% for the baseline biopsy</w:t>
      </w:r>
      <w:r w:rsidR="0067489D">
        <w:t>.</w:t>
      </w:r>
    </w:p>
    <w:p w14:paraId="522C9B0F" w14:textId="77777777" w:rsidR="009A78B0" w:rsidRPr="009A78B0" w:rsidDel="0081373E" w:rsidRDefault="009A78B0" w:rsidP="009A78B0">
      <w:r w:rsidRPr="009A78B0">
        <w:t>Among the total 560 patients with NSCLC allocated to study treatment with pembrolizumab, 61 were dosed using the proposed regimen of 2 mg/kg Q3W, of which only five were PD-L1 positive.</w:t>
      </w:r>
    </w:p>
    <w:p w14:paraId="522C9B10" w14:textId="77777777" w:rsidR="009A78B0" w:rsidRPr="009A78B0" w:rsidDel="0081373E" w:rsidRDefault="009A78B0" w:rsidP="009A78B0">
      <w:pPr>
        <w:pStyle w:val="Heading5"/>
      </w:pPr>
      <w:r w:rsidRPr="009A78B0" w:rsidDel="0081373E">
        <w:t>Sample size</w:t>
      </w:r>
    </w:p>
    <w:p w14:paraId="522C9B11" w14:textId="77777777" w:rsidR="009A78B0" w:rsidRPr="009A78B0" w:rsidRDefault="009A78B0" w:rsidP="009A78B0">
      <w:r w:rsidRPr="009A78B0">
        <w:t>No formal sample size was used. Part A of the study was a traditional 3</w:t>
      </w:r>
      <w:r w:rsidR="0062255D">
        <w:t xml:space="preserve"> </w:t>
      </w:r>
      <w:r w:rsidRPr="009A78B0">
        <w:t>+</w:t>
      </w:r>
      <w:r w:rsidR="0062255D">
        <w:t xml:space="preserve"> </w:t>
      </w:r>
      <w:r w:rsidRPr="009A78B0">
        <w:t>3 design for dose escalation.</w:t>
      </w:r>
    </w:p>
    <w:p w14:paraId="522C9B12" w14:textId="77777777" w:rsidR="009A78B0" w:rsidRPr="009A78B0" w:rsidRDefault="009A78B0" w:rsidP="009A78B0">
      <w:pPr>
        <w:pStyle w:val="Heading5"/>
      </w:pPr>
      <w:r w:rsidRPr="009A78B0">
        <w:t>Major protocol violations/deviations</w:t>
      </w:r>
    </w:p>
    <w:p w14:paraId="522C9B13" w14:textId="77777777" w:rsidR="009A78B0" w:rsidRPr="009A78B0" w:rsidRDefault="009A78B0" w:rsidP="009A78B0">
      <w:r w:rsidRPr="009A78B0">
        <w:t>The sponsor has listed</w:t>
      </w:r>
      <w:r w:rsidR="0062255D">
        <w:t xml:space="preserve"> all recorded major deviations;</w:t>
      </w:r>
      <w:r w:rsidRPr="009A78B0">
        <w:t xml:space="preserve"> none are considered by the evaluator to have substantially affected the reported trial outcomes.</w:t>
      </w:r>
    </w:p>
    <w:p w14:paraId="522C9B14" w14:textId="77777777" w:rsidR="009A78B0" w:rsidRPr="009A78B0" w:rsidRDefault="009A78B0" w:rsidP="009A78B0">
      <w:pPr>
        <w:pStyle w:val="Heading5"/>
      </w:pPr>
      <w:r w:rsidRPr="009A78B0">
        <w:t>Baseline data</w:t>
      </w:r>
    </w:p>
    <w:p w14:paraId="522C9B15" w14:textId="5AEDD256" w:rsidR="009A78B0" w:rsidRPr="009A78B0" w:rsidRDefault="009A78B0" w:rsidP="009A78B0">
      <w:r w:rsidRPr="009A78B0">
        <w:t>The baseline demographic and diseas</w:t>
      </w:r>
      <w:r w:rsidR="0062255D">
        <w:t xml:space="preserve">e characteristics are </w:t>
      </w:r>
      <w:r w:rsidR="0062255D" w:rsidRPr="001F1098">
        <w:t>shown</w:t>
      </w:r>
      <w:r w:rsidR="0067489D">
        <w:t xml:space="preserve"> below</w:t>
      </w:r>
      <w:r w:rsidR="0062255D" w:rsidRPr="001F1098">
        <w:t xml:space="preserve"> in T</w:t>
      </w:r>
      <w:r w:rsidR="00310181">
        <w:t>able 14</w:t>
      </w:r>
      <w:r w:rsidR="0062255D" w:rsidRPr="001F1098">
        <w:t>.</w:t>
      </w:r>
    </w:p>
    <w:p w14:paraId="522C9B16" w14:textId="77777777" w:rsidR="009A78B0" w:rsidRPr="009A78B0" w:rsidRDefault="009A78B0" w:rsidP="009A78B0">
      <w:pPr>
        <w:pStyle w:val="Tabletitle"/>
      </w:pPr>
      <w:bookmarkStart w:id="88" w:name="_Toc453755627"/>
      <w:r w:rsidRPr="001F1098">
        <w:t>Table</w:t>
      </w:r>
      <w:r w:rsidR="00310181">
        <w:t xml:space="preserve"> 14</w:t>
      </w:r>
      <w:r w:rsidR="0062255D" w:rsidRPr="001F1098">
        <w:t>:</w:t>
      </w:r>
      <w:r w:rsidRPr="001F1098">
        <w:t xml:space="preserve"> Baseline patient characteristics</w:t>
      </w:r>
      <w:bookmarkEnd w:id="88"/>
    </w:p>
    <w:p w14:paraId="522C9B17" w14:textId="77777777" w:rsidR="008C5595" w:rsidRDefault="009A78B0" w:rsidP="00C22678">
      <w:pPr>
        <w:rPr>
          <w:lang w:eastAsia="ja-JP"/>
        </w:rPr>
      </w:pPr>
      <w:r>
        <w:rPr>
          <w:noProof/>
          <w:lang w:eastAsia="en-AU"/>
        </w:rPr>
        <w:drawing>
          <wp:inline distT="0" distB="0" distL="0" distR="0" wp14:anchorId="522C9CF7" wp14:editId="522C9CF8">
            <wp:extent cx="4781550" cy="4400550"/>
            <wp:effectExtent l="0" t="0" r="0" b="0"/>
            <wp:docPr id="26" name="Picture 26" descr="Table 14: Baseline pati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81550" cy="4400550"/>
                    </a:xfrm>
                    <a:prstGeom prst="rect">
                      <a:avLst/>
                    </a:prstGeom>
                  </pic:spPr>
                </pic:pic>
              </a:graphicData>
            </a:graphic>
          </wp:inline>
        </w:drawing>
      </w:r>
    </w:p>
    <w:p w14:paraId="522C9B18" w14:textId="77777777" w:rsidR="009A78B0" w:rsidRDefault="009A78B0" w:rsidP="009A78B0">
      <w:pPr>
        <w:pStyle w:val="Tabletitle"/>
      </w:pPr>
      <w:r w:rsidRPr="001F1098">
        <w:lastRenderedPageBreak/>
        <w:t xml:space="preserve">Table </w:t>
      </w:r>
      <w:r w:rsidR="00310181">
        <w:t>14</w:t>
      </w:r>
      <w:r w:rsidR="001F1098" w:rsidRPr="001F1098">
        <w:t xml:space="preserve"> </w:t>
      </w:r>
      <w:r w:rsidRPr="001F1098">
        <w:t>(continued)</w:t>
      </w:r>
      <w:r w:rsidR="0062255D" w:rsidRPr="001F1098">
        <w:t>:</w:t>
      </w:r>
      <w:r w:rsidRPr="001F1098">
        <w:t xml:space="preserve"> Baseline patient characteristics</w:t>
      </w:r>
    </w:p>
    <w:p w14:paraId="522C9B19" w14:textId="77777777" w:rsidR="009A78B0" w:rsidRDefault="009A78B0" w:rsidP="00C22678">
      <w:pPr>
        <w:rPr>
          <w:lang w:eastAsia="ja-JP"/>
        </w:rPr>
      </w:pPr>
      <w:r>
        <w:rPr>
          <w:noProof/>
          <w:lang w:eastAsia="en-AU"/>
        </w:rPr>
        <w:drawing>
          <wp:inline distT="0" distB="0" distL="0" distR="0" wp14:anchorId="522C9CF9" wp14:editId="522C9CFA">
            <wp:extent cx="4714875" cy="8191500"/>
            <wp:effectExtent l="0" t="0" r="9525" b="0"/>
            <wp:docPr id="27" name="Picture 27" descr="Table 14 (continued): Baseline patien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14875" cy="8191500"/>
                    </a:xfrm>
                    <a:prstGeom prst="rect">
                      <a:avLst/>
                    </a:prstGeom>
                  </pic:spPr>
                </pic:pic>
              </a:graphicData>
            </a:graphic>
          </wp:inline>
        </w:drawing>
      </w:r>
    </w:p>
    <w:p w14:paraId="522C9B1A" w14:textId="77777777" w:rsidR="009A78B0" w:rsidRPr="009A78B0" w:rsidRDefault="009A78B0" w:rsidP="009A78B0">
      <w:pPr>
        <w:pStyle w:val="Heading5"/>
      </w:pPr>
      <w:r w:rsidRPr="009A78B0">
        <w:lastRenderedPageBreak/>
        <w:t>Results for the primary efficacy outcome</w:t>
      </w:r>
    </w:p>
    <w:p w14:paraId="522C9B1B" w14:textId="77777777" w:rsidR="009A78B0" w:rsidRPr="009A78B0" w:rsidRDefault="009A78B0" w:rsidP="009A78B0">
      <w:r w:rsidRPr="009A78B0">
        <w:t>The ORR among 61 patients in the randomised primary efficacy population (Biomarker validation set) who had received prior treatment for NS</w:t>
      </w:r>
      <w:r w:rsidR="0062255D">
        <w:t>CLC, receiving pembrolizumab 10 </w:t>
      </w:r>
      <w:r w:rsidRPr="009A78B0">
        <w:t>mg/kg Q3W or Q2W</w:t>
      </w:r>
      <w:proofErr w:type="gramStart"/>
      <w:r w:rsidRPr="009A78B0">
        <w:t>,and</w:t>
      </w:r>
      <w:proofErr w:type="gramEnd"/>
      <w:r w:rsidRPr="009A78B0">
        <w:t xml:space="preserve"> with a TPS</w:t>
      </w:r>
      <w:r w:rsidR="00D53B25">
        <w:t xml:space="preserve"> ≥ </w:t>
      </w:r>
      <w:r w:rsidRPr="009A78B0">
        <w:t>50% was 42.6% (95% CI: 30.0, 55.9). One patient who received pembrolizumab 10 mg/kg Q3W achieved a complete response; the best responses among the other 60 p</w:t>
      </w:r>
      <w:r>
        <w:t>atients were partial responses.</w:t>
      </w:r>
    </w:p>
    <w:p w14:paraId="522C9B1C" w14:textId="77777777" w:rsidR="009A78B0" w:rsidRPr="009A78B0" w:rsidRDefault="009A78B0" w:rsidP="009A78B0">
      <w:r w:rsidRPr="009A78B0">
        <w:t>Among the patients in the valida</w:t>
      </w:r>
      <w:r w:rsidR="0062255D">
        <w:t xml:space="preserve">tion population with a TPS of 1 to </w:t>
      </w:r>
      <w:r w:rsidRPr="009A78B0">
        <w:t>49% (n</w:t>
      </w:r>
      <w:r w:rsidR="00FC7793">
        <w:t xml:space="preserve"> = </w:t>
      </w:r>
      <w:r w:rsidRPr="009A78B0">
        <w:t>81), the ORR was 14.8% (95% CI: 7.9, 24.4).</w:t>
      </w:r>
    </w:p>
    <w:p w14:paraId="522C9B1D" w14:textId="77777777" w:rsidR="009A78B0" w:rsidRPr="009A78B0" w:rsidRDefault="009A78B0" w:rsidP="009A78B0">
      <w:r w:rsidRPr="009A78B0">
        <w:t>For the treatment-naïve primary efficacy population with TPS</w:t>
      </w:r>
      <w:r w:rsidR="00D53B25">
        <w:t xml:space="preserve"> ≥ </w:t>
      </w:r>
      <w:r w:rsidRPr="009A78B0">
        <w:t>50% randomised to pembrolizumab 10 mg/kg Q3W or Q2W from Cohort F-1, the ORR was 52.9% (95% CI: 27.8, 77.0)</w:t>
      </w:r>
      <w:r>
        <w:t>.</w:t>
      </w:r>
    </w:p>
    <w:p w14:paraId="522C9B1E" w14:textId="77777777" w:rsidR="009A78B0" w:rsidRPr="009A78B0" w:rsidRDefault="009A78B0" w:rsidP="009A78B0">
      <w:r w:rsidRPr="009A78B0">
        <w:t>The response rate of the subjects in the Treatment-Naïve Validation Population with a TPS</w:t>
      </w:r>
      <w:r w:rsidR="00FC7793">
        <w:t xml:space="preserve"> = </w:t>
      </w:r>
      <w:r w:rsidR="0062255D">
        <w:t xml:space="preserve">1 to </w:t>
      </w:r>
      <w:r w:rsidRPr="009A78B0">
        <w:t>49% (PD-L1 weak) on baseline tumour was 19.4% (95% CI: 7.5, 37.5).</w:t>
      </w:r>
    </w:p>
    <w:p w14:paraId="522C9B1F" w14:textId="2D8307F8" w:rsidR="009A78B0" w:rsidRPr="009A78B0" w:rsidRDefault="009A78B0" w:rsidP="009A78B0">
      <w:pPr>
        <w:pStyle w:val="Comment"/>
      </w:pPr>
      <w:r w:rsidRPr="009A78B0">
        <w:rPr>
          <w:b/>
        </w:rPr>
        <w:t>Comment:</w:t>
      </w:r>
      <w:r>
        <w:t xml:space="preserve"> </w:t>
      </w:r>
      <w:r w:rsidR="0067489D">
        <w:t xml:space="preserve"> A</w:t>
      </w:r>
      <w:r w:rsidRPr="009A78B0">
        <w:t>s for Keynote-010, there is evidence of a substantial d</w:t>
      </w:r>
      <w:r w:rsidR="0062255D">
        <w:t>ifference in effect size for PD</w:t>
      </w:r>
      <w:r w:rsidR="0062255D">
        <w:noBreakHyphen/>
      </w:r>
      <w:r w:rsidRPr="009A78B0">
        <w:t xml:space="preserve">L1 positive patients when dichotomised at a TPS level of 50% for both the </w:t>
      </w:r>
      <w:r w:rsidR="00D53B25">
        <w:t>previously treated</w:t>
      </w:r>
      <w:r w:rsidRPr="009A78B0">
        <w:t xml:space="preserve"> and treatment-naïve populations, which necessitates they be reported separately.</w:t>
      </w:r>
    </w:p>
    <w:p w14:paraId="522C9B20" w14:textId="77777777" w:rsidR="009A78B0" w:rsidRPr="009A78B0" w:rsidRDefault="009A78B0" w:rsidP="009A78B0">
      <w:pPr>
        <w:pStyle w:val="Heading5"/>
      </w:pPr>
      <w:r w:rsidRPr="009A78B0">
        <w:t>Results for other efficacy outcomes</w:t>
      </w:r>
    </w:p>
    <w:p w14:paraId="522C9B21" w14:textId="77777777" w:rsidR="009A78B0" w:rsidRPr="009A78B0" w:rsidRDefault="009A78B0" w:rsidP="009A78B0">
      <w:r w:rsidRPr="009A78B0">
        <w:t xml:space="preserve">For </w:t>
      </w:r>
      <w:r w:rsidR="00D53B25">
        <w:t>previously treated</w:t>
      </w:r>
      <w:r w:rsidRPr="009A78B0">
        <w:t xml:space="preserve"> patients in cohort F3 receiving pembrolizumab 2 mg/kg, the median follow-up time was 7.7 months (range 6.4 to 9.7 months).</w:t>
      </w:r>
    </w:p>
    <w:p w14:paraId="522C9B22" w14:textId="2C2257E9" w:rsidR="009A78B0" w:rsidRPr="009A78B0" w:rsidRDefault="009A78B0" w:rsidP="009A78B0">
      <w:r w:rsidRPr="009A78B0">
        <w:t>The ORR for this cohort has been described ov</w:t>
      </w:r>
      <w:r w:rsidR="0062255D">
        <w:t>er time</w:t>
      </w:r>
      <w:r w:rsidR="0062255D" w:rsidRPr="001F1098">
        <w:t xml:space="preserve">; </w:t>
      </w:r>
      <w:r w:rsidR="0067489D">
        <w:t xml:space="preserve">see </w:t>
      </w:r>
      <w:r w:rsidR="0062255D" w:rsidRPr="001F1098">
        <w:t>T</w:t>
      </w:r>
      <w:r w:rsidR="00310181">
        <w:t>able 15</w:t>
      </w:r>
      <w:r w:rsidR="0067489D">
        <w:t>, below</w:t>
      </w:r>
      <w:r w:rsidR="0062255D" w:rsidRPr="001F1098">
        <w:t>.</w:t>
      </w:r>
    </w:p>
    <w:p w14:paraId="522C9B23" w14:textId="77777777" w:rsidR="009A78B0" w:rsidRPr="009A78B0" w:rsidRDefault="009A78B0" w:rsidP="009439B4">
      <w:pPr>
        <w:pStyle w:val="Tabletitle"/>
      </w:pPr>
      <w:bookmarkStart w:id="89" w:name="_Toc453755628"/>
      <w:proofErr w:type="gramStart"/>
      <w:r w:rsidRPr="001F1098">
        <w:t>Table</w:t>
      </w:r>
      <w:r w:rsidR="00310181">
        <w:t xml:space="preserve"> 15</w:t>
      </w:r>
      <w:r w:rsidR="0062255D" w:rsidRPr="001F1098">
        <w:t>:</w:t>
      </w:r>
      <w:r w:rsidRPr="009A78B0">
        <w:t xml:space="preserve"> Summary of best overall response rate over time based on IRC assessment per RECIST 1.1.</w:t>
      </w:r>
      <w:proofErr w:type="gramEnd"/>
      <w:r w:rsidRPr="009A78B0">
        <w:t xml:space="preserve"> </w:t>
      </w:r>
      <w:r w:rsidR="00D53B25">
        <w:t>Previously treated</w:t>
      </w:r>
      <w:r w:rsidRPr="009A78B0">
        <w:t xml:space="preserve"> 2 mg/kg Q3W by PD-L1 status</w:t>
      </w:r>
      <w:bookmarkEnd w:id="89"/>
    </w:p>
    <w:p w14:paraId="522C9B24" w14:textId="77777777" w:rsidR="009A78B0" w:rsidRDefault="009439B4" w:rsidP="00C22678">
      <w:pPr>
        <w:rPr>
          <w:lang w:eastAsia="ja-JP"/>
        </w:rPr>
      </w:pPr>
      <w:r>
        <w:rPr>
          <w:noProof/>
          <w:lang w:eastAsia="en-AU"/>
        </w:rPr>
        <w:drawing>
          <wp:inline distT="0" distB="0" distL="0" distR="0" wp14:anchorId="522C9CFB" wp14:editId="7D40C9EB">
            <wp:extent cx="5552237" cy="2251392"/>
            <wp:effectExtent l="0" t="0" r="0" b="0"/>
            <wp:docPr id="28" name="Picture 28" descr="Table 15: Summary of best overall response rate over time based on IRC assessment per RECIST 1.1. Previously treated 2 mg/kg Q3W by PD-L1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48745" cy="2249976"/>
                    </a:xfrm>
                    <a:prstGeom prst="rect">
                      <a:avLst/>
                    </a:prstGeom>
                  </pic:spPr>
                </pic:pic>
              </a:graphicData>
            </a:graphic>
          </wp:inline>
        </w:drawing>
      </w:r>
    </w:p>
    <w:p w14:paraId="522C9B25" w14:textId="673CC731" w:rsidR="009439B4" w:rsidRPr="009439B4" w:rsidRDefault="009439B4" w:rsidP="009439B4">
      <w:r w:rsidRPr="009439B4">
        <w:t>A further analysis of best overall response, based upon IRC assessment, demonstrated a stratum effect when PD-L1 status was d</w:t>
      </w:r>
      <w:r w:rsidR="0062255D">
        <w:t>ichotomised at multiple points</w:t>
      </w:r>
      <w:r w:rsidR="0062255D" w:rsidRPr="001F1098">
        <w:t xml:space="preserve">; </w:t>
      </w:r>
      <w:r w:rsidR="0067489D">
        <w:t xml:space="preserve">see </w:t>
      </w:r>
      <w:r w:rsidR="0062255D" w:rsidRPr="001F1098">
        <w:t>T</w:t>
      </w:r>
      <w:r w:rsidRPr="001F1098">
        <w:t>able</w:t>
      </w:r>
      <w:r w:rsidR="00310181">
        <w:t xml:space="preserve"> 16</w:t>
      </w:r>
      <w:r w:rsidR="0067489D">
        <w:t>, below</w:t>
      </w:r>
      <w:r w:rsidRPr="001F1098">
        <w:t>. The</w:t>
      </w:r>
      <w:r w:rsidRPr="009439B4">
        <w:t xml:space="preserve"> crude overall response rate for each stratum increases with increasing PD-L1 expression.</w:t>
      </w:r>
    </w:p>
    <w:p w14:paraId="522C9B26" w14:textId="77777777" w:rsidR="009439B4" w:rsidRPr="009439B4" w:rsidRDefault="009439B4" w:rsidP="009439B4">
      <w:pPr>
        <w:pStyle w:val="Tabletitle"/>
      </w:pPr>
      <w:bookmarkStart w:id="90" w:name="_Toc453755629"/>
      <w:proofErr w:type="gramStart"/>
      <w:r w:rsidRPr="001F1098">
        <w:lastRenderedPageBreak/>
        <w:t>Table</w:t>
      </w:r>
      <w:r w:rsidR="00310181">
        <w:t xml:space="preserve"> 16</w:t>
      </w:r>
      <w:r w:rsidR="0062255D" w:rsidRPr="001F1098">
        <w:t>:</w:t>
      </w:r>
      <w:r w:rsidRPr="001F1098">
        <w:t xml:space="preserve"> Summary</w:t>
      </w:r>
      <w:r w:rsidRPr="009439B4">
        <w:t xml:space="preserve"> of best overall response based on IRC assessment per RECIST 1.1 with confirmation.</w:t>
      </w:r>
      <w:proofErr w:type="gramEnd"/>
      <w:r w:rsidRPr="009439B4">
        <w:t xml:space="preserve"> Total combined efficacy population by PS category (full analysis set by IRC with evaluable PD-L1 expression)</w:t>
      </w:r>
      <w:bookmarkEnd w:id="90"/>
    </w:p>
    <w:p w14:paraId="522C9B27" w14:textId="77777777" w:rsidR="009A78B0" w:rsidRDefault="009439B4" w:rsidP="00C22678">
      <w:pPr>
        <w:rPr>
          <w:lang w:eastAsia="ja-JP"/>
        </w:rPr>
      </w:pPr>
      <w:r>
        <w:rPr>
          <w:noProof/>
          <w:lang w:eastAsia="en-AU"/>
        </w:rPr>
        <w:drawing>
          <wp:inline distT="0" distB="0" distL="0" distR="0" wp14:anchorId="522C9CFD" wp14:editId="0A9C0A1C">
            <wp:extent cx="5530291" cy="1651997"/>
            <wp:effectExtent l="0" t="0" r="0" b="5715"/>
            <wp:docPr id="29" name="Picture 29" descr="Table 16: Summary of best overall response based on IRC assessment per RECIST 1.1 with confirmation. Total combined efficacy population by PS category (full analysis set by IRC with evaluable PD-L1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31415" cy="1652333"/>
                    </a:xfrm>
                    <a:prstGeom prst="rect">
                      <a:avLst/>
                    </a:prstGeom>
                  </pic:spPr>
                </pic:pic>
              </a:graphicData>
            </a:graphic>
          </wp:inline>
        </w:drawing>
      </w:r>
    </w:p>
    <w:p w14:paraId="522C9B28" w14:textId="1EACBE4B" w:rsidR="009439B4" w:rsidRPr="009439B4" w:rsidRDefault="009439B4" w:rsidP="009439B4">
      <w:r w:rsidRPr="009439B4">
        <w:t>Among the previously treated NSCLC patients in Keynote-001, the IRC assessment of best overall r</w:t>
      </w:r>
      <w:r w:rsidR="0062255D">
        <w:t xml:space="preserve">esponse per RECIST is shown </w:t>
      </w:r>
      <w:r w:rsidR="0062255D" w:rsidRPr="001F1098">
        <w:t>in T</w:t>
      </w:r>
      <w:r w:rsidR="00310181">
        <w:t>able 17</w:t>
      </w:r>
      <w:r w:rsidRPr="001F1098">
        <w:t>. This table</w:t>
      </w:r>
      <w:r w:rsidRPr="009439B4">
        <w:t xml:space="preserve"> demonstrates that the ORR for patients with PS</w:t>
      </w:r>
      <w:r w:rsidR="00D53B25">
        <w:t xml:space="preserve"> ≥ </w:t>
      </w:r>
      <w:r w:rsidRPr="009439B4">
        <w:t>50% was approximately three</w:t>
      </w:r>
      <w:r w:rsidR="0067489D">
        <w:t xml:space="preserve"> </w:t>
      </w:r>
      <w:r w:rsidRPr="009439B4">
        <w:t xml:space="preserve">fold higher than that for those with </w:t>
      </w:r>
      <w:r w:rsidR="0067489D">
        <w:t xml:space="preserve">a </w:t>
      </w:r>
      <w:r w:rsidRPr="009439B4">
        <w:t>PS of 1</w:t>
      </w:r>
      <w:r w:rsidR="0067489D">
        <w:t xml:space="preserve"> to </w:t>
      </w:r>
      <w:r w:rsidRPr="009439B4">
        <w:t>49%.</w:t>
      </w:r>
    </w:p>
    <w:p w14:paraId="522C9B29" w14:textId="77777777" w:rsidR="009439B4" w:rsidRDefault="009439B4" w:rsidP="0062255D">
      <w:pPr>
        <w:pStyle w:val="Tabletitle"/>
      </w:pPr>
      <w:bookmarkStart w:id="91" w:name="_Toc453755630"/>
      <w:r w:rsidRPr="0062255D">
        <w:t xml:space="preserve">Table </w:t>
      </w:r>
      <w:bookmarkEnd w:id="91"/>
      <w:r w:rsidR="00310181">
        <w:t>17</w:t>
      </w:r>
      <w:r w:rsidR="001F1098">
        <w:t>:</w:t>
      </w:r>
      <w:r w:rsidR="0062255D" w:rsidRPr="0062255D">
        <w:t xml:space="preserve"> Summary of </w:t>
      </w:r>
      <w:r w:rsidR="001F1098" w:rsidRPr="0062255D">
        <w:t xml:space="preserve">best overall response based </w:t>
      </w:r>
      <w:r w:rsidR="0062255D" w:rsidRPr="0062255D">
        <w:t xml:space="preserve">on IRC </w:t>
      </w:r>
      <w:r w:rsidR="001F1098" w:rsidRPr="0062255D">
        <w:t>a</w:t>
      </w:r>
      <w:r w:rsidR="0062255D" w:rsidRPr="0062255D">
        <w:t xml:space="preserve">ssessment per RECIST 1.1 </w:t>
      </w:r>
      <w:r w:rsidR="001F1098" w:rsidRPr="0062255D">
        <w:t>with confirmation</w:t>
      </w:r>
      <w:r w:rsidR="001F1098">
        <w:t xml:space="preserve"> </w:t>
      </w:r>
      <w:r w:rsidR="001F1098" w:rsidRPr="0062255D">
        <w:t xml:space="preserve">total previously-treated efficacy population </w:t>
      </w:r>
      <w:r w:rsidR="0062255D" w:rsidRPr="0062255D">
        <w:t>by PD-L1 (</w:t>
      </w:r>
      <w:r w:rsidR="001F1098" w:rsidRPr="0062255D">
        <w:t>ir</w:t>
      </w:r>
      <w:r w:rsidR="001F1098">
        <w:t xml:space="preserve">respective of stability window) </w:t>
      </w:r>
      <w:r w:rsidR="001F1098" w:rsidRPr="0062255D">
        <w:t>(all subjects as treated</w:t>
      </w:r>
      <w:r w:rsidR="001F1098">
        <w:t>)</w:t>
      </w:r>
    </w:p>
    <w:p w14:paraId="522C9B2A" w14:textId="77777777" w:rsidR="009A78B0" w:rsidRDefault="00A22931" w:rsidP="00C22678">
      <w:r>
        <w:rPr>
          <w:noProof/>
          <w:lang w:eastAsia="en-AU"/>
        </w:rPr>
        <w:drawing>
          <wp:inline distT="0" distB="0" distL="0" distR="0" wp14:anchorId="522C9CFF" wp14:editId="7B4E99DD">
            <wp:extent cx="5530291" cy="1706355"/>
            <wp:effectExtent l="0" t="0" r="0" b="8255"/>
            <wp:docPr id="77" name="Picture 77" descr="Table 17: Summary of best overall response based on IRC assessment per RECIST 1.1 with confirmation total previously-treated efficacy population by PD-L1 (irrespective of stability window) (all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47472" cy="1711656"/>
                    </a:xfrm>
                    <a:prstGeom prst="rect">
                      <a:avLst/>
                    </a:prstGeom>
                  </pic:spPr>
                </pic:pic>
              </a:graphicData>
            </a:graphic>
          </wp:inline>
        </w:drawing>
      </w:r>
    </w:p>
    <w:p w14:paraId="522C9B2B" w14:textId="77777777" w:rsidR="009439B4" w:rsidRPr="009439B4" w:rsidRDefault="009439B4" w:rsidP="009439B4">
      <w:r w:rsidRPr="009439B4">
        <w:t xml:space="preserve">The best overall response according to treatment dose and degree of PD-L1 expression in the previously </w:t>
      </w:r>
      <w:r w:rsidR="00A22931">
        <w:t xml:space="preserve">treated population is shown </w:t>
      </w:r>
      <w:r w:rsidR="00A22931" w:rsidRPr="001F1098">
        <w:t>in T</w:t>
      </w:r>
      <w:r w:rsidRPr="001F1098">
        <w:t xml:space="preserve">able </w:t>
      </w:r>
      <w:r w:rsidR="00310181">
        <w:t>18</w:t>
      </w:r>
      <w:r w:rsidR="001F1098" w:rsidRPr="001F1098">
        <w:t>.</w:t>
      </w:r>
    </w:p>
    <w:p w14:paraId="522C9B2C" w14:textId="77777777" w:rsidR="009A78B0" w:rsidRPr="009439B4" w:rsidRDefault="009439B4" w:rsidP="009439B4">
      <w:pPr>
        <w:pStyle w:val="Tabletitle"/>
      </w:pPr>
      <w:bookmarkStart w:id="92" w:name="_Toc453755631"/>
      <w:proofErr w:type="gramStart"/>
      <w:r w:rsidRPr="001F1098">
        <w:t xml:space="preserve">Table </w:t>
      </w:r>
      <w:r w:rsidR="00310181">
        <w:t>18</w:t>
      </w:r>
      <w:r w:rsidR="001F1098" w:rsidRPr="001F1098">
        <w:t>:</w:t>
      </w:r>
      <w:r w:rsidRPr="009439B4">
        <w:t xml:space="preserve"> Summary of best overall response based on IRC assessment per RECIST 1.1 by PD-L1 and dose.</w:t>
      </w:r>
      <w:proofErr w:type="gramEnd"/>
      <w:r w:rsidRPr="009439B4">
        <w:t xml:space="preserve"> Total </w:t>
      </w:r>
      <w:r w:rsidR="00D53B25">
        <w:t>previously treated</w:t>
      </w:r>
      <w:r w:rsidRPr="009439B4">
        <w:t xml:space="preserve"> population</w:t>
      </w:r>
      <w:bookmarkEnd w:id="92"/>
    </w:p>
    <w:p w14:paraId="522C9B2D" w14:textId="77777777" w:rsidR="009A78B0" w:rsidRDefault="009439B4" w:rsidP="00C22678">
      <w:pPr>
        <w:rPr>
          <w:lang w:eastAsia="ja-JP"/>
        </w:rPr>
      </w:pPr>
      <w:r>
        <w:rPr>
          <w:noProof/>
          <w:lang w:eastAsia="en-AU"/>
        </w:rPr>
        <w:drawing>
          <wp:inline distT="0" distB="0" distL="0" distR="0" wp14:anchorId="522C9D01" wp14:editId="6A4BE404">
            <wp:extent cx="5581498" cy="2070555"/>
            <wp:effectExtent l="0" t="0" r="635" b="6350"/>
            <wp:docPr id="31" name="Picture 31" descr="Table 18: Summary of best overall response based on IRC assessment per RECIST 1.1 by PD-L1 and dose. Total previously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77988" cy="2069253"/>
                    </a:xfrm>
                    <a:prstGeom prst="rect">
                      <a:avLst/>
                    </a:prstGeom>
                  </pic:spPr>
                </pic:pic>
              </a:graphicData>
            </a:graphic>
          </wp:inline>
        </w:drawing>
      </w:r>
    </w:p>
    <w:p w14:paraId="522C9B2E" w14:textId="19C1644F" w:rsidR="009439B4" w:rsidRPr="009439B4" w:rsidRDefault="009439B4" w:rsidP="009439B4">
      <w:pPr>
        <w:pStyle w:val="Comment"/>
      </w:pPr>
      <w:r w:rsidRPr="009439B4">
        <w:rPr>
          <w:b/>
        </w:rPr>
        <w:t>Comment:</w:t>
      </w:r>
      <w:r w:rsidR="00EC5C29">
        <w:rPr>
          <w:b/>
        </w:rPr>
        <w:t xml:space="preserve"> </w:t>
      </w:r>
      <w:r w:rsidR="0067489D">
        <w:t>C</w:t>
      </w:r>
      <w:r w:rsidRPr="009439B4">
        <w:t xml:space="preserve">onsistent with previously shown data above for the recipients of pembrolizumab </w:t>
      </w:r>
      <w:r w:rsidR="00A22931">
        <w:t>2 </w:t>
      </w:r>
      <w:r w:rsidRPr="009439B4">
        <w:t xml:space="preserve">mg/kg, there is a clearly demonstrated stratum effect on ORR based upon the </w:t>
      </w:r>
      <w:r w:rsidRPr="009439B4">
        <w:lastRenderedPageBreak/>
        <w:t>degree of PD-L1 expression among all previously treated patients receiving the proposed, and two rejected, dose regimens of pembrolizumab. The overall response rate for patients receiving 2 mg/kg was lower than for those receiving either regimen of 10 mg/kg in the two PD-L1 positive strata dichotomised at 50%.</w:t>
      </w:r>
    </w:p>
    <w:p w14:paraId="522C9B2F" w14:textId="2B31F6E7" w:rsidR="009439B4" w:rsidRPr="009439B4" w:rsidRDefault="009439B4" w:rsidP="009439B4">
      <w:pPr>
        <w:pStyle w:val="Heading3"/>
      </w:pPr>
      <w:bookmarkStart w:id="93" w:name="_Toc241374312"/>
      <w:bookmarkStart w:id="94" w:name="_Toc272414656"/>
      <w:bookmarkStart w:id="95" w:name="_Toc290846281"/>
      <w:bookmarkStart w:id="96" w:name="_Toc453755700"/>
      <w:bookmarkStart w:id="97" w:name="_Toc513557812"/>
      <w:r w:rsidRPr="009439B4">
        <w:t>Analyses performed across trials (pooled analyses and meta</w:t>
      </w:r>
      <w:r w:rsidR="00851F8D">
        <w:noBreakHyphen/>
      </w:r>
      <w:r w:rsidRPr="009439B4">
        <w:t>analyses)</w:t>
      </w:r>
      <w:bookmarkEnd w:id="93"/>
      <w:bookmarkEnd w:id="94"/>
      <w:bookmarkEnd w:id="95"/>
      <w:bookmarkEnd w:id="96"/>
      <w:bookmarkEnd w:id="97"/>
    </w:p>
    <w:p w14:paraId="522C9B30" w14:textId="77777777" w:rsidR="009439B4" w:rsidRPr="009439B4" w:rsidRDefault="009439B4" w:rsidP="009439B4">
      <w:r w:rsidRPr="009439B4">
        <w:t>A population pharmacokinetic analysis was performed for this submission, based upon a model compiled for the dossier for initial registration</w:t>
      </w:r>
      <w:r>
        <w:t>.</w:t>
      </w:r>
    </w:p>
    <w:p w14:paraId="522C9B31" w14:textId="77777777" w:rsidR="00D53B25" w:rsidRDefault="009439B4" w:rsidP="009439B4">
      <w:r w:rsidRPr="009439B4">
        <w:t>The Population PK analysis described in the CSR for Keynote-001 describes the inclusion 1</w:t>
      </w:r>
      <w:r w:rsidR="00A22931">
        <w:t>,</w:t>
      </w:r>
      <w:r w:rsidRPr="009439B4">
        <w:t>077 patients with melanoma, (94.6% total), 16 patients with NSCLC (4.0% total) and 16 patients with other cancer types (1.4% total)</w:t>
      </w:r>
      <w:r w:rsidR="00D53B25">
        <w:t>.</w:t>
      </w:r>
    </w:p>
    <w:p w14:paraId="522C9B32" w14:textId="77777777" w:rsidR="009439B4" w:rsidRPr="009439B4" w:rsidRDefault="00A22931" w:rsidP="009439B4">
      <w:r>
        <w:t xml:space="preserve">The previously described 2 </w:t>
      </w:r>
      <w:r w:rsidR="009439B4" w:rsidRPr="009439B4">
        <w:t xml:space="preserve">compartment model with linear clearance was used for the analysis of patients with NSCLC. The continuous covariates evaluated for the model were: age, weight, </w:t>
      </w:r>
      <w:proofErr w:type="spellStart"/>
      <w:r w:rsidR="009439B4" w:rsidRPr="009439B4">
        <w:t>eGFR</w:t>
      </w:r>
      <w:proofErr w:type="spellEnd"/>
      <w:r w:rsidR="009439B4" w:rsidRPr="009439B4">
        <w:t>, ALP, ALT, AST, serum albumin, serum bilirubin, baseline tumour burden and IgG concentration.</w:t>
      </w:r>
    </w:p>
    <w:p w14:paraId="522C9B33" w14:textId="77777777" w:rsidR="009439B4" w:rsidRPr="009439B4" w:rsidRDefault="009439B4" w:rsidP="009439B4">
      <w:r w:rsidRPr="009439B4">
        <w:t>The categorical covariates evaluated for the model were: gender, race, co-administered glucocorticoid, baseline ECOG status (0 or 1), geographic location, PD-L1 status (positive or negative), EGFR receptor mutation, ALK recept</w:t>
      </w:r>
      <w:r>
        <w:t>or mutation and smoking status.</w:t>
      </w:r>
    </w:p>
    <w:p w14:paraId="522C9B34" w14:textId="77777777" w:rsidR="009439B4" w:rsidRPr="009439B4" w:rsidRDefault="009439B4" w:rsidP="009439B4">
      <w:r w:rsidRPr="009439B4">
        <w:t xml:space="preserve">A comparison of the estimates of </w:t>
      </w:r>
      <w:proofErr w:type="spellStart"/>
      <w:r w:rsidR="00A22931" w:rsidRPr="009439B4">
        <w:t>C</w:t>
      </w:r>
      <w:r w:rsidR="00A22931" w:rsidRPr="00A22931">
        <w:rPr>
          <w:vertAlign w:val="subscript"/>
        </w:rPr>
        <w:t>max</w:t>
      </w:r>
      <w:proofErr w:type="spellEnd"/>
      <w:r w:rsidRPr="009439B4">
        <w:t xml:space="preserve">, </w:t>
      </w:r>
      <w:proofErr w:type="spellStart"/>
      <w:r w:rsidR="0042775A" w:rsidRPr="00F5372F">
        <w:t>C</w:t>
      </w:r>
      <w:r w:rsidR="0042775A" w:rsidRPr="0042775A">
        <w:rPr>
          <w:vertAlign w:val="subscript"/>
        </w:rPr>
        <w:t>trough</w:t>
      </w:r>
      <w:proofErr w:type="spellEnd"/>
      <w:r w:rsidRPr="009439B4">
        <w:t xml:space="preserve"> and </w:t>
      </w:r>
      <w:proofErr w:type="spellStart"/>
      <w:r w:rsidR="00A22931" w:rsidRPr="009439B4">
        <w:t>AUC</w:t>
      </w:r>
      <w:r w:rsidR="00A22931" w:rsidRPr="00A22931">
        <w:rPr>
          <w:vertAlign w:val="subscript"/>
        </w:rPr>
        <w:t>ss</w:t>
      </w:r>
      <w:proofErr w:type="spellEnd"/>
      <w:r w:rsidRPr="009439B4">
        <w:t xml:space="preserve"> in patients with m</w:t>
      </w:r>
      <w:r w:rsidR="00A22931">
        <w:t xml:space="preserve">elanoma and NSCLC are shown </w:t>
      </w:r>
      <w:r w:rsidR="00A22931" w:rsidRPr="0078548B">
        <w:t>in T</w:t>
      </w:r>
      <w:r w:rsidRPr="0078548B">
        <w:t xml:space="preserve">able </w:t>
      </w:r>
      <w:r w:rsidR="00310181">
        <w:t>19</w:t>
      </w:r>
      <w:r w:rsidRPr="0078548B">
        <w:t>, which</w:t>
      </w:r>
      <w:r w:rsidRPr="009439B4">
        <w:t xml:space="preserve"> are reflected in amendments to the </w:t>
      </w:r>
      <w:r>
        <w:t>pharmacology section of the PI.</w:t>
      </w:r>
    </w:p>
    <w:p w14:paraId="522C9B35" w14:textId="77777777" w:rsidR="009A78B0" w:rsidRPr="009439B4" w:rsidRDefault="009439B4" w:rsidP="009439B4">
      <w:pPr>
        <w:pStyle w:val="Tabletitle"/>
      </w:pPr>
      <w:bookmarkStart w:id="98" w:name="_Toc453755632"/>
      <w:r w:rsidRPr="0078548B">
        <w:t>Table</w:t>
      </w:r>
      <w:bookmarkEnd w:id="98"/>
      <w:r w:rsidR="00310181">
        <w:t xml:space="preserve"> 19</w:t>
      </w:r>
      <w:r w:rsidRPr="0078548B">
        <w:t>: The comparison of median (90% prediction interval) exposure parameters of</w:t>
      </w:r>
      <w:r>
        <w:t xml:space="preserve"> pembrolizumab at steady state regimens of 2 mg/kg Q3W, 10 mg/kg Q3W and 10 mg/kg Q2W between melanoma and NSCLC patients</w:t>
      </w:r>
    </w:p>
    <w:p w14:paraId="522C9B36" w14:textId="77777777" w:rsidR="009A78B0" w:rsidRDefault="009439B4" w:rsidP="00C22678">
      <w:pPr>
        <w:rPr>
          <w:lang w:eastAsia="ja-JP"/>
        </w:rPr>
      </w:pPr>
      <w:r>
        <w:rPr>
          <w:noProof/>
          <w:lang w:eastAsia="en-AU"/>
        </w:rPr>
        <w:drawing>
          <wp:inline distT="0" distB="0" distL="0" distR="0" wp14:anchorId="522C9D03" wp14:editId="522C9D04">
            <wp:extent cx="5534025" cy="2838450"/>
            <wp:effectExtent l="0" t="0" r="9525" b="0"/>
            <wp:docPr id="32" name="Picture 32" descr="Table 19: The comparison of median (90% prediction interval) exposure parameters of pembrolizumab at steady state regimens of 2 mg/kg Q3W, 10 mg/kg Q3W and 10 mg/kg Q2W between melanoma and NSCL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5534025" cy="2838450"/>
                    </a:xfrm>
                    <a:prstGeom prst="rect">
                      <a:avLst/>
                    </a:prstGeom>
                  </pic:spPr>
                </pic:pic>
              </a:graphicData>
            </a:graphic>
          </wp:inline>
        </w:drawing>
      </w:r>
    </w:p>
    <w:p w14:paraId="522C9B37" w14:textId="77777777" w:rsidR="009439B4" w:rsidRPr="009439B4" w:rsidRDefault="009439B4" w:rsidP="009439B4">
      <w:r w:rsidRPr="009439B4">
        <w:t>The model, including patients from Keynote-001, included the term for PD-L1 positivity/negativity. It is not described if the model was tested using PD-L1 positivity dichotomised at 50%.</w:t>
      </w:r>
    </w:p>
    <w:p w14:paraId="522C9B38" w14:textId="70FC74F8" w:rsidR="009439B4" w:rsidRPr="009439B4" w:rsidRDefault="009439B4" w:rsidP="009439B4">
      <w:r w:rsidRPr="009439B4">
        <w:t>Data were available from 544 patient</w:t>
      </w:r>
      <w:r w:rsidR="007E3719">
        <w:t xml:space="preserve">s with NSCLC as broken down </w:t>
      </w:r>
      <w:r w:rsidR="007E3719" w:rsidRPr="0078548B">
        <w:t>in T</w:t>
      </w:r>
      <w:r w:rsidR="00310181">
        <w:t>able 20</w:t>
      </w:r>
      <w:r w:rsidR="00851F8D">
        <w:t>, below</w:t>
      </w:r>
      <w:r w:rsidRPr="0078548B">
        <w:t>.</w:t>
      </w:r>
    </w:p>
    <w:p w14:paraId="522C9B39" w14:textId="77777777" w:rsidR="009439B4" w:rsidRPr="009439B4" w:rsidRDefault="009439B4" w:rsidP="009439B4">
      <w:pPr>
        <w:pStyle w:val="Tabletitle"/>
      </w:pPr>
      <w:bookmarkStart w:id="99" w:name="_Toc453755633"/>
      <w:r w:rsidRPr="0078548B">
        <w:lastRenderedPageBreak/>
        <w:t xml:space="preserve">Table </w:t>
      </w:r>
      <w:r w:rsidR="00310181">
        <w:t>20</w:t>
      </w:r>
      <w:r w:rsidR="0078548B" w:rsidRPr="0078548B">
        <w:t>:</w:t>
      </w:r>
      <w:r w:rsidRPr="009439B4">
        <w:t xml:space="preserve"> Number of subjects and observations, by dose and dosing regimen, in the analysis set</w:t>
      </w:r>
      <w:bookmarkEnd w:id="99"/>
    </w:p>
    <w:p w14:paraId="522C9B3A" w14:textId="77777777" w:rsidR="009A78B0" w:rsidRDefault="009439B4" w:rsidP="00C22678">
      <w:pPr>
        <w:rPr>
          <w:lang w:eastAsia="ja-JP"/>
        </w:rPr>
      </w:pPr>
      <w:r>
        <w:rPr>
          <w:noProof/>
          <w:lang w:eastAsia="en-AU"/>
        </w:rPr>
        <w:drawing>
          <wp:inline distT="0" distB="0" distL="0" distR="0" wp14:anchorId="522C9D05" wp14:editId="522C9D06">
            <wp:extent cx="5305425" cy="904875"/>
            <wp:effectExtent l="0" t="0" r="9525" b="9525"/>
            <wp:docPr id="33" name="Picture 33" descr="Table 20: Number of subjects and observations, by dose and dosing regimen, in th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05425" cy="904875"/>
                    </a:xfrm>
                    <a:prstGeom prst="rect">
                      <a:avLst/>
                    </a:prstGeom>
                  </pic:spPr>
                </pic:pic>
              </a:graphicData>
            </a:graphic>
          </wp:inline>
        </w:drawing>
      </w:r>
    </w:p>
    <w:p w14:paraId="522C9B3B" w14:textId="1BD48E08" w:rsidR="009439B4" w:rsidRPr="009439B4" w:rsidRDefault="009439B4" w:rsidP="009439B4">
      <w:r w:rsidRPr="009439B4">
        <w:t>The majority of patients included in the population PK model had nor</w:t>
      </w:r>
      <w:r w:rsidR="007E3719">
        <w:t xml:space="preserve">mal renal and hepatic </w:t>
      </w:r>
      <w:r w:rsidR="007E3719" w:rsidRPr="0078548B">
        <w:t xml:space="preserve">function; </w:t>
      </w:r>
      <w:r w:rsidR="00851F8D">
        <w:t xml:space="preserve">see </w:t>
      </w:r>
      <w:r w:rsidR="007E3719" w:rsidRPr="0078548B">
        <w:t>T</w:t>
      </w:r>
      <w:r w:rsidR="00310181">
        <w:t>able 21</w:t>
      </w:r>
      <w:r w:rsidR="00851F8D">
        <w:t>, below</w:t>
      </w:r>
      <w:r w:rsidR="007E3719" w:rsidRPr="0078548B">
        <w:t>.</w:t>
      </w:r>
    </w:p>
    <w:p w14:paraId="522C9B3C" w14:textId="77777777" w:rsidR="009A78B0" w:rsidRPr="009439B4" w:rsidRDefault="009439B4" w:rsidP="009439B4">
      <w:pPr>
        <w:pStyle w:val="Tabletitle"/>
      </w:pPr>
      <w:bookmarkStart w:id="100" w:name="_Toc453755634"/>
      <w:r w:rsidRPr="0078548B">
        <w:t xml:space="preserve">Table </w:t>
      </w:r>
      <w:r w:rsidR="00310181">
        <w:t>21</w:t>
      </w:r>
      <w:r w:rsidR="0078548B" w:rsidRPr="0078548B">
        <w:t>:</w:t>
      </w:r>
      <w:r w:rsidRPr="0078548B">
        <w:t xml:space="preserve"> Description of number of patients with degrees of renal or hepatic impairment</w:t>
      </w:r>
      <w:r w:rsidRPr="009439B4">
        <w:t xml:space="preserve"> contributing to the population PK model data</w:t>
      </w:r>
      <w:bookmarkEnd w:id="100"/>
    </w:p>
    <w:p w14:paraId="522C9B3D" w14:textId="77777777" w:rsidR="009439B4" w:rsidRDefault="009439B4" w:rsidP="00C22678">
      <w:pPr>
        <w:rPr>
          <w:lang w:eastAsia="ja-JP"/>
        </w:rPr>
      </w:pPr>
      <w:r>
        <w:rPr>
          <w:noProof/>
          <w:lang w:eastAsia="en-AU"/>
        </w:rPr>
        <w:drawing>
          <wp:inline distT="0" distB="0" distL="0" distR="0" wp14:anchorId="522C9D07" wp14:editId="522C9D08">
            <wp:extent cx="4953000" cy="1466850"/>
            <wp:effectExtent l="0" t="0" r="0" b="0"/>
            <wp:docPr id="34" name="Picture 34" descr="Table 21: Description of number of patients with degrees of renal or hepatic impairment contributing to the population PK mode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53000" cy="1466850"/>
                    </a:xfrm>
                    <a:prstGeom prst="rect">
                      <a:avLst/>
                    </a:prstGeom>
                  </pic:spPr>
                </pic:pic>
              </a:graphicData>
            </a:graphic>
          </wp:inline>
        </w:drawing>
      </w:r>
    </w:p>
    <w:p w14:paraId="522C9B3E" w14:textId="36D9CB58" w:rsidR="009439B4" w:rsidRPr="009439B4" w:rsidRDefault="00B9394D" w:rsidP="00B9394D">
      <w:pPr>
        <w:pStyle w:val="Comment"/>
        <w:rPr>
          <w:b/>
        </w:rPr>
      </w:pPr>
      <w:r>
        <w:rPr>
          <w:b/>
        </w:rPr>
        <w:t>C</w:t>
      </w:r>
      <w:r w:rsidR="009439B4">
        <w:rPr>
          <w:b/>
        </w:rPr>
        <w:t>omment</w:t>
      </w:r>
      <w:r w:rsidR="009439B4" w:rsidRPr="00851F8D">
        <w:rPr>
          <w:b/>
        </w:rPr>
        <w:t xml:space="preserve">: </w:t>
      </w:r>
      <w:r w:rsidR="009439B4" w:rsidRPr="00F91632">
        <w:t>Appropriate advice is included in the PI regarding dosing in patients with varying degrees of renal or hepatic impairment based upon the available patient population described above.</w:t>
      </w:r>
    </w:p>
    <w:p w14:paraId="522C9B3F" w14:textId="77777777" w:rsidR="00B9394D" w:rsidRPr="00B9394D" w:rsidRDefault="00B9394D" w:rsidP="00B9394D">
      <w:r w:rsidRPr="00B9394D">
        <w:t>The sponsor states as a conclusion:</w:t>
      </w:r>
    </w:p>
    <w:p w14:paraId="522C9B40" w14:textId="5C5AB720" w:rsidR="00B9394D" w:rsidRPr="00B9394D" w:rsidRDefault="00EF3E5B" w:rsidP="00B9394D">
      <w:r>
        <w:t>‘</w:t>
      </w:r>
      <w:r w:rsidR="00B9394D" w:rsidRPr="00B9394D">
        <w:t>No clinically relevant effect on exposure w</w:t>
      </w:r>
      <w:r w:rsidR="007E3719">
        <w:t>as</w:t>
      </w:r>
      <w:r w:rsidR="00B9394D" w:rsidRPr="00B9394D">
        <w:t xml:space="preserve"> found for either</w:t>
      </w:r>
      <w:r w:rsidR="00D53B25">
        <w:t xml:space="preserve"> </w:t>
      </w:r>
      <w:r w:rsidR="00B9394D" w:rsidRPr="00B9394D">
        <w:t>patient age or geographical location.</w:t>
      </w:r>
    </w:p>
    <w:p w14:paraId="522C9B41" w14:textId="77777777" w:rsidR="00B9394D" w:rsidRPr="00B9394D" w:rsidRDefault="00B9394D" w:rsidP="00B9394D">
      <w:r w:rsidRPr="00B9394D">
        <w:t>Statistically significant effects of gender were found on clearance, and central and peripheral volume, but overall these effects were not sufficient to warrant amendments to dosing.</w:t>
      </w:r>
    </w:p>
    <w:p w14:paraId="522C9B42" w14:textId="77777777" w:rsidR="00D53B25" w:rsidRDefault="00B9394D" w:rsidP="00B9394D">
      <w:pPr>
        <w:pStyle w:val="ListBullet"/>
      </w:pPr>
      <w:r w:rsidRPr="00B9394D">
        <w:t>Mild or moderate renal impairment determined by estimated glomerular filtration rate (</w:t>
      </w:r>
      <w:proofErr w:type="spellStart"/>
      <w:r w:rsidRPr="00B9394D">
        <w:t>eGFR</w:t>
      </w:r>
      <w:proofErr w:type="spellEnd"/>
      <w:r w:rsidRPr="00B9394D">
        <w:t>) did not have an impact on pembrolizumab exposure</w:t>
      </w:r>
    </w:p>
    <w:p w14:paraId="522C9B43" w14:textId="77777777" w:rsidR="00B9394D" w:rsidRPr="00B9394D" w:rsidRDefault="00B9394D" w:rsidP="00B9394D">
      <w:pPr>
        <w:pStyle w:val="ListBullet"/>
      </w:pPr>
      <w:r w:rsidRPr="00B9394D">
        <w:t>Mild or moderate hepatic impairment did not have not have a clinically relevant impact on exposure, although small, but statistically significant effects of albumin and bilirubin, but not AST, on clearance were identified</w:t>
      </w:r>
    </w:p>
    <w:p w14:paraId="522C9B44" w14:textId="77777777" w:rsidR="00B9394D" w:rsidRPr="00B9394D" w:rsidRDefault="00B9394D" w:rsidP="00B9394D">
      <w:pPr>
        <w:pStyle w:val="ListBullet"/>
      </w:pPr>
      <w:r w:rsidRPr="00B9394D">
        <w:t>Overall, no clinically important effects of disease characteristics were identified in the model. Statistically significant effects were identified for baseline tumour burden and ECOG, but not tumour type, but these effects were small and lacked clinical relevance</w:t>
      </w:r>
    </w:p>
    <w:p w14:paraId="522C9B45" w14:textId="77777777" w:rsidR="00B9394D" w:rsidRPr="00B9394D" w:rsidRDefault="00B9394D" w:rsidP="00B9394D">
      <w:pPr>
        <w:pStyle w:val="ListBullet"/>
      </w:pPr>
      <w:r w:rsidRPr="00B9394D">
        <w:t>No relationship was observed between prolonged use of systemic corticosteroids and pembrolizumab exposure.</w:t>
      </w:r>
    </w:p>
    <w:p w14:paraId="522C9B46" w14:textId="1F301D65" w:rsidR="00B9394D" w:rsidRPr="00B9394D" w:rsidRDefault="00B9394D" w:rsidP="00B9394D">
      <w:pPr>
        <w:pStyle w:val="ListBullet"/>
      </w:pPr>
      <w:r w:rsidRPr="00B9394D">
        <w:t>Consistent with the previously developed original Pop PK Analysis, body weight-based dosing was found to provide adequate control over exposure variation.</w:t>
      </w:r>
      <w:r w:rsidR="00EF3E5B">
        <w:t>’</w:t>
      </w:r>
    </w:p>
    <w:p w14:paraId="522C9B47" w14:textId="13E46C35" w:rsidR="00B9394D" w:rsidRPr="00B9394D" w:rsidRDefault="00B9394D" w:rsidP="00B9394D">
      <w:pPr>
        <w:pStyle w:val="Comment"/>
      </w:pPr>
      <w:r w:rsidRPr="00B9394D">
        <w:rPr>
          <w:b/>
        </w:rPr>
        <w:t>Comment:</w:t>
      </w:r>
      <w:r>
        <w:t xml:space="preserve"> </w:t>
      </w:r>
      <w:r w:rsidRPr="00B9394D">
        <w:t>The evaluator concurs with the opinion of the sponsor in regard to the conclusions from the population PK modelling.</w:t>
      </w:r>
    </w:p>
    <w:p w14:paraId="522C9B48" w14:textId="77777777" w:rsidR="00B9394D" w:rsidRPr="00B9394D" w:rsidRDefault="00B9394D" w:rsidP="00B9394D">
      <w:pPr>
        <w:pStyle w:val="Heading3"/>
      </w:pPr>
      <w:bookmarkStart w:id="101" w:name="_Ref271126605"/>
      <w:bookmarkStart w:id="102" w:name="_Toc272414657"/>
      <w:bookmarkStart w:id="103" w:name="_Toc290846282"/>
      <w:bookmarkStart w:id="104" w:name="_Toc453755701"/>
      <w:bookmarkStart w:id="105" w:name="_Toc513557813"/>
      <w:r w:rsidRPr="00B9394D">
        <w:lastRenderedPageBreak/>
        <w:t>Evaluator’s conclusions on clinical efficacy</w:t>
      </w:r>
      <w:bookmarkEnd w:id="101"/>
      <w:bookmarkEnd w:id="102"/>
      <w:bookmarkEnd w:id="103"/>
      <w:r w:rsidRPr="00B9394D">
        <w:t xml:space="preserve"> of pembrolizumab for the treatment of non-small cell lung cancer</w:t>
      </w:r>
      <w:bookmarkEnd w:id="104"/>
      <w:bookmarkEnd w:id="105"/>
    </w:p>
    <w:p w14:paraId="522C9B49" w14:textId="77777777" w:rsidR="00B9394D" w:rsidRPr="00B9394D" w:rsidRDefault="00B9394D" w:rsidP="00B9394D">
      <w:r w:rsidRPr="00B9394D">
        <w:t>The efficacy outcomes for patients with a TPS</w:t>
      </w:r>
      <w:r w:rsidR="00D53B25">
        <w:t xml:space="preserve"> ≥ </w:t>
      </w:r>
      <w:r w:rsidRPr="00B9394D">
        <w:t>1% presented in Keynote-010 do not satisfactorily represent the observed differences in efficacy for patients dichotomised above, and below, a TPS score of 50%. For an individual patient, it has to be considered whether their potential outcome would be best represented by the population stratified at a TPS above and below 50%, or by the amalgamated population with a TPS</w:t>
      </w:r>
      <w:r w:rsidR="00D53B25">
        <w:t xml:space="preserve"> ≥ </w:t>
      </w:r>
      <w:r w:rsidRPr="00B9394D">
        <w:t>1%. Owing to the substantial differences between them, and in order for clinicians to satisfactorily obtain informed consent form individual patients, the evaluator considers the outcomes to be best represented by the populations dichotomised at a TPS of 50%.</w:t>
      </w:r>
    </w:p>
    <w:p w14:paraId="522C9B4A" w14:textId="4D56FB93" w:rsidR="00B9394D" w:rsidRPr="00B9394D" w:rsidRDefault="00B9394D" w:rsidP="00B9394D">
      <w:r w:rsidRPr="00B9394D">
        <w:t xml:space="preserve">The conclusions on clinical efficacy of pembrolizumab from Keynote-010 (supported by a similar approach to Keynote-001) are thus described according to the </w:t>
      </w:r>
      <w:r w:rsidR="00AF2B80">
        <w:t>2</w:t>
      </w:r>
      <w:r w:rsidR="00AF2B80" w:rsidRPr="00B9394D">
        <w:t xml:space="preserve"> </w:t>
      </w:r>
      <w:r w:rsidRPr="00B9394D">
        <w:t>strata of TPS</w:t>
      </w:r>
      <w:r w:rsidR="00D53B25">
        <w:t xml:space="preserve"> ≥ </w:t>
      </w:r>
      <w:r w:rsidRPr="00B9394D">
        <w:t>50% and TPS</w:t>
      </w:r>
      <w:r w:rsidR="00D53B25">
        <w:t xml:space="preserve"> ≥ </w:t>
      </w:r>
      <w:r w:rsidRPr="00B9394D">
        <w:t xml:space="preserve">1 to </w:t>
      </w:r>
      <w:r w:rsidR="009B28D9">
        <w:t xml:space="preserve">&lt; </w:t>
      </w:r>
      <w:r w:rsidRPr="00B9394D">
        <w:t>50%.</w:t>
      </w:r>
    </w:p>
    <w:p w14:paraId="522C9B4B" w14:textId="77777777" w:rsidR="00B9394D" w:rsidRPr="00B9394D" w:rsidRDefault="00B9394D" w:rsidP="00B9394D">
      <w:pPr>
        <w:pStyle w:val="Heading4"/>
      </w:pPr>
      <w:r w:rsidRPr="00B9394D">
        <w:t>Has evidence of efficacy benefit in patients with a TPS</w:t>
      </w:r>
      <w:r w:rsidR="00D53B25">
        <w:t xml:space="preserve"> ≥ </w:t>
      </w:r>
      <w:r w:rsidRPr="00B9394D">
        <w:t>50% treated with pembrolizumab at the proposed dose of 2 mg/kg Q3W been satisfactorily demonstrated?</w:t>
      </w:r>
    </w:p>
    <w:p w14:paraId="522C9B4C" w14:textId="77777777" w:rsidR="00B9394D" w:rsidRPr="00B9394D" w:rsidRDefault="00B9394D" w:rsidP="00B9394D">
      <w:r w:rsidRPr="00B9394D">
        <w:t>From the pivotal study, Keynote-010, the sponsor has satisfactorily demonstrated superior efficacy of pembrolizumab 2 mg/kg Q3W over docetaxel 75 mg/</w:t>
      </w:r>
      <w:r w:rsidR="00D53B25">
        <w:rPr>
          <w:lang w:eastAsia="ja-JP"/>
        </w:rPr>
        <w:t>m</w:t>
      </w:r>
      <w:r w:rsidR="00D53B25" w:rsidRPr="00D53B25">
        <w:rPr>
          <w:vertAlign w:val="superscript"/>
          <w:lang w:eastAsia="ja-JP"/>
        </w:rPr>
        <w:t>2</w:t>
      </w:r>
      <w:r w:rsidRPr="00B9394D">
        <w:t xml:space="preserve"> Q3W in patients with a TPS</w:t>
      </w:r>
      <w:r w:rsidR="007E3719">
        <w:t> </w:t>
      </w:r>
      <w:r w:rsidR="00D53B25">
        <w:t xml:space="preserve">≥ </w:t>
      </w:r>
      <w:r w:rsidRPr="00B9394D">
        <w:t>50%. Evidence of benefit has been observed across multiple efficacy measures:</w:t>
      </w:r>
    </w:p>
    <w:p w14:paraId="522C9B4D" w14:textId="77777777" w:rsidR="00B9394D" w:rsidRPr="00B9394D" w:rsidRDefault="00B9394D" w:rsidP="00E961A5">
      <w:pPr>
        <w:pStyle w:val="Numberbullet0"/>
        <w:numPr>
          <w:ilvl w:val="0"/>
          <w:numId w:val="15"/>
        </w:numPr>
      </w:pPr>
      <w:r w:rsidRPr="00B9394D">
        <w:t xml:space="preserve">The difference in duration of median overall survival was 6.7 months, which is clinically significant. The OS hazard ratio was statistically significant 0.54 (95% CI: 0.38, 0.77) with a one-sided </w:t>
      </w:r>
      <w:r w:rsidR="009B28D9">
        <w:t>p value</w:t>
      </w:r>
      <w:r w:rsidRPr="00B9394D">
        <w:t xml:space="preserve"> of 0.00024.</w:t>
      </w:r>
    </w:p>
    <w:p w14:paraId="522C9B4E" w14:textId="77777777" w:rsidR="00B9394D" w:rsidRPr="00B9394D" w:rsidRDefault="00B9394D" w:rsidP="00B9394D">
      <w:pPr>
        <w:ind w:left="425"/>
      </w:pPr>
      <w:r w:rsidRPr="00B9394D">
        <w:t>An exploratory analysis of overall survival according to patient characteristics did not demonstrate any sub-groups that might not be expected to obtain an efficacy benefit. In particular, there was not a substantial difference between tumour histologies.</w:t>
      </w:r>
    </w:p>
    <w:p w14:paraId="522C9B4F" w14:textId="77777777" w:rsidR="00B9394D" w:rsidRPr="00B9394D" w:rsidRDefault="00B9394D" w:rsidP="00B9394D">
      <w:pPr>
        <w:pStyle w:val="Numberbullet0"/>
      </w:pPr>
      <w:r w:rsidRPr="00B9394D">
        <w:t xml:space="preserve">The difference in duration of median </w:t>
      </w:r>
      <w:r w:rsidR="00FC7793">
        <w:t>progression free</w:t>
      </w:r>
      <w:r w:rsidRPr="00B9394D">
        <w:t xml:space="preserve"> survival was 1.1 months, with an estimate of HR for PFS of 0.58 (95% CI: 0.43, 0.77) with a one-sided </w:t>
      </w:r>
      <w:r w:rsidR="009B28D9">
        <w:t>p value</w:t>
      </w:r>
      <w:r w:rsidRPr="00B9394D">
        <w:t xml:space="preserve"> of 0.00009.</w:t>
      </w:r>
    </w:p>
    <w:p w14:paraId="522C9B50" w14:textId="77777777" w:rsidR="00D53B25" w:rsidRDefault="00B9394D" w:rsidP="00B9394D">
      <w:pPr>
        <w:pStyle w:val="Numberbullet0"/>
      </w:pPr>
      <w:r w:rsidRPr="00B9394D">
        <w:t>The overall response rate was higher for patients treated with pembrolizumab 2mg/kg as compared to docetaxel. However it is noted that no patients in any treatment group achieved a best overall response of complete response</w:t>
      </w:r>
      <w:r w:rsidR="00D53B25">
        <w:t>.</w:t>
      </w:r>
    </w:p>
    <w:p w14:paraId="522C9B51" w14:textId="77777777" w:rsidR="00B9394D" w:rsidRPr="00B9394D" w:rsidRDefault="00B9394D" w:rsidP="00B9394D">
      <w:pPr>
        <w:pStyle w:val="Numberbullet0"/>
      </w:pPr>
      <w:r w:rsidRPr="00B9394D">
        <w:t>For this patient population, the number needed to treat in order to achieve one additional event of partial response is 5.</w:t>
      </w:r>
    </w:p>
    <w:p w14:paraId="522C9B52" w14:textId="77777777" w:rsidR="00B9394D" w:rsidRPr="00B9394D" w:rsidRDefault="00B9394D" w:rsidP="00B9394D">
      <w:pPr>
        <w:pStyle w:val="Numberbullet0"/>
      </w:pPr>
      <w:r w:rsidRPr="00B9394D">
        <w:t>The risk of disease progression was lower for patients who received pembrolizumab.</w:t>
      </w:r>
    </w:p>
    <w:p w14:paraId="522C9B53" w14:textId="77777777" w:rsidR="00B9394D" w:rsidRPr="00B9394D" w:rsidRDefault="00B9394D" w:rsidP="00B9394D">
      <w:pPr>
        <w:pStyle w:val="Numberbullet0"/>
      </w:pPr>
      <w:r w:rsidRPr="00B9394D">
        <w:t>The median duration of response was not reached in the pembrolizumab arm.</w:t>
      </w:r>
    </w:p>
    <w:p w14:paraId="522C9B54" w14:textId="77777777" w:rsidR="00B9394D" w:rsidRPr="00B9394D" w:rsidRDefault="00B9394D" w:rsidP="00B9394D">
      <w:pPr>
        <w:pStyle w:val="Heading4"/>
      </w:pPr>
      <w:r w:rsidRPr="00B9394D">
        <w:t>Has evidence of efficacy benefit in patients with a TPS</w:t>
      </w:r>
      <w:r w:rsidR="00D53B25">
        <w:t xml:space="preserve"> ≥ </w:t>
      </w:r>
      <w:r w:rsidRPr="00B9394D">
        <w:t xml:space="preserve">1 to </w:t>
      </w:r>
      <w:r w:rsidR="009B28D9">
        <w:t xml:space="preserve">&lt; </w:t>
      </w:r>
      <w:r w:rsidRPr="00B9394D">
        <w:t>50% treated with pembrolizumab at the proposed dose of 2 mg/kg Q3W been satisfactorily demonstrated?</w:t>
      </w:r>
    </w:p>
    <w:p w14:paraId="522C9B55" w14:textId="77777777" w:rsidR="00D53B25" w:rsidRDefault="00B9394D" w:rsidP="00B9394D">
      <w:r w:rsidRPr="00B9394D">
        <w:t>From the pivotal study, Keynote-010, the sponsor has not satisfactorily demonstrated superior efficacy of pembrolizumab 2 mg/kg Q3W over docetaxel 75 mg/</w:t>
      </w:r>
      <w:r w:rsidR="00D53B25">
        <w:rPr>
          <w:lang w:eastAsia="ja-JP"/>
        </w:rPr>
        <w:t>m</w:t>
      </w:r>
      <w:r w:rsidR="00D53B25" w:rsidRPr="00D53B25">
        <w:rPr>
          <w:vertAlign w:val="superscript"/>
          <w:lang w:eastAsia="ja-JP"/>
        </w:rPr>
        <w:t>2</w:t>
      </w:r>
      <w:r w:rsidRPr="00B9394D">
        <w:t xml:space="preserve"> Q3W in patients with a TPS</w:t>
      </w:r>
      <w:r w:rsidR="007E3719">
        <w:t> </w:t>
      </w:r>
      <w:r w:rsidR="00D53B25">
        <w:t xml:space="preserve">≥ </w:t>
      </w:r>
      <w:r w:rsidRPr="00B9394D">
        <w:t xml:space="preserve">1 to </w:t>
      </w:r>
      <w:r w:rsidR="009B28D9">
        <w:t xml:space="preserve">&lt; </w:t>
      </w:r>
      <w:r w:rsidRPr="00B9394D">
        <w:t>50%</w:t>
      </w:r>
      <w:r w:rsidR="00D53B25">
        <w:t>.</w:t>
      </w:r>
    </w:p>
    <w:p w14:paraId="522C9B56" w14:textId="77777777" w:rsidR="00B9394D" w:rsidRPr="00B9394D" w:rsidRDefault="00B9394D" w:rsidP="00B9394D">
      <w:r w:rsidRPr="00B9394D">
        <w:t>Evidence of a lack of superiority over docetaxel has been observed across multiple efficacy measures, which is preclusive to registering pembrolizumab for the proposed use:</w:t>
      </w:r>
    </w:p>
    <w:p w14:paraId="522C9B57" w14:textId="77777777" w:rsidR="00B9394D" w:rsidRPr="00B9394D" w:rsidRDefault="00B9394D" w:rsidP="00E961A5">
      <w:pPr>
        <w:pStyle w:val="Numberbullet0"/>
        <w:numPr>
          <w:ilvl w:val="0"/>
          <w:numId w:val="16"/>
        </w:numPr>
      </w:pPr>
      <w:r w:rsidRPr="00B9394D">
        <w:t>The difference in median duration of overall survival was 0.8 months favouring pembrolizumab. The hazard ratio for overall survival was 0.79 (95% CI: 0.61, 1.04), p</w:t>
      </w:r>
      <w:r w:rsidR="007E3719">
        <w:t> = </w:t>
      </w:r>
      <w:r w:rsidRPr="00B9394D">
        <w:t>0.04</w:t>
      </w:r>
      <w:r w:rsidR="007E3719">
        <w:t>.</w:t>
      </w:r>
    </w:p>
    <w:p w14:paraId="522C9B58" w14:textId="77777777" w:rsidR="00B9394D" w:rsidRPr="00B9394D" w:rsidRDefault="00B9394D" w:rsidP="00B9394D">
      <w:pPr>
        <w:pStyle w:val="Numberbullet0"/>
      </w:pPr>
      <w:r w:rsidRPr="00B9394D">
        <w:lastRenderedPageBreak/>
        <w:t xml:space="preserve">The difference in duration of median </w:t>
      </w:r>
      <w:r w:rsidR="00FC7793">
        <w:t>progression free</w:t>
      </w:r>
      <w:r w:rsidRPr="00B9394D">
        <w:t xml:space="preserve"> survival was 1.3 months favouring docetaxel, with a hazard ratio of 1.07 (95% CI 0.85, 1.34), p</w:t>
      </w:r>
      <w:r w:rsidR="00FC7793">
        <w:t xml:space="preserve"> = </w:t>
      </w:r>
      <w:r w:rsidRPr="00B9394D">
        <w:t>0.718.</w:t>
      </w:r>
    </w:p>
    <w:p w14:paraId="522C9B59" w14:textId="77777777" w:rsidR="00B9394D" w:rsidRPr="00B9394D" w:rsidRDefault="00B9394D" w:rsidP="00B9394D">
      <w:pPr>
        <w:pStyle w:val="Numberbullet0"/>
      </w:pPr>
      <w:r w:rsidRPr="00B9394D">
        <w:t>The difference in overall response rate was not statistically significantly different between the pembrolizumab and docetaxel arms</w:t>
      </w:r>
      <w:r w:rsidR="00FC7793">
        <w:t xml:space="preserve"> = </w:t>
      </w:r>
      <w:r w:rsidRPr="00B9394D">
        <w:t>0.6 (95% CI -5.4, 6.8), p</w:t>
      </w:r>
      <w:r w:rsidR="00FC7793">
        <w:t xml:space="preserve"> = </w:t>
      </w:r>
      <w:r w:rsidRPr="00B9394D">
        <w:t>0.84 within this stratum. The ORR for patients in this stratum was substantially lower (9.8 (95% CI 6.1, 14.7)) as compared to the TPS</w:t>
      </w:r>
      <w:r w:rsidR="00D53B25">
        <w:t xml:space="preserve"> ≥ </w:t>
      </w:r>
      <w:r w:rsidRPr="00B9394D">
        <w:t>50% stratum</w:t>
      </w:r>
      <w:r w:rsidR="00FC7793">
        <w:t xml:space="preserve"> = </w:t>
      </w:r>
      <w:r w:rsidRPr="00B9394D">
        <w:t>30.2% (95% CI22.7, 38.6)).</w:t>
      </w:r>
    </w:p>
    <w:p w14:paraId="522C9B5A" w14:textId="77777777" w:rsidR="00B9394D" w:rsidRPr="00B9394D" w:rsidRDefault="00B9394D" w:rsidP="00B9394D">
      <w:pPr>
        <w:pStyle w:val="Numberbullet0"/>
      </w:pPr>
      <w:r w:rsidRPr="00B9394D">
        <w:t>For this patient population, the number needed to treat to achieve one additional event of partial response is 140.</w:t>
      </w:r>
    </w:p>
    <w:p w14:paraId="522C9B5B" w14:textId="77777777" w:rsidR="00B9394D" w:rsidRPr="00B9394D" w:rsidRDefault="00B9394D" w:rsidP="00B9394D">
      <w:pPr>
        <w:pStyle w:val="Numberbullet0"/>
      </w:pPr>
      <w:r w:rsidRPr="00B9394D">
        <w:t>The reported risk of disease progression was higher for pembrolizumab-exposed patients (79/205 (38.5%)) compared to those that received docetaxel (53/191 (27.7%))</w:t>
      </w:r>
      <w:r w:rsidR="007E3719">
        <w:t>.</w:t>
      </w:r>
    </w:p>
    <w:p w14:paraId="522C9B5C" w14:textId="77777777" w:rsidR="00B9394D" w:rsidRPr="00B9394D" w:rsidRDefault="00B9394D" w:rsidP="00B9394D">
      <w:pPr>
        <w:pStyle w:val="Numberbullet0"/>
      </w:pPr>
      <w:r>
        <w:t>R</w:t>
      </w:r>
      <w:r w:rsidRPr="00B9394D">
        <w:t>esults of patient reported outcomes for this stratum have not been presented in the dossier for evaluation.</w:t>
      </w:r>
    </w:p>
    <w:p w14:paraId="522C9B5D" w14:textId="77777777" w:rsidR="00B9394D" w:rsidRPr="00B9394D" w:rsidRDefault="00B9394D" w:rsidP="00B9394D">
      <w:r w:rsidRPr="00B9394D">
        <w:t>The effect-size of pembrolizumab is dependent upon the reported TPS cut-off percentage. In presenting the data according to a TPS</w:t>
      </w:r>
      <w:r w:rsidR="00D53B25">
        <w:t xml:space="preserve"> ≥ </w:t>
      </w:r>
      <w:r w:rsidRPr="00B9394D">
        <w:t>1%, the large effect size of pembrolizumab efficacy in those with a TPS</w:t>
      </w:r>
      <w:r w:rsidR="00D53B25">
        <w:t xml:space="preserve"> ≥ </w:t>
      </w:r>
      <w:r w:rsidRPr="00B9394D">
        <w:t>50% masks the effect size for those with a TPS</w:t>
      </w:r>
      <w:r w:rsidR="00D53B25">
        <w:t xml:space="preserve"> ≥ </w:t>
      </w:r>
      <w:r w:rsidRPr="00B9394D">
        <w:t xml:space="preserve">1% to </w:t>
      </w:r>
      <w:r w:rsidR="009B28D9">
        <w:t xml:space="preserve">&lt; </w:t>
      </w:r>
      <w:r w:rsidRPr="00B9394D">
        <w:t>50%, yielding an apparent benefit for the latter group. There is evidence of inferiority of pembrolizumab compared to docetaxel for patients with a TPS</w:t>
      </w:r>
      <w:r w:rsidR="00D53B25">
        <w:t xml:space="preserve"> ≥ </w:t>
      </w:r>
      <w:r w:rsidRPr="00B9394D">
        <w:t xml:space="preserve">1% to </w:t>
      </w:r>
      <w:r w:rsidR="009B28D9">
        <w:t xml:space="preserve">&lt; </w:t>
      </w:r>
      <w:r w:rsidRPr="00B9394D">
        <w:t>50%, with insubstantial difference in median duration of overall survival, worse median duration of PFS, substantially lower ORR and a higher number needed to treat as compared to the stratum of TPS</w:t>
      </w:r>
      <w:r w:rsidR="00D53B25">
        <w:t xml:space="preserve"> ≥ </w:t>
      </w:r>
      <w:r w:rsidRPr="00B9394D">
        <w:t>50%.</w:t>
      </w:r>
    </w:p>
    <w:p w14:paraId="522C9B5E" w14:textId="77777777" w:rsidR="00B9394D" w:rsidRPr="00B9394D" w:rsidRDefault="00B9394D" w:rsidP="00B9394D">
      <w:r w:rsidRPr="00B9394D">
        <w:t>No patients, receiving either dose of pembrolizumab, obtained a complete response in either Keynote-010 or Keynote-001.</w:t>
      </w:r>
    </w:p>
    <w:p w14:paraId="522C9B5F" w14:textId="77777777" w:rsidR="00B9394D" w:rsidRPr="00B9394D" w:rsidRDefault="00B9394D" w:rsidP="00B9394D">
      <w:r w:rsidRPr="00B9394D">
        <w:t>There is clearly demonstrated effect modification between the strata of patients dichotomised at a TPS value of 50% among patients receiving pembrolizumab 2 mg/kg Q3W. The magnitude of the difference in effect size, as seen across numerous efficacy endpoints, necessitates that the strata are reported separately to satisfactorily enable clinicians to gain informed consent for treatment from their patients.</w:t>
      </w:r>
    </w:p>
    <w:p w14:paraId="522C9B60" w14:textId="77777777" w:rsidR="00B9394D" w:rsidRPr="00B9394D" w:rsidRDefault="00B9394D" w:rsidP="00B9394D">
      <w:r w:rsidRPr="00B9394D">
        <w:t>In Keynote-001, there is a clear effect on overall response rate of degree of PD-L1 expression, based upon overall response rate, when degree of PD-L1 expression was expressed as quartiles.</w:t>
      </w:r>
    </w:p>
    <w:p w14:paraId="522C9B61" w14:textId="77777777" w:rsidR="00C22678" w:rsidRDefault="00C22678" w:rsidP="00C22678">
      <w:pPr>
        <w:pStyle w:val="Heading2"/>
      </w:pPr>
      <w:bookmarkStart w:id="106" w:name="_Toc513557814"/>
      <w:r>
        <w:t>Clinical safety</w:t>
      </w:r>
      <w:bookmarkEnd w:id="106"/>
    </w:p>
    <w:p w14:paraId="522C9B62" w14:textId="77777777" w:rsidR="00B9394D" w:rsidRPr="00B9394D" w:rsidRDefault="00B9394D" w:rsidP="00B9394D">
      <w:pPr>
        <w:pStyle w:val="Heading3"/>
      </w:pPr>
      <w:bookmarkStart w:id="107" w:name="_Toc272414659"/>
      <w:bookmarkStart w:id="108" w:name="_Toc290846284"/>
      <w:bookmarkStart w:id="109" w:name="_Toc453755703"/>
      <w:bookmarkStart w:id="110" w:name="_Toc513557815"/>
      <w:r w:rsidRPr="00B9394D">
        <w:t>Studies providing evaluable safety data</w:t>
      </w:r>
      <w:bookmarkEnd w:id="107"/>
      <w:bookmarkEnd w:id="108"/>
      <w:bookmarkEnd w:id="109"/>
      <w:bookmarkEnd w:id="110"/>
    </w:p>
    <w:p w14:paraId="522C9B63" w14:textId="77777777" w:rsidR="00B9394D" w:rsidRPr="00B9394D" w:rsidRDefault="00B9394D" w:rsidP="00B9394D">
      <w:bookmarkStart w:id="111" w:name="_Ref268776745"/>
      <w:r w:rsidRPr="00B9394D">
        <w:t xml:space="preserve">The following studies provided evaluable </w:t>
      </w:r>
      <w:r>
        <w:t>safety data:</w:t>
      </w:r>
    </w:p>
    <w:p w14:paraId="522C9B64" w14:textId="5CA4B958" w:rsidR="00B9394D" w:rsidRPr="00B9394D" w:rsidRDefault="00B9394D" w:rsidP="00B9394D">
      <w:pPr>
        <w:pStyle w:val="Heading4"/>
      </w:pPr>
      <w:r w:rsidRPr="00B9394D">
        <w:t xml:space="preserve">Pivotal efficacy </w:t>
      </w:r>
      <w:bookmarkEnd w:id="111"/>
      <w:r w:rsidR="002679A3">
        <w:t xml:space="preserve">Study </w:t>
      </w:r>
      <w:r w:rsidRPr="00B9394D">
        <w:t>P010v1 (Keynote-010)</w:t>
      </w:r>
    </w:p>
    <w:p w14:paraId="522C9B65" w14:textId="77777777" w:rsidR="00B9394D" w:rsidRPr="00B9394D" w:rsidRDefault="00B9394D" w:rsidP="00B9394D">
      <w:r w:rsidRPr="00B9394D">
        <w:t>The safety population for this study was the ‘Al</w:t>
      </w:r>
      <w:r w:rsidR="007E3719">
        <w:t>l Patients as Treated’ (</w:t>
      </w:r>
      <w:proofErr w:type="spellStart"/>
      <w:r w:rsidR="007E3719">
        <w:t>APaT</w:t>
      </w:r>
      <w:proofErr w:type="spellEnd"/>
      <w:r w:rsidR="007E3719">
        <w:t xml:space="preserve">); </w:t>
      </w:r>
      <w:r w:rsidRPr="00B9394D">
        <w:t>all randomised subjects who received at least one dose of treatment</w:t>
      </w:r>
    </w:p>
    <w:p w14:paraId="522C9B66" w14:textId="3359EBEE" w:rsidR="00B9394D" w:rsidRPr="00B9394D" w:rsidRDefault="00B9394D" w:rsidP="00B9394D">
      <w:r w:rsidRPr="00B9394D">
        <w:t>Safety data from this study was presented for the two groups of patients with PD-L1 dichotomised at the 50% level and for all patients combined. Furthermore, safety data for patients receiving pembrolizumab was presented as a single pool of those having received pembrolizumab and also per dose regimen (2 mg/kg Q3W and 10 mg/kg Q3W).</w:t>
      </w:r>
    </w:p>
    <w:p w14:paraId="522C9B67" w14:textId="77777777" w:rsidR="00B9394D" w:rsidRPr="00B9394D" w:rsidRDefault="00B9394D" w:rsidP="00B9394D">
      <w:r w:rsidRPr="00B9394D">
        <w:t xml:space="preserve">Given that the sponsor is proposing to register the regimen of 2 mg/kg Q3W, the safety evaluation will predominately focus on this dose of pembrolizumab in patients with NSCLC, as compared </w:t>
      </w:r>
      <w:r>
        <w:t>to the docetaxel arm.</w:t>
      </w:r>
    </w:p>
    <w:p w14:paraId="522C9B68" w14:textId="77777777" w:rsidR="00B9394D" w:rsidRPr="00B9394D" w:rsidRDefault="00B9394D" w:rsidP="00B9394D">
      <w:r w:rsidRPr="00B9394D">
        <w:t>The first patient was enrolled on 28 August 2013 and last subject on 27 February 2015. The safety analysis data cut off was 30 September 2015.</w:t>
      </w:r>
    </w:p>
    <w:p w14:paraId="522C9B69" w14:textId="77777777" w:rsidR="00B9394D" w:rsidRPr="00B9394D" w:rsidRDefault="00B9394D" w:rsidP="00B9394D">
      <w:r w:rsidRPr="00B9394D">
        <w:lastRenderedPageBreak/>
        <w:t>Patients were assessed throughout the study period and up to 30 days following last dose of study treatment or before initiation of a new antineoplastic therapy.</w:t>
      </w:r>
    </w:p>
    <w:p w14:paraId="522C9B6A" w14:textId="1BBCE015" w:rsidR="00B9394D" w:rsidRPr="00B9394D" w:rsidRDefault="00B9394D" w:rsidP="00B9394D">
      <w:r w:rsidRPr="00B9394D">
        <w:t>The analysis strategy for reporting specific adverse ev</w:t>
      </w:r>
      <w:r w:rsidR="007E3719">
        <w:t xml:space="preserve">ents in this study is </w:t>
      </w:r>
      <w:r w:rsidR="007E3719" w:rsidRPr="0078548B">
        <w:t xml:space="preserve">shown </w:t>
      </w:r>
      <w:r w:rsidR="002679A3">
        <w:t xml:space="preserve">below </w:t>
      </w:r>
      <w:r w:rsidR="007E3719" w:rsidRPr="0078548B">
        <w:t>in T</w:t>
      </w:r>
      <w:r w:rsidR="00310181">
        <w:t>able</w:t>
      </w:r>
      <w:r w:rsidR="002679A3">
        <w:t> </w:t>
      </w:r>
      <w:r w:rsidR="00310181">
        <w:t>22</w:t>
      </w:r>
      <w:r w:rsidRPr="0078548B">
        <w:t>.</w:t>
      </w:r>
      <w:r w:rsidRPr="00B9394D">
        <w:t xml:space="preserve"> The tier 1 end-points were those pre-specified by the sponsor as being of most clinical interest.</w:t>
      </w:r>
    </w:p>
    <w:p w14:paraId="522C9B6B" w14:textId="77777777" w:rsidR="00503BA4" w:rsidRDefault="00503BA4" w:rsidP="00503BA4">
      <w:pPr>
        <w:pStyle w:val="Tabletitle"/>
      </w:pPr>
      <w:bookmarkStart w:id="112" w:name="_Toc453755635"/>
      <w:r w:rsidRPr="0078548B">
        <w:t>Table</w:t>
      </w:r>
      <w:r w:rsidR="00310181">
        <w:t xml:space="preserve"> 22</w:t>
      </w:r>
      <w:r w:rsidR="007E3719" w:rsidRPr="0078548B">
        <w:rPr>
          <w:noProof/>
        </w:rPr>
        <w:t>:</w:t>
      </w:r>
      <w:r w:rsidRPr="0078548B">
        <w:t xml:space="preserve"> Analysis strategy for safety parameters</w:t>
      </w:r>
      <w:bookmarkEnd w:id="112"/>
    </w:p>
    <w:p w14:paraId="522C9B6C" w14:textId="77777777" w:rsidR="00B9394D" w:rsidRDefault="00503BA4" w:rsidP="00C22678">
      <w:pPr>
        <w:rPr>
          <w:lang w:eastAsia="ja-JP"/>
        </w:rPr>
      </w:pPr>
      <w:r>
        <w:rPr>
          <w:noProof/>
          <w:lang w:eastAsia="en-AU"/>
        </w:rPr>
        <w:drawing>
          <wp:inline distT="0" distB="0" distL="0" distR="0" wp14:anchorId="522C9D09" wp14:editId="522C9D0A">
            <wp:extent cx="5619750" cy="4867275"/>
            <wp:effectExtent l="0" t="0" r="0" b="9525"/>
            <wp:docPr id="35" name="Picture 35" descr="Table 22: Analysis strategy for safet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19750" cy="4867275"/>
                    </a:xfrm>
                    <a:prstGeom prst="rect">
                      <a:avLst/>
                    </a:prstGeom>
                  </pic:spPr>
                </pic:pic>
              </a:graphicData>
            </a:graphic>
          </wp:inline>
        </w:drawing>
      </w:r>
    </w:p>
    <w:p w14:paraId="522C9B6D" w14:textId="77777777" w:rsidR="001E3F3B" w:rsidRPr="001E3F3B" w:rsidRDefault="001E3F3B" w:rsidP="001E3F3B">
      <w:r w:rsidRPr="001E3F3B">
        <w:t>In the pivotal efficacy studies, the following safety data were collected:</w:t>
      </w:r>
    </w:p>
    <w:p w14:paraId="522C9B6E" w14:textId="59175B62" w:rsidR="001E3F3B" w:rsidRPr="001E3F3B" w:rsidRDefault="001E3F3B" w:rsidP="001E3F3B">
      <w:pPr>
        <w:pStyle w:val="ListBullet"/>
      </w:pPr>
      <w:r w:rsidRPr="001E3F3B">
        <w:t xml:space="preserve">General adverse events (AEs) were assessed using CTCAE Version 4.0. The sponsor states </w:t>
      </w:r>
      <w:r w:rsidR="00EF3E5B">
        <w:t>‘</w:t>
      </w:r>
      <w:r w:rsidRPr="001E3F3B">
        <w:t>Characteri</w:t>
      </w:r>
      <w:r w:rsidR="002679A3">
        <w:t>s</w:t>
      </w:r>
      <w:r w:rsidRPr="001E3F3B">
        <w:t>ation of toxicities included seriousness, causality, toxicity grading, and action taken with regard to trial treatment. Safety endpoints included all types of AEs, in addition to laboratory safety assessments, ECOG performance scale status, and vital signs.</w:t>
      </w:r>
      <w:r w:rsidR="00EF3E5B">
        <w:t>’</w:t>
      </w:r>
    </w:p>
    <w:p w14:paraId="522C9B6F" w14:textId="5CC71014" w:rsidR="001E3F3B" w:rsidRPr="0078548B" w:rsidRDefault="001E3F3B" w:rsidP="001E3F3B">
      <w:pPr>
        <w:pStyle w:val="ListBullet"/>
      </w:pPr>
      <w:r w:rsidRPr="001E3F3B">
        <w:t>An updated list of AEs of special interest, initially compiled for the registration dossier in patients with mel</w:t>
      </w:r>
      <w:r w:rsidR="007E3719">
        <w:t xml:space="preserve">anoma, was used in this </w:t>
      </w:r>
      <w:r w:rsidR="007E3719" w:rsidRPr="0078548B">
        <w:t xml:space="preserve">study; </w:t>
      </w:r>
      <w:r w:rsidR="002679A3">
        <w:t xml:space="preserve">see </w:t>
      </w:r>
      <w:r w:rsidR="007E3719" w:rsidRPr="0078548B">
        <w:t>T</w:t>
      </w:r>
      <w:r w:rsidR="00310181">
        <w:t>able 23</w:t>
      </w:r>
      <w:r w:rsidR="002679A3">
        <w:t>, below</w:t>
      </w:r>
      <w:r w:rsidRPr="0078548B">
        <w:t>.</w:t>
      </w:r>
    </w:p>
    <w:p w14:paraId="522C9B70" w14:textId="65880384" w:rsidR="001E3F3B" w:rsidRPr="001E3F3B" w:rsidRDefault="001E3F3B" w:rsidP="001E3F3B">
      <w:pPr>
        <w:pStyle w:val="Tabletitle"/>
      </w:pPr>
      <w:bookmarkStart w:id="113" w:name="_Toc453755636"/>
      <w:r w:rsidRPr="0078548B">
        <w:lastRenderedPageBreak/>
        <w:t>Table</w:t>
      </w:r>
      <w:r w:rsidR="00310181">
        <w:t xml:space="preserve"> 23</w:t>
      </w:r>
      <w:r w:rsidR="007E3719" w:rsidRPr="0078548B">
        <w:t>:</w:t>
      </w:r>
      <w:r w:rsidRPr="0078548B">
        <w:t xml:space="preserve"> Adverse</w:t>
      </w:r>
      <w:r w:rsidRPr="001E3F3B">
        <w:t xml:space="preserve"> events of special interest preferred terms (v</w:t>
      </w:r>
      <w:r w:rsidR="002679A3">
        <w:t xml:space="preserve">ersion </w:t>
      </w:r>
      <w:r w:rsidRPr="001E3F3B">
        <w:t>9)</w:t>
      </w:r>
      <w:bookmarkEnd w:id="113"/>
    </w:p>
    <w:p w14:paraId="522C9B71" w14:textId="77777777" w:rsidR="00B9394D" w:rsidRDefault="001E3F3B" w:rsidP="00C22678">
      <w:pPr>
        <w:rPr>
          <w:lang w:eastAsia="ja-JP"/>
        </w:rPr>
      </w:pPr>
      <w:r>
        <w:rPr>
          <w:noProof/>
          <w:lang w:eastAsia="en-AU"/>
        </w:rPr>
        <w:drawing>
          <wp:inline distT="0" distB="0" distL="0" distR="0" wp14:anchorId="522C9D0B" wp14:editId="0700CECA">
            <wp:extent cx="3588385" cy="8359645"/>
            <wp:effectExtent l="0" t="0" r="0" b="0"/>
            <wp:docPr id="36" name="Picture 36" descr="Table 23: Adverse events of special interest preferred terms (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90222" cy="8363925"/>
                    </a:xfrm>
                    <a:prstGeom prst="rect">
                      <a:avLst/>
                    </a:prstGeom>
                  </pic:spPr>
                </pic:pic>
              </a:graphicData>
            </a:graphic>
          </wp:inline>
        </w:drawing>
      </w:r>
    </w:p>
    <w:p w14:paraId="522C9B72" w14:textId="77777777" w:rsidR="001E3F3B" w:rsidRPr="001E3F3B" w:rsidRDefault="001E3F3B" w:rsidP="001E3F3B">
      <w:pPr>
        <w:pStyle w:val="ListBullet"/>
      </w:pPr>
      <w:r w:rsidRPr="001E3F3B">
        <w:lastRenderedPageBreak/>
        <w:t>Laboratory tests, including Vital signs, weight, physical examinations, ECOG performance status, pulmonary function tests, electrocardiogram (ECG), and laboratory safety tests (</w:t>
      </w:r>
      <w:r w:rsidR="00FC7793">
        <w:t>for example</w:t>
      </w:r>
      <w:r w:rsidRPr="001E3F3B">
        <w:t>, urinalysis, complete blood count [CBC], prothrombin time/</w:t>
      </w:r>
      <w:proofErr w:type="spellStart"/>
      <w:r w:rsidRPr="001E3F3B">
        <w:t>aPTT</w:t>
      </w:r>
      <w:proofErr w:type="spellEnd"/>
      <w:r w:rsidRPr="001E3F3B">
        <w:t>, serum chemistries, auto-antibodies, thyroid function) were obtained.</w:t>
      </w:r>
      <w:bookmarkStart w:id="114" w:name="_Ref269204367"/>
    </w:p>
    <w:p w14:paraId="522C9B73" w14:textId="77777777" w:rsidR="001E3F3B" w:rsidRPr="001E3F3B" w:rsidRDefault="001E3F3B" w:rsidP="001E3F3B">
      <w:pPr>
        <w:pStyle w:val="Heading3"/>
      </w:pPr>
      <w:bookmarkStart w:id="115" w:name="_Ref271195835"/>
      <w:bookmarkStart w:id="116" w:name="_Ref271195841"/>
      <w:bookmarkStart w:id="117" w:name="_Toc272414660"/>
      <w:bookmarkStart w:id="118" w:name="_Toc290846285"/>
      <w:bookmarkStart w:id="119" w:name="_Toc453755704"/>
      <w:bookmarkStart w:id="120" w:name="_Toc513557816"/>
      <w:r w:rsidRPr="001E3F3B">
        <w:t>Pivotal studies that assessed safety as a primary outcome</w:t>
      </w:r>
      <w:bookmarkEnd w:id="114"/>
      <w:bookmarkEnd w:id="115"/>
      <w:bookmarkEnd w:id="116"/>
      <w:bookmarkEnd w:id="117"/>
      <w:bookmarkEnd w:id="118"/>
      <w:bookmarkEnd w:id="119"/>
      <w:bookmarkEnd w:id="120"/>
    </w:p>
    <w:p w14:paraId="522C9B74" w14:textId="77777777" w:rsidR="001E3F3B" w:rsidRPr="001E3F3B" w:rsidRDefault="001E3F3B" w:rsidP="001E3F3B">
      <w:r w:rsidRPr="001E3F3B">
        <w:t>No pivotal studies assessed safety as a primary outcome</w:t>
      </w:r>
      <w:r w:rsidR="007E3719">
        <w:t>.</w:t>
      </w:r>
    </w:p>
    <w:p w14:paraId="522C9B75" w14:textId="77777777" w:rsidR="001E3F3B" w:rsidRPr="001E3F3B" w:rsidRDefault="001E3F3B" w:rsidP="001E3F3B">
      <w:pPr>
        <w:pStyle w:val="Heading3"/>
      </w:pPr>
      <w:bookmarkStart w:id="121" w:name="_Toc241374318"/>
      <w:bookmarkStart w:id="122" w:name="_Ref271196630"/>
      <w:bookmarkStart w:id="123" w:name="_Toc272414662"/>
      <w:bookmarkStart w:id="124" w:name="_Toc290846300"/>
      <w:bookmarkStart w:id="125" w:name="_Toc453755705"/>
      <w:bookmarkStart w:id="126" w:name="_Toc513557817"/>
      <w:r w:rsidRPr="001E3F3B">
        <w:t>Patient exposure</w:t>
      </w:r>
      <w:bookmarkEnd w:id="121"/>
      <w:bookmarkEnd w:id="122"/>
      <w:bookmarkEnd w:id="123"/>
      <w:bookmarkEnd w:id="124"/>
      <w:bookmarkEnd w:id="125"/>
      <w:bookmarkEnd w:id="126"/>
    </w:p>
    <w:p w14:paraId="522C9B76" w14:textId="20788433" w:rsidR="001E3F3B" w:rsidRPr="001E3F3B" w:rsidRDefault="001E3F3B" w:rsidP="001E3F3B">
      <w:r w:rsidRPr="001E3F3B">
        <w:t>Among patients in Keynote-010, the exposure, according to s</w:t>
      </w:r>
      <w:r w:rsidR="007E3719">
        <w:t>tudy treatment and degree of PD</w:t>
      </w:r>
      <w:r w:rsidR="007E3719">
        <w:noBreakHyphen/>
        <w:t xml:space="preserve">L1 expression is </w:t>
      </w:r>
      <w:r w:rsidR="007E3719" w:rsidRPr="0078548B">
        <w:t>shown in T</w:t>
      </w:r>
      <w:r w:rsidR="00310181">
        <w:t>ables 24</w:t>
      </w:r>
      <w:r w:rsidR="005A5C93">
        <w:t xml:space="preserve"> to </w:t>
      </w:r>
      <w:r w:rsidR="00310181">
        <w:t>26</w:t>
      </w:r>
      <w:r w:rsidR="005A5C93">
        <w:t>, below</w:t>
      </w:r>
      <w:r w:rsidR="007E3719" w:rsidRPr="0078548B">
        <w:t>.</w:t>
      </w:r>
    </w:p>
    <w:p w14:paraId="522C9B77" w14:textId="4A7469E6" w:rsidR="001E3F3B" w:rsidRPr="001E3F3B" w:rsidRDefault="001E3F3B" w:rsidP="001E3F3B">
      <w:pPr>
        <w:pStyle w:val="Tabletitle"/>
      </w:pPr>
      <w:bookmarkStart w:id="127" w:name="_Toc453755637"/>
      <w:r w:rsidRPr="0078548B">
        <w:t xml:space="preserve">Table </w:t>
      </w:r>
      <w:r w:rsidR="00310181">
        <w:t>24</w:t>
      </w:r>
      <w:r w:rsidR="0078548B">
        <w:t>:</w:t>
      </w:r>
      <w:r w:rsidRPr="001E3F3B">
        <w:t xml:space="preserve"> Keynote-010 patients with PD-L1</w:t>
      </w:r>
      <w:r w:rsidR="00D53B25">
        <w:t xml:space="preserve"> </w:t>
      </w:r>
      <w:r w:rsidR="005A5C93">
        <w:t>≥</w:t>
      </w:r>
      <w:r w:rsidR="00C10435">
        <w:t xml:space="preserve"> </w:t>
      </w:r>
      <w:r w:rsidRPr="001E3F3B">
        <w:t>50%</w:t>
      </w:r>
      <w:bookmarkEnd w:id="127"/>
    </w:p>
    <w:p w14:paraId="522C9B78" w14:textId="77777777" w:rsidR="00B9394D" w:rsidRDefault="001E3F3B" w:rsidP="00C22678">
      <w:pPr>
        <w:rPr>
          <w:lang w:eastAsia="ja-JP"/>
        </w:rPr>
      </w:pPr>
      <w:r>
        <w:rPr>
          <w:noProof/>
          <w:lang w:eastAsia="en-AU"/>
        </w:rPr>
        <w:drawing>
          <wp:inline distT="0" distB="0" distL="0" distR="0" wp14:anchorId="522C9D0D" wp14:editId="3C594E5F">
            <wp:extent cx="5522976" cy="1089253"/>
            <wp:effectExtent l="0" t="0" r="1905" b="0"/>
            <wp:docPr id="37" name="Picture 37" descr="Table 24: Keynote-010 patients with PD-L1 &g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519502" cy="1088568"/>
                    </a:xfrm>
                    <a:prstGeom prst="rect">
                      <a:avLst/>
                    </a:prstGeom>
                  </pic:spPr>
                </pic:pic>
              </a:graphicData>
            </a:graphic>
          </wp:inline>
        </w:drawing>
      </w:r>
    </w:p>
    <w:p w14:paraId="522C9B79" w14:textId="77777777" w:rsidR="001E3F3B" w:rsidRDefault="001E3F3B" w:rsidP="001E3F3B">
      <w:pPr>
        <w:pStyle w:val="Tabletitle"/>
      </w:pPr>
      <w:bookmarkStart w:id="128" w:name="_Toc453755638"/>
      <w:r w:rsidRPr="0078548B">
        <w:t xml:space="preserve">Table </w:t>
      </w:r>
      <w:r w:rsidR="0078548B" w:rsidRPr="0078548B">
        <w:t>2</w:t>
      </w:r>
      <w:r w:rsidR="00310181">
        <w:t>5</w:t>
      </w:r>
      <w:r w:rsidR="0078548B">
        <w:t>:</w:t>
      </w:r>
      <w:r>
        <w:t xml:space="preserve"> Keynote-010 patients with PD-L1</w:t>
      </w:r>
      <w:r w:rsidR="00D53B25">
        <w:t xml:space="preserve"> &gt;</w:t>
      </w:r>
      <w:r w:rsidR="00C10435">
        <w:t xml:space="preserve"> </w:t>
      </w:r>
      <w:r>
        <w:t xml:space="preserve">1% to </w:t>
      </w:r>
      <w:r w:rsidR="009B28D9">
        <w:t xml:space="preserve">&lt; </w:t>
      </w:r>
      <w:r>
        <w:t>50%</w:t>
      </w:r>
      <w:bookmarkEnd w:id="128"/>
    </w:p>
    <w:p w14:paraId="522C9B7A" w14:textId="77777777" w:rsidR="00B9394D" w:rsidRDefault="001E3F3B" w:rsidP="00C22678">
      <w:pPr>
        <w:rPr>
          <w:lang w:eastAsia="ja-JP"/>
        </w:rPr>
      </w:pPr>
      <w:r>
        <w:rPr>
          <w:noProof/>
          <w:lang w:eastAsia="en-AU"/>
        </w:rPr>
        <w:drawing>
          <wp:inline distT="0" distB="0" distL="0" distR="0" wp14:anchorId="522C9D0F" wp14:editId="1BDCDF78">
            <wp:extent cx="5486400" cy="1087315"/>
            <wp:effectExtent l="0" t="0" r="0" b="0"/>
            <wp:docPr id="38" name="Picture 38" descr="Table 25: Keynote-010 patients with PD-L1 &gt; 1% to &l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96252" cy="1089267"/>
                    </a:xfrm>
                    <a:prstGeom prst="rect">
                      <a:avLst/>
                    </a:prstGeom>
                  </pic:spPr>
                </pic:pic>
              </a:graphicData>
            </a:graphic>
          </wp:inline>
        </w:drawing>
      </w:r>
    </w:p>
    <w:p w14:paraId="522C9B7B" w14:textId="77777777" w:rsidR="001E3F3B" w:rsidRPr="001E3F3B" w:rsidRDefault="001E3F3B" w:rsidP="001E3F3B">
      <w:pPr>
        <w:pStyle w:val="Tabletitle"/>
      </w:pPr>
      <w:bookmarkStart w:id="129" w:name="_Toc453755639"/>
      <w:r w:rsidRPr="0078548B">
        <w:t xml:space="preserve">Table </w:t>
      </w:r>
      <w:r w:rsidR="00310181">
        <w:t>26</w:t>
      </w:r>
      <w:r w:rsidR="0078548B" w:rsidRPr="0078548B">
        <w:t>:</w:t>
      </w:r>
      <w:r w:rsidRPr="001E3F3B">
        <w:t xml:space="preserve"> Supportive study Keynote-001 summary of drug exposure all subjects with NSCLC by dose (All Subjects as Treated)</w:t>
      </w:r>
      <w:bookmarkEnd w:id="129"/>
    </w:p>
    <w:p w14:paraId="522C9B7C" w14:textId="77777777" w:rsidR="00B9394D" w:rsidRDefault="001E3F3B" w:rsidP="00C22678">
      <w:pPr>
        <w:rPr>
          <w:lang w:eastAsia="ja-JP"/>
        </w:rPr>
      </w:pPr>
      <w:r>
        <w:rPr>
          <w:noProof/>
          <w:lang w:eastAsia="en-AU"/>
        </w:rPr>
        <w:drawing>
          <wp:inline distT="0" distB="0" distL="0" distR="0" wp14:anchorId="522C9D11" wp14:editId="71D6C792">
            <wp:extent cx="5522976" cy="1342390"/>
            <wp:effectExtent l="0" t="0" r="1905" b="0"/>
            <wp:docPr id="39" name="Picture 39" descr="Table 26: Supportive study Keynote-001 summary of drug exposure all subjects with NSCLC by dose (All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35640" cy="1345468"/>
                    </a:xfrm>
                    <a:prstGeom prst="rect">
                      <a:avLst/>
                    </a:prstGeom>
                  </pic:spPr>
                </pic:pic>
              </a:graphicData>
            </a:graphic>
          </wp:inline>
        </w:drawing>
      </w:r>
    </w:p>
    <w:p w14:paraId="522C9B7D" w14:textId="77777777" w:rsidR="001E3F3B" w:rsidRPr="001E3F3B" w:rsidRDefault="001E3F3B" w:rsidP="001E3F3B">
      <w:pPr>
        <w:pStyle w:val="Heading3"/>
      </w:pPr>
      <w:bookmarkStart w:id="130" w:name="_Toc241374319"/>
      <w:bookmarkStart w:id="131" w:name="_Ref271044764"/>
      <w:bookmarkStart w:id="132" w:name="_Toc272414663"/>
      <w:bookmarkStart w:id="133" w:name="_Toc290846301"/>
      <w:bookmarkStart w:id="134" w:name="_Toc453755706"/>
      <w:bookmarkStart w:id="135" w:name="_Toc513557818"/>
      <w:r w:rsidRPr="001E3F3B">
        <w:t>Adverse events</w:t>
      </w:r>
      <w:bookmarkEnd w:id="130"/>
      <w:bookmarkEnd w:id="131"/>
      <w:bookmarkEnd w:id="132"/>
      <w:bookmarkEnd w:id="133"/>
      <w:bookmarkEnd w:id="134"/>
      <w:bookmarkEnd w:id="135"/>
    </w:p>
    <w:p w14:paraId="522C9B7E" w14:textId="77777777" w:rsidR="001E3F3B" w:rsidRPr="001E3F3B" w:rsidRDefault="001E3F3B" w:rsidP="001E3F3B">
      <w:pPr>
        <w:pStyle w:val="Heading4"/>
      </w:pPr>
      <w:bookmarkStart w:id="136" w:name="_Ref272317284"/>
      <w:bookmarkStart w:id="137" w:name="_Ref272333565"/>
      <w:bookmarkStart w:id="138" w:name="_Toc272414664"/>
      <w:bookmarkStart w:id="139" w:name="_Toc290846302"/>
      <w:bookmarkStart w:id="140" w:name="_Toc453755707"/>
      <w:r w:rsidRPr="001E3F3B">
        <w:t>All adverse events (irrespective of relationship to study treatment)</w:t>
      </w:r>
      <w:bookmarkEnd w:id="136"/>
      <w:bookmarkEnd w:id="137"/>
      <w:bookmarkEnd w:id="138"/>
      <w:bookmarkEnd w:id="139"/>
      <w:bookmarkEnd w:id="140"/>
    </w:p>
    <w:p w14:paraId="522C9B7F" w14:textId="77777777" w:rsidR="001E3F3B" w:rsidRPr="001E3F3B" w:rsidRDefault="001E3F3B" w:rsidP="001E3F3B">
      <w:pPr>
        <w:pStyle w:val="Heading5"/>
      </w:pPr>
      <w:r w:rsidRPr="001E3F3B">
        <w:t>Pivotal study</w:t>
      </w:r>
    </w:p>
    <w:p w14:paraId="522C9B80" w14:textId="13AB6D54" w:rsidR="001E3F3B" w:rsidRPr="001E3F3B" w:rsidRDefault="001E3F3B" w:rsidP="001E3F3B">
      <w:r w:rsidRPr="001E3F3B">
        <w:t>The proportion of patients with one or more adverse events, according to study treatment and degree of PD-L1 ex</w:t>
      </w:r>
      <w:r w:rsidR="00310181">
        <w:t xml:space="preserve">pression is shown </w:t>
      </w:r>
      <w:r w:rsidR="005A5C93">
        <w:t xml:space="preserve">below </w:t>
      </w:r>
      <w:r w:rsidR="00310181">
        <w:t>in Tables 27</w:t>
      </w:r>
      <w:r w:rsidR="007E3719">
        <w:t xml:space="preserve"> and</w:t>
      </w:r>
      <w:r w:rsidR="00310181">
        <w:t xml:space="preserve"> 28</w:t>
      </w:r>
      <w:r w:rsidRPr="001E3F3B">
        <w:t xml:space="preserve"> for Keynote-010 and -001 </w:t>
      </w:r>
      <w:r w:rsidR="007E3719" w:rsidRPr="001E3F3B">
        <w:t>respectively</w:t>
      </w:r>
      <w:r w:rsidRPr="001E3F3B">
        <w:t>.</w:t>
      </w:r>
    </w:p>
    <w:p w14:paraId="522C9B81" w14:textId="77777777" w:rsidR="001E3F3B" w:rsidRPr="001E3F3B" w:rsidRDefault="001E3F3B" w:rsidP="001E3F3B">
      <w:pPr>
        <w:pStyle w:val="Tabletitle"/>
      </w:pPr>
      <w:bookmarkStart w:id="141" w:name="_Toc453755640"/>
      <w:r w:rsidRPr="0078548B">
        <w:lastRenderedPageBreak/>
        <w:t xml:space="preserve">Table </w:t>
      </w:r>
      <w:r w:rsidR="00310181">
        <w:t>27</w:t>
      </w:r>
      <w:r w:rsidR="0078548B">
        <w:t>:</w:t>
      </w:r>
      <w:r w:rsidRPr="001E3F3B">
        <w:t xml:space="preserve"> Proportion o</w:t>
      </w:r>
      <w:r w:rsidR="007E3719">
        <w:t>f patients with adverse events;</w:t>
      </w:r>
      <w:r w:rsidRPr="001E3F3B">
        <w:t xml:space="preserve"> Keynote-010</w:t>
      </w:r>
      <w:bookmarkEnd w:id="141"/>
    </w:p>
    <w:p w14:paraId="522C9B82" w14:textId="77777777" w:rsidR="00B9394D" w:rsidRDefault="001E3F3B" w:rsidP="00C22678">
      <w:pPr>
        <w:rPr>
          <w:lang w:eastAsia="ja-JP"/>
        </w:rPr>
      </w:pPr>
      <w:r>
        <w:rPr>
          <w:noProof/>
          <w:lang w:eastAsia="en-AU"/>
        </w:rPr>
        <w:drawing>
          <wp:inline distT="0" distB="0" distL="0" distR="0" wp14:anchorId="522C9D13" wp14:editId="557CCD4E">
            <wp:extent cx="5537606" cy="544886"/>
            <wp:effectExtent l="0" t="0" r="6350" b="7620"/>
            <wp:docPr id="40" name="Picture 40" descr="Table 27: Proportion of patients with adverse events; Keynot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44439" cy="545558"/>
                    </a:xfrm>
                    <a:prstGeom prst="rect">
                      <a:avLst/>
                    </a:prstGeom>
                  </pic:spPr>
                </pic:pic>
              </a:graphicData>
            </a:graphic>
          </wp:inline>
        </w:drawing>
      </w:r>
    </w:p>
    <w:p w14:paraId="522C9B83" w14:textId="77777777" w:rsidR="001E3F3B" w:rsidRPr="005036AB" w:rsidRDefault="001E3F3B" w:rsidP="001E3F3B">
      <w:pPr>
        <w:pStyle w:val="Tabletitle"/>
      </w:pPr>
      <w:bookmarkStart w:id="142" w:name="_Toc453755641"/>
      <w:r w:rsidRPr="0078548B">
        <w:t xml:space="preserve">Table </w:t>
      </w:r>
      <w:r w:rsidR="00310181">
        <w:t>28</w:t>
      </w:r>
      <w:r w:rsidR="0078548B">
        <w:t>:</w:t>
      </w:r>
      <w:r w:rsidRPr="005036AB">
        <w:t xml:space="preserve"> </w:t>
      </w:r>
      <w:r>
        <w:t>Proportion of patients who experien</w:t>
      </w:r>
      <w:r w:rsidR="007E3719">
        <w:t>ced one or more adverse events; Keynote</w:t>
      </w:r>
      <w:r w:rsidR="007E3719">
        <w:noBreakHyphen/>
      </w:r>
      <w:r>
        <w:t>001</w:t>
      </w:r>
      <w:bookmarkEnd w:id="142"/>
    </w:p>
    <w:p w14:paraId="522C9B84" w14:textId="77777777" w:rsidR="00B9394D" w:rsidRDefault="001E3F3B" w:rsidP="00C22678">
      <w:pPr>
        <w:rPr>
          <w:lang w:eastAsia="ja-JP"/>
        </w:rPr>
      </w:pPr>
      <w:r>
        <w:rPr>
          <w:noProof/>
          <w:lang w:eastAsia="en-AU"/>
        </w:rPr>
        <w:drawing>
          <wp:inline distT="0" distB="0" distL="0" distR="0" wp14:anchorId="522C9D15" wp14:editId="783DFBFE">
            <wp:extent cx="5537606" cy="654337"/>
            <wp:effectExtent l="0" t="0" r="6350" b="0"/>
            <wp:docPr id="41" name="Picture 41" descr="Table 28: Proportion of patients who experienced one or more adverse events; Keynot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34123" cy="653925"/>
                    </a:xfrm>
                    <a:prstGeom prst="rect">
                      <a:avLst/>
                    </a:prstGeom>
                  </pic:spPr>
                </pic:pic>
              </a:graphicData>
            </a:graphic>
          </wp:inline>
        </w:drawing>
      </w:r>
    </w:p>
    <w:p w14:paraId="522C9B85" w14:textId="40BF0109" w:rsidR="001E3F3B" w:rsidRPr="001E3F3B" w:rsidRDefault="001E3F3B" w:rsidP="001E3F3B">
      <w:pPr>
        <w:pStyle w:val="Comment"/>
      </w:pPr>
      <w:r w:rsidRPr="001E3F3B">
        <w:rPr>
          <w:b/>
        </w:rPr>
        <w:t>Comment:</w:t>
      </w:r>
      <w:r w:rsidR="005A5C93">
        <w:rPr>
          <w:b/>
        </w:rPr>
        <w:t xml:space="preserve"> </w:t>
      </w:r>
      <w:r w:rsidRPr="001E3F3B">
        <w:t>The proportion of patients with adverse events was similar between patient groups in Keynote-010 and between participants in Keynote-001 and Keynote-010.</w:t>
      </w:r>
    </w:p>
    <w:p w14:paraId="522C9B86" w14:textId="77777777" w:rsidR="001E3F3B" w:rsidRPr="001E3F3B" w:rsidRDefault="007E3719" w:rsidP="001E3F3B">
      <w:pPr>
        <w:pStyle w:val="Heading4"/>
      </w:pPr>
      <w:bookmarkStart w:id="143" w:name="_Ref272333567"/>
      <w:bookmarkStart w:id="144" w:name="_Toc272414665"/>
      <w:bookmarkStart w:id="145" w:name="_Toc290846303"/>
      <w:bookmarkStart w:id="146" w:name="_Toc453755708"/>
      <w:r>
        <w:t xml:space="preserve">Treatment </w:t>
      </w:r>
      <w:r w:rsidR="001E3F3B" w:rsidRPr="001E3F3B">
        <w:t>related adverse events (adverse drug reactions)</w:t>
      </w:r>
      <w:bookmarkEnd w:id="143"/>
      <w:bookmarkEnd w:id="144"/>
      <w:bookmarkEnd w:id="145"/>
      <w:bookmarkEnd w:id="146"/>
    </w:p>
    <w:p w14:paraId="522C9B87" w14:textId="77777777" w:rsidR="001E3F3B" w:rsidRPr="001E3F3B" w:rsidRDefault="001E3F3B" w:rsidP="001E3F3B">
      <w:pPr>
        <w:pStyle w:val="Heading5"/>
      </w:pPr>
      <w:r w:rsidRPr="001E3F3B">
        <w:t>Pivotal study</w:t>
      </w:r>
    </w:p>
    <w:p w14:paraId="522C9B88" w14:textId="2BB1F2AF" w:rsidR="001E3F3B" w:rsidRPr="001E3F3B" w:rsidRDefault="007E3719" w:rsidP="001E3F3B">
      <w:r>
        <w:t>Investigator assessed</w:t>
      </w:r>
      <w:r w:rsidR="001E3F3B" w:rsidRPr="001E3F3B">
        <w:t xml:space="preserve"> </w:t>
      </w:r>
      <w:r>
        <w:t>treatment related</w:t>
      </w:r>
      <w:r w:rsidR="0078548B">
        <w:t xml:space="preserve"> adve</w:t>
      </w:r>
      <w:r w:rsidR="00310181">
        <w:t>rse events are shown</w:t>
      </w:r>
      <w:r w:rsidR="005A5C93">
        <w:t xml:space="preserve"> below</w:t>
      </w:r>
      <w:r w:rsidR="00310181">
        <w:t xml:space="preserve"> in Table 29</w:t>
      </w:r>
      <w:r w:rsidR="001E3F3B">
        <w:t>.</w:t>
      </w:r>
    </w:p>
    <w:p w14:paraId="522C9B89" w14:textId="77777777" w:rsidR="001E3F3B" w:rsidRPr="001E3F3B" w:rsidRDefault="001E3F3B" w:rsidP="001E3F3B">
      <w:pPr>
        <w:pStyle w:val="Tabletitle"/>
      </w:pPr>
      <w:bookmarkStart w:id="147" w:name="_Toc453755642"/>
      <w:r w:rsidRPr="001E3F3B">
        <w:t xml:space="preserve">Table </w:t>
      </w:r>
      <w:r w:rsidR="00310181">
        <w:t>29</w:t>
      </w:r>
      <w:r w:rsidR="0078548B">
        <w:t>:</w:t>
      </w:r>
      <w:r w:rsidRPr="001E3F3B">
        <w:t xml:space="preserve"> Number of patients wit</w:t>
      </w:r>
      <w:r w:rsidR="007E3719">
        <w:t xml:space="preserve">h an investigator assigned drug </w:t>
      </w:r>
      <w:r w:rsidRPr="001E3F3B">
        <w:t>related adverse event</w:t>
      </w:r>
      <w:bookmarkEnd w:id="147"/>
    </w:p>
    <w:p w14:paraId="522C9B8A" w14:textId="77777777" w:rsidR="00B9394D" w:rsidRDefault="001E3F3B" w:rsidP="00C22678">
      <w:pPr>
        <w:rPr>
          <w:lang w:eastAsia="ja-JP"/>
        </w:rPr>
      </w:pPr>
      <w:r>
        <w:rPr>
          <w:noProof/>
          <w:lang w:eastAsia="en-AU"/>
        </w:rPr>
        <w:drawing>
          <wp:inline distT="0" distB="0" distL="0" distR="0" wp14:anchorId="522C9D17" wp14:editId="07F25F9B">
            <wp:extent cx="5640019" cy="591117"/>
            <wp:effectExtent l="0" t="0" r="0" b="0"/>
            <wp:docPr id="42" name="Picture 42" descr="Table 29: Number of patients with an investigator assigned drug related advers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48105" cy="591964"/>
                    </a:xfrm>
                    <a:prstGeom prst="rect">
                      <a:avLst/>
                    </a:prstGeom>
                  </pic:spPr>
                </pic:pic>
              </a:graphicData>
            </a:graphic>
          </wp:inline>
        </w:drawing>
      </w:r>
    </w:p>
    <w:p w14:paraId="522C9B8B" w14:textId="77777777" w:rsidR="001E3F3B" w:rsidRPr="001E3F3B" w:rsidRDefault="001E3F3B" w:rsidP="001E3F3B">
      <w:pPr>
        <w:pStyle w:val="Comment"/>
      </w:pPr>
      <w:r w:rsidRPr="001E3F3B">
        <w:rPr>
          <w:b/>
        </w:rPr>
        <w:t>Comment:</w:t>
      </w:r>
      <w:r>
        <w:t xml:space="preserve"> </w:t>
      </w:r>
      <w:r w:rsidRPr="001E3F3B">
        <w:t xml:space="preserve">The incidence of </w:t>
      </w:r>
      <w:r w:rsidR="007E3719">
        <w:t>investigator assigned</w:t>
      </w:r>
      <w:r w:rsidRPr="001E3F3B">
        <w:t xml:space="preserve"> </w:t>
      </w:r>
      <w:r w:rsidR="007E3719">
        <w:t>treatment related</w:t>
      </w:r>
      <w:r w:rsidRPr="001E3F3B">
        <w:t xml:space="preserve"> adverse events was lowest among patients with TPS</w:t>
      </w:r>
      <w:r w:rsidR="00D53B25">
        <w:t xml:space="preserve"> &gt;</w:t>
      </w:r>
      <w:r w:rsidR="00C10435">
        <w:t xml:space="preserve"> </w:t>
      </w:r>
      <w:r w:rsidRPr="001E3F3B">
        <w:t xml:space="preserve">1% to </w:t>
      </w:r>
      <w:r w:rsidR="009B28D9">
        <w:t xml:space="preserve">&lt; </w:t>
      </w:r>
      <w:r w:rsidRPr="001E3F3B">
        <w:t>50% receiving pembrolizumab. There was no independent assessment of these events.</w:t>
      </w:r>
    </w:p>
    <w:p w14:paraId="522C9B8C" w14:textId="77777777" w:rsidR="001E3F3B" w:rsidRPr="001E3F3B" w:rsidRDefault="001E3F3B" w:rsidP="001E3F3B">
      <w:pPr>
        <w:pStyle w:val="Heading4"/>
      </w:pPr>
      <w:bookmarkStart w:id="148" w:name="_Toc241374320"/>
      <w:bookmarkStart w:id="149" w:name="_Ref272333507"/>
      <w:bookmarkStart w:id="150" w:name="_Toc272414666"/>
      <w:bookmarkStart w:id="151" w:name="_Toc290846304"/>
      <w:bookmarkStart w:id="152" w:name="_Toc453755709"/>
      <w:r w:rsidRPr="001E3F3B">
        <w:t>Deaths and other serious adverse events</w:t>
      </w:r>
      <w:bookmarkEnd w:id="148"/>
      <w:bookmarkEnd w:id="149"/>
      <w:bookmarkEnd w:id="150"/>
      <w:bookmarkEnd w:id="151"/>
      <w:bookmarkEnd w:id="152"/>
    </w:p>
    <w:p w14:paraId="522C9B8D" w14:textId="77777777" w:rsidR="001E3F3B" w:rsidRPr="001E3F3B" w:rsidRDefault="001E3F3B" w:rsidP="001E3F3B">
      <w:pPr>
        <w:pStyle w:val="Heading5"/>
      </w:pPr>
      <w:r w:rsidRPr="001E3F3B">
        <w:t>Pivotal study</w:t>
      </w:r>
    </w:p>
    <w:p w14:paraId="522C9B8E" w14:textId="77777777" w:rsidR="001E3F3B" w:rsidRPr="001E3F3B" w:rsidRDefault="001E3F3B" w:rsidP="001E3F3B">
      <w:r w:rsidRPr="001E3F3B">
        <w:t xml:space="preserve">Events of death in Keynote-010 were reported as patients ‘who died’ and patients ‘who died due to a </w:t>
      </w:r>
      <w:r w:rsidR="007E3719">
        <w:t xml:space="preserve">drug related adverse </w:t>
      </w:r>
      <w:r w:rsidR="007E3719" w:rsidRPr="0078548B">
        <w:t>event’; T</w:t>
      </w:r>
      <w:r w:rsidR="00310181">
        <w:t>able 30</w:t>
      </w:r>
      <w:r w:rsidR="007E3719" w:rsidRPr="0078548B">
        <w:t>.</w:t>
      </w:r>
    </w:p>
    <w:p w14:paraId="522C9B8F" w14:textId="77777777" w:rsidR="001E3F3B" w:rsidRPr="001E3F3B" w:rsidRDefault="001E3F3B" w:rsidP="001E3F3B">
      <w:pPr>
        <w:pStyle w:val="Tabletitle"/>
      </w:pPr>
      <w:bookmarkStart w:id="153" w:name="_Toc453755643"/>
      <w:r w:rsidRPr="0078548B">
        <w:t xml:space="preserve">Table </w:t>
      </w:r>
      <w:r w:rsidR="00310181">
        <w:t>30</w:t>
      </w:r>
      <w:r w:rsidR="0078548B" w:rsidRPr="0078548B">
        <w:t>:</w:t>
      </w:r>
      <w:r w:rsidRPr="001E3F3B">
        <w:t xml:space="preserve"> Number of patients who died, and died due to study </w:t>
      </w:r>
      <w:r w:rsidR="007E3719">
        <w:t>drug related</w:t>
      </w:r>
      <w:r w:rsidRPr="001E3F3B">
        <w:t xml:space="preserve"> events</w:t>
      </w:r>
      <w:bookmarkEnd w:id="153"/>
    </w:p>
    <w:p w14:paraId="522C9B90" w14:textId="77777777" w:rsidR="00B9394D" w:rsidRDefault="001E3F3B" w:rsidP="00C22678">
      <w:pPr>
        <w:rPr>
          <w:lang w:eastAsia="ja-JP"/>
        </w:rPr>
      </w:pPr>
      <w:r>
        <w:rPr>
          <w:noProof/>
          <w:lang w:eastAsia="en-AU"/>
        </w:rPr>
        <w:drawing>
          <wp:inline distT="0" distB="0" distL="0" distR="0" wp14:anchorId="522C9D19" wp14:editId="522C9D1A">
            <wp:extent cx="5731510" cy="834008"/>
            <wp:effectExtent l="0" t="0" r="2540" b="4445"/>
            <wp:docPr id="43" name="Picture 43" descr="Table 30: Number of patients who died, and died due to study drug relate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834008"/>
                    </a:xfrm>
                    <a:prstGeom prst="rect">
                      <a:avLst/>
                    </a:prstGeom>
                  </pic:spPr>
                </pic:pic>
              </a:graphicData>
            </a:graphic>
          </wp:inline>
        </w:drawing>
      </w:r>
    </w:p>
    <w:p w14:paraId="522C9B91" w14:textId="77777777" w:rsidR="000A0844" w:rsidRPr="000A0844" w:rsidRDefault="000A0844" w:rsidP="000A0844">
      <w:r w:rsidRPr="000A0844">
        <w:t xml:space="preserve">There were 3 deaths in each pembrolizumab arm reported </w:t>
      </w:r>
      <w:r w:rsidR="007E3719">
        <w:t xml:space="preserve">by the investigator as possibly </w:t>
      </w:r>
      <w:r w:rsidRPr="000A0844">
        <w:t>related to pembrolizumab:</w:t>
      </w:r>
    </w:p>
    <w:p w14:paraId="522C9B92" w14:textId="77777777" w:rsidR="000A0844" w:rsidRPr="000A0844" w:rsidRDefault="007E3719" w:rsidP="000A0844">
      <w:pPr>
        <w:pStyle w:val="ListBullet"/>
      </w:pPr>
      <w:r>
        <w:t>[Information redacted]</w:t>
      </w:r>
      <w:r w:rsidR="000A0844" w:rsidRPr="000A0844">
        <w:t xml:space="preserve"> (pneumonia), </w:t>
      </w:r>
      <w:r>
        <w:t>[Information redacted]</w:t>
      </w:r>
      <w:r w:rsidRPr="000A0844">
        <w:t xml:space="preserve"> </w:t>
      </w:r>
      <w:r w:rsidR="000A0844" w:rsidRPr="000A0844">
        <w:t xml:space="preserve">(pneumonitis), and </w:t>
      </w:r>
      <w:r>
        <w:t>[Information redacted]</w:t>
      </w:r>
      <w:r w:rsidR="000A0844" w:rsidRPr="000A0844">
        <w:t xml:space="preserve"> (pneumonitis) in the 2 mg/kg Q3W arm; and</w:t>
      </w:r>
    </w:p>
    <w:p w14:paraId="522C9B93" w14:textId="77777777" w:rsidR="000A0844" w:rsidRPr="000A0844" w:rsidRDefault="007E3719" w:rsidP="000A0844">
      <w:pPr>
        <w:pStyle w:val="ListBullet"/>
      </w:pPr>
      <w:r>
        <w:t>[Information redacted]</w:t>
      </w:r>
      <w:r w:rsidRPr="000A0844">
        <w:t xml:space="preserve"> </w:t>
      </w:r>
      <w:r w:rsidR="000A0844" w:rsidRPr="000A0844">
        <w:t>(</w:t>
      </w:r>
      <w:proofErr w:type="gramStart"/>
      <w:r w:rsidR="000A0844" w:rsidRPr="000A0844">
        <w:t>myocardial</w:t>
      </w:r>
      <w:proofErr w:type="gramEnd"/>
      <w:r w:rsidR="000A0844" w:rsidRPr="000A0844">
        <w:t xml:space="preserve"> infarction), </w:t>
      </w:r>
      <w:r>
        <w:t>[Information redacted]</w:t>
      </w:r>
      <w:r w:rsidRPr="000A0844">
        <w:t xml:space="preserve"> </w:t>
      </w:r>
      <w:r w:rsidR="000A0844" w:rsidRPr="000A0844">
        <w:t xml:space="preserve">(pneumonia), and </w:t>
      </w:r>
      <w:r>
        <w:t>[Information redacted]</w:t>
      </w:r>
      <w:r w:rsidRPr="000A0844">
        <w:t xml:space="preserve"> </w:t>
      </w:r>
      <w:r w:rsidR="000A0844" w:rsidRPr="000A0844">
        <w:t>(pneumonitis) in the 10 mg/kg Q3W arm.</w:t>
      </w:r>
    </w:p>
    <w:p w14:paraId="522C9B94" w14:textId="77777777" w:rsidR="000A0844" w:rsidRPr="000A0844" w:rsidRDefault="000A0844" w:rsidP="000A0844">
      <w:r w:rsidRPr="000A0844">
        <w:t>Five deaths, reported as possibly drug related, occurred in the docetaxel arm.</w:t>
      </w:r>
    </w:p>
    <w:p w14:paraId="522C9B95" w14:textId="212A6EBF" w:rsidR="000A0844" w:rsidRPr="000A0844" w:rsidRDefault="000A0844" w:rsidP="000A0844">
      <w:r w:rsidRPr="000A0844">
        <w:t>The pattern of serious adverse events (</w:t>
      </w:r>
      <w:r w:rsidR="005A5C93">
        <w:t>G</w:t>
      </w:r>
      <w:r w:rsidRPr="000A0844">
        <w:t>rades 3</w:t>
      </w:r>
      <w:r w:rsidR="005A5C93">
        <w:t xml:space="preserve"> to </w:t>
      </w:r>
      <w:r w:rsidRPr="000A0844">
        <w:t>5) was d</w:t>
      </w:r>
      <w:r w:rsidR="00EC57E2">
        <w:t xml:space="preserve">issimilar between pembrolizumab and docetaxel </w:t>
      </w:r>
      <w:r w:rsidRPr="000A0844">
        <w:t xml:space="preserve">exposed patients. There was no substantial difference in the proportion of events </w:t>
      </w:r>
      <w:r w:rsidRPr="000A0844">
        <w:lastRenderedPageBreak/>
        <w:t>reported for patients receiving 2mg/kg or 10mg/kg pembrolizumab, however, the rate was lower for those with PD-L1</w:t>
      </w:r>
      <w:r w:rsidR="00D53B25">
        <w:t xml:space="preserve"> &gt;</w:t>
      </w:r>
      <w:r w:rsidR="00C10435">
        <w:t xml:space="preserve"> </w:t>
      </w:r>
      <w:r w:rsidRPr="000A0844">
        <w:t xml:space="preserve">1% to </w:t>
      </w:r>
      <w:r w:rsidR="009B28D9">
        <w:t xml:space="preserve">&lt; </w:t>
      </w:r>
      <w:r w:rsidR="00EC57E2">
        <w:t xml:space="preserve">50% </w:t>
      </w:r>
      <w:r w:rsidR="00EC57E2" w:rsidRPr="0078548B">
        <w:t xml:space="preserve">expression; </w:t>
      </w:r>
      <w:r w:rsidR="005A5C93">
        <w:t xml:space="preserve">see </w:t>
      </w:r>
      <w:r w:rsidR="00EC57E2" w:rsidRPr="0078548B">
        <w:t>T</w:t>
      </w:r>
      <w:r w:rsidR="00310181">
        <w:t>able 31</w:t>
      </w:r>
      <w:r w:rsidR="005A5C93">
        <w:t>, below</w:t>
      </w:r>
      <w:r w:rsidRPr="0078548B">
        <w:t>.</w:t>
      </w:r>
    </w:p>
    <w:p w14:paraId="522C9B96" w14:textId="7FDD3CCD" w:rsidR="000A0844" w:rsidRPr="000A0844" w:rsidRDefault="000A0844" w:rsidP="000A0844">
      <w:pPr>
        <w:pStyle w:val="Tabletitle"/>
      </w:pPr>
      <w:bookmarkStart w:id="154" w:name="_Toc453755644"/>
      <w:r w:rsidRPr="0078548B">
        <w:t xml:space="preserve">Table </w:t>
      </w:r>
      <w:r w:rsidR="00310181">
        <w:t>31</w:t>
      </w:r>
      <w:r w:rsidR="0078548B" w:rsidRPr="0078548B">
        <w:t>:</w:t>
      </w:r>
      <w:r w:rsidRPr="000A0844">
        <w:t xml:space="preserve"> Number of patients with serious </w:t>
      </w:r>
      <w:r w:rsidR="00180044">
        <w:t>(</w:t>
      </w:r>
      <w:r w:rsidR="005A5C93">
        <w:t>G</w:t>
      </w:r>
      <w:r w:rsidRPr="000A0844">
        <w:t>rades 3</w:t>
      </w:r>
      <w:r w:rsidR="005A5C93">
        <w:t xml:space="preserve"> to </w:t>
      </w:r>
      <w:r w:rsidRPr="000A0844">
        <w:t>5) adverse events, Keynote-010</w:t>
      </w:r>
      <w:bookmarkEnd w:id="154"/>
    </w:p>
    <w:p w14:paraId="522C9B97" w14:textId="77777777" w:rsidR="00B9394D" w:rsidRDefault="000A0844" w:rsidP="00C22678">
      <w:pPr>
        <w:rPr>
          <w:lang w:eastAsia="ja-JP"/>
        </w:rPr>
      </w:pPr>
      <w:r>
        <w:rPr>
          <w:noProof/>
          <w:lang w:eastAsia="en-AU"/>
        </w:rPr>
        <w:drawing>
          <wp:inline distT="0" distB="0" distL="0" distR="0" wp14:anchorId="522C9D1B" wp14:editId="522C9D1C">
            <wp:extent cx="5731510" cy="589046"/>
            <wp:effectExtent l="0" t="0" r="2540" b="1905"/>
            <wp:docPr id="44" name="Picture 44" descr="Table 31: Number of patients with serious (grades 3-5) adverse events, Keynot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589046"/>
                    </a:xfrm>
                    <a:prstGeom prst="rect">
                      <a:avLst/>
                    </a:prstGeom>
                  </pic:spPr>
                </pic:pic>
              </a:graphicData>
            </a:graphic>
          </wp:inline>
        </w:drawing>
      </w:r>
    </w:p>
    <w:p w14:paraId="522C9B98" w14:textId="77777777" w:rsidR="000A0844" w:rsidRPr="000A0844" w:rsidRDefault="000A0844" w:rsidP="000A0844">
      <w:r w:rsidRPr="000A0844">
        <w:t>The most frequent SAEs for the patients receiving docetaxel were neutropenia (13.6%), neutrophil count decreased (6.5%), fatigue (5.5%), febrile neutropenia (5.5%), and pneumonia (5.5%).</w:t>
      </w:r>
    </w:p>
    <w:p w14:paraId="522C9B99" w14:textId="77777777" w:rsidR="000A0844" w:rsidRPr="000A0844" w:rsidRDefault="000A0844" w:rsidP="000A0844">
      <w:r w:rsidRPr="000A0844">
        <w:t>The most commonly occurring SAEs for patients receiving pembrolizumab 2 mg/kg Q3W were pneumonia (4.1%), dyspno</w:t>
      </w:r>
      <w:r>
        <w:t>ea (3.8%), and fatigue (3.5%).</w:t>
      </w:r>
    </w:p>
    <w:p w14:paraId="522C9B9A" w14:textId="77777777" w:rsidR="000A0844" w:rsidRPr="000A0844" w:rsidRDefault="000A0844" w:rsidP="000A0844">
      <w:pPr>
        <w:pStyle w:val="Heading5"/>
      </w:pPr>
      <w:r w:rsidRPr="000A0844">
        <w:t>Supportive study</w:t>
      </w:r>
    </w:p>
    <w:p w14:paraId="522C9B9B" w14:textId="77777777" w:rsidR="000A0844" w:rsidRPr="000A0844" w:rsidRDefault="000A0844" w:rsidP="000A0844">
      <w:r w:rsidRPr="000A0844">
        <w:t>Among the patients with NSCLC in Keynote-001, there was a similar incidence of grade 3-5 adverse events for the three treatment regimens, which were consistent with the incidence in Keynote-010.</w:t>
      </w:r>
    </w:p>
    <w:p w14:paraId="522C9B9C" w14:textId="65729263" w:rsidR="000A0844" w:rsidRPr="000A0844" w:rsidRDefault="000A0844" w:rsidP="000A0844">
      <w:r w:rsidRPr="000A0844">
        <w:t>The incidence of one or more adverse event was 43%, 45% and 46% for the 2mg/kg Q3W, 10</w:t>
      </w:r>
      <w:r w:rsidR="00BB1577">
        <w:t> </w:t>
      </w:r>
      <w:r w:rsidRPr="000A0844">
        <w:t xml:space="preserve">mg/kg Q3W and </w:t>
      </w:r>
      <w:r>
        <w:t>10 mg/kg Q2W arms respectively.</w:t>
      </w:r>
    </w:p>
    <w:p w14:paraId="522C9B9D" w14:textId="77777777" w:rsidR="000A0844" w:rsidRPr="000A0844" w:rsidRDefault="000A0844" w:rsidP="000A0844">
      <w:pPr>
        <w:pStyle w:val="Heading4"/>
      </w:pPr>
      <w:bookmarkStart w:id="155" w:name="_Toc241374325"/>
      <w:bookmarkStart w:id="156" w:name="_Ref272333477"/>
      <w:bookmarkStart w:id="157" w:name="_Toc272414667"/>
      <w:bookmarkStart w:id="158" w:name="_Toc290846305"/>
      <w:bookmarkStart w:id="159" w:name="_Toc453755710"/>
      <w:r w:rsidRPr="000A0844">
        <w:t>Discontinuation due to adverse events</w:t>
      </w:r>
      <w:bookmarkEnd w:id="155"/>
      <w:bookmarkEnd w:id="156"/>
      <w:bookmarkEnd w:id="157"/>
      <w:bookmarkEnd w:id="158"/>
      <w:bookmarkEnd w:id="159"/>
    </w:p>
    <w:p w14:paraId="522C9B9E" w14:textId="77777777" w:rsidR="000A0844" w:rsidRPr="000A0844" w:rsidRDefault="000A0844" w:rsidP="000A0844">
      <w:pPr>
        <w:pStyle w:val="Heading5"/>
      </w:pPr>
      <w:r w:rsidRPr="000A0844">
        <w:t>Pivotal study</w:t>
      </w:r>
    </w:p>
    <w:p w14:paraId="522C9B9F" w14:textId="3FDAB63A" w:rsidR="000A0844" w:rsidRPr="000A0844" w:rsidRDefault="000A0844" w:rsidP="000A0844">
      <w:r w:rsidRPr="000A0844">
        <w:t>For the patients in Keynote-010, there were generally fewer patients who discontinued among those receiving pembrolizumab as compared to docetaxel. Discontinuations were generally lower among the patients receiving pembrolizumab with a TPS</w:t>
      </w:r>
      <w:r w:rsidR="00D53B25">
        <w:t xml:space="preserve"> &gt;</w:t>
      </w:r>
      <w:r w:rsidR="00C10435">
        <w:t xml:space="preserve"> </w:t>
      </w:r>
      <w:r w:rsidRPr="000A0844">
        <w:t xml:space="preserve">1% to </w:t>
      </w:r>
      <w:r w:rsidR="009B28D9">
        <w:t xml:space="preserve">&lt; </w:t>
      </w:r>
      <w:r w:rsidR="00EC57E2">
        <w:t>50</w:t>
      </w:r>
      <w:r w:rsidR="00EC57E2" w:rsidRPr="0078548B">
        <w:t xml:space="preserve">%; </w:t>
      </w:r>
      <w:r w:rsidR="00BB1577">
        <w:t xml:space="preserve">see </w:t>
      </w:r>
      <w:r w:rsidR="00EC57E2" w:rsidRPr="0078548B">
        <w:t>T</w:t>
      </w:r>
      <w:r w:rsidR="00310181">
        <w:t>able 32</w:t>
      </w:r>
      <w:r w:rsidR="00BB1577">
        <w:t>, below</w:t>
      </w:r>
      <w:r w:rsidRPr="0078548B">
        <w:t>.</w:t>
      </w:r>
    </w:p>
    <w:p w14:paraId="522C9BA0" w14:textId="77777777" w:rsidR="00B9394D" w:rsidRDefault="000A0844" w:rsidP="000A0844">
      <w:pPr>
        <w:pStyle w:val="Tabletitle"/>
        <w:rPr>
          <w:lang w:eastAsia="ja-JP"/>
        </w:rPr>
      </w:pPr>
      <w:bookmarkStart w:id="160" w:name="_Toc453755645"/>
      <w:r w:rsidRPr="0078548B">
        <w:t>Table</w:t>
      </w:r>
      <w:r w:rsidR="00310181">
        <w:t xml:space="preserve"> 32</w:t>
      </w:r>
      <w:r w:rsidR="00EC57E2" w:rsidRPr="0078548B">
        <w:rPr>
          <w:noProof/>
        </w:rPr>
        <w:t>:</w:t>
      </w:r>
      <w:r w:rsidRPr="0078548B">
        <w:t xml:space="preserve"> Proportion of discontinuations in Keynote-010 by study treatment and PD-L1</w:t>
      </w:r>
      <w:r>
        <w:t xml:space="preserve"> status</w:t>
      </w:r>
      <w:bookmarkEnd w:id="160"/>
    </w:p>
    <w:p w14:paraId="522C9BA1" w14:textId="77777777" w:rsidR="000A0844" w:rsidRDefault="000A0844" w:rsidP="00C22678">
      <w:pPr>
        <w:rPr>
          <w:lang w:eastAsia="ja-JP"/>
        </w:rPr>
      </w:pPr>
      <w:r>
        <w:rPr>
          <w:noProof/>
          <w:lang w:eastAsia="en-AU"/>
        </w:rPr>
        <w:drawing>
          <wp:inline distT="0" distB="0" distL="0" distR="0" wp14:anchorId="522C9D1D" wp14:editId="522C9D1E">
            <wp:extent cx="5731510" cy="2067263"/>
            <wp:effectExtent l="0" t="0" r="2540" b="9525"/>
            <wp:docPr id="45" name="Picture 45" descr="Table 32: Proportion of discontinuations in Keynote-010 by study treatment and PD-L1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2067263"/>
                    </a:xfrm>
                    <a:prstGeom prst="rect">
                      <a:avLst/>
                    </a:prstGeom>
                  </pic:spPr>
                </pic:pic>
              </a:graphicData>
            </a:graphic>
          </wp:inline>
        </w:drawing>
      </w:r>
    </w:p>
    <w:p w14:paraId="522C9BA2" w14:textId="77777777" w:rsidR="000A0844" w:rsidRPr="000A0844" w:rsidRDefault="000A0844" w:rsidP="000A0844">
      <w:pPr>
        <w:pStyle w:val="Heading4"/>
      </w:pPr>
      <w:bookmarkStart w:id="161" w:name="_Toc453755711"/>
      <w:r w:rsidRPr="000A0844">
        <w:t xml:space="preserve">Blood </w:t>
      </w:r>
      <w:r w:rsidR="00EC57E2">
        <w:t>and</w:t>
      </w:r>
      <w:r w:rsidRPr="000A0844">
        <w:t xml:space="preserve"> lymphatic disorders</w:t>
      </w:r>
      <w:bookmarkEnd w:id="161"/>
    </w:p>
    <w:p w14:paraId="522C9BA3" w14:textId="77777777" w:rsidR="000A0844" w:rsidRPr="000A0844" w:rsidRDefault="000A0844" w:rsidP="000A0844">
      <w:pPr>
        <w:pStyle w:val="Heading5"/>
      </w:pPr>
      <w:r w:rsidRPr="000A0844">
        <w:t>Pivotal studies</w:t>
      </w:r>
    </w:p>
    <w:p w14:paraId="522C9BA4" w14:textId="77777777" w:rsidR="000A0844" w:rsidRPr="000A0844" w:rsidRDefault="000A0844" w:rsidP="000A0844">
      <w:pPr>
        <w:pStyle w:val="Heading6"/>
      </w:pPr>
      <w:r w:rsidRPr="000A0844">
        <w:t>Keynote-010 patients with PD-L1</w:t>
      </w:r>
      <w:r w:rsidR="00D53B25">
        <w:t xml:space="preserve"> &gt;</w:t>
      </w:r>
      <w:r w:rsidR="00C10435">
        <w:t xml:space="preserve"> </w:t>
      </w:r>
      <w:r w:rsidRPr="000A0844">
        <w:t>50%</w:t>
      </w:r>
    </w:p>
    <w:p w14:paraId="522C9BA5" w14:textId="23F88CEB" w:rsidR="000A0844" w:rsidRPr="000A0844" w:rsidRDefault="000A0844" w:rsidP="000A0844">
      <w:r w:rsidRPr="000A0844">
        <w:t>The incidence of haematology adverse events was lower among patients e</w:t>
      </w:r>
      <w:r w:rsidR="00EC57E2">
        <w:t>xposed to pembrolizumab 2mg/kg;</w:t>
      </w:r>
      <w:r w:rsidRPr="000A0844">
        <w:t xml:space="preserve"> 26/137 (26%) as compared to 47/133 (35%) in those receiving docetaxel, notably due to differences in events of anaemia, neutropaenia, </w:t>
      </w:r>
      <w:r w:rsidR="00180044" w:rsidRPr="000A0844">
        <w:t>leu</w:t>
      </w:r>
      <w:r w:rsidR="00180044">
        <w:t>copoenia</w:t>
      </w:r>
      <w:r>
        <w:t xml:space="preserve"> and thrombocytopaenia.</w:t>
      </w:r>
    </w:p>
    <w:p w14:paraId="522C9BA6" w14:textId="77777777" w:rsidR="000A0844" w:rsidRPr="000A0844" w:rsidRDefault="000A0844" w:rsidP="000A0844">
      <w:pPr>
        <w:pStyle w:val="Heading6"/>
      </w:pPr>
      <w:r w:rsidRPr="000A0844">
        <w:lastRenderedPageBreak/>
        <w:t>Keynote-010 patients with PD-L1</w:t>
      </w:r>
      <w:r w:rsidR="00D53B25">
        <w:t xml:space="preserve"> &gt;</w:t>
      </w:r>
      <w:r w:rsidR="00C10435">
        <w:t xml:space="preserve"> </w:t>
      </w:r>
      <w:r w:rsidRPr="000A0844">
        <w:t xml:space="preserve">1% to </w:t>
      </w:r>
      <w:r w:rsidR="009B28D9">
        <w:t xml:space="preserve">&lt; </w:t>
      </w:r>
      <w:r w:rsidRPr="000A0844">
        <w:t>50%</w:t>
      </w:r>
    </w:p>
    <w:p w14:paraId="522C9BA7" w14:textId="77777777" w:rsidR="000A0844" w:rsidRPr="000A0844" w:rsidRDefault="000A0844" w:rsidP="000A0844">
      <w:r w:rsidRPr="000A0844">
        <w:t>The incidence of events under this AE category were less common among those receiving pembrolizumab 2 mg/kg Q3W than among those with a TPS</w:t>
      </w:r>
      <w:r w:rsidR="00D53B25">
        <w:t xml:space="preserve"> &gt;</w:t>
      </w:r>
      <w:r w:rsidR="00C10435">
        <w:t xml:space="preserve"> </w:t>
      </w:r>
      <w:r w:rsidRPr="000A0844">
        <w:t>50%. In total 27/202 (13.4%) of patients experienced one or more AE; for patients receiving docetaxel, 67/176 (38.1%) experienced at least one AE.</w:t>
      </w:r>
    </w:p>
    <w:p w14:paraId="522C9BA8" w14:textId="77777777" w:rsidR="000A0844" w:rsidRPr="000A0844" w:rsidRDefault="000A0844" w:rsidP="000A0844">
      <w:pPr>
        <w:pStyle w:val="Heading4"/>
      </w:pPr>
      <w:bookmarkStart w:id="162" w:name="_Toc272414675"/>
      <w:bookmarkStart w:id="163" w:name="_Toc290846313"/>
      <w:bookmarkStart w:id="164" w:name="_Toc453755712"/>
      <w:r w:rsidRPr="000A0844">
        <w:t>Electrocardiograph</w:t>
      </w:r>
      <w:bookmarkEnd w:id="162"/>
      <w:bookmarkEnd w:id="163"/>
      <w:bookmarkEnd w:id="164"/>
    </w:p>
    <w:p w14:paraId="522C9BA9" w14:textId="77777777" w:rsidR="00D53B25" w:rsidRDefault="000A0844" w:rsidP="000A0844">
      <w:r w:rsidRPr="000A0844">
        <w:t xml:space="preserve">A formal </w:t>
      </w:r>
      <w:proofErr w:type="spellStart"/>
      <w:r w:rsidRPr="000A0844">
        <w:t>QTc</w:t>
      </w:r>
      <w:proofErr w:type="spellEnd"/>
      <w:r w:rsidRPr="000A0844">
        <w:t xml:space="preserve"> study was not performed. The sponsor reports that prolongations of </w:t>
      </w:r>
      <w:proofErr w:type="spellStart"/>
      <w:r w:rsidRPr="000A0844">
        <w:t>QTcF</w:t>
      </w:r>
      <w:proofErr w:type="spellEnd"/>
      <w:r w:rsidRPr="000A0844">
        <w:t xml:space="preserve"> have not been reported from any of the clinical studies to date</w:t>
      </w:r>
      <w:r w:rsidR="00D53B25">
        <w:t>.</w:t>
      </w:r>
    </w:p>
    <w:p w14:paraId="522C9BAA" w14:textId="77777777" w:rsidR="000A0844" w:rsidRPr="000A0844" w:rsidRDefault="000A0844" w:rsidP="000A0844">
      <w:r w:rsidRPr="000A0844">
        <w:t>The absence of reported QT effects is in contrast with the observed effects on cardiac rhythm and rate, and events</w:t>
      </w:r>
      <w:r w:rsidR="00EC57E2">
        <w:t xml:space="preserve"> of myocarditis as reported in </w:t>
      </w:r>
      <w:r w:rsidR="00EC57E2" w:rsidRPr="00180044">
        <w:t>S</w:t>
      </w:r>
      <w:r w:rsidRPr="00180044">
        <w:t>ection 8.6.</w:t>
      </w:r>
    </w:p>
    <w:p w14:paraId="522C9BAB" w14:textId="77777777" w:rsidR="000A0844" w:rsidRPr="000A0844" w:rsidRDefault="000A0844" w:rsidP="000A0844">
      <w:pPr>
        <w:pStyle w:val="Heading4"/>
      </w:pPr>
      <w:bookmarkStart w:id="165" w:name="_Toc453755713"/>
      <w:proofErr w:type="spellStart"/>
      <w:r w:rsidRPr="000A0844">
        <w:t>Hypophysitis</w:t>
      </w:r>
      <w:bookmarkEnd w:id="165"/>
      <w:proofErr w:type="spellEnd"/>
    </w:p>
    <w:p w14:paraId="522C9BAC" w14:textId="77777777" w:rsidR="000A0844" w:rsidRPr="000A0844" w:rsidRDefault="000A0844" w:rsidP="000A0844">
      <w:pPr>
        <w:pStyle w:val="Heading5"/>
      </w:pPr>
      <w:r w:rsidRPr="000A0844">
        <w:t>Pivotal studies</w:t>
      </w:r>
    </w:p>
    <w:p w14:paraId="522C9BAD" w14:textId="1142E86B" w:rsidR="000A0844" w:rsidRPr="000A0844" w:rsidRDefault="000A0844" w:rsidP="000A0844">
      <w:r w:rsidRPr="000A0844">
        <w:t xml:space="preserve">Among all patients treated in Keynote-010, </w:t>
      </w:r>
      <w:r w:rsidR="0057074E">
        <w:t>2</w:t>
      </w:r>
      <w:r w:rsidR="0057074E" w:rsidRPr="000A0844">
        <w:t xml:space="preserve"> </w:t>
      </w:r>
      <w:r w:rsidRPr="000A0844">
        <w:t xml:space="preserve">events </w:t>
      </w:r>
      <w:r w:rsidR="00EC57E2">
        <w:t xml:space="preserve">of </w:t>
      </w:r>
      <w:proofErr w:type="spellStart"/>
      <w:r w:rsidR="00EC57E2">
        <w:t>hypophysitis</w:t>
      </w:r>
      <w:proofErr w:type="spellEnd"/>
      <w:r w:rsidR="00EC57E2">
        <w:t xml:space="preserve"> were reported; </w:t>
      </w:r>
      <w:r w:rsidRPr="000A0844">
        <w:t>one occurring in each</w:t>
      </w:r>
      <w:r>
        <w:t xml:space="preserve"> of the two pembrolizumab arms.</w:t>
      </w:r>
    </w:p>
    <w:p w14:paraId="522C9BAE" w14:textId="77777777" w:rsidR="000A0844" w:rsidRPr="000A0844" w:rsidRDefault="000A0844" w:rsidP="000A0844">
      <w:pPr>
        <w:pStyle w:val="Heading5"/>
      </w:pPr>
      <w:r w:rsidRPr="000A0844">
        <w:t>Other studies</w:t>
      </w:r>
    </w:p>
    <w:p w14:paraId="522C9BAF" w14:textId="4EDB0A91" w:rsidR="000A0844" w:rsidRPr="000A0844" w:rsidRDefault="000A0844" w:rsidP="000A0844">
      <w:r w:rsidRPr="000A0844">
        <w:t xml:space="preserve">In total, </w:t>
      </w:r>
      <w:r w:rsidR="0057074E">
        <w:t>17</w:t>
      </w:r>
      <w:r w:rsidR="0057074E" w:rsidRPr="000A0844">
        <w:t xml:space="preserve"> </w:t>
      </w:r>
      <w:r w:rsidRPr="000A0844">
        <w:t xml:space="preserve">events of </w:t>
      </w:r>
      <w:proofErr w:type="spellStart"/>
      <w:r w:rsidRPr="000A0844">
        <w:t>hypophysitis</w:t>
      </w:r>
      <w:proofErr w:type="spellEnd"/>
      <w:r w:rsidRPr="000A0844">
        <w:t xml:space="preserve"> have been reported among the 2</w:t>
      </w:r>
      <w:r w:rsidR="00EC57E2">
        <w:t>,</w:t>
      </w:r>
      <w:r w:rsidRPr="000A0844">
        <w:t>799 patients (0.6%) included in</w:t>
      </w:r>
      <w:r>
        <w:t xml:space="preserve"> the integrated safety summary.</w:t>
      </w:r>
    </w:p>
    <w:p w14:paraId="522C9BB0" w14:textId="77777777" w:rsidR="000A0844" w:rsidRPr="000A0844" w:rsidRDefault="000A0844" w:rsidP="000A0844">
      <w:pPr>
        <w:pStyle w:val="Heading3"/>
      </w:pPr>
      <w:bookmarkStart w:id="166" w:name="_Toc241374326"/>
      <w:bookmarkStart w:id="167" w:name="_Ref272333048"/>
      <w:bookmarkStart w:id="168" w:name="_Toc272414679"/>
      <w:bookmarkStart w:id="169" w:name="_Toc290846317"/>
      <w:bookmarkStart w:id="170" w:name="_Toc453755714"/>
      <w:bookmarkStart w:id="171" w:name="_Toc513557819"/>
      <w:r w:rsidRPr="000A0844">
        <w:t>Post-marketing experience</w:t>
      </w:r>
      <w:bookmarkEnd w:id="166"/>
      <w:bookmarkEnd w:id="167"/>
      <w:bookmarkEnd w:id="168"/>
      <w:bookmarkEnd w:id="169"/>
      <w:bookmarkEnd w:id="170"/>
      <w:bookmarkEnd w:id="171"/>
    </w:p>
    <w:p w14:paraId="522C9BB1" w14:textId="4EF2DA2B" w:rsidR="000A0844" w:rsidRPr="000A0844" w:rsidRDefault="000A0844" w:rsidP="000A0844">
      <w:r w:rsidRPr="000A0844">
        <w:t xml:space="preserve">The following descriptions of adverse events arise from post-marketing case reports presented in the dossier and from the Integrated Analysis of safety, which amalgamates all patients from the melanoma and NSCLC </w:t>
      </w:r>
      <w:r w:rsidR="0057074E">
        <w:t>S</w:t>
      </w:r>
      <w:r w:rsidRPr="000A0844">
        <w:t>tudies PN001, PN002, PN006 and PN010, and Periodic Safety Updat</w:t>
      </w:r>
      <w:r w:rsidR="00EC57E2">
        <w:t xml:space="preserve">e Report covering the period 4 </w:t>
      </w:r>
      <w:r w:rsidR="00D53B25">
        <w:t>September</w:t>
      </w:r>
      <w:r w:rsidR="00EC57E2">
        <w:t xml:space="preserve"> 2014 to 3 </w:t>
      </w:r>
      <w:r w:rsidR="00D53B25">
        <w:t>September</w:t>
      </w:r>
      <w:r w:rsidR="00EC57E2">
        <w:t xml:space="preserve"> </w:t>
      </w:r>
      <w:r w:rsidRPr="000A0844">
        <w:t>2015 was presented.</w:t>
      </w:r>
    </w:p>
    <w:p w14:paraId="522C9BB2" w14:textId="77777777" w:rsidR="000A0844" w:rsidRPr="000A0844" w:rsidRDefault="000A0844" w:rsidP="000A0844">
      <w:pPr>
        <w:pStyle w:val="Heading4"/>
      </w:pPr>
      <w:r w:rsidRPr="000A0844">
        <w:t>Peripheral neuropathy</w:t>
      </w:r>
    </w:p>
    <w:p w14:paraId="522C9BB3" w14:textId="77777777" w:rsidR="000A0844" w:rsidRPr="000A0844" w:rsidRDefault="000A0844" w:rsidP="000A0844">
      <w:r w:rsidRPr="000A0844">
        <w:t>Events of peripheral neuropathy are described using the multiple terms: axonal neuropathy, neuropathy peripheral, peripheral motor neuropathy, peripheral sensory neuropathy, radial nerve palsy and sensory loss. In total 115 events were reported among 2</w:t>
      </w:r>
      <w:r w:rsidR="00EC57E2">
        <w:t>,</w:t>
      </w:r>
      <w:r w:rsidRPr="000A0844">
        <w:t>799 patients (4.1%).</w:t>
      </w:r>
    </w:p>
    <w:p w14:paraId="522C9BB4" w14:textId="77777777" w:rsidR="000A0844" w:rsidRPr="000A0844" w:rsidRDefault="000A0844" w:rsidP="000A0844">
      <w:pPr>
        <w:pStyle w:val="Heading4"/>
      </w:pPr>
      <w:r w:rsidRPr="000A0844">
        <w:t>Myasthenic syndrome/myasthenia gravis</w:t>
      </w:r>
    </w:p>
    <w:p w14:paraId="522C9BB5" w14:textId="0183199F" w:rsidR="00D53B25" w:rsidRDefault="000A0844" w:rsidP="000A0844">
      <w:r w:rsidRPr="000A0844">
        <w:t xml:space="preserve">The sponsor provided CIOMS reports for </w:t>
      </w:r>
      <w:r w:rsidR="00194361">
        <w:t xml:space="preserve">8 </w:t>
      </w:r>
      <w:r w:rsidRPr="000A0844">
        <w:t xml:space="preserve">patients receiving pembrolizumab who developed myasthenic syndrome/myasthenia gravis symptoms. Of the </w:t>
      </w:r>
      <w:r w:rsidR="00194361">
        <w:t>8</w:t>
      </w:r>
      <w:r w:rsidR="00194361" w:rsidRPr="000A0844">
        <w:t xml:space="preserve"> </w:t>
      </w:r>
      <w:r w:rsidRPr="000A0844">
        <w:t>reports, one was assigned ‘related’</w:t>
      </w:r>
      <w:r w:rsidR="00194361">
        <w:t>,</w:t>
      </w:r>
      <w:r w:rsidRPr="000A0844">
        <w:t xml:space="preserve"> </w:t>
      </w:r>
      <w:r w:rsidR="00194361">
        <w:t>2</w:t>
      </w:r>
      <w:r w:rsidR="00194361" w:rsidRPr="000A0844">
        <w:t xml:space="preserve"> </w:t>
      </w:r>
      <w:r w:rsidRPr="000A0844">
        <w:t xml:space="preserve">were ‘possibly related’ and </w:t>
      </w:r>
      <w:r w:rsidR="00194361">
        <w:t>4</w:t>
      </w:r>
      <w:r w:rsidR="00194361" w:rsidRPr="000A0844">
        <w:t xml:space="preserve"> </w:t>
      </w:r>
      <w:r w:rsidRPr="000A0844">
        <w:t xml:space="preserve">did not attribute causality. Of the </w:t>
      </w:r>
      <w:r w:rsidR="00194361">
        <w:t>4</w:t>
      </w:r>
      <w:r w:rsidR="00194361" w:rsidRPr="000A0844">
        <w:t xml:space="preserve"> </w:t>
      </w:r>
      <w:r w:rsidRPr="000A0844">
        <w:t>reports without attribution, one patient’s symptoms occurred following the first pembrolizumab dose and one patient’s symptoms occurred after the second dose</w:t>
      </w:r>
      <w:r w:rsidR="00D53B25">
        <w:t>.</w:t>
      </w:r>
    </w:p>
    <w:p w14:paraId="522C9BB6" w14:textId="77777777" w:rsidR="000A0844" w:rsidRPr="000A0844" w:rsidRDefault="000A0844" w:rsidP="000A0844">
      <w:r w:rsidRPr="000A0844">
        <w:t>One of the reports attributed the events to c</w:t>
      </w:r>
      <w:r>
        <w:t>oncomitant use with ipilimumab.</w:t>
      </w:r>
    </w:p>
    <w:p w14:paraId="522C9BB7" w14:textId="68AED3D7" w:rsidR="000A0844" w:rsidRPr="000A0844" w:rsidRDefault="000A0844" w:rsidP="000A0844">
      <w:pPr>
        <w:pStyle w:val="Comment"/>
      </w:pPr>
      <w:r w:rsidRPr="000A0844">
        <w:rPr>
          <w:b/>
        </w:rPr>
        <w:t>Comment:</w:t>
      </w:r>
      <w:r>
        <w:t xml:space="preserve"> </w:t>
      </w:r>
      <w:r w:rsidRPr="000A0844">
        <w:t xml:space="preserve">In the absence of any evidence to the contrary, the evaluator considers those four patients without causation assignment to be related to pembrolizumab. The sponsor has stated in the Integrated Analysis of safety, that </w:t>
      </w:r>
      <w:r w:rsidR="00EF3E5B">
        <w:t>‘</w:t>
      </w:r>
      <w:r w:rsidRPr="000A0844">
        <w:t>Due to the analysis of AEOSI, myasthenic syndrome was re-categor</w:t>
      </w:r>
      <w:r w:rsidR="00EF3E5B">
        <w:t>ised</w:t>
      </w:r>
      <w:r w:rsidRPr="000A0844">
        <w:t xml:space="preserve"> as a potential risk</w:t>
      </w:r>
      <w:r w:rsidR="00EF3E5B">
        <w:t>’</w:t>
      </w:r>
      <w:r w:rsidRPr="000A0844">
        <w:t>. This statement now appears inaccurate, as there are confirmed cases of myasthenic syndrome/myasthenia gravis that have been observed and reported.</w:t>
      </w:r>
    </w:p>
    <w:p w14:paraId="522C9BB8" w14:textId="73D84C63" w:rsidR="000A0844" w:rsidRPr="000A0844" w:rsidRDefault="000A0844" w:rsidP="000A0844">
      <w:pPr>
        <w:ind w:left="1134"/>
      </w:pPr>
      <w:r w:rsidRPr="000A0844">
        <w:t xml:space="preserve">The evaluator notes the FDA approved label for the PD-L1 inhibitor </w:t>
      </w:r>
      <w:proofErr w:type="spellStart"/>
      <w:r w:rsidRPr="000A0844">
        <w:t>atezolizumab</w:t>
      </w:r>
      <w:proofErr w:type="spellEnd"/>
      <w:r w:rsidRPr="000A0844">
        <w:t xml:space="preserve"> contains a specific warning and dose modification instructions to permanently cease this drug in the event of symptoms of myasthenia</w:t>
      </w:r>
      <w:r w:rsidR="00194361">
        <w:t>.</w:t>
      </w:r>
      <w:r w:rsidRPr="000A0844">
        <w:t xml:space="preserve"> (</w:t>
      </w:r>
      <w:r w:rsidR="00EC57E2" w:rsidRPr="00EC57E2">
        <w:t>http://www.accessdata.fda.gov/drugsatfda_docs/label/2016/761034s000lbl.pdf</w:t>
      </w:r>
      <w:r w:rsidR="00EC57E2">
        <w:t xml:space="preserve"> accessed August 2016</w:t>
      </w:r>
      <w:r w:rsidRPr="000A0844">
        <w:t>)</w:t>
      </w:r>
    </w:p>
    <w:p w14:paraId="522C9BB9" w14:textId="77777777" w:rsidR="000A0844" w:rsidRPr="000A0844" w:rsidRDefault="000A0844" w:rsidP="000A0844">
      <w:pPr>
        <w:ind w:left="1134"/>
      </w:pPr>
      <w:r w:rsidRPr="000A0844">
        <w:lastRenderedPageBreak/>
        <w:t>Myasthenic symptoms were reported in a patient receiving the combination of ip</w:t>
      </w:r>
      <w:r w:rsidR="00EC57E2">
        <w:t>ilimumab and nivolumab (Muscle and</w:t>
      </w:r>
      <w:r w:rsidRPr="000A0844">
        <w:t xml:space="preserve"> Nerve, volume 52 issue 2 page</w:t>
      </w:r>
      <w:r w:rsidR="00EC57E2">
        <w:t>;</w:t>
      </w:r>
      <w:r w:rsidRPr="000A0844">
        <w:t xml:space="preserve"> 307-308).</w:t>
      </w:r>
    </w:p>
    <w:p w14:paraId="522C9BBA" w14:textId="77777777" w:rsidR="000A0844" w:rsidRPr="000A0844" w:rsidRDefault="000A0844" w:rsidP="000A0844">
      <w:pPr>
        <w:ind w:left="1134"/>
      </w:pPr>
      <w:r w:rsidRPr="000A0844">
        <w:t>Given the potential for a PD-L1 class effect in the development of myasthenic syndrome/myasthenia gravis, the PI for pembrolizumab should be amended to include a warning and instructions to permanently discontinue pembrolizumab treatment in such patients.</w:t>
      </w:r>
    </w:p>
    <w:p w14:paraId="522C9BBB" w14:textId="1601C0B4" w:rsidR="000A0844" w:rsidRPr="000A0844" w:rsidRDefault="000A0844" w:rsidP="000A0844">
      <w:pPr>
        <w:pStyle w:val="Heading4"/>
      </w:pPr>
      <w:r w:rsidRPr="000A0844">
        <w:t>Myocarditis/</w:t>
      </w:r>
      <w:r w:rsidR="005A695B">
        <w:t>p</w:t>
      </w:r>
      <w:r w:rsidRPr="000A0844">
        <w:t>ericarditis/pericardial effusion/pericardial tamponade</w:t>
      </w:r>
    </w:p>
    <w:p w14:paraId="522C9BBC" w14:textId="0012E511" w:rsidR="000A0844" w:rsidRPr="000A0844" w:rsidRDefault="000A0844" w:rsidP="000A0844">
      <w:r w:rsidRPr="000A0844">
        <w:t xml:space="preserve">The sponsor presented line listing reports for </w:t>
      </w:r>
      <w:r w:rsidR="005A695B">
        <w:t>9</w:t>
      </w:r>
      <w:r w:rsidR="005A695B" w:rsidRPr="000A0844">
        <w:t xml:space="preserve"> </w:t>
      </w:r>
      <w:r w:rsidRPr="000A0844">
        <w:t xml:space="preserve">events, including fatal events, within these AE categories, </w:t>
      </w:r>
      <w:r w:rsidR="005A695B">
        <w:t>7</w:t>
      </w:r>
      <w:r w:rsidR="005A695B" w:rsidRPr="000A0844">
        <w:t xml:space="preserve"> </w:t>
      </w:r>
      <w:r w:rsidRPr="000A0844">
        <w:t>of which were assigned ‘related’ to pembrolizumab. Two patients were reported to have events of myocarditis, one of which was categorised as ‘related’ to pembrolizumab.</w:t>
      </w:r>
    </w:p>
    <w:p w14:paraId="522C9BBD" w14:textId="77777777" w:rsidR="000A0844" w:rsidRPr="000A0844" w:rsidRDefault="000A0844" w:rsidP="000A0844">
      <w:r w:rsidRPr="000A0844">
        <w:t>In the Integrated Analysis of Safety, there are listed events of: ‘pericardial effusion’ 27/2799 (1.0%), ‘Cardiac tamponade’ 6/2799 (0.2%), ‘Pericarditis’ 2/2799 (0.1%)</w:t>
      </w:r>
    </w:p>
    <w:p w14:paraId="522C9BBE" w14:textId="14730B7E" w:rsidR="000A0844" w:rsidRPr="000A0844" w:rsidRDefault="000A0844" w:rsidP="000A0844">
      <w:pPr>
        <w:pStyle w:val="Comment"/>
      </w:pPr>
      <w:r w:rsidRPr="000A0844">
        <w:rPr>
          <w:b/>
        </w:rPr>
        <w:t>Comment</w:t>
      </w:r>
      <w:r w:rsidRPr="005A695B">
        <w:rPr>
          <w:b/>
        </w:rPr>
        <w:t>:</w:t>
      </w:r>
      <w:r w:rsidRPr="00180044">
        <w:t xml:space="preserve"> </w:t>
      </w:r>
      <w:r w:rsidRPr="000A0844">
        <w:t xml:space="preserve">This information regarding these reported AEs is contrary to the statement in the integrated summary of safety, page 781, </w:t>
      </w:r>
      <w:proofErr w:type="gramStart"/>
      <w:r w:rsidR="00EF3E5B">
        <w:t>‘</w:t>
      </w:r>
      <w:r w:rsidRPr="000A0844">
        <w:t>No</w:t>
      </w:r>
      <w:proofErr w:type="gramEnd"/>
      <w:r w:rsidRPr="000A0844">
        <w:t xml:space="preserve"> cases of myocarditis or neuropathy, outside of </w:t>
      </w:r>
      <w:proofErr w:type="spellStart"/>
      <w:r w:rsidRPr="000A0844">
        <w:t>Guillian-Barr</w:t>
      </w:r>
      <w:r w:rsidR="005A695B">
        <w:t>é</w:t>
      </w:r>
      <w:proofErr w:type="spellEnd"/>
      <w:r w:rsidRPr="000A0844">
        <w:t xml:space="preserve"> syndrome, have been observed.</w:t>
      </w:r>
      <w:r w:rsidR="00EF3E5B">
        <w:t>’</w:t>
      </w:r>
    </w:p>
    <w:p w14:paraId="522C9BBF" w14:textId="77777777" w:rsidR="000A0844" w:rsidRPr="000A0844" w:rsidRDefault="000A0844" w:rsidP="000A0844">
      <w:pPr>
        <w:ind w:left="1134"/>
      </w:pPr>
      <w:r w:rsidRPr="000A0844">
        <w:t>It is plausible that the events of myocarditis/pericarditis/pericardial effusion/pericardial tamponade share a common aetiology and clinical presentation and the therefore the risk should be adequately reported in the PI.</w:t>
      </w:r>
    </w:p>
    <w:p w14:paraId="522C9BC0" w14:textId="77777777" w:rsidR="000A0844" w:rsidRPr="000A0844" w:rsidRDefault="000A0844" w:rsidP="000A0844">
      <w:pPr>
        <w:pStyle w:val="Heading4"/>
      </w:pPr>
      <w:r w:rsidRPr="000A0844">
        <w:t>Cardiac rhythm abnormalities</w:t>
      </w:r>
    </w:p>
    <w:p w14:paraId="522C9BC1" w14:textId="65ECE36F" w:rsidR="000A0844" w:rsidRPr="000A0844" w:rsidRDefault="000A0844" w:rsidP="000A0844">
      <w:r w:rsidRPr="000A0844">
        <w:t>From the Integrated Analysis of Safety, events of cardiac rhythm</w:t>
      </w:r>
      <w:r w:rsidR="00EC57E2">
        <w:t xml:space="preserve"> disturbance are summarised </w:t>
      </w:r>
      <w:r w:rsidR="005A695B">
        <w:t xml:space="preserve">below </w:t>
      </w:r>
      <w:r w:rsidR="00EC57E2">
        <w:t xml:space="preserve">in </w:t>
      </w:r>
      <w:r w:rsidR="00EC57E2" w:rsidRPr="0078548B">
        <w:t>T</w:t>
      </w:r>
      <w:r w:rsidR="00310181">
        <w:t>able 33</w:t>
      </w:r>
      <w:r w:rsidRPr="0078548B">
        <w:t>.</w:t>
      </w:r>
    </w:p>
    <w:p w14:paraId="522C9BC2" w14:textId="6FEB8897" w:rsidR="000A0844" w:rsidRPr="000A0844" w:rsidRDefault="000A0844" w:rsidP="000A0844">
      <w:pPr>
        <w:pStyle w:val="Tabletitle"/>
      </w:pPr>
      <w:bookmarkStart w:id="172" w:name="_Toc453755646"/>
      <w:r w:rsidRPr="0078548B">
        <w:t>Table</w:t>
      </w:r>
      <w:r w:rsidR="00310181">
        <w:t xml:space="preserve"> 33</w:t>
      </w:r>
      <w:r w:rsidR="00EC57E2" w:rsidRPr="0078548B">
        <w:t>:</w:t>
      </w:r>
      <w:r w:rsidRPr="0078548B">
        <w:t xml:space="preserve"> Subjects with cardiac rhythm or conduction adverse events </w:t>
      </w:r>
      <w:r w:rsidR="005A695B">
        <w:t>from Studies </w:t>
      </w:r>
      <w:r w:rsidRPr="0078548B">
        <w:t>PN001, PN002,</w:t>
      </w:r>
      <w:r w:rsidRPr="000A0844">
        <w:t xml:space="preserve"> PN006 and PN010</w:t>
      </w:r>
      <w:r w:rsidR="005A695B">
        <w:t>;</w:t>
      </w:r>
      <w:r w:rsidRPr="000A0844">
        <w:t xml:space="preserve"> </w:t>
      </w:r>
      <w:r w:rsidR="005A695B">
        <w:t>s</w:t>
      </w:r>
      <w:r w:rsidRPr="000A0844">
        <w:t xml:space="preserve">ubjects </w:t>
      </w:r>
      <w:r w:rsidR="005A695B">
        <w:t>t</w:t>
      </w:r>
      <w:r w:rsidRPr="000A0844">
        <w:t>reated with MK-3475 (</w:t>
      </w:r>
      <w:proofErr w:type="spellStart"/>
      <w:r w:rsidRPr="000A0844">
        <w:t>APaT</w:t>
      </w:r>
      <w:proofErr w:type="spellEnd"/>
      <w:r w:rsidR="005A695B">
        <w:t> p</w:t>
      </w:r>
      <w:r w:rsidRPr="000A0844">
        <w:t>opulation)</w:t>
      </w:r>
      <w:bookmarkEnd w:id="172"/>
    </w:p>
    <w:p w14:paraId="522C9BC3" w14:textId="77777777" w:rsidR="000A0844" w:rsidRDefault="000A0844" w:rsidP="00C22678">
      <w:pPr>
        <w:rPr>
          <w:lang w:eastAsia="ja-JP"/>
        </w:rPr>
      </w:pPr>
      <w:r>
        <w:rPr>
          <w:noProof/>
          <w:lang w:eastAsia="en-AU"/>
        </w:rPr>
        <w:drawing>
          <wp:inline distT="0" distB="0" distL="0" distR="0" wp14:anchorId="522C9D1F" wp14:editId="6B47C141">
            <wp:extent cx="5519238" cy="2289658"/>
            <wp:effectExtent l="0" t="0" r="0" b="0"/>
            <wp:docPr id="46" name="Picture 46" descr="Table 33: Subjects with cardiac rhythm or conduction adverse events PN001, PN002, PN006 and PN010 Subjects Treated with MK-3475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biLevel thresh="75000"/>
                    </a:blip>
                    <a:stretch>
                      <a:fillRect/>
                    </a:stretch>
                  </pic:blipFill>
                  <pic:spPr>
                    <a:xfrm>
                      <a:off x="0" y="0"/>
                      <a:ext cx="5519886" cy="2289927"/>
                    </a:xfrm>
                    <a:prstGeom prst="rect">
                      <a:avLst/>
                    </a:prstGeom>
                  </pic:spPr>
                </pic:pic>
              </a:graphicData>
            </a:graphic>
          </wp:inline>
        </w:drawing>
      </w:r>
    </w:p>
    <w:p w14:paraId="522C9BC4" w14:textId="39E3FB46" w:rsidR="00D53B25" w:rsidRDefault="00F30004" w:rsidP="00F30004">
      <w:pPr>
        <w:pStyle w:val="Comment"/>
      </w:pPr>
      <w:r w:rsidRPr="00F30004">
        <w:rPr>
          <w:b/>
        </w:rPr>
        <w:t>C</w:t>
      </w:r>
      <w:r w:rsidR="000A0844" w:rsidRPr="00F30004">
        <w:rPr>
          <w:b/>
        </w:rPr>
        <w:t>omment</w:t>
      </w:r>
      <w:r w:rsidRPr="00F30004">
        <w:rPr>
          <w:b/>
        </w:rPr>
        <w:t>:</w:t>
      </w:r>
      <w:r>
        <w:t xml:space="preserve"> </w:t>
      </w:r>
      <w:r w:rsidR="000A0844" w:rsidRPr="000A0844">
        <w:t>It is unclear from the reporting method whether these events occurred only in one patient each (</w:t>
      </w:r>
      <w:r w:rsidR="00414567">
        <w:t>that is</w:t>
      </w:r>
      <w:r w:rsidR="000A0844" w:rsidRPr="000A0844">
        <w:t xml:space="preserve"> the combined incidence was 119/2799 (4.3%), or whether one patient may have experienced more than one adverse event, yielding a lower combined incidence</w:t>
      </w:r>
      <w:r w:rsidR="00D53B25">
        <w:t>.</w:t>
      </w:r>
    </w:p>
    <w:p w14:paraId="522C9BC5" w14:textId="77777777" w:rsidR="000A0844" w:rsidRPr="000A0844" w:rsidRDefault="000A0844" w:rsidP="00F30004">
      <w:pPr>
        <w:ind w:left="1134"/>
      </w:pPr>
      <w:r w:rsidRPr="000A0844">
        <w:t>The sponsor is requested to confirm the reporting method, and present the risk of cardiac rhythm/conduction disturbance, based on the denominator of patients in the Integrated Analysis of Safety.</w:t>
      </w:r>
    </w:p>
    <w:p w14:paraId="522C9BC6" w14:textId="77777777" w:rsidR="000A0844" w:rsidRPr="000A0844" w:rsidRDefault="000A0844" w:rsidP="00F30004">
      <w:pPr>
        <w:pStyle w:val="Heading4"/>
      </w:pPr>
      <w:r w:rsidRPr="000A0844">
        <w:lastRenderedPageBreak/>
        <w:t>Gastrointestinal adverse events</w:t>
      </w:r>
    </w:p>
    <w:p w14:paraId="522C9BC7" w14:textId="77777777" w:rsidR="000A0844" w:rsidRPr="000A0844" w:rsidRDefault="000A0844" w:rsidP="000A0844">
      <w:r w:rsidRPr="000A0844">
        <w:t>Among this class of AEs, constipation affected 17.8%, diarrhoea 22.3% and nausea 24.5% of all patients</w:t>
      </w:r>
      <w:r w:rsidR="00F30004">
        <w:t>.</w:t>
      </w:r>
    </w:p>
    <w:p w14:paraId="522C9BC8" w14:textId="7A2B6DFD" w:rsidR="000A0844" w:rsidRPr="000A0844" w:rsidRDefault="00F30004" w:rsidP="00F30004">
      <w:pPr>
        <w:pStyle w:val="Comment"/>
      </w:pPr>
      <w:r w:rsidRPr="00F30004">
        <w:rPr>
          <w:b/>
        </w:rPr>
        <w:t>Comment:</w:t>
      </w:r>
      <w:r>
        <w:t xml:space="preserve"> </w:t>
      </w:r>
      <w:r w:rsidR="000A0844" w:rsidRPr="000A0844">
        <w:t>These risks of the events of constipation are not currently reported in the PI, but should be. In the PI, the incidence of diarrhoea (12%) and nausea (11%) are much lower than that reported in the post-marketing report. This discrepancy should be explained by the sponsor.</w:t>
      </w:r>
    </w:p>
    <w:p w14:paraId="522C9BC9" w14:textId="77777777" w:rsidR="000A0844" w:rsidRPr="000A0844" w:rsidRDefault="000A0844" w:rsidP="00F30004">
      <w:pPr>
        <w:pStyle w:val="Heading4"/>
      </w:pPr>
      <w:r w:rsidRPr="000A0844">
        <w:t>Perforation of hollow viscus</w:t>
      </w:r>
    </w:p>
    <w:p w14:paraId="522C9BCA" w14:textId="77777777" w:rsidR="000A0844" w:rsidRPr="000A0844" w:rsidRDefault="000A0844" w:rsidP="000A0844">
      <w:r w:rsidRPr="000A0844">
        <w:t>In total, 17 events of perforation of a hollow viscus were reported in the PSUR. At least one was identified by the evaluator as having a fatal outcome. The events were reported for: oesophageal perforation, duodenal perforation, gastric perforation, gastrointestinal perforation, intestinal perforation, small intestinal perforation, large intestinal perforation and vaginal perforation.</w:t>
      </w:r>
    </w:p>
    <w:p w14:paraId="522C9BCB" w14:textId="77777777" w:rsidR="000A0844" w:rsidRPr="000A0844" w:rsidRDefault="000A0844" w:rsidP="000A0844">
      <w:r w:rsidRPr="000A0844">
        <w:t>In addition one event of large bowel perforation in association with div</w:t>
      </w:r>
      <w:r w:rsidR="00F30004">
        <w:t>erticular disease was reported.</w:t>
      </w:r>
    </w:p>
    <w:p w14:paraId="522C9BCC" w14:textId="6F2780A3" w:rsidR="000A0844" w:rsidRPr="000A0844" w:rsidRDefault="00F30004" w:rsidP="00F30004">
      <w:pPr>
        <w:pStyle w:val="Comment"/>
      </w:pPr>
      <w:r w:rsidRPr="00F30004">
        <w:rPr>
          <w:b/>
        </w:rPr>
        <w:t>Comment:</w:t>
      </w:r>
      <w:r>
        <w:t xml:space="preserve"> </w:t>
      </w:r>
      <w:r w:rsidR="000A0844" w:rsidRPr="000A0844">
        <w:t>Given the diverse nature of the sites of these events, but cumulative incidence, the risks of visceral perforation should be reported in the PI.</w:t>
      </w:r>
    </w:p>
    <w:p w14:paraId="522C9BCD" w14:textId="77777777" w:rsidR="000A0844" w:rsidRPr="000A0844" w:rsidRDefault="000A0844" w:rsidP="00F30004">
      <w:pPr>
        <w:pStyle w:val="Heading4"/>
      </w:pPr>
      <w:r w:rsidRPr="000A0844">
        <w:t>General conditions</w:t>
      </w:r>
    </w:p>
    <w:p w14:paraId="522C9BCE" w14:textId="1E30B3DB" w:rsidR="000A0844" w:rsidRPr="000A0844" w:rsidRDefault="000A0844" w:rsidP="000A0844">
      <w:r w:rsidRPr="000A0844">
        <w:t>Among the 2799 amalgamated subjects, fatigue was reported in 37.3% and asthen</w:t>
      </w:r>
      <w:r w:rsidR="00F30004">
        <w:t>ia in 12.9%.</w:t>
      </w:r>
    </w:p>
    <w:p w14:paraId="522C9BCF" w14:textId="6074FC58" w:rsidR="000A0844" w:rsidRPr="000A0844" w:rsidRDefault="00F30004" w:rsidP="00F30004">
      <w:pPr>
        <w:pStyle w:val="Comment"/>
      </w:pPr>
      <w:r w:rsidRPr="00F30004">
        <w:rPr>
          <w:b/>
        </w:rPr>
        <w:t>Comment:</w:t>
      </w:r>
      <w:r>
        <w:t xml:space="preserve"> </w:t>
      </w:r>
      <w:r w:rsidR="000A0844" w:rsidRPr="000A0844">
        <w:t xml:space="preserve">As for other adverse events, the incidence of fatigue is higher than presented in the </w:t>
      </w:r>
      <w:r w:rsidR="00955E08">
        <w:t>P</w:t>
      </w:r>
      <w:r w:rsidR="000A0844" w:rsidRPr="000A0844">
        <w:t xml:space="preserve">roduct </w:t>
      </w:r>
      <w:r w:rsidR="00955E08">
        <w:t>I</w:t>
      </w:r>
      <w:r w:rsidR="000A0844" w:rsidRPr="000A0844">
        <w:t>nformation. Asthenia is not reported in the PI.</w:t>
      </w:r>
    </w:p>
    <w:p w14:paraId="522C9BD0" w14:textId="77777777" w:rsidR="000A0844" w:rsidRPr="000A0844" w:rsidRDefault="000A0844" w:rsidP="000A0844">
      <w:pPr>
        <w:pStyle w:val="Heading3"/>
      </w:pPr>
      <w:bookmarkStart w:id="173" w:name="_Ref272333005"/>
      <w:bookmarkStart w:id="174" w:name="_Toc272414680"/>
      <w:bookmarkStart w:id="175" w:name="_Toc290846318"/>
      <w:bookmarkStart w:id="176" w:name="_Toc453755715"/>
      <w:bookmarkStart w:id="177" w:name="_Toc513557820"/>
      <w:r w:rsidRPr="000A0844">
        <w:t>Safety issues with the potential for major regulatory imp</w:t>
      </w:r>
      <w:bookmarkEnd w:id="173"/>
      <w:bookmarkEnd w:id="174"/>
      <w:r w:rsidRPr="000A0844">
        <w:t>act</w:t>
      </w:r>
      <w:bookmarkEnd w:id="175"/>
      <w:bookmarkEnd w:id="176"/>
      <w:bookmarkEnd w:id="177"/>
    </w:p>
    <w:p w14:paraId="522C9BD1" w14:textId="77777777" w:rsidR="000A0844" w:rsidRPr="000A0844" w:rsidRDefault="000A0844" w:rsidP="00F30004">
      <w:pPr>
        <w:pStyle w:val="Heading4"/>
      </w:pPr>
      <w:bookmarkStart w:id="178" w:name="_Toc453755716"/>
      <w:bookmarkStart w:id="179" w:name="_Toc272414681"/>
      <w:bookmarkStart w:id="180" w:name="_Toc290846319"/>
      <w:r w:rsidRPr="000A0844">
        <w:t>Pre-specified adverse events</w:t>
      </w:r>
      <w:bookmarkEnd w:id="178"/>
    </w:p>
    <w:p w14:paraId="522C9BD2" w14:textId="77777777" w:rsidR="000A0844" w:rsidRPr="000A0844" w:rsidRDefault="000A0844" w:rsidP="000A0844">
      <w:r w:rsidRPr="000A0844">
        <w:t>The sponsor pre-specified events of diarrhoea, colitis, pneumonitis and thyroid dysfunction as b</w:t>
      </w:r>
      <w:r w:rsidR="00F30004">
        <w:t>eing of most clinical interest.</w:t>
      </w:r>
    </w:p>
    <w:p w14:paraId="522C9BD3" w14:textId="77777777" w:rsidR="000A0844" w:rsidRPr="000A0844" w:rsidRDefault="000A0844" w:rsidP="00F30004">
      <w:pPr>
        <w:pStyle w:val="Heading5"/>
      </w:pPr>
      <w:r w:rsidRPr="000A0844">
        <w:t>Diarrhoea</w:t>
      </w:r>
    </w:p>
    <w:p w14:paraId="522C9BD4" w14:textId="77777777" w:rsidR="000A0844" w:rsidRPr="000A0844" w:rsidRDefault="000A0844" w:rsidP="000A0844">
      <w:r w:rsidRPr="000A0844">
        <w:t>Overall, for diarrhoea, the incidence among the docetaxel arm was 80/309 (25.9%) as compared to 53/339 (15.6%) for</w:t>
      </w:r>
      <w:r w:rsidR="00F30004">
        <w:t xml:space="preserve"> the pembrolizumab 2 mg/kg arm.</w:t>
      </w:r>
    </w:p>
    <w:p w14:paraId="522C9BD5" w14:textId="77777777" w:rsidR="000A0844" w:rsidRPr="000A0844" w:rsidRDefault="000A0844" w:rsidP="00F30004">
      <w:pPr>
        <w:pStyle w:val="Heading5"/>
      </w:pPr>
      <w:r w:rsidRPr="000A0844">
        <w:t>Colitis/ischaemic colitis</w:t>
      </w:r>
    </w:p>
    <w:p w14:paraId="522C9BD6" w14:textId="77777777" w:rsidR="00D53B25" w:rsidRDefault="000A0844" w:rsidP="000A0844">
      <w:r w:rsidRPr="000A0844">
        <w:t>This was reported in one patient in each of the docetaxel and pembrolizumab 2 mg/kg arms in those with TPS</w:t>
      </w:r>
      <w:r w:rsidR="00D53B25">
        <w:t xml:space="preserve"> &gt;</w:t>
      </w:r>
      <w:r w:rsidR="00C10435">
        <w:t xml:space="preserve"> </w:t>
      </w:r>
      <w:r w:rsidRPr="000A0844">
        <w:t>50%</w:t>
      </w:r>
      <w:r w:rsidR="00D53B25">
        <w:t>.</w:t>
      </w:r>
    </w:p>
    <w:p w14:paraId="522C9BD7" w14:textId="0301AB17" w:rsidR="000A0844" w:rsidRPr="000A0844" w:rsidRDefault="000A0844" w:rsidP="000A0844">
      <w:r w:rsidRPr="000A0844">
        <w:t>For those patients with TPS</w:t>
      </w:r>
      <w:r w:rsidR="00D53B25">
        <w:t xml:space="preserve"> &gt;</w:t>
      </w:r>
      <w:r w:rsidR="00C10435">
        <w:t xml:space="preserve"> </w:t>
      </w:r>
      <w:r w:rsidRPr="000A0844">
        <w:t xml:space="preserve">1 to </w:t>
      </w:r>
      <w:r w:rsidR="009B28D9">
        <w:t xml:space="preserve">&lt; </w:t>
      </w:r>
      <w:r w:rsidRPr="000A0844">
        <w:t>50%, there were three events in the pembrolizumab 2</w:t>
      </w:r>
      <w:r w:rsidR="00955E08">
        <w:t> </w:t>
      </w:r>
      <w:r w:rsidRPr="000A0844">
        <w:t>mg/kg arm as comp</w:t>
      </w:r>
      <w:r w:rsidR="00F30004">
        <w:t>ared none in the docetaxel arm.</w:t>
      </w:r>
    </w:p>
    <w:p w14:paraId="522C9BD8" w14:textId="77777777" w:rsidR="000A0844" w:rsidRPr="000A0844" w:rsidRDefault="000A0844" w:rsidP="000A0844">
      <w:r w:rsidRPr="000A0844">
        <w:t>Of note, for patients with a TPS</w:t>
      </w:r>
      <w:r w:rsidR="00D53B25">
        <w:t xml:space="preserve"> &gt;</w:t>
      </w:r>
      <w:r w:rsidR="00C10435">
        <w:t xml:space="preserve"> </w:t>
      </w:r>
      <w:r w:rsidRPr="000A0844">
        <w:t>50%, there was a higher incidence of constipation among patients receiving pembrolizumab 2 mg/kg 24/137 (17.5%) as compared to docetaxel 16/133 (12.0%).</w:t>
      </w:r>
    </w:p>
    <w:p w14:paraId="522C9BD9" w14:textId="7884F13B" w:rsidR="000A0844" w:rsidRPr="000A0844" w:rsidRDefault="000A0844" w:rsidP="000A0844">
      <w:r w:rsidRPr="000A0844">
        <w:t>Events of pneumonitis in the TPS</w:t>
      </w:r>
      <w:r w:rsidR="00D53B25">
        <w:t xml:space="preserve"> &gt;</w:t>
      </w:r>
      <w:r w:rsidR="00C10435">
        <w:t xml:space="preserve"> </w:t>
      </w:r>
      <w:r w:rsidRPr="000A0844">
        <w:t xml:space="preserve">1 to </w:t>
      </w:r>
      <w:r w:rsidR="009B28D9">
        <w:t xml:space="preserve">&lt; </w:t>
      </w:r>
      <w:r w:rsidRPr="000A0844">
        <w:t>50% population occurred in 8 patients (4.0%) exposed to pembrolizumab 2mg/kg and 3 patients (1.7%) exposed to docetaxel. Of the 8 pembrolizumab-associated</w:t>
      </w:r>
      <w:r w:rsidR="00F30004">
        <w:t xml:space="preserve"> episodes, </w:t>
      </w:r>
      <w:r w:rsidR="00955E08">
        <w:t xml:space="preserve">4 </w:t>
      </w:r>
      <w:r w:rsidR="00F30004">
        <w:t xml:space="preserve">were </w:t>
      </w:r>
      <w:r w:rsidR="00955E08">
        <w:t>G</w:t>
      </w:r>
      <w:r w:rsidR="00F30004">
        <w:t>rade 3</w:t>
      </w:r>
      <w:r w:rsidR="00955E08">
        <w:t xml:space="preserve"> to </w:t>
      </w:r>
      <w:r w:rsidR="00F30004">
        <w:t>5.</w:t>
      </w:r>
    </w:p>
    <w:p w14:paraId="522C9BDA" w14:textId="77777777" w:rsidR="000A0844" w:rsidRPr="000A0844" w:rsidRDefault="000A0844" w:rsidP="00F30004">
      <w:pPr>
        <w:pStyle w:val="Heading5"/>
      </w:pPr>
      <w:r w:rsidRPr="000A0844">
        <w:t>Thyroid disorders</w:t>
      </w:r>
    </w:p>
    <w:p w14:paraId="522C9BDB" w14:textId="77777777" w:rsidR="000A0844" w:rsidRPr="000A0844" w:rsidRDefault="000A0844" w:rsidP="000A0844">
      <w:r w:rsidRPr="000A0844">
        <w:t>For patients with TPS</w:t>
      </w:r>
      <w:r w:rsidR="00D53B25">
        <w:t xml:space="preserve"> &gt;</w:t>
      </w:r>
      <w:r w:rsidR="00C10435">
        <w:t xml:space="preserve"> </w:t>
      </w:r>
      <w:r w:rsidRPr="000A0844">
        <w:t>50%, there was a higher incidence of thyroid disorders among the pembrolizumab 2mg/kg arm (19/137 (13.9%), predominate</w:t>
      </w:r>
      <w:r w:rsidR="00EC57E2">
        <w:t>ly events of hypothyroidism (14 </w:t>
      </w:r>
      <w:r w:rsidRPr="000A0844">
        <w:t>patients) and thyroiditis (2 patients), as compared to the docetaxel arm (5/133 (3.8%).</w:t>
      </w:r>
    </w:p>
    <w:p w14:paraId="522C9BDC" w14:textId="77777777" w:rsidR="000A0844" w:rsidRPr="000A0844" w:rsidRDefault="000A0844" w:rsidP="000A0844">
      <w:r w:rsidRPr="000A0844">
        <w:lastRenderedPageBreak/>
        <w:t>Among patients with TPS</w:t>
      </w:r>
      <w:r w:rsidR="00D53B25">
        <w:t xml:space="preserve"> &gt;</w:t>
      </w:r>
      <w:r w:rsidR="00C10435">
        <w:t xml:space="preserve"> </w:t>
      </w:r>
      <w:r w:rsidRPr="000A0844">
        <w:t xml:space="preserve">1% to </w:t>
      </w:r>
      <w:r w:rsidR="009B28D9">
        <w:t xml:space="preserve">&lt; </w:t>
      </w:r>
      <w:r w:rsidRPr="000A0844">
        <w:t>50%, there were 6/202 (3.0%) patients who experienced hyperthyroidism in association with pembrolizumab 2 mg/kg, whereas none occurred in those receiving docetaxel. There were 14/202 patients (6.9%) in the pembrolizumab 2mg/kg arm who experienced hypothyroidism as compared to none in the docetaxel arm.</w:t>
      </w:r>
    </w:p>
    <w:p w14:paraId="522C9BDD" w14:textId="77777777" w:rsidR="000A0844" w:rsidRPr="000A0844" w:rsidRDefault="000A0844" w:rsidP="00F30004">
      <w:pPr>
        <w:pStyle w:val="Heading5"/>
      </w:pPr>
      <w:r w:rsidRPr="000A0844">
        <w:t>Pneumonitis</w:t>
      </w:r>
    </w:p>
    <w:p w14:paraId="522C9BDE" w14:textId="1F274ACA" w:rsidR="000A0844" w:rsidRPr="000A0844" w:rsidRDefault="000A0844" w:rsidP="000A0844">
      <w:r w:rsidRPr="000A0844">
        <w:t>For patients with TPS</w:t>
      </w:r>
      <w:r w:rsidR="00D53B25">
        <w:t xml:space="preserve"> &gt;</w:t>
      </w:r>
      <w:r w:rsidR="00C10435">
        <w:t xml:space="preserve"> </w:t>
      </w:r>
      <w:r w:rsidRPr="000A0844">
        <w:t>50%, there was an increased incidence of respiratory, thoracic and mediastinal disorders in the pembrolizumab 2 mg/kg arm (75/137 (54.7%) as compared to docetaxel (64/133 (48.1%), with 8 patients (5.8%) experiencing pneumonitis in association with pembrolizumab and 2 patients (1.5%) with docetaxel.</w:t>
      </w:r>
    </w:p>
    <w:p w14:paraId="522C9BDF" w14:textId="77777777" w:rsidR="000A0844" w:rsidRPr="000A0844" w:rsidRDefault="000A0844" w:rsidP="00F30004">
      <w:pPr>
        <w:pStyle w:val="Heading4"/>
      </w:pPr>
      <w:bookmarkStart w:id="181" w:name="_Toc453755717"/>
      <w:r w:rsidRPr="000A0844">
        <w:t>Liver toxicity</w:t>
      </w:r>
      <w:bookmarkEnd w:id="179"/>
      <w:bookmarkEnd w:id="180"/>
      <w:bookmarkEnd w:id="181"/>
    </w:p>
    <w:p w14:paraId="522C9BE0" w14:textId="5D1274D4" w:rsidR="000A0844" w:rsidRPr="000A0844" w:rsidRDefault="000A0844" w:rsidP="000A0844">
      <w:r w:rsidRPr="000A0844">
        <w:t>In Keynote-010 patients with TPS</w:t>
      </w:r>
      <w:r w:rsidR="00D53B25">
        <w:t xml:space="preserve"> &gt;</w:t>
      </w:r>
      <w:r w:rsidR="00C10435">
        <w:t xml:space="preserve"> </w:t>
      </w:r>
      <w:r w:rsidRPr="000A0844">
        <w:t xml:space="preserve">50%, </w:t>
      </w:r>
      <w:r w:rsidR="00955E08">
        <w:t>4</w:t>
      </w:r>
      <w:r w:rsidR="00955E08" w:rsidRPr="000A0844">
        <w:t xml:space="preserve"> </w:t>
      </w:r>
      <w:r w:rsidRPr="000A0844">
        <w:t xml:space="preserve">events of hepatotoxicity were reported in each of the </w:t>
      </w:r>
      <w:r w:rsidR="00E2543E">
        <w:t xml:space="preserve">2 </w:t>
      </w:r>
      <w:r w:rsidR="00EC57E2">
        <w:t xml:space="preserve">pembrolizumab arms; </w:t>
      </w:r>
      <w:r w:rsidRPr="000A0844">
        <w:t>2.9% and 2.6% of the 2mg/kg Q3W and 10mg/kg Q3W arms respectively. No events were reported for patients receiving docetaxel.</w:t>
      </w:r>
    </w:p>
    <w:p w14:paraId="522C9BE1" w14:textId="77777777" w:rsidR="000A0844" w:rsidRPr="000A0844" w:rsidRDefault="000A0844" w:rsidP="00F30004">
      <w:pPr>
        <w:pStyle w:val="Heading4"/>
      </w:pPr>
      <w:bookmarkStart w:id="182" w:name="_Toc272414683"/>
      <w:bookmarkStart w:id="183" w:name="_Toc290846321"/>
      <w:bookmarkStart w:id="184" w:name="_Toc453755718"/>
      <w:r w:rsidRPr="000A0844">
        <w:t>Serious skin reactions</w:t>
      </w:r>
      <w:bookmarkEnd w:id="182"/>
      <w:bookmarkEnd w:id="183"/>
      <w:bookmarkEnd w:id="184"/>
    </w:p>
    <w:p w14:paraId="522C9BE2" w14:textId="77777777" w:rsidR="000A0844" w:rsidRPr="000A0844" w:rsidRDefault="000A0844" w:rsidP="000A0844">
      <w:r w:rsidRPr="000A0844">
        <w:t>No events of toxic epidermal necrolysis or Stevens Johnson syndrome were reported in Keynote-010, or in the summary of safety.</w:t>
      </w:r>
    </w:p>
    <w:p w14:paraId="522C9BE3" w14:textId="77777777" w:rsidR="000A0844" w:rsidRPr="000A0844" w:rsidRDefault="000A0844" w:rsidP="00F30004">
      <w:pPr>
        <w:pStyle w:val="Heading4"/>
      </w:pPr>
      <w:bookmarkStart w:id="185" w:name="_Toc272414684"/>
      <w:bookmarkStart w:id="186" w:name="_Toc290846322"/>
      <w:bookmarkStart w:id="187" w:name="_Toc453755719"/>
      <w:r w:rsidRPr="000A0844">
        <w:t>Cardiovascular safety</w:t>
      </w:r>
      <w:bookmarkEnd w:id="185"/>
      <w:bookmarkEnd w:id="186"/>
      <w:bookmarkEnd w:id="187"/>
    </w:p>
    <w:p w14:paraId="522C9BE4" w14:textId="78DE9DA0" w:rsidR="000A0844" w:rsidRPr="000A0844" w:rsidRDefault="000A0844" w:rsidP="00F30004">
      <w:r w:rsidRPr="000A0844">
        <w:t>Keynote-010 patients with PD-L1</w:t>
      </w:r>
      <w:r w:rsidR="00D53B25">
        <w:t xml:space="preserve"> &gt;</w:t>
      </w:r>
      <w:r w:rsidR="00C10435">
        <w:t xml:space="preserve"> </w:t>
      </w:r>
      <w:r w:rsidRPr="000A0844">
        <w:t>50%</w:t>
      </w:r>
      <w:r w:rsidR="00E2543E">
        <w:t>:</w:t>
      </w:r>
    </w:p>
    <w:p w14:paraId="522C9BE5" w14:textId="77777777" w:rsidR="000A0844" w:rsidRPr="000A0844" w:rsidRDefault="000A0844" w:rsidP="00EC57E2">
      <w:pPr>
        <w:pStyle w:val="ListBullet"/>
      </w:pPr>
      <w:r w:rsidRPr="000A0844">
        <w:t>There was a similar incidence of cardiac disorders in the docetaxel arm (8/133 (6.0%) versus 9/137 (6.6%) for the pembrolizumab 2 mg/kg arm.</w:t>
      </w:r>
    </w:p>
    <w:p w14:paraId="522C9BE6" w14:textId="0F51F731" w:rsidR="000A0844" w:rsidRPr="000A0844" w:rsidRDefault="000A0844" w:rsidP="00F30004">
      <w:r w:rsidRPr="000A0844">
        <w:t>Keynote-010 patients with PD-L1</w:t>
      </w:r>
      <w:r w:rsidR="00D53B25">
        <w:t xml:space="preserve"> &gt;</w:t>
      </w:r>
      <w:r w:rsidR="00C10435">
        <w:t xml:space="preserve"> </w:t>
      </w:r>
      <w:r w:rsidRPr="000A0844">
        <w:t xml:space="preserve">1% to </w:t>
      </w:r>
      <w:r w:rsidR="009B28D9">
        <w:t xml:space="preserve">&lt; </w:t>
      </w:r>
      <w:r w:rsidRPr="000A0844">
        <w:t>50%</w:t>
      </w:r>
      <w:r w:rsidR="00E2543E">
        <w:t>:</w:t>
      </w:r>
    </w:p>
    <w:p w14:paraId="522C9BE7" w14:textId="77777777" w:rsidR="000A0844" w:rsidRPr="000A0844" w:rsidRDefault="000A0844" w:rsidP="00EC57E2">
      <w:pPr>
        <w:pStyle w:val="ListBullet"/>
      </w:pPr>
      <w:r w:rsidRPr="000A0844">
        <w:t xml:space="preserve">Eighteen events of cardiac disorder (8.9%) occurred in the pembrolizumab 2 mg/kg arm as compared to </w:t>
      </w:r>
      <w:r w:rsidR="00F30004">
        <w:t>10 in the docetaxel arm (5.7%).</w:t>
      </w:r>
    </w:p>
    <w:p w14:paraId="522C9BE8" w14:textId="77777777" w:rsidR="000A0844" w:rsidRPr="000A0844" w:rsidRDefault="000A0844" w:rsidP="000A0844">
      <w:r w:rsidRPr="000A0844">
        <w:t>The reported risk of cardiac rhythm or conduction disturbance has been discus</w:t>
      </w:r>
      <w:r w:rsidR="00F30004">
        <w:t>sed above.</w:t>
      </w:r>
    </w:p>
    <w:p w14:paraId="522C9BE9" w14:textId="77777777" w:rsidR="000A0844" w:rsidRPr="000A0844" w:rsidRDefault="000A0844" w:rsidP="00F30004">
      <w:pPr>
        <w:pStyle w:val="Heading4"/>
      </w:pPr>
      <w:bookmarkStart w:id="188" w:name="_Toc241374323"/>
      <w:bookmarkStart w:id="189" w:name="_Toc272414685"/>
      <w:bookmarkStart w:id="190" w:name="_Toc290846323"/>
      <w:bookmarkStart w:id="191" w:name="_Toc453755720"/>
      <w:r w:rsidRPr="000A0844">
        <w:t>Unwanted immunological events</w:t>
      </w:r>
      <w:bookmarkEnd w:id="188"/>
      <w:bookmarkEnd w:id="189"/>
      <w:bookmarkEnd w:id="190"/>
      <w:bookmarkEnd w:id="191"/>
    </w:p>
    <w:p w14:paraId="522C9BEA" w14:textId="0D25B041" w:rsidR="000A0844" w:rsidRPr="000A0844" w:rsidRDefault="000A0844" w:rsidP="000A0844">
      <w:r w:rsidRPr="000A0844">
        <w:t>The development of anti-drug antibodies (ADAs) was assessed in patients partic</w:t>
      </w:r>
      <w:r w:rsidR="00EC57E2">
        <w:t>ipating in Keynote-001 parts C and</w:t>
      </w:r>
      <w:r w:rsidRPr="000A0844">
        <w:t xml:space="preserve"> F. Anti-drug antibody samples were collected from 420 patients, of which, 290 were included in the analysis. The majority of assessed patients were not evaluable owing to the concentration of pembrolizumab being above that tolerated for the ADA test. Overall </w:t>
      </w:r>
      <w:r w:rsidR="00E2543E">
        <w:t xml:space="preserve">16 </w:t>
      </w:r>
      <w:r w:rsidR="00EC57E2">
        <w:t>patients were evaluable;</w:t>
      </w:r>
      <w:r w:rsidRPr="000A0844">
        <w:t xml:space="preserve"> </w:t>
      </w:r>
      <w:r w:rsidR="00E2543E">
        <w:t>5</w:t>
      </w:r>
      <w:r w:rsidR="00E2543E" w:rsidRPr="000A0844">
        <w:t xml:space="preserve"> </w:t>
      </w:r>
      <w:r w:rsidRPr="000A0844">
        <w:t xml:space="preserve">having received pembrolizumab 2 mg/kg and </w:t>
      </w:r>
      <w:r w:rsidR="00E2543E">
        <w:t xml:space="preserve">11 </w:t>
      </w:r>
      <w:r w:rsidR="00EC57E2">
        <w:t>having received 10 mg/kg;</w:t>
      </w:r>
      <w:r w:rsidRPr="000A0844">
        <w:t xml:space="preserve"> none of these </w:t>
      </w:r>
      <w:r w:rsidR="00E2543E">
        <w:t>16</w:t>
      </w:r>
      <w:r w:rsidR="00E2543E" w:rsidRPr="000A0844">
        <w:t xml:space="preserve"> </w:t>
      </w:r>
      <w:r w:rsidRPr="000A0844">
        <w:t>patients were reported to have developed</w:t>
      </w:r>
      <w:r w:rsidR="00F30004">
        <w:t xml:space="preserve"> anti-pembrolizumab antibodies.</w:t>
      </w:r>
    </w:p>
    <w:p w14:paraId="522C9BEB" w14:textId="79E75792" w:rsidR="000A0844" w:rsidRPr="000A0844" w:rsidRDefault="000A0844" w:rsidP="000A0844">
      <w:r w:rsidRPr="000A0844">
        <w:t>An additional pooled analysis of 11</w:t>
      </w:r>
      <w:r w:rsidR="00EC57E2">
        <w:t>,</w:t>
      </w:r>
      <w:r w:rsidRPr="000A0844">
        <w:t>886 samples among 2</w:t>
      </w:r>
      <w:r w:rsidR="00EC57E2">
        <w:t>,</w:t>
      </w:r>
      <w:r w:rsidRPr="000A0844">
        <w:t xml:space="preserve">910 patients from </w:t>
      </w:r>
      <w:r w:rsidR="00E2543E">
        <w:t>P</w:t>
      </w:r>
      <w:r w:rsidRPr="000A0844">
        <w:t>rotocols 001, 02, 006 and 010 was presented for evaluation. Of these patients, 559 subje</w:t>
      </w:r>
      <w:r w:rsidR="00EC57E2">
        <w:t>cts from S</w:t>
      </w:r>
      <w:r w:rsidRPr="000A0844">
        <w:t>t</w:t>
      </w:r>
      <w:r w:rsidR="00EC57E2">
        <w:t>udy P001 and 704 subjects from S</w:t>
      </w:r>
      <w:r w:rsidRPr="000A0844">
        <w:t>tudy P010 were evaluable.</w:t>
      </w:r>
    </w:p>
    <w:p w14:paraId="522C9BEC" w14:textId="3B177174" w:rsidR="000A0844" w:rsidRPr="000A0844" w:rsidRDefault="000A0844" w:rsidP="000A0844">
      <w:r w:rsidRPr="000A0844">
        <w:t xml:space="preserve">Detection of anti-pembrolizumab antibodies was impaired in patients with pre-dose pembrolizumab concentration above a defined tolerance level for the assay. Accordingly, patients could be categorised into </w:t>
      </w:r>
      <w:r w:rsidR="00E2543E">
        <w:t>3</w:t>
      </w:r>
      <w:r w:rsidR="00E2543E" w:rsidRPr="000A0844">
        <w:t xml:space="preserve"> </w:t>
      </w:r>
      <w:r w:rsidRPr="000A0844">
        <w:t>groups:</w:t>
      </w:r>
    </w:p>
    <w:p w14:paraId="522C9BED" w14:textId="0D683AE6" w:rsidR="000A0844" w:rsidRPr="000A0844" w:rsidRDefault="000A0844" w:rsidP="00F30004">
      <w:pPr>
        <w:pStyle w:val="ListBullet"/>
      </w:pPr>
      <w:r w:rsidRPr="000A0844">
        <w:t xml:space="preserve">Negative: all pre-treatment and post-dose samples negative in the confirmatory assay for antibodies against pembrolizumab </w:t>
      </w:r>
      <w:r w:rsidR="00E2543E">
        <w:t>and</w:t>
      </w:r>
      <w:r w:rsidR="00E2543E" w:rsidRPr="000A0844">
        <w:t xml:space="preserve"> </w:t>
      </w:r>
      <w:r w:rsidRPr="000A0844">
        <w:t>the concentration of pembrolizumab in the last post-dose sample below the drug tolerance level.</w:t>
      </w:r>
    </w:p>
    <w:p w14:paraId="522C9BEE" w14:textId="72A82F2A" w:rsidR="000A0844" w:rsidRPr="000A0844" w:rsidRDefault="000A0844" w:rsidP="00F30004">
      <w:pPr>
        <w:pStyle w:val="ListBullet"/>
      </w:pPr>
      <w:r w:rsidRPr="000A0844">
        <w:t xml:space="preserve">Inconclusive: all pre-treatment and post-dose samples negative in the confirmatory assay for antibodies against pembrolizumab </w:t>
      </w:r>
      <w:r w:rsidR="00E2543E">
        <w:t>and</w:t>
      </w:r>
      <w:r w:rsidR="00E2543E" w:rsidRPr="000A0844">
        <w:t xml:space="preserve"> </w:t>
      </w:r>
      <w:r w:rsidRPr="000A0844">
        <w:t>the concentration of pembrolizumab in the last post-dose sample above the drug tolerance level.</w:t>
      </w:r>
    </w:p>
    <w:p w14:paraId="522C9BEF" w14:textId="77777777" w:rsidR="000A0844" w:rsidRPr="000A0844" w:rsidRDefault="000A0844" w:rsidP="000A0844">
      <w:pPr>
        <w:pStyle w:val="ListBullet"/>
      </w:pPr>
      <w:r w:rsidRPr="000A0844">
        <w:lastRenderedPageBreak/>
        <w:t>Positive: at least one pre-treatment or post-dose sample positive in the confirmatory assay for antibodies against pembrolizumab.</w:t>
      </w:r>
    </w:p>
    <w:p w14:paraId="522C9BF0" w14:textId="77777777" w:rsidR="000A0844" w:rsidRPr="000A0844" w:rsidRDefault="000A0844" w:rsidP="000A0844">
      <w:r w:rsidRPr="000A0844">
        <w:t>A further categorisation was made for patients identified as positive for anti-pembrolizumab antibodies:</w:t>
      </w:r>
    </w:p>
    <w:p w14:paraId="522C9BF1" w14:textId="77777777" w:rsidR="000A0844" w:rsidRPr="000A0844" w:rsidRDefault="00EC57E2" w:rsidP="00F30004">
      <w:pPr>
        <w:pStyle w:val="ListBullet"/>
      </w:pPr>
      <w:r>
        <w:t>Treatment emergent</w:t>
      </w:r>
      <w:r w:rsidR="000A0844" w:rsidRPr="000A0844">
        <w:t xml:space="preserve"> positive:</w:t>
      </w:r>
    </w:p>
    <w:p w14:paraId="522C9BF2" w14:textId="77777777" w:rsidR="000A0844" w:rsidRPr="000A0844" w:rsidRDefault="000A0844" w:rsidP="00F30004">
      <w:pPr>
        <w:pStyle w:val="ListBullet2"/>
      </w:pPr>
      <w:r w:rsidRPr="000A0844">
        <w:t>Pre-treatment sample negative and at least one post-dose sample positive in the confirmatory assay for antibodies against pembrolizumab (treatment</w:t>
      </w:r>
      <w:r w:rsidR="00EC57E2">
        <w:t xml:space="preserve"> </w:t>
      </w:r>
      <w:r w:rsidRPr="000A0844">
        <w:t>induced positive).</w:t>
      </w:r>
    </w:p>
    <w:p w14:paraId="522C9BF3" w14:textId="77777777" w:rsidR="000A0844" w:rsidRPr="000A0844" w:rsidRDefault="000A0844" w:rsidP="00F30004">
      <w:pPr>
        <w:pStyle w:val="ListBullet2"/>
      </w:pPr>
      <w:r w:rsidRPr="000A0844">
        <w:t>Pre-treatment and post-dose sample positive in the confirmatory assay for antibodies against pembrolizumab with an increase in titre (</w:t>
      </w:r>
      <w:r w:rsidR="00D53B25">
        <w:t xml:space="preserve">&gt; </w:t>
      </w:r>
      <w:r w:rsidRPr="000A0844">
        <w:t>2 fold of baseline) (treatment-boosted positive).</w:t>
      </w:r>
    </w:p>
    <w:p w14:paraId="522C9BF4" w14:textId="77777777" w:rsidR="000A0844" w:rsidRPr="000A0844" w:rsidRDefault="00EC57E2" w:rsidP="00F30004">
      <w:pPr>
        <w:pStyle w:val="ListBullet"/>
      </w:pPr>
      <w:r>
        <w:t xml:space="preserve">Non-treatment </w:t>
      </w:r>
      <w:r w:rsidR="000A0844" w:rsidRPr="000A0844">
        <w:t>emergent positive:</w:t>
      </w:r>
    </w:p>
    <w:p w14:paraId="522C9BF5" w14:textId="77777777" w:rsidR="000A0844" w:rsidRPr="000A0844" w:rsidRDefault="000A0844" w:rsidP="00180044">
      <w:pPr>
        <w:pStyle w:val="ListBullet2"/>
      </w:pPr>
      <w:r w:rsidRPr="000A0844">
        <w:t>Pre-treatment sample positive and post-dose sample negative in the confirmatory assay for antibodies against pembrolizumab.</w:t>
      </w:r>
    </w:p>
    <w:p w14:paraId="522C9BF6" w14:textId="77777777" w:rsidR="000A0844" w:rsidRPr="000A0844" w:rsidRDefault="000A0844" w:rsidP="00180044">
      <w:pPr>
        <w:pStyle w:val="ListBullet2"/>
      </w:pPr>
      <w:r w:rsidRPr="000A0844">
        <w:t>Pre-treatment and post-dose sample positive in the confirmatory assay for antibodies against pembrolizumab with a post-d</w:t>
      </w:r>
      <w:r w:rsidR="00F30004">
        <w:t xml:space="preserve">ose titre </w:t>
      </w:r>
      <w:r w:rsidR="009B28D9">
        <w:t xml:space="preserve">&lt; </w:t>
      </w:r>
      <w:r w:rsidR="00EC57E2">
        <w:t xml:space="preserve">2 </w:t>
      </w:r>
      <w:r w:rsidR="00F30004">
        <w:t>fold of baseline.</w:t>
      </w:r>
    </w:p>
    <w:p w14:paraId="522C9BF7" w14:textId="1110DA76" w:rsidR="000A0844" w:rsidRPr="000A0844" w:rsidRDefault="000A0844" w:rsidP="000A0844">
      <w:r w:rsidRPr="000A0844">
        <w:t>For anti-pembrolizumab antibody positive subjects (based on the confirmatory assay), the immunogenicity response was further character</w:t>
      </w:r>
      <w:r w:rsidR="00EF3E5B">
        <w:t>ised</w:t>
      </w:r>
      <w:r w:rsidRPr="000A0844">
        <w:t xml:space="preserve"> for antibody titre and neutral</w:t>
      </w:r>
      <w:r w:rsidR="001B20AC">
        <w:t>ising</w:t>
      </w:r>
      <w:r w:rsidRPr="000A0844">
        <w:t xml:space="preserve"> capacity. In addition, for </w:t>
      </w:r>
      <w:r w:rsidR="00EC57E2">
        <w:t>treatment emergent</w:t>
      </w:r>
      <w:r w:rsidRPr="000A0844">
        <w:t xml:space="preserve"> positive subjects, the impact of antibodies against pembrolizumab </w:t>
      </w:r>
      <w:r w:rsidR="00EC57E2">
        <w:t>on drug exposure was assessed.</w:t>
      </w:r>
    </w:p>
    <w:p w14:paraId="522C9BF8" w14:textId="44C44BEC" w:rsidR="000A0844" w:rsidRPr="000A0844" w:rsidRDefault="000A0844" w:rsidP="000A0844">
      <w:r w:rsidRPr="000A0844">
        <w:t>Of the 2910 patients</w:t>
      </w:r>
      <w:r w:rsidR="00EC57E2">
        <w:t>, 2632 had paired pre- and post-</w:t>
      </w:r>
      <w:r w:rsidR="00EC57E2" w:rsidRPr="000A0844">
        <w:t>treatment</w:t>
      </w:r>
      <w:r w:rsidRPr="000A0844">
        <w:t xml:space="preserve"> samples for analysis. The observed incidence of treatment emergent ADA in evaluable subjects based on the pooled analysis of</w:t>
      </w:r>
      <w:r w:rsidR="005B5AE7">
        <w:t xml:space="preserve"> m</w:t>
      </w:r>
      <w:r w:rsidRPr="000A0844">
        <w:t>elanoma and NSCLC subjects was 1.7% (19 out of</w:t>
      </w:r>
      <w:r w:rsidR="00EC57E2">
        <w:t xml:space="preserve"> 1087), based on 19 subjects (3 </w:t>
      </w:r>
      <w:r w:rsidR="005B5AE7">
        <w:t>m</w:t>
      </w:r>
      <w:r w:rsidR="005B5AE7" w:rsidRPr="000A0844">
        <w:t xml:space="preserve">elanoma </w:t>
      </w:r>
      <w:r w:rsidRPr="000A0844">
        <w:t xml:space="preserve">and 16 NSCLC) with confirmed </w:t>
      </w:r>
      <w:r w:rsidR="00EC57E2">
        <w:t>treatment emergent</w:t>
      </w:r>
      <w:r w:rsidRPr="000A0844">
        <w:t xml:space="preserve"> positive status, relative to all evaluable subjects including 19 with </w:t>
      </w:r>
      <w:r w:rsidR="00EC57E2">
        <w:t>treatment emergent</w:t>
      </w:r>
      <w:r w:rsidRPr="000A0844">
        <w:t xml:space="preserve"> positive, 10 with non-treatment emergent positive and 1058 with </w:t>
      </w:r>
      <w:r w:rsidR="00F30004">
        <w:t>negative immunogenicity status.</w:t>
      </w:r>
    </w:p>
    <w:p w14:paraId="522C9BF9" w14:textId="02A4F333" w:rsidR="000A0844" w:rsidRPr="000A0844" w:rsidRDefault="00EC57E2" w:rsidP="000A0844">
      <w:r>
        <w:t xml:space="preserve">As shown </w:t>
      </w:r>
      <w:r w:rsidRPr="0078548B">
        <w:t>in T</w:t>
      </w:r>
      <w:r w:rsidR="00310181">
        <w:t>able 34</w:t>
      </w:r>
      <w:r w:rsidR="005B5AE7">
        <w:t xml:space="preserve"> (below)</w:t>
      </w:r>
      <w:r w:rsidR="000A0844" w:rsidRPr="0078548B">
        <w:t>, the incidence</w:t>
      </w:r>
      <w:r w:rsidR="000A0844" w:rsidRPr="000A0844">
        <w:t xml:space="preserve"> of ADA was higher for patients with NSCLC than in melanoma. The incidence of ADA was higher for patients rece</w:t>
      </w:r>
      <w:r>
        <w:t>iving 2 mg/kg as compared to 10 </w:t>
      </w:r>
      <w:r w:rsidR="000A0844" w:rsidRPr="000A0844">
        <w:t>mg/kg in Keynote-010.</w:t>
      </w:r>
    </w:p>
    <w:p w14:paraId="522C9BFA" w14:textId="3AE89EDF" w:rsidR="000A0844" w:rsidRPr="000A0844" w:rsidRDefault="000A0844" w:rsidP="00F30004">
      <w:pPr>
        <w:pStyle w:val="Tabletitle"/>
      </w:pPr>
      <w:r w:rsidRPr="0078548B">
        <w:lastRenderedPageBreak/>
        <w:t xml:space="preserve">Table </w:t>
      </w:r>
      <w:r w:rsidR="00310181">
        <w:t>34</w:t>
      </w:r>
      <w:r w:rsidR="0078548B">
        <w:t>:</w:t>
      </w:r>
      <w:r w:rsidRPr="000A0844">
        <w:t xml:space="preserve"> Summary of immunogenicity results (pooled analysis of </w:t>
      </w:r>
      <w:r w:rsidR="005B5AE7">
        <w:t xml:space="preserve">Studies </w:t>
      </w:r>
      <w:r w:rsidRPr="000A0844">
        <w:t>P001, P002, P006 and P010</w:t>
      </w:r>
      <w:r w:rsidR="0078548B">
        <w:t>)</w:t>
      </w:r>
    </w:p>
    <w:p w14:paraId="522C9BFB" w14:textId="77777777" w:rsidR="000A0844" w:rsidRDefault="00F30004" w:rsidP="00C22678">
      <w:pPr>
        <w:rPr>
          <w:lang w:eastAsia="ja-JP"/>
        </w:rPr>
      </w:pPr>
      <w:r>
        <w:rPr>
          <w:noProof/>
          <w:lang w:eastAsia="en-AU"/>
        </w:rPr>
        <w:drawing>
          <wp:inline distT="0" distB="0" distL="0" distR="0" wp14:anchorId="522C9D21" wp14:editId="522C9D22">
            <wp:extent cx="5467350" cy="5543550"/>
            <wp:effectExtent l="0" t="0" r="0" b="0"/>
            <wp:docPr id="47" name="Picture 47" descr="Table 34: Summary of immunogenicity results (pooled analysis of P001, P002, P006 and P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67350" cy="5543550"/>
                    </a:xfrm>
                    <a:prstGeom prst="rect">
                      <a:avLst/>
                    </a:prstGeom>
                  </pic:spPr>
                </pic:pic>
              </a:graphicData>
            </a:graphic>
          </wp:inline>
        </w:drawing>
      </w:r>
    </w:p>
    <w:p w14:paraId="522C9BFC" w14:textId="6F3218EA" w:rsidR="00F30004" w:rsidRPr="00F30004" w:rsidRDefault="00F30004" w:rsidP="00F30004">
      <w:r w:rsidRPr="00F30004">
        <w:t xml:space="preserve">There was no adverse effect of the presence of </w:t>
      </w:r>
      <w:r w:rsidR="00EC57E2">
        <w:t>treatment emergent</w:t>
      </w:r>
      <w:r w:rsidRPr="00F30004">
        <w:t xml:space="preserve"> neutralising antibodies on exposure for the 19 patients identified, nor was an effect observed for the 10 patients identified with non-</w:t>
      </w:r>
      <w:r w:rsidR="00EC57E2">
        <w:t>treatment emergent</w:t>
      </w:r>
      <w:r w:rsidRPr="00F30004">
        <w:t xml:space="preserve"> antibody </w:t>
      </w:r>
      <w:r w:rsidRPr="00374C1D">
        <w:t xml:space="preserve">formation. </w:t>
      </w:r>
      <w:r w:rsidR="00374C1D" w:rsidRPr="00374C1D">
        <w:t>Figures 10 and 11</w:t>
      </w:r>
      <w:r w:rsidR="005B5AE7">
        <w:t xml:space="preserve"> (see below)</w:t>
      </w:r>
      <w:r w:rsidRPr="00374C1D">
        <w:t xml:space="preserve"> show the</w:t>
      </w:r>
      <w:r w:rsidRPr="00F30004">
        <w:t xml:space="preserve"> patients with NSCLC treated with pembrolizumab 2 mg/kg Q3W and 10 mg/kg Q3W respectively.</w:t>
      </w:r>
    </w:p>
    <w:p w14:paraId="522C9BFD" w14:textId="77777777" w:rsidR="00F30004" w:rsidRDefault="00F30004" w:rsidP="00F30004">
      <w:pPr>
        <w:pStyle w:val="FigureTitle"/>
      </w:pPr>
      <w:bookmarkStart w:id="192" w:name="_Toc453752524"/>
      <w:r w:rsidRPr="00374C1D">
        <w:lastRenderedPageBreak/>
        <w:t xml:space="preserve">Figure </w:t>
      </w:r>
      <w:r w:rsidR="00374C1D" w:rsidRPr="00374C1D">
        <w:t>10:</w:t>
      </w:r>
      <w:r w:rsidRPr="00374C1D">
        <w:t xml:space="preserve"> Pembrolizumab </w:t>
      </w:r>
      <w:r w:rsidR="00EC57E2" w:rsidRPr="00374C1D">
        <w:t>e</w:t>
      </w:r>
      <w:r w:rsidRPr="00374C1D">
        <w:t xml:space="preserve">xposure for NSCLC </w:t>
      </w:r>
      <w:r w:rsidR="00EC57E2" w:rsidRPr="00374C1D">
        <w:t>s</w:t>
      </w:r>
      <w:r w:rsidRPr="00374C1D">
        <w:t>ubjects treated with 2 mg/kg Q3W</w:t>
      </w:r>
      <w:r>
        <w:t xml:space="preserve"> (P010)</w:t>
      </w:r>
      <w:bookmarkEnd w:id="192"/>
    </w:p>
    <w:p w14:paraId="522C9BFE" w14:textId="69EBA77A" w:rsidR="000A0844" w:rsidRDefault="00356378" w:rsidP="00C22678">
      <w:pPr>
        <w:rPr>
          <w:lang w:eastAsia="ja-JP"/>
        </w:rPr>
      </w:pPr>
      <w:r>
        <w:rPr>
          <w:noProof/>
          <w:lang w:eastAsia="en-AU"/>
        </w:rPr>
        <w:drawing>
          <wp:inline distT="0" distB="0" distL="0" distR="0" wp14:anchorId="1084DE9F" wp14:editId="3DDA751D">
            <wp:extent cx="4692658" cy="2467155"/>
            <wp:effectExtent l="0" t="0" r="0" b="9525"/>
            <wp:docPr id="53" name="Picture 53" descr="Figure 10: Pembrolizumab exposure for NSCLC subjects treated with 2 mg/kg Q3W (P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696882" cy="2469376"/>
                    </a:xfrm>
                    <a:prstGeom prst="rect">
                      <a:avLst/>
                    </a:prstGeom>
                  </pic:spPr>
                </pic:pic>
              </a:graphicData>
            </a:graphic>
          </wp:inline>
        </w:drawing>
      </w:r>
    </w:p>
    <w:p w14:paraId="522C9BFF" w14:textId="77777777" w:rsidR="00FB284C" w:rsidRDefault="00FB284C" w:rsidP="00FB284C">
      <w:pPr>
        <w:pStyle w:val="FigureTitle"/>
      </w:pPr>
      <w:bookmarkStart w:id="193" w:name="_Toc453752525"/>
      <w:r w:rsidRPr="00374C1D">
        <w:t xml:space="preserve">Figure </w:t>
      </w:r>
      <w:r w:rsidR="00374C1D" w:rsidRPr="00374C1D">
        <w:t>11:</w:t>
      </w:r>
      <w:r w:rsidRPr="00374C1D">
        <w:t xml:space="preserve"> Pembrolizumab </w:t>
      </w:r>
      <w:r w:rsidR="00EC57E2" w:rsidRPr="00374C1D">
        <w:t>e</w:t>
      </w:r>
      <w:r w:rsidRPr="00374C1D">
        <w:t xml:space="preserve">xposure for NSCLC </w:t>
      </w:r>
      <w:r w:rsidR="00EC57E2" w:rsidRPr="00374C1D">
        <w:t>s</w:t>
      </w:r>
      <w:r w:rsidRPr="00374C1D">
        <w:t>ubjects treated with 10 mg/kg Q3W (P010)</w:t>
      </w:r>
      <w:bookmarkEnd w:id="193"/>
    </w:p>
    <w:p w14:paraId="522C9C00" w14:textId="365DFFBD" w:rsidR="000A0844" w:rsidRDefault="00356378" w:rsidP="00C22678">
      <w:pPr>
        <w:rPr>
          <w:lang w:eastAsia="ja-JP"/>
        </w:rPr>
      </w:pPr>
      <w:r>
        <w:rPr>
          <w:noProof/>
          <w:lang w:eastAsia="en-AU"/>
        </w:rPr>
        <w:drawing>
          <wp:inline distT="0" distB="0" distL="0" distR="0" wp14:anchorId="4F28C29C" wp14:editId="1F37B7DF">
            <wp:extent cx="4572208" cy="2432649"/>
            <wp:effectExtent l="0" t="0" r="0" b="6350"/>
            <wp:docPr id="78" name="Picture 78" descr="Figure 11: Pembrolizumab exposure for NSCLC subjects treated with 10 mg/kg Q3W (P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8715" cy="2436111"/>
                    </a:xfrm>
                    <a:prstGeom prst="rect">
                      <a:avLst/>
                    </a:prstGeom>
                  </pic:spPr>
                </pic:pic>
              </a:graphicData>
            </a:graphic>
          </wp:inline>
        </w:drawing>
      </w:r>
    </w:p>
    <w:p w14:paraId="522C9C01" w14:textId="0AD34CE5" w:rsidR="00FB284C" w:rsidRPr="00FB284C" w:rsidRDefault="00FB284C" w:rsidP="00FB284C">
      <w:r w:rsidRPr="00FB284C">
        <w:t xml:space="preserve">The sponsor stated that none of the 19 subjects with </w:t>
      </w:r>
      <w:r w:rsidR="00EC57E2">
        <w:t>treatment emergent</w:t>
      </w:r>
      <w:r w:rsidRPr="00FB284C">
        <w:t xml:space="preserve"> ADA formation </w:t>
      </w:r>
      <w:r w:rsidR="00EF3E5B">
        <w:t>‘</w:t>
      </w:r>
      <w:r w:rsidRPr="00FB284C">
        <w:t>has any adverse events associated with neutral</w:t>
      </w:r>
      <w:r w:rsidR="001B20AC">
        <w:t>ising</w:t>
      </w:r>
      <w:r w:rsidRPr="00FB284C">
        <w:t xml:space="preserve"> antibodies, such as hypersensitivity events (</w:t>
      </w:r>
      <w:r w:rsidR="00FC7793">
        <w:t>for example</w:t>
      </w:r>
      <w:r w:rsidRPr="00FB284C">
        <w:t xml:space="preserve"> anaphylaxis, urticaria, </w:t>
      </w:r>
      <w:r w:rsidR="00EC57E2" w:rsidRPr="00FB284C">
        <w:t>and angioedema</w:t>
      </w:r>
      <w:r w:rsidRPr="00FB284C">
        <w:t>) or injection site reactions. No clinical impact of efficacy could be assessed</w:t>
      </w:r>
      <w:r w:rsidR="00EF3E5B">
        <w:t>’</w:t>
      </w:r>
      <w:r w:rsidRPr="00FB284C">
        <w:t>.</w:t>
      </w:r>
      <w:bookmarkStart w:id="194" w:name="_Toc272414686"/>
      <w:bookmarkStart w:id="195" w:name="_Ref273005527"/>
      <w:bookmarkStart w:id="196" w:name="_Toc290846324"/>
    </w:p>
    <w:p w14:paraId="522C9C02" w14:textId="77777777" w:rsidR="00FB284C" w:rsidRPr="00FB284C" w:rsidRDefault="00FB284C" w:rsidP="00FB284C">
      <w:pPr>
        <w:pStyle w:val="Heading3"/>
      </w:pPr>
      <w:bookmarkStart w:id="197" w:name="_Toc453755721"/>
      <w:bookmarkStart w:id="198" w:name="_Toc513557821"/>
      <w:r w:rsidRPr="00FB284C">
        <w:t>Other safety issues</w:t>
      </w:r>
      <w:bookmarkEnd w:id="194"/>
      <w:bookmarkEnd w:id="195"/>
      <w:bookmarkEnd w:id="196"/>
      <w:bookmarkEnd w:id="197"/>
      <w:bookmarkEnd w:id="198"/>
    </w:p>
    <w:p w14:paraId="522C9C03" w14:textId="77777777" w:rsidR="00FB284C" w:rsidRPr="00FB284C" w:rsidRDefault="00FB284C" w:rsidP="00FB284C">
      <w:pPr>
        <w:pStyle w:val="Heading4"/>
      </w:pPr>
      <w:bookmarkStart w:id="199" w:name="_Toc241374324"/>
      <w:bookmarkStart w:id="200" w:name="_Ref272331214"/>
      <w:bookmarkStart w:id="201" w:name="_Toc272414688"/>
      <w:bookmarkStart w:id="202" w:name="_Toc290846326"/>
      <w:bookmarkStart w:id="203" w:name="_Toc453755722"/>
      <w:r w:rsidRPr="00FB284C">
        <w:t>Safety related to drug-drug interactions and other interactions</w:t>
      </w:r>
      <w:bookmarkEnd w:id="199"/>
      <w:bookmarkEnd w:id="200"/>
      <w:bookmarkEnd w:id="201"/>
      <w:bookmarkEnd w:id="202"/>
      <w:bookmarkEnd w:id="203"/>
    </w:p>
    <w:p w14:paraId="522C9C04" w14:textId="77777777" w:rsidR="00FB284C" w:rsidRPr="00FB284C" w:rsidRDefault="00FB284C" w:rsidP="00FB284C">
      <w:r w:rsidRPr="00FB284C">
        <w:t>No drug-drug interactions have been formally assessed.</w:t>
      </w:r>
    </w:p>
    <w:p w14:paraId="522C9C05" w14:textId="77777777" w:rsidR="00FB284C" w:rsidRPr="00FB284C" w:rsidRDefault="00FB284C" w:rsidP="00FB284C">
      <w:pPr>
        <w:pStyle w:val="Heading4"/>
      </w:pPr>
      <w:bookmarkStart w:id="204" w:name="_Toc453755723"/>
      <w:r w:rsidRPr="00FB284C">
        <w:t>Infusion reactions</w:t>
      </w:r>
      <w:bookmarkEnd w:id="204"/>
    </w:p>
    <w:p w14:paraId="522C9C06" w14:textId="6739A9A8" w:rsidR="00FB284C" w:rsidRPr="00FB284C" w:rsidRDefault="00FB284C" w:rsidP="00FB284C">
      <w:r w:rsidRPr="00FB284C">
        <w:t>Among patients in Keynote-010, the incidence of infusion reac</w:t>
      </w:r>
      <w:r w:rsidR="00EC57E2">
        <w:t xml:space="preserve">tions was commoner in docetaxel </w:t>
      </w:r>
      <w:r w:rsidRPr="00FB284C">
        <w:t>exposed patients than the pooled populations of</w:t>
      </w:r>
      <w:r w:rsidR="00EC57E2">
        <w:t xml:space="preserve"> those receiving pembrolizumab; </w:t>
      </w:r>
      <w:r w:rsidR="005B5AE7">
        <w:t xml:space="preserve">(see </w:t>
      </w:r>
      <w:r w:rsidR="00EC57E2">
        <w:t>T</w:t>
      </w:r>
      <w:r w:rsidRPr="00FB284C">
        <w:t>ables 3</w:t>
      </w:r>
      <w:r w:rsidR="00310181">
        <w:t>5 and 36</w:t>
      </w:r>
      <w:r w:rsidR="005B5AE7">
        <w:t>, below)</w:t>
      </w:r>
      <w:r w:rsidR="00310181">
        <w:t>.</w:t>
      </w:r>
    </w:p>
    <w:p w14:paraId="522C9C07" w14:textId="2A2E8247" w:rsidR="000A0844" w:rsidRPr="00FB284C" w:rsidRDefault="00FB284C" w:rsidP="00FB284C">
      <w:pPr>
        <w:pStyle w:val="Tabletitle"/>
      </w:pPr>
      <w:bookmarkStart w:id="205" w:name="_Toc453755648"/>
      <w:r w:rsidRPr="0078548B">
        <w:lastRenderedPageBreak/>
        <w:t xml:space="preserve">Table </w:t>
      </w:r>
      <w:r w:rsidR="00310181">
        <w:t>35</w:t>
      </w:r>
      <w:r w:rsidR="0078548B" w:rsidRPr="0078548B">
        <w:t>:</w:t>
      </w:r>
      <w:r w:rsidRPr="00FB284C">
        <w:t xml:space="preserve"> Subjects with </w:t>
      </w:r>
      <w:r w:rsidR="00EC57E2">
        <w:t>AEs</w:t>
      </w:r>
      <w:r w:rsidRPr="00FB284C">
        <w:t xml:space="preserve"> by maximum toxicity grade (</w:t>
      </w:r>
      <w:r w:rsidR="005B5AE7">
        <w:t>i</w:t>
      </w:r>
      <w:r w:rsidRPr="00FB284C">
        <w:t>ncidence</w:t>
      </w:r>
      <w:r w:rsidR="00D53B25">
        <w:t xml:space="preserve"> &gt;</w:t>
      </w:r>
      <w:r w:rsidR="00C10435">
        <w:t xml:space="preserve"> </w:t>
      </w:r>
      <w:r w:rsidRPr="00FB284C">
        <w:t xml:space="preserve">0% in </w:t>
      </w:r>
      <w:r w:rsidR="00EC57E2" w:rsidRPr="00FB284C">
        <w:t>one or more treatment g</w:t>
      </w:r>
      <w:r w:rsidR="00EC57E2">
        <w:t>roups) AEOSI;</w:t>
      </w:r>
      <w:r w:rsidRPr="00FB284C">
        <w:t xml:space="preserve"> </w:t>
      </w:r>
      <w:r w:rsidR="00EC57E2" w:rsidRPr="00FB284C">
        <w:t xml:space="preserve">infusion reactions </w:t>
      </w:r>
      <w:r w:rsidRPr="00FB284C">
        <w:t xml:space="preserve">MK-3475 </w:t>
      </w:r>
      <w:r w:rsidR="00EC57E2" w:rsidRPr="00FB284C">
        <w:t xml:space="preserve">treatment groups pooled subjects </w:t>
      </w:r>
      <w:r w:rsidRPr="00FB284C">
        <w:t>with TPS</w:t>
      </w:r>
      <w:r w:rsidR="00D53B25">
        <w:t xml:space="preserve"> ≥ </w:t>
      </w:r>
      <w:r w:rsidRPr="00FB284C">
        <w:t xml:space="preserve">50%, </w:t>
      </w:r>
      <w:proofErr w:type="spellStart"/>
      <w:r w:rsidRPr="00FB284C">
        <w:t>APaT</w:t>
      </w:r>
      <w:proofErr w:type="spellEnd"/>
      <w:r w:rsidRPr="00FB284C">
        <w:t xml:space="preserve"> </w:t>
      </w:r>
      <w:r w:rsidR="00EC57E2">
        <w:t>p</w:t>
      </w:r>
      <w:r w:rsidRPr="00FB284C">
        <w:t>opulation</w:t>
      </w:r>
      <w:bookmarkEnd w:id="205"/>
    </w:p>
    <w:p w14:paraId="522C9C08" w14:textId="77777777" w:rsidR="00FB284C" w:rsidRDefault="00FB284C" w:rsidP="00C22678">
      <w:pPr>
        <w:rPr>
          <w:lang w:eastAsia="ja-JP"/>
        </w:rPr>
      </w:pPr>
      <w:r>
        <w:rPr>
          <w:noProof/>
          <w:lang w:eastAsia="en-AU"/>
        </w:rPr>
        <w:drawing>
          <wp:inline distT="0" distB="0" distL="0" distR="0" wp14:anchorId="522C9D27" wp14:editId="522C9D28">
            <wp:extent cx="5362575" cy="2857500"/>
            <wp:effectExtent l="0" t="0" r="9525" b="0"/>
            <wp:docPr id="50" name="Picture 50" descr="Table 35: Subjects with AEs by maximum toxicity grade (Incidence &gt; 0% in one or more treatment groups) AEOSI; infusion reactions MK-3475 treatment groups pooled subjects with TPS ≥ 50%,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62575" cy="2857500"/>
                    </a:xfrm>
                    <a:prstGeom prst="rect">
                      <a:avLst/>
                    </a:prstGeom>
                  </pic:spPr>
                </pic:pic>
              </a:graphicData>
            </a:graphic>
          </wp:inline>
        </w:drawing>
      </w:r>
    </w:p>
    <w:p w14:paraId="522C9C09" w14:textId="03404D2C" w:rsidR="00FB284C" w:rsidRPr="00EC57E2" w:rsidRDefault="00FB284C" w:rsidP="00EC57E2">
      <w:pPr>
        <w:pStyle w:val="Tabletitle"/>
      </w:pPr>
      <w:bookmarkStart w:id="206" w:name="_Toc453755649"/>
      <w:r w:rsidRPr="00102888">
        <w:t xml:space="preserve">Table </w:t>
      </w:r>
      <w:r w:rsidR="00102888" w:rsidRPr="00102888">
        <w:t>3</w:t>
      </w:r>
      <w:r w:rsidR="00310181">
        <w:t>6</w:t>
      </w:r>
      <w:r w:rsidR="00102888">
        <w:t>:</w:t>
      </w:r>
      <w:r w:rsidRPr="00EC57E2">
        <w:t xml:space="preserve"> Subjects with </w:t>
      </w:r>
      <w:r w:rsidR="00EC57E2" w:rsidRPr="00EC57E2">
        <w:t>AEs</w:t>
      </w:r>
      <w:r w:rsidRPr="00EC57E2">
        <w:t xml:space="preserve"> by maximum toxicity grade (Incidence</w:t>
      </w:r>
      <w:r w:rsidR="00D53B25" w:rsidRPr="00EC57E2">
        <w:t xml:space="preserve"> &gt;</w:t>
      </w:r>
      <w:r w:rsidR="00C10435" w:rsidRPr="00EC57E2">
        <w:t xml:space="preserve"> </w:t>
      </w:r>
      <w:r w:rsidRPr="00EC57E2">
        <w:t xml:space="preserve">0% in </w:t>
      </w:r>
      <w:r w:rsidR="00EC57E2" w:rsidRPr="00EC57E2">
        <w:t xml:space="preserve">one or more treatment groups) AEOSI; infusion reactions </w:t>
      </w:r>
      <w:r w:rsidRPr="00EC57E2">
        <w:t xml:space="preserve">MK-3475 </w:t>
      </w:r>
      <w:r w:rsidR="00EC57E2" w:rsidRPr="00EC57E2">
        <w:t xml:space="preserve">treatment groups pooled subjects </w:t>
      </w:r>
      <w:r w:rsidRPr="00EC57E2">
        <w:t>with 1%</w:t>
      </w:r>
      <w:r w:rsidR="009B28D9" w:rsidRPr="00EC57E2">
        <w:t xml:space="preserve"> ≤</w:t>
      </w:r>
      <w:r w:rsidR="00124015">
        <w:t xml:space="preserve"> </w:t>
      </w:r>
      <w:r w:rsidRPr="00EC57E2">
        <w:t>TPS</w:t>
      </w:r>
      <w:r w:rsidR="00124015">
        <w:t xml:space="preserve"> </w:t>
      </w:r>
      <w:r w:rsidR="009B28D9" w:rsidRPr="00EC57E2">
        <w:t xml:space="preserve">&lt; </w:t>
      </w:r>
      <w:r w:rsidRPr="00EC57E2">
        <w:t xml:space="preserve">50%, </w:t>
      </w:r>
      <w:proofErr w:type="spellStart"/>
      <w:r w:rsidRPr="00EC57E2">
        <w:t>APaT</w:t>
      </w:r>
      <w:proofErr w:type="spellEnd"/>
      <w:r w:rsidRPr="00EC57E2">
        <w:t xml:space="preserve"> </w:t>
      </w:r>
      <w:r w:rsidR="00EC57E2" w:rsidRPr="00EC57E2">
        <w:t>p</w:t>
      </w:r>
      <w:r w:rsidRPr="00EC57E2">
        <w:t>opulation</w:t>
      </w:r>
      <w:bookmarkEnd w:id="206"/>
    </w:p>
    <w:p w14:paraId="522C9C0A" w14:textId="77777777" w:rsidR="00FB284C" w:rsidRDefault="00FB284C" w:rsidP="00C22678">
      <w:pPr>
        <w:rPr>
          <w:lang w:eastAsia="ja-JP"/>
        </w:rPr>
      </w:pPr>
      <w:r>
        <w:rPr>
          <w:noProof/>
          <w:lang w:eastAsia="en-AU"/>
        </w:rPr>
        <w:drawing>
          <wp:inline distT="0" distB="0" distL="0" distR="0" wp14:anchorId="522C9D29" wp14:editId="522C9D2A">
            <wp:extent cx="5381625" cy="2847975"/>
            <wp:effectExtent l="0" t="0" r="9525" b="9525"/>
            <wp:docPr id="51" name="Picture 51" descr="Table 36: Subjects with AEs by maximum toxicity grade (Incidence &gt; 0% in one or more treatment groups) AEOSI; infusion reactions MK-3475 treatment groups pooled subjects with 1% ≤TPS&lt; 50%,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381625" cy="2847975"/>
                    </a:xfrm>
                    <a:prstGeom prst="rect">
                      <a:avLst/>
                    </a:prstGeom>
                  </pic:spPr>
                </pic:pic>
              </a:graphicData>
            </a:graphic>
          </wp:inline>
        </w:drawing>
      </w:r>
    </w:p>
    <w:p w14:paraId="522C9C0B" w14:textId="77777777" w:rsidR="00FB284C" w:rsidRPr="00FB284C" w:rsidRDefault="00FB284C" w:rsidP="00FB284C">
      <w:pPr>
        <w:pStyle w:val="Heading3"/>
      </w:pPr>
      <w:bookmarkStart w:id="207" w:name="_Toc241374328"/>
      <w:bookmarkStart w:id="208" w:name="_Toc272414691"/>
      <w:bookmarkStart w:id="209" w:name="_Toc290846329"/>
      <w:bookmarkStart w:id="210" w:name="_Toc453755724"/>
      <w:bookmarkStart w:id="211" w:name="_Toc513557822"/>
      <w:r w:rsidRPr="00FB284C">
        <w:t>Evaluator’s overall conclusions on clinical safety</w:t>
      </w:r>
      <w:bookmarkEnd w:id="207"/>
      <w:bookmarkEnd w:id="208"/>
      <w:bookmarkEnd w:id="209"/>
      <w:bookmarkEnd w:id="210"/>
      <w:bookmarkEnd w:id="211"/>
    </w:p>
    <w:p w14:paraId="522C9C0C" w14:textId="77777777" w:rsidR="00FB284C" w:rsidRPr="00FB284C" w:rsidRDefault="00FB284C" w:rsidP="00FB284C">
      <w:r w:rsidRPr="00FB284C">
        <w:t>Fewer patients discontinued study drug therapy among those receiving pembrolizumab, irrespective of TPS status.</w:t>
      </w:r>
    </w:p>
    <w:p w14:paraId="522C9C0D" w14:textId="77777777" w:rsidR="00FB284C" w:rsidRPr="00FB284C" w:rsidRDefault="00FB284C" w:rsidP="00FB284C">
      <w:r w:rsidRPr="00FB284C">
        <w:t xml:space="preserve">The crude incidence of adverse events was similar between patients receiving docetaxel and pembrolizumab 2 mg/kg. </w:t>
      </w:r>
      <w:r w:rsidR="007E3719">
        <w:t>Investigator assessed</w:t>
      </w:r>
      <w:r w:rsidRPr="00FB284C">
        <w:t xml:space="preserve"> </w:t>
      </w:r>
      <w:r w:rsidR="00EC57E2">
        <w:t>treatment emergent</w:t>
      </w:r>
      <w:r w:rsidRPr="00FB284C">
        <w:t xml:space="preserve"> adverse events showed the incidence to be lower for patients receiving pembrolizumab, and among these, was lower in those with TPS</w:t>
      </w:r>
      <w:r w:rsidR="00D53B25">
        <w:t xml:space="preserve"> &gt;</w:t>
      </w:r>
      <w:r w:rsidR="00C10435">
        <w:t xml:space="preserve"> </w:t>
      </w:r>
      <w:r w:rsidRPr="00FB284C">
        <w:t xml:space="preserve">1 to </w:t>
      </w:r>
      <w:r w:rsidR="009B28D9">
        <w:t xml:space="preserve">&lt; </w:t>
      </w:r>
      <w:r w:rsidRPr="00FB284C">
        <w:t>50%.</w:t>
      </w:r>
    </w:p>
    <w:p w14:paraId="522C9C0E" w14:textId="77777777" w:rsidR="00FB284C" w:rsidRPr="00FB284C" w:rsidRDefault="00FB284C" w:rsidP="00FB284C">
      <w:r w:rsidRPr="00FB284C">
        <w:lastRenderedPageBreak/>
        <w:t>The proportion of patients who died related, and not related to study drug, were comparable between patients receiving docetaxel and pembrolizumab.</w:t>
      </w:r>
    </w:p>
    <w:p w14:paraId="522C9C0F" w14:textId="5C898F45" w:rsidR="00FB284C" w:rsidRPr="00FB284C" w:rsidRDefault="00FB284C" w:rsidP="00FB284C">
      <w:r w:rsidRPr="00FB284C">
        <w:t xml:space="preserve">The incidence of </w:t>
      </w:r>
      <w:r w:rsidR="005B5AE7">
        <w:t>G</w:t>
      </w:r>
      <w:r w:rsidR="005B5AE7" w:rsidRPr="00FB284C">
        <w:t xml:space="preserve">rades </w:t>
      </w:r>
      <w:r w:rsidRPr="00FB284C">
        <w:t>3</w:t>
      </w:r>
      <w:r w:rsidR="005B5AE7">
        <w:t xml:space="preserve"> to </w:t>
      </w:r>
      <w:r w:rsidRPr="00FB284C">
        <w:t>5 adverse events was lower among patients receiving pembrolizumab; the lowest proportion occurring in the patients with TPS</w:t>
      </w:r>
      <w:r w:rsidR="00D53B25">
        <w:t xml:space="preserve"> &gt;</w:t>
      </w:r>
      <w:r w:rsidR="00C10435">
        <w:t xml:space="preserve"> </w:t>
      </w:r>
      <w:r w:rsidRPr="00FB284C">
        <w:t xml:space="preserve">1 to </w:t>
      </w:r>
      <w:r w:rsidR="009B28D9">
        <w:t xml:space="preserve">&lt; </w:t>
      </w:r>
      <w:r w:rsidRPr="00FB284C">
        <w:t>50%.</w:t>
      </w:r>
    </w:p>
    <w:p w14:paraId="522C9C10" w14:textId="77777777" w:rsidR="00D53B25" w:rsidRDefault="00FB284C" w:rsidP="00FB284C">
      <w:r w:rsidRPr="00FB284C">
        <w:t>The overall incidence of adverse effects, and events leading to study treatment discontinuation were generally lower in those patients receiving pembroliz</w:t>
      </w:r>
      <w:r>
        <w:t>umab as compared to docetaxel</w:t>
      </w:r>
      <w:r w:rsidR="00D53B25">
        <w:t>.</w:t>
      </w:r>
    </w:p>
    <w:p w14:paraId="522C9C11" w14:textId="77777777" w:rsidR="00FB284C" w:rsidRPr="00FB284C" w:rsidRDefault="00FB284C" w:rsidP="00FB284C">
      <w:r w:rsidRPr="00FB284C">
        <w:t>The reporting method of many adverse events does not lend itself to the satisfactory assessment of risk of some adverse events that may have multiple associated terms used to describe the same event. Such events include: alteration of cardiac rhythm, myocarditis/pericarditis, perforation of hollow viscera and peripheral neur</w:t>
      </w:r>
      <w:r w:rsidR="00EC57E2">
        <w:t xml:space="preserve">opathies. The pattern of immune </w:t>
      </w:r>
      <w:r w:rsidRPr="00FB284C">
        <w:t>mediated adverse reactions as described in the product information is not comprehensive and requires expansion to comprehensively report the risks.</w:t>
      </w:r>
    </w:p>
    <w:p w14:paraId="522C9C12" w14:textId="77777777" w:rsidR="00FB284C" w:rsidRPr="00FB284C" w:rsidRDefault="00FB284C" w:rsidP="00FB284C">
      <w:r w:rsidRPr="00FB284C">
        <w:t>Identification of anti-pembrolizumab antibodies is complic</w:t>
      </w:r>
      <w:r w:rsidR="00EC57E2">
        <w:t xml:space="preserve">ated by the presence of free drug, and may be under </w:t>
      </w:r>
      <w:r w:rsidRPr="00FB284C">
        <w:t>reported as a consequence. However, among those patients who could be satisfactorily assessed, the incidence of anti-pembrolizumab antibodies was low.</w:t>
      </w:r>
    </w:p>
    <w:p w14:paraId="522C9C13" w14:textId="77777777" w:rsidR="00FB284C" w:rsidRPr="00FB284C" w:rsidRDefault="00FB284C" w:rsidP="00FB284C">
      <w:r w:rsidRPr="00FB284C">
        <w:t>In contrast to the efficacy analysis, overall the pattern of adverse effect so pembrolizumab was not substantially different between patients with a tumour proportion score dichotomised at 50%.</w:t>
      </w:r>
    </w:p>
    <w:p w14:paraId="522C9C14" w14:textId="77777777" w:rsidR="00C22678" w:rsidRDefault="00C22678" w:rsidP="00C22678">
      <w:pPr>
        <w:pStyle w:val="Heading2"/>
      </w:pPr>
      <w:bookmarkStart w:id="212" w:name="_Toc513557823"/>
      <w:r>
        <w:t>First round benefit-risk assessment</w:t>
      </w:r>
      <w:bookmarkEnd w:id="212"/>
    </w:p>
    <w:p w14:paraId="522C9C15" w14:textId="77777777" w:rsidR="00FB284C" w:rsidRPr="00FB284C" w:rsidRDefault="00FB284C" w:rsidP="00FB284C">
      <w:pPr>
        <w:pStyle w:val="Heading3"/>
      </w:pPr>
      <w:bookmarkStart w:id="213" w:name="_Toc236802592"/>
      <w:bookmarkStart w:id="214" w:name="_Toc241374331"/>
      <w:bookmarkStart w:id="215" w:name="_Ref272160836"/>
      <w:bookmarkStart w:id="216" w:name="_Toc272414693"/>
      <w:bookmarkStart w:id="217" w:name="_Toc290846331"/>
      <w:bookmarkStart w:id="218" w:name="_Toc453755726"/>
      <w:bookmarkStart w:id="219" w:name="_Toc513557824"/>
      <w:r w:rsidRPr="00FB284C">
        <w:t>First round assessment of benefits</w:t>
      </w:r>
      <w:bookmarkEnd w:id="213"/>
      <w:bookmarkEnd w:id="214"/>
      <w:bookmarkEnd w:id="215"/>
      <w:bookmarkEnd w:id="216"/>
      <w:bookmarkEnd w:id="217"/>
      <w:bookmarkEnd w:id="218"/>
      <w:bookmarkEnd w:id="219"/>
    </w:p>
    <w:p w14:paraId="522C9C16" w14:textId="77777777" w:rsidR="00FB284C" w:rsidRPr="00FB284C" w:rsidRDefault="00FB284C" w:rsidP="00FB284C">
      <w:r w:rsidRPr="00FB284C">
        <w:t>The benefits of pembrolizumab in the proposed usage are:</w:t>
      </w:r>
    </w:p>
    <w:p w14:paraId="522C9C17" w14:textId="77777777" w:rsidR="00FB284C" w:rsidRPr="00FB284C" w:rsidRDefault="00FB284C" w:rsidP="00FB284C">
      <w:pPr>
        <w:pStyle w:val="ListBullet"/>
      </w:pPr>
      <w:r w:rsidRPr="00FB284C">
        <w:t>There is clear evidence of a stratum effect for efficacy among patients with NSCLC exposed to pembrolizumab whose TPS was dichotomised at 50%. For patients with TPS</w:t>
      </w:r>
      <w:r w:rsidR="00D53B25">
        <w:t xml:space="preserve"> &gt;</w:t>
      </w:r>
      <w:r w:rsidR="00C10435">
        <w:t xml:space="preserve"> </w:t>
      </w:r>
      <w:r w:rsidRPr="00FB284C">
        <w:t>50%, there is an efficacy benefi</w:t>
      </w:r>
      <w:r w:rsidR="00EC57E2">
        <w:t xml:space="preserve">t from pembrolizumab, as second </w:t>
      </w:r>
      <w:r w:rsidRPr="00FB284C">
        <w:t>line therapy, when expressed as hazard ratio of overall survival, duration of progression free survival.</w:t>
      </w:r>
    </w:p>
    <w:p w14:paraId="522C9C18" w14:textId="77777777" w:rsidR="00FB284C" w:rsidRPr="00FB284C" w:rsidRDefault="00FB284C" w:rsidP="00FB284C">
      <w:pPr>
        <w:pStyle w:val="ListBullet"/>
      </w:pPr>
      <w:r w:rsidRPr="00FB284C">
        <w:t>Although no patients with TPS</w:t>
      </w:r>
      <w:r w:rsidR="00D53B25">
        <w:t xml:space="preserve"> ≥ </w:t>
      </w:r>
      <w:r w:rsidRPr="00FB284C">
        <w:t>50% were reported to have achieved a complete response to pembrolizumab therapy, the number needed to treat in order to obtain one additional event of partial response is 5 among this group.</w:t>
      </w:r>
    </w:p>
    <w:p w14:paraId="522C9C19" w14:textId="4EDCA416" w:rsidR="00FB284C" w:rsidRPr="00FB284C" w:rsidRDefault="00FB284C" w:rsidP="00FB284C">
      <w:pPr>
        <w:pStyle w:val="ListBullet"/>
      </w:pPr>
      <w:r w:rsidRPr="00FB284C">
        <w:t xml:space="preserve">The incidence of </w:t>
      </w:r>
      <w:r w:rsidR="0089444F">
        <w:t>G</w:t>
      </w:r>
      <w:r w:rsidR="0089444F" w:rsidRPr="00FB284C">
        <w:t xml:space="preserve">rades </w:t>
      </w:r>
      <w:r w:rsidRPr="00FB284C">
        <w:t>3</w:t>
      </w:r>
      <w:r w:rsidR="0089444F">
        <w:t xml:space="preserve"> or </w:t>
      </w:r>
      <w:r w:rsidRPr="00FB284C">
        <w:t xml:space="preserve">5 adverse events and </w:t>
      </w:r>
      <w:r w:rsidR="007E3719">
        <w:t>Investigator assessed</w:t>
      </w:r>
      <w:r w:rsidRPr="00FB284C">
        <w:t xml:space="preserve"> </w:t>
      </w:r>
      <w:r w:rsidR="007E3719">
        <w:t>treatment related</w:t>
      </w:r>
      <w:r w:rsidRPr="00FB284C">
        <w:t xml:space="preserve"> adverse events is lower for patients with TP</w:t>
      </w:r>
      <w:r>
        <w:t>S</w:t>
      </w:r>
      <w:r w:rsidR="00D53B25">
        <w:t xml:space="preserve"> ≥ </w:t>
      </w:r>
      <w:r>
        <w:t>50% receiving pembrolizumab.</w:t>
      </w:r>
    </w:p>
    <w:p w14:paraId="522C9C1A" w14:textId="77777777" w:rsidR="00FB284C" w:rsidRPr="00FB284C" w:rsidRDefault="00FB284C" w:rsidP="00FB284C">
      <w:pPr>
        <w:pStyle w:val="Heading3"/>
      </w:pPr>
      <w:bookmarkStart w:id="220" w:name="_Toc236802596"/>
      <w:bookmarkStart w:id="221" w:name="_Toc241374334"/>
      <w:bookmarkStart w:id="222" w:name="_Ref272160964"/>
      <w:bookmarkStart w:id="223" w:name="_Toc272414694"/>
      <w:bookmarkStart w:id="224" w:name="_Toc290846332"/>
      <w:bookmarkStart w:id="225" w:name="_Toc453755727"/>
      <w:bookmarkStart w:id="226" w:name="_Toc513557825"/>
      <w:r w:rsidRPr="00FB284C">
        <w:t>First round assessment of risks</w:t>
      </w:r>
      <w:bookmarkEnd w:id="220"/>
      <w:bookmarkEnd w:id="221"/>
      <w:bookmarkEnd w:id="222"/>
      <w:bookmarkEnd w:id="223"/>
      <w:bookmarkEnd w:id="224"/>
      <w:bookmarkEnd w:id="225"/>
      <w:bookmarkEnd w:id="226"/>
    </w:p>
    <w:p w14:paraId="522C9C1B" w14:textId="77777777" w:rsidR="00FB284C" w:rsidRPr="00FB284C" w:rsidRDefault="00FB284C" w:rsidP="00FB284C">
      <w:r w:rsidRPr="00FB284C">
        <w:t>The risks of pembrolizumab in the proposed usage are:</w:t>
      </w:r>
    </w:p>
    <w:p w14:paraId="522C9C1C" w14:textId="018FBB7C" w:rsidR="00FB284C" w:rsidRPr="00FB284C" w:rsidRDefault="00FB284C" w:rsidP="00FB284C">
      <w:pPr>
        <w:pStyle w:val="ListBullet"/>
      </w:pPr>
      <w:r w:rsidRPr="00FB284C">
        <w:t>The PD-L1 test characteristics have not been satisfactorily demonstrated for PD-L1 expression at a cut-off of 1%, the cut</w:t>
      </w:r>
      <w:r w:rsidR="0089444F">
        <w:t xml:space="preserve"> </w:t>
      </w:r>
      <w:r w:rsidRPr="00FB284C">
        <w:t>off mandated by proxy, in the sponsors proposed indication.</w:t>
      </w:r>
    </w:p>
    <w:p w14:paraId="522C9C1D" w14:textId="77777777" w:rsidR="00FB284C" w:rsidRPr="00FB284C" w:rsidRDefault="00FB284C" w:rsidP="00FB284C">
      <w:pPr>
        <w:pStyle w:val="ListBullet"/>
      </w:pPr>
      <w:r w:rsidRPr="00FB284C">
        <w:t>The duration between the time of histology sample acquisition and ability of the PD-L1 assay to accurately determine PD-L1 status has not been described. This lack of information is particularly pertinent for patients who have an EGFR or ALK mutation who will receive at least one line of therapy appropriate therapy prior to being considered for treatment with pembrolizumab. Such patients may require a second tissue sample to determine their PD-L1 status at the time of initiation of pembrolizumab.</w:t>
      </w:r>
    </w:p>
    <w:p w14:paraId="522C9C1E" w14:textId="77777777" w:rsidR="00FB284C" w:rsidRPr="00FB284C" w:rsidRDefault="00FB284C" w:rsidP="00FB284C">
      <w:pPr>
        <w:pStyle w:val="ListBullet"/>
      </w:pPr>
      <w:r w:rsidRPr="00FB284C">
        <w:lastRenderedPageBreak/>
        <w:t>Patients with TPS</w:t>
      </w:r>
      <w:r w:rsidR="00D53B25">
        <w:t xml:space="preserve"> &gt;</w:t>
      </w:r>
      <w:r w:rsidR="00C10435">
        <w:t xml:space="preserve"> </w:t>
      </w:r>
      <w:r w:rsidRPr="00FB284C">
        <w:t xml:space="preserve">1 to </w:t>
      </w:r>
      <w:r w:rsidR="009B28D9">
        <w:t xml:space="preserve">&lt; </w:t>
      </w:r>
      <w:r w:rsidRPr="00FB284C">
        <w:t>50% do not have comparable efficacy as compared to those with a TPS</w:t>
      </w:r>
      <w:r w:rsidR="00D53B25">
        <w:t xml:space="preserve"> ≥ </w:t>
      </w:r>
      <w:r w:rsidRPr="00FB284C">
        <w:t xml:space="preserve">50%. There is evidence that the efficacy of pembrolizumab is not consistently superior, indeed potentially inferior, to docetaxel for patients with this degree of PD-L1 expression, as second-line therapy. The median duration of overall survival was 0.8 months longer in patients receiving pembrolizumab, which is an inadequate duration for registration purposes. The median duration of </w:t>
      </w:r>
      <w:r w:rsidR="00FC7793">
        <w:t>progression free</w:t>
      </w:r>
      <w:r w:rsidRPr="00FB284C">
        <w:t xml:space="preserve"> survival was 1.3 months longer for patients receiving docetaxel among patients with TPS</w:t>
      </w:r>
      <w:r w:rsidR="00D53B25">
        <w:t xml:space="preserve"> &gt;</w:t>
      </w:r>
      <w:r w:rsidR="00C10435">
        <w:t xml:space="preserve"> </w:t>
      </w:r>
      <w:r w:rsidRPr="00FB284C">
        <w:t xml:space="preserve">1 to </w:t>
      </w:r>
      <w:r w:rsidR="009B28D9">
        <w:t xml:space="preserve">&lt; </w:t>
      </w:r>
      <w:r w:rsidRPr="00FB284C">
        <w:t>50%. In the event that the Delegate agrees to register pembrolizumab for patients with this degree of PD-L1 expression, the provision of this information in the product information would be critical for clinicians to satisfactorily formulate a decision to initiate pembrolizumab therapy and obtain informed consent.</w:t>
      </w:r>
    </w:p>
    <w:p w14:paraId="522C9C1F" w14:textId="77777777" w:rsidR="00FB284C" w:rsidRPr="00FB284C" w:rsidRDefault="00FB284C" w:rsidP="00FB284C">
      <w:pPr>
        <w:pStyle w:val="ListBullet"/>
      </w:pPr>
      <w:r w:rsidRPr="00FB284C">
        <w:t>No patients with NSCLC were reported to have achieved a complete response from treatment with pembrolizumab.</w:t>
      </w:r>
    </w:p>
    <w:p w14:paraId="522C9C20" w14:textId="77777777" w:rsidR="00FB284C" w:rsidRPr="00FB284C" w:rsidRDefault="00FB284C" w:rsidP="00FB284C">
      <w:pPr>
        <w:pStyle w:val="ListBullet"/>
      </w:pPr>
      <w:r w:rsidRPr="00FB284C">
        <w:t>From the evidence presented in the dossier, for patients with TPS</w:t>
      </w:r>
      <w:r w:rsidR="00D53B25">
        <w:t xml:space="preserve"> &gt;</w:t>
      </w:r>
      <w:r w:rsidR="00C10435">
        <w:t xml:space="preserve"> </w:t>
      </w:r>
      <w:r w:rsidRPr="00FB284C">
        <w:t xml:space="preserve">1 to </w:t>
      </w:r>
      <w:r w:rsidR="009B28D9">
        <w:t xml:space="preserve">&lt; </w:t>
      </w:r>
      <w:r w:rsidRPr="00FB284C">
        <w:t>50%, the number needed to treat with pembrolizumab, as compared to docetaxel, in order to obtain one additional event of partial response is 140.</w:t>
      </w:r>
    </w:p>
    <w:p w14:paraId="522C9C21" w14:textId="77777777" w:rsidR="00FB284C" w:rsidRPr="00FB284C" w:rsidRDefault="00FB284C" w:rsidP="00FB284C">
      <w:pPr>
        <w:pStyle w:val="ListBullet"/>
      </w:pPr>
      <w:r w:rsidRPr="00FB284C">
        <w:t>The use of pembrolizumab in patients whose PD-L1 status cannot be determined cannot be recommended on the current evidence</w:t>
      </w:r>
    </w:p>
    <w:p w14:paraId="522C9C22" w14:textId="02182F36" w:rsidR="00FB284C" w:rsidRPr="00FB284C" w:rsidRDefault="00FB284C" w:rsidP="00FB284C">
      <w:pPr>
        <w:pStyle w:val="ListBullet"/>
      </w:pPr>
      <w:r w:rsidRPr="00FB284C">
        <w:t>The risks and benefits of use of pembrolizumab as first</w:t>
      </w:r>
      <w:r w:rsidR="00EC57E2">
        <w:t xml:space="preserve"> </w:t>
      </w:r>
      <w:r w:rsidRPr="00FB284C">
        <w:t>line therapy cannot be established from</w:t>
      </w:r>
      <w:r w:rsidR="00EC57E2">
        <w:t xml:space="preserve"> the inclusion of </w:t>
      </w:r>
      <w:r w:rsidR="0089444F">
        <w:t>6</w:t>
      </w:r>
      <w:r w:rsidR="00EC57E2">
        <w:t xml:space="preserve">treatment </w:t>
      </w:r>
      <w:r w:rsidRPr="00FB284C">
        <w:t>naïve patients studied in Keynote-001</w:t>
      </w:r>
    </w:p>
    <w:p w14:paraId="522C9C23" w14:textId="77777777" w:rsidR="00FB284C" w:rsidRPr="00FB284C" w:rsidRDefault="00FB284C" w:rsidP="00FB284C">
      <w:pPr>
        <w:pStyle w:val="ListBullet"/>
      </w:pPr>
      <w:r w:rsidRPr="00FB284C">
        <w:t xml:space="preserve">Additional </w:t>
      </w:r>
      <w:r w:rsidR="00D53B25">
        <w:t>immune related</w:t>
      </w:r>
      <w:r w:rsidRPr="00FB284C">
        <w:t xml:space="preserve"> risks, above those already described in the PI, occurring from pembrolizumab exposure include events of myocarditis, pericarditis, pericardial effusion, myasthenic syndrome/my</w:t>
      </w:r>
      <w:r w:rsidR="00EC57E2">
        <w:t xml:space="preserve">asthenia gravis, cardiac rate and </w:t>
      </w:r>
      <w:r w:rsidRPr="00FB284C">
        <w:t>rhythm disturbance and</w:t>
      </w:r>
      <w:r>
        <w:t xml:space="preserve"> perforation of hollow viscera.</w:t>
      </w:r>
    </w:p>
    <w:p w14:paraId="522C9C24" w14:textId="77777777" w:rsidR="00FB284C" w:rsidRPr="00FB284C" w:rsidRDefault="00FB284C" w:rsidP="00FB284C">
      <w:pPr>
        <w:pStyle w:val="Heading3"/>
      </w:pPr>
      <w:bookmarkStart w:id="227" w:name="_Toc236802597"/>
      <w:bookmarkStart w:id="228" w:name="_Toc241374335"/>
      <w:bookmarkStart w:id="229" w:name="_Toc272414695"/>
      <w:bookmarkStart w:id="230" w:name="_Toc290846333"/>
      <w:bookmarkStart w:id="231" w:name="_Toc453755728"/>
      <w:bookmarkStart w:id="232" w:name="_Toc513557826"/>
      <w:r w:rsidRPr="00FB284C">
        <w:t>First round assessment of benefit-risk balance</w:t>
      </w:r>
      <w:bookmarkEnd w:id="227"/>
      <w:bookmarkEnd w:id="228"/>
      <w:bookmarkEnd w:id="229"/>
      <w:bookmarkEnd w:id="230"/>
      <w:bookmarkEnd w:id="231"/>
      <w:bookmarkEnd w:id="232"/>
    </w:p>
    <w:p w14:paraId="522C9C25" w14:textId="77777777" w:rsidR="00FB284C" w:rsidRPr="00FB284C" w:rsidRDefault="00FB284C" w:rsidP="00FB284C">
      <w:r w:rsidRPr="00FB284C">
        <w:t>The benefit-risk balance of pembr</w:t>
      </w:r>
      <w:r w:rsidR="00EC57E2">
        <w:t xml:space="preserve">olizumab 2 mg/kg Q3W for second </w:t>
      </w:r>
      <w:r w:rsidRPr="00FB284C">
        <w:t>line treatment of patients with NSCLC with tumour expression of PD-L1</w:t>
      </w:r>
      <w:r w:rsidR="00D53B25">
        <w:t xml:space="preserve"> ≥ </w:t>
      </w:r>
      <w:r w:rsidRPr="00FB284C">
        <w:t>50% is favourable.</w:t>
      </w:r>
    </w:p>
    <w:p w14:paraId="522C9C26" w14:textId="77777777" w:rsidR="00FB284C" w:rsidRPr="00FB284C" w:rsidRDefault="00FB284C" w:rsidP="00FB284C">
      <w:r w:rsidRPr="00FB284C">
        <w:t>The benefit-risk balance of pembrolizumab 2 mg/kg Q3W for second-line treatment of patients with NSCLC, with tumour expression of PD-L1</w:t>
      </w:r>
      <w:r w:rsidR="00D53B25">
        <w:t xml:space="preserve"> ≥ </w:t>
      </w:r>
      <w:r w:rsidRPr="00FB284C">
        <w:t>1% is unfavourable owing to the failure to satisfactorily demonstrate an efficacy benefit, over docetaxel, among these patients.</w:t>
      </w:r>
    </w:p>
    <w:p w14:paraId="522C9C27" w14:textId="77777777" w:rsidR="00FB284C" w:rsidRPr="00FB284C" w:rsidRDefault="00FB284C" w:rsidP="00FB284C">
      <w:r w:rsidRPr="00FB284C">
        <w:t>The benefit-risk balance of pemb</w:t>
      </w:r>
      <w:r w:rsidR="00EC57E2">
        <w:t xml:space="preserve">rolizumab 2 mg/kg Q3W as second </w:t>
      </w:r>
      <w:r w:rsidRPr="00FB284C">
        <w:t>line therapy in patients with NSCLC without EGFR or ALK mutation, whose PD-L1 status cannot be determined, is negative.</w:t>
      </w:r>
    </w:p>
    <w:p w14:paraId="522C9C28" w14:textId="77777777" w:rsidR="00C22678" w:rsidRDefault="00C22678" w:rsidP="00C22678">
      <w:pPr>
        <w:pStyle w:val="Heading2"/>
      </w:pPr>
      <w:bookmarkStart w:id="233" w:name="_Toc513557827"/>
      <w:r>
        <w:t>First round recommendation regarding authorisation</w:t>
      </w:r>
      <w:bookmarkEnd w:id="233"/>
    </w:p>
    <w:p w14:paraId="522C9C29" w14:textId="74D7CFB4" w:rsidR="00C22678" w:rsidRPr="00586F98" w:rsidRDefault="00FB284C" w:rsidP="00C22678">
      <w:r>
        <w:t xml:space="preserve">The evaluator recommends to the Delegate that </w:t>
      </w:r>
      <w:r w:rsidRPr="00F9338B">
        <w:t>pembrolizumab 2 mg/kg Q3W in patients with NSCLC without ERGF or ALK positive mutation, in patients with tumour express</w:t>
      </w:r>
      <w:r>
        <w:t>ion of PD-L1</w:t>
      </w:r>
      <w:r w:rsidR="00D53B25">
        <w:t xml:space="preserve"> ≥</w:t>
      </w:r>
      <w:r w:rsidR="0089444F">
        <w:t> </w:t>
      </w:r>
      <w:r>
        <w:t>50% is authorised for registration.</w:t>
      </w:r>
    </w:p>
    <w:p w14:paraId="522C9C2A" w14:textId="77777777" w:rsidR="00C22678" w:rsidRDefault="00C22678" w:rsidP="00C22678">
      <w:pPr>
        <w:pStyle w:val="Heading2"/>
      </w:pPr>
      <w:bookmarkStart w:id="234" w:name="_Toc513557828"/>
      <w:r>
        <w:lastRenderedPageBreak/>
        <w:t>Clinical questions</w:t>
      </w:r>
      <w:bookmarkEnd w:id="234"/>
    </w:p>
    <w:p w14:paraId="522C9C2B" w14:textId="77777777" w:rsidR="00FB284C" w:rsidRPr="00FB284C" w:rsidRDefault="00FB284C" w:rsidP="00FB284C">
      <w:pPr>
        <w:pStyle w:val="Heading3"/>
      </w:pPr>
      <w:bookmarkStart w:id="235" w:name="_Toc453755736"/>
      <w:bookmarkStart w:id="236" w:name="_Toc513557829"/>
      <w:bookmarkStart w:id="237" w:name="_Toc272414702"/>
      <w:bookmarkStart w:id="238" w:name="_Toc290846342"/>
      <w:r w:rsidRPr="00FB284C">
        <w:t>General questions</w:t>
      </w:r>
      <w:bookmarkEnd w:id="235"/>
      <w:bookmarkEnd w:id="236"/>
    </w:p>
    <w:p w14:paraId="522C9C2C" w14:textId="77777777" w:rsidR="00FB284C" w:rsidRPr="00FB284C" w:rsidRDefault="00FB284C" w:rsidP="00E961A5">
      <w:pPr>
        <w:pStyle w:val="Numberbullet0"/>
        <w:numPr>
          <w:ilvl w:val="0"/>
          <w:numId w:val="17"/>
        </w:numPr>
      </w:pPr>
      <w:r w:rsidRPr="00FB284C">
        <w:t>The sponsor is kindly requested to provide the wording of the proposed indication sought in the EU, Canada, Singapore and Switzerland, and the registration status in each jurisdiction.</w:t>
      </w:r>
    </w:p>
    <w:p w14:paraId="522C9C2D" w14:textId="77777777" w:rsidR="00FB284C" w:rsidRPr="00FB284C" w:rsidRDefault="00FB284C" w:rsidP="00E961A5">
      <w:pPr>
        <w:pStyle w:val="Numberbullet0"/>
        <w:numPr>
          <w:ilvl w:val="0"/>
          <w:numId w:val="17"/>
        </w:numPr>
      </w:pPr>
      <w:r w:rsidRPr="00FB284C">
        <w:t>The sponsor is kindly requested to provide details of the wording for the mandated companion diagnostic test to accompany pembrolizumab use in the product information provided to the EU, Canada, Singapore and Switzerland.</w:t>
      </w:r>
    </w:p>
    <w:p w14:paraId="522C9C2E" w14:textId="18A54BBD" w:rsidR="00EC57E2" w:rsidRDefault="00FB284C" w:rsidP="00E961A5">
      <w:pPr>
        <w:pStyle w:val="Numberbullet0"/>
        <w:numPr>
          <w:ilvl w:val="0"/>
          <w:numId w:val="17"/>
        </w:numPr>
      </w:pPr>
      <w:r w:rsidRPr="00FB284C">
        <w:t>The sponsor is requested to provide the test characteristics (sensitivity, specificity, positive predictive value and negative predictive value) when assessed in patients with NSCLC at</w:t>
      </w:r>
      <w:r w:rsidR="00124015">
        <w:t>:</w:t>
      </w:r>
    </w:p>
    <w:p w14:paraId="522C9C2F" w14:textId="1F61871C" w:rsidR="00EC57E2" w:rsidRDefault="00FB284C" w:rsidP="00EC57E2">
      <w:pPr>
        <w:pStyle w:val="Numberbullet2"/>
      </w:pPr>
      <w:r w:rsidRPr="00FB284C">
        <w:t xml:space="preserve">a </w:t>
      </w:r>
      <w:r w:rsidR="00180044" w:rsidRPr="00FB284C">
        <w:t>cut-off</w:t>
      </w:r>
      <w:r w:rsidRPr="00FB284C">
        <w:t xml:space="preserve"> of TPS 50%</w:t>
      </w:r>
      <w:r w:rsidR="0089444F">
        <w:t>;</w:t>
      </w:r>
      <w:r w:rsidRPr="00FB284C">
        <w:t xml:space="preserve"> and</w:t>
      </w:r>
    </w:p>
    <w:p w14:paraId="522C9C30" w14:textId="77777777" w:rsidR="00FB284C" w:rsidRPr="00FB284C" w:rsidRDefault="00FB284C" w:rsidP="00EC57E2">
      <w:pPr>
        <w:pStyle w:val="Numberbullet2"/>
      </w:pPr>
      <w:r w:rsidRPr="00FB284C">
        <w:t>TPS 1%.</w:t>
      </w:r>
    </w:p>
    <w:p w14:paraId="522C9C31" w14:textId="77777777" w:rsidR="00FB284C" w:rsidRPr="00FB284C" w:rsidRDefault="00FB284C" w:rsidP="00FB284C">
      <w:pPr>
        <w:pStyle w:val="Heading3"/>
      </w:pPr>
      <w:bookmarkStart w:id="239" w:name="_Toc453755737"/>
      <w:bookmarkStart w:id="240" w:name="_Toc513557830"/>
      <w:r w:rsidRPr="00FB284C">
        <w:t>Pharmacokinetics</w:t>
      </w:r>
      <w:bookmarkEnd w:id="237"/>
      <w:bookmarkEnd w:id="238"/>
      <w:bookmarkEnd w:id="239"/>
      <w:bookmarkEnd w:id="240"/>
    </w:p>
    <w:p w14:paraId="522C9C32" w14:textId="5DD7640C" w:rsidR="00FB284C" w:rsidRPr="00FB284C" w:rsidRDefault="00FB284C" w:rsidP="00180044">
      <w:pPr>
        <w:pStyle w:val="Numberbullet0"/>
        <w:numPr>
          <w:ilvl w:val="0"/>
          <w:numId w:val="36"/>
        </w:numPr>
      </w:pPr>
      <w:r w:rsidRPr="00FB284C">
        <w:t xml:space="preserve">The CSR for Keynote-001, states </w:t>
      </w:r>
      <w:r w:rsidR="00EF3E5B">
        <w:t>‘</w:t>
      </w:r>
      <w:r w:rsidRPr="00FB284C">
        <w:t xml:space="preserve">Pembrolizumab has low to moderate PK variability </w:t>
      </w:r>
      <w:r w:rsidR="0089444F">
        <w:t>(</w:t>
      </w:r>
      <w:r w:rsidRPr="00FB284C">
        <w:t>inter</w:t>
      </w:r>
      <w:r w:rsidR="00EC57E2">
        <w:t>-</w:t>
      </w:r>
      <w:r w:rsidRPr="00FB284C">
        <w:t>subject coefficient of variation (CV) of 25 to 63%</w:t>
      </w:r>
      <w:r w:rsidR="0089444F">
        <w:t>)</w:t>
      </w:r>
      <w:r w:rsidR="00EF3E5B">
        <w:t>’</w:t>
      </w:r>
      <w:r w:rsidRPr="00FB284C">
        <w:t>. The sponsor is kindly requested to state which PK measurement(s) this statement refers to.</w:t>
      </w:r>
    </w:p>
    <w:p w14:paraId="522C9C33" w14:textId="77777777" w:rsidR="00FB284C" w:rsidRPr="00FB284C" w:rsidRDefault="00FB284C" w:rsidP="00FB284C">
      <w:pPr>
        <w:pStyle w:val="Heading3"/>
      </w:pPr>
      <w:bookmarkStart w:id="241" w:name="_Toc272414704"/>
      <w:bookmarkStart w:id="242" w:name="_Toc290846344"/>
      <w:bookmarkStart w:id="243" w:name="_Toc453755738"/>
      <w:bookmarkStart w:id="244" w:name="_Toc513557831"/>
      <w:r w:rsidRPr="00FB284C">
        <w:t>Efficacy</w:t>
      </w:r>
      <w:bookmarkEnd w:id="241"/>
      <w:bookmarkEnd w:id="242"/>
      <w:bookmarkEnd w:id="243"/>
      <w:bookmarkEnd w:id="244"/>
    </w:p>
    <w:p w14:paraId="522C9C34" w14:textId="77777777" w:rsidR="00FB284C" w:rsidRPr="00BF6172" w:rsidRDefault="00FB284C" w:rsidP="00771226">
      <w:pPr>
        <w:pStyle w:val="Numberbullet0"/>
        <w:numPr>
          <w:ilvl w:val="0"/>
          <w:numId w:val="37"/>
        </w:numPr>
      </w:pPr>
      <w:r w:rsidRPr="00BF6172">
        <w:t>In order to inform clinicians to determine if repeated tumour histology acquisition is required, the sponsor is kindly requested to present data regarding the duration of time between tissue sample collection and ability to accurately determine PD-L1 status in patients with NSCLC.</w:t>
      </w:r>
    </w:p>
    <w:p w14:paraId="522C9C35" w14:textId="63D64C34" w:rsidR="00FB284C" w:rsidRPr="00BF6172" w:rsidRDefault="00FB284C" w:rsidP="00180044">
      <w:pPr>
        <w:pStyle w:val="Numberbullet0"/>
      </w:pPr>
      <w:r w:rsidRPr="00BF6172">
        <w:t>The sponsor is kindly requested to present the proportion of each treatment arm in Keynote-010 that achieved confirmed stable disease, based on the IRC assessment RECIST 1.1 criteria.</w:t>
      </w:r>
    </w:p>
    <w:p w14:paraId="522C9C36" w14:textId="2F366466" w:rsidR="00FB284C" w:rsidRPr="00BF6172" w:rsidRDefault="00FB284C" w:rsidP="00180044">
      <w:pPr>
        <w:pStyle w:val="Numberbullet0"/>
      </w:pPr>
      <w:r w:rsidRPr="00BF6172">
        <w:t>In order to assess the effect of pembrolizumab regimen proposed for registration, the sponsor is kindly requested to present the Forest plot analyses of (</w:t>
      </w:r>
      <w:proofErr w:type="spellStart"/>
      <w:r w:rsidRPr="00BF6172">
        <w:t>i</w:t>
      </w:r>
      <w:proofErr w:type="spellEnd"/>
      <w:r w:rsidRPr="00BF6172">
        <w:t>) OS and (ii) PFS by subgroup factors, using the IRC assessment of only the pembrolizumab 2 mg/kg arm in comparison with the docetaxel arm, for each of the TPS</w:t>
      </w:r>
      <w:r w:rsidR="00D53B25" w:rsidRPr="00BF6172">
        <w:t xml:space="preserve"> ≥ </w:t>
      </w:r>
      <w:r w:rsidRPr="00BF6172">
        <w:t>50% and TPS</w:t>
      </w:r>
      <w:r w:rsidR="00D53B25" w:rsidRPr="00BF6172">
        <w:t xml:space="preserve"> ≥ </w:t>
      </w:r>
      <w:r w:rsidRPr="00BF6172">
        <w:t xml:space="preserve">1 to </w:t>
      </w:r>
      <w:r w:rsidR="009B28D9" w:rsidRPr="00BF6172">
        <w:t xml:space="preserve">&lt; </w:t>
      </w:r>
      <w:r w:rsidRPr="00BF6172">
        <w:t>50% ITT populations.</w:t>
      </w:r>
    </w:p>
    <w:p w14:paraId="522C9C37" w14:textId="77777777" w:rsidR="00FB284C" w:rsidRPr="00BF6172" w:rsidRDefault="00FB284C" w:rsidP="00BF6172">
      <w:pPr>
        <w:pStyle w:val="Numberbullet0"/>
      </w:pPr>
      <w:r w:rsidRPr="00BF6172">
        <w:t>The sponsor is kindly requested to present the sensitivity, specificity, positive predictive value, negative predictive value and receiver</w:t>
      </w:r>
      <w:r w:rsidR="00EC57E2" w:rsidRPr="00BF6172">
        <w:t xml:space="preserve"> operator characteristic curve and</w:t>
      </w:r>
      <w:r w:rsidRPr="00BF6172">
        <w:t xml:space="preserve"> associated </w:t>
      </w:r>
      <w:proofErr w:type="spellStart"/>
      <w:r w:rsidRPr="00BF6172">
        <w:t>Youden</w:t>
      </w:r>
      <w:proofErr w:type="spellEnd"/>
      <w:r w:rsidRPr="00BF6172">
        <w:t xml:space="preserve"> index for the PD-L1 test using a cut-off of 1% in the population of patients who received docetaxel and pembrolizumab 2 mg/kg Q3W in Keynote-010.</w:t>
      </w:r>
    </w:p>
    <w:p w14:paraId="522C9C38" w14:textId="77777777" w:rsidR="00FB284C" w:rsidRPr="00FB284C" w:rsidRDefault="00FB284C" w:rsidP="00FB284C">
      <w:pPr>
        <w:pStyle w:val="Heading3"/>
      </w:pPr>
      <w:bookmarkStart w:id="245" w:name="_Toc272414705"/>
      <w:bookmarkStart w:id="246" w:name="_Toc290846345"/>
      <w:bookmarkStart w:id="247" w:name="_Toc453755739"/>
      <w:bookmarkStart w:id="248" w:name="_Toc513557832"/>
      <w:r w:rsidRPr="00FB284C">
        <w:t>Safety</w:t>
      </w:r>
      <w:bookmarkEnd w:id="245"/>
      <w:bookmarkEnd w:id="246"/>
      <w:bookmarkEnd w:id="247"/>
      <w:bookmarkEnd w:id="248"/>
    </w:p>
    <w:p w14:paraId="522C9C39" w14:textId="77777777" w:rsidR="00FB284C" w:rsidRDefault="00FB284C" w:rsidP="00771226">
      <w:pPr>
        <w:pStyle w:val="Numberbullet0"/>
        <w:numPr>
          <w:ilvl w:val="0"/>
          <w:numId w:val="38"/>
        </w:numPr>
      </w:pPr>
      <w:r w:rsidRPr="00FB284C">
        <w:t>The sponsor is kindly requested to explain the discrepancy between the reported incidences of (</w:t>
      </w:r>
      <w:proofErr w:type="spellStart"/>
      <w:r w:rsidRPr="00FB284C">
        <w:t>i</w:t>
      </w:r>
      <w:proofErr w:type="spellEnd"/>
      <w:r w:rsidRPr="00FB284C">
        <w:t>) fatigue, (ii) nausea) and (iii) diarrhoea between the integrated summary of safety and the product information, as the latter documents a lower incidence for each category of adverse event.</w:t>
      </w:r>
    </w:p>
    <w:p w14:paraId="522C9C3A" w14:textId="77777777" w:rsidR="00C618F7" w:rsidRDefault="00C618F7" w:rsidP="00C618F7">
      <w:pPr>
        <w:pStyle w:val="Heading2"/>
      </w:pPr>
      <w:bookmarkStart w:id="249" w:name="_Toc513557833"/>
      <w:r>
        <w:lastRenderedPageBreak/>
        <w:t>Second round evaluation of clinical data submitted in response to questions</w:t>
      </w:r>
      <w:bookmarkEnd w:id="249"/>
    </w:p>
    <w:p w14:paraId="1F453FF9" w14:textId="5F7200E8" w:rsidR="0089444F" w:rsidRDefault="0089444F" w:rsidP="00180044">
      <w:pPr>
        <w:pStyle w:val="Heading3"/>
      </w:pPr>
      <w:bookmarkStart w:id="250" w:name="_Toc513557834"/>
      <w:r>
        <w:t>General questions</w:t>
      </w:r>
      <w:bookmarkEnd w:id="250"/>
    </w:p>
    <w:p w14:paraId="37677757" w14:textId="36589334" w:rsidR="0089444F" w:rsidRPr="00771226" w:rsidRDefault="0089444F" w:rsidP="00771226">
      <w:pPr>
        <w:pStyle w:val="Heading4"/>
      </w:pPr>
      <w:r w:rsidRPr="00771226">
        <w:t>Question 1</w:t>
      </w:r>
    </w:p>
    <w:p w14:paraId="522C9C3B" w14:textId="208D134F" w:rsidR="004369BD" w:rsidRPr="00771226" w:rsidRDefault="008A3EC7" w:rsidP="00771226">
      <w:pPr>
        <w:ind w:left="720"/>
        <w:rPr>
          <w:i/>
        </w:rPr>
      </w:pPr>
      <w:r w:rsidRPr="00771226">
        <w:rPr>
          <w:i/>
        </w:rPr>
        <w:t>‘</w:t>
      </w:r>
      <w:r w:rsidR="004369BD" w:rsidRPr="00771226">
        <w:rPr>
          <w:i/>
        </w:rPr>
        <w:t>The sponsor is kindly requested to provide the wording of the proposed indication sought in the EU, Canada, Singapore and Switzerland, and the registration status in each jurisdiction</w:t>
      </w:r>
      <w:r w:rsidRPr="00771226">
        <w:rPr>
          <w:i/>
        </w:rPr>
        <w:t>’</w:t>
      </w:r>
      <w:r w:rsidR="004369BD" w:rsidRPr="00771226">
        <w:rPr>
          <w:i/>
        </w:rPr>
        <w:t>.</w:t>
      </w:r>
    </w:p>
    <w:p w14:paraId="522C9C3C" w14:textId="5D29EA0E" w:rsidR="004369BD" w:rsidRPr="004369BD" w:rsidRDefault="004369BD" w:rsidP="00771226">
      <w:pPr>
        <w:pStyle w:val="Heading5"/>
      </w:pPr>
      <w:r w:rsidRPr="004369BD">
        <w:t>Sponsor</w:t>
      </w:r>
      <w:r w:rsidR="0089444F">
        <w:t>’s</w:t>
      </w:r>
      <w:r w:rsidRPr="004369BD">
        <w:t xml:space="preserve"> response</w:t>
      </w:r>
    </w:p>
    <w:p w14:paraId="522C9C3D" w14:textId="2C050749" w:rsidR="004369BD" w:rsidRDefault="004369BD" w:rsidP="004369BD">
      <w:r w:rsidRPr="004369BD">
        <w:t xml:space="preserve">The requested information is </w:t>
      </w:r>
      <w:r w:rsidRPr="00102888">
        <w:t>summar</w:t>
      </w:r>
      <w:r w:rsidR="00EF3E5B">
        <w:t>ised</w:t>
      </w:r>
      <w:r w:rsidRPr="00102888">
        <w:t xml:space="preserve"> in </w:t>
      </w:r>
      <w:r w:rsidR="00102888" w:rsidRPr="00102888">
        <w:t>Table 3</w:t>
      </w:r>
      <w:r w:rsidR="00310181">
        <w:t>7</w:t>
      </w:r>
      <w:r w:rsidR="005A06F3">
        <w:t>,</w:t>
      </w:r>
      <w:r w:rsidRPr="004369BD">
        <w:t xml:space="preserve"> below. Corresponding information for New Zealand and USA is also included.</w:t>
      </w:r>
    </w:p>
    <w:p w14:paraId="522C9C3E" w14:textId="77777777" w:rsidR="001B5859" w:rsidRDefault="00310181" w:rsidP="001B5859">
      <w:pPr>
        <w:pStyle w:val="Tabletitle"/>
      </w:pPr>
      <w:r>
        <w:t>Table 37</w:t>
      </w:r>
      <w:r w:rsidR="00102888">
        <w:t>:</w:t>
      </w:r>
      <w:r w:rsidR="001B5859">
        <w:t xml:space="preserve"> Wording of the proposed indications sought in EU, Canada, Singapore and Switzerland</w:t>
      </w:r>
    </w:p>
    <w:p w14:paraId="522C9C40" w14:textId="75C22B2A" w:rsidR="004369BD" w:rsidRDefault="00310181" w:rsidP="00C618F7">
      <w:pPr>
        <w:rPr>
          <w:noProof/>
          <w:lang w:eastAsia="en-AU"/>
        </w:rPr>
      </w:pPr>
      <w:r>
        <w:rPr>
          <w:noProof/>
          <w:lang w:eastAsia="en-AU"/>
        </w:rPr>
        <w:drawing>
          <wp:inline distT="0" distB="0" distL="0" distR="0" wp14:anchorId="522C9D2B" wp14:editId="27143EDE">
            <wp:extent cx="5466886" cy="5661965"/>
            <wp:effectExtent l="0" t="0" r="635" b="0"/>
            <wp:docPr id="17" name="Picture 17" descr="Table 37: Wording of the proposed indications sought in EU, Canada, Singapore and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63447" cy="5658404"/>
                    </a:xfrm>
                    <a:prstGeom prst="rect">
                      <a:avLst/>
                    </a:prstGeom>
                  </pic:spPr>
                </pic:pic>
              </a:graphicData>
            </a:graphic>
          </wp:inline>
        </w:drawing>
      </w:r>
    </w:p>
    <w:p w14:paraId="522C9C41" w14:textId="77777777" w:rsidR="00102888" w:rsidRDefault="00310181" w:rsidP="00102888">
      <w:pPr>
        <w:pStyle w:val="Tabletitle"/>
      </w:pPr>
      <w:r>
        <w:lastRenderedPageBreak/>
        <w:t>Table 37</w:t>
      </w:r>
      <w:r w:rsidR="00102888">
        <w:t xml:space="preserve"> (continued): Wording of the proposed indications sought in EU, Canada, Singapore and Switzerland</w:t>
      </w:r>
    </w:p>
    <w:p w14:paraId="522C9C42" w14:textId="77777777" w:rsidR="004369BD" w:rsidRDefault="004369BD" w:rsidP="00C618F7">
      <w:pPr>
        <w:rPr>
          <w:lang w:eastAsia="ja-JP"/>
        </w:rPr>
      </w:pPr>
      <w:r>
        <w:rPr>
          <w:noProof/>
          <w:lang w:eastAsia="en-AU"/>
        </w:rPr>
        <w:drawing>
          <wp:inline distT="0" distB="0" distL="0" distR="0" wp14:anchorId="522C9D2D" wp14:editId="6A712144">
            <wp:extent cx="5347411" cy="3690829"/>
            <wp:effectExtent l="0" t="0" r="5715" b="5080"/>
            <wp:docPr id="54" name="Picture 54" descr="Table 37 (continued): Wording of the proposed indications sought in EU, Canada, Singapore and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345616" cy="3689590"/>
                    </a:xfrm>
                    <a:prstGeom prst="rect">
                      <a:avLst/>
                    </a:prstGeom>
                  </pic:spPr>
                </pic:pic>
              </a:graphicData>
            </a:graphic>
          </wp:inline>
        </w:drawing>
      </w:r>
    </w:p>
    <w:p w14:paraId="1177882C" w14:textId="4D0CA5CE" w:rsidR="005A06F3" w:rsidRDefault="004369BD" w:rsidP="00771226">
      <w:pPr>
        <w:pStyle w:val="Heading5"/>
      </w:pPr>
      <w:r w:rsidRPr="004369BD">
        <w:t>Evaluator</w:t>
      </w:r>
      <w:r w:rsidR="005A06F3">
        <w:t>’s</w:t>
      </w:r>
      <w:r w:rsidRPr="004369BD">
        <w:t xml:space="preserve"> comment</w:t>
      </w:r>
    </w:p>
    <w:p w14:paraId="522C9C43" w14:textId="32F9BCAB" w:rsidR="004369BD" w:rsidRDefault="004369BD" w:rsidP="004369BD">
      <w:r w:rsidRPr="004369BD">
        <w:t>The wording of the indication in each jurisdiction is noted.</w:t>
      </w:r>
    </w:p>
    <w:p w14:paraId="38E3E4C5" w14:textId="26DB4353" w:rsidR="00771226" w:rsidRPr="005A06F3" w:rsidRDefault="005A06F3" w:rsidP="00771226">
      <w:pPr>
        <w:pStyle w:val="Heading4"/>
      </w:pPr>
      <w:r>
        <w:t>Question 2</w:t>
      </w:r>
    </w:p>
    <w:p w14:paraId="522C9C44" w14:textId="0C66D84B" w:rsidR="004369BD" w:rsidRPr="007A175B" w:rsidRDefault="004369BD" w:rsidP="007A175B">
      <w:pPr>
        <w:ind w:left="720"/>
        <w:rPr>
          <w:i/>
          <w:iCs/>
        </w:rPr>
      </w:pPr>
      <w:r w:rsidRPr="007A175B">
        <w:rPr>
          <w:i/>
          <w:iCs/>
        </w:rPr>
        <w:t>The sponsor is kindly requested to provide details of the wording for the mandated companion diagnostic test to accompany pembrolizumab use in the product information provided to the EU, Canada, Singapore and Switzerland.</w:t>
      </w:r>
    </w:p>
    <w:p w14:paraId="522C9C45" w14:textId="2167188F" w:rsidR="004369BD" w:rsidRPr="004369BD" w:rsidRDefault="004369BD" w:rsidP="00771226">
      <w:pPr>
        <w:pStyle w:val="Heading5"/>
      </w:pPr>
      <w:r w:rsidRPr="004369BD">
        <w:t>Sponsor</w:t>
      </w:r>
      <w:r w:rsidR="005A06F3">
        <w:t>’s</w:t>
      </w:r>
      <w:r w:rsidRPr="004369BD">
        <w:t xml:space="preserve"> response</w:t>
      </w:r>
    </w:p>
    <w:p w14:paraId="522C9C46" w14:textId="0543C90D" w:rsidR="004369BD" w:rsidRDefault="004369BD" w:rsidP="004369BD">
      <w:r w:rsidRPr="004369BD">
        <w:t xml:space="preserve">The requested information is </w:t>
      </w:r>
      <w:r w:rsidRPr="00102888">
        <w:t>summar</w:t>
      </w:r>
      <w:r w:rsidR="00EF3E5B">
        <w:t>ised</w:t>
      </w:r>
      <w:r w:rsidRPr="00102888">
        <w:t xml:space="preserve"> in </w:t>
      </w:r>
      <w:r w:rsidR="00310181">
        <w:t>Table 38</w:t>
      </w:r>
      <w:r w:rsidRPr="00102888">
        <w:t xml:space="preserve"> below. Corresponding</w:t>
      </w:r>
      <w:r w:rsidRPr="004369BD">
        <w:t xml:space="preserve"> information for New Zealand and USA is also included.</w:t>
      </w:r>
    </w:p>
    <w:p w14:paraId="522C9C47" w14:textId="77777777" w:rsidR="001B5859" w:rsidRPr="004369BD" w:rsidRDefault="00310181" w:rsidP="001B5859">
      <w:pPr>
        <w:pStyle w:val="Tabletitle"/>
      </w:pPr>
      <w:r>
        <w:lastRenderedPageBreak/>
        <w:t>Table 38</w:t>
      </w:r>
      <w:r w:rsidR="00102888">
        <w:t>: T</w:t>
      </w:r>
      <w:r w:rsidR="001B5859">
        <w:t>he wording for the mandated companion test in EU, Canada, Singapore and Switzerland</w:t>
      </w:r>
    </w:p>
    <w:p w14:paraId="522C9C48" w14:textId="77777777" w:rsidR="004369BD" w:rsidRDefault="004369BD" w:rsidP="00C618F7">
      <w:pPr>
        <w:rPr>
          <w:lang w:eastAsia="ja-JP"/>
        </w:rPr>
      </w:pPr>
      <w:r>
        <w:rPr>
          <w:noProof/>
          <w:lang w:eastAsia="en-AU"/>
        </w:rPr>
        <w:drawing>
          <wp:inline distT="0" distB="0" distL="0" distR="0" wp14:anchorId="522C9D2F" wp14:editId="41957D38">
            <wp:extent cx="5479085" cy="2695638"/>
            <wp:effectExtent l="0" t="0" r="7620" b="0"/>
            <wp:docPr id="55" name="Picture 55" descr="Table 38: The wording for the mandated companion test in EU, Canada, Singapore and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9182" cy="2700605"/>
                    </a:xfrm>
                    <a:prstGeom prst="rect">
                      <a:avLst/>
                    </a:prstGeom>
                  </pic:spPr>
                </pic:pic>
              </a:graphicData>
            </a:graphic>
          </wp:inline>
        </w:drawing>
      </w:r>
    </w:p>
    <w:p w14:paraId="522C9C49" w14:textId="77777777" w:rsidR="00102888" w:rsidRPr="004369BD" w:rsidRDefault="00310181" w:rsidP="00102888">
      <w:pPr>
        <w:pStyle w:val="Tabletitle"/>
      </w:pPr>
      <w:r>
        <w:lastRenderedPageBreak/>
        <w:t>Table 38</w:t>
      </w:r>
      <w:r w:rsidR="00102888">
        <w:t xml:space="preserve"> (continued): The wording for the mandated companion test in EU, Canada, Singapore and Switzerland</w:t>
      </w:r>
    </w:p>
    <w:p w14:paraId="522C9C4A" w14:textId="77777777" w:rsidR="004369BD" w:rsidRDefault="004369BD" w:rsidP="00C618F7">
      <w:pPr>
        <w:rPr>
          <w:lang w:eastAsia="ja-JP"/>
        </w:rPr>
      </w:pPr>
      <w:r>
        <w:rPr>
          <w:noProof/>
          <w:lang w:eastAsia="en-AU"/>
        </w:rPr>
        <w:drawing>
          <wp:inline distT="0" distB="0" distL="0" distR="0" wp14:anchorId="522C9D31" wp14:editId="409704DD">
            <wp:extent cx="5423092" cy="7534656"/>
            <wp:effectExtent l="0" t="0" r="6350" b="9525"/>
            <wp:docPr id="56" name="Picture 56" descr="Table 38 (continued): The wording for the mandated companion test in EU, Canada, Singapore and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20987" cy="7531732"/>
                    </a:xfrm>
                    <a:prstGeom prst="rect">
                      <a:avLst/>
                    </a:prstGeom>
                  </pic:spPr>
                </pic:pic>
              </a:graphicData>
            </a:graphic>
          </wp:inline>
        </w:drawing>
      </w:r>
    </w:p>
    <w:p w14:paraId="522C9C4B" w14:textId="77777777" w:rsidR="004369BD" w:rsidRDefault="00310181" w:rsidP="00102888">
      <w:pPr>
        <w:pStyle w:val="Tabletitle"/>
      </w:pPr>
      <w:r>
        <w:lastRenderedPageBreak/>
        <w:t>Table 38</w:t>
      </w:r>
      <w:r w:rsidR="00102888">
        <w:t xml:space="preserve"> (continued): The wording for the mandated companion test in EU, Canada, Singapore and Switzerland</w:t>
      </w:r>
    </w:p>
    <w:p w14:paraId="522C9C4C" w14:textId="77777777" w:rsidR="004369BD" w:rsidRDefault="004369BD" w:rsidP="00C618F7">
      <w:pPr>
        <w:rPr>
          <w:lang w:eastAsia="ja-JP"/>
        </w:rPr>
      </w:pPr>
      <w:r>
        <w:rPr>
          <w:noProof/>
          <w:lang w:eastAsia="en-AU"/>
        </w:rPr>
        <w:drawing>
          <wp:inline distT="0" distB="0" distL="0" distR="0" wp14:anchorId="522C9D33" wp14:editId="26981465">
            <wp:extent cx="5505453" cy="7307885"/>
            <wp:effectExtent l="0" t="0" r="0" b="7620"/>
            <wp:docPr id="57" name="Picture 57" descr="Table 38 (continued): The wording for the mandated companion test in EU, Canada, Singapore and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505557" cy="7308023"/>
                    </a:xfrm>
                    <a:prstGeom prst="rect">
                      <a:avLst/>
                    </a:prstGeom>
                  </pic:spPr>
                </pic:pic>
              </a:graphicData>
            </a:graphic>
          </wp:inline>
        </w:drawing>
      </w:r>
    </w:p>
    <w:p w14:paraId="14CB3603" w14:textId="347C955C" w:rsidR="005A06F3" w:rsidRDefault="004369BD" w:rsidP="00771226">
      <w:pPr>
        <w:pStyle w:val="Heading5"/>
      </w:pPr>
      <w:r w:rsidRPr="004369BD">
        <w:t>Evaluator</w:t>
      </w:r>
      <w:r w:rsidR="005A06F3">
        <w:t>’s</w:t>
      </w:r>
      <w:r w:rsidRPr="004369BD">
        <w:t xml:space="preserve"> comment</w:t>
      </w:r>
    </w:p>
    <w:p w14:paraId="522C9C4D" w14:textId="67D9C93B" w:rsidR="004369BD" w:rsidRDefault="004369BD" w:rsidP="004369BD">
      <w:r w:rsidRPr="004369BD">
        <w:t>The wording associated with the companion test in each jurisdiction is noted.</w:t>
      </w:r>
    </w:p>
    <w:p w14:paraId="4E1635F7" w14:textId="0F2B4504" w:rsidR="00BF6172" w:rsidRPr="004369BD" w:rsidRDefault="00BF6172" w:rsidP="00771226">
      <w:pPr>
        <w:pStyle w:val="Heading4"/>
      </w:pPr>
      <w:r>
        <w:lastRenderedPageBreak/>
        <w:t>Question 3</w:t>
      </w:r>
    </w:p>
    <w:p w14:paraId="522C9C4E" w14:textId="59FA408F" w:rsidR="004369BD" w:rsidRPr="00771226" w:rsidRDefault="005A06F3" w:rsidP="00771226">
      <w:pPr>
        <w:ind w:left="720"/>
        <w:rPr>
          <w:i/>
        </w:rPr>
      </w:pPr>
      <w:r w:rsidRPr="00771226">
        <w:rPr>
          <w:i/>
        </w:rPr>
        <w:t>‘</w:t>
      </w:r>
      <w:r w:rsidR="004369BD" w:rsidRPr="00771226">
        <w:rPr>
          <w:i/>
        </w:rPr>
        <w:t>The sponsor is requested to provide the test characteristics (sensitivity, specificity, positive predictive value and negative predictive value) when assessed in patients with NSCLC at (</w:t>
      </w:r>
      <w:proofErr w:type="spellStart"/>
      <w:r w:rsidR="004369BD" w:rsidRPr="00771226">
        <w:rPr>
          <w:i/>
        </w:rPr>
        <w:t>i</w:t>
      </w:r>
      <w:proofErr w:type="spellEnd"/>
      <w:r w:rsidR="004369BD" w:rsidRPr="00771226">
        <w:rPr>
          <w:i/>
        </w:rPr>
        <w:t xml:space="preserve">) a </w:t>
      </w:r>
      <w:r w:rsidR="00771226" w:rsidRPr="00771226">
        <w:rPr>
          <w:i/>
        </w:rPr>
        <w:t>cut-off</w:t>
      </w:r>
      <w:r w:rsidR="004369BD" w:rsidRPr="00771226">
        <w:rPr>
          <w:i/>
        </w:rPr>
        <w:t xml:space="preserve"> of TPS 50% and (ii) TPS 1%</w:t>
      </w:r>
      <w:r w:rsidRPr="00771226">
        <w:rPr>
          <w:i/>
        </w:rPr>
        <w:t>’</w:t>
      </w:r>
      <w:r w:rsidR="004369BD" w:rsidRPr="00771226">
        <w:rPr>
          <w:i/>
        </w:rPr>
        <w:t>.</w:t>
      </w:r>
    </w:p>
    <w:p w14:paraId="522C9C4F" w14:textId="7A427082" w:rsidR="004369BD" w:rsidRPr="004369BD" w:rsidRDefault="004369BD" w:rsidP="00771226">
      <w:pPr>
        <w:pStyle w:val="Heading5"/>
      </w:pPr>
      <w:r w:rsidRPr="004369BD">
        <w:t>Sponsor</w:t>
      </w:r>
      <w:r w:rsidR="005A06F3">
        <w:t>’s</w:t>
      </w:r>
      <w:r w:rsidRPr="004369BD">
        <w:t xml:space="preserve"> response</w:t>
      </w:r>
    </w:p>
    <w:p w14:paraId="522C9C50" w14:textId="2B1DCB25" w:rsidR="004369BD" w:rsidRPr="001B5859" w:rsidRDefault="004369BD" w:rsidP="001B5859">
      <w:r w:rsidRPr="001B5859">
        <w:t>One of the eligibility criteria in KN010 was that subjects needed to have a PD-L1 positive (TPS</w:t>
      </w:r>
      <w:r w:rsidR="001B5859" w:rsidRPr="001B5859">
        <w:t> ≥ </w:t>
      </w:r>
      <w:r w:rsidRPr="001B5859">
        <w:t xml:space="preserve">1%) specimen to be considered for </w:t>
      </w:r>
      <w:r w:rsidR="005A06F3" w:rsidRPr="001B5859">
        <w:t>randomi</w:t>
      </w:r>
      <w:r w:rsidR="005A06F3">
        <w:t>s</w:t>
      </w:r>
      <w:r w:rsidR="005A06F3" w:rsidRPr="001B5859">
        <w:t>ation</w:t>
      </w:r>
      <w:r w:rsidRPr="001B5859">
        <w:t>. Subjects with PD-L1 negative (TPS</w:t>
      </w:r>
      <w:r w:rsidR="001B5859">
        <w:t> &lt; </w:t>
      </w:r>
      <w:r w:rsidRPr="001B5859">
        <w:t>1%) specimens were not eligible to participate in the study. As a result, it is not possible to determine the clinical sensitivity, clinical specificity and nega</w:t>
      </w:r>
      <w:r w:rsidR="001B5859">
        <w:t>tive predictive value of the PD</w:t>
      </w:r>
      <w:r w:rsidR="001B5859">
        <w:noBreakHyphen/>
      </w:r>
      <w:r w:rsidRPr="001B5859">
        <w:t xml:space="preserve">L1 IHC 22C3 </w:t>
      </w:r>
      <w:proofErr w:type="spellStart"/>
      <w:r w:rsidRPr="001B5859">
        <w:t>pharmDx</w:t>
      </w:r>
      <w:proofErr w:type="spellEnd"/>
      <w:r w:rsidRPr="001B5859">
        <w:t xml:space="preserve"> kit from data from </w:t>
      </w:r>
      <w:r w:rsidR="005A06F3">
        <w:t xml:space="preserve">Study </w:t>
      </w:r>
      <w:r w:rsidRPr="001B5859">
        <w:t xml:space="preserve">KN010. For each of these measures, an assessment of pembrolizumab outcomes in PD-L1 negative specimens is also needed which is unavailable due to the eligibility criterion for the study as briefly described above. Positive predictive value (PPV) of the test can be obtained from the study data and is in fact the objective response rate (ORR). The following </w:t>
      </w:r>
      <w:r w:rsidRPr="00310181">
        <w:t>tables (Tables 3</w:t>
      </w:r>
      <w:r w:rsidR="00310181" w:rsidRPr="00310181">
        <w:t>9</w:t>
      </w:r>
      <w:r w:rsidR="001B5859" w:rsidRPr="00310181">
        <w:t xml:space="preserve">, </w:t>
      </w:r>
      <w:r w:rsidR="00310181" w:rsidRPr="00310181">
        <w:t>40</w:t>
      </w:r>
      <w:r w:rsidR="00102888" w:rsidRPr="00310181">
        <w:t>, 4</w:t>
      </w:r>
      <w:r w:rsidR="00310181" w:rsidRPr="00310181">
        <w:t>1</w:t>
      </w:r>
      <w:r w:rsidR="001B5859" w:rsidRPr="00310181">
        <w:t xml:space="preserve"> and</w:t>
      </w:r>
      <w:r w:rsidR="00102888" w:rsidRPr="00310181">
        <w:t xml:space="preserve"> </w:t>
      </w:r>
      <w:r w:rsidR="00310181" w:rsidRPr="00310181">
        <w:t>42</w:t>
      </w:r>
      <w:r w:rsidRPr="00310181">
        <w:t>) include the PPV of the test at the TPS</w:t>
      </w:r>
      <w:r w:rsidR="00D53B25" w:rsidRPr="00310181">
        <w:t xml:space="preserve"> ≥ </w:t>
      </w:r>
      <w:r w:rsidRPr="00310181">
        <w:t>50% and TPS</w:t>
      </w:r>
      <w:r w:rsidR="00D53B25" w:rsidRPr="00310181">
        <w:t xml:space="preserve"> ≥ </w:t>
      </w:r>
      <w:r w:rsidRPr="00310181">
        <w:t xml:space="preserve">1% </w:t>
      </w:r>
      <w:r w:rsidR="001B5859" w:rsidRPr="00310181">
        <w:t>cut-offs</w:t>
      </w:r>
      <w:r w:rsidRPr="00310181">
        <w:t xml:space="preserve"> for both the clinical trial assay (C</w:t>
      </w:r>
      <w:r w:rsidRPr="001B5859">
        <w:t xml:space="preserve">TA) version of the PD-L1 IHC 22C3 </w:t>
      </w:r>
      <w:proofErr w:type="spellStart"/>
      <w:r w:rsidRPr="001B5859">
        <w:t>pharmDx</w:t>
      </w:r>
      <w:proofErr w:type="spellEnd"/>
      <w:r w:rsidRPr="001B5859">
        <w:t xml:space="preserve"> kit used in the study to screen patients and the PD-L1 IHC 22C3 </w:t>
      </w:r>
      <w:proofErr w:type="spellStart"/>
      <w:r w:rsidRPr="001B5859">
        <w:t>pharmDx</w:t>
      </w:r>
      <w:proofErr w:type="spellEnd"/>
      <w:r w:rsidRPr="001B5859">
        <w:t xml:space="preserve"> kit market ready assay (MRA). Data with the MRA was obtained through a bridging study by retesting KN010 CTA screened samples with the MRA.</w:t>
      </w:r>
    </w:p>
    <w:p w14:paraId="522C9C51" w14:textId="77777777" w:rsidR="004369BD" w:rsidRDefault="009C644B" w:rsidP="009C644B">
      <w:pPr>
        <w:pStyle w:val="Tabletitle"/>
        <w:rPr>
          <w:lang w:eastAsia="ja-JP"/>
        </w:rPr>
      </w:pPr>
      <w:r w:rsidRPr="00102888">
        <w:rPr>
          <w:lang w:eastAsia="ja-JP"/>
        </w:rPr>
        <w:t>Table 3</w:t>
      </w:r>
      <w:r w:rsidR="00310181">
        <w:rPr>
          <w:lang w:eastAsia="ja-JP"/>
        </w:rPr>
        <w:t>9</w:t>
      </w:r>
      <w:r w:rsidRPr="00102888">
        <w:rPr>
          <w:lang w:eastAsia="ja-JP"/>
        </w:rPr>
        <w:t>: Analysis</w:t>
      </w:r>
      <w:r w:rsidR="004369BD">
        <w:rPr>
          <w:lang w:eastAsia="ja-JP"/>
        </w:rPr>
        <w:t xml:space="preserve"> of overall response based on IRC Assessment RECIST 1.1 subjects with CTA TPS</w:t>
      </w:r>
      <w:r w:rsidR="00D53B25">
        <w:rPr>
          <w:lang w:eastAsia="ja-JP"/>
        </w:rPr>
        <w:t xml:space="preserve"> ≥ </w:t>
      </w:r>
      <w:r>
        <w:rPr>
          <w:lang w:eastAsia="ja-JP"/>
        </w:rPr>
        <w:t>50% ITT population</w:t>
      </w:r>
    </w:p>
    <w:p w14:paraId="522C9C52" w14:textId="77777777" w:rsidR="004369BD" w:rsidRDefault="004369BD" w:rsidP="00C618F7">
      <w:pPr>
        <w:rPr>
          <w:lang w:eastAsia="ja-JP"/>
        </w:rPr>
      </w:pPr>
      <w:r>
        <w:rPr>
          <w:noProof/>
          <w:lang w:eastAsia="en-AU"/>
        </w:rPr>
        <w:drawing>
          <wp:inline distT="0" distB="0" distL="0" distR="0" wp14:anchorId="522C9D35" wp14:editId="522C9D36">
            <wp:extent cx="5731510" cy="1630051"/>
            <wp:effectExtent l="0" t="0" r="2540" b="8255"/>
            <wp:docPr id="58" name="Picture 58" descr="Table 39: Analysis of overall response based on IRC Assessment RECIST 1.1 subjects with CTA TPS ≥ 5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31510" cy="1630051"/>
                    </a:xfrm>
                    <a:prstGeom prst="rect">
                      <a:avLst/>
                    </a:prstGeom>
                  </pic:spPr>
                </pic:pic>
              </a:graphicData>
            </a:graphic>
          </wp:inline>
        </w:drawing>
      </w:r>
    </w:p>
    <w:p w14:paraId="522C9C53" w14:textId="77777777" w:rsidR="004369BD" w:rsidRDefault="00310181" w:rsidP="009C644B">
      <w:pPr>
        <w:pStyle w:val="Tabletitle"/>
        <w:rPr>
          <w:lang w:eastAsia="ja-JP"/>
        </w:rPr>
      </w:pPr>
      <w:r>
        <w:rPr>
          <w:lang w:eastAsia="ja-JP"/>
        </w:rPr>
        <w:t>Table 40</w:t>
      </w:r>
      <w:r w:rsidR="00102888" w:rsidRPr="00102888">
        <w:rPr>
          <w:lang w:eastAsia="ja-JP"/>
        </w:rPr>
        <w:t>:</w:t>
      </w:r>
      <w:r w:rsidR="009C644B" w:rsidRPr="00102888">
        <w:rPr>
          <w:lang w:eastAsia="ja-JP"/>
        </w:rPr>
        <w:t xml:space="preserve"> Analysis of overall response based on IRC Assessment RECIST 1.1 subjects with CTA TPS</w:t>
      </w:r>
      <w:r w:rsidR="00D53B25" w:rsidRPr="00102888">
        <w:rPr>
          <w:lang w:eastAsia="ja-JP"/>
        </w:rPr>
        <w:t xml:space="preserve"> ≥ </w:t>
      </w:r>
      <w:r w:rsidR="009C644B" w:rsidRPr="00102888">
        <w:rPr>
          <w:lang w:eastAsia="ja-JP"/>
        </w:rPr>
        <w:t>1% ITT population</w:t>
      </w:r>
    </w:p>
    <w:p w14:paraId="522C9C54" w14:textId="77777777" w:rsidR="004369BD" w:rsidRDefault="009C644B" w:rsidP="00C618F7">
      <w:pPr>
        <w:rPr>
          <w:lang w:eastAsia="ja-JP"/>
        </w:rPr>
      </w:pPr>
      <w:r>
        <w:rPr>
          <w:noProof/>
          <w:lang w:eastAsia="en-AU"/>
        </w:rPr>
        <w:drawing>
          <wp:inline distT="0" distB="0" distL="0" distR="0" wp14:anchorId="522C9D37" wp14:editId="522C9D38">
            <wp:extent cx="5731510" cy="1669241"/>
            <wp:effectExtent l="0" t="0" r="2540" b="7620"/>
            <wp:docPr id="59" name="Picture 59" descr="Table 40: Analysis of overall response based on IRC Assessment RECIST 1.1 subjects with CTA TPS ≥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1669241"/>
                    </a:xfrm>
                    <a:prstGeom prst="rect">
                      <a:avLst/>
                    </a:prstGeom>
                  </pic:spPr>
                </pic:pic>
              </a:graphicData>
            </a:graphic>
          </wp:inline>
        </w:drawing>
      </w:r>
    </w:p>
    <w:p w14:paraId="522C9C55" w14:textId="77777777" w:rsidR="009C644B" w:rsidRDefault="00310181" w:rsidP="009C644B">
      <w:pPr>
        <w:pStyle w:val="Tabletitle"/>
        <w:rPr>
          <w:lang w:eastAsia="ja-JP"/>
        </w:rPr>
      </w:pPr>
      <w:r>
        <w:rPr>
          <w:lang w:eastAsia="ja-JP"/>
        </w:rPr>
        <w:lastRenderedPageBreak/>
        <w:t>Table 41</w:t>
      </w:r>
      <w:r w:rsidR="00102888" w:rsidRPr="00102888">
        <w:rPr>
          <w:lang w:eastAsia="ja-JP"/>
        </w:rPr>
        <w:t>:</w:t>
      </w:r>
      <w:r w:rsidR="009C644B" w:rsidRPr="00102888">
        <w:rPr>
          <w:lang w:eastAsia="ja-JP"/>
        </w:rPr>
        <w:t xml:space="preserve"> Analysis</w:t>
      </w:r>
      <w:r w:rsidR="009C644B">
        <w:rPr>
          <w:lang w:eastAsia="ja-JP"/>
        </w:rPr>
        <w:t xml:space="preserve"> of overall response based on IRC Assessment RECIST 1.1 subjects with MRA TPS</w:t>
      </w:r>
      <w:r w:rsidR="00D53B25">
        <w:rPr>
          <w:lang w:eastAsia="ja-JP"/>
        </w:rPr>
        <w:t xml:space="preserve"> ≥ </w:t>
      </w:r>
      <w:r w:rsidR="001B5859">
        <w:rPr>
          <w:lang w:eastAsia="ja-JP"/>
        </w:rPr>
        <w:t>50%,</w:t>
      </w:r>
      <w:r w:rsidR="009C644B">
        <w:rPr>
          <w:lang w:eastAsia="ja-JP"/>
        </w:rPr>
        <w:t xml:space="preserve"> WSW, ITT population</w:t>
      </w:r>
    </w:p>
    <w:p w14:paraId="522C9C56" w14:textId="77777777" w:rsidR="004369BD" w:rsidRDefault="009C644B" w:rsidP="00C618F7">
      <w:pPr>
        <w:rPr>
          <w:lang w:eastAsia="ja-JP"/>
        </w:rPr>
      </w:pPr>
      <w:r>
        <w:rPr>
          <w:noProof/>
          <w:lang w:eastAsia="en-AU"/>
        </w:rPr>
        <w:drawing>
          <wp:inline distT="0" distB="0" distL="0" distR="0" wp14:anchorId="522C9D39" wp14:editId="522C9D3A">
            <wp:extent cx="5731510" cy="2592651"/>
            <wp:effectExtent l="0" t="0" r="2540" b="0"/>
            <wp:docPr id="60" name="Picture 60" descr="Table 41: Analysis of overall response based on IRC Assessment RECIST 1.1 subjects with MRA TPS ≥ 50%, WSW,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2592651"/>
                    </a:xfrm>
                    <a:prstGeom prst="rect">
                      <a:avLst/>
                    </a:prstGeom>
                  </pic:spPr>
                </pic:pic>
              </a:graphicData>
            </a:graphic>
          </wp:inline>
        </w:drawing>
      </w:r>
    </w:p>
    <w:p w14:paraId="522C9C57" w14:textId="77777777" w:rsidR="009C644B" w:rsidRDefault="00310181" w:rsidP="009C644B">
      <w:pPr>
        <w:pStyle w:val="Tabletitle"/>
        <w:rPr>
          <w:lang w:eastAsia="ja-JP"/>
        </w:rPr>
      </w:pPr>
      <w:r>
        <w:rPr>
          <w:lang w:eastAsia="ja-JP"/>
        </w:rPr>
        <w:t>Table 42</w:t>
      </w:r>
      <w:r w:rsidR="00102888" w:rsidRPr="00102888">
        <w:rPr>
          <w:lang w:eastAsia="ja-JP"/>
        </w:rPr>
        <w:t>:</w:t>
      </w:r>
      <w:r w:rsidR="009C644B">
        <w:rPr>
          <w:lang w:eastAsia="ja-JP"/>
        </w:rPr>
        <w:t xml:space="preserve"> Analysis of overall response based on IRC Assessment RECIST 1.1 subjects with MRA TPS</w:t>
      </w:r>
      <w:r w:rsidR="00D53B25">
        <w:rPr>
          <w:lang w:eastAsia="ja-JP"/>
        </w:rPr>
        <w:t xml:space="preserve"> ≥ </w:t>
      </w:r>
      <w:r w:rsidR="009C644B">
        <w:rPr>
          <w:lang w:eastAsia="ja-JP"/>
        </w:rPr>
        <w:t>1% ITT population</w:t>
      </w:r>
    </w:p>
    <w:p w14:paraId="522C9C58" w14:textId="77777777" w:rsidR="009C644B" w:rsidRDefault="009C644B" w:rsidP="00C618F7">
      <w:pPr>
        <w:rPr>
          <w:lang w:eastAsia="ja-JP"/>
        </w:rPr>
      </w:pPr>
      <w:r>
        <w:rPr>
          <w:noProof/>
          <w:lang w:eastAsia="en-AU"/>
        </w:rPr>
        <w:drawing>
          <wp:inline distT="0" distB="0" distL="0" distR="0" wp14:anchorId="522C9D3B" wp14:editId="522C9D3C">
            <wp:extent cx="5731510" cy="2474469"/>
            <wp:effectExtent l="0" t="0" r="2540" b="2540"/>
            <wp:docPr id="61" name="Picture 61" descr="Table 42: Analysis of overall response based on IRC Assessment RECIST 1.1 subjects with MRA TPS ≥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2474469"/>
                    </a:xfrm>
                    <a:prstGeom prst="rect">
                      <a:avLst/>
                    </a:prstGeom>
                  </pic:spPr>
                </pic:pic>
              </a:graphicData>
            </a:graphic>
          </wp:inline>
        </w:drawing>
      </w:r>
    </w:p>
    <w:p w14:paraId="522C9C59" w14:textId="77777777" w:rsidR="009C644B" w:rsidRPr="009C644B" w:rsidRDefault="009C644B" w:rsidP="009C644B">
      <w:r w:rsidRPr="009C644B">
        <w:t xml:space="preserve">In addition, analytical sensitivity and analytical specificity for the PD-L1 IHC 22C3 </w:t>
      </w:r>
      <w:proofErr w:type="spellStart"/>
      <w:r w:rsidRPr="009C644B">
        <w:t>pharmDx</w:t>
      </w:r>
      <w:proofErr w:type="spellEnd"/>
      <w:r w:rsidRPr="009C644B">
        <w:t xml:space="preserve"> assay were assessed and are included below. This information was submitted to TGA by </w:t>
      </w:r>
      <w:proofErr w:type="spellStart"/>
      <w:r w:rsidRPr="009C644B">
        <w:t>Dako</w:t>
      </w:r>
      <w:proofErr w:type="spellEnd"/>
      <w:r w:rsidRPr="009C644B">
        <w:t xml:space="preserve"> on </w:t>
      </w:r>
      <w:r w:rsidR="001B5859">
        <w:t xml:space="preserve">11 </w:t>
      </w:r>
      <w:r w:rsidRPr="009C644B">
        <w:t xml:space="preserve">March 2016 as part of the PD-L1 IHC 22C3 </w:t>
      </w:r>
      <w:proofErr w:type="spellStart"/>
      <w:r w:rsidRPr="009C644B">
        <w:t>pharmDx</w:t>
      </w:r>
      <w:proofErr w:type="spellEnd"/>
      <w:r w:rsidRPr="009C644B">
        <w:t xml:space="preserve"> assay IVD submission.</w:t>
      </w:r>
    </w:p>
    <w:p w14:paraId="522C9C5A" w14:textId="77777777" w:rsidR="009C644B" w:rsidRPr="009C644B" w:rsidRDefault="001B5859" w:rsidP="00FD63CF">
      <w:pPr>
        <w:pStyle w:val="Heading6"/>
      </w:pPr>
      <w:r>
        <w:t>Analytical s</w:t>
      </w:r>
      <w:r w:rsidR="009C644B" w:rsidRPr="009C644B">
        <w:t>ensitivity</w:t>
      </w:r>
    </w:p>
    <w:p w14:paraId="522C9C5B" w14:textId="77777777" w:rsidR="009C644B" w:rsidRPr="009C644B" w:rsidRDefault="009C644B" w:rsidP="009C644B">
      <w:r w:rsidRPr="009C644B">
        <w:t xml:space="preserve">The objective of this test was to demonstrate that the PD-L1 IHC 22C3 </w:t>
      </w:r>
      <w:proofErr w:type="spellStart"/>
      <w:r w:rsidRPr="009C644B">
        <w:t>pharmDx</w:t>
      </w:r>
      <w:proofErr w:type="spellEnd"/>
      <w:r w:rsidRPr="009C644B">
        <w:t xml:space="preserve"> assay detects the target substance (PD-L1 protein) in a range of PD-L1-expressing FFPE human NSCLC tissue specimens.</w:t>
      </w:r>
    </w:p>
    <w:p w14:paraId="522C9C5C" w14:textId="77777777" w:rsidR="009C644B" w:rsidRPr="009C644B" w:rsidRDefault="009C644B" w:rsidP="009C644B">
      <w:r w:rsidRPr="009C644B">
        <w:t>NSCLC specimens were selected according to the criteria below and were stained according to the IHC staining procedure. One pair of sections from each specimen was tested with the Primary Antibody to PD-L1 and Negative Control Reagent.</w:t>
      </w:r>
    </w:p>
    <w:p w14:paraId="522C9C5D" w14:textId="77777777" w:rsidR="009C644B" w:rsidRPr="009C644B" w:rsidRDefault="009C644B" w:rsidP="009C644B">
      <w:r w:rsidRPr="009C644B">
        <w:t xml:space="preserve">127 unique cases of NSCLC were selected; the specimens represented a full range of PD-L1 expression, all specimens were chosen at random and were not pre-selected based on distribution. The 127 unique cases of NSCLC specimens included primary </w:t>
      </w:r>
      <w:r w:rsidR="00D53B25">
        <w:t>tumours</w:t>
      </w:r>
      <w:r w:rsidRPr="009C644B">
        <w:t xml:space="preserve"> and </w:t>
      </w:r>
      <w:r w:rsidRPr="009C644B">
        <w:lastRenderedPageBreak/>
        <w:t>metastases, both Stage III and Stage IV disease specimens. All specimens were represented by whole tissue sections.</w:t>
      </w:r>
    </w:p>
    <w:p w14:paraId="522C9C5E" w14:textId="35E6195F" w:rsidR="009C644B" w:rsidRPr="009C644B" w:rsidRDefault="009C644B" w:rsidP="009C644B">
      <w:r w:rsidRPr="009C644B">
        <w:t xml:space="preserve">Any non-specific staining noted was </w:t>
      </w:r>
      <w:r w:rsidR="003F63DE">
        <w:t>≤</w:t>
      </w:r>
      <w:r w:rsidR="009B28D9">
        <w:t xml:space="preserve"> </w:t>
      </w:r>
      <w:r w:rsidRPr="009C644B">
        <w:t xml:space="preserve">0.5. All NCR slides exhibited </w:t>
      </w:r>
      <w:r w:rsidR="003F63DE">
        <w:t>≤</w:t>
      </w:r>
      <w:r w:rsidR="009B28D9">
        <w:t xml:space="preserve"> </w:t>
      </w:r>
      <w:r w:rsidRPr="009C644B">
        <w:t>0.5 background staining and therefore met acceptance criteria. Assessment of PD-L1 expression in the full specimen set (127 cases of NSCLC) demonstrat</w:t>
      </w:r>
      <w:r w:rsidR="001B5859">
        <w:t xml:space="preserve">ed staining across a range of 0 to </w:t>
      </w:r>
      <w:r w:rsidRPr="009C644B">
        <w:t xml:space="preserve">100% positive </w:t>
      </w:r>
      <w:r w:rsidR="001B5859" w:rsidRPr="009C644B">
        <w:t>tumour</w:t>
      </w:r>
      <w:r w:rsidRPr="009C644B">
        <w:t xml:space="preserve"> cells, and 0-3 staining intensity.</w:t>
      </w:r>
    </w:p>
    <w:p w14:paraId="522C9C5F" w14:textId="77777777" w:rsidR="009C644B" w:rsidRPr="009C644B" w:rsidRDefault="009C644B" w:rsidP="009C644B">
      <w:r w:rsidRPr="009C644B">
        <w:t>PD-L1 protein expression was</w:t>
      </w:r>
      <w:r w:rsidR="001B5859">
        <w:t xml:space="preserve"> detected across the range of 0 to </w:t>
      </w:r>
      <w:r w:rsidRPr="009C644B">
        <w:t xml:space="preserve">100% of </w:t>
      </w:r>
      <w:r w:rsidR="001B5859" w:rsidRPr="009C644B">
        <w:t>tumour</w:t>
      </w:r>
      <w:r w:rsidRPr="009C644B">
        <w:t xml:space="preserve"> cells in NSCLC specimens, with the positivity rates, according to selected cut-off, </w:t>
      </w:r>
      <w:r w:rsidRPr="00102888">
        <w:t xml:space="preserve">shown </w:t>
      </w:r>
      <w:r w:rsidR="00102888" w:rsidRPr="00102888">
        <w:t>in T</w:t>
      </w:r>
      <w:r w:rsidRPr="00102888">
        <w:t xml:space="preserve">able </w:t>
      </w:r>
      <w:r w:rsidR="00310181">
        <w:t>43</w:t>
      </w:r>
      <w:r w:rsidRPr="00102888">
        <w:t>.</w:t>
      </w:r>
    </w:p>
    <w:p w14:paraId="522C9C60" w14:textId="77777777" w:rsidR="009C644B" w:rsidRDefault="009C644B" w:rsidP="009C644B">
      <w:pPr>
        <w:pStyle w:val="Tabletitle"/>
        <w:rPr>
          <w:lang w:eastAsia="ja-JP"/>
        </w:rPr>
      </w:pPr>
      <w:r w:rsidRPr="00102888">
        <w:rPr>
          <w:lang w:eastAsia="ja-JP"/>
        </w:rPr>
        <w:t>Table</w:t>
      </w:r>
      <w:r w:rsidR="001B5859" w:rsidRPr="00102888">
        <w:rPr>
          <w:lang w:eastAsia="ja-JP"/>
        </w:rPr>
        <w:t xml:space="preserve"> </w:t>
      </w:r>
      <w:r w:rsidR="00310181">
        <w:rPr>
          <w:lang w:eastAsia="ja-JP"/>
        </w:rPr>
        <w:t>43</w:t>
      </w:r>
      <w:r>
        <w:rPr>
          <w:lang w:eastAsia="ja-JP"/>
        </w:rPr>
        <w:t>: Summary of rate of PD-L1 positive expression</w:t>
      </w:r>
    </w:p>
    <w:p w14:paraId="522C9C61" w14:textId="77777777" w:rsidR="009C644B" w:rsidRDefault="009C644B" w:rsidP="00C618F7">
      <w:pPr>
        <w:rPr>
          <w:lang w:eastAsia="ja-JP"/>
        </w:rPr>
      </w:pPr>
      <w:r>
        <w:rPr>
          <w:noProof/>
          <w:lang w:eastAsia="en-AU"/>
        </w:rPr>
        <w:drawing>
          <wp:inline distT="0" distB="0" distL="0" distR="0" wp14:anchorId="522C9D3D" wp14:editId="522C9D3E">
            <wp:extent cx="5400675" cy="866775"/>
            <wp:effectExtent l="0" t="0" r="9525" b="9525"/>
            <wp:docPr id="62" name="Picture 62" descr="Table 43: Summary of rate of PD-L1 positive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00675" cy="866775"/>
                    </a:xfrm>
                    <a:prstGeom prst="rect">
                      <a:avLst/>
                    </a:prstGeom>
                  </pic:spPr>
                </pic:pic>
              </a:graphicData>
            </a:graphic>
          </wp:inline>
        </w:drawing>
      </w:r>
    </w:p>
    <w:p w14:paraId="522C9C62" w14:textId="77777777" w:rsidR="009C644B" w:rsidRPr="009C644B" w:rsidRDefault="001B5859" w:rsidP="00FD63CF">
      <w:pPr>
        <w:pStyle w:val="Heading6"/>
      </w:pPr>
      <w:r>
        <w:t>Analytical s</w:t>
      </w:r>
      <w:r w:rsidR="009C644B" w:rsidRPr="009C644B">
        <w:t>pecificity</w:t>
      </w:r>
    </w:p>
    <w:p w14:paraId="522C9C63" w14:textId="20E29571" w:rsidR="009C644B" w:rsidRPr="009C644B" w:rsidRDefault="001B5859" w:rsidP="009C644B">
      <w:r>
        <w:t>Analytical s</w:t>
      </w:r>
      <w:r w:rsidR="009C644B" w:rsidRPr="009C644B">
        <w:t xml:space="preserve">pecificity was evaluated through panels of normal and neoplastic tissues. This testing is done independent of the </w:t>
      </w:r>
      <w:r w:rsidR="00102888" w:rsidRPr="009C644B">
        <w:t>cut</w:t>
      </w:r>
      <w:r w:rsidR="005A06F3">
        <w:t xml:space="preserve"> </w:t>
      </w:r>
      <w:r w:rsidR="00102888" w:rsidRPr="009C644B">
        <w:t>off</w:t>
      </w:r>
      <w:r w:rsidR="009C644B" w:rsidRPr="009C644B">
        <w:t>. Normal tissues</w:t>
      </w:r>
      <w:r w:rsidR="009C644B" w:rsidRPr="00102888">
        <w:t xml:space="preserve">: Table </w:t>
      </w:r>
      <w:r w:rsidR="003D7B5E">
        <w:t>44</w:t>
      </w:r>
      <w:r w:rsidR="003D7B5E" w:rsidRPr="00102888">
        <w:t xml:space="preserve"> </w:t>
      </w:r>
      <w:r w:rsidR="009C644B" w:rsidRPr="00102888">
        <w:t>summar</w:t>
      </w:r>
      <w:r w:rsidR="00BA53BD">
        <w:t>ise</w:t>
      </w:r>
      <w:r w:rsidR="009C644B" w:rsidRPr="00102888">
        <w:t>s</w:t>
      </w:r>
      <w:r w:rsidR="009C644B" w:rsidRPr="009C644B">
        <w:t xml:space="preserve"> immunoreactivity on the recommended panel of normal tissues. Plasma membrane staining was observed on immune cells and cells of epithelial origin. Cytoplasmic staining was noted in some cell types but was not recorded as positive staining. All tissues w</w:t>
      </w:r>
      <w:r>
        <w:t xml:space="preserve">ere formalin fixed and paraffin </w:t>
      </w:r>
      <w:r w:rsidR="009C644B" w:rsidRPr="009C644B">
        <w:t xml:space="preserve">embedded and stained with PD-L1 IHC 22C3 </w:t>
      </w:r>
      <w:proofErr w:type="spellStart"/>
      <w:r w:rsidR="009C644B" w:rsidRPr="009C644B">
        <w:t>pharmDx</w:t>
      </w:r>
      <w:proofErr w:type="spellEnd"/>
      <w:r w:rsidR="009C644B" w:rsidRPr="009C644B">
        <w:t xml:space="preserve"> according to the instructions in this package insert. There were no unexpected results observed in cell types or tissue types tested. The observed staining was consistent with the reported literature for PD-L1 IHC expression in normal tissues.</w:t>
      </w:r>
    </w:p>
    <w:p w14:paraId="522C9C64" w14:textId="77777777" w:rsidR="009C644B" w:rsidRDefault="00310181" w:rsidP="009C644B">
      <w:pPr>
        <w:pStyle w:val="Tabletitle"/>
        <w:rPr>
          <w:lang w:eastAsia="ja-JP"/>
        </w:rPr>
      </w:pPr>
      <w:r>
        <w:rPr>
          <w:lang w:eastAsia="ja-JP"/>
        </w:rPr>
        <w:lastRenderedPageBreak/>
        <w:t>Table 44</w:t>
      </w:r>
      <w:r w:rsidR="009C644B" w:rsidRPr="00102888">
        <w:rPr>
          <w:lang w:eastAsia="ja-JP"/>
        </w:rPr>
        <w:t xml:space="preserve">: Summary of PD-L1 IHC 22C3 </w:t>
      </w:r>
      <w:proofErr w:type="spellStart"/>
      <w:r w:rsidR="009C644B" w:rsidRPr="00102888">
        <w:rPr>
          <w:lang w:eastAsia="ja-JP"/>
        </w:rPr>
        <w:t>pharmDx</w:t>
      </w:r>
      <w:proofErr w:type="spellEnd"/>
      <w:r w:rsidR="009C644B" w:rsidRPr="00102888">
        <w:rPr>
          <w:lang w:eastAsia="ja-JP"/>
        </w:rPr>
        <w:t xml:space="preserve"> normal tissue reactivity</w:t>
      </w:r>
    </w:p>
    <w:p w14:paraId="522C9C65" w14:textId="77777777" w:rsidR="009C644B" w:rsidRDefault="009C644B" w:rsidP="00C618F7">
      <w:pPr>
        <w:rPr>
          <w:lang w:eastAsia="ja-JP"/>
        </w:rPr>
      </w:pPr>
      <w:r>
        <w:rPr>
          <w:noProof/>
          <w:lang w:eastAsia="en-AU"/>
        </w:rPr>
        <w:drawing>
          <wp:inline distT="0" distB="0" distL="0" distR="0" wp14:anchorId="522C9D3F" wp14:editId="4B544359">
            <wp:extent cx="5501031" cy="5501031"/>
            <wp:effectExtent l="0" t="0" r="4445" b="4445"/>
            <wp:docPr id="63" name="Picture 63" descr="Table 44: Summary of PD-L1 IHC 22C3 pharmDx normal tissue re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97571" cy="5497571"/>
                    </a:xfrm>
                    <a:prstGeom prst="rect">
                      <a:avLst/>
                    </a:prstGeom>
                  </pic:spPr>
                </pic:pic>
              </a:graphicData>
            </a:graphic>
          </wp:inline>
        </w:drawing>
      </w:r>
    </w:p>
    <w:p w14:paraId="522C9C66" w14:textId="4A097E42" w:rsidR="009C644B" w:rsidRPr="009C644B" w:rsidRDefault="009C644B" w:rsidP="009C644B">
      <w:r w:rsidRPr="009C644B">
        <w:t xml:space="preserve">Neoplastic </w:t>
      </w:r>
      <w:r w:rsidRPr="00102888">
        <w:t xml:space="preserve">tissues: </w:t>
      </w:r>
      <w:r w:rsidR="00310181">
        <w:t xml:space="preserve">Table 45 </w:t>
      </w:r>
      <w:r w:rsidRPr="00102888">
        <w:t>summar</w:t>
      </w:r>
      <w:r w:rsidR="00BA53BD">
        <w:t>ise</w:t>
      </w:r>
      <w:r w:rsidRPr="00102888">
        <w:t>s</w:t>
      </w:r>
      <w:r w:rsidRPr="009C644B">
        <w:t xml:space="preserve"> immunoreactivity on a panel of neoplastic tissues.</w:t>
      </w:r>
    </w:p>
    <w:p w14:paraId="522C9C67" w14:textId="77777777" w:rsidR="009C644B" w:rsidRPr="009C644B" w:rsidRDefault="009C644B" w:rsidP="009C644B">
      <w:pPr>
        <w:pStyle w:val="ListBullet"/>
      </w:pPr>
      <w:r w:rsidRPr="009C644B">
        <w:t>Plasma membrane staining was observed on immune cells and cells of epithelial origin.</w:t>
      </w:r>
    </w:p>
    <w:p w14:paraId="522C9C68" w14:textId="77777777" w:rsidR="009C644B" w:rsidRPr="009C644B" w:rsidRDefault="009C644B" w:rsidP="009C644B">
      <w:pPr>
        <w:pStyle w:val="ListBullet"/>
      </w:pPr>
      <w:r w:rsidRPr="009C644B">
        <w:t>Cytoplasmic staining was noted in some cell types but was not recorded as positive staining.</w:t>
      </w:r>
    </w:p>
    <w:p w14:paraId="522C9C69" w14:textId="77777777" w:rsidR="009C644B" w:rsidRPr="009C644B" w:rsidRDefault="001B5859" w:rsidP="009C644B">
      <w:r>
        <w:t xml:space="preserve">All tissues were formalin fixed and paraffin </w:t>
      </w:r>
      <w:r w:rsidR="009C644B" w:rsidRPr="009C644B">
        <w:t xml:space="preserve">embedded </w:t>
      </w:r>
      <w:r w:rsidR="009C644B">
        <w:t xml:space="preserve">and stained with PD-L1 IHC 22C3 </w:t>
      </w:r>
      <w:proofErr w:type="spellStart"/>
      <w:r w:rsidR="009C644B" w:rsidRPr="009C644B">
        <w:t>pharmDx</w:t>
      </w:r>
      <w:proofErr w:type="spellEnd"/>
      <w:r w:rsidR="009C644B" w:rsidRPr="009C644B">
        <w:t xml:space="preserve"> according to the instructions in this package insert. There were no unexpected results observed in the </w:t>
      </w:r>
      <w:r w:rsidRPr="009C644B">
        <w:t>tumour</w:t>
      </w:r>
      <w:r w:rsidR="009C644B" w:rsidRPr="009C644B">
        <w:t xml:space="preserve"> specimens tested. The observed staining was consistent with the reported literature for PD-L1 IHC expression in neoplastic tissues.</w:t>
      </w:r>
    </w:p>
    <w:p w14:paraId="522C9C6A" w14:textId="77777777" w:rsidR="009C644B" w:rsidRDefault="009C644B" w:rsidP="009C644B">
      <w:pPr>
        <w:pStyle w:val="Tabletitle"/>
        <w:rPr>
          <w:lang w:eastAsia="ja-JP"/>
        </w:rPr>
      </w:pPr>
      <w:r w:rsidRPr="00102888">
        <w:rPr>
          <w:lang w:eastAsia="ja-JP"/>
        </w:rPr>
        <w:lastRenderedPageBreak/>
        <w:t xml:space="preserve">Table </w:t>
      </w:r>
      <w:r w:rsidR="00310181">
        <w:rPr>
          <w:lang w:eastAsia="ja-JP"/>
        </w:rPr>
        <w:t>45</w:t>
      </w:r>
      <w:r w:rsidRPr="00102888">
        <w:rPr>
          <w:lang w:eastAsia="ja-JP"/>
        </w:rPr>
        <w:t xml:space="preserve">: Summary of PD-L1 IHC 22C3 </w:t>
      </w:r>
      <w:proofErr w:type="spellStart"/>
      <w:r w:rsidRPr="00102888">
        <w:rPr>
          <w:lang w:eastAsia="ja-JP"/>
        </w:rPr>
        <w:t>pharmDx</w:t>
      </w:r>
      <w:proofErr w:type="spellEnd"/>
      <w:r w:rsidRPr="00102888">
        <w:rPr>
          <w:lang w:eastAsia="ja-JP"/>
        </w:rPr>
        <w:t xml:space="preserve"> neoplastic tissue reactivity</w:t>
      </w:r>
    </w:p>
    <w:p w14:paraId="522C9C6B" w14:textId="77777777" w:rsidR="009C644B" w:rsidRDefault="009C644B" w:rsidP="00C618F7">
      <w:pPr>
        <w:rPr>
          <w:lang w:eastAsia="ja-JP"/>
        </w:rPr>
      </w:pPr>
      <w:r>
        <w:rPr>
          <w:noProof/>
          <w:lang w:eastAsia="en-AU"/>
        </w:rPr>
        <w:drawing>
          <wp:inline distT="0" distB="0" distL="0" distR="0" wp14:anchorId="522C9D41" wp14:editId="522C9D42">
            <wp:extent cx="5543550" cy="7962900"/>
            <wp:effectExtent l="0" t="0" r="0" b="0"/>
            <wp:docPr id="64" name="Picture 64" descr="Table 45: Summary of PD-L1 IHC 22C3 pharmDx neoplastic tissue re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543550" cy="7962900"/>
                    </a:xfrm>
                    <a:prstGeom prst="rect">
                      <a:avLst/>
                    </a:prstGeom>
                  </pic:spPr>
                </pic:pic>
              </a:graphicData>
            </a:graphic>
          </wp:inline>
        </w:drawing>
      </w:r>
    </w:p>
    <w:p w14:paraId="522C9C6C" w14:textId="77777777" w:rsidR="009C644B" w:rsidRDefault="00310181" w:rsidP="00102888">
      <w:pPr>
        <w:pStyle w:val="Tabletitle"/>
        <w:rPr>
          <w:lang w:eastAsia="ja-JP"/>
        </w:rPr>
      </w:pPr>
      <w:r>
        <w:rPr>
          <w:lang w:eastAsia="ja-JP"/>
        </w:rPr>
        <w:lastRenderedPageBreak/>
        <w:t xml:space="preserve">Table 45 </w:t>
      </w:r>
      <w:r w:rsidR="00102888">
        <w:rPr>
          <w:lang w:eastAsia="ja-JP"/>
        </w:rPr>
        <w:t>(continued)</w:t>
      </w:r>
      <w:r w:rsidR="00102888" w:rsidRPr="00102888">
        <w:rPr>
          <w:lang w:eastAsia="ja-JP"/>
        </w:rPr>
        <w:t xml:space="preserve">: Summary of PD-L1 IHC 22C3 </w:t>
      </w:r>
      <w:proofErr w:type="spellStart"/>
      <w:r w:rsidR="00102888" w:rsidRPr="00102888">
        <w:rPr>
          <w:lang w:eastAsia="ja-JP"/>
        </w:rPr>
        <w:t>pharmDx</w:t>
      </w:r>
      <w:proofErr w:type="spellEnd"/>
      <w:r w:rsidR="00102888" w:rsidRPr="00102888">
        <w:rPr>
          <w:lang w:eastAsia="ja-JP"/>
        </w:rPr>
        <w:t xml:space="preserve"> neoplastic tissue reactivity</w:t>
      </w:r>
    </w:p>
    <w:p w14:paraId="522C9C6D" w14:textId="77777777" w:rsidR="009C644B" w:rsidRDefault="000E2238" w:rsidP="00C618F7">
      <w:pPr>
        <w:rPr>
          <w:lang w:eastAsia="ja-JP"/>
        </w:rPr>
      </w:pPr>
      <w:r>
        <w:rPr>
          <w:noProof/>
          <w:lang w:eastAsia="en-AU"/>
        </w:rPr>
        <w:drawing>
          <wp:inline distT="0" distB="0" distL="0" distR="0" wp14:anchorId="522C9D43" wp14:editId="522C9D44">
            <wp:extent cx="5581650" cy="6324600"/>
            <wp:effectExtent l="0" t="0" r="0" b="0"/>
            <wp:docPr id="65" name="Picture 65" descr="Table 45 (continued): Summary of PD-L1 IHC 22C3 pharmDx neoplastic tissue re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581650" cy="6324600"/>
                    </a:xfrm>
                    <a:prstGeom prst="rect">
                      <a:avLst/>
                    </a:prstGeom>
                  </pic:spPr>
                </pic:pic>
              </a:graphicData>
            </a:graphic>
          </wp:inline>
        </w:drawing>
      </w:r>
    </w:p>
    <w:p w14:paraId="522C9C6E" w14:textId="6311C249" w:rsidR="000E2238" w:rsidRPr="000E2238" w:rsidRDefault="000E2238" w:rsidP="00FD63CF">
      <w:pPr>
        <w:pStyle w:val="Heading5"/>
      </w:pPr>
      <w:r w:rsidRPr="000E2238">
        <w:t>Evaluator</w:t>
      </w:r>
      <w:r w:rsidR="005A06F3">
        <w:t>’s</w:t>
      </w:r>
      <w:r w:rsidRPr="000E2238">
        <w:t xml:space="preserve"> comment</w:t>
      </w:r>
    </w:p>
    <w:p w14:paraId="522C9C6F" w14:textId="77777777" w:rsidR="000E2238" w:rsidRPr="000E2238" w:rsidRDefault="000E2238" w:rsidP="000E2238">
      <w:r w:rsidRPr="000E2238">
        <w:t>Owing to a lack of PD-L1 negative patients having been assessed, the diagnostic test characteristics have not been satisfactorily demonstrated. This has potential implications for patients who are falsely negative, who would be erroneously precluded fro</w:t>
      </w:r>
      <w:r>
        <w:t>m treatment with pembrolizumab.</w:t>
      </w:r>
    </w:p>
    <w:p w14:paraId="522C9C70" w14:textId="77777777" w:rsidR="000E2238" w:rsidRDefault="000E2238" w:rsidP="000E2238">
      <w:pPr>
        <w:pStyle w:val="Heading3"/>
      </w:pPr>
      <w:bookmarkStart w:id="251" w:name="_Toc513557835"/>
      <w:r w:rsidRPr="000E2238">
        <w:lastRenderedPageBreak/>
        <w:t>Pharmacokinetics</w:t>
      </w:r>
      <w:bookmarkEnd w:id="251"/>
    </w:p>
    <w:p w14:paraId="10FEE73F" w14:textId="6741AA0A" w:rsidR="00BF6172" w:rsidRPr="00BF6172" w:rsidRDefault="00BF6172" w:rsidP="00FD63CF">
      <w:pPr>
        <w:pStyle w:val="Heading4"/>
      </w:pPr>
      <w:r>
        <w:t xml:space="preserve">Question </w:t>
      </w:r>
      <w:r w:rsidR="00771226">
        <w:t>1</w:t>
      </w:r>
    </w:p>
    <w:p w14:paraId="522C9C71" w14:textId="746B9492" w:rsidR="000E2238" w:rsidRPr="007A175B" w:rsidRDefault="00BF6172" w:rsidP="007A175B">
      <w:pPr>
        <w:ind w:left="720"/>
        <w:rPr>
          <w:i/>
          <w:iCs/>
        </w:rPr>
      </w:pPr>
      <w:r w:rsidRPr="007A175B">
        <w:rPr>
          <w:i/>
          <w:iCs/>
        </w:rPr>
        <w:t>‘</w:t>
      </w:r>
      <w:r w:rsidR="000E2238" w:rsidRPr="007A175B">
        <w:rPr>
          <w:i/>
          <w:iCs/>
        </w:rPr>
        <w:t>The CSR for Keynote-001</w:t>
      </w:r>
      <w:r w:rsidRPr="007A175B">
        <w:rPr>
          <w:i/>
          <w:iCs/>
        </w:rPr>
        <w:t xml:space="preserve"> </w:t>
      </w:r>
      <w:r w:rsidR="000E2238" w:rsidRPr="007A175B">
        <w:rPr>
          <w:i/>
          <w:iCs/>
        </w:rPr>
        <w:t xml:space="preserve">states: </w:t>
      </w:r>
      <w:r w:rsidR="00EF3E5B" w:rsidRPr="007A175B">
        <w:rPr>
          <w:i/>
          <w:iCs/>
        </w:rPr>
        <w:t>‘</w:t>
      </w:r>
      <w:r w:rsidR="000E2238" w:rsidRPr="007A175B">
        <w:rPr>
          <w:i/>
          <w:iCs/>
        </w:rPr>
        <w:t xml:space="preserve">Pembrolizumab has low to moderate PK variability </w:t>
      </w:r>
      <w:r w:rsidRPr="007A175B">
        <w:rPr>
          <w:i/>
          <w:iCs/>
        </w:rPr>
        <w:t>(</w:t>
      </w:r>
      <w:r w:rsidR="000E2238" w:rsidRPr="007A175B">
        <w:rPr>
          <w:i/>
          <w:iCs/>
        </w:rPr>
        <w:t>inter</w:t>
      </w:r>
      <w:r w:rsidR="001B5859" w:rsidRPr="007A175B">
        <w:rPr>
          <w:i/>
          <w:iCs/>
        </w:rPr>
        <w:t>-</w:t>
      </w:r>
      <w:r w:rsidR="000E2238" w:rsidRPr="007A175B">
        <w:rPr>
          <w:i/>
          <w:iCs/>
        </w:rPr>
        <w:t>subject coefficient of variation (CV) of 25 to 63%</w:t>
      </w:r>
      <w:r w:rsidRPr="007A175B">
        <w:rPr>
          <w:i/>
          <w:iCs/>
        </w:rPr>
        <w:t>)</w:t>
      </w:r>
      <w:r w:rsidR="00EF3E5B" w:rsidRPr="007A175B">
        <w:rPr>
          <w:i/>
          <w:iCs/>
        </w:rPr>
        <w:t>’</w:t>
      </w:r>
      <w:r w:rsidR="000E2238" w:rsidRPr="007A175B">
        <w:rPr>
          <w:i/>
          <w:iCs/>
        </w:rPr>
        <w:t>. The sponsor is kindly requested to state which PK measurement(s) this statement refers to</w:t>
      </w:r>
      <w:r w:rsidRPr="007A175B">
        <w:rPr>
          <w:i/>
          <w:iCs/>
        </w:rPr>
        <w:t>’</w:t>
      </w:r>
      <w:r w:rsidR="000E2238" w:rsidRPr="007A175B">
        <w:rPr>
          <w:i/>
          <w:iCs/>
        </w:rPr>
        <w:t>.</w:t>
      </w:r>
    </w:p>
    <w:p w14:paraId="522C9C72" w14:textId="448F4298" w:rsidR="000E2238" w:rsidRPr="000E2238" w:rsidRDefault="000E2238" w:rsidP="00FD63CF">
      <w:pPr>
        <w:pStyle w:val="Heading5"/>
      </w:pPr>
      <w:r w:rsidRPr="000E2238">
        <w:t>Sponsor</w:t>
      </w:r>
      <w:r w:rsidR="00BF6172">
        <w:t>’s</w:t>
      </w:r>
      <w:r w:rsidRPr="000E2238">
        <w:t xml:space="preserve"> response</w:t>
      </w:r>
    </w:p>
    <w:p w14:paraId="522C9C74" w14:textId="689B7476" w:rsidR="000E2238" w:rsidRPr="000E2238" w:rsidRDefault="000E2238" w:rsidP="000E2238">
      <w:r w:rsidRPr="000E2238">
        <w:t>Mean pre-dose minimum serum concentration (</w:t>
      </w:r>
      <w:proofErr w:type="spellStart"/>
      <w:r w:rsidR="0042775A" w:rsidRPr="00F5372F">
        <w:t>C</w:t>
      </w:r>
      <w:r w:rsidR="0042775A" w:rsidRPr="0042775A">
        <w:rPr>
          <w:vertAlign w:val="subscript"/>
        </w:rPr>
        <w:t>trough</w:t>
      </w:r>
      <w:proofErr w:type="spellEnd"/>
      <w:r w:rsidRPr="000E2238">
        <w:t>) and post-dose maximum serum concentration (</w:t>
      </w:r>
      <w:proofErr w:type="spellStart"/>
      <w:r w:rsidR="00A22931" w:rsidRPr="009439B4">
        <w:t>C</w:t>
      </w:r>
      <w:r w:rsidR="00A22931" w:rsidRPr="00A22931">
        <w:rPr>
          <w:vertAlign w:val="subscript"/>
        </w:rPr>
        <w:t>max</w:t>
      </w:r>
      <w:proofErr w:type="spellEnd"/>
      <w:r w:rsidRPr="000E2238">
        <w:t>) levels are summar</w:t>
      </w:r>
      <w:r w:rsidR="00EF3E5B">
        <w:t>ised</w:t>
      </w:r>
      <w:r w:rsidRPr="000E2238">
        <w:t xml:space="preserve"> in </w:t>
      </w:r>
      <w:r w:rsidR="00BF6172">
        <w:t xml:space="preserve">a table Study </w:t>
      </w:r>
      <w:r w:rsidRPr="000E2238">
        <w:t>KN001 CSR</w:t>
      </w:r>
      <w:r w:rsidR="00BF6172">
        <w:t xml:space="preserve"> [not reproduced here]</w:t>
      </w:r>
      <w:r w:rsidRPr="000E2238">
        <w:t xml:space="preserve">, illustrating a range in %CV between 25 and 63% across dose and collection time point. These analyses, conducted and reported within the CSR, largely reflect descriptive summaries of concentration data on an earlier protocol-specific dataset. Subsequently, an integrated population PK analysis pooling data from KEYNOTE-001, -002, and -006 has been performed, which provides a more robust estimate of inter-subject variability. Please consult the most recent integrated population PK report titled </w:t>
      </w:r>
      <w:r w:rsidR="00EF3E5B">
        <w:t>‘</w:t>
      </w:r>
      <w:r w:rsidRPr="000E2238">
        <w:t>Update to Population Pharmacokinetic Analysis of Exposure to Pembrolizumab (MK-3475) Using a Pooled</w:t>
      </w:r>
      <w:r w:rsidR="00BF6172">
        <w:t xml:space="preserve"> </w:t>
      </w:r>
      <w:r w:rsidRPr="000E2238">
        <w:t>Protocol 001, 002 and 006 Dataset</w:t>
      </w:r>
      <w:r w:rsidR="00EF3E5B">
        <w:t>’</w:t>
      </w:r>
      <w:r w:rsidRPr="000E2238">
        <w:t xml:space="preserve"> (report footer: 04DDV3; dated May 2016) submitted to the TGA on 03 August 2016, as part of the </w:t>
      </w:r>
      <w:r w:rsidR="00C10435">
        <w:t>Keytruda</w:t>
      </w:r>
      <w:r w:rsidRPr="000E2238">
        <w:t xml:space="preserve"> PK model update in support of this extension of indication application for previously treated NSCLC patients (</w:t>
      </w:r>
      <w:r w:rsidR="00BF6172">
        <w:t xml:space="preserve">Submission </w:t>
      </w:r>
      <w:r w:rsidR="0001507B">
        <w:t>PM-2015-04712-1-4).</w:t>
      </w:r>
    </w:p>
    <w:p w14:paraId="522C9C75" w14:textId="28E42625" w:rsidR="000E2238" w:rsidRPr="000E2238" w:rsidRDefault="000E2238" w:rsidP="00FD63CF">
      <w:pPr>
        <w:pStyle w:val="Heading5"/>
      </w:pPr>
      <w:r w:rsidRPr="000E2238">
        <w:t>Evaluator</w:t>
      </w:r>
      <w:r w:rsidR="00BF6172">
        <w:t>’s</w:t>
      </w:r>
      <w:r w:rsidRPr="000E2238">
        <w:t xml:space="preserve"> comment</w:t>
      </w:r>
    </w:p>
    <w:p w14:paraId="522C9C76" w14:textId="7BD8A821" w:rsidR="000E2238" w:rsidRPr="000E2238" w:rsidRDefault="000E2238" w:rsidP="000E2238">
      <w:r w:rsidRPr="000E2238">
        <w:t xml:space="preserve">The source of the statement is noted. As described, there was no substantial change to the established </w:t>
      </w:r>
      <w:proofErr w:type="spellStart"/>
      <w:r w:rsidRPr="000E2238">
        <w:t>popPK</w:t>
      </w:r>
      <w:proofErr w:type="spellEnd"/>
      <w:r w:rsidRPr="000E2238">
        <w:t xml:space="preserve"> model with the addition of the data from </w:t>
      </w:r>
      <w:r w:rsidR="00BF6172">
        <w:t>P</w:t>
      </w:r>
      <w:r w:rsidR="00BF6172" w:rsidRPr="000E2238">
        <w:t xml:space="preserve">rotocol </w:t>
      </w:r>
      <w:r w:rsidRPr="000E2238">
        <w:t>010.</w:t>
      </w:r>
    </w:p>
    <w:p w14:paraId="522C9C77" w14:textId="77777777" w:rsidR="000E2238" w:rsidRDefault="000E2238" w:rsidP="000E2238">
      <w:pPr>
        <w:pStyle w:val="Heading3"/>
      </w:pPr>
      <w:bookmarkStart w:id="252" w:name="_Toc513557836"/>
      <w:r w:rsidRPr="000E2238">
        <w:t>Efficacy</w:t>
      </w:r>
      <w:bookmarkEnd w:id="252"/>
    </w:p>
    <w:p w14:paraId="776E2252" w14:textId="5C552F35" w:rsidR="008F18B2" w:rsidRPr="008F18B2" w:rsidRDefault="008F18B2" w:rsidP="00FD63CF">
      <w:pPr>
        <w:pStyle w:val="Heading4"/>
      </w:pPr>
      <w:r>
        <w:t xml:space="preserve">Question </w:t>
      </w:r>
      <w:r w:rsidR="00771226">
        <w:t>1</w:t>
      </w:r>
    </w:p>
    <w:p w14:paraId="522C9C78" w14:textId="04A9FA96" w:rsidR="000E2238" w:rsidRPr="007A175B" w:rsidRDefault="00BF6172" w:rsidP="007A175B">
      <w:pPr>
        <w:ind w:left="720"/>
        <w:rPr>
          <w:i/>
          <w:iCs/>
        </w:rPr>
      </w:pPr>
      <w:r w:rsidRPr="007A175B">
        <w:rPr>
          <w:i/>
          <w:iCs/>
        </w:rPr>
        <w:t>‘</w:t>
      </w:r>
      <w:r w:rsidR="000E2238" w:rsidRPr="007A175B">
        <w:rPr>
          <w:i/>
          <w:iCs/>
        </w:rPr>
        <w:t>In order to inform clinicians to determine if repeated tumour histology acquisition is required, the sponsor is kindly requested to present data regarding the duration of time between tissue sample collection and ability to accurately determine PD-L1 status in patients with NSCLC</w:t>
      </w:r>
      <w:r w:rsidRPr="007A175B">
        <w:rPr>
          <w:i/>
          <w:iCs/>
        </w:rPr>
        <w:t>’</w:t>
      </w:r>
      <w:r w:rsidR="000E2238" w:rsidRPr="007A175B">
        <w:rPr>
          <w:i/>
          <w:iCs/>
        </w:rPr>
        <w:t>.</w:t>
      </w:r>
    </w:p>
    <w:p w14:paraId="522C9C79" w14:textId="6B363444" w:rsidR="000E2238" w:rsidRPr="000E2238" w:rsidRDefault="000E2238" w:rsidP="00FD63CF">
      <w:pPr>
        <w:pStyle w:val="Heading5"/>
      </w:pPr>
      <w:r w:rsidRPr="000E2238">
        <w:t>Sponsor</w:t>
      </w:r>
      <w:r w:rsidR="008F18B2">
        <w:t>’s</w:t>
      </w:r>
      <w:r w:rsidRPr="000E2238">
        <w:t xml:space="preserve"> </w:t>
      </w:r>
      <w:r w:rsidR="008F18B2">
        <w:t>response</w:t>
      </w:r>
    </w:p>
    <w:p w14:paraId="522C9C7A" w14:textId="3B5BC91D" w:rsidR="000E2238" w:rsidRPr="000E2238" w:rsidRDefault="008F18B2" w:rsidP="000E2238">
      <w:r>
        <w:t xml:space="preserve">Study </w:t>
      </w:r>
      <w:r w:rsidR="000E2238" w:rsidRPr="000E2238">
        <w:t xml:space="preserve">KN010 required all enrolled subjects to provide a </w:t>
      </w:r>
      <w:r w:rsidR="001B5859" w:rsidRPr="000E2238">
        <w:t>tumour</w:t>
      </w:r>
      <w:r w:rsidR="000E2238" w:rsidRPr="000E2238">
        <w:t xml:space="preserve"> sample for evaluation of PD-L1 status. Initially investigators were allowed to submit either a new sample or an archival sample, but either needed to have been formalin-fixed and paraffin embedded (FFPE). After randomization of 441 subjects, with the implement</w:t>
      </w:r>
      <w:r w:rsidR="001B5859">
        <w:t xml:space="preserve">ation of the 50% cut point with </w:t>
      </w:r>
      <w:r w:rsidR="000E2238" w:rsidRPr="000E2238">
        <w:t xml:space="preserve">Amendment 08, subjects were asked to provide a new </w:t>
      </w:r>
      <w:r w:rsidR="001B5859">
        <w:t>tumour</w:t>
      </w:r>
      <w:r w:rsidR="000E2238" w:rsidRPr="000E2238">
        <w:t xml:space="preserve"> sample, unless medically inappropriate, because most submitted </w:t>
      </w:r>
      <w:r w:rsidR="001B5859">
        <w:t>tumour</w:t>
      </w:r>
      <w:r w:rsidR="000E2238" w:rsidRPr="000E2238">
        <w:t xml:space="preserve"> samples were archival. The definition of an archival </w:t>
      </w:r>
      <w:r w:rsidR="001B5859">
        <w:t>tumour</w:t>
      </w:r>
      <w:r w:rsidR="000E2238" w:rsidRPr="000E2238">
        <w:t xml:space="preserve"> sample was a </w:t>
      </w:r>
      <w:r w:rsidR="001B5859">
        <w:t>tumour</w:t>
      </w:r>
      <w:r w:rsidR="000E2238" w:rsidRPr="000E2238">
        <w:t xml:space="preserve"> sample from a subject who had received therapy for his cancer in between the </w:t>
      </w:r>
      <w:r w:rsidR="001B5859">
        <w:t>tumour</w:t>
      </w:r>
      <w:r w:rsidR="000E2238" w:rsidRPr="000E2238">
        <w:t xml:space="preserve"> sample acquisition and testing for PD-L1. The median time b</w:t>
      </w:r>
      <w:r w:rsidR="001B5859">
        <w:t>etween sample collection and PD</w:t>
      </w:r>
      <w:r w:rsidR="001B5859">
        <w:noBreakHyphen/>
      </w:r>
      <w:r w:rsidR="000E2238" w:rsidRPr="000E2238">
        <w:t>L1 assessment for the entire trial was 250 days (range, 3</w:t>
      </w:r>
      <w:r>
        <w:t xml:space="preserve"> </w:t>
      </w:r>
      <w:proofErr w:type="gramStart"/>
      <w:r>
        <w:t xml:space="preserve">to </w:t>
      </w:r>
      <w:r w:rsidR="000E2238" w:rsidRPr="000E2238">
        <w:t xml:space="preserve"> 2510</w:t>
      </w:r>
      <w:proofErr w:type="gramEnd"/>
      <w:r w:rsidR="000E2238" w:rsidRPr="000E2238">
        <w:t>) for archival samples and 11 days (range, 1</w:t>
      </w:r>
      <w:r>
        <w:t xml:space="preserve"> to </w:t>
      </w:r>
      <w:r w:rsidR="000E2238" w:rsidRPr="000E2238">
        <w:t xml:space="preserve">371) for new samples. With the implementation of Amendment 08, an exploratory objective was added to compare the impact of age of the </w:t>
      </w:r>
      <w:r w:rsidR="001B5859">
        <w:t>tumour</w:t>
      </w:r>
      <w:r w:rsidR="000E2238" w:rsidRPr="000E2238">
        <w:t xml:space="preserve"> specimens (archival or new) on the primary efficacy outcomes of PFS and OS.</w:t>
      </w:r>
    </w:p>
    <w:p w14:paraId="522C9C7B" w14:textId="49FAC8B1" w:rsidR="000E2238" w:rsidRPr="000E2238" w:rsidRDefault="000E2238" w:rsidP="000E2238">
      <w:r w:rsidRPr="000E2238">
        <w:t xml:space="preserve">The OS and PFS hazard ratios relative to the age of the </w:t>
      </w:r>
      <w:r w:rsidR="001B5859">
        <w:t>tumour</w:t>
      </w:r>
      <w:r w:rsidRPr="000E2238">
        <w:t xml:space="preserve"> </w:t>
      </w:r>
      <w:r w:rsidR="001B5859">
        <w:t>samples are summar</w:t>
      </w:r>
      <w:r w:rsidR="00EF3E5B">
        <w:t>ised</w:t>
      </w:r>
      <w:r w:rsidR="001B5859">
        <w:t xml:space="preserve"> in </w:t>
      </w:r>
      <w:r w:rsidR="001B5859" w:rsidRPr="00102888">
        <w:t>Table </w:t>
      </w:r>
      <w:r w:rsidR="00310181">
        <w:t>46</w:t>
      </w:r>
      <w:r w:rsidRPr="00102888">
        <w:t>. Data from</w:t>
      </w:r>
      <w:r w:rsidRPr="000E2238">
        <w:t xml:space="preserve"> the 2 mg/kg and 10 mg/kg pembrolizumab arms were pooled for subgroup analyses to increase sample size and increase the interpretability of the results, because there were no significant differences in the efficacy results between the two arms.</w:t>
      </w:r>
    </w:p>
    <w:p w14:paraId="522C9C7C" w14:textId="77777777" w:rsidR="000E2238" w:rsidRPr="000E2238" w:rsidRDefault="000E2238" w:rsidP="000E2238">
      <w:r w:rsidRPr="000E2238">
        <w:t xml:space="preserve">The OS HR and the corresponding 95% CI in various subgroups by each of the pembrolizumab treatment arms </w:t>
      </w:r>
      <w:r w:rsidR="00D53B25">
        <w:t>versus</w:t>
      </w:r>
      <w:r w:rsidRPr="000E2238">
        <w:t xml:space="preserve"> docetaxel were </w:t>
      </w:r>
      <w:r w:rsidR="001B5859" w:rsidRPr="000E2238">
        <w:t>analysed</w:t>
      </w:r>
      <w:r w:rsidRPr="000E2238">
        <w:t xml:space="preserve"> using a stratified Cox proportional hazard </w:t>
      </w:r>
      <w:r w:rsidRPr="000E2238">
        <w:lastRenderedPageBreak/>
        <w:t xml:space="preserve">model. The OS hazard ratios for archival and new </w:t>
      </w:r>
      <w:r w:rsidR="001B5859">
        <w:t>tumour</w:t>
      </w:r>
      <w:r w:rsidRPr="000E2238">
        <w:t xml:space="preserve"> samples demonstrated superiority of pembrolizumab versus docetaxel and were similar with overlapping confidence intervals for the TPS</w:t>
      </w:r>
      <w:r w:rsidR="00D53B25">
        <w:t xml:space="preserve"> ≥ </w:t>
      </w:r>
      <w:r w:rsidRPr="000E2238">
        <w:t xml:space="preserve">50% stratum. Similarly, the OS hazard ratios for archival and new </w:t>
      </w:r>
      <w:r w:rsidR="001B5859">
        <w:t>tumour</w:t>
      </w:r>
      <w:r w:rsidRPr="000E2238">
        <w:t xml:space="preserve"> samples demonstrated superiority of pembrolizumab versus docetaxel and were similar with overlapping confidence intervals for the overall study population (TPS</w:t>
      </w:r>
      <w:r w:rsidR="00D53B25">
        <w:t xml:space="preserve"> ≥ </w:t>
      </w:r>
      <w:r w:rsidRPr="000E2238">
        <w:t xml:space="preserve">1%). Likewise, the PFS hazard ratios for archival and new </w:t>
      </w:r>
      <w:r w:rsidR="001B5859">
        <w:t>tumour</w:t>
      </w:r>
      <w:r w:rsidRPr="000E2238">
        <w:t xml:space="preserve"> samples demonstrated superiority of pembrolizumab versus docetaxel and were similar with overlapping confidence intervals for the TPS</w:t>
      </w:r>
      <w:r w:rsidR="00D53B25">
        <w:t xml:space="preserve"> ≥ </w:t>
      </w:r>
      <w:r w:rsidRPr="000E2238">
        <w:t xml:space="preserve">50% stratum. The PFS hazard ratios for archival and new </w:t>
      </w:r>
      <w:r w:rsidR="001B5859">
        <w:t>tumour</w:t>
      </w:r>
      <w:r w:rsidRPr="000E2238">
        <w:t xml:space="preserve"> samples were similar with overlapping confidence intervals, but did not demonstrate the superiority of pembrolizumab relative to docetaxel for the overall population (TPS</w:t>
      </w:r>
      <w:r w:rsidR="00D53B25">
        <w:t xml:space="preserve"> ≥ </w:t>
      </w:r>
      <w:r w:rsidRPr="000E2238">
        <w:t>1</w:t>
      </w:r>
      <w:r w:rsidRPr="00374C1D">
        <w:t>%). The results of these analyses were shown in Figures 11-15, 11-16, 11-17, and 11-18 of the CSR for KN010. These figures have been reproduced below as Figure 1</w:t>
      </w:r>
      <w:r w:rsidR="00374C1D" w:rsidRPr="00374C1D">
        <w:t>2, Figure 13, Figure 14, and Figure 15</w:t>
      </w:r>
      <w:r w:rsidRPr="00374C1D">
        <w:t>.</w:t>
      </w:r>
      <w:r w:rsidRPr="000E2238">
        <w:t xml:space="preserve"> Nevertheless, subjects received an improvement in OS when treated with pembrolizumab whether the PD-L1 testing was performed with a new </w:t>
      </w:r>
      <w:r w:rsidR="001B5859">
        <w:t>tumour</w:t>
      </w:r>
      <w:r w:rsidRPr="000E2238">
        <w:t xml:space="preserve"> specimen or an archival one.</w:t>
      </w:r>
    </w:p>
    <w:p w14:paraId="522C9C7D" w14:textId="77777777" w:rsidR="000E2238" w:rsidRDefault="000E2238" w:rsidP="000E2238">
      <w:pPr>
        <w:pStyle w:val="Tabletitle"/>
      </w:pPr>
      <w:r w:rsidRPr="00102888">
        <w:t xml:space="preserve">Table </w:t>
      </w:r>
      <w:r w:rsidR="00310181">
        <w:t>46</w:t>
      </w:r>
      <w:r w:rsidRPr="00102888">
        <w:t>: Impact of age of tumour specimen on OS and PFS</w:t>
      </w:r>
    </w:p>
    <w:p w14:paraId="522C9C7E" w14:textId="77777777" w:rsidR="009C644B" w:rsidRDefault="000E2238" w:rsidP="00C618F7">
      <w:pPr>
        <w:rPr>
          <w:lang w:eastAsia="ja-JP"/>
        </w:rPr>
      </w:pPr>
      <w:r>
        <w:rPr>
          <w:noProof/>
          <w:lang w:eastAsia="en-AU"/>
        </w:rPr>
        <w:drawing>
          <wp:inline distT="0" distB="0" distL="0" distR="0" wp14:anchorId="522C9D45" wp14:editId="522C9D46">
            <wp:extent cx="5731510" cy="1950562"/>
            <wp:effectExtent l="0" t="0" r="2540" b="0"/>
            <wp:docPr id="67" name="Picture 67" descr="Table 46: Impact of age of tumour specimen on OS and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1950562"/>
                    </a:xfrm>
                    <a:prstGeom prst="rect">
                      <a:avLst/>
                    </a:prstGeom>
                  </pic:spPr>
                </pic:pic>
              </a:graphicData>
            </a:graphic>
          </wp:inline>
        </w:drawing>
      </w:r>
    </w:p>
    <w:p w14:paraId="522C9C7F" w14:textId="5E8198BE" w:rsidR="009C644B" w:rsidRPr="000E2238" w:rsidRDefault="000E2238" w:rsidP="000E2238">
      <w:r w:rsidRPr="000E2238">
        <w:t>Regarding technical aspects of the PD-L1 assay, per the instructions of use provided by the</w:t>
      </w:r>
      <w:r>
        <w:t xml:space="preserve"> PD</w:t>
      </w:r>
      <w:r>
        <w:noBreakHyphen/>
      </w:r>
      <w:r w:rsidRPr="000E2238">
        <w:t xml:space="preserve">L1 IHC 22C3 </w:t>
      </w:r>
      <w:proofErr w:type="spellStart"/>
      <w:r w:rsidRPr="000E2238">
        <w:t>pharmDx</w:t>
      </w:r>
      <w:proofErr w:type="spellEnd"/>
      <w:r w:rsidRPr="000E2238">
        <w:t xml:space="preserve"> manufacturer (</w:t>
      </w:r>
      <w:proofErr w:type="spellStart"/>
      <w:r w:rsidRPr="000E2238">
        <w:t>Dako</w:t>
      </w:r>
      <w:proofErr w:type="spellEnd"/>
      <w:r w:rsidRPr="000E2238">
        <w:t>), FFPE tissue blocks which are 5 years or older may result in a loss of PD-L1 immunoreactivity. Once cut from the FFPE tissue block, cut tissue sections maintain PD-L1 antigen stability for up to 6 months. After that time period, PD-L1 staining may be affected due to epitope instability</w:t>
      </w:r>
      <w:r w:rsidR="00124015">
        <w:t>.</w:t>
      </w:r>
    </w:p>
    <w:p w14:paraId="522C9C80" w14:textId="77777777" w:rsidR="009C644B" w:rsidRDefault="000E2238" w:rsidP="000E2238">
      <w:pPr>
        <w:pStyle w:val="FigureTitle"/>
        <w:rPr>
          <w:lang w:eastAsia="ja-JP"/>
        </w:rPr>
      </w:pPr>
      <w:r w:rsidRPr="00374C1D">
        <w:rPr>
          <w:lang w:eastAsia="ja-JP"/>
        </w:rPr>
        <w:lastRenderedPageBreak/>
        <w:t>Figure 1</w:t>
      </w:r>
      <w:r w:rsidR="00374C1D" w:rsidRPr="00374C1D">
        <w:rPr>
          <w:lang w:eastAsia="ja-JP"/>
        </w:rPr>
        <w:t>2</w:t>
      </w:r>
      <w:r w:rsidRPr="00374C1D">
        <w:rPr>
          <w:lang w:eastAsia="ja-JP"/>
        </w:rPr>
        <w:t>: Forest plot of OS hazard ratio by subgroup factors, pembrolizumab pooled</w:t>
      </w:r>
      <w:r>
        <w:rPr>
          <w:lang w:eastAsia="ja-JP"/>
        </w:rPr>
        <w:t xml:space="preserve"> versus docetaxel TPS</w:t>
      </w:r>
      <w:r w:rsidR="00D53B25">
        <w:rPr>
          <w:lang w:eastAsia="ja-JP"/>
        </w:rPr>
        <w:t xml:space="preserve"> ≥ </w:t>
      </w:r>
      <w:r>
        <w:rPr>
          <w:lang w:eastAsia="ja-JP"/>
        </w:rPr>
        <w:t>50%, ITT</w:t>
      </w:r>
    </w:p>
    <w:p w14:paraId="522C9C81" w14:textId="77777777" w:rsidR="000E2238" w:rsidRDefault="000E2238" w:rsidP="00C618F7">
      <w:pPr>
        <w:rPr>
          <w:lang w:eastAsia="ja-JP"/>
        </w:rPr>
      </w:pPr>
      <w:r>
        <w:rPr>
          <w:noProof/>
          <w:lang w:eastAsia="en-AU"/>
        </w:rPr>
        <w:drawing>
          <wp:inline distT="0" distB="0" distL="0" distR="0" wp14:anchorId="522C9D47" wp14:editId="0AF282EC">
            <wp:extent cx="5220954" cy="4213555"/>
            <wp:effectExtent l="0" t="0" r="0" b="0"/>
            <wp:docPr id="68" name="Picture 68" descr="Figure 12: Forest plot of OS hazard ratio by subgroup factors, pembrolizumab pooled versus docetaxel TPS ≥ 50%,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21235" cy="4213781"/>
                    </a:xfrm>
                    <a:prstGeom prst="rect">
                      <a:avLst/>
                    </a:prstGeom>
                  </pic:spPr>
                </pic:pic>
              </a:graphicData>
            </a:graphic>
          </wp:inline>
        </w:drawing>
      </w:r>
    </w:p>
    <w:p w14:paraId="522C9C82" w14:textId="77777777" w:rsidR="000E2238" w:rsidRDefault="00374C1D" w:rsidP="000E2238">
      <w:pPr>
        <w:pStyle w:val="FigureTitle"/>
        <w:rPr>
          <w:lang w:eastAsia="ja-JP"/>
        </w:rPr>
      </w:pPr>
      <w:r w:rsidRPr="00374C1D">
        <w:rPr>
          <w:lang w:eastAsia="ja-JP"/>
        </w:rPr>
        <w:lastRenderedPageBreak/>
        <w:t>Figure 13</w:t>
      </w:r>
      <w:r w:rsidR="000E2238" w:rsidRPr="00374C1D">
        <w:rPr>
          <w:lang w:eastAsia="ja-JP"/>
        </w:rPr>
        <w:t>: Forest plot of OS hazard ratio by subgroup factors, pembrolizumab pooled versus docetaxel TPS</w:t>
      </w:r>
      <w:r w:rsidR="00D53B25">
        <w:rPr>
          <w:lang w:eastAsia="ja-JP"/>
        </w:rPr>
        <w:t xml:space="preserve"> ≥ </w:t>
      </w:r>
      <w:r w:rsidR="000E2238">
        <w:rPr>
          <w:lang w:eastAsia="ja-JP"/>
        </w:rPr>
        <w:t>1%, ITT</w:t>
      </w:r>
    </w:p>
    <w:p w14:paraId="522C9C83" w14:textId="77777777" w:rsidR="000E2238" w:rsidRDefault="000E2238" w:rsidP="00C618F7">
      <w:pPr>
        <w:rPr>
          <w:lang w:eastAsia="ja-JP"/>
        </w:rPr>
      </w:pPr>
      <w:r>
        <w:rPr>
          <w:noProof/>
          <w:lang w:eastAsia="en-AU"/>
        </w:rPr>
        <w:drawing>
          <wp:inline distT="0" distB="0" distL="0" distR="0" wp14:anchorId="522C9D49" wp14:editId="13DF1B28">
            <wp:extent cx="5353047" cy="4337913"/>
            <wp:effectExtent l="0" t="0" r="635" b="5715"/>
            <wp:docPr id="69" name="Picture 69" descr="Figure 13: Forest plot of OS hazard ratio by subgroup factors, pembrolizumab pooled versus docetaxel TPS ≥ 1%,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360859" cy="4344243"/>
                    </a:xfrm>
                    <a:prstGeom prst="rect">
                      <a:avLst/>
                    </a:prstGeom>
                  </pic:spPr>
                </pic:pic>
              </a:graphicData>
            </a:graphic>
          </wp:inline>
        </w:drawing>
      </w:r>
    </w:p>
    <w:p w14:paraId="522C9C84" w14:textId="2C3CAA85" w:rsidR="000E2238" w:rsidRDefault="00374C1D" w:rsidP="000E2238">
      <w:pPr>
        <w:pStyle w:val="FigureTitle"/>
        <w:rPr>
          <w:lang w:eastAsia="ja-JP"/>
        </w:rPr>
      </w:pPr>
      <w:r w:rsidRPr="00374C1D">
        <w:rPr>
          <w:lang w:eastAsia="ja-JP"/>
        </w:rPr>
        <w:lastRenderedPageBreak/>
        <w:t>Figure 14</w:t>
      </w:r>
      <w:r w:rsidR="000E2238" w:rsidRPr="00374C1D">
        <w:rPr>
          <w:lang w:eastAsia="ja-JP"/>
        </w:rPr>
        <w:t>: Forest</w:t>
      </w:r>
      <w:r w:rsidR="000E2238">
        <w:rPr>
          <w:lang w:eastAsia="ja-JP"/>
        </w:rPr>
        <w:t xml:space="preserve"> plot of PFS hazard ratio by subgroup factors, </w:t>
      </w:r>
      <w:r w:rsidR="00C9661D">
        <w:rPr>
          <w:lang w:eastAsia="ja-JP"/>
        </w:rPr>
        <w:t>IRC assessment (RECIST</w:t>
      </w:r>
      <w:r w:rsidR="008F18B2">
        <w:rPr>
          <w:lang w:eastAsia="ja-JP"/>
        </w:rPr>
        <w:t> </w:t>
      </w:r>
      <w:r w:rsidR="00C9661D">
        <w:rPr>
          <w:lang w:eastAsia="ja-JP"/>
        </w:rPr>
        <w:t xml:space="preserve">1.1) </w:t>
      </w:r>
      <w:r w:rsidR="000E2238">
        <w:rPr>
          <w:lang w:eastAsia="ja-JP"/>
        </w:rPr>
        <w:t>pembrolizumab pooled versus docetaxel TPS</w:t>
      </w:r>
      <w:r w:rsidR="00D53B25">
        <w:rPr>
          <w:lang w:eastAsia="ja-JP"/>
        </w:rPr>
        <w:t xml:space="preserve"> ≥ </w:t>
      </w:r>
      <w:r w:rsidR="000E2238">
        <w:rPr>
          <w:lang w:eastAsia="ja-JP"/>
        </w:rPr>
        <w:t>50%, ITT</w:t>
      </w:r>
    </w:p>
    <w:p w14:paraId="522C9C85" w14:textId="77777777" w:rsidR="000E2238" w:rsidRDefault="00C9661D" w:rsidP="00C618F7">
      <w:pPr>
        <w:rPr>
          <w:lang w:eastAsia="ja-JP"/>
        </w:rPr>
      </w:pPr>
      <w:r>
        <w:rPr>
          <w:noProof/>
          <w:lang w:eastAsia="en-AU"/>
        </w:rPr>
        <w:drawing>
          <wp:inline distT="0" distB="0" distL="0" distR="0" wp14:anchorId="522C9D4B" wp14:editId="53719AD8">
            <wp:extent cx="5395213" cy="4462272"/>
            <wp:effectExtent l="0" t="0" r="0" b="0"/>
            <wp:docPr id="70" name="Picture 70" descr="Figure 14: Forest plot of PFS hazard ratio by subgroup factors, IRC assessment (RECIST 1.1) pembrolizumab pooled versus docetaxel TPS ≥ 50%,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395404" cy="4462430"/>
                    </a:xfrm>
                    <a:prstGeom prst="rect">
                      <a:avLst/>
                    </a:prstGeom>
                  </pic:spPr>
                </pic:pic>
              </a:graphicData>
            </a:graphic>
          </wp:inline>
        </w:drawing>
      </w:r>
    </w:p>
    <w:p w14:paraId="522C9C86" w14:textId="4688CC6F" w:rsidR="00C9661D" w:rsidRDefault="00374C1D" w:rsidP="00C9661D">
      <w:pPr>
        <w:pStyle w:val="FigureTitle"/>
        <w:rPr>
          <w:lang w:eastAsia="ja-JP"/>
        </w:rPr>
      </w:pPr>
      <w:r w:rsidRPr="00374C1D">
        <w:rPr>
          <w:lang w:eastAsia="ja-JP"/>
        </w:rPr>
        <w:lastRenderedPageBreak/>
        <w:t>Figure 15</w:t>
      </w:r>
      <w:r w:rsidR="00C9661D" w:rsidRPr="00374C1D">
        <w:rPr>
          <w:lang w:eastAsia="ja-JP"/>
        </w:rPr>
        <w:t>: Forest</w:t>
      </w:r>
      <w:r w:rsidR="00C9661D">
        <w:rPr>
          <w:lang w:eastAsia="ja-JP"/>
        </w:rPr>
        <w:t xml:space="preserve"> plot of PFS hazard ratio by subgroup factors, IRC assessment (RECIST</w:t>
      </w:r>
      <w:r w:rsidR="008F18B2">
        <w:rPr>
          <w:lang w:eastAsia="ja-JP"/>
        </w:rPr>
        <w:t> </w:t>
      </w:r>
      <w:r w:rsidR="00C9661D">
        <w:rPr>
          <w:lang w:eastAsia="ja-JP"/>
        </w:rPr>
        <w:t>1.1) pembrolizumab pooled versus docetaxel TPS</w:t>
      </w:r>
      <w:r w:rsidR="00D53B25">
        <w:rPr>
          <w:lang w:eastAsia="ja-JP"/>
        </w:rPr>
        <w:t xml:space="preserve"> ≥ </w:t>
      </w:r>
      <w:r w:rsidR="00C9661D">
        <w:rPr>
          <w:lang w:eastAsia="ja-JP"/>
        </w:rPr>
        <w:t>1%, ITT</w:t>
      </w:r>
    </w:p>
    <w:p w14:paraId="522C9C87" w14:textId="77777777" w:rsidR="00C9661D" w:rsidRDefault="00C9661D" w:rsidP="00C9661D">
      <w:pPr>
        <w:rPr>
          <w:lang w:eastAsia="ja-JP"/>
        </w:rPr>
      </w:pPr>
      <w:r>
        <w:rPr>
          <w:noProof/>
          <w:lang w:eastAsia="en-AU"/>
        </w:rPr>
        <w:drawing>
          <wp:inline distT="0" distB="0" distL="0" distR="0" wp14:anchorId="522C9D4D" wp14:editId="7602A953">
            <wp:extent cx="5308992" cy="4323283"/>
            <wp:effectExtent l="0" t="0" r="6350" b="1270"/>
            <wp:docPr id="71" name="Picture 71" descr="Figure 15: Forest plot of PFS hazard ratio by subgroup factors, IRC assessment (RECIST 1.1) pembrolizumab pooled versus docetaxel TPS ≥ 1%,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309283" cy="4323520"/>
                    </a:xfrm>
                    <a:prstGeom prst="rect">
                      <a:avLst/>
                    </a:prstGeom>
                  </pic:spPr>
                </pic:pic>
              </a:graphicData>
            </a:graphic>
          </wp:inline>
        </w:drawing>
      </w:r>
    </w:p>
    <w:p w14:paraId="522C9C88" w14:textId="4046A946" w:rsidR="00C9661D" w:rsidRPr="00C9661D" w:rsidRDefault="00C9661D" w:rsidP="00FD63CF">
      <w:pPr>
        <w:pStyle w:val="Heading5"/>
      </w:pPr>
      <w:r w:rsidRPr="00C9661D">
        <w:t>Evaluator</w:t>
      </w:r>
      <w:r w:rsidR="008F18B2">
        <w:t>’s</w:t>
      </w:r>
      <w:r w:rsidRPr="00C9661D">
        <w:t xml:space="preserve"> comment</w:t>
      </w:r>
    </w:p>
    <w:p w14:paraId="522C9C89" w14:textId="77777777" w:rsidR="00C9661D" w:rsidRDefault="00C9661D" w:rsidP="00C9661D">
      <w:r w:rsidRPr="00C9661D">
        <w:t>Among the patients studied, there was no apparent reduction in the point estimate of hazard ratio of OS, or PFS, according to the age of the tumour specimen, though this was not formally tested for difference.</w:t>
      </w:r>
    </w:p>
    <w:p w14:paraId="6318AC76" w14:textId="17F62CEA" w:rsidR="008F18B2" w:rsidRPr="00C9661D" w:rsidRDefault="008F18B2" w:rsidP="00FD63CF">
      <w:pPr>
        <w:pStyle w:val="Heading4"/>
      </w:pPr>
      <w:r>
        <w:t xml:space="preserve">Question </w:t>
      </w:r>
      <w:r w:rsidR="00771226">
        <w:t>2</w:t>
      </w:r>
    </w:p>
    <w:p w14:paraId="522C9C8A" w14:textId="5B6BB2FD" w:rsidR="00C9661D" w:rsidRPr="00FD63CF" w:rsidRDefault="008F18B2" w:rsidP="007A175B">
      <w:pPr>
        <w:ind w:left="720"/>
        <w:rPr>
          <w:i/>
        </w:rPr>
      </w:pPr>
      <w:r w:rsidRPr="00FD63CF">
        <w:rPr>
          <w:i/>
        </w:rPr>
        <w:t>‘</w:t>
      </w:r>
      <w:r w:rsidR="00C9661D" w:rsidRPr="00FD63CF">
        <w:rPr>
          <w:i/>
        </w:rPr>
        <w:t>The sponsor is kindly requested to present the proportion of each treatment arm in Keynote-010 that achieved confirmed stable disease, based on the IRC assessment RECIST 1.1 criteria</w:t>
      </w:r>
      <w:r w:rsidRPr="00FD63CF">
        <w:rPr>
          <w:i/>
        </w:rPr>
        <w:t>’</w:t>
      </w:r>
      <w:r w:rsidR="00C9661D" w:rsidRPr="00FD63CF">
        <w:rPr>
          <w:i/>
        </w:rPr>
        <w:t>.</w:t>
      </w:r>
    </w:p>
    <w:p w14:paraId="522C9C8B" w14:textId="565334D3" w:rsidR="00C9661D" w:rsidRPr="00C9661D" w:rsidRDefault="00C9661D" w:rsidP="00FD63CF">
      <w:pPr>
        <w:pStyle w:val="Heading5"/>
      </w:pPr>
      <w:r w:rsidRPr="00C9661D">
        <w:t>Sponsor</w:t>
      </w:r>
      <w:r w:rsidR="008F18B2">
        <w:t>’s</w:t>
      </w:r>
      <w:r w:rsidRPr="00C9661D">
        <w:t xml:space="preserve"> response</w:t>
      </w:r>
    </w:p>
    <w:p w14:paraId="522C9C8C" w14:textId="77777777" w:rsidR="00C9661D" w:rsidRPr="00C9661D" w:rsidRDefault="00C9661D" w:rsidP="00C9661D">
      <w:r w:rsidRPr="00C9661D">
        <w:t>These data are not available as the best overall response tables in the clinical study report were generated from assessments made by the independent imaging vendor accounting for confirmed or unconfirmed responses. Assessments of confirmed response accompanied by stable disease and progressive disease have not bee</w:t>
      </w:r>
      <w:r w:rsidR="001B5859">
        <w:t>n tabulated by the vendor. The s</w:t>
      </w:r>
      <w:r w:rsidRPr="00C9661D">
        <w:t>ponsor reported in the best overall response table t</w:t>
      </w:r>
      <w:r>
        <w:t>he data provided by the vendor.</w:t>
      </w:r>
    </w:p>
    <w:p w14:paraId="522C9C8D" w14:textId="2578D3AD" w:rsidR="00C9661D" w:rsidRPr="00C9661D" w:rsidRDefault="00C9661D" w:rsidP="00FD63CF">
      <w:pPr>
        <w:pStyle w:val="Heading5"/>
      </w:pPr>
      <w:r w:rsidRPr="00C9661D">
        <w:t>Evaluator</w:t>
      </w:r>
      <w:r w:rsidR="008F18B2">
        <w:t>’s</w:t>
      </w:r>
      <w:r w:rsidRPr="00C9661D">
        <w:t xml:space="preserve"> comment</w:t>
      </w:r>
    </w:p>
    <w:p w14:paraId="522C9C8E" w14:textId="77777777" w:rsidR="00C9661D" w:rsidRPr="00C9661D" w:rsidRDefault="00C9661D" w:rsidP="00C9661D">
      <w:r w:rsidRPr="00C9661D">
        <w:t>Despite the overall survival estimates being in favour of pembrolizumab, it is still of relevance to clinicians to be able to include an estimate of categorised response when obtaining informed consent for treatment as not all patients achieved the same degree of benefit from pembrolizumab therapy.</w:t>
      </w:r>
    </w:p>
    <w:p w14:paraId="1402CB42" w14:textId="61637AB2" w:rsidR="008F18B2" w:rsidRDefault="008F18B2" w:rsidP="00FD63CF">
      <w:pPr>
        <w:pStyle w:val="Heading4"/>
      </w:pPr>
      <w:r>
        <w:lastRenderedPageBreak/>
        <w:t xml:space="preserve">Question </w:t>
      </w:r>
      <w:r w:rsidR="00771226">
        <w:t>3</w:t>
      </w:r>
    </w:p>
    <w:p w14:paraId="522C9C8F" w14:textId="6312E037" w:rsidR="00C9661D" w:rsidRPr="00FD63CF" w:rsidRDefault="008F18B2" w:rsidP="007A175B">
      <w:pPr>
        <w:ind w:left="720"/>
        <w:rPr>
          <w:i/>
        </w:rPr>
      </w:pPr>
      <w:r w:rsidRPr="00FD63CF">
        <w:rPr>
          <w:i/>
        </w:rPr>
        <w:t>‘</w:t>
      </w:r>
      <w:r w:rsidR="00C9661D" w:rsidRPr="00FD63CF">
        <w:rPr>
          <w:i/>
        </w:rPr>
        <w:t>In order to assess the effect of pembrolizumab regimen proposed for registration, the sponsor is kindly requested to present the Forest plot analyses of (</w:t>
      </w:r>
      <w:proofErr w:type="spellStart"/>
      <w:r w:rsidR="00C9661D" w:rsidRPr="00FD63CF">
        <w:rPr>
          <w:i/>
        </w:rPr>
        <w:t>i</w:t>
      </w:r>
      <w:proofErr w:type="spellEnd"/>
      <w:r w:rsidR="00C9661D" w:rsidRPr="00FD63CF">
        <w:rPr>
          <w:i/>
        </w:rPr>
        <w:t>) OS and (ii) PFS by sub-group factors, using the IRC assessment of only the pembrolizumab 2 mg/kg arm in comparison with the docetaxel arm, for each of the TPS</w:t>
      </w:r>
      <w:r w:rsidR="00D53B25" w:rsidRPr="00FD63CF">
        <w:rPr>
          <w:i/>
        </w:rPr>
        <w:t xml:space="preserve"> ≥ </w:t>
      </w:r>
      <w:r w:rsidR="00C9661D" w:rsidRPr="00FD63CF">
        <w:rPr>
          <w:i/>
        </w:rPr>
        <w:t>50% and TPS</w:t>
      </w:r>
      <w:r w:rsidR="00D53B25" w:rsidRPr="00FD63CF">
        <w:rPr>
          <w:i/>
        </w:rPr>
        <w:t xml:space="preserve"> ≥ </w:t>
      </w:r>
      <w:r w:rsidR="00C9661D" w:rsidRPr="00FD63CF">
        <w:rPr>
          <w:i/>
        </w:rPr>
        <w:t xml:space="preserve">1 to </w:t>
      </w:r>
      <w:r w:rsidR="009B28D9" w:rsidRPr="00FD63CF">
        <w:rPr>
          <w:i/>
        </w:rPr>
        <w:t xml:space="preserve">&lt; </w:t>
      </w:r>
      <w:r w:rsidR="00C9661D" w:rsidRPr="00FD63CF">
        <w:rPr>
          <w:i/>
        </w:rPr>
        <w:t>50% ITT populations</w:t>
      </w:r>
      <w:r w:rsidRPr="00FD63CF">
        <w:rPr>
          <w:i/>
        </w:rPr>
        <w:t>’</w:t>
      </w:r>
      <w:r w:rsidR="00C9661D" w:rsidRPr="00FD63CF">
        <w:rPr>
          <w:i/>
        </w:rPr>
        <w:t>.</w:t>
      </w:r>
    </w:p>
    <w:p w14:paraId="522C9C90" w14:textId="62C3845E" w:rsidR="00C9661D" w:rsidRPr="00C9661D" w:rsidRDefault="00C9661D" w:rsidP="00FD63CF">
      <w:pPr>
        <w:pStyle w:val="Heading5"/>
      </w:pPr>
      <w:r w:rsidRPr="00C9661D">
        <w:t>Sponsor</w:t>
      </w:r>
      <w:r w:rsidR="008F18B2">
        <w:t>’s</w:t>
      </w:r>
      <w:r w:rsidRPr="00C9661D">
        <w:t xml:space="preserve"> response</w:t>
      </w:r>
    </w:p>
    <w:p w14:paraId="522C9C91" w14:textId="1ABDEFA3" w:rsidR="00C9661D" w:rsidRPr="00C9661D" w:rsidRDefault="00C9661D" w:rsidP="00C9661D">
      <w:r w:rsidRPr="00C9661D">
        <w:t xml:space="preserve">The </w:t>
      </w:r>
      <w:r w:rsidR="001B5859">
        <w:t>sponsor would like to direct the e</w:t>
      </w:r>
      <w:r w:rsidRPr="00C9661D">
        <w:t xml:space="preserve">valuator’s attention </w:t>
      </w:r>
      <w:r w:rsidR="001B5859">
        <w:t xml:space="preserve">to CSR </w:t>
      </w:r>
      <w:r w:rsidR="00E40AE8">
        <w:t>for Study P</w:t>
      </w:r>
      <w:r w:rsidR="001B5859">
        <w:t>010</w:t>
      </w:r>
      <w:r w:rsidR="00E40AE8">
        <w:t>V</w:t>
      </w:r>
      <w:r w:rsidR="001B5859">
        <w:t>01</w:t>
      </w:r>
      <w:r w:rsidR="00E40AE8">
        <w:t>, ‘</w:t>
      </w:r>
      <w:r w:rsidRPr="00C9661D">
        <w:t>Subgroup Analyses of Overall Survival Figure</w:t>
      </w:r>
      <w:r w:rsidR="00E40AE8">
        <w:t xml:space="preserve"> </w:t>
      </w:r>
      <w:r w:rsidRPr="00C9661D">
        <w:t>f</w:t>
      </w:r>
      <w:r w:rsidR="001B5859">
        <w:t xml:space="preserve">or the Forest plot of OS Hazard </w:t>
      </w:r>
      <w:r w:rsidRPr="00C9661D">
        <w:t>Ratio by subgroup factors for MK-3475 2 mg/kg Q3W versus Docetaxel for Subjects with TPS</w:t>
      </w:r>
      <w:r w:rsidR="00D53B25">
        <w:t xml:space="preserve"> ≥ </w:t>
      </w:r>
      <w:r w:rsidRPr="00C9661D">
        <w:t>50%, ITT Population</w:t>
      </w:r>
      <w:r w:rsidR="00E40AE8">
        <w:t xml:space="preserve">’ and </w:t>
      </w:r>
      <w:r w:rsidRPr="00C9661D">
        <w:t xml:space="preserve">Figure </w:t>
      </w:r>
      <w:r w:rsidR="00E40AE8">
        <w:t>for</w:t>
      </w:r>
      <w:r w:rsidRPr="00C9661D">
        <w:t xml:space="preserve"> the Forest plot of OS Hazard Ratio by Subgroup Factors for MK3475 2 mg/kg Q3W versus </w:t>
      </w:r>
      <w:r w:rsidR="00E40AE8">
        <w:t>d</w:t>
      </w:r>
      <w:r w:rsidRPr="00C9661D">
        <w:t>ocetaxel for subjects with 1%</w:t>
      </w:r>
      <w:r w:rsidR="009B28D9">
        <w:t xml:space="preserve"> ≤</w:t>
      </w:r>
      <w:r w:rsidRPr="00C9661D">
        <w:t xml:space="preserve"> TPS</w:t>
      </w:r>
      <w:r w:rsidR="009B28D9">
        <w:t xml:space="preserve">&lt; </w:t>
      </w:r>
      <w:r w:rsidRPr="00C9661D">
        <w:t>50%, ITT Population</w:t>
      </w:r>
      <w:r w:rsidR="00E40AE8">
        <w:t>’</w:t>
      </w:r>
      <w:r w:rsidRPr="00C9661D">
        <w:t xml:space="preserve">. These have been reproduced </w:t>
      </w:r>
      <w:r w:rsidRPr="00374C1D">
        <w:t xml:space="preserve">below as </w:t>
      </w:r>
      <w:r w:rsidR="00374C1D" w:rsidRPr="00374C1D">
        <w:t>Figure 16 and Figure 17</w:t>
      </w:r>
      <w:r w:rsidRPr="00374C1D">
        <w:t>, respectively</w:t>
      </w:r>
      <w:r w:rsidRPr="00C9661D">
        <w:t>.</w:t>
      </w:r>
    </w:p>
    <w:p w14:paraId="522C9C92" w14:textId="4C612B63" w:rsidR="00C9661D" w:rsidRPr="00C9661D" w:rsidRDefault="00C9661D" w:rsidP="00C9661D">
      <w:r w:rsidRPr="00C9661D">
        <w:t xml:space="preserve">The pembrolizumab </w:t>
      </w:r>
      <w:r w:rsidR="00E40AE8">
        <w:t>Study P</w:t>
      </w:r>
      <w:r w:rsidRPr="00C9661D">
        <w:t>010</w:t>
      </w:r>
      <w:r w:rsidR="00E40AE8">
        <w:t>V</w:t>
      </w:r>
      <w:r w:rsidRPr="00C9661D">
        <w:t>01 CSR Strongly Positive (TPS</w:t>
      </w:r>
      <w:r w:rsidR="00D53B25">
        <w:t xml:space="preserve"> ≥ </w:t>
      </w:r>
      <w:r w:rsidRPr="00C9661D">
        <w:t>50% Stratum) and Weakly Positive (1%</w:t>
      </w:r>
      <w:r w:rsidR="009B28D9">
        <w:t xml:space="preserve"> ≤</w:t>
      </w:r>
      <w:r w:rsidRPr="00C9661D">
        <w:t xml:space="preserve"> TPS </w:t>
      </w:r>
      <w:r w:rsidR="009B28D9">
        <w:t xml:space="preserve">&lt; </w:t>
      </w:r>
      <w:r w:rsidRPr="00C9661D">
        <w:t xml:space="preserve">50% Stratum) contain the requested Forest plot analyses for PFS. These have been reproduced </w:t>
      </w:r>
      <w:r w:rsidRPr="00374C1D">
        <w:t xml:space="preserve">below as </w:t>
      </w:r>
      <w:r w:rsidR="00374C1D" w:rsidRPr="00374C1D">
        <w:t>Figure 18 and Figure 19</w:t>
      </w:r>
      <w:r w:rsidRPr="00374C1D">
        <w:t>, respectively</w:t>
      </w:r>
      <w:r w:rsidRPr="00C9661D">
        <w:t xml:space="preserve">. While these figures are available, please keep in mind that </w:t>
      </w:r>
      <w:r w:rsidR="00531B04">
        <w:t xml:space="preserve">Study </w:t>
      </w:r>
      <w:r w:rsidRPr="00C9661D">
        <w:t>KN010 was powered to demonstrate efficacy in the TPS</w:t>
      </w:r>
      <w:r w:rsidR="00D53B25">
        <w:t xml:space="preserve"> ≥</w:t>
      </w:r>
      <w:r w:rsidR="00531B04">
        <w:t> </w:t>
      </w:r>
      <w:r w:rsidRPr="00C9661D">
        <w:t>50% and the TPS</w:t>
      </w:r>
      <w:r w:rsidR="00D53B25">
        <w:t xml:space="preserve"> ≥ </w:t>
      </w:r>
      <w:r w:rsidRPr="00C9661D">
        <w:t>1%. All primary endpoints are based on the stratum and the overall population. Analysis of the TPS</w:t>
      </w:r>
      <w:r w:rsidR="00FC7793">
        <w:t xml:space="preserve"> = </w:t>
      </w:r>
      <w:r w:rsidR="001B5859">
        <w:t xml:space="preserve">1 to </w:t>
      </w:r>
      <w:r w:rsidRPr="00C9661D">
        <w:t xml:space="preserve">49% stratum is exploratory and post-hoc. Furthermore, these subgroup analyses were performed on the pooled doses of pembrolizumab (2 mg/kg and 10 mg/kg) to increase sample size and the interpretability of the results, because there were no significant differences in the efficacy results between the </w:t>
      </w:r>
      <w:r w:rsidR="00531B04">
        <w:t>2</w:t>
      </w:r>
      <w:r w:rsidR="00531B04" w:rsidRPr="00C9661D">
        <w:t xml:space="preserve"> </w:t>
      </w:r>
      <w:r w:rsidRPr="00C9661D">
        <w:t>arms.</w:t>
      </w:r>
    </w:p>
    <w:p w14:paraId="522C9C93" w14:textId="77777777" w:rsidR="00C9661D" w:rsidRDefault="00374C1D" w:rsidP="00C9661D">
      <w:pPr>
        <w:pStyle w:val="FigureTitle"/>
        <w:rPr>
          <w:lang w:eastAsia="ja-JP"/>
        </w:rPr>
      </w:pPr>
      <w:r w:rsidRPr="00374C1D">
        <w:rPr>
          <w:lang w:eastAsia="ja-JP"/>
        </w:rPr>
        <w:lastRenderedPageBreak/>
        <w:t>Figure 16</w:t>
      </w:r>
      <w:r w:rsidR="00C9661D" w:rsidRPr="00374C1D">
        <w:rPr>
          <w:lang w:eastAsia="ja-JP"/>
        </w:rPr>
        <w:t>: Forest plot of OS hazard ratio by subgroup factors, pembrolizumab 2 mg/kg</w:t>
      </w:r>
      <w:r w:rsidR="00C9661D">
        <w:rPr>
          <w:lang w:eastAsia="ja-JP"/>
        </w:rPr>
        <w:t xml:space="preserve"> Q3W versus docetaxel TPS</w:t>
      </w:r>
      <w:r w:rsidR="00D53B25">
        <w:rPr>
          <w:lang w:eastAsia="ja-JP"/>
        </w:rPr>
        <w:t xml:space="preserve"> ≥ </w:t>
      </w:r>
      <w:r w:rsidR="00C9661D">
        <w:rPr>
          <w:lang w:eastAsia="ja-JP"/>
        </w:rPr>
        <w:t>50%, ITT</w:t>
      </w:r>
    </w:p>
    <w:p w14:paraId="522C9C94" w14:textId="77777777" w:rsidR="000E2238" w:rsidRDefault="00C9661D" w:rsidP="00C618F7">
      <w:pPr>
        <w:rPr>
          <w:lang w:eastAsia="ja-JP"/>
        </w:rPr>
      </w:pPr>
      <w:r>
        <w:rPr>
          <w:noProof/>
          <w:lang w:eastAsia="en-AU"/>
        </w:rPr>
        <w:drawing>
          <wp:inline distT="0" distB="0" distL="0" distR="0" wp14:anchorId="522C9D4F" wp14:editId="0B701242">
            <wp:extent cx="5408271" cy="4411065"/>
            <wp:effectExtent l="0" t="0" r="2540" b="8890"/>
            <wp:docPr id="72" name="Picture 72" descr="Figure 16: Forest plot of OS hazard ratio by subgroup factors, pembrolizumab 2 mg/kg Q3W versus docetaxel TPS ≥ 50%,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08608" cy="4411340"/>
                    </a:xfrm>
                    <a:prstGeom prst="rect">
                      <a:avLst/>
                    </a:prstGeom>
                  </pic:spPr>
                </pic:pic>
              </a:graphicData>
            </a:graphic>
          </wp:inline>
        </w:drawing>
      </w:r>
    </w:p>
    <w:p w14:paraId="522C9C95" w14:textId="77777777" w:rsidR="00C9661D" w:rsidRDefault="00374C1D" w:rsidP="00C9661D">
      <w:pPr>
        <w:pStyle w:val="FigureTitle"/>
        <w:rPr>
          <w:lang w:eastAsia="ja-JP"/>
        </w:rPr>
      </w:pPr>
      <w:r w:rsidRPr="00374C1D">
        <w:rPr>
          <w:lang w:eastAsia="ja-JP"/>
        </w:rPr>
        <w:lastRenderedPageBreak/>
        <w:t>Figure 17</w:t>
      </w:r>
      <w:r w:rsidR="00C9661D" w:rsidRPr="00374C1D">
        <w:rPr>
          <w:lang w:eastAsia="ja-JP"/>
        </w:rPr>
        <w:t>: Forest</w:t>
      </w:r>
      <w:r w:rsidR="00C9661D">
        <w:rPr>
          <w:lang w:eastAsia="ja-JP"/>
        </w:rPr>
        <w:t xml:space="preserve"> plot of OS hazard ratio by subgroup factors, pembrolizumab 2 mg/kg Q3W versus docetaxel TPS</w:t>
      </w:r>
      <w:r w:rsidR="00D53B25">
        <w:rPr>
          <w:lang w:eastAsia="ja-JP"/>
        </w:rPr>
        <w:t xml:space="preserve"> ≥ </w:t>
      </w:r>
      <w:r w:rsidR="00C9661D">
        <w:rPr>
          <w:lang w:eastAsia="ja-JP"/>
        </w:rPr>
        <w:t>1 to 49%, ITT</w:t>
      </w:r>
    </w:p>
    <w:p w14:paraId="522C9C96" w14:textId="77777777" w:rsidR="000E2238" w:rsidRDefault="00C9661D" w:rsidP="00C618F7">
      <w:pPr>
        <w:rPr>
          <w:lang w:eastAsia="ja-JP"/>
        </w:rPr>
      </w:pPr>
      <w:r>
        <w:rPr>
          <w:noProof/>
          <w:lang w:eastAsia="en-AU"/>
        </w:rPr>
        <w:drawing>
          <wp:inline distT="0" distB="0" distL="0" distR="0" wp14:anchorId="522C9D51" wp14:editId="19B91A3B">
            <wp:extent cx="5449824" cy="4117645"/>
            <wp:effectExtent l="0" t="0" r="0" b="0"/>
            <wp:docPr id="73" name="Picture 73" descr="Figure 17: Forest plot of OS hazard ratio by subgroup factors, pembrolizumab 2 mg/kg Q3W versus docetaxel TPS ≥ 1 to 49%,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49668" cy="4117527"/>
                    </a:xfrm>
                    <a:prstGeom prst="rect">
                      <a:avLst/>
                    </a:prstGeom>
                  </pic:spPr>
                </pic:pic>
              </a:graphicData>
            </a:graphic>
          </wp:inline>
        </w:drawing>
      </w:r>
    </w:p>
    <w:p w14:paraId="522C9C97" w14:textId="77777777" w:rsidR="00C9661D" w:rsidRDefault="00374C1D" w:rsidP="00C9661D">
      <w:pPr>
        <w:pStyle w:val="FigureTitle"/>
        <w:rPr>
          <w:lang w:eastAsia="ja-JP"/>
        </w:rPr>
      </w:pPr>
      <w:r w:rsidRPr="00374C1D">
        <w:rPr>
          <w:lang w:eastAsia="ja-JP"/>
        </w:rPr>
        <w:lastRenderedPageBreak/>
        <w:t>Figure 18</w:t>
      </w:r>
      <w:r w:rsidR="00C9661D" w:rsidRPr="00374C1D">
        <w:rPr>
          <w:lang w:eastAsia="ja-JP"/>
        </w:rPr>
        <w:t>: Forest plot</w:t>
      </w:r>
      <w:r w:rsidR="00C9661D">
        <w:rPr>
          <w:lang w:eastAsia="ja-JP"/>
        </w:rPr>
        <w:t xml:space="preserve"> of PFS hazard ratio by subgroup factors, IRC assessment (RECIST 1.1) pembrolizumab 2 mg/kg Q3W versus docetaxel TPS</w:t>
      </w:r>
      <w:r w:rsidR="00D53B25">
        <w:rPr>
          <w:lang w:eastAsia="ja-JP"/>
        </w:rPr>
        <w:t xml:space="preserve"> ≥ </w:t>
      </w:r>
      <w:r w:rsidR="00C9661D">
        <w:rPr>
          <w:lang w:eastAsia="ja-JP"/>
        </w:rPr>
        <w:t>50%, ITT</w:t>
      </w:r>
    </w:p>
    <w:p w14:paraId="522C9C98" w14:textId="77777777" w:rsidR="000E2238" w:rsidRDefault="00C9661D" w:rsidP="00C618F7">
      <w:pPr>
        <w:rPr>
          <w:lang w:eastAsia="ja-JP"/>
        </w:rPr>
      </w:pPr>
      <w:r>
        <w:rPr>
          <w:noProof/>
          <w:lang w:eastAsia="en-AU"/>
        </w:rPr>
        <w:drawing>
          <wp:inline distT="0" distB="0" distL="0" distR="0" wp14:anchorId="522C9D53" wp14:editId="33123C12">
            <wp:extent cx="5358755" cy="4411065"/>
            <wp:effectExtent l="0" t="0" r="0" b="8890"/>
            <wp:docPr id="74" name="Picture 74" descr="Figure 18: Forest plot of PFS hazard ratio by subgroup factors, IRC assessment (RECIST 1.1) pembrolizumab 2 mg/kg Q3W versus docetaxel TPS ≥ 50%,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358295" cy="4410686"/>
                    </a:xfrm>
                    <a:prstGeom prst="rect">
                      <a:avLst/>
                    </a:prstGeom>
                  </pic:spPr>
                </pic:pic>
              </a:graphicData>
            </a:graphic>
          </wp:inline>
        </w:drawing>
      </w:r>
    </w:p>
    <w:p w14:paraId="522C9C99" w14:textId="77777777" w:rsidR="00C9661D" w:rsidRDefault="00374C1D" w:rsidP="00C9661D">
      <w:pPr>
        <w:pStyle w:val="FigureTitle"/>
        <w:rPr>
          <w:lang w:eastAsia="ja-JP"/>
        </w:rPr>
      </w:pPr>
      <w:r w:rsidRPr="00374C1D">
        <w:rPr>
          <w:lang w:eastAsia="ja-JP"/>
        </w:rPr>
        <w:lastRenderedPageBreak/>
        <w:t>Figure 19</w:t>
      </w:r>
      <w:r w:rsidR="00C9661D" w:rsidRPr="00374C1D">
        <w:rPr>
          <w:lang w:eastAsia="ja-JP"/>
        </w:rPr>
        <w:t>: Forest</w:t>
      </w:r>
      <w:r w:rsidR="00C9661D">
        <w:rPr>
          <w:lang w:eastAsia="ja-JP"/>
        </w:rPr>
        <w:t xml:space="preserve"> plot of PFS hazard ratio by subgroup factors, IRC assessment (RECIST 1.1) pembrolizumab 2 mg/kg Q3W versus docetaxel TPS 1 to 49%, ITT</w:t>
      </w:r>
    </w:p>
    <w:p w14:paraId="522C9C9A" w14:textId="77777777" w:rsidR="000E2238" w:rsidRDefault="00C9661D" w:rsidP="00C618F7">
      <w:pPr>
        <w:rPr>
          <w:lang w:eastAsia="ja-JP"/>
        </w:rPr>
      </w:pPr>
      <w:bookmarkStart w:id="253" w:name="_GoBack"/>
      <w:r>
        <w:rPr>
          <w:noProof/>
          <w:lang w:eastAsia="en-AU"/>
        </w:rPr>
        <w:drawing>
          <wp:inline distT="0" distB="0" distL="0" distR="0" wp14:anchorId="522C9D55" wp14:editId="5FD71D3A">
            <wp:extent cx="5398618" cy="4185445"/>
            <wp:effectExtent l="0" t="0" r="0" b="5715"/>
            <wp:docPr id="75" name="Picture 75" descr="Figure 19: Forest plot of PFS hazard ratio by subgroup factors, IRC assessment (RECIST 1.1) pembrolizumab 2 mg/kg Q3W versus docetaxel TPS 1 to 49%,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02513" cy="4188465"/>
                    </a:xfrm>
                    <a:prstGeom prst="rect">
                      <a:avLst/>
                    </a:prstGeom>
                  </pic:spPr>
                </pic:pic>
              </a:graphicData>
            </a:graphic>
          </wp:inline>
        </w:drawing>
      </w:r>
      <w:bookmarkEnd w:id="253"/>
    </w:p>
    <w:p w14:paraId="522C9C9B" w14:textId="4C7A7943" w:rsidR="00C9661D" w:rsidRPr="00C9661D" w:rsidRDefault="00C9661D" w:rsidP="00FD63CF">
      <w:pPr>
        <w:pStyle w:val="Heading5"/>
      </w:pPr>
      <w:r w:rsidRPr="00C9661D">
        <w:t>Evaluator</w:t>
      </w:r>
      <w:r w:rsidR="00531B04">
        <w:t>’s</w:t>
      </w:r>
      <w:r w:rsidRPr="00C9661D">
        <w:t xml:space="preserve"> comment</w:t>
      </w:r>
    </w:p>
    <w:p w14:paraId="522C9C9C" w14:textId="77777777" w:rsidR="00C9661D" w:rsidRPr="00C9661D" w:rsidRDefault="00C9661D" w:rsidP="00C9661D">
      <w:r w:rsidRPr="00C9661D">
        <w:t>The post-hoc, therefore exploratory, nature of t</w:t>
      </w:r>
      <w:r w:rsidR="00205664">
        <w:t>he TPS 1 to</w:t>
      </w:r>
      <w:r w:rsidRPr="00C9661D">
        <w:t>49% assessments is noted. Further data is needed to determine if the overall survival benefit is associate</w:t>
      </w:r>
      <w:r w:rsidR="00205664">
        <w:t>d with a longer duration of pre</w:t>
      </w:r>
      <w:r w:rsidRPr="00C9661D">
        <w:t xml:space="preserve"> or post</w:t>
      </w:r>
      <w:r w:rsidR="00205664">
        <w:t xml:space="preserve"> </w:t>
      </w:r>
      <w:r w:rsidRPr="00C9661D">
        <w:t xml:space="preserve">progression survival. While the estimate of hazard ratio of OS favours pembrolizumab therapy, as noted previously, the currently available data estimates the improvement in median duration of OS of </w:t>
      </w:r>
      <w:r w:rsidR="00205664">
        <w:t xml:space="preserve">0.8 months for those with TPS 1 to </w:t>
      </w:r>
      <w:r w:rsidRPr="00C9661D">
        <w:t>49%.</w:t>
      </w:r>
    </w:p>
    <w:p w14:paraId="3645C984" w14:textId="61B38974" w:rsidR="00B96DEA" w:rsidRDefault="00C9661D" w:rsidP="00C9661D">
      <w:r w:rsidRPr="00C9661D">
        <w:t xml:space="preserve">The outcomes for patients with a TPS </w:t>
      </w:r>
      <w:r w:rsidR="00205664">
        <w:t xml:space="preserve">1 to 49% </w:t>
      </w:r>
      <w:r w:rsidRPr="00C9661D">
        <w:t xml:space="preserve">remains of clinical importance to the oncology community as the composition of patient screened for enrolment in Keynote-001, -010 and -024 was presented at an ESMO poster presentation </w:t>
      </w:r>
      <w:r w:rsidRPr="00BB4309">
        <w:t xml:space="preserve">by </w:t>
      </w:r>
      <w:r w:rsidRPr="00FD63CF">
        <w:t>Aggarwal et al</w:t>
      </w:r>
      <w:r w:rsidR="00B96DEA">
        <w:rPr>
          <w:rStyle w:val="FootnoteReference"/>
        </w:rPr>
        <w:footnoteReference w:id="1"/>
      </w:r>
      <w:r w:rsidR="0001507B" w:rsidRPr="00BB4309">
        <w:t xml:space="preserve">; </w:t>
      </w:r>
      <w:r w:rsidRPr="00B96DEA">
        <w:t>fo</w:t>
      </w:r>
      <w:r w:rsidR="0001507B" w:rsidRPr="00B96DEA">
        <w:t>r all</w:t>
      </w:r>
      <w:r w:rsidR="0001507B">
        <w:t xml:space="preserve"> patients, those treatment </w:t>
      </w:r>
      <w:r w:rsidRPr="00C9661D">
        <w:t xml:space="preserve">naïve and those </w:t>
      </w:r>
      <w:r w:rsidR="00D53B25">
        <w:t>previously treated</w:t>
      </w:r>
      <w:r w:rsidRPr="00C9661D">
        <w:t xml:space="preserve">. Overall, approximately one third of patients appear to have been recruited </w:t>
      </w:r>
      <w:r w:rsidR="0001507B">
        <w:t xml:space="preserve">into these studies having TPS 1 to </w:t>
      </w:r>
      <w:r w:rsidRPr="00C9661D">
        <w:t>49%, as such they do not represent a small patient sub-group and their outcomes remain highly relevant, and potentially influentia</w:t>
      </w:r>
      <w:r>
        <w:t>l on the overall trial results.</w:t>
      </w:r>
    </w:p>
    <w:p w14:paraId="5A184EE8" w14:textId="66388EA7" w:rsidR="00531B04" w:rsidRPr="00C9661D" w:rsidRDefault="00531B04" w:rsidP="00FD63CF">
      <w:pPr>
        <w:pStyle w:val="Heading4"/>
      </w:pPr>
      <w:r>
        <w:t xml:space="preserve">Question </w:t>
      </w:r>
      <w:r w:rsidR="00771226">
        <w:t>4</w:t>
      </w:r>
    </w:p>
    <w:p w14:paraId="522C9C9E" w14:textId="7C770A09" w:rsidR="00C9661D" w:rsidRPr="00C9661D" w:rsidRDefault="00531B04" w:rsidP="00FD63CF">
      <w:pPr>
        <w:ind w:left="720"/>
      </w:pPr>
      <w:r>
        <w:t>‘</w:t>
      </w:r>
      <w:r w:rsidR="00C9661D" w:rsidRPr="00FD63CF">
        <w:rPr>
          <w:i/>
        </w:rPr>
        <w:t xml:space="preserve">The sponsor is kindly requested to present the sensitivity, specificity, positive predictive value, negative predictive value and receiver operator characteristic curve &amp; associated </w:t>
      </w:r>
      <w:proofErr w:type="spellStart"/>
      <w:r w:rsidR="00C9661D" w:rsidRPr="00FD63CF">
        <w:rPr>
          <w:i/>
        </w:rPr>
        <w:t>Youden</w:t>
      </w:r>
      <w:proofErr w:type="spellEnd"/>
      <w:r w:rsidR="00C9661D" w:rsidRPr="00FD63CF">
        <w:rPr>
          <w:i/>
        </w:rPr>
        <w:t xml:space="preserve"> index for the PD-L1 test using a cut-off of 1% in the population of patients who received docetaxel and pembrolizumab 2 mg/kg Q3W in Keynote-010</w:t>
      </w:r>
      <w:r w:rsidRPr="00FD63CF">
        <w:rPr>
          <w:i/>
        </w:rPr>
        <w:t>’</w:t>
      </w:r>
      <w:r w:rsidR="00C9661D" w:rsidRPr="00FD63CF">
        <w:rPr>
          <w:i/>
        </w:rPr>
        <w:t>.</w:t>
      </w:r>
    </w:p>
    <w:p w14:paraId="522C9C9F" w14:textId="135A0674" w:rsidR="00C9661D" w:rsidRPr="00C9661D" w:rsidRDefault="00C9661D" w:rsidP="00FD63CF">
      <w:pPr>
        <w:pStyle w:val="Heading5"/>
      </w:pPr>
      <w:r w:rsidRPr="00C9661D">
        <w:lastRenderedPageBreak/>
        <w:t>Sponsor</w:t>
      </w:r>
      <w:r w:rsidR="00531B04">
        <w:t>’s</w:t>
      </w:r>
      <w:r w:rsidRPr="00C9661D">
        <w:t xml:space="preserve"> response</w:t>
      </w:r>
    </w:p>
    <w:p w14:paraId="522C9CA0" w14:textId="4EF918DB" w:rsidR="00C9661D" w:rsidRPr="00C9661D" w:rsidRDefault="00C9661D" w:rsidP="00C9661D">
      <w:r w:rsidRPr="00C9661D">
        <w:t>A response to this question has already b</w:t>
      </w:r>
      <w:r w:rsidR="001F1098">
        <w:t xml:space="preserve">een provided as per the TGA’s 2 </w:t>
      </w:r>
      <w:r w:rsidR="00D53B25">
        <w:t>September</w:t>
      </w:r>
      <w:r w:rsidR="001F1098">
        <w:t xml:space="preserve"> </w:t>
      </w:r>
      <w:r w:rsidRPr="00C9661D">
        <w:t xml:space="preserve">2016 email clarification to the </w:t>
      </w:r>
      <w:r w:rsidR="001B5859">
        <w:t>sponsor</w:t>
      </w:r>
      <w:r w:rsidRPr="00C9661D">
        <w:t>’s request.</w:t>
      </w:r>
    </w:p>
    <w:p w14:paraId="522C9CA1" w14:textId="4384B6B9" w:rsidR="00C9661D" w:rsidRPr="00C9661D" w:rsidRDefault="00DC734D" w:rsidP="00C9661D">
      <w:r>
        <w:t>‘</w:t>
      </w:r>
      <w:r w:rsidR="001F1098">
        <w:t xml:space="preserve">TGA clarification; </w:t>
      </w:r>
      <w:r w:rsidR="007A175B">
        <w:t>t</w:t>
      </w:r>
      <w:r w:rsidR="00C9661D" w:rsidRPr="00C9661D">
        <w:t xml:space="preserve">he sponsor has answered this question. Given the absence of PD-L1 negative patients, the test characteristics cannot be satisfactorily determined for a PD-L1 </w:t>
      </w:r>
      <w:r w:rsidR="0001507B" w:rsidRPr="00C9661D">
        <w:t>cut</w:t>
      </w:r>
      <w:r>
        <w:t xml:space="preserve"> </w:t>
      </w:r>
      <w:r w:rsidR="0001507B" w:rsidRPr="00C9661D">
        <w:t>off</w:t>
      </w:r>
      <w:r w:rsidR="00C9661D" w:rsidRPr="00C9661D">
        <w:t xml:space="preserve"> of 1% using this study populati</w:t>
      </w:r>
      <w:r w:rsidR="00C9661D">
        <w:t>on.</w:t>
      </w:r>
      <w:r w:rsidR="00EF3E5B">
        <w:t>’</w:t>
      </w:r>
    </w:p>
    <w:p w14:paraId="522C9CA2" w14:textId="77777777" w:rsidR="00C9661D" w:rsidRPr="00C9661D" w:rsidRDefault="00C9661D" w:rsidP="00C9661D">
      <w:pPr>
        <w:pStyle w:val="Heading3"/>
      </w:pPr>
      <w:bookmarkStart w:id="254" w:name="_Toc513557837"/>
      <w:r w:rsidRPr="00C9661D">
        <w:t>Safety</w:t>
      </w:r>
      <w:bookmarkEnd w:id="254"/>
    </w:p>
    <w:p w14:paraId="2EC5F696" w14:textId="4FB1A253" w:rsidR="00DC734D" w:rsidRDefault="00DC734D" w:rsidP="00FD63CF">
      <w:pPr>
        <w:pStyle w:val="Heading4"/>
      </w:pPr>
      <w:r>
        <w:t xml:space="preserve">Question </w:t>
      </w:r>
      <w:r w:rsidR="00771226">
        <w:t>1</w:t>
      </w:r>
    </w:p>
    <w:p w14:paraId="522C9CA3" w14:textId="0679272D" w:rsidR="00C9661D" w:rsidRPr="00FD63CF" w:rsidRDefault="00DC734D" w:rsidP="00FD63CF">
      <w:pPr>
        <w:ind w:left="720"/>
        <w:rPr>
          <w:i/>
        </w:rPr>
      </w:pPr>
      <w:r>
        <w:rPr>
          <w:i/>
        </w:rPr>
        <w:t>‘</w:t>
      </w:r>
      <w:r w:rsidR="00C9661D" w:rsidRPr="00FD63CF">
        <w:rPr>
          <w:i/>
        </w:rPr>
        <w:t>The sponsor is kindly requested to explain the discrepancy between the reported incidences of (</w:t>
      </w:r>
      <w:proofErr w:type="spellStart"/>
      <w:r w:rsidR="00C9661D" w:rsidRPr="00FD63CF">
        <w:rPr>
          <w:i/>
        </w:rPr>
        <w:t>i</w:t>
      </w:r>
      <w:proofErr w:type="spellEnd"/>
      <w:r w:rsidR="00C9661D" w:rsidRPr="00FD63CF">
        <w:rPr>
          <w:i/>
        </w:rPr>
        <w:t>) fatigue, (ii) nausea) and (iii) diarrhoea between the integrated summary of safety and the product information, as the latter documents a lower incidence for each category of adverse event</w:t>
      </w:r>
      <w:r>
        <w:rPr>
          <w:i/>
        </w:rPr>
        <w:t>’</w:t>
      </w:r>
      <w:r w:rsidR="00C9661D" w:rsidRPr="00FD63CF">
        <w:rPr>
          <w:i/>
        </w:rPr>
        <w:t>.</w:t>
      </w:r>
    </w:p>
    <w:p w14:paraId="522C9CA4" w14:textId="0BD6E519" w:rsidR="00C9661D" w:rsidRPr="00C9661D" w:rsidRDefault="00C9661D" w:rsidP="00FD63CF">
      <w:pPr>
        <w:pStyle w:val="Heading5"/>
      </w:pPr>
      <w:r w:rsidRPr="00C9661D">
        <w:t>Sponsor response</w:t>
      </w:r>
    </w:p>
    <w:p w14:paraId="522C9CA5" w14:textId="1A0872F8" w:rsidR="00C9661D" w:rsidRPr="00C9661D" w:rsidRDefault="00C9661D" w:rsidP="00C9661D">
      <w:r w:rsidRPr="00C9661D">
        <w:t>Incidences of fatigue, nausea</w:t>
      </w:r>
      <w:r w:rsidR="001F1098">
        <w:t xml:space="preserve"> and diarrhoea reported in the c</w:t>
      </w:r>
      <w:r w:rsidRPr="00C9661D">
        <w:t xml:space="preserve">linical trials experience subsection of the </w:t>
      </w:r>
      <w:r w:rsidR="00DC734D">
        <w:t>‘Adverse effects’</w:t>
      </w:r>
      <w:r w:rsidRPr="00C9661D">
        <w:t xml:space="preserve"> section of the </w:t>
      </w:r>
      <w:r w:rsidR="001F1098">
        <w:t>PI</w:t>
      </w:r>
      <w:r w:rsidRPr="00C9661D">
        <w:t xml:space="preserve"> are based on events reported as </w:t>
      </w:r>
      <w:r w:rsidR="007E3719">
        <w:t>treatment related</w:t>
      </w:r>
      <w:r w:rsidRPr="00C9661D">
        <w:t xml:space="preserve"> by the investigator in a pooled dataset containing 2</w:t>
      </w:r>
      <w:r w:rsidR="001F1098">
        <w:t>,</w:t>
      </w:r>
      <w:r w:rsidRPr="00C9661D">
        <w:t>799 patients from KEYNOTE-001, KEYNOTE-002, KEYNOTE-006, and KEYNOTE-010.</w:t>
      </w:r>
    </w:p>
    <w:p w14:paraId="522C9CA6" w14:textId="7E23B540" w:rsidR="00C9661D" w:rsidRPr="00C9661D" w:rsidRDefault="007E3719" w:rsidP="00C9661D">
      <w:r>
        <w:t>Treatment related</w:t>
      </w:r>
      <w:r w:rsidR="00C9661D" w:rsidRPr="00C9661D">
        <w:t xml:space="preserve"> adverse events for this dataset are displayed in </w:t>
      </w:r>
      <w:r w:rsidR="00DC734D">
        <w:t>a table</w:t>
      </w:r>
      <w:r w:rsidR="00C9661D" w:rsidRPr="00C9661D">
        <w:t xml:space="preserve"> of the Integrated Summary of Safety</w:t>
      </w:r>
      <w:r w:rsidR="00DC734D">
        <w:t xml:space="preserve"> [not included here]</w:t>
      </w:r>
      <w:r w:rsidR="00C9661D" w:rsidRPr="00C9661D">
        <w:t xml:space="preserve">. Incidences of these terms cited in the </w:t>
      </w:r>
      <w:r w:rsidR="001F1098">
        <w:t>e</w:t>
      </w:r>
      <w:r w:rsidR="00C9661D" w:rsidRPr="00C9661D">
        <w:t>valuator’s report are based on all events regardless of causality</w:t>
      </w:r>
      <w:r w:rsidR="00DC734D">
        <w:t>.</w:t>
      </w:r>
    </w:p>
    <w:p w14:paraId="522C9CA7" w14:textId="5A00720C" w:rsidR="00C9661D" w:rsidRPr="00C9661D" w:rsidRDefault="00C9661D" w:rsidP="00FD63CF">
      <w:pPr>
        <w:pStyle w:val="Heading5"/>
      </w:pPr>
      <w:r w:rsidRPr="00C9661D">
        <w:t>Evaluator</w:t>
      </w:r>
      <w:r w:rsidR="00DC734D">
        <w:t>’s</w:t>
      </w:r>
      <w:r w:rsidRPr="00C9661D">
        <w:t xml:space="preserve"> comment</w:t>
      </w:r>
    </w:p>
    <w:p w14:paraId="522C9CA8" w14:textId="77777777" w:rsidR="00C9661D" w:rsidRPr="00C9661D" w:rsidRDefault="00C9661D" w:rsidP="00C9661D">
      <w:r w:rsidRPr="00C9661D">
        <w:t>The difference in incidence of each AE owing to treatment relatedness is noted.</w:t>
      </w:r>
    </w:p>
    <w:p w14:paraId="522C9CA9" w14:textId="77777777" w:rsidR="00C618F7" w:rsidRDefault="00C618F7" w:rsidP="00C618F7">
      <w:pPr>
        <w:pStyle w:val="Heading2"/>
      </w:pPr>
      <w:bookmarkStart w:id="255" w:name="_Toc513557838"/>
      <w:r>
        <w:t>Second round benefit-risk assessment</w:t>
      </w:r>
      <w:bookmarkEnd w:id="255"/>
    </w:p>
    <w:p w14:paraId="522C9CAA" w14:textId="77777777" w:rsidR="007A02F5" w:rsidRPr="007A02F5" w:rsidRDefault="007A02F5" w:rsidP="007A02F5">
      <w:pPr>
        <w:pStyle w:val="Heading3"/>
      </w:pPr>
      <w:bookmarkStart w:id="256" w:name="_Toc272414709"/>
      <w:bookmarkStart w:id="257" w:name="_Toc290846349"/>
      <w:bookmarkStart w:id="258" w:name="_Toc453755743"/>
      <w:bookmarkStart w:id="259" w:name="_Toc513557839"/>
      <w:r w:rsidRPr="007A02F5">
        <w:t>Second round assessment of benefits</w:t>
      </w:r>
      <w:bookmarkEnd w:id="256"/>
      <w:bookmarkEnd w:id="257"/>
      <w:bookmarkEnd w:id="258"/>
      <w:bookmarkEnd w:id="259"/>
    </w:p>
    <w:p w14:paraId="522C9CAB" w14:textId="77777777" w:rsidR="007A02F5" w:rsidRPr="007A02F5" w:rsidRDefault="007A02F5" w:rsidP="007A02F5">
      <w:r w:rsidRPr="007A02F5">
        <w:t>After consideration of the responses to clinical questions, the benefits of pembrolizumab in the proposed usage are:</w:t>
      </w:r>
    </w:p>
    <w:p w14:paraId="522C9CAC" w14:textId="77777777" w:rsidR="00D53B25" w:rsidRDefault="007A02F5" w:rsidP="001F1098">
      <w:pPr>
        <w:pStyle w:val="ListBullet"/>
      </w:pPr>
      <w:r w:rsidRPr="007A02F5">
        <w:t>Among patients with TPS</w:t>
      </w:r>
      <w:r w:rsidR="00D53B25">
        <w:t xml:space="preserve"> &gt;</w:t>
      </w:r>
      <w:r w:rsidR="00C10435">
        <w:t xml:space="preserve"> </w:t>
      </w:r>
      <w:r w:rsidRPr="007A02F5">
        <w:t xml:space="preserve">1%, the OS HR for pembrolizumab 2 mg/kg </w:t>
      </w:r>
      <w:r w:rsidR="00D53B25">
        <w:t>versus</w:t>
      </w:r>
      <w:r w:rsidRPr="007A02F5">
        <w:t xml:space="preserve"> docetaxel was 0.71 (95% CI: 0.58, 0.88) with a </w:t>
      </w:r>
      <w:r w:rsidR="009B28D9">
        <w:t>p value</w:t>
      </w:r>
      <w:r w:rsidRPr="007A02F5">
        <w:t xml:space="preserve"> of 0.00076</w:t>
      </w:r>
      <w:r w:rsidR="00D53B25">
        <w:t>.</w:t>
      </w:r>
    </w:p>
    <w:p w14:paraId="522C9CAD" w14:textId="77777777" w:rsidR="007A02F5" w:rsidRPr="007A02F5" w:rsidRDefault="007A02F5" w:rsidP="001F1098">
      <w:pPr>
        <w:pStyle w:val="ListBullet"/>
      </w:pPr>
      <w:r w:rsidRPr="007A02F5">
        <w:t xml:space="preserve">The median OS for pembrolizumab 2 mg/kg was 10.4 months compared </w:t>
      </w:r>
      <w:r w:rsidR="001F1098">
        <w:t xml:space="preserve">to 8.5 months for the docetaxel </w:t>
      </w:r>
      <w:r w:rsidRPr="007A02F5">
        <w:t>exposed patients.</w:t>
      </w:r>
    </w:p>
    <w:p w14:paraId="522C9CAE" w14:textId="77777777" w:rsidR="007A02F5" w:rsidRPr="007A02F5" w:rsidRDefault="007A02F5" w:rsidP="001F1098">
      <w:pPr>
        <w:pStyle w:val="ListBullet"/>
      </w:pPr>
      <w:r w:rsidRPr="007A02F5">
        <w:t xml:space="preserve">Among the patients studied, there was no apparent difference in estimates of efficacy according to the age of the specimen </w:t>
      </w:r>
      <w:r>
        <w:t>used to determine PD-L1 status.</w:t>
      </w:r>
    </w:p>
    <w:p w14:paraId="522C9CAF" w14:textId="77777777" w:rsidR="007A02F5" w:rsidRPr="007A02F5" w:rsidRDefault="007A02F5" w:rsidP="001F1098">
      <w:r w:rsidRPr="007A02F5">
        <w:t xml:space="preserve">The outcomes of patients with TPS </w:t>
      </w:r>
      <w:r w:rsidR="00205664">
        <w:t xml:space="preserve">1 to 49% </w:t>
      </w:r>
      <w:r w:rsidRPr="007A02F5">
        <w:t xml:space="preserve">remain clinically important for the purposes of obtaining informed consent and enabling an assessment of likely treatment effect. The exploratory differential effect observed between patients with TPS </w:t>
      </w:r>
      <w:r w:rsidR="00205664">
        <w:t xml:space="preserve">1 to 49% </w:t>
      </w:r>
      <w:r w:rsidRPr="007A02F5">
        <w:t>and TPS</w:t>
      </w:r>
      <w:r w:rsidR="00D53B25">
        <w:t xml:space="preserve"> ≥ </w:t>
      </w:r>
      <w:r w:rsidRPr="007A02F5">
        <w:t>50% described in the round one report is unchanged.</w:t>
      </w:r>
    </w:p>
    <w:p w14:paraId="522C9CB0" w14:textId="77777777" w:rsidR="007A02F5" w:rsidRPr="007A02F5" w:rsidRDefault="007A02F5" w:rsidP="007A02F5">
      <w:pPr>
        <w:pStyle w:val="Heading3"/>
      </w:pPr>
      <w:bookmarkStart w:id="260" w:name="_Toc272414710"/>
      <w:bookmarkStart w:id="261" w:name="_Toc290846350"/>
      <w:bookmarkStart w:id="262" w:name="_Toc453755744"/>
      <w:bookmarkStart w:id="263" w:name="_Toc513557840"/>
      <w:r w:rsidRPr="007A02F5">
        <w:t>Second round assessment of risks</w:t>
      </w:r>
      <w:bookmarkEnd w:id="260"/>
      <w:bookmarkEnd w:id="261"/>
      <w:bookmarkEnd w:id="262"/>
      <w:bookmarkEnd w:id="263"/>
    </w:p>
    <w:p w14:paraId="522C9CB1" w14:textId="77777777" w:rsidR="007A02F5" w:rsidRPr="007A02F5" w:rsidRDefault="007A02F5" w:rsidP="007A02F5">
      <w:r w:rsidRPr="007A02F5">
        <w:t>After consideration of the responses to clinical questions, the risks of pembrolizumab in the proposed usage are:</w:t>
      </w:r>
    </w:p>
    <w:p w14:paraId="522C9CB2" w14:textId="77777777" w:rsidR="007A02F5" w:rsidRPr="007A02F5" w:rsidRDefault="007A02F5" w:rsidP="007A02F5">
      <w:pPr>
        <w:pStyle w:val="ListBullet"/>
      </w:pPr>
      <w:r w:rsidRPr="007A02F5">
        <w:lastRenderedPageBreak/>
        <w:t>The PD-L1 test characteristics have not been satisfactorily demonstrated for PD-L1 expression at a cut-off of 1%, the cut-off mandated by proxy, in the sponsors proposed indication.</w:t>
      </w:r>
    </w:p>
    <w:p w14:paraId="522C9CB3" w14:textId="77777777" w:rsidR="007A02F5" w:rsidRPr="007A02F5" w:rsidRDefault="007A02F5" w:rsidP="007A02F5">
      <w:pPr>
        <w:pStyle w:val="ListBullet"/>
      </w:pPr>
      <w:r w:rsidRPr="007A02F5">
        <w:t>Patients with TPS</w:t>
      </w:r>
      <w:r w:rsidR="00D53B25">
        <w:t xml:space="preserve"> &gt;</w:t>
      </w:r>
      <w:r w:rsidR="00C10435">
        <w:t xml:space="preserve"> </w:t>
      </w:r>
      <w:r w:rsidRPr="007A02F5">
        <w:t xml:space="preserve">1 to </w:t>
      </w:r>
      <w:r w:rsidR="009B28D9">
        <w:t xml:space="preserve">&lt; </w:t>
      </w:r>
      <w:r w:rsidRPr="007A02F5">
        <w:t>50% do not have comparable efficacy as compared to those with a TPS</w:t>
      </w:r>
      <w:r w:rsidR="00D53B25">
        <w:t xml:space="preserve"> ≥ </w:t>
      </w:r>
      <w:r w:rsidRPr="007A02F5">
        <w:t xml:space="preserve">50%. There is evidence that the efficacy of pembrolizumab is not consistently superior, indeed potentially inferior, to docetaxel for patients with this degree of PD-L1 expression, as second-line therapy. The median duration of overall survival was 0.8 months longer in patients receiving pembrolizumab, which is an inadequate duration for registration purposes. The median duration of </w:t>
      </w:r>
      <w:r w:rsidR="00FC7793">
        <w:t>progression free</w:t>
      </w:r>
      <w:r w:rsidRPr="007A02F5">
        <w:t xml:space="preserve"> survival was 1.3 months longer for patients receiving docetaxel among patients with TPS</w:t>
      </w:r>
      <w:r w:rsidR="00D53B25">
        <w:t xml:space="preserve"> &gt;</w:t>
      </w:r>
      <w:r w:rsidR="00C10435">
        <w:t xml:space="preserve"> </w:t>
      </w:r>
      <w:r w:rsidRPr="007A02F5">
        <w:t xml:space="preserve">1 to </w:t>
      </w:r>
      <w:r w:rsidR="009B28D9">
        <w:t xml:space="preserve">&lt; </w:t>
      </w:r>
      <w:r w:rsidRPr="007A02F5">
        <w:t>50%. In the event that the Delegate agrees to register pembrolizumab for patients with this degree of PD-L1 expression, the provision of this information in the product information would be critical for clinicians to satisfactorily formulate a decision to initiate pembrolizumab therapy and obtain informed consent.</w:t>
      </w:r>
    </w:p>
    <w:p w14:paraId="522C9CB4" w14:textId="77777777" w:rsidR="007A02F5" w:rsidRPr="007A02F5" w:rsidRDefault="007A02F5" w:rsidP="007A02F5">
      <w:pPr>
        <w:pStyle w:val="ListBullet"/>
      </w:pPr>
      <w:r w:rsidRPr="007A02F5">
        <w:t>No patients with NSCLC were reported to have achieved a complete response from treatment with pembrolizumab.</w:t>
      </w:r>
    </w:p>
    <w:p w14:paraId="522C9CB5" w14:textId="77777777" w:rsidR="007A02F5" w:rsidRPr="007A02F5" w:rsidRDefault="007A02F5" w:rsidP="007A02F5">
      <w:pPr>
        <w:pStyle w:val="ListBullet"/>
      </w:pPr>
      <w:r w:rsidRPr="007A02F5">
        <w:t>From the evidence presented in the dossier, for patients with TPS</w:t>
      </w:r>
      <w:r w:rsidR="00D53B25">
        <w:t xml:space="preserve"> &gt;</w:t>
      </w:r>
      <w:r w:rsidR="00C10435">
        <w:t xml:space="preserve"> </w:t>
      </w:r>
      <w:r w:rsidRPr="007A02F5">
        <w:t xml:space="preserve">1 to </w:t>
      </w:r>
      <w:r w:rsidR="009B28D9">
        <w:t xml:space="preserve">&lt; </w:t>
      </w:r>
      <w:r w:rsidRPr="007A02F5">
        <w:t>50%, the number needed to treat with pembrolizumab, as compared to docetaxel, in order to obtain one additional event of partial response is 140.</w:t>
      </w:r>
    </w:p>
    <w:p w14:paraId="522C9CB6" w14:textId="77777777" w:rsidR="007A02F5" w:rsidRPr="007A02F5" w:rsidRDefault="007A02F5" w:rsidP="007A02F5">
      <w:r w:rsidRPr="007A02F5">
        <w:t>In addition, given the risk of myasthenia gravis and peripheral neuropathy and the potential presenting symptoms should be included in the PI and CMI (each described in the FDA approved label).</w:t>
      </w:r>
    </w:p>
    <w:p w14:paraId="522C9CB7" w14:textId="77777777" w:rsidR="007A02F5" w:rsidRPr="007A02F5" w:rsidRDefault="007A02F5" w:rsidP="007A02F5">
      <w:pPr>
        <w:pStyle w:val="Heading3"/>
      </w:pPr>
      <w:bookmarkStart w:id="264" w:name="_Toc272414711"/>
      <w:bookmarkStart w:id="265" w:name="_Toc290846351"/>
      <w:bookmarkStart w:id="266" w:name="_Toc453755745"/>
      <w:bookmarkStart w:id="267" w:name="_Toc513557841"/>
      <w:r w:rsidRPr="007A02F5">
        <w:t>Second round assessment of benefit-risk balance</w:t>
      </w:r>
      <w:bookmarkEnd w:id="264"/>
      <w:bookmarkEnd w:id="265"/>
      <w:bookmarkEnd w:id="266"/>
      <w:bookmarkEnd w:id="267"/>
    </w:p>
    <w:p w14:paraId="522C9CB8" w14:textId="77777777" w:rsidR="007A02F5" w:rsidRPr="007A02F5" w:rsidRDefault="007A02F5" w:rsidP="007A02F5">
      <w:r w:rsidRPr="007A02F5">
        <w:t>The benefit-risk balance of pembrolizumab, given the proposed usage, is favourable.</w:t>
      </w:r>
    </w:p>
    <w:p w14:paraId="522C9CB9" w14:textId="77777777" w:rsidR="00C618F7" w:rsidRDefault="00C618F7" w:rsidP="00C618F7">
      <w:pPr>
        <w:pStyle w:val="Heading2"/>
      </w:pPr>
      <w:bookmarkStart w:id="268" w:name="_Toc513557842"/>
      <w:r>
        <w:t>Second round recommendation regarding authorisation</w:t>
      </w:r>
      <w:bookmarkEnd w:id="268"/>
    </w:p>
    <w:p w14:paraId="522C9CBA" w14:textId="77777777" w:rsidR="007A02F5" w:rsidRPr="007A02F5" w:rsidRDefault="007A02F5" w:rsidP="007A02F5">
      <w:r w:rsidRPr="007A02F5">
        <w:t>It is recommended to the Delegate that pembrolizumab be approved for the indication:</w:t>
      </w:r>
    </w:p>
    <w:p w14:paraId="522C9CBB" w14:textId="1B1EDBC0" w:rsidR="007A02F5" w:rsidRPr="001F1098" w:rsidRDefault="00DC734D" w:rsidP="00FD63CF">
      <w:pPr>
        <w:ind w:left="720"/>
        <w:rPr>
          <w:i/>
        </w:rPr>
      </w:pPr>
      <w:r>
        <w:rPr>
          <w:i/>
        </w:rPr>
        <w:t>‘</w:t>
      </w:r>
      <w:r w:rsidR="00C10435" w:rsidRPr="001F1098">
        <w:rPr>
          <w:i/>
        </w:rPr>
        <w:t>Keytruda</w:t>
      </w:r>
      <w:r w:rsidR="007A02F5" w:rsidRPr="001F1098">
        <w:rPr>
          <w:i/>
        </w:rPr>
        <w:t xml:space="preserve"> is indicated for the treatment of patients with advanced non-small cell lung carcinoma (NSCLC) whose tumours express PD-L1 and who have received </w:t>
      </w:r>
      <w:r w:rsidR="00D53B25" w:rsidRPr="001F1098">
        <w:rPr>
          <w:i/>
        </w:rPr>
        <w:t>platinum containing</w:t>
      </w:r>
      <w:r w:rsidR="007A02F5" w:rsidRPr="001F1098">
        <w:rPr>
          <w:i/>
        </w:rPr>
        <w:t xml:space="preserve"> chemotherapy. Patients with EGFR or ALK genomic tumour aberrations should also have received approved therapy for these aberrations prior to receiving </w:t>
      </w:r>
      <w:r w:rsidR="00C10435" w:rsidRPr="001F1098">
        <w:rPr>
          <w:i/>
        </w:rPr>
        <w:t>Keytruda</w:t>
      </w:r>
      <w:r>
        <w:rPr>
          <w:i/>
        </w:rPr>
        <w:t>’.</w:t>
      </w:r>
    </w:p>
    <w:p w14:paraId="522C9CBC" w14:textId="77777777" w:rsidR="00C618F7" w:rsidRDefault="00C618F7" w:rsidP="00C618F7">
      <w:pPr>
        <w:pStyle w:val="Heading2"/>
      </w:pPr>
      <w:bookmarkStart w:id="269" w:name="_Toc513557843"/>
      <w:r>
        <w:t>References</w:t>
      </w:r>
      <w:bookmarkEnd w:id="269"/>
    </w:p>
    <w:bookmarkEnd w:id="2"/>
    <w:bookmarkEnd w:id="1"/>
    <w:bookmarkEnd w:id="0"/>
    <w:p w14:paraId="522C9CBD" w14:textId="77777777" w:rsidR="007A02F5" w:rsidRDefault="007A02F5" w:rsidP="007A02F5">
      <w:proofErr w:type="gramStart"/>
      <w:r>
        <w:t>1 Kerr, K &amp; Nicolson, M. Non-small cell lung cancer, PD-L1, and the pathologist.</w:t>
      </w:r>
      <w:proofErr w:type="gramEnd"/>
      <w:r>
        <w:t xml:space="preserve"> </w:t>
      </w:r>
      <w:proofErr w:type="gramStart"/>
      <w:r w:rsidRPr="00FD63CF">
        <w:rPr>
          <w:i/>
        </w:rPr>
        <w:t>Archives of Pathology and Laboratory Medicine</w:t>
      </w:r>
      <w:r>
        <w:t>.</w:t>
      </w:r>
      <w:proofErr w:type="gramEnd"/>
      <w:r>
        <w:t xml:space="preserve"> 140, March 2016, pp 249-254</w:t>
      </w:r>
    </w:p>
    <w:p w14:paraId="522C9CBE" w14:textId="77777777" w:rsidR="007A02F5" w:rsidRDefault="007A02F5" w:rsidP="007A02F5">
      <w:proofErr w:type="gramStart"/>
      <w:r>
        <w:t>2 McLaughlin, J et al. Quantitative assessment of the heterogeneity of PD-L1 expression in non-small cell lung cancer.</w:t>
      </w:r>
      <w:proofErr w:type="gramEnd"/>
      <w:r>
        <w:t xml:space="preserve"> </w:t>
      </w:r>
      <w:r w:rsidRPr="00FD63CF">
        <w:rPr>
          <w:i/>
        </w:rPr>
        <w:t>JAMA oncology</w:t>
      </w:r>
      <w:r>
        <w:t xml:space="preserve"> 2016; 2(1):46-54</w:t>
      </w:r>
    </w:p>
    <w:p w14:paraId="522C9CBF" w14:textId="77777777" w:rsidR="007A02F5" w:rsidRDefault="007A02F5" w:rsidP="007A02F5">
      <w:r>
        <w:t xml:space="preserve">3 Kerr K, </w:t>
      </w:r>
      <w:proofErr w:type="spellStart"/>
      <w:r>
        <w:t>Tsao</w:t>
      </w:r>
      <w:proofErr w:type="spellEnd"/>
      <w:r>
        <w:t xml:space="preserve"> M, </w:t>
      </w:r>
      <w:proofErr w:type="gramStart"/>
      <w:r>
        <w:t>Nicholson</w:t>
      </w:r>
      <w:proofErr w:type="gramEnd"/>
      <w:r>
        <w:t xml:space="preserve"> A, et al. Programmed Death-Ligand 1 immunohistochemistry in lung cancer: in what state is this art? </w:t>
      </w:r>
      <w:proofErr w:type="gramStart"/>
      <w:r w:rsidRPr="00FD63CF">
        <w:rPr>
          <w:i/>
        </w:rPr>
        <w:t xml:space="preserve">J </w:t>
      </w:r>
      <w:proofErr w:type="spellStart"/>
      <w:r w:rsidRPr="00FD63CF">
        <w:rPr>
          <w:i/>
        </w:rPr>
        <w:t>Thorac</w:t>
      </w:r>
      <w:proofErr w:type="spellEnd"/>
      <w:r w:rsidRPr="00FD63CF">
        <w:rPr>
          <w:i/>
        </w:rPr>
        <w:t xml:space="preserve"> </w:t>
      </w:r>
      <w:proofErr w:type="spellStart"/>
      <w:r w:rsidRPr="00FD63CF">
        <w:rPr>
          <w:i/>
        </w:rPr>
        <w:t>Oncol</w:t>
      </w:r>
      <w:proofErr w:type="spellEnd"/>
      <w:r>
        <w:t>.</w:t>
      </w:r>
      <w:proofErr w:type="gramEnd"/>
      <w:r>
        <w:t xml:space="preserve"> 2015</w:t>
      </w:r>
      <w:proofErr w:type="gramStart"/>
      <w:r>
        <w:t>;10</w:t>
      </w:r>
      <w:proofErr w:type="gramEnd"/>
      <w:r>
        <w:t>(7):985–989.</w:t>
      </w:r>
    </w:p>
    <w:p w14:paraId="522C9CC0" w14:textId="77777777" w:rsidR="007A02F5" w:rsidRDefault="007A02F5" w:rsidP="007A02F5">
      <w:r>
        <w:t xml:space="preserve">4 </w:t>
      </w:r>
      <w:proofErr w:type="spellStart"/>
      <w:r>
        <w:t>Herbst</w:t>
      </w:r>
      <w:proofErr w:type="spellEnd"/>
      <w:r>
        <w:t xml:space="preserve"> R, Soria J, </w:t>
      </w:r>
      <w:proofErr w:type="spellStart"/>
      <w:r>
        <w:t>Kowanetz</w:t>
      </w:r>
      <w:proofErr w:type="spellEnd"/>
      <w:r>
        <w:t xml:space="preserve"> M, et al. Predictive correlates of response to the anti-PD-L1 antibody MPDL3280A in cancer patients. </w:t>
      </w:r>
      <w:proofErr w:type="gramStart"/>
      <w:r w:rsidRPr="00FD63CF">
        <w:rPr>
          <w:i/>
        </w:rPr>
        <w:t>Nature</w:t>
      </w:r>
      <w:r>
        <w:t>.</w:t>
      </w:r>
      <w:proofErr w:type="gramEnd"/>
      <w:r>
        <w:t xml:space="preserve"> 2014; 515(7528):563–567.</w:t>
      </w:r>
    </w:p>
    <w:p w14:paraId="522C9CC1" w14:textId="77777777" w:rsidR="003D1E62" w:rsidRPr="001D043B" w:rsidRDefault="008E7846" w:rsidP="002666AC">
      <w:pPr>
        <w:sectPr w:rsidR="003D1E62" w:rsidRPr="001D043B" w:rsidSect="008D770F">
          <w:headerReference w:type="even" r:id="rId90"/>
          <w:headerReference w:type="default" r:id="rId91"/>
          <w:headerReference w:type="first" r:id="rId92"/>
          <w:footerReference w:type="first" r:id="rId9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522C9CC3" w14:textId="77777777" w:rsidTr="008C5595">
        <w:trPr>
          <w:trHeight w:hRule="exact" w:val="564"/>
        </w:trPr>
        <w:tc>
          <w:tcPr>
            <w:tcW w:w="9175" w:type="dxa"/>
          </w:tcPr>
          <w:p w14:paraId="522C9CC2" w14:textId="77777777" w:rsidR="00B3567E" w:rsidRPr="00487162" w:rsidRDefault="00B3567E" w:rsidP="008C5595">
            <w:pPr>
              <w:pStyle w:val="TGASignoff"/>
            </w:pPr>
            <w:r w:rsidRPr="00487162">
              <w:lastRenderedPageBreak/>
              <w:t>Therapeutic Goods Administration</w:t>
            </w:r>
          </w:p>
        </w:tc>
      </w:tr>
      <w:tr w:rsidR="00B3567E" w:rsidRPr="00487162" w14:paraId="522C9CC7" w14:textId="77777777" w:rsidTr="008C5595">
        <w:trPr>
          <w:trHeight w:val="1221"/>
        </w:trPr>
        <w:tc>
          <w:tcPr>
            <w:tcW w:w="9175" w:type="dxa"/>
            <w:tcMar>
              <w:top w:w="28" w:type="dxa"/>
            </w:tcMar>
          </w:tcPr>
          <w:p w14:paraId="522C9CC4" w14:textId="77777777" w:rsidR="00B3567E" w:rsidRPr="00487162" w:rsidRDefault="00B3567E" w:rsidP="008C5595">
            <w:pPr>
              <w:pStyle w:val="Address"/>
            </w:pPr>
            <w:r w:rsidRPr="00487162">
              <w:t>PO Box 100 Woden ACT 2606 Australia</w:t>
            </w:r>
          </w:p>
          <w:p w14:paraId="522C9CC5" w14:textId="77777777" w:rsidR="00B3567E" w:rsidRPr="00487162" w:rsidRDefault="00B3567E" w:rsidP="008C5595">
            <w:pPr>
              <w:pStyle w:val="Address"/>
            </w:pPr>
            <w:r w:rsidRPr="00487162">
              <w:t xml:space="preserve">Email: </w:t>
            </w:r>
            <w:hyperlink r:id="rId94" w:history="1">
              <w:r w:rsidRPr="008D770F">
                <w:rPr>
                  <w:rStyle w:val="Hyperlink"/>
                </w:rPr>
                <w:t>info@tga.gov.au</w:t>
              </w:r>
            </w:hyperlink>
            <w:r w:rsidR="00D53B25">
              <w:t xml:space="preserve"> </w:t>
            </w:r>
            <w:r w:rsidRPr="00487162">
              <w:t>Phone: 1800 020 653</w:t>
            </w:r>
            <w:r w:rsidR="00D53B25">
              <w:t xml:space="preserve"> </w:t>
            </w:r>
            <w:r w:rsidRPr="00487162">
              <w:t>Fax: 02 6232 8605</w:t>
            </w:r>
          </w:p>
          <w:p w14:paraId="522C9CC6" w14:textId="77777777" w:rsidR="00B3567E" w:rsidRPr="008D770F" w:rsidRDefault="00863496" w:rsidP="008C5595">
            <w:pPr>
              <w:pStyle w:val="Address"/>
              <w:spacing w:line="260" w:lineRule="atLeast"/>
              <w:rPr>
                <w:b/>
                <w:color w:val="0000FF"/>
                <w:u w:val="single"/>
              </w:rPr>
            </w:pPr>
            <w:hyperlink r:id="rId95" w:history="1">
              <w:r w:rsidR="00E979F4" w:rsidRPr="00FE02B1">
                <w:rPr>
                  <w:rStyle w:val="Hyperlink"/>
                  <w:b/>
                </w:rPr>
                <w:t>https://www.tga.gov.au</w:t>
              </w:r>
            </w:hyperlink>
          </w:p>
        </w:tc>
      </w:tr>
    </w:tbl>
    <w:p w14:paraId="522C9CC8" w14:textId="77777777" w:rsidR="00774E1D" w:rsidRPr="008A5E0B" w:rsidRDefault="00774E1D" w:rsidP="008A5E0B"/>
    <w:sectPr w:rsidR="00774E1D" w:rsidRPr="008A5E0B" w:rsidSect="00B3567E">
      <w:headerReference w:type="even" r:id="rId96"/>
      <w:headerReference w:type="default" r:id="rId97"/>
      <w:footerReference w:type="default" r:id="rId98"/>
      <w:headerReference w:type="first" r:id="rId99"/>
      <w:footerReference w:type="first" r:id="rId100"/>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68EC1C" w15:done="0"/>
  <w15:commentEx w15:paraId="55C29046" w15:done="0"/>
  <w15:commentEx w15:paraId="62613FF9" w15:done="0"/>
  <w15:commentEx w15:paraId="6CF9CC07" w15:done="0"/>
  <w15:commentEx w15:paraId="5A0E6725" w15:done="0"/>
  <w15:commentEx w15:paraId="33533FEF" w15:done="0"/>
  <w15:commentEx w15:paraId="2507CC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759CA4" w14:textId="77777777" w:rsidR="00863496" w:rsidRDefault="00863496" w:rsidP="00C40A36">
      <w:pPr>
        <w:spacing w:after="0"/>
      </w:pPr>
      <w:r>
        <w:separator/>
      </w:r>
    </w:p>
  </w:endnote>
  <w:endnote w:type="continuationSeparator" w:id="0">
    <w:p w14:paraId="6FEF0E86" w14:textId="77777777" w:rsidR="00863496" w:rsidRDefault="0086349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863496" w:rsidRPr="00487162" w14:paraId="522C9D60" w14:textId="77777777" w:rsidTr="007A175B">
      <w:trPr>
        <w:trHeight w:val="269"/>
      </w:trPr>
      <w:tc>
        <w:tcPr>
          <w:tcW w:w="7513" w:type="dxa"/>
          <w:tcMar>
            <w:top w:w="142" w:type="dxa"/>
            <w:bottom w:w="0" w:type="dxa"/>
          </w:tcMar>
        </w:tcPr>
        <w:p w14:paraId="522C9D5E" w14:textId="2AAEBD00" w:rsidR="00863496" w:rsidRPr="00487162" w:rsidRDefault="00863496" w:rsidP="001D1D7B">
          <w:pPr>
            <w:pStyle w:val="Footer"/>
          </w:pPr>
          <w:r>
            <w:t xml:space="preserve">Attachment 2 </w:t>
          </w:r>
          <w:r w:rsidRPr="00D2601D">
            <w:t xml:space="preserve">Keytruda - Pembrolizumab - Merck Sharp &amp; Dohme Australia Pty Ltd - PM-2015-04712-1-4 and PM-2016-02325-1-4 </w:t>
          </w:r>
          <w:r>
            <w:t xml:space="preserve">FINAL 8 May 2018t </w:t>
          </w:r>
        </w:p>
      </w:tc>
      <w:tc>
        <w:tcPr>
          <w:tcW w:w="1348" w:type="dxa"/>
          <w:tcMar>
            <w:top w:w="142" w:type="dxa"/>
            <w:bottom w:w="0" w:type="dxa"/>
          </w:tcMar>
        </w:tcPr>
        <w:p w14:paraId="522C9D5F" w14:textId="77777777" w:rsidR="00863496" w:rsidRPr="00981D66" w:rsidRDefault="00863496"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950422">
            <w:rPr>
              <w:noProof/>
            </w:rPr>
            <w:t>79</w:t>
          </w:r>
          <w:r w:rsidRPr="00981D66">
            <w:fldChar w:fldCharType="end"/>
          </w:r>
          <w:r w:rsidRPr="00981D66">
            <w:t xml:space="preserve"> of </w:t>
          </w:r>
          <w:fldSimple w:instr=" NUMPAGES  \* Arabic  \* MERGEFORMAT ">
            <w:r w:rsidR="00950422">
              <w:rPr>
                <w:noProof/>
              </w:rPr>
              <w:t>80</w:t>
            </w:r>
          </w:fldSimple>
        </w:p>
      </w:tc>
    </w:tr>
  </w:tbl>
  <w:p w14:paraId="522C9D61" w14:textId="77777777" w:rsidR="00863496" w:rsidRDefault="0086349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63496" w:rsidRPr="00487162" w14:paraId="522C9D6B" w14:textId="77777777" w:rsidTr="00E45619">
      <w:trPr>
        <w:trHeight w:val="269"/>
      </w:trPr>
      <w:tc>
        <w:tcPr>
          <w:tcW w:w="4519" w:type="dxa"/>
          <w:tcBorders>
            <w:top w:val="single" w:sz="4" w:space="0" w:color="auto"/>
          </w:tcBorders>
          <w:tcMar>
            <w:top w:w="142" w:type="dxa"/>
            <w:bottom w:w="0" w:type="dxa"/>
          </w:tcMar>
        </w:tcPr>
        <w:p w14:paraId="522C9D68" w14:textId="77777777" w:rsidR="00863496" w:rsidRPr="00487162" w:rsidRDefault="00863496" w:rsidP="00FE1DEE">
          <w:pPr>
            <w:pStyle w:val="Footer"/>
          </w:pPr>
          <w:r w:rsidRPr="00487162">
            <w:t>Document title, Part #, Section # - Section title</w:t>
          </w:r>
        </w:p>
        <w:p w14:paraId="522C9D69" w14:textId="77777777" w:rsidR="00863496" w:rsidRPr="00487162" w:rsidRDefault="00863496" w:rsidP="00FE1DEE">
          <w:pPr>
            <w:pStyle w:val="Footer"/>
          </w:pPr>
          <w:r w:rsidRPr="00487162">
            <w:t>V1.0 October 2010</w:t>
          </w:r>
        </w:p>
      </w:tc>
      <w:tc>
        <w:tcPr>
          <w:tcW w:w="4342" w:type="dxa"/>
          <w:tcBorders>
            <w:top w:val="single" w:sz="4" w:space="0" w:color="auto"/>
          </w:tcBorders>
          <w:tcMar>
            <w:top w:w="142" w:type="dxa"/>
            <w:bottom w:w="0" w:type="dxa"/>
          </w:tcMar>
        </w:tcPr>
        <w:p w14:paraId="522C9D6A" w14:textId="77777777" w:rsidR="00863496" w:rsidRPr="00487162" w:rsidRDefault="0086349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522C9D6C" w14:textId="77777777" w:rsidR="00863496" w:rsidRDefault="008634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D6F" w14:textId="77777777" w:rsidR="00863496" w:rsidRDefault="0086349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63496" w14:paraId="522C9D7D" w14:textId="77777777" w:rsidTr="0010601F">
      <w:trPr>
        <w:trHeight w:val="108"/>
      </w:trPr>
      <w:tc>
        <w:tcPr>
          <w:tcW w:w="8875" w:type="dxa"/>
          <w:gridSpan w:val="2"/>
          <w:tcBorders>
            <w:bottom w:val="single" w:sz="4" w:space="0" w:color="auto"/>
          </w:tcBorders>
          <w:tcMar>
            <w:right w:w="284" w:type="dxa"/>
          </w:tcMar>
        </w:tcPr>
        <w:p w14:paraId="522C9D72" w14:textId="77777777" w:rsidR="00863496" w:rsidRDefault="00863496" w:rsidP="006E08B3">
          <w:pPr>
            <w:pStyle w:val="Heading3"/>
          </w:pPr>
          <w:r>
            <w:t>Copyright</w:t>
          </w:r>
        </w:p>
        <w:p w14:paraId="522C9D73" w14:textId="77777777" w:rsidR="00863496" w:rsidRDefault="00863496" w:rsidP="006E08B3">
          <w:r>
            <w:rPr>
              <w:rFonts w:cs="Arial"/>
            </w:rPr>
            <w:t>©</w:t>
          </w:r>
          <w:r>
            <w:t xml:space="preserve"> Commonwealth of Australia [add year]</w:t>
          </w:r>
        </w:p>
        <w:p w14:paraId="522C9D74" w14:textId="77777777" w:rsidR="00863496" w:rsidRDefault="00863496" w:rsidP="006E08B3"/>
        <w:p w14:paraId="522C9D75" w14:textId="77777777" w:rsidR="00863496" w:rsidRDefault="0086349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22C9D76" w14:textId="77777777" w:rsidR="00863496" w:rsidRDefault="00863496" w:rsidP="006E08B3"/>
        <w:p w14:paraId="522C9D77" w14:textId="77777777" w:rsidR="00863496" w:rsidRDefault="00863496" w:rsidP="006E08B3">
          <w:pPr>
            <w:pStyle w:val="Heading3"/>
          </w:pPr>
          <w:r>
            <w:t>Confidentiality</w:t>
          </w:r>
        </w:p>
        <w:p w14:paraId="522C9D78" w14:textId="00AB4845" w:rsidR="00863496" w:rsidRDefault="0086349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22C9D79" w14:textId="77777777" w:rsidR="00863496" w:rsidRDefault="00863496" w:rsidP="006E08B3"/>
        <w:p w14:paraId="522C9D7A" w14:textId="77777777" w:rsidR="00863496" w:rsidRDefault="00863496" w:rsidP="006E08B3">
          <w:r>
            <w:t>For submission made by individuals, all personal details, other than your name, will be removed from your submission before it is published on the TGA’s Internet site.</w:t>
          </w:r>
        </w:p>
        <w:p w14:paraId="522C9D7B" w14:textId="77777777" w:rsidR="00863496" w:rsidRDefault="00863496" w:rsidP="006E08B3"/>
        <w:p w14:paraId="522C9D7C" w14:textId="77777777" w:rsidR="00863496" w:rsidRDefault="0086349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63496" w14:paraId="522C9D81" w14:textId="77777777" w:rsidTr="0010601F">
      <w:trPr>
        <w:trHeight w:val="417"/>
      </w:trPr>
      <w:tc>
        <w:tcPr>
          <w:tcW w:w="4519" w:type="dxa"/>
          <w:tcBorders>
            <w:top w:val="single" w:sz="4" w:space="0" w:color="auto"/>
          </w:tcBorders>
          <w:tcMar>
            <w:top w:w="142" w:type="dxa"/>
            <w:bottom w:w="0" w:type="dxa"/>
          </w:tcMar>
        </w:tcPr>
        <w:p w14:paraId="522C9D7E" w14:textId="77777777" w:rsidR="00863496" w:rsidRDefault="00863496" w:rsidP="006E08B3">
          <w:r>
            <w:t>Document title, Part #, Section # - Section title</w:t>
          </w:r>
        </w:p>
        <w:p w14:paraId="522C9D7F" w14:textId="77777777" w:rsidR="00863496" w:rsidRDefault="00863496" w:rsidP="006E08B3">
          <w:r>
            <w:t>V1.0 October 2010</w:t>
          </w:r>
        </w:p>
      </w:tc>
      <w:tc>
        <w:tcPr>
          <w:tcW w:w="4356" w:type="dxa"/>
          <w:tcBorders>
            <w:top w:val="single" w:sz="4" w:space="0" w:color="auto"/>
          </w:tcBorders>
          <w:tcMar>
            <w:top w:w="142" w:type="dxa"/>
            <w:bottom w:w="0" w:type="dxa"/>
          </w:tcMar>
        </w:tcPr>
        <w:p w14:paraId="522C9D80" w14:textId="77777777" w:rsidR="00863496" w:rsidRDefault="0086349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522C9D82" w14:textId="77777777" w:rsidR="00863496" w:rsidRDefault="008634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3373C" w14:textId="77777777" w:rsidR="00863496" w:rsidRDefault="00863496" w:rsidP="00C40A36">
      <w:pPr>
        <w:spacing w:after="0"/>
      </w:pPr>
      <w:r>
        <w:separator/>
      </w:r>
    </w:p>
  </w:footnote>
  <w:footnote w:type="continuationSeparator" w:id="0">
    <w:p w14:paraId="6075AE4D" w14:textId="77777777" w:rsidR="00863496" w:rsidRDefault="00863496" w:rsidP="00C40A36">
      <w:pPr>
        <w:spacing w:after="0"/>
      </w:pPr>
      <w:r>
        <w:continuationSeparator/>
      </w:r>
    </w:p>
  </w:footnote>
  <w:footnote w:id="1">
    <w:p w14:paraId="6D1DAD39" w14:textId="71960D3F" w:rsidR="00863496" w:rsidRPr="007A175B" w:rsidRDefault="00863496">
      <w:pPr>
        <w:pStyle w:val="FootnoteText"/>
        <w:rPr>
          <w:lang w:val="en-US"/>
        </w:rPr>
      </w:pPr>
      <w:r>
        <w:rPr>
          <w:rStyle w:val="FootnoteReference"/>
        </w:rPr>
        <w:footnoteRef/>
      </w:r>
      <w:r>
        <w:t xml:space="preserve"> </w:t>
      </w:r>
      <w:r w:rsidRPr="007A175B">
        <w:rPr>
          <w:sz w:val="18"/>
          <w:szCs w:val="18"/>
        </w:rPr>
        <w:t xml:space="preserve">Aggarwal C et al 2016 1060P - Prevalence of PD-L1 expression in patients with non-small cell lung cancer screened for </w:t>
      </w:r>
      <w:proofErr w:type="spellStart"/>
      <w:r w:rsidRPr="007A175B">
        <w:rPr>
          <w:sz w:val="18"/>
          <w:szCs w:val="18"/>
        </w:rPr>
        <w:t>enrollment</w:t>
      </w:r>
      <w:proofErr w:type="spellEnd"/>
      <w:r w:rsidRPr="007A175B">
        <w:rPr>
          <w:sz w:val="18"/>
          <w:szCs w:val="18"/>
        </w:rPr>
        <w:t xml:space="preserve"> in KEYNOTE-001, -010, and -024 Annals of Oncology 2016; 27 :359-378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D5C" w14:textId="77777777" w:rsidR="00863496" w:rsidRDefault="0086349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D62" w14:textId="77777777" w:rsidR="00863496" w:rsidRDefault="00863496">
    <w:pPr>
      <w:rPr>
        <w:noProof/>
        <w:lang w:eastAsia="en-AU"/>
      </w:rPr>
    </w:pPr>
    <w:r w:rsidRPr="002D545C">
      <w:rPr>
        <w:noProof/>
        <w:lang w:eastAsia="en-AU"/>
      </w:rPr>
      <w:drawing>
        <wp:anchor distT="0" distB="0" distL="114300" distR="114300" simplePos="0" relativeHeight="251659264" behindDoc="1" locked="0" layoutInCell="1" allowOverlap="1" wp14:anchorId="522C9D83" wp14:editId="522C9D84">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22C9D63" w14:textId="77777777" w:rsidR="00863496" w:rsidRDefault="00863496" w:rsidP="00593AD1">
    <w:pPr>
      <w:pStyle w:val="HeaderNoLine"/>
    </w:pPr>
    <w:r>
      <w:rPr>
        <w:noProof/>
        <w:lang w:eastAsia="en-AU"/>
      </w:rPr>
      <w:drawing>
        <wp:inline distT="0" distB="0" distL="0" distR="0" wp14:anchorId="522C9D85" wp14:editId="522C9D8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D65" w14:textId="77777777" w:rsidR="00863496" w:rsidRDefault="008634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D66" w14:textId="77777777" w:rsidR="00863496" w:rsidRDefault="0086349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D67" w14:textId="77777777" w:rsidR="00863496" w:rsidRDefault="0086349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D6D" w14:textId="77777777" w:rsidR="00863496" w:rsidRDefault="008634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D6E" w14:textId="77777777" w:rsidR="00863496" w:rsidRDefault="0086349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D70" w14:textId="77777777" w:rsidR="00863496" w:rsidRDefault="00863496" w:rsidP="006E08B3">
    <w:r>
      <w:t>Therapeutic Goods Administration</w:t>
    </w:r>
  </w:p>
  <w:p w14:paraId="522C9D71" w14:textId="77777777" w:rsidR="00863496" w:rsidRDefault="0086349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AA2E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798172C"/>
    <w:lvl w:ilvl="0">
      <w:start w:val="1"/>
      <w:numFmt w:val="decimal"/>
      <w:lvlText w:val="%1."/>
      <w:lvlJc w:val="left"/>
      <w:pPr>
        <w:tabs>
          <w:tab w:val="num" w:pos="1800"/>
        </w:tabs>
        <w:ind w:left="1800" w:hanging="360"/>
      </w:pPr>
    </w:lvl>
  </w:abstractNum>
  <w:abstractNum w:abstractNumId="2">
    <w:nsid w:val="FFFFFF7D"/>
    <w:multiLevelType w:val="singleLevel"/>
    <w:tmpl w:val="51384028"/>
    <w:lvl w:ilvl="0">
      <w:start w:val="1"/>
      <w:numFmt w:val="decimal"/>
      <w:lvlText w:val="%1."/>
      <w:lvlJc w:val="left"/>
      <w:pPr>
        <w:tabs>
          <w:tab w:val="num" w:pos="1440"/>
        </w:tabs>
        <w:ind w:left="1440" w:hanging="360"/>
      </w:pPr>
    </w:lvl>
  </w:abstractNum>
  <w:abstractNum w:abstractNumId="3">
    <w:nsid w:val="FFFFFF7E"/>
    <w:multiLevelType w:val="singleLevel"/>
    <w:tmpl w:val="C332DF4E"/>
    <w:lvl w:ilvl="0">
      <w:start w:val="1"/>
      <w:numFmt w:val="decimal"/>
      <w:lvlText w:val="%1."/>
      <w:lvlJc w:val="left"/>
      <w:pPr>
        <w:tabs>
          <w:tab w:val="num" w:pos="1080"/>
        </w:tabs>
        <w:ind w:left="1080" w:hanging="360"/>
      </w:pPr>
    </w:lvl>
  </w:abstractNum>
  <w:abstractNum w:abstractNumId="4">
    <w:nsid w:val="FFFFFF7F"/>
    <w:multiLevelType w:val="singleLevel"/>
    <w:tmpl w:val="3544C49A"/>
    <w:lvl w:ilvl="0">
      <w:start w:val="1"/>
      <w:numFmt w:val="decimal"/>
      <w:lvlText w:val="%1."/>
      <w:lvlJc w:val="left"/>
      <w:pPr>
        <w:tabs>
          <w:tab w:val="num" w:pos="643"/>
        </w:tabs>
        <w:ind w:left="643" w:hanging="360"/>
      </w:pPr>
    </w:lvl>
  </w:abstractNum>
  <w:abstractNum w:abstractNumId="5">
    <w:nsid w:val="FFFFFF80"/>
    <w:multiLevelType w:val="singleLevel"/>
    <w:tmpl w:val="830C021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B1E6D0A"/>
    <w:lvl w:ilvl="0">
      <w:start w:val="1"/>
      <w:numFmt w:val="bullet"/>
      <w:lvlText w:val=""/>
      <w:lvlJc w:val="left"/>
      <w:pPr>
        <w:tabs>
          <w:tab w:val="num" w:pos="1209"/>
        </w:tabs>
        <w:ind w:left="1209" w:hanging="360"/>
      </w:pPr>
      <w:rPr>
        <w:rFonts w:ascii="Symbol" w:hAnsi="Symbol" w:hint="default"/>
      </w:rPr>
    </w:lvl>
  </w:abstractNum>
  <w:abstractNum w:abstractNumId="7">
    <w:nsid w:val="FFFFFF88"/>
    <w:multiLevelType w:val="singleLevel"/>
    <w:tmpl w:val="D0E69C08"/>
    <w:lvl w:ilvl="0">
      <w:start w:val="1"/>
      <w:numFmt w:val="decimal"/>
      <w:lvlText w:val="%1."/>
      <w:lvlJc w:val="left"/>
      <w:pPr>
        <w:tabs>
          <w:tab w:val="num" w:pos="360"/>
        </w:tabs>
        <w:ind w:left="360" w:hanging="360"/>
      </w:pPr>
    </w:lvl>
  </w:abstractNum>
  <w:abstractNum w:abstractNumId="8">
    <w:nsid w:val="07A870A0"/>
    <w:multiLevelType w:val="hybridMultilevel"/>
    <w:tmpl w:val="BF56FB60"/>
    <w:lvl w:ilvl="0" w:tplc="84E02BB2">
      <w:start w:val="1"/>
      <w:numFmt w:val="decimal"/>
      <w:lvlText w:val="%1)"/>
      <w:lvlJc w:val="left"/>
      <w:pPr>
        <w:ind w:left="720" w:hanging="360"/>
      </w:pPr>
      <w:rPr>
        <w:rFonts w:ascii="TimesNewRomanPSMT" w:hAnsi="TimesNewRomanPSMT" w:cs="TimesNewRomanPSMT"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23EE0E24"/>
    <w:multiLevelType w:val="hybridMultilevel"/>
    <w:tmpl w:val="5DD8C12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61FF4C1E"/>
    <w:multiLevelType w:val="hybridMultilevel"/>
    <w:tmpl w:val="224897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D0B1B75"/>
    <w:multiLevelType w:val="multilevel"/>
    <w:tmpl w:val="8EC6B636"/>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75"/>
        </w:tabs>
        <w:ind w:left="1475"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2"/>
  </w:num>
  <w:num w:numId="8">
    <w:abstractNumId w:val="13"/>
  </w:num>
  <w:num w:numId="9">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1"/>
  </w:num>
  <w:num w:numId="23">
    <w:abstractNumId w:val="14"/>
  </w:num>
  <w:num w:numId="24">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8"/>
  </w:num>
  <w:num w:numId="27">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6"/>
  </w:num>
  <w:num w:numId="29">
    <w:abstractNumId w:val="5"/>
  </w:num>
  <w:num w:numId="30">
    <w:abstractNumId w:val="7"/>
  </w:num>
  <w:num w:numId="31">
    <w:abstractNumId w:val="4"/>
  </w:num>
  <w:num w:numId="32">
    <w:abstractNumId w:val="0"/>
  </w:num>
  <w:num w:numId="33">
    <w:abstractNumId w:val="1"/>
  </w:num>
  <w:num w:numId="34">
    <w:abstractNumId w:val="2"/>
  </w:num>
  <w:num w:numId="35">
    <w:abstractNumId w:val="3"/>
  </w:num>
  <w:num w:numId="3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EE4"/>
    <w:rsid w:val="00002031"/>
    <w:rsid w:val="00004734"/>
    <w:rsid w:val="00006B22"/>
    <w:rsid w:val="0001276A"/>
    <w:rsid w:val="0001507B"/>
    <w:rsid w:val="000246AE"/>
    <w:rsid w:val="00025C67"/>
    <w:rsid w:val="00027EEA"/>
    <w:rsid w:val="00040ACB"/>
    <w:rsid w:val="0005559E"/>
    <w:rsid w:val="00056251"/>
    <w:rsid w:val="00077775"/>
    <w:rsid w:val="00090471"/>
    <w:rsid w:val="00095A9C"/>
    <w:rsid w:val="00097B5E"/>
    <w:rsid w:val="000A0844"/>
    <w:rsid w:val="000A3AED"/>
    <w:rsid w:val="000A5788"/>
    <w:rsid w:val="000A63AF"/>
    <w:rsid w:val="000B3532"/>
    <w:rsid w:val="000B3A75"/>
    <w:rsid w:val="000C690F"/>
    <w:rsid w:val="000D1295"/>
    <w:rsid w:val="000D391B"/>
    <w:rsid w:val="000D3D6D"/>
    <w:rsid w:val="000D4FC7"/>
    <w:rsid w:val="000E2238"/>
    <w:rsid w:val="000E6A2D"/>
    <w:rsid w:val="000F02F9"/>
    <w:rsid w:val="000F4869"/>
    <w:rsid w:val="000F5B42"/>
    <w:rsid w:val="000F6E6F"/>
    <w:rsid w:val="0010193C"/>
    <w:rsid w:val="00102888"/>
    <w:rsid w:val="00104613"/>
    <w:rsid w:val="0010601F"/>
    <w:rsid w:val="0010788A"/>
    <w:rsid w:val="00107A31"/>
    <w:rsid w:val="00110EA5"/>
    <w:rsid w:val="00112F56"/>
    <w:rsid w:val="00124015"/>
    <w:rsid w:val="00125318"/>
    <w:rsid w:val="001305A2"/>
    <w:rsid w:val="00133238"/>
    <w:rsid w:val="0014197B"/>
    <w:rsid w:val="001447CD"/>
    <w:rsid w:val="001516B1"/>
    <w:rsid w:val="00154EBB"/>
    <w:rsid w:val="00156316"/>
    <w:rsid w:val="00165389"/>
    <w:rsid w:val="0017078F"/>
    <w:rsid w:val="00171EE4"/>
    <w:rsid w:val="0017693F"/>
    <w:rsid w:val="00180044"/>
    <w:rsid w:val="0018110E"/>
    <w:rsid w:val="00181684"/>
    <w:rsid w:val="0018281E"/>
    <w:rsid w:val="001843C6"/>
    <w:rsid w:val="001850E0"/>
    <w:rsid w:val="00194361"/>
    <w:rsid w:val="001A2158"/>
    <w:rsid w:val="001A525F"/>
    <w:rsid w:val="001B09F9"/>
    <w:rsid w:val="001B20AC"/>
    <w:rsid w:val="001B5859"/>
    <w:rsid w:val="001B5D98"/>
    <w:rsid w:val="001B6448"/>
    <w:rsid w:val="001C50D6"/>
    <w:rsid w:val="001C657B"/>
    <w:rsid w:val="001D1D7B"/>
    <w:rsid w:val="001E07CF"/>
    <w:rsid w:val="001E3F3B"/>
    <w:rsid w:val="001E59F1"/>
    <w:rsid w:val="001F1098"/>
    <w:rsid w:val="001F497A"/>
    <w:rsid w:val="001F49EB"/>
    <w:rsid w:val="001F6CBA"/>
    <w:rsid w:val="00201D4E"/>
    <w:rsid w:val="00204080"/>
    <w:rsid w:val="00205664"/>
    <w:rsid w:val="002076C9"/>
    <w:rsid w:val="00220B8A"/>
    <w:rsid w:val="0022487E"/>
    <w:rsid w:val="002257F3"/>
    <w:rsid w:val="00233456"/>
    <w:rsid w:val="002339A5"/>
    <w:rsid w:val="00257848"/>
    <w:rsid w:val="00265880"/>
    <w:rsid w:val="002666AC"/>
    <w:rsid w:val="002679A3"/>
    <w:rsid w:val="0027084A"/>
    <w:rsid w:val="00286434"/>
    <w:rsid w:val="00286C59"/>
    <w:rsid w:val="00292113"/>
    <w:rsid w:val="002924DE"/>
    <w:rsid w:val="002942D1"/>
    <w:rsid w:val="0029501A"/>
    <w:rsid w:val="002B1638"/>
    <w:rsid w:val="002C63ED"/>
    <w:rsid w:val="002D545C"/>
    <w:rsid w:val="002D6161"/>
    <w:rsid w:val="002E4C9A"/>
    <w:rsid w:val="002F11F8"/>
    <w:rsid w:val="002F3F56"/>
    <w:rsid w:val="002F44B5"/>
    <w:rsid w:val="00310181"/>
    <w:rsid w:val="00311AC0"/>
    <w:rsid w:val="0032583B"/>
    <w:rsid w:val="00327883"/>
    <w:rsid w:val="00335504"/>
    <w:rsid w:val="003521E8"/>
    <w:rsid w:val="00356378"/>
    <w:rsid w:val="003728F3"/>
    <w:rsid w:val="0037496E"/>
    <w:rsid w:val="00374C1D"/>
    <w:rsid w:val="0037623D"/>
    <w:rsid w:val="00386150"/>
    <w:rsid w:val="003874CE"/>
    <w:rsid w:val="00390900"/>
    <w:rsid w:val="00396C92"/>
    <w:rsid w:val="003A7F6C"/>
    <w:rsid w:val="003B1113"/>
    <w:rsid w:val="003B4D60"/>
    <w:rsid w:val="003B634F"/>
    <w:rsid w:val="003B7E39"/>
    <w:rsid w:val="003C58DC"/>
    <w:rsid w:val="003D0A3B"/>
    <w:rsid w:val="003D1E62"/>
    <w:rsid w:val="003D7B5E"/>
    <w:rsid w:val="003E2486"/>
    <w:rsid w:val="003E3208"/>
    <w:rsid w:val="003F0B04"/>
    <w:rsid w:val="003F63DE"/>
    <w:rsid w:val="0040134E"/>
    <w:rsid w:val="00414567"/>
    <w:rsid w:val="00415D59"/>
    <w:rsid w:val="0042775A"/>
    <w:rsid w:val="004369BD"/>
    <w:rsid w:val="0043797D"/>
    <w:rsid w:val="00440A2D"/>
    <w:rsid w:val="004564A7"/>
    <w:rsid w:val="004617BF"/>
    <w:rsid w:val="00463658"/>
    <w:rsid w:val="004722CC"/>
    <w:rsid w:val="00483958"/>
    <w:rsid w:val="004936E4"/>
    <w:rsid w:val="00494E60"/>
    <w:rsid w:val="00497487"/>
    <w:rsid w:val="004A7E13"/>
    <w:rsid w:val="004B4C79"/>
    <w:rsid w:val="004B7B76"/>
    <w:rsid w:val="004C2DCA"/>
    <w:rsid w:val="004D4D6E"/>
    <w:rsid w:val="004F0F38"/>
    <w:rsid w:val="004F4AF5"/>
    <w:rsid w:val="00501921"/>
    <w:rsid w:val="00503BA4"/>
    <w:rsid w:val="00530354"/>
    <w:rsid w:val="00531B04"/>
    <w:rsid w:val="0053625B"/>
    <w:rsid w:val="005434C6"/>
    <w:rsid w:val="00543B39"/>
    <w:rsid w:val="00550096"/>
    <w:rsid w:val="00557FF9"/>
    <w:rsid w:val="0057074E"/>
    <w:rsid w:val="00576378"/>
    <w:rsid w:val="00577945"/>
    <w:rsid w:val="00577E38"/>
    <w:rsid w:val="00585322"/>
    <w:rsid w:val="005857C6"/>
    <w:rsid w:val="00586F98"/>
    <w:rsid w:val="00592F6E"/>
    <w:rsid w:val="00593AD1"/>
    <w:rsid w:val="005A06F3"/>
    <w:rsid w:val="005A5C93"/>
    <w:rsid w:val="005A68B6"/>
    <w:rsid w:val="005A695B"/>
    <w:rsid w:val="005B5AE7"/>
    <w:rsid w:val="005C5570"/>
    <w:rsid w:val="005C79A4"/>
    <w:rsid w:val="005D5442"/>
    <w:rsid w:val="00603F32"/>
    <w:rsid w:val="00605883"/>
    <w:rsid w:val="006170F0"/>
    <w:rsid w:val="00620406"/>
    <w:rsid w:val="0062255D"/>
    <w:rsid w:val="00632398"/>
    <w:rsid w:val="00633FAD"/>
    <w:rsid w:val="00640FC3"/>
    <w:rsid w:val="00642020"/>
    <w:rsid w:val="00646206"/>
    <w:rsid w:val="0065337B"/>
    <w:rsid w:val="0065419D"/>
    <w:rsid w:val="006604D8"/>
    <w:rsid w:val="00662ACB"/>
    <w:rsid w:val="00664A5B"/>
    <w:rsid w:val="0067489D"/>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2420A"/>
    <w:rsid w:val="0074253D"/>
    <w:rsid w:val="0074429B"/>
    <w:rsid w:val="007513B4"/>
    <w:rsid w:val="007615BC"/>
    <w:rsid w:val="00762F05"/>
    <w:rsid w:val="007652FF"/>
    <w:rsid w:val="00767B82"/>
    <w:rsid w:val="00767CC3"/>
    <w:rsid w:val="00770EF1"/>
    <w:rsid w:val="00771226"/>
    <w:rsid w:val="00773EF7"/>
    <w:rsid w:val="00774E1D"/>
    <w:rsid w:val="0077675A"/>
    <w:rsid w:val="00780355"/>
    <w:rsid w:val="0078548B"/>
    <w:rsid w:val="00785721"/>
    <w:rsid w:val="00793A59"/>
    <w:rsid w:val="007A02F5"/>
    <w:rsid w:val="007A175B"/>
    <w:rsid w:val="007B6E9F"/>
    <w:rsid w:val="007C1216"/>
    <w:rsid w:val="007C1AF7"/>
    <w:rsid w:val="007C51B3"/>
    <w:rsid w:val="007D49A3"/>
    <w:rsid w:val="007E3719"/>
    <w:rsid w:val="007E6E27"/>
    <w:rsid w:val="007F3E00"/>
    <w:rsid w:val="00805D27"/>
    <w:rsid w:val="00817EEE"/>
    <w:rsid w:val="00821776"/>
    <w:rsid w:val="00821D02"/>
    <w:rsid w:val="008321F5"/>
    <w:rsid w:val="00832369"/>
    <w:rsid w:val="00834660"/>
    <w:rsid w:val="00836BC2"/>
    <w:rsid w:val="008414A0"/>
    <w:rsid w:val="00851F8D"/>
    <w:rsid w:val="0085641B"/>
    <w:rsid w:val="00857136"/>
    <w:rsid w:val="00863496"/>
    <w:rsid w:val="00886D15"/>
    <w:rsid w:val="00887DD8"/>
    <w:rsid w:val="0089444F"/>
    <w:rsid w:val="00896018"/>
    <w:rsid w:val="008960DD"/>
    <w:rsid w:val="0089635C"/>
    <w:rsid w:val="008A2B9D"/>
    <w:rsid w:val="008A3EC7"/>
    <w:rsid w:val="008A5E0B"/>
    <w:rsid w:val="008A6025"/>
    <w:rsid w:val="008A6D59"/>
    <w:rsid w:val="008B4B03"/>
    <w:rsid w:val="008B596F"/>
    <w:rsid w:val="008B5A3E"/>
    <w:rsid w:val="008C159F"/>
    <w:rsid w:val="008C1623"/>
    <w:rsid w:val="008C1850"/>
    <w:rsid w:val="008C51A9"/>
    <w:rsid w:val="008C5595"/>
    <w:rsid w:val="008D770F"/>
    <w:rsid w:val="008E7846"/>
    <w:rsid w:val="008F0C55"/>
    <w:rsid w:val="008F18B2"/>
    <w:rsid w:val="008F1CCC"/>
    <w:rsid w:val="008F2967"/>
    <w:rsid w:val="008F6943"/>
    <w:rsid w:val="008F69AF"/>
    <w:rsid w:val="00902A21"/>
    <w:rsid w:val="00906445"/>
    <w:rsid w:val="00913AC3"/>
    <w:rsid w:val="00920330"/>
    <w:rsid w:val="009219D7"/>
    <w:rsid w:val="00922D53"/>
    <w:rsid w:val="00923B70"/>
    <w:rsid w:val="00924482"/>
    <w:rsid w:val="00930237"/>
    <w:rsid w:val="009438E8"/>
    <w:rsid w:val="009439B4"/>
    <w:rsid w:val="0094614A"/>
    <w:rsid w:val="00946EA5"/>
    <w:rsid w:val="00950422"/>
    <w:rsid w:val="0095160F"/>
    <w:rsid w:val="00955E08"/>
    <w:rsid w:val="00963C08"/>
    <w:rsid w:val="0098090F"/>
    <w:rsid w:val="00981D66"/>
    <w:rsid w:val="0098585A"/>
    <w:rsid w:val="0098669D"/>
    <w:rsid w:val="00994C95"/>
    <w:rsid w:val="009A4CED"/>
    <w:rsid w:val="009A690D"/>
    <w:rsid w:val="009A78B0"/>
    <w:rsid w:val="009B1D12"/>
    <w:rsid w:val="009B28D9"/>
    <w:rsid w:val="009B416B"/>
    <w:rsid w:val="009C4BD5"/>
    <w:rsid w:val="009C644B"/>
    <w:rsid w:val="009D4DE7"/>
    <w:rsid w:val="009D4E9A"/>
    <w:rsid w:val="009D7B77"/>
    <w:rsid w:val="009E0BB0"/>
    <w:rsid w:val="009E3FBB"/>
    <w:rsid w:val="00A102E4"/>
    <w:rsid w:val="00A12C42"/>
    <w:rsid w:val="00A14DF7"/>
    <w:rsid w:val="00A16AE2"/>
    <w:rsid w:val="00A22931"/>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2B80"/>
    <w:rsid w:val="00AF60C5"/>
    <w:rsid w:val="00B009C6"/>
    <w:rsid w:val="00B01548"/>
    <w:rsid w:val="00B02208"/>
    <w:rsid w:val="00B024A2"/>
    <w:rsid w:val="00B1425E"/>
    <w:rsid w:val="00B1500A"/>
    <w:rsid w:val="00B21D29"/>
    <w:rsid w:val="00B25034"/>
    <w:rsid w:val="00B275F4"/>
    <w:rsid w:val="00B33588"/>
    <w:rsid w:val="00B33863"/>
    <w:rsid w:val="00B34ED2"/>
    <w:rsid w:val="00B3567E"/>
    <w:rsid w:val="00B37D17"/>
    <w:rsid w:val="00B4175E"/>
    <w:rsid w:val="00B452CE"/>
    <w:rsid w:val="00B54C25"/>
    <w:rsid w:val="00B76B91"/>
    <w:rsid w:val="00B77EB1"/>
    <w:rsid w:val="00B811C6"/>
    <w:rsid w:val="00B85A87"/>
    <w:rsid w:val="00B92E08"/>
    <w:rsid w:val="00B9394D"/>
    <w:rsid w:val="00B96DEA"/>
    <w:rsid w:val="00B96EBE"/>
    <w:rsid w:val="00BA53BD"/>
    <w:rsid w:val="00BB1577"/>
    <w:rsid w:val="00BB4309"/>
    <w:rsid w:val="00BC622A"/>
    <w:rsid w:val="00BD45E3"/>
    <w:rsid w:val="00BE0A78"/>
    <w:rsid w:val="00BE32A6"/>
    <w:rsid w:val="00BE6252"/>
    <w:rsid w:val="00BE79F0"/>
    <w:rsid w:val="00BF046D"/>
    <w:rsid w:val="00BF1190"/>
    <w:rsid w:val="00BF5D04"/>
    <w:rsid w:val="00BF6172"/>
    <w:rsid w:val="00C10435"/>
    <w:rsid w:val="00C1164D"/>
    <w:rsid w:val="00C137CE"/>
    <w:rsid w:val="00C16861"/>
    <w:rsid w:val="00C21EBD"/>
    <w:rsid w:val="00C22678"/>
    <w:rsid w:val="00C229F8"/>
    <w:rsid w:val="00C404A6"/>
    <w:rsid w:val="00C40A36"/>
    <w:rsid w:val="00C432EE"/>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9661D"/>
    <w:rsid w:val="00CB6BC0"/>
    <w:rsid w:val="00CB7783"/>
    <w:rsid w:val="00CC1B7C"/>
    <w:rsid w:val="00CC1CEE"/>
    <w:rsid w:val="00CC727F"/>
    <w:rsid w:val="00CC79E6"/>
    <w:rsid w:val="00CD5AF5"/>
    <w:rsid w:val="00CF0C39"/>
    <w:rsid w:val="00CF15C3"/>
    <w:rsid w:val="00CF2B6F"/>
    <w:rsid w:val="00CF58B6"/>
    <w:rsid w:val="00D017ED"/>
    <w:rsid w:val="00D040D3"/>
    <w:rsid w:val="00D04C65"/>
    <w:rsid w:val="00D140B8"/>
    <w:rsid w:val="00D224FE"/>
    <w:rsid w:val="00D2601D"/>
    <w:rsid w:val="00D47514"/>
    <w:rsid w:val="00D53A31"/>
    <w:rsid w:val="00D53B25"/>
    <w:rsid w:val="00D541C6"/>
    <w:rsid w:val="00D62810"/>
    <w:rsid w:val="00D6493E"/>
    <w:rsid w:val="00D7301E"/>
    <w:rsid w:val="00D83AE1"/>
    <w:rsid w:val="00D855D4"/>
    <w:rsid w:val="00D87961"/>
    <w:rsid w:val="00D93466"/>
    <w:rsid w:val="00DA1124"/>
    <w:rsid w:val="00DB192D"/>
    <w:rsid w:val="00DB75B7"/>
    <w:rsid w:val="00DC156B"/>
    <w:rsid w:val="00DC6E02"/>
    <w:rsid w:val="00DC734D"/>
    <w:rsid w:val="00DE02AE"/>
    <w:rsid w:val="00DE0431"/>
    <w:rsid w:val="00DF1D7F"/>
    <w:rsid w:val="00DF4BE4"/>
    <w:rsid w:val="00E02FB4"/>
    <w:rsid w:val="00E07F15"/>
    <w:rsid w:val="00E20571"/>
    <w:rsid w:val="00E235F7"/>
    <w:rsid w:val="00E23659"/>
    <w:rsid w:val="00E239D4"/>
    <w:rsid w:val="00E2543E"/>
    <w:rsid w:val="00E26130"/>
    <w:rsid w:val="00E2741C"/>
    <w:rsid w:val="00E40AE8"/>
    <w:rsid w:val="00E40B22"/>
    <w:rsid w:val="00E45619"/>
    <w:rsid w:val="00E4588F"/>
    <w:rsid w:val="00E46DA3"/>
    <w:rsid w:val="00E51BB1"/>
    <w:rsid w:val="00E624A5"/>
    <w:rsid w:val="00E7344E"/>
    <w:rsid w:val="00E77B22"/>
    <w:rsid w:val="00E9080D"/>
    <w:rsid w:val="00E936E3"/>
    <w:rsid w:val="00E961A5"/>
    <w:rsid w:val="00E979F4"/>
    <w:rsid w:val="00EB0798"/>
    <w:rsid w:val="00EB40AD"/>
    <w:rsid w:val="00EB586E"/>
    <w:rsid w:val="00EB5EBD"/>
    <w:rsid w:val="00EB5FC8"/>
    <w:rsid w:val="00EC57E2"/>
    <w:rsid w:val="00EC5C29"/>
    <w:rsid w:val="00ED3CAD"/>
    <w:rsid w:val="00ED5A41"/>
    <w:rsid w:val="00EE1DE8"/>
    <w:rsid w:val="00EF3E5B"/>
    <w:rsid w:val="00F033EC"/>
    <w:rsid w:val="00F04F68"/>
    <w:rsid w:val="00F12670"/>
    <w:rsid w:val="00F14B27"/>
    <w:rsid w:val="00F30004"/>
    <w:rsid w:val="00F3148D"/>
    <w:rsid w:val="00F325C5"/>
    <w:rsid w:val="00F32FE0"/>
    <w:rsid w:val="00F35298"/>
    <w:rsid w:val="00F3721E"/>
    <w:rsid w:val="00F37BDE"/>
    <w:rsid w:val="00F47333"/>
    <w:rsid w:val="00F47E37"/>
    <w:rsid w:val="00F5372F"/>
    <w:rsid w:val="00F53C07"/>
    <w:rsid w:val="00F54B65"/>
    <w:rsid w:val="00F640B6"/>
    <w:rsid w:val="00F6710E"/>
    <w:rsid w:val="00F80E40"/>
    <w:rsid w:val="00F848D9"/>
    <w:rsid w:val="00FA5B82"/>
    <w:rsid w:val="00FA639E"/>
    <w:rsid w:val="00FB284C"/>
    <w:rsid w:val="00FC25E4"/>
    <w:rsid w:val="00FC4EF7"/>
    <w:rsid w:val="00FC7793"/>
    <w:rsid w:val="00FD63CF"/>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2C9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6349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tabs>
        <w:tab w:val="clear" w:pos="1475"/>
        <w:tab w:val="num" w:pos="1191"/>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9394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6349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F671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767CC3"/>
    <w:pPr>
      <w:numPr>
        <w:numId w:val="7"/>
      </w:numPr>
      <w:spacing w:after="0" w:line="240" w:lineRule="auto"/>
    </w:pPr>
    <w:rPr>
      <w:rFonts w:eastAsia="Times New Roman"/>
      <w:kern w:val="24"/>
      <w:szCs w:val="24"/>
      <w:lang w:eastAsia="en-AU"/>
    </w:rPr>
  </w:style>
  <w:style w:type="paragraph" w:customStyle="1" w:styleId="Bullet2">
    <w:name w:val="Bullet 2"/>
    <w:basedOn w:val="Bullet1"/>
    <w:rsid w:val="00767CC3"/>
    <w:pPr>
      <w:numPr>
        <w:numId w:val="8"/>
      </w:numPr>
    </w:pPr>
  </w:style>
  <w:style w:type="paragraph" w:styleId="ListParagraph">
    <w:name w:val="List Paragraph"/>
    <w:basedOn w:val="Normal"/>
    <w:uiPriority w:val="34"/>
    <w:qFormat/>
    <w:rsid w:val="00767C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851"/>
    </w:pPr>
    <w:rPr>
      <w:rFonts w:eastAsia="Times New Roman"/>
      <w:kern w:val="16"/>
      <w:szCs w:val="24"/>
      <w:lang w:eastAsia="en-AU"/>
    </w:rPr>
  </w:style>
  <w:style w:type="character" w:customStyle="1" w:styleId="Heading8Char">
    <w:name w:val="Heading 8 Char"/>
    <w:basedOn w:val="DefaultParagraphFont"/>
    <w:link w:val="Heading8"/>
    <w:uiPriority w:val="9"/>
    <w:semiHidden/>
    <w:rsid w:val="00B9394D"/>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unhideWhenUsed/>
    <w:rsid w:val="00B96DE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96DE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B96DEA"/>
    <w:rPr>
      <w:vertAlign w:val="superscript"/>
    </w:rPr>
  </w:style>
  <w:style w:type="paragraph" w:styleId="DocumentMap">
    <w:name w:val="Document Map"/>
    <w:basedOn w:val="Normal"/>
    <w:link w:val="DocumentMapChar"/>
    <w:uiPriority w:val="99"/>
    <w:semiHidden/>
    <w:unhideWhenUsed/>
    <w:rsid w:val="0020408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04080"/>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6349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tabs>
        <w:tab w:val="clear" w:pos="1475"/>
        <w:tab w:val="num" w:pos="1191"/>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9394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6349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Abbreviations">
    <w:name w:val="Abbreviations"/>
    <w:basedOn w:val="Normal"/>
    <w:rsid w:val="00F671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767CC3"/>
    <w:pPr>
      <w:numPr>
        <w:numId w:val="7"/>
      </w:numPr>
      <w:spacing w:after="0" w:line="240" w:lineRule="auto"/>
    </w:pPr>
    <w:rPr>
      <w:rFonts w:eastAsia="Times New Roman"/>
      <w:kern w:val="24"/>
      <w:szCs w:val="24"/>
      <w:lang w:eastAsia="en-AU"/>
    </w:rPr>
  </w:style>
  <w:style w:type="paragraph" w:customStyle="1" w:styleId="Bullet2">
    <w:name w:val="Bullet 2"/>
    <w:basedOn w:val="Bullet1"/>
    <w:rsid w:val="00767CC3"/>
    <w:pPr>
      <w:numPr>
        <w:numId w:val="8"/>
      </w:numPr>
    </w:pPr>
  </w:style>
  <w:style w:type="paragraph" w:styleId="ListParagraph">
    <w:name w:val="List Paragraph"/>
    <w:basedOn w:val="Normal"/>
    <w:uiPriority w:val="34"/>
    <w:qFormat/>
    <w:rsid w:val="00767C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851"/>
    </w:pPr>
    <w:rPr>
      <w:rFonts w:eastAsia="Times New Roman"/>
      <w:kern w:val="16"/>
      <w:szCs w:val="24"/>
      <w:lang w:eastAsia="en-AU"/>
    </w:rPr>
  </w:style>
  <w:style w:type="character" w:customStyle="1" w:styleId="Heading8Char">
    <w:name w:val="Heading 8 Char"/>
    <w:basedOn w:val="DefaultParagraphFont"/>
    <w:link w:val="Heading8"/>
    <w:uiPriority w:val="9"/>
    <w:semiHidden/>
    <w:rsid w:val="00B9394D"/>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unhideWhenUsed/>
    <w:rsid w:val="00B96DE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96DE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B96DEA"/>
    <w:rPr>
      <w:vertAlign w:val="superscript"/>
    </w:rPr>
  </w:style>
  <w:style w:type="paragraph" w:styleId="DocumentMap">
    <w:name w:val="Document Map"/>
    <w:basedOn w:val="Normal"/>
    <w:link w:val="DocumentMapChar"/>
    <w:uiPriority w:val="99"/>
    <w:semiHidden/>
    <w:unhideWhenUsed/>
    <w:rsid w:val="0020408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04080"/>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36254">
      <w:bodyDiv w:val="1"/>
      <w:marLeft w:val="0"/>
      <w:marRight w:val="0"/>
      <w:marTop w:val="0"/>
      <w:marBottom w:val="0"/>
      <w:divBdr>
        <w:top w:val="none" w:sz="0" w:space="0" w:color="auto"/>
        <w:left w:val="none" w:sz="0" w:space="0" w:color="auto"/>
        <w:bottom w:val="none" w:sz="0" w:space="0" w:color="auto"/>
        <w:right w:val="none" w:sz="0" w:space="0" w:color="auto"/>
      </w:divBdr>
    </w:div>
    <w:div w:id="686948433">
      <w:bodyDiv w:val="1"/>
      <w:marLeft w:val="0"/>
      <w:marRight w:val="0"/>
      <w:marTop w:val="0"/>
      <w:marBottom w:val="0"/>
      <w:divBdr>
        <w:top w:val="none" w:sz="0" w:space="0" w:color="auto"/>
        <w:left w:val="none" w:sz="0" w:space="0" w:color="auto"/>
        <w:bottom w:val="none" w:sz="0" w:space="0" w:color="auto"/>
        <w:right w:val="none" w:sz="0" w:space="0" w:color="auto"/>
      </w:divBdr>
    </w:div>
    <w:div w:id="731541068">
      <w:bodyDiv w:val="1"/>
      <w:marLeft w:val="0"/>
      <w:marRight w:val="0"/>
      <w:marTop w:val="0"/>
      <w:marBottom w:val="0"/>
      <w:divBdr>
        <w:top w:val="none" w:sz="0" w:space="0" w:color="auto"/>
        <w:left w:val="none" w:sz="0" w:space="0" w:color="auto"/>
        <w:bottom w:val="none" w:sz="0" w:space="0" w:color="auto"/>
        <w:right w:val="none" w:sz="0" w:space="0" w:color="auto"/>
      </w:divBdr>
    </w:div>
    <w:div w:id="1001930751">
      <w:bodyDiv w:val="1"/>
      <w:marLeft w:val="0"/>
      <w:marRight w:val="0"/>
      <w:marTop w:val="0"/>
      <w:marBottom w:val="0"/>
      <w:divBdr>
        <w:top w:val="none" w:sz="0" w:space="0" w:color="auto"/>
        <w:left w:val="none" w:sz="0" w:space="0" w:color="auto"/>
        <w:bottom w:val="none" w:sz="0" w:space="0" w:color="auto"/>
        <w:right w:val="none" w:sz="0" w:space="0" w:color="auto"/>
      </w:divBdr>
    </w:div>
    <w:div w:id="1059744032">
      <w:bodyDiv w:val="1"/>
      <w:marLeft w:val="0"/>
      <w:marRight w:val="0"/>
      <w:marTop w:val="0"/>
      <w:marBottom w:val="0"/>
      <w:divBdr>
        <w:top w:val="none" w:sz="0" w:space="0" w:color="auto"/>
        <w:left w:val="none" w:sz="0" w:space="0" w:color="auto"/>
        <w:bottom w:val="none" w:sz="0" w:space="0" w:color="auto"/>
        <w:right w:val="none" w:sz="0" w:space="0" w:color="auto"/>
      </w:divBdr>
    </w:div>
    <w:div w:id="1385375989">
      <w:bodyDiv w:val="1"/>
      <w:marLeft w:val="0"/>
      <w:marRight w:val="0"/>
      <w:marTop w:val="0"/>
      <w:marBottom w:val="0"/>
      <w:divBdr>
        <w:top w:val="none" w:sz="0" w:space="0" w:color="auto"/>
        <w:left w:val="none" w:sz="0" w:space="0" w:color="auto"/>
        <w:bottom w:val="none" w:sz="0" w:space="0" w:color="auto"/>
        <w:right w:val="none" w:sz="0" w:space="0" w:color="auto"/>
      </w:divBdr>
    </w:div>
    <w:div w:id="1520042883">
      <w:bodyDiv w:val="1"/>
      <w:marLeft w:val="0"/>
      <w:marRight w:val="0"/>
      <w:marTop w:val="0"/>
      <w:marBottom w:val="0"/>
      <w:divBdr>
        <w:top w:val="none" w:sz="0" w:space="0" w:color="auto"/>
        <w:left w:val="none" w:sz="0" w:space="0" w:color="auto"/>
        <w:bottom w:val="none" w:sz="0" w:space="0" w:color="auto"/>
        <w:right w:val="none" w:sz="0" w:space="0" w:color="auto"/>
      </w:divBdr>
    </w:div>
    <w:div w:id="1715152401">
      <w:bodyDiv w:val="1"/>
      <w:marLeft w:val="0"/>
      <w:marRight w:val="0"/>
      <w:marTop w:val="0"/>
      <w:marBottom w:val="0"/>
      <w:divBdr>
        <w:top w:val="none" w:sz="0" w:space="0" w:color="auto"/>
        <w:left w:val="none" w:sz="0" w:space="0" w:color="auto"/>
        <w:bottom w:val="none" w:sz="0" w:space="0" w:color="auto"/>
        <w:right w:val="none" w:sz="0" w:space="0" w:color="auto"/>
      </w:divBdr>
    </w:div>
    <w:div w:id="1837573604">
      <w:bodyDiv w:val="1"/>
      <w:marLeft w:val="0"/>
      <w:marRight w:val="0"/>
      <w:marTop w:val="0"/>
      <w:marBottom w:val="0"/>
      <w:divBdr>
        <w:top w:val="none" w:sz="0" w:space="0" w:color="auto"/>
        <w:left w:val="none" w:sz="0" w:space="0" w:color="auto"/>
        <w:bottom w:val="none" w:sz="0" w:space="0" w:color="auto"/>
        <w:right w:val="none" w:sz="0" w:space="0" w:color="auto"/>
      </w:divBdr>
    </w:div>
    <w:div w:id="196766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webSettings" Target="webSettings.xml"/><Relationship Id="rId71" Type="http://schemas.openxmlformats.org/officeDocument/2006/relationships/image" Target="media/image55.png"/><Relationship Id="rId92"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07/relationships/hdphoto" Target="media/hdphoto1.wdp"/><Relationship Id="rId11" Type="http://schemas.openxmlformats.org/officeDocument/2006/relationships/hyperlink" Target="https://www.tga.gov.au/product-information-pi" TargetMode="External"/><Relationship Id="rId24" Type="http://schemas.openxmlformats.org/officeDocument/2006/relationships/image" Target="media/image11.png"/><Relationship Id="rId32" Type="http://schemas.microsoft.com/office/2007/relationships/hdphoto" Target="media/hdphoto2.wdp"/><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header" Target="header3.xml"/><Relationship Id="rId95" Type="http://schemas.openxmlformats.org/officeDocument/2006/relationships/hyperlink" Target="https://www.tga.gov.au" TargetMode="Externa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microsoft.com/office/2007/relationships/hdphoto" Target="media/hdphoto3.wdp"/><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footer" Target="footer4.xml"/><Relationship Id="rId105"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oter" Target="footer2.xml"/><Relationship Id="rId98"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mailto:tga.copyright@tga.gov.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header" Target="header4.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www.tga.gov.au"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hyperlink" Target="mailto:info@tga.gov.au" TargetMode="External"/><Relationship Id="rId99" Type="http://schemas.openxmlformats.org/officeDocument/2006/relationships/header" Target="header8.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header" Target="header7.xml"/><Relationship Id="rId104"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43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5DF16-63C4-4B0D-8549-763604DCA58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B70D183-F95F-45D2-B54A-91898EC1E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14</TotalTime>
  <Pages>80</Pages>
  <Words>18874</Words>
  <Characters>104944</Characters>
  <Application>Microsoft Office Word</Application>
  <DocSecurity>0</DocSecurity>
  <Lines>2186</Lines>
  <Paragraphs>1067</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Company>
  <LinksUpToDate>false</LinksUpToDate>
  <CharactersWithSpaces>122751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Pembrolizumab (rch)</dc:title>
  <dc:subject>prescription medicines</dc:subject>
  <dc:creator>Therapeutic Goods Administration</dc:creator>
  <cp:keywords>AusPARs</cp:keywords>
  <cp:lastModifiedBy>LACK, Janet</cp:lastModifiedBy>
  <cp:revision>3</cp:revision>
  <cp:lastPrinted>2017-12-15T06:33:00Z</cp:lastPrinted>
  <dcterms:created xsi:type="dcterms:W3CDTF">2018-07-05T03:54:00Z</dcterms:created>
  <dcterms:modified xsi:type="dcterms:W3CDTF">2018-07-05T04:48:00Z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b71e6ec3-d163-47b3-a05f-4488468b0970</vt:lpwstr>
  </property>
  <property fmtid="{D5CDD505-2E9C-101B-9397-08002B2CF9AE}" pid="3" name="bjSaver">
    <vt:lpwstr>lgfMk5ZYUbxnFrzApibCjrr+8haFhTgp</vt:lpwstr>
  </property>
  <property fmtid="{D5CDD505-2E9C-101B-9397-08002B2CF9AE}" pid="4"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5" name="bjDocumentLabelXML-0">
    <vt:lpwstr>nternal/label"&gt;&lt;element uid="9920fcc9-9f43-4d43-9e3e-b98a219cfd55" value="" /&gt;&lt;/sisl&gt;</vt:lpwstr>
  </property>
  <property fmtid="{D5CDD505-2E9C-101B-9397-08002B2CF9AE}" pid="6" name="bjDocumentSecurityLabel">
    <vt:lpwstr>Not Classified</vt:lpwstr>
  </property>
  <property fmtid="{D5CDD505-2E9C-101B-9397-08002B2CF9AE}" pid="7" name="_NewReviewCycle">
    <vt:lpwstr/>
  </property>
</Properties>
</file>