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7F4C442" w14:textId="77777777" w:rsidTr="00BF1190">
        <w:trPr>
          <w:trHeight w:val="1863"/>
        </w:trPr>
        <w:tc>
          <w:tcPr>
            <w:tcW w:w="3652" w:type="dxa"/>
            <w:tcBorders>
              <w:top w:val="nil"/>
              <w:left w:val="nil"/>
              <w:bottom w:val="nil"/>
              <w:right w:val="nil"/>
            </w:tcBorders>
          </w:tcPr>
          <w:p w14:paraId="07F4C441" w14:textId="3F2FBD0E" w:rsidR="008E7846" w:rsidRPr="00096AA7" w:rsidRDefault="00756E7A" w:rsidP="00756E7A">
            <w:pPr>
              <w:rPr>
                <w:rFonts w:ascii="Arial" w:hAnsi="Arial" w:cs="Arial"/>
                <w:b/>
                <w:color w:val="002C47"/>
                <w:sz w:val="36"/>
                <w:szCs w:val="36"/>
              </w:rPr>
            </w:pPr>
            <w:r>
              <w:rPr>
                <w:rFonts w:ascii="Arial" w:hAnsi="Arial" w:cs="Arial"/>
                <w:b/>
                <w:color w:val="002C47"/>
                <w:sz w:val="36"/>
                <w:szCs w:val="36"/>
              </w:rPr>
              <w:t>May</w:t>
            </w:r>
            <w:r w:rsidR="0005391E">
              <w:rPr>
                <w:rFonts w:ascii="Arial" w:hAnsi="Arial" w:cs="Arial"/>
                <w:b/>
                <w:color w:val="002C47"/>
                <w:sz w:val="36"/>
                <w:szCs w:val="36"/>
              </w:rPr>
              <w:t xml:space="preserve"> </w:t>
            </w:r>
            <w:r w:rsidR="0046205E">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7F4C444" w14:textId="77777777" w:rsidTr="0032583B">
        <w:trPr>
          <w:trHeight w:val="868"/>
        </w:trPr>
        <w:tc>
          <w:tcPr>
            <w:tcW w:w="9079" w:type="dxa"/>
          </w:tcPr>
          <w:p w14:paraId="07F4C443" w14:textId="31205927" w:rsidR="0032583B" w:rsidRPr="00A964D1" w:rsidRDefault="0032583B" w:rsidP="00B80EE6">
            <w:pPr>
              <w:pStyle w:val="Title"/>
              <w:rPr>
                <w:color w:val="FFFFFF" w:themeColor="background1"/>
              </w:rPr>
            </w:pPr>
            <w:r w:rsidRPr="00A964D1">
              <w:rPr>
                <w:color w:val="FFFFFF" w:themeColor="background1"/>
              </w:rPr>
              <w:t xml:space="preserve">Australian Public Assessment Report for </w:t>
            </w:r>
            <w:r w:rsidR="0046205E">
              <w:rPr>
                <w:color w:val="FFFFFF" w:themeColor="background1"/>
              </w:rPr>
              <w:t>Pembrolizumab (</w:t>
            </w:r>
            <w:r w:rsidR="00892F02">
              <w:rPr>
                <w:color w:val="FFFFFF" w:themeColor="background1"/>
              </w:rPr>
              <w:t>rch)</w:t>
            </w:r>
          </w:p>
        </w:tc>
      </w:tr>
      <w:tr w:rsidR="0032583B" w:rsidRPr="00B64760" w14:paraId="07F4C446" w14:textId="77777777" w:rsidTr="0032583B">
        <w:tc>
          <w:tcPr>
            <w:tcW w:w="9079" w:type="dxa"/>
          </w:tcPr>
          <w:p w14:paraId="07F4C445" w14:textId="77777777" w:rsidR="0032583B" w:rsidRPr="008E7846" w:rsidRDefault="0032583B" w:rsidP="0046205E">
            <w:pPr>
              <w:pStyle w:val="Subtitle"/>
              <w:rPr>
                <w:color w:val="FFFFFF" w:themeColor="background1"/>
              </w:rPr>
            </w:pPr>
            <w:r w:rsidRPr="008E7846">
              <w:rPr>
                <w:color w:val="FFFFFF" w:themeColor="background1"/>
              </w:rPr>
              <w:t xml:space="preserve">Proprietary Product Name: </w:t>
            </w:r>
            <w:r w:rsidR="0046205E">
              <w:rPr>
                <w:color w:val="FFFFFF" w:themeColor="background1"/>
              </w:rPr>
              <w:t>Keytruda</w:t>
            </w:r>
          </w:p>
        </w:tc>
      </w:tr>
      <w:tr w:rsidR="0032583B" w:rsidRPr="00B64760" w14:paraId="07F4C448" w14:textId="77777777" w:rsidTr="0032583B">
        <w:trPr>
          <w:trHeight w:val="486"/>
        </w:trPr>
        <w:tc>
          <w:tcPr>
            <w:tcW w:w="9079" w:type="dxa"/>
          </w:tcPr>
          <w:p w14:paraId="07F4C447" w14:textId="77777777" w:rsidR="0032583B" w:rsidRPr="008E7846" w:rsidRDefault="0032583B" w:rsidP="0046205E">
            <w:pPr>
              <w:pStyle w:val="Subtitle"/>
              <w:rPr>
                <w:color w:val="FFFFFF" w:themeColor="background1"/>
              </w:rPr>
            </w:pPr>
            <w:r w:rsidRPr="008E7846">
              <w:rPr>
                <w:color w:val="FFFFFF" w:themeColor="background1"/>
              </w:rPr>
              <w:t xml:space="preserve">Sponsor: </w:t>
            </w:r>
            <w:r w:rsidR="0046205E" w:rsidRPr="0046205E">
              <w:rPr>
                <w:color w:val="FFFFFF" w:themeColor="background1"/>
              </w:rPr>
              <w:t xml:space="preserve">Merck </w:t>
            </w:r>
            <w:r w:rsidR="00805F1B">
              <w:rPr>
                <w:color w:val="FFFFFF" w:themeColor="background1"/>
              </w:rPr>
              <w:t>Sharp &amp; Dohme Australia Pty Ltd</w:t>
            </w:r>
          </w:p>
        </w:tc>
      </w:tr>
    </w:tbl>
    <w:p w14:paraId="07F4C449" w14:textId="77777777" w:rsidR="008E7846" w:rsidRPr="0085156D" w:rsidRDefault="008E7846" w:rsidP="0085156D">
      <w:r w:rsidRPr="0085156D">
        <w:br w:type="page"/>
      </w:r>
    </w:p>
    <w:p w14:paraId="07F4C44A" w14:textId="77777777" w:rsidR="008E7846" w:rsidRPr="001F6CBA" w:rsidRDefault="008E7846" w:rsidP="008E7846">
      <w:pPr>
        <w:pStyle w:val="NonTOCHeading2"/>
      </w:pPr>
      <w:r w:rsidRPr="001F6CBA">
        <w:lastRenderedPageBreak/>
        <w:t>About the Therapeutic Goods Administration (TGA)</w:t>
      </w:r>
    </w:p>
    <w:p w14:paraId="07F4C44B" w14:textId="77777777" w:rsidR="008E7846" w:rsidRDefault="008E7846" w:rsidP="00CB0EC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7F4C44C" w14:textId="77777777" w:rsidR="008E7846" w:rsidRDefault="00C80137" w:rsidP="00CB0EC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7F4C44D" w14:textId="77777777" w:rsidR="008E7846" w:rsidRDefault="008E7846" w:rsidP="00CB0EC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7F4C44E" w14:textId="77777777" w:rsidR="008E7846" w:rsidRDefault="008E7846" w:rsidP="00CB0EC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7F4C44F" w14:textId="77777777" w:rsidR="00441C3F" w:rsidRDefault="008E7846" w:rsidP="00CB0ECA">
      <w:pPr>
        <w:pStyle w:val="ListBullet"/>
        <w:numPr>
          <w:ilvl w:val="0"/>
          <w:numId w:val="1"/>
        </w:numPr>
        <w:ind w:left="357" w:hanging="357"/>
      </w:pPr>
      <w:r>
        <w:t xml:space="preserve">To report a problem with a medicine or medical device, please see the information on </w:t>
      </w:r>
      <w:r w:rsidR="00441C3F">
        <w:t>the TGA website &lt;</w:t>
      </w:r>
      <w:hyperlink r:id="rId10" w:history="1">
        <w:r w:rsidR="00441C3F">
          <w:rPr>
            <w:rStyle w:val="Hyperlink"/>
          </w:rPr>
          <w:t>https://www.tga.gov.au</w:t>
        </w:r>
      </w:hyperlink>
      <w:r w:rsidR="00441C3F">
        <w:t>&gt;.</w:t>
      </w:r>
    </w:p>
    <w:p w14:paraId="07F4C450" w14:textId="77777777" w:rsidR="008E7846" w:rsidRDefault="008E7846" w:rsidP="00875A6B">
      <w:pPr>
        <w:pStyle w:val="NonTOCHeading2"/>
      </w:pPr>
      <w:r>
        <w:t xml:space="preserve">About </w:t>
      </w:r>
      <w:proofErr w:type="spellStart"/>
      <w:r>
        <w:t>AusPARs</w:t>
      </w:r>
      <w:proofErr w:type="spellEnd"/>
    </w:p>
    <w:p w14:paraId="07F4C451" w14:textId="77777777" w:rsidR="008E7846" w:rsidRDefault="008E7846" w:rsidP="00CB0EC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7F4C452" w14:textId="77777777" w:rsidR="008E7846" w:rsidRDefault="008E7846" w:rsidP="00CB0ECA">
      <w:pPr>
        <w:pStyle w:val="ListBullet"/>
        <w:numPr>
          <w:ilvl w:val="0"/>
          <w:numId w:val="1"/>
        </w:numPr>
        <w:ind w:left="357" w:hanging="357"/>
      </w:pPr>
      <w:proofErr w:type="spellStart"/>
      <w:r>
        <w:t>AusPARs</w:t>
      </w:r>
      <w:proofErr w:type="spellEnd"/>
      <w:r>
        <w:t xml:space="preserve"> are prepared and published by the TGA.</w:t>
      </w:r>
    </w:p>
    <w:p w14:paraId="07F4C453" w14:textId="77777777" w:rsidR="008E7846" w:rsidRDefault="008E7846" w:rsidP="00CB0ECA">
      <w:pPr>
        <w:pStyle w:val="ListBullet"/>
        <w:numPr>
          <w:ilvl w:val="0"/>
          <w:numId w:val="1"/>
        </w:numPr>
        <w:ind w:left="357" w:hanging="357"/>
      </w:pPr>
      <w:r>
        <w:t>An AusPAR is prepared for submissions that relate to new chemical entities, generic medicines, major variations and extensions of indications.</w:t>
      </w:r>
    </w:p>
    <w:p w14:paraId="07F4C454" w14:textId="77777777" w:rsidR="008E7846" w:rsidRDefault="008E7846" w:rsidP="00CB0EC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7F4C455" w14:textId="77777777" w:rsidR="00B452CE" w:rsidRDefault="008E7846" w:rsidP="00CB0ECA">
      <w:pPr>
        <w:pStyle w:val="ListBullet"/>
        <w:numPr>
          <w:ilvl w:val="0"/>
          <w:numId w:val="1"/>
        </w:numPr>
        <w:ind w:left="357" w:hanging="357"/>
      </w:pPr>
      <w:r>
        <w:t>A new AusPAR will be developed to reflect changes to indications and/or major variations to a prescription medicine subject to evaluation by the TGA.</w:t>
      </w:r>
    </w:p>
    <w:p w14:paraId="07F4C456" w14:textId="77777777" w:rsidR="00924482" w:rsidRPr="00DF1D7F" w:rsidRDefault="00924482" w:rsidP="00F54B65">
      <w:pPr>
        <w:pStyle w:val="LegalSubheading"/>
        <w:spacing w:before="3120"/>
      </w:pPr>
      <w:r w:rsidRPr="00DF1D7F">
        <w:t>Copyright</w:t>
      </w:r>
    </w:p>
    <w:p w14:paraId="07F4C457" w14:textId="77777777" w:rsidR="00924482" w:rsidRDefault="00924482" w:rsidP="00924482">
      <w:pPr>
        <w:pStyle w:val="LegalCopy"/>
      </w:pPr>
      <w:r w:rsidRPr="00191B3B">
        <w:rPr>
          <w:rFonts w:cs="Arial"/>
          <w:lang w:val="en-GB"/>
        </w:rPr>
        <w:t>© Comm</w:t>
      </w:r>
      <w:r>
        <w:rPr>
          <w:rFonts w:cs="Arial"/>
          <w:lang w:val="en-GB"/>
        </w:rPr>
        <w:t>onwealth of Australia 201</w:t>
      </w:r>
      <w:r w:rsidR="0046205E">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07F4C458"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7F4C459" w14:textId="77777777" w:rsidR="0089635C" w:rsidRPr="0089635C" w:rsidRDefault="0089635C" w:rsidP="0010788A">
          <w:pPr>
            <w:pStyle w:val="Contents"/>
          </w:pPr>
          <w:r w:rsidRPr="0010788A">
            <w:t>Contents</w:t>
          </w:r>
        </w:p>
        <w:p w14:paraId="47D582E0" w14:textId="77777777" w:rsidR="00803D0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3458909" w:history="1">
            <w:r w:rsidR="00803D07" w:rsidRPr="00476992">
              <w:rPr>
                <w:rStyle w:val="Hyperlink"/>
                <w:noProof/>
              </w:rPr>
              <w:t>Common abbreviations</w:t>
            </w:r>
            <w:r w:rsidR="00803D07">
              <w:rPr>
                <w:noProof/>
                <w:webHidden/>
              </w:rPr>
              <w:tab/>
            </w:r>
            <w:r w:rsidR="00803D07">
              <w:rPr>
                <w:noProof/>
                <w:webHidden/>
              </w:rPr>
              <w:fldChar w:fldCharType="begin"/>
            </w:r>
            <w:r w:rsidR="00803D07">
              <w:rPr>
                <w:noProof/>
                <w:webHidden/>
              </w:rPr>
              <w:instrText xml:space="preserve"> PAGEREF _Toc513458909 \h </w:instrText>
            </w:r>
            <w:r w:rsidR="00803D07">
              <w:rPr>
                <w:noProof/>
                <w:webHidden/>
              </w:rPr>
            </w:r>
            <w:r w:rsidR="00803D07">
              <w:rPr>
                <w:noProof/>
                <w:webHidden/>
              </w:rPr>
              <w:fldChar w:fldCharType="separate"/>
            </w:r>
            <w:r w:rsidR="00803D07">
              <w:rPr>
                <w:noProof/>
                <w:webHidden/>
              </w:rPr>
              <w:t>5</w:t>
            </w:r>
            <w:r w:rsidR="00803D07">
              <w:rPr>
                <w:noProof/>
                <w:webHidden/>
              </w:rPr>
              <w:fldChar w:fldCharType="end"/>
            </w:r>
          </w:hyperlink>
        </w:p>
        <w:p w14:paraId="650AB745" w14:textId="77777777" w:rsidR="00803D07" w:rsidRDefault="00F0667C">
          <w:pPr>
            <w:pStyle w:val="TOC2"/>
            <w:rPr>
              <w:rFonts w:asciiTheme="minorHAnsi" w:eastAsiaTheme="minorEastAsia" w:hAnsiTheme="minorHAnsi" w:cstheme="minorBidi"/>
              <w:b w:val="0"/>
              <w:noProof/>
              <w:sz w:val="22"/>
              <w:lang w:eastAsia="en-AU"/>
            </w:rPr>
          </w:pPr>
          <w:hyperlink w:anchor="_Toc513458910" w:history="1">
            <w:r w:rsidR="00803D07" w:rsidRPr="00476992">
              <w:rPr>
                <w:rStyle w:val="Hyperlink"/>
                <w:noProof/>
              </w:rPr>
              <w:t>I. Introduction to product submission</w:t>
            </w:r>
            <w:r w:rsidR="00803D07">
              <w:rPr>
                <w:noProof/>
                <w:webHidden/>
              </w:rPr>
              <w:tab/>
            </w:r>
            <w:r w:rsidR="00803D07">
              <w:rPr>
                <w:noProof/>
                <w:webHidden/>
              </w:rPr>
              <w:fldChar w:fldCharType="begin"/>
            </w:r>
            <w:r w:rsidR="00803D07">
              <w:rPr>
                <w:noProof/>
                <w:webHidden/>
              </w:rPr>
              <w:instrText xml:space="preserve"> PAGEREF _Toc513458910 \h </w:instrText>
            </w:r>
            <w:r w:rsidR="00803D07">
              <w:rPr>
                <w:noProof/>
                <w:webHidden/>
              </w:rPr>
            </w:r>
            <w:r w:rsidR="00803D07">
              <w:rPr>
                <w:noProof/>
                <w:webHidden/>
              </w:rPr>
              <w:fldChar w:fldCharType="separate"/>
            </w:r>
            <w:r w:rsidR="00803D07">
              <w:rPr>
                <w:noProof/>
                <w:webHidden/>
              </w:rPr>
              <w:t>8</w:t>
            </w:r>
            <w:r w:rsidR="00803D07">
              <w:rPr>
                <w:noProof/>
                <w:webHidden/>
              </w:rPr>
              <w:fldChar w:fldCharType="end"/>
            </w:r>
          </w:hyperlink>
        </w:p>
        <w:p w14:paraId="6725C17C" w14:textId="77777777" w:rsidR="00803D07" w:rsidRDefault="00F0667C">
          <w:pPr>
            <w:pStyle w:val="TOC3"/>
            <w:rPr>
              <w:rFonts w:asciiTheme="minorHAnsi" w:eastAsiaTheme="minorEastAsia" w:hAnsiTheme="minorHAnsi" w:cstheme="minorBidi"/>
              <w:noProof/>
              <w:lang w:eastAsia="en-AU"/>
            </w:rPr>
          </w:pPr>
          <w:hyperlink w:anchor="_Toc513458911" w:history="1">
            <w:r w:rsidR="00803D07" w:rsidRPr="00476992">
              <w:rPr>
                <w:rStyle w:val="Hyperlink"/>
                <w:noProof/>
                <w:lang w:eastAsia="en-AU"/>
              </w:rPr>
              <w:t>Submission details</w:t>
            </w:r>
            <w:r w:rsidR="00803D07">
              <w:rPr>
                <w:noProof/>
                <w:webHidden/>
              </w:rPr>
              <w:tab/>
            </w:r>
            <w:r w:rsidR="00803D07">
              <w:rPr>
                <w:noProof/>
                <w:webHidden/>
              </w:rPr>
              <w:fldChar w:fldCharType="begin"/>
            </w:r>
            <w:r w:rsidR="00803D07">
              <w:rPr>
                <w:noProof/>
                <w:webHidden/>
              </w:rPr>
              <w:instrText xml:space="preserve"> PAGEREF _Toc513458911 \h </w:instrText>
            </w:r>
            <w:r w:rsidR="00803D07">
              <w:rPr>
                <w:noProof/>
                <w:webHidden/>
              </w:rPr>
            </w:r>
            <w:r w:rsidR="00803D07">
              <w:rPr>
                <w:noProof/>
                <w:webHidden/>
              </w:rPr>
              <w:fldChar w:fldCharType="separate"/>
            </w:r>
            <w:r w:rsidR="00803D07">
              <w:rPr>
                <w:noProof/>
                <w:webHidden/>
              </w:rPr>
              <w:t>8</w:t>
            </w:r>
            <w:r w:rsidR="00803D07">
              <w:rPr>
                <w:noProof/>
                <w:webHidden/>
              </w:rPr>
              <w:fldChar w:fldCharType="end"/>
            </w:r>
          </w:hyperlink>
        </w:p>
        <w:p w14:paraId="2E7C8FB5" w14:textId="77777777" w:rsidR="00803D07" w:rsidRDefault="00F0667C">
          <w:pPr>
            <w:pStyle w:val="TOC3"/>
            <w:rPr>
              <w:rFonts w:asciiTheme="minorHAnsi" w:eastAsiaTheme="minorEastAsia" w:hAnsiTheme="minorHAnsi" w:cstheme="minorBidi"/>
              <w:noProof/>
              <w:lang w:eastAsia="en-AU"/>
            </w:rPr>
          </w:pPr>
          <w:hyperlink w:anchor="_Toc513458912" w:history="1">
            <w:r w:rsidR="00803D07" w:rsidRPr="00476992">
              <w:rPr>
                <w:rStyle w:val="Hyperlink"/>
                <w:noProof/>
              </w:rPr>
              <w:t>Product background</w:t>
            </w:r>
            <w:r w:rsidR="00803D07">
              <w:rPr>
                <w:noProof/>
                <w:webHidden/>
              </w:rPr>
              <w:tab/>
            </w:r>
            <w:r w:rsidR="00803D07">
              <w:rPr>
                <w:noProof/>
                <w:webHidden/>
              </w:rPr>
              <w:fldChar w:fldCharType="begin"/>
            </w:r>
            <w:r w:rsidR="00803D07">
              <w:rPr>
                <w:noProof/>
                <w:webHidden/>
              </w:rPr>
              <w:instrText xml:space="preserve"> PAGEREF _Toc513458912 \h </w:instrText>
            </w:r>
            <w:r w:rsidR="00803D07">
              <w:rPr>
                <w:noProof/>
                <w:webHidden/>
              </w:rPr>
            </w:r>
            <w:r w:rsidR="00803D07">
              <w:rPr>
                <w:noProof/>
                <w:webHidden/>
              </w:rPr>
              <w:fldChar w:fldCharType="separate"/>
            </w:r>
            <w:r w:rsidR="00803D07">
              <w:rPr>
                <w:noProof/>
                <w:webHidden/>
              </w:rPr>
              <w:t>9</w:t>
            </w:r>
            <w:r w:rsidR="00803D07">
              <w:rPr>
                <w:noProof/>
                <w:webHidden/>
              </w:rPr>
              <w:fldChar w:fldCharType="end"/>
            </w:r>
          </w:hyperlink>
        </w:p>
        <w:p w14:paraId="7BA1EE8A" w14:textId="77777777" w:rsidR="00803D07" w:rsidRDefault="00F0667C">
          <w:pPr>
            <w:pStyle w:val="TOC3"/>
            <w:rPr>
              <w:rFonts w:asciiTheme="minorHAnsi" w:eastAsiaTheme="minorEastAsia" w:hAnsiTheme="minorHAnsi" w:cstheme="minorBidi"/>
              <w:noProof/>
              <w:lang w:eastAsia="en-AU"/>
            </w:rPr>
          </w:pPr>
          <w:hyperlink w:anchor="_Toc513458913" w:history="1">
            <w:r w:rsidR="00803D07" w:rsidRPr="00476992">
              <w:rPr>
                <w:rStyle w:val="Hyperlink"/>
                <w:noProof/>
              </w:rPr>
              <w:t>Regulatory status</w:t>
            </w:r>
            <w:r w:rsidR="00803D07">
              <w:rPr>
                <w:noProof/>
                <w:webHidden/>
              </w:rPr>
              <w:tab/>
            </w:r>
            <w:r w:rsidR="00803D07">
              <w:rPr>
                <w:noProof/>
                <w:webHidden/>
              </w:rPr>
              <w:fldChar w:fldCharType="begin"/>
            </w:r>
            <w:r w:rsidR="00803D07">
              <w:rPr>
                <w:noProof/>
                <w:webHidden/>
              </w:rPr>
              <w:instrText xml:space="preserve"> PAGEREF _Toc513458913 \h </w:instrText>
            </w:r>
            <w:r w:rsidR="00803D07">
              <w:rPr>
                <w:noProof/>
                <w:webHidden/>
              </w:rPr>
            </w:r>
            <w:r w:rsidR="00803D07">
              <w:rPr>
                <w:noProof/>
                <w:webHidden/>
              </w:rPr>
              <w:fldChar w:fldCharType="separate"/>
            </w:r>
            <w:r w:rsidR="00803D07">
              <w:rPr>
                <w:noProof/>
                <w:webHidden/>
              </w:rPr>
              <w:t>10</w:t>
            </w:r>
            <w:r w:rsidR="00803D07">
              <w:rPr>
                <w:noProof/>
                <w:webHidden/>
              </w:rPr>
              <w:fldChar w:fldCharType="end"/>
            </w:r>
          </w:hyperlink>
        </w:p>
        <w:p w14:paraId="0E491188" w14:textId="77777777" w:rsidR="00803D07" w:rsidRDefault="00F0667C">
          <w:pPr>
            <w:pStyle w:val="TOC3"/>
            <w:rPr>
              <w:rFonts w:asciiTheme="minorHAnsi" w:eastAsiaTheme="minorEastAsia" w:hAnsiTheme="minorHAnsi" w:cstheme="minorBidi"/>
              <w:noProof/>
              <w:lang w:eastAsia="en-AU"/>
            </w:rPr>
          </w:pPr>
          <w:hyperlink w:anchor="_Toc513458914" w:history="1">
            <w:r w:rsidR="00803D07" w:rsidRPr="00476992">
              <w:rPr>
                <w:rStyle w:val="Hyperlink"/>
                <w:noProof/>
              </w:rPr>
              <w:t>Product Information</w:t>
            </w:r>
            <w:r w:rsidR="00803D07">
              <w:rPr>
                <w:noProof/>
                <w:webHidden/>
              </w:rPr>
              <w:tab/>
            </w:r>
            <w:r w:rsidR="00803D07">
              <w:rPr>
                <w:noProof/>
                <w:webHidden/>
              </w:rPr>
              <w:fldChar w:fldCharType="begin"/>
            </w:r>
            <w:r w:rsidR="00803D07">
              <w:rPr>
                <w:noProof/>
                <w:webHidden/>
              </w:rPr>
              <w:instrText xml:space="preserve"> PAGEREF _Toc513458914 \h </w:instrText>
            </w:r>
            <w:r w:rsidR="00803D07">
              <w:rPr>
                <w:noProof/>
                <w:webHidden/>
              </w:rPr>
            </w:r>
            <w:r w:rsidR="00803D07">
              <w:rPr>
                <w:noProof/>
                <w:webHidden/>
              </w:rPr>
              <w:fldChar w:fldCharType="separate"/>
            </w:r>
            <w:r w:rsidR="00803D07">
              <w:rPr>
                <w:noProof/>
                <w:webHidden/>
              </w:rPr>
              <w:t>11</w:t>
            </w:r>
            <w:r w:rsidR="00803D07">
              <w:rPr>
                <w:noProof/>
                <w:webHidden/>
              </w:rPr>
              <w:fldChar w:fldCharType="end"/>
            </w:r>
          </w:hyperlink>
        </w:p>
        <w:p w14:paraId="24324960" w14:textId="77777777" w:rsidR="00803D07" w:rsidRDefault="00F0667C">
          <w:pPr>
            <w:pStyle w:val="TOC2"/>
            <w:rPr>
              <w:rFonts w:asciiTheme="minorHAnsi" w:eastAsiaTheme="minorEastAsia" w:hAnsiTheme="minorHAnsi" w:cstheme="minorBidi"/>
              <w:b w:val="0"/>
              <w:noProof/>
              <w:sz w:val="22"/>
              <w:lang w:eastAsia="en-AU"/>
            </w:rPr>
          </w:pPr>
          <w:hyperlink w:anchor="_Toc513458915" w:history="1">
            <w:r w:rsidR="00803D07" w:rsidRPr="00476992">
              <w:rPr>
                <w:rStyle w:val="Hyperlink"/>
                <w:noProof/>
              </w:rPr>
              <w:t>II. Submission timeline</w:t>
            </w:r>
            <w:r w:rsidR="00803D07">
              <w:rPr>
                <w:noProof/>
                <w:webHidden/>
              </w:rPr>
              <w:tab/>
            </w:r>
            <w:r w:rsidR="00803D07">
              <w:rPr>
                <w:noProof/>
                <w:webHidden/>
              </w:rPr>
              <w:fldChar w:fldCharType="begin"/>
            </w:r>
            <w:r w:rsidR="00803D07">
              <w:rPr>
                <w:noProof/>
                <w:webHidden/>
              </w:rPr>
              <w:instrText xml:space="preserve"> PAGEREF _Toc513458915 \h </w:instrText>
            </w:r>
            <w:r w:rsidR="00803D07">
              <w:rPr>
                <w:noProof/>
                <w:webHidden/>
              </w:rPr>
            </w:r>
            <w:r w:rsidR="00803D07">
              <w:rPr>
                <w:noProof/>
                <w:webHidden/>
              </w:rPr>
              <w:fldChar w:fldCharType="separate"/>
            </w:r>
            <w:r w:rsidR="00803D07">
              <w:rPr>
                <w:noProof/>
                <w:webHidden/>
              </w:rPr>
              <w:t>12</w:t>
            </w:r>
            <w:r w:rsidR="00803D07">
              <w:rPr>
                <w:noProof/>
                <w:webHidden/>
              </w:rPr>
              <w:fldChar w:fldCharType="end"/>
            </w:r>
          </w:hyperlink>
        </w:p>
        <w:p w14:paraId="3835BFD7" w14:textId="77777777" w:rsidR="00803D07" w:rsidRDefault="00F0667C">
          <w:pPr>
            <w:pStyle w:val="TOC2"/>
            <w:rPr>
              <w:rFonts w:asciiTheme="minorHAnsi" w:eastAsiaTheme="minorEastAsia" w:hAnsiTheme="minorHAnsi" w:cstheme="minorBidi"/>
              <w:b w:val="0"/>
              <w:noProof/>
              <w:sz w:val="22"/>
              <w:lang w:eastAsia="en-AU"/>
            </w:rPr>
          </w:pPr>
          <w:hyperlink w:anchor="_Toc513458916" w:history="1">
            <w:r w:rsidR="00803D07" w:rsidRPr="00476992">
              <w:rPr>
                <w:rStyle w:val="Hyperlink"/>
                <w:noProof/>
              </w:rPr>
              <w:t>III. Quality findings</w:t>
            </w:r>
            <w:r w:rsidR="00803D07">
              <w:rPr>
                <w:noProof/>
                <w:webHidden/>
              </w:rPr>
              <w:tab/>
            </w:r>
            <w:r w:rsidR="00803D07">
              <w:rPr>
                <w:noProof/>
                <w:webHidden/>
              </w:rPr>
              <w:fldChar w:fldCharType="begin"/>
            </w:r>
            <w:r w:rsidR="00803D07">
              <w:rPr>
                <w:noProof/>
                <w:webHidden/>
              </w:rPr>
              <w:instrText xml:space="preserve"> PAGEREF _Toc513458916 \h </w:instrText>
            </w:r>
            <w:r w:rsidR="00803D07">
              <w:rPr>
                <w:noProof/>
                <w:webHidden/>
              </w:rPr>
            </w:r>
            <w:r w:rsidR="00803D07">
              <w:rPr>
                <w:noProof/>
                <w:webHidden/>
              </w:rPr>
              <w:fldChar w:fldCharType="separate"/>
            </w:r>
            <w:r w:rsidR="00803D07">
              <w:rPr>
                <w:noProof/>
                <w:webHidden/>
              </w:rPr>
              <w:t>13</w:t>
            </w:r>
            <w:r w:rsidR="00803D07">
              <w:rPr>
                <w:noProof/>
                <w:webHidden/>
              </w:rPr>
              <w:fldChar w:fldCharType="end"/>
            </w:r>
          </w:hyperlink>
        </w:p>
        <w:p w14:paraId="010D7E64" w14:textId="77777777" w:rsidR="00803D07" w:rsidRDefault="00F0667C">
          <w:pPr>
            <w:pStyle w:val="TOC3"/>
            <w:rPr>
              <w:rFonts w:asciiTheme="minorHAnsi" w:eastAsiaTheme="minorEastAsia" w:hAnsiTheme="minorHAnsi" w:cstheme="minorBidi"/>
              <w:noProof/>
              <w:lang w:eastAsia="en-AU"/>
            </w:rPr>
          </w:pPr>
          <w:hyperlink w:anchor="_Toc513458917" w:history="1">
            <w:r w:rsidR="00803D07" w:rsidRPr="00476992">
              <w:rPr>
                <w:rStyle w:val="Hyperlink"/>
                <w:noProof/>
              </w:rPr>
              <w:t>Introduction</w:t>
            </w:r>
            <w:r w:rsidR="00803D07">
              <w:rPr>
                <w:noProof/>
                <w:webHidden/>
              </w:rPr>
              <w:tab/>
            </w:r>
            <w:r w:rsidR="00803D07">
              <w:rPr>
                <w:noProof/>
                <w:webHidden/>
              </w:rPr>
              <w:fldChar w:fldCharType="begin"/>
            </w:r>
            <w:r w:rsidR="00803D07">
              <w:rPr>
                <w:noProof/>
                <w:webHidden/>
              </w:rPr>
              <w:instrText xml:space="preserve"> PAGEREF _Toc513458917 \h </w:instrText>
            </w:r>
            <w:r w:rsidR="00803D07">
              <w:rPr>
                <w:noProof/>
                <w:webHidden/>
              </w:rPr>
            </w:r>
            <w:r w:rsidR="00803D07">
              <w:rPr>
                <w:noProof/>
                <w:webHidden/>
              </w:rPr>
              <w:fldChar w:fldCharType="separate"/>
            </w:r>
            <w:r w:rsidR="00803D07">
              <w:rPr>
                <w:noProof/>
                <w:webHidden/>
              </w:rPr>
              <w:t>13</w:t>
            </w:r>
            <w:r w:rsidR="00803D07">
              <w:rPr>
                <w:noProof/>
                <w:webHidden/>
              </w:rPr>
              <w:fldChar w:fldCharType="end"/>
            </w:r>
          </w:hyperlink>
        </w:p>
        <w:p w14:paraId="7DB6694A" w14:textId="77777777" w:rsidR="00803D07" w:rsidRDefault="00F0667C">
          <w:pPr>
            <w:pStyle w:val="TOC2"/>
            <w:rPr>
              <w:rFonts w:asciiTheme="minorHAnsi" w:eastAsiaTheme="minorEastAsia" w:hAnsiTheme="minorHAnsi" w:cstheme="minorBidi"/>
              <w:b w:val="0"/>
              <w:noProof/>
              <w:sz w:val="22"/>
              <w:lang w:eastAsia="en-AU"/>
            </w:rPr>
          </w:pPr>
          <w:hyperlink w:anchor="_Toc513458918" w:history="1">
            <w:r w:rsidR="00803D07" w:rsidRPr="00476992">
              <w:rPr>
                <w:rStyle w:val="Hyperlink"/>
                <w:noProof/>
              </w:rPr>
              <w:t>IV. Nonclinical findings</w:t>
            </w:r>
            <w:r w:rsidR="00803D07">
              <w:rPr>
                <w:noProof/>
                <w:webHidden/>
              </w:rPr>
              <w:tab/>
            </w:r>
            <w:r w:rsidR="00803D07">
              <w:rPr>
                <w:noProof/>
                <w:webHidden/>
              </w:rPr>
              <w:fldChar w:fldCharType="begin"/>
            </w:r>
            <w:r w:rsidR="00803D07">
              <w:rPr>
                <w:noProof/>
                <w:webHidden/>
              </w:rPr>
              <w:instrText xml:space="preserve"> PAGEREF _Toc513458918 \h </w:instrText>
            </w:r>
            <w:r w:rsidR="00803D07">
              <w:rPr>
                <w:noProof/>
                <w:webHidden/>
              </w:rPr>
            </w:r>
            <w:r w:rsidR="00803D07">
              <w:rPr>
                <w:noProof/>
                <w:webHidden/>
              </w:rPr>
              <w:fldChar w:fldCharType="separate"/>
            </w:r>
            <w:r w:rsidR="00803D07">
              <w:rPr>
                <w:noProof/>
                <w:webHidden/>
              </w:rPr>
              <w:t>13</w:t>
            </w:r>
            <w:r w:rsidR="00803D07">
              <w:rPr>
                <w:noProof/>
                <w:webHidden/>
              </w:rPr>
              <w:fldChar w:fldCharType="end"/>
            </w:r>
          </w:hyperlink>
        </w:p>
        <w:p w14:paraId="59F2271B" w14:textId="77777777" w:rsidR="00803D07" w:rsidRDefault="00F0667C">
          <w:pPr>
            <w:pStyle w:val="TOC2"/>
            <w:rPr>
              <w:rFonts w:asciiTheme="minorHAnsi" w:eastAsiaTheme="minorEastAsia" w:hAnsiTheme="minorHAnsi" w:cstheme="minorBidi"/>
              <w:b w:val="0"/>
              <w:noProof/>
              <w:sz w:val="22"/>
              <w:lang w:eastAsia="en-AU"/>
            </w:rPr>
          </w:pPr>
          <w:hyperlink w:anchor="_Toc513458919" w:history="1">
            <w:r w:rsidR="00803D07" w:rsidRPr="00476992">
              <w:rPr>
                <w:rStyle w:val="Hyperlink"/>
                <w:noProof/>
              </w:rPr>
              <w:t>Va. Clinical findings for Submission PM-2015-04712-1-4</w:t>
            </w:r>
            <w:r w:rsidR="00803D07">
              <w:rPr>
                <w:noProof/>
                <w:webHidden/>
              </w:rPr>
              <w:tab/>
            </w:r>
            <w:r w:rsidR="00803D07">
              <w:rPr>
                <w:noProof/>
                <w:webHidden/>
              </w:rPr>
              <w:fldChar w:fldCharType="begin"/>
            </w:r>
            <w:r w:rsidR="00803D07">
              <w:rPr>
                <w:noProof/>
                <w:webHidden/>
              </w:rPr>
              <w:instrText xml:space="preserve"> PAGEREF _Toc513458919 \h </w:instrText>
            </w:r>
            <w:r w:rsidR="00803D07">
              <w:rPr>
                <w:noProof/>
                <w:webHidden/>
              </w:rPr>
            </w:r>
            <w:r w:rsidR="00803D07">
              <w:rPr>
                <w:noProof/>
                <w:webHidden/>
              </w:rPr>
              <w:fldChar w:fldCharType="separate"/>
            </w:r>
            <w:r w:rsidR="00803D07">
              <w:rPr>
                <w:noProof/>
                <w:webHidden/>
              </w:rPr>
              <w:t>13</w:t>
            </w:r>
            <w:r w:rsidR="00803D07">
              <w:rPr>
                <w:noProof/>
                <w:webHidden/>
              </w:rPr>
              <w:fldChar w:fldCharType="end"/>
            </w:r>
          </w:hyperlink>
        </w:p>
        <w:p w14:paraId="39D31957" w14:textId="77777777" w:rsidR="00803D07" w:rsidRDefault="00F0667C">
          <w:pPr>
            <w:pStyle w:val="TOC3"/>
            <w:rPr>
              <w:rFonts w:asciiTheme="minorHAnsi" w:eastAsiaTheme="minorEastAsia" w:hAnsiTheme="minorHAnsi" w:cstheme="minorBidi"/>
              <w:noProof/>
              <w:lang w:eastAsia="en-AU"/>
            </w:rPr>
          </w:pPr>
          <w:hyperlink w:anchor="_Toc513458920" w:history="1">
            <w:r w:rsidR="00803D07" w:rsidRPr="00476992">
              <w:rPr>
                <w:rStyle w:val="Hyperlink"/>
                <w:noProof/>
              </w:rPr>
              <w:t>Introduction</w:t>
            </w:r>
            <w:r w:rsidR="00803D07">
              <w:rPr>
                <w:noProof/>
                <w:webHidden/>
              </w:rPr>
              <w:tab/>
            </w:r>
            <w:r w:rsidR="00803D07">
              <w:rPr>
                <w:noProof/>
                <w:webHidden/>
              </w:rPr>
              <w:fldChar w:fldCharType="begin"/>
            </w:r>
            <w:r w:rsidR="00803D07">
              <w:rPr>
                <w:noProof/>
                <w:webHidden/>
              </w:rPr>
              <w:instrText xml:space="preserve"> PAGEREF _Toc513458920 \h </w:instrText>
            </w:r>
            <w:r w:rsidR="00803D07">
              <w:rPr>
                <w:noProof/>
                <w:webHidden/>
              </w:rPr>
            </w:r>
            <w:r w:rsidR="00803D07">
              <w:rPr>
                <w:noProof/>
                <w:webHidden/>
              </w:rPr>
              <w:fldChar w:fldCharType="separate"/>
            </w:r>
            <w:r w:rsidR="00803D07">
              <w:rPr>
                <w:noProof/>
                <w:webHidden/>
              </w:rPr>
              <w:t>13</w:t>
            </w:r>
            <w:r w:rsidR="00803D07">
              <w:rPr>
                <w:noProof/>
                <w:webHidden/>
              </w:rPr>
              <w:fldChar w:fldCharType="end"/>
            </w:r>
          </w:hyperlink>
        </w:p>
        <w:p w14:paraId="727FF2F9" w14:textId="77777777" w:rsidR="00803D07" w:rsidRDefault="00F0667C">
          <w:pPr>
            <w:pStyle w:val="TOC3"/>
            <w:rPr>
              <w:rFonts w:asciiTheme="minorHAnsi" w:eastAsiaTheme="minorEastAsia" w:hAnsiTheme="minorHAnsi" w:cstheme="minorBidi"/>
              <w:noProof/>
              <w:lang w:eastAsia="en-AU"/>
            </w:rPr>
          </w:pPr>
          <w:hyperlink w:anchor="_Toc513458921" w:history="1">
            <w:r w:rsidR="00803D07" w:rsidRPr="00476992">
              <w:rPr>
                <w:rStyle w:val="Hyperlink"/>
                <w:noProof/>
              </w:rPr>
              <w:t>Pharmacokinetics</w:t>
            </w:r>
            <w:r w:rsidR="00803D07">
              <w:rPr>
                <w:noProof/>
                <w:webHidden/>
              </w:rPr>
              <w:tab/>
            </w:r>
            <w:r w:rsidR="00803D07">
              <w:rPr>
                <w:noProof/>
                <w:webHidden/>
              </w:rPr>
              <w:fldChar w:fldCharType="begin"/>
            </w:r>
            <w:r w:rsidR="00803D07">
              <w:rPr>
                <w:noProof/>
                <w:webHidden/>
              </w:rPr>
              <w:instrText xml:space="preserve"> PAGEREF _Toc513458921 \h </w:instrText>
            </w:r>
            <w:r w:rsidR="00803D07">
              <w:rPr>
                <w:noProof/>
                <w:webHidden/>
              </w:rPr>
            </w:r>
            <w:r w:rsidR="00803D07">
              <w:rPr>
                <w:noProof/>
                <w:webHidden/>
              </w:rPr>
              <w:fldChar w:fldCharType="separate"/>
            </w:r>
            <w:r w:rsidR="00803D07">
              <w:rPr>
                <w:noProof/>
                <w:webHidden/>
              </w:rPr>
              <w:t>15</w:t>
            </w:r>
            <w:r w:rsidR="00803D07">
              <w:rPr>
                <w:noProof/>
                <w:webHidden/>
              </w:rPr>
              <w:fldChar w:fldCharType="end"/>
            </w:r>
          </w:hyperlink>
        </w:p>
        <w:p w14:paraId="31992887" w14:textId="77777777" w:rsidR="00803D07" w:rsidRDefault="00F0667C">
          <w:pPr>
            <w:pStyle w:val="TOC3"/>
            <w:rPr>
              <w:rFonts w:asciiTheme="minorHAnsi" w:eastAsiaTheme="minorEastAsia" w:hAnsiTheme="minorHAnsi" w:cstheme="minorBidi"/>
              <w:noProof/>
              <w:lang w:eastAsia="en-AU"/>
            </w:rPr>
          </w:pPr>
          <w:hyperlink w:anchor="_Toc513458922" w:history="1">
            <w:r w:rsidR="00803D07" w:rsidRPr="00476992">
              <w:rPr>
                <w:rStyle w:val="Hyperlink"/>
                <w:noProof/>
              </w:rPr>
              <w:t>Pharmacodynamics</w:t>
            </w:r>
            <w:r w:rsidR="00803D07">
              <w:rPr>
                <w:noProof/>
                <w:webHidden/>
              </w:rPr>
              <w:tab/>
            </w:r>
            <w:r w:rsidR="00803D07">
              <w:rPr>
                <w:noProof/>
                <w:webHidden/>
              </w:rPr>
              <w:fldChar w:fldCharType="begin"/>
            </w:r>
            <w:r w:rsidR="00803D07">
              <w:rPr>
                <w:noProof/>
                <w:webHidden/>
              </w:rPr>
              <w:instrText xml:space="preserve"> PAGEREF _Toc513458922 \h </w:instrText>
            </w:r>
            <w:r w:rsidR="00803D07">
              <w:rPr>
                <w:noProof/>
                <w:webHidden/>
              </w:rPr>
            </w:r>
            <w:r w:rsidR="00803D07">
              <w:rPr>
                <w:noProof/>
                <w:webHidden/>
              </w:rPr>
              <w:fldChar w:fldCharType="separate"/>
            </w:r>
            <w:r w:rsidR="00803D07">
              <w:rPr>
                <w:noProof/>
                <w:webHidden/>
              </w:rPr>
              <w:t>15</w:t>
            </w:r>
            <w:r w:rsidR="00803D07">
              <w:rPr>
                <w:noProof/>
                <w:webHidden/>
              </w:rPr>
              <w:fldChar w:fldCharType="end"/>
            </w:r>
          </w:hyperlink>
        </w:p>
        <w:p w14:paraId="5BB49670" w14:textId="77777777" w:rsidR="00803D07" w:rsidRDefault="00F0667C">
          <w:pPr>
            <w:pStyle w:val="TOC3"/>
            <w:rPr>
              <w:rFonts w:asciiTheme="minorHAnsi" w:eastAsiaTheme="minorEastAsia" w:hAnsiTheme="minorHAnsi" w:cstheme="minorBidi"/>
              <w:noProof/>
              <w:lang w:eastAsia="en-AU"/>
            </w:rPr>
          </w:pPr>
          <w:hyperlink w:anchor="_Toc513458923" w:history="1">
            <w:r w:rsidR="00803D07" w:rsidRPr="00476992">
              <w:rPr>
                <w:rStyle w:val="Hyperlink"/>
                <w:noProof/>
              </w:rPr>
              <w:t>Dosage selection for the pivotal studies</w:t>
            </w:r>
            <w:r w:rsidR="00803D07">
              <w:rPr>
                <w:noProof/>
                <w:webHidden/>
              </w:rPr>
              <w:tab/>
            </w:r>
            <w:r w:rsidR="00803D07">
              <w:rPr>
                <w:noProof/>
                <w:webHidden/>
              </w:rPr>
              <w:fldChar w:fldCharType="begin"/>
            </w:r>
            <w:r w:rsidR="00803D07">
              <w:rPr>
                <w:noProof/>
                <w:webHidden/>
              </w:rPr>
              <w:instrText xml:space="preserve"> PAGEREF _Toc513458923 \h </w:instrText>
            </w:r>
            <w:r w:rsidR="00803D07">
              <w:rPr>
                <w:noProof/>
                <w:webHidden/>
              </w:rPr>
            </w:r>
            <w:r w:rsidR="00803D07">
              <w:rPr>
                <w:noProof/>
                <w:webHidden/>
              </w:rPr>
              <w:fldChar w:fldCharType="separate"/>
            </w:r>
            <w:r w:rsidR="00803D07">
              <w:rPr>
                <w:noProof/>
                <w:webHidden/>
              </w:rPr>
              <w:t>16</w:t>
            </w:r>
            <w:r w:rsidR="00803D07">
              <w:rPr>
                <w:noProof/>
                <w:webHidden/>
              </w:rPr>
              <w:fldChar w:fldCharType="end"/>
            </w:r>
          </w:hyperlink>
        </w:p>
        <w:p w14:paraId="39FC26E5" w14:textId="77777777" w:rsidR="00803D07" w:rsidRDefault="00F0667C">
          <w:pPr>
            <w:pStyle w:val="TOC3"/>
            <w:rPr>
              <w:rFonts w:asciiTheme="minorHAnsi" w:eastAsiaTheme="minorEastAsia" w:hAnsiTheme="minorHAnsi" w:cstheme="minorBidi"/>
              <w:noProof/>
              <w:lang w:eastAsia="en-AU"/>
            </w:rPr>
          </w:pPr>
          <w:hyperlink w:anchor="_Toc513458924" w:history="1">
            <w:r w:rsidR="00803D07" w:rsidRPr="00476992">
              <w:rPr>
                <w:rStyle w:val="Hyperlink"/>
                <w:noProof/>
              </w:rPr>
              <w:t>Efficacy</w:t>
            </w:r>
            <w:r w:rsidR="00803D07">
              <w:rPr>
                <w:noProof/>
                <w:webHidden/>
              </w:rPr>
              <w:tab/>
            </w:r>
            <w:r w:rsidR="00803D07">
              <w:rPr>
                <w:noProof/>
                <w:webHidden/>
              </w:rPr>
              <w:fldChar w:fldCharType="begin"/>
            </w:r>
            <w:r w:rsidR="00803D07">
              <w:rPr>
                <w:noProof/>
                <w:webHidden/>
              </w:rPr>
              <w:instrText xml:space="preserve"> PAGEREF _Toc513458924 \h </w:instrText>
            </w:r>
            <w:r w:rsidR="00803D07">
              <w:rPr>
                <w:noProof/>
                <w:webHidden/>
              </w:rPr>
            </w:r>
            <w:r w:rsidR="00803D07">
              <w:rPr>
                <w:noProof/>
                <w:webHidden/>
              </w:rPr>
              <w:fldChar w:fldCharType="separate"/>
            </w:r>
            <w:r w:rsidR="00803D07">
              <w:rPr>
                <w:noProof/>
                <w:webHidden/>
              </w:rPr>
              <w:t>16</w:t>
            </w:r>
            <w:r w:rsidR="00803D07">
              <w:rPr>
                <w:noProof/>
                <w:webHidden/>
              </w:rPr>
              <w:fldChar w:fldCharType="end"/>
            </w:r>
          </w:hyperlink>
        </w:p>
        <w:p w14:paraId="196D01BA" w14:textId="77777777" w:rsidR="00803D07" w:rsidRDefault="00F0667C">
          <w:pPr>
            <w:pStyle w:val="TOC3"/>
            <w:rPr>
              <w:rFonts w:asciiTheme="minorHAnsi" w:eastAsiaTheme="minorEastAsia" w:hAnsiTheme="minorHAnsi" w:cstheme="minorBidi"/>
              <w:noProof/>
              <w:lang w:eastAsia="en-AU"/>
            </w:rPr>
          </w:pPr>
          <w:hyperlink w:anchor="_Toc513458925" w:history="1">
            <w:r w:rsidR="00803D07" w:rsidRPr="00476992">
              <w:rPr>
                <w:rStyle w:val="Hyperlink"/>
                <w:noProof/>
              </w:rPr>
              <w:t>Safety</w:t>
            </w:r>
            <w:r w:rsidR="00803D07">
              <w:rPr>
                <w:noProof/>
                <w:webHidden/>
              </w:rPr>
              <w:tab/>
            </w:r>
            <w:r w:rsidR="00803D07">
              <w:rPr>
                <w:noProof/>
                <w:webHidden/>
              </w:rPr>
              <w:fldChar w:fldCharType="begin"/>
            </w:r>
            <w:r w:rsidR="00803D07">
              <w:rPr>
                <w:noProof/>
                <w:webHidden/>
              </w:rPr>
              <w:instrText xml:space="preserve"> PAGEREF _Toc513458925 \h </w:instrText>
            </w:r>
            <w:r w:rsidR="00803D07">
              <w:rPr>
                <w:noProof/>
                <w:webHidden/>
              </w:rPr>
            </w:r>
            <w:r w:rsidR="00803D07">
              <w:rPr>
                <w:noProof/>
                <w:webHidden/>
              </w:rPr>
              <w:fldChar w:fldCharType="separate"/>
            </w:r>
            <w:r w:rsidR="00803D07">
              <w:rPr>
                <w:noProof/>
                <w:webHidden/>
              </w:rPr>
              <w:t>18</w:t>
            </w:r>
            <w:r w:rsidR="00803D07">
              <w:rPr>
                <w:noProof/>
                <w:webHidden/>
              </w:rPr>
              <w:fldChar w:fldCharType="end"/>
            </w:r>
          </w:hyperlink>
        </w:p>
        <w:p w14:paraId="05E7EA95" w14:textId="77777777" w:rsidR="00803D07" w:rsidRDefault="00F0667C">
          <w:pPr>
            <w:pStyle w:val="TOC3"/>
            <w:rPr>
              <w:rFonts w:asciiTheme="minorHAnsi" w:eastAsiaTheme="minorEastAsia" w:hAnsiTheme="minorHAnsi" w:cstheme="minorBidi"/>
              <w:noProof/>
              <w:lang w:eastAsia="en-AU"/>
            </w:rPr>
          </w:pPr>
          <w:hyperlink w:anchor="_Toc513458926" w:history="1">
            <w:r w:rsidR="00803D07" w:rsidRPr="00476992">
              <w:rPr>
                <w:rStyle w:val="Hyperlink"/>
                <w:noProof/>
              </w:rPr>
              <w:t>Second Round Benefit-Risk Assessment</w:t>
            </w:r>
            <w:r w:rsidR="00803D07">
              <w:rPr>
                <w:noProof/>
                <w:webHidden/>
              </w:rPr>
              <w:tab/>
            </w:r>
            <w:r w:rsidR="00803D07">
              <w:rPr>
                <w:noProof/>
                <w:webHidden/>
              </w:rPr>
              <w:fldChar w:fldCharType="begin"/>
            </w:r>
            <w:r w:rsidR="00803D07">
              <w:rPr>
                <w:noProof/>
                <w:webHidden/>
              </w:rPr>
              <w:instrText xml:space="preserve"> PAGEREF _Toc513458926 \h </w:instrText>
            </w:r>
            <w:r w:rsidR="00803D07">
              <w:rPr>
                <w:noProof/>
                <w:webHidden/>
              </w:rPr>
            </w:r>
            <w:r w:rsidR="00803D07">
              <w:rPr>
                <w:noProof/>
                <w:webHidden/>
              </w:rPr>
              <w:fldChar w:fldCharType="separate"/>
            </w:r>
            <w:r w:rsidR="00803D07">
              <w:rPr>
                <w:noProof/>
                <w:webHidden/>
              </w:rPr>
              <w:t>21</w:t>
            </w:r>
            <w:r w:rsidR="00803D07">
              <w:rPr>
                <w:noProof/>
                <w:webHidden/>
              </w:rPr>
              <w:fldChar w:fldCharType="end"/>
            </w:r>
          </w:hyperlink>
        </w:p>
        <w:p w14:paraId="2D1EF779" w14:textId="77777777" w:rsidR="00803D07" w:rsidRDefault="00F0667C">
          <w:pPr>
            <w:pStyle w:val="TOC3"/>
            <w:rPr>
              <w:rFonts w:asciiTheme="minorHAnsi" w:eastAsiaTheme="minorEastAsia" w:hAnsiTheme="minorHAnsi" w:cstheme="minorBidi"/>
              <w:noProof/>
              <w:lang w:eastAsia="en-AU"/>
            </w:rPr>
          </w:pPr>
          <w:hyperlink w:anchor="_Toc513458927" w:history="1">
            <w:r w:rsidR="00803D07" w:rsidRPr="00476992">
              <w:rPr>
                <w:rStyle w:val="Hyperlink"/>
                <w:noProof/>
              </w:rPr>
              <w:t>Second round recommendation regarding authorisation</w:t>
            </w:r>
            <w:r w:rsidR="00803D07">
              <w:rPr>
                <w:noProof/>
                <w:webHidden/>
              </w:rPr>
              <w:tab/>
            </w:r>
            <w:r w:rsidR="00803D07">
              <w:rPr>
                <w:noProof/>
                <w:webHidden/>
              </w:rPr>
              <w:fldChar w:fldCharType="begin"/>
            </w:r>
            <w:r w:rsidR="00803D07">
              <w:rPr>
                <w:noProof/>
                <w:webHidden/>
              </w:rPr>
              <w:instrText xml:space="preserve"> PAGEREF _Toc513458927 \h </w:instrText>
            </w:r>
            <w:r w:rsidR="00803D07">
              <w:rPr>
                <w:noProof/>
                <w:webHidden/>
              </w:rPr>
            </w:r>
            <w:r w:rsidR="00803D07">
              <w:rPr>
                <w:noProof/>
                <w:webHidden/>
              </w:rPr>
              <w:fldChar w:fldCharType="separate"/>
            </w:r>
            <w:r w:rsidR="00803D07">
              <w:rPr>
                <w:noProof/>
                <w:webHidden/>
              </w:rPr>
              <w:t>22</w:t>
            </w:r>
            <w:r w:rsidR="00803D07">
              <w:rPr>
                <w:noProof/>
                <w:webHidden/>
              </w:rPr>
              <w:fldChar w:fldCharType="end"/>
            </w:r>
          </w:hyperlink>
        </w:p>
        <w:p w14:paraId="1808B048" w14:textId="77777777" w:rsidR="00803D07" w:rsidRDefault="00F0667C">
          <w:pPr>
            <w:pStyle w:val="TOC2"/>
            <w:rPr>
              <w:rFonts w:asciiTheme="minorHAnsi" w:eastAsiaTheme="minorEastAsia" w:hAnsiTheme="minorHAnsi" w:cstheme="minorBidi"/>
              <w:b w:val="0"/>
              <w:noProof/>
              <w:sz w:val="22"/>
              <w:lang w:eastAsia="en-AU"/>
            </w:rPr>
          </w:pPr>
          <w:hyperlink w:anchor="_Toc513458928" w:history="1">
            <w:r w:rsidR="00803D07" w:rsidRPr="00476992">
              <w:rPr>
                <w:rStyle w:val="Hyperlink"/>
                <w:noProof/>
              </w:rPr>
              <w:t>Vb. Clinical findings for Submission PM-2016-02325-1-4</w:t>
            </w:r>
            <w:r w:rsidR="00803D07">
              <w:rPr>
                <w:noProof/>
                <w:webHidden/>
              </w:rPr>
              <w:tab/>
            </w:r>
            <w:r w:rsidR="00803D07">
              <w:rPr>
                <w:noProof/>
                <w:webHidden/>
              </w:rPr>
              <w:fldChar w:fldCharType="begin"/>
            </w:r>
            <w:r w:rsidR="00803D07">
              <w:rPr>
                <w:noProof/>
                <w:webHidden/>
              </w:rPr>
              <w:instrText xml:space="preserve"> PAGEREF _Toc513458928 \h </w:instrText>
            </w:r>
            <w:r w:rsidR="00803D07">
              <w:rPr>
                <w:noProof/>
                <w:webHidden/>
              </w:rPr>
            </w:r>
            <w:r w:rsidR="00803D07">
              <w:rPr>
                <w:noProof/>
                <w:webHidden/>
              </w:rPr>
              <w:fldChar w:fldCharType="separate"/>
            </w:r>
            <w:r w:rsidR="00803D07">
              <w:rPr>
                <w:noProof/>
                <w:webHidden/>
              </w:rPr>
              <w:t>22</w:t>
            </w:r>
            <w:r w:rsidR="00803D07">
              <w:rPr>
                <w:noProof/>
                <w:webHidden/>
              </w:rPr>
              <w:fldChar w:fldCharType="end"/>
            </w:r>
          </w:hyperlink>
        </w:p>
        <w:p w14:paraId="205F6D09" w14:textId="77777777" w:rsidR="00803D07" w:rsidRDefault="00F0667C">
          <w:pPr>
            <w:pStyle w:val="TOC3"/>
            <w:rPr>
              <w:rFonts w:asciiTheme="minorHAnsi" w:eastAsiaTheme="minorEastAsia" w:hAnsiTheme="minorHAnsi" w:cstheme="minorBidi"/>
              <w:noProof/>
              <w:lang w:eastAsia="en-AU"/>
            </w:rPr>
          </w:pPr>
          <w:hyperlink w:anchor="_Toc513458929" w:history="1">
            <w:r w:rsidR="00803D07" w:rsidRPr="00476992">
              <w:rPr>
                <w:rStyle w:val="Hyperlink"/>
                <w:noProof/>
              </w:rPr>
              <w:t>Introduction</w:t>
            </w:r>
            <w:r w:rsidR="00803D07">
              <w:rPr>
                <w:noProof/>
                <w:webHidden/>
              </w:rPr>
              <w:tab/>
            </w:r>
            <w:r w:rsidR="00803D07">
              <w:rPr>
                <w:noProof/>
                <w:webHidden/>
              </w:rPr>
              <w:fldChar w:fldCharType="begin"/>
            </w:r>
            <w:r w:rsidR="00803D07">
              <w:rPr>
                <w:noProof/>
                <w:webHidden/>
              </w:rPr>
              <w:instrText xml:space="preserve"> PAGEREF _Toc513458929 \h </w:instrText>
            </w:r>
            <w:r w:rsidR="00803D07">
              <w:rPr>
                <w:noProof/>
                <w:webHidden/>
              </w:rPr>
            </w:r>
            <w:r w:rsidR="00803D07">
              <w:rPr>
                <w:noProof/>
                <w:webHidden/>
              </w:rPr>
              <w:fldChar w:fldCharType="separate"/>
            </w:r>
            <w:r w:rsidR="00803D07">
              <w:rPr>
                <w:noProof/>
                <w:webHidden/>
              </w:rPr>
              <w:t>22</w:t>
            </w:r>
            <w:r w:rsidR="00803D07">
              <w:rPr>
                <w:noProof/>
                <w:webHidden/>
              </w:rPr>
              <w:fldChar w:fldCharType="end"/>
            </w:r>
          </w:hyperlink>
        </w:p>
        <w:p w14:paraId="07E6B290" w14:textId="77777777" w:rsidR="00803D07" w:rsidRDefault="00F0667C">
          <w:pPr>
            <w:pStyle w:val="TOC3"/>
            <w:rPr>
              <w:rFonts w:asciiTheme="minorHAnsi" w:eastAsiaTheme="minorEastAsia" w:hAnsiTheme="minorHAnsi" w:cstheme="minorBidi"/>
              <w:noProof/>
              <w:lang w:eastAsia="en-AU"/>
            </w:rPr>
          </w:pPr>
          <w:hyperlink w:anchor="_Toc513458930" w:history="1">
            <w:r w:rsidR="00803D07" w:rsidRPr="00476992">
              <w:rPr>
                <w:rStyle w:val="Hyperlink"/>
                <w:noProof/>
              </w:rPr>
              <w:t>Pharmacokinetics</w:t>
            </w:r>
            <w:r w:rsidR="00803D07">
              <w:rPr>
                <w:noProof/>
                <w:webHidden/>
              </w:rPr>
              <w:tab/>
            </w:r>
            <w:r w:rsidR="00803D07">
              <w:rPr>
                <w:noProof/>
                <w:webHidden/>
              </w:rPr>
              <w:fldChar w:fldCharType="begin"/>
            </w:r>
            <w:r w:rsidR="00803D07">
              <w:rPr>
                <w:noProof/>
                <w:webHidden/>
              </w:rPr>
              <w:instrText xml:space="preserve"> PAGEREF _Toc513458930 \h </w:instrText>
            </w:r>
            <w:r w:rsidR="00803D07">
              <w:rPr>
                <w:noProof/>
                <w:webHidden/>
              </w:rPr>
            </w:r>
            <w:r w:rsidR="00803D07">
              <w:rPr>
                <w:noProof/>
                <w:webHidden/>
              </w:rPr>
              <w:fldChar w:fldCharType="separate"/>
            </w:r>
            <w:r w:rsidR="00803D07">
              <w:rPr>
                <w:noProof/>
                <w:webHidden/>
              </w:rPr>
              <w:t>25</w:t>
            </w:r>
            <w:r w:rsidR="00803D07">
              <w:rPr>
                <w:noProof/>
                <w:webHidden/>
              </w:rPr>
              <w:fldChar w:fldCharType="end"/>
            </w:r>
          </w:hyperlink>
        </w:p>
        <w:p w14:paraId="385CEBF2" w14:textId="77777777" w:rsidR="00803D07" w:rsidRDefault="00F0667C">
          <w:pPr>
            <w:pStyle w:val="TOC3"/>
            <w:rPr>
              <w:rFonts w:asciiTheme="minorHAnsi" w:eastAsiaTheme="minorEastAsia" w:hAnsiTheme="minorHAnsi" w:cstheme="minorBidi"/>
              <w:noProof/>
              <w:lang w:eastAsia="en-AU"/>
            </w:rPr>
          </w:pPr>
          <w:hyperlink w:anchor="_Toc513458931" w:history="1">
            <w:r w:rsidR="00803D07" w:rsidRPr="00476992">
              <w:rPr>
                <w:rStyle w:val="Hyperlink"/>
                <w:noProof/>
              </w:rPr>
              <w:t>Pharmacodynamics</w:t>
            </w:r>
            <w:r w:rsidR="00803D07">
              <w:rPr>
                <w:noProof/>
                <w:webHidden/>
              </w:rPr>
              <w:tab/>
            </w:r>
            <w:r w:rsidR="00803D07">
              <w:rPr>
                <w:noProof/>
                <w:webHidden/>
              </w:rPr>
              <w:fldChar w:fldCharType="begin"/>
            </w:r>
            <w:r w:rsidR="00803D07">
              <w:rPr>
                <w:noProof/>
                <w:webHidden/>
              </w:rPr>
              <w:instrText xml:space="preserve"> PAGEREF _Toc513458931 \h </w:instrText>
            </w:r>
            <w:r w:rsidR="00803D07">
              <w:rPr>
                <w:noProof/>
                <w:webHidden/>
              </w:rPr>
            </w:r>
            <w:r w:rsidR="00803D07">
              <w:rPr>
                <w:noProof/>
                <w:webHidden/>
              </w:rPr>
              <w:fldChar w:fldCharType="separate"/>
            </w:r>
            <w:r w:rsidR="00803D07">
              <w:rPr>
                <w:noProof/>
                <w:webHidden/>
              </w:rPr>
              <w:t>25</w:t>
            </w:r>
            <w:r w:rsidR="00803D07">
              <w:rPr>
                <w:noProof/>
                <w:webHidden/>
              </w:rPr>
              <w:fldChar w:fldCharType="end"/>
            </w:r>
          </w:hyperlink>
        </w:p>
        <w:p w14:paraId="5FD46E24" w14:textId="77777777" w:rsidR="00803D07" w:rsidRDefault="00F0667C">
          <w:pPr>
            <w:pStyle w:val="TOC3"/>
            <w:rPr>
              <w:rFonts w:asciiTheme="minorHAnsi" w:eastAsiaTheme="minorEastAsia" w:hAnsiTheme="minorHAnsi" w:cstheme="minorBidi"/>
              <w:noProof/>
              <w:lang w:eastAsia="en-AU"/>
            </w:rPr>
          </w:pPr>
          <w:hyperlink w:anchor="_Toc513458932" w:history="1">
            <w:r w:rsidR="00803D07" w:rsidRPr="00476992">
              <w:rPr>
                <w:rStyle w:val="Hyperlink"/>
                <w:noProof/>
              </w:rPr>
              <w:t>Dosage selection for the pivotal studies</w:t>
            </w:r>
            <w:r w:rsidR="00803D07">
              <w:rPr>
                <w:noProof/>
                <w:webHidden/>
              </w:rPr>
              <w:tab/>
            </w:r>
            <w:r w:rsidR="00803D07">
              <w:rPr>
                <w:noProof/>
                <w:webHidden/>
              </w:rPr>
              <w:fldChar w:fldCharType="begin"/>
            </w:r>
            <w:r w:rsidR="00803D07">
              <w:rPr>
                <w:noProof/>
                <w:webHidden/>
              </w:rPr>
              <w:instrText xml:space="preserve"> PAGEREF _Toc513458932 \h </w:instrText>
            </w:r>
            <w:r w:rsidR="00803D07">
              <w:rPr>
                <w:noProof/>
                <w:webHidden/>
              </w:rPr>
            </w:r>
            <w:r w:rsidR="00803D07">
              <w:rPr>
                <w:noProof/>
                <w:webHidden/>
              </w:rPr>
              <w:fldChar w:fldCharType="separate"/>
            </w:r>
            <w:r w:rsidR="00803D07">
              <w:rPr>
                <w:noProof/>
                <w:webHidden/>
              </w:rPr>
              <w:t>25</w:t>
            </w:r>
            <w:r w:rsidR="00803D07">
              <w:rPr>
                <w:noProof/>
                <w:webHidden/>
              </w:rPr>
              <w:fldChar w:fldCharType="end"/>
            </w:r>
          </w:hyperlink>
        </w:p>
        <w:p w14:paraId="73924300" w14:textId="77777777" w:rsidR="00803D07" w:rsidRDefault="00F0667C">
          <w:pPr>
            <w:pStyle w:val="TOC3"/>
            <w:rPr>
              <w:rFonts w:asciiTheme="minorHAnsi" w:eastAsiaTheme="minorEastAsia" w:hAnsiTheme="minorHAnsi" w:cstheme="minorBidi"/>
              <w:noProof/>
              <w:lang w:eastAsia="en-AU"/>
            </w:rPr>
          </w:pPr>
          <w:hyperlink w:anchor="_Toc513458933" w:history="1">
            <w:r w:rsidR="00803D07" w:rsidRPr="00476992">
              <w:rPr>
                <w:rStyle w:val="Hyperlink"/>
                <w:noProof/>
              </w:rPr>
              <w:t>Efficacy</w:t>
            </w:r>
            <w:r w:rsidR="00803D07">
              <w:rPr>
                <w:noProof/>
                <w:webHidden/>
              </w:rPr>
              <w:tab/>
            </w:r>
            <w:r w:rsidR="00803D07">
              <w:rPr>
                <w:noProof/>
                <w:webHidden/>
              </w:rPr>
              <w:fldChar w:fldCharType="begin"/>
            </w:r>
            <w:r w:rsidR="00803D07">
              <w:rPr>
                <w:noProof/>
                <w:webHidden/>
              </w:rPr>
              <w:instrText xml:space="preserve"> PAGEREF _Toc513458933 \h </w:instrText>
            </w:r>
            <w:r w:rsidR="00803D07">
              <w:rPr>
                <w:noProof/>
                <w:webHidden/>
              </w:rPr>
            </w:r>
            <w:r w:rsidR="00803D07">
              <w:rPr>
                <w:noProof/>
                <w:webHidden/>
              </w:rPr>
              <w:fldChar w:fldCharType="separate"/>
            </w:r>
            <w:r w:rsidR="00803D07">
              <w:rPr>
                <w:noProof/>
                <w:webHidden/>
              </w:rPr>
              <w:t>26</w:t>
            </w:r>
            <w:r w:rsidR="00803D07">
              <w:rPr>
                <w:noProof/>
                <w:webHidden/>
              </w:rPr>
              <w:fldChar w:fldCharType="end"/>
            </w:r>
          </w:hyperlink>
        </w:p>
        <w:p w14:paraId="4D2154BB" w14:textId="77777777" w:rsidR="00803D07" w:rsidRDefault="00F0667C">
          <w:pPr>
            <w:pStyle w:val="TOC3"/>
            <w:rPr>
              <w:rFonts w:asciiTheme="minorHAnsi" w:eastAsiaTheme="minorEastAsia" w:hAnsiTheme="minorHAnsi" w:cstheme="minorBidi"/>
              <w:noProof/>
              <w:lang w:eastAsia="en-AU"/>
            </w:rPr>
          </w:pPr>
          <w:hyperlink w:anchor="_Toc513458934" w:history="1">
            <w:r w:rsidR="00803D07" w:rsidRPr="00476992">
              <w:rPr>
                <w:rStyle w:val="Hyperlink"/>
                <w:noProof/>
              </w:rPr>
              <w:t>Safety</w:t>
            </w:r>
            <w:r w:rsidR="00803D07">
              <w:rPr>
                <w:noProof/>
                <w:webHidden/>
              </w:rPr>
              <w:tab/>
            </w:r>
            <w:r w:rsidR="00803D07">
              <w:rPr>
                <w:noProof/>
                <w:webHidden/>
              </w:rPr>
              <w:fldChar w:fldCharType="begin"/>
            </w:r>
            <w:r w:rsidR="00803D07">
              <w:rPr>
                <w:noProof/>
                <w:webHidden/>
              </w:rPr>
              <w:instrText xml:space="preserve"> PAGEREF _Toc513458934 \h </w:instrText>
            </w:r>
            <w:r w:rsidR="00803D07">
              <w:rPr>
                <w:noProof/>
                <w:webHidden/>
              </w:rPr>
            </w:r>
            <w:r w:rsidR="00803D07">
              <w:rPr>
                <w:noProof/>
                <w:webHidden/>
              </w:rPr>
              <w:fldChar w:fldCharType="separate"/>
            </w:r>
            <w:r w:rsidR="00803D07">
              <w:rPr>
                <w:noProof/>
                <w:webHidden/>
              </w:rPr>
              <w:t>26</w:t>
            </w:r>
            <w:r w:rsidR="00803D07">
              <w:rPr>
                <w:noProof/>
                <w:webHidden/>
              </w:rPr>
              <w:fldChar w:fldCharType="end"/>
            </w:r>
          </w:hyperlink>
        </w:p>
        <w:p w14:paraId="12BC5BD5" w14:textId="77777777" w:rsidR="00803D07" w:rsidRDefault="00F0667C">
          <w:pPr>
            <w:pStyle w:val="TOC3"/>
            <w:rPr>
              <w:rFonts w:asciiTheme="minorHAnsi" w:eastAsiaTheme="minorEastAsia" w:hAnsiTheme="minorHAnsi" w:cstheme="minorBidi"/>
              <w:noProof/>
              <w:lang w:eastAsia="en-AU"/>
            </w:rPr>
          </w:pPr>
          <w:hyperlink w:anchor="_Toc513458935" w:history="1">
            <w:r w:rsidR="00803D07" w:rsidRPr="00476992">
              <w:rPr>
                <w:rStyle w:val="Hyperlink"/>
                <w:noProof/>
              </w:rPr>
              <w:t>First Round Benefit-Risk Assessment</w:t>
            </w:r>
            <w:r w:rsidR="00803D07">
              <w:rPr>
                <w:noProof/>
                <w:webHidden/>
              </w:rPr>
              <w:tab/>
            </w:r>
            <w:r w:rsidR="00803D07">
              <w:rPr>
                <w:noProof/>
                <w:webHidden/>
              </w:rPr>
              <w:fldChar w:fldCharType="begin"/>
            </w:r>
            <w:r w:rsidR="00803D07">
              <w:rPr>
                <w:noProof/>
                <w:webHidden/>
              </w:rPr>
              <w:instrText xml:space="preserve"> PAGEREF _Toc513458935 \h </w:instrText>
            </w:r>
            <w:r w:rsidR="00803D07">
              <w:rPr>
                <w:noProof/>
                <w:webHidden/>
              </w:rPr>
            </w:r>
            <w:r w:rsidR="00803D07">
              <w:rPr>
                <w:noProof/>
                <w:webHidden/>
              </w:rPr>
              <w:fldChar w:fldCharType="separate"/>
            </w:r>
            <w:r w:rsidR="00803D07">
              <w:rPr>
                <w:noProof/>
                <w:webHidden/>
              </w:rPr>
              <w:t>29</w:t>
            </w:r>
            <w:r w:rsidR="00803D07">
              <w:rPr>
                <w:noProof/>
                <w:webHidden/>
              </w:rPr>
              <w:fldChar w:fldCharType="end"/>
            </w:r>
          </w:hyperlink>
        </w:p>
        <w:p w14:paraId="5F1BC24F" w14:textId="77777777" w:rsidR="00803D07" w:rsidRDefault="00F0667C">
          <w:pPr>
            <w:pStyle w:val="TOC3"/>
            <w:rPr>
              <w:rFonts w:asciiTheme="minorHAnsi" w:eastAsiaTheme="minorEastAsia" w:hAnsiTheme="minorHAnsi" w:cstheme="minorBidi"/>
              <w:noProof/>
              <w:lang w:eastAsia="en-AU"/>
            </w:rPr>
          </w:pPr>
          <w:hyperlink w:anchor="_Toc513458936" w:history="1">
            <w:r w:rsidR="00803D07" w:rsidRPr="00476992">
              <w:rPr>
                <w:rStyle w:val="Hyperlink"/>
                <w:noProof/>
              </w:rPr>
              <w:t>First Round Recommendation Regarding Authorisation</w:t>
            </w:r>
            <w:r w:rsidR="00803D07">
              <w:rPr>
                <w:noProof/>
                <w:webHidden/>
              </w:rPr>
              <w:tab/>
            </w:r>
            <w:r w:rsidR="00803D07">
              <w:rPr>
                <w:noProof/>
                <w:webHidden/>
              </w:rPr>
              <w:fldChar w:fldCharType="begin"/>
            </w:r>
            <w:r w:rsidR="00803D07">
              <w:rPr>
                <w:noProof/>
                <w:webHidden/>
              </w:rPr>
              <w:instrText xml:space="preserve"> PAGEREF _Toc513458936 \h </w:instrText>
            </w:r>
            <w:r w:rsidR="00803D07">
              <w:rPr>
                <w:noProof/>
                <w:webHidden/>
              </w:rPr>
            </w:r>
            <w:r w:rsidR="00803D07">
              <w:rPr>
                <w:noProof/>
                <w:webHidden/>
              </w:rPr>
              <w:fldChar w:fldCharType="separate"/>
            </w:r>
            <w:r w:rsidR="00803D07">
              <w:rPr>
                <w:noProof/>
                <w:webHidden/>
              </w:rPr>
              <w:t>31</w:t>
            </w:r>
            <w:r w:rsidR="00803D07">
              <w:rPr>
                <w:noProof/>
                <w:webHidden/>
              </w:rPr>
              <w:fldChar w:fldCharType="end"/>
            </w:r>
          </w:hyperlink>
        </w:p>
        <w:p w14:paraId="46FA38ED" w14:textId="77777777" w:rsidR="00803D07" w:rsidRDefault="00F0667C">
          <w:pPr>
            <w:pStyle w:val="TOC3"/>
            <w:rPr>
              <w:rFonts w:asciiTheme="minorHAnsi" w:eastAsiaTheme="minorEastAsia" w:hAnsiTheme="minorHAnsi" w:cstheme="minorBidi"/>
              <w:noProof/>
              <w:lang w:eastAsia="en-AU"/>
            </w:rPr>
          </w:pPr>
          <w:hyperlink w:anchor="_Toc513458937" w:history="1">
            <w:r w:rsidR="00803D07" w:rsidRPr="00476992">
              <w:rPr>
                <w:rStyle w:val="Hyperlink"/>
                <w:noProof/>
              </w:rPr>
              <w:t>Clinical Questions</w:t>
            </w:r>
            <w:r w:rsidR="00803D07">
              <w:rPr>
                <w:noProof/>
                <w:webHidden/>
              </w:rPr>
              <w:tab/>
            </w:r>
            <w:r w:rsidR="00803D07">
              <w:rPr>
                <w:noProof/>
                <w:webHidden/>
              </w:rPr>
              <w:fldChar w:fldCharType="begin"/>
            </w:r>
            <w:r w:rsidR="00803D07">
              <w:rPr>
                <w:noProof/>
                <w:webHidden/>
              </w:rPr>
              <w:instrText xml:space="preserve"> PAGEREF _Toc513458937 \h </w:instrText>
            </w:r>
            <w:r w:rsidR="00803D07">
              <w:rPr>
                <w:noProof/>
                <w:webHidden/>
              </w:rPr>
            </w:r>
            <w:r w:rsidR="00803D07">
              <w:rPr>
                <w:noProof/>
                <w:webHidden/>
              </w:rPr>
              <w:fldChar w:fldCharType="separate"/>
            </w:r>
            <w:r w:rsidR="00803D07">
              <w:rPr>
                <w:noProof/>
                <w:webHidden/>
              </w:rPr>
              <w:t>31</w:t>
            </w:r>
            <w:r w:rsidR="00803D07">
              <w:rPr>
                <w:noProof/>
                <w:webHidden/>
              </w:rPr>
              <w:fldChar w:fldCharType="end"/>
            </w:r>
          </w:hyperlink>
        </w:p>
        <w:p w14:paraId="0866A8FA" w14:textId="77777777" w:rsidR="00803D07" w:rsidRDefault="00F0667C">
          <w:pPr>
            <w:pStyle w:val="TOC2"/>
            <w:rPr>
              <w:rFonts w:asciiTheme="minorHAnsi" w:eastAsiaTheme="minorEastAsia" w:hAnsiTheme="minorHAnsi" w:cstheme="minorBidi"/>
              <w:b w:val="0"/>
              <w:noProof/>
              <w:sz w:val="22"/>
              <w:lang w:eastAsia="en-AU"/>
            </w:rPr>
          </w:pPr>
          <w:hyperlink w:anchor="_Toc513458938" w:history="1">
            <w:r w:rsidR="00803D07" w:rsidRPr="00476992">
              <w:rPr>
                <w:rStyle w:val="Hyperlink"/>
                <w:noProof/>
              </w:rPr>
              <w:t>VI. Pharmacovigilance findings</w:t>
            </w:r>
            <w:r w:rsidR="00803D07">
              <w:rPr>
                <w:noProof/>
                <w:webHidden/>
              </w:rPr>
              <w:tab/>
            </w:r>
            <w:r w:rsidR="00803D07">
              <w:rPr>
                <w:noProof/>
                <w:webHidden/>
              </w:rPr>
              <w:fldChar w:fldCharType="begin"/>
            </w:r>
            <w:r w:rsidR="00803D07">
              <w:rPr>
                <w:noProof/>
                <w:webHidden/>
              </w:rPr>
              <w:instrText xml:space="preserve"> PAGEREF _Toc513458938 \h </w:instrText>
            </w:r>
            <w:r w:rsidR="00803D07">
              <w:rPr>
                <w:noProof/>
                <w:webHidden/>
              </w:rPr>
            </w:r>
            <w:r w:rsidR="00803D07">
              <w:rPr>
                <w:noProof/>
                <w:webHidden/>
              </w:rPr>
              <w:fldChar w:fldCharType="separate"/>
            </w:r>
            <w:r w:rsidR="00803D07">
              <w:rPr>
                <w:noProof/>
                <w:webHidden/>
              </w:rPr>
              <w:t>31</w:t>
            </w:r>
            <w:r w:rsidR="00803D07">
              <w:rPr>
                <w:noProof/>
                <w:webHidden/>
              </w:rPr>
              <w:fldChar w:fldCharType="end"/>
            </w:r>
          </w:hyperlink>
        </w:p>
        <w:p w14:paraId="656D403B" w14:textId="77777777" w:rsidR="00803D07" w:rsidRDefault="00F0667C">
          <w:pPr>
            <w:pStyle w:val="TOC3"/>
            <w:rPr>
              <w:rFonts w:asciiTheme="minorHAnsi" w:eastAsiaTheme="minorEastAsia" w:hAnsiTheme="minorHAnsi" w:cstheme="minorBidi"/>
              <w:noProof/>
              <w:lang w:eastAsia="en-AU"/>
            </w:rPr>
          </w:pPr>
          <w:hyperlink w:anchor="_Toc513458939" w:history="1">
            <w:r w:rsidR="00803D07" w:rsidRPr="00476992">
              <w:rPr>
                <w:rStyle w:val="Hyperlink"/>
                <w:noProof/>
                <w:lang w:eastAsia="en-AU"/>
              </w:rPr>
              <w:t>Risk management plan</w:t>
            </w:r>
            <w:r w:rsidR="00803D07">
              <w:rPr>
                <w:noProof/>
                <w:webHidden/>
              </w:rPr>
              <w:tab/>
            </w:r>
            <w:r w:rsidR="00803D07">
              <w:rPr>
                <w:noProof/>
                <w:webHidden/>
              </w:rPr>
              <w:fldChar w:fldCharType="begin"/>
            </w:r>
            <w:r w:rsidR="00803D07">
              <w:rPr>
                <w:noProof/>
                <w:webHidden/>
              </w:rPr>
              <w:instrText xml:space="preserve"> PAGEREF _Toc513458939 \h </w:instrText>
            </w:r>
            <w:r w:rsidR="00803D07">
              <w:rPr>
                <w:noProof/>
                <w:webHidden/>
              </w:rPr>
            </w:r>
            <w:r w:rsidR="00803D07">
              <w:rPr>
                <w:noProof/>
                <w:webHidden/>
              </w:rPr>
              <w:fldChar w:fldCharType="separate"/>
            </w:r>
            <w:r w:rsidR="00803D07">
              <w:rPr>
                <w:noProof/>
                <w:webHidden/>
              </w:rPr>
              <w:t>31</w:t>
            </w:r>
            <w:r w:rsidR="00803D07">
              <w:rPr>
                <w:noProof/>
                <w:webHidden/>
              </w:rPr>
              <w:fldChar w:fldCharType="end"/>
            </w:r>
          </w:hyperlink>
        </w:p>
        <w:p w14:paraId="2B46073A" w14:textId="77777777" w:rsidR="00803D07" w:rsidRDefault="00F0667C">
          <w:pPr>
            <w:pStyle w:val="TOC3"/>
            <w:rPr>
              <w:rFonts w:asciiTheme="minorHAnsi" w:eastAsiaTheme="minorEastAsia" w:hAnsiTheme="minorHAnsi" w:cstheme="minorBidi"/>
              <w:noProof/>
              <w:lang w:eastAsia="en-AU"/>
            </w:rPr>
          </w:pPr>
          <w:hyperlink w:anchor="_Toc513458940" w:history="1">
            <w:r w:rsidR="00803D07" w:rsidRPr="00476992">
              <w:rPr>
                <w:rStyle w:val="Hyperlink"/>
                <w:noProof/>
              </w:rPr>
              <w:t>Summary</w:t>
            </w:r>
            <w:r w:rsidR="00803D07">
              <w:rPr>
                <w:noProof/>
                <w:webHidden/>
              </w:rPr>
              <w:tab/>
            </w:r>
            <w:r w:rsidR="00803D07">
              <w:rPr>
                <w:noProof/>
                <w:webHidden/>
              </w:rPr>
              <w:fldChar w:fldCharType="begin"/>
            </w:r>
            <w:r w:rsidR="00803D07">
              <w:rPr>
                <w:noProof/>
                <w:webHidden/>
              </w:rPr>
              <w:instrText xml:space="preserve"> PAGEREF _Toc513458940 \h </w:instrText>
            </w:r>
            <w:r w:rsidR="00803D07">
              <w:rPr>
                <w:noProof/>
                <w:webHidden/>
              </w:rPr>
            </w:r>
            <w:r w:rsidR="00803D07">
              <w:rPr>
                <w:noProof/>
                <w:webHidden/>
              </w:rPr>
              <w:fldChar w:fldCharType="separate"/>
            </w:r>
            <w:r w:rsidR="00803D07">
              <w:rPr>
                <w:noProof/>
                <w:webHidden/>
              </w:rPr>
              <w:t>31</w:t>
            </w:r>
            <w:r w:rsidR="00803D07">
              <w:rPr>
                <w:noProof/>
                <w:webHidden/>
              </w:rPr>
              <w:fldChar w:fldCharType="end"/>
            </w:r>
          </w:hyperlink>
        </w:p>
        <w:p w14:paraId="38901636" w14:textId="77777777" w:rsidR="00803D07" w:rsidRDefault="00F0667C">
          <w:pPr>
            <w:pStyle w:val="TOC2"/>
            <w:rPr>
              <w:rFonts w:asciiTheme="minorHAnsi" w:eastAsiaTheme="minorEastAsia" w:hAnsiTheme="minorHAnsi" w:cstheme="minorBidi"/>
              <w:b w:val="0"/>
              <w:noProof/>
              <w:sz w:val="22"/>
              <w:lang w:eastAsia="en-AU"/>
            </w:rPr>
          </w:pPr>
          <w:hyperlink w:anchor="_Toc513458941" w:history="1">
            <w:r w:rsidR="00803D07" w:rsidRPr="00476992">
              <w:rPr>
                <w:rStyle w:val="Hyperlink"/>
                <w:noProof/>
              </w:rPr>
              <w:t>VII. Overall conclusion and risk/benefit assessment</w:t>
            </w:r>
            <w:r w:rsidR="00803D07">
              <w:rPr>
                <w:noProof/>
                <w:webHidden/>
              </w:rPr>
              <w:tab/>
            </w:r>
            <w:r w:rsidR="00803D07">
              <w:rPr>
                <w:noProof/>
                <w:webHidden/>
              </w:rPr>
              <w:fldChar w:fldCharType="begin"/>
            </w:r>
            <w:r w:rsidR="00803D07">
              <w:rPr>
                <w:noProof/>
                <w:webHidden/>
              </w:rPr>
              <w:instrText xml:space="preserve"> PAGEREF _Toc513458941 \h </w:instrText>
            </w:r>
            <w:r w:rsidR="00803D07">
              <w:rPr>
                <w:noProof/>
                <w:webHidden/>
              </w:rPr>
            </w:r>
            <w:r w:rsidR="00803D07">
              <w:rPr>
                <w:noProof/>
                <w:webHidden/>
              </w:rPr>
              <w:fldChar w:fldCharType="separate"/>
            </w:r>
            <w:r w:rsidR="00803D07">
              <w:rPr>
                <w:noProof/>
                <w:webHidden/>
              </w:rPr>
              <w:t>34</w:t>
            </w:r>
            <w:r w:rsidR="00803D07">
              <w:rPr>
                <w:noProof/>
                <w:webHidden/>
              </w:rPr>
              <w:fldChar w:fldCharType="end"/>
            </w:r>
          </w:hyperlink>
        </w:p>
        <w:p w14:paraId="0AB0DCCD" w14:textId="77777777" w:rsidR="00803D07" w:rsidRDefault="00F0667C">
          <w:pPr>
            <w:pStyle w:val="TOC3"/>
            <w:rPr>
              <w:rFonts w:asciiTheme="minorHAnsi" w:eastAsiaTheme="minorEastAsia" w:hAnsiTheme="minorHAnsi" w:cstheme="minorBidi"/>
              <w:noProof/>
              <w:lang w:eastAsia="en-AU"/>
            </w:rPr>
          </w:pPr>
          <w:hyperlink w:anchor="_Toc513458942" w:history="1">
            <w:r w:rsidR="00803D07" w:rsidRPr="00476992">
              <w:rPr>
                <w:rStyle w:val="Hyperlink"/>
                <w:noProof/>
              </w:rPr>
              <w:t>Background</w:t>
            </w:r>
            <w:r w:rsidR="00803D07">
              <w:rPr>
                <w:noProof/>
                <w:webHidden/>
              </w:rPr>
              <w:tab/>
            </w:r>
            <w:r w:rsidR="00803D07">
              <w:rPr>
                <w:noProof/>
                <w:webHidden/>
              </w:rPr>
              <w:fldChar w:fldCharType="begin"/>
            </w:r>
            <w:r w:rsidR="00803D07">
              <w:rPr>
                <w:noProof/>
                <w:webHidden/>
              </w:rPr>
              <w:instrText xml:space="preserve"> PAGEREF _Toc513458942 \h </w:instrText>
            </w:r>
            <w:r w:rsidR="00803D07">
              <w:rPr>
                <w:noProof/>
                <w:webHidden/>
              </w:rPr>
            </w:r>
            <w:r w:rsidR="00803D07">
              <w:rPr>
                <w:noProof/>
                <w:webHidden/>
              </w:rPr>
              <w:fldChar w:fldCharType="separate"/>
            </w:r>
            <w:r w:rsidR="00803D07">
              <w:rPr>
                <w:noProof/>
                <w:webHidden/>
              </w:rPr>
              <w:t>34</w:t>
            </w:r>
            <w:r w:rsidR="00803D07">
              <w:rPr>
                <w:noProof/>
                <w:webHidden/>
              </w:rPr>
              <w:fldChar w:fldCharType="end"/>
            </w:r>
          </w:hyperlink>
        </w:p>
        <w:p w14:paraId="3E136D61" w14:textId="77777777" w:rsidR="00803D07" w:rsidRDefault="00F0667C">
          <w:pPr>
            <w:pStyle w:val="TOC3"/>
            <w:rPr>
              <w:rFonts w:asciiTheme="minorHAnsi" w:eastAsiaTheme="minorEastAsia" w:hAnsiTheme="minorHAnsi" w:cstheme="minorBidi"/>
              <w:noProof/>
              <w:lang w:eastAsia="en-AU"/>
            </w:rPr>
          </w:pPr>
          <w:hyperlink w:anchor="_Toc513458943" w:history="1">
            <w:r w:rsidR="00803D07" w:rsidRPr="00476992">
              <w:rPr>
                <w:rStyle w:val="Hyperlink"/>
                <w:noProof/>
              </w:rPr>
              <w:t>Quality</w:t>
            </w:r>
            <w:r w:rsidR="00803D07">
              <w:rPr>
                <w:noProof/>
                <w:webHidden/>
              </w:rPr>
              <w:tab/>
            </w:r>
            <w:r w:rsidR="00803D07">
              <w:rPr>
                <w:noProof/>
                <w:webHidden/>
              </w:rPr>
              <w:fldChar w:fldCharType="begin"/>
            </w:r>
            <w:r w:rsidR="00803D07">
              <w:rPr>
                <w:noProof/>
                <w:webHidden/>
              </w:rPr>
              <w:instrText xml:space="preserve"> PAGEREF _Toc513458943 \h </w:instrText>
            </w:r>
            <w:r w:rsidR="00803D07">
              <w:rPr>
                <w:noProof/>
                <w:webHidden/>
              </w:rPr>
            </w:r>
            <w:r w:rsidR="00803D07">
              <w:rPr>
                <w:noProof/>
                <w:webHidden/>
              </w:rPr>
              <w:fldChar w:fldCharType="separate"/>
            </w:r>
            <w:r w:rsidR="00803D07">
              <w:rPr>
                <w:noProof/>
                <w:webHidden/>
              </w:rPr>
              <w:t>35</w:t>
            </w:r>
            <w:r w:rsidR="00803D07">
              <w:rPr>
                <w:noProof/>
                <w:webHidden/>
              </w:rPr>
              <w:fldChar w:fldCharType="end"/>
            </w:r>
          </w:hyperlink>
        </w:p>
        <w:p w14:paraId="0A57F1F7" w14:textId="77777777" w:rsidR="00803D07" w:rsidRDefault="00F0667C">
          <w:pPr>
            <w:pStyle w:val="TOC3"/>
            <w:rPr>
              <w:rFonts w:asciiTheme="minorHAnsi" w:eastAsiaTheme="minorEastAsia" w:hAnsiTheme="minorHAnsi" w:cstheme="minorBidi"/>
              <w:noProof/>
              <w:lang w:eastAsia="en-AU"/>
            </w:rPr>
          </w:pPr>
          <w:hyperlink w:anchor="_Toc513458944" w:history="1">
            <w:r w:rsidR="00803D07" w:rsidRPr="00476992">
              <w:rPr>
                <w:rStyle w:val="Hyperlink"/>
                <w:noProof/>
              </w:rPr>
              <w:t>Nonclinical</w:t>
            </w:r>
            <w:r w:rsidR="00803D07">
              <w:rPr>
                <w:noProof/>
                <w:webHidden/>
              </w:rPr>
              <w:tab/>
            </w:r>
            <w:r w:rsidR="00803D07">
              <w:rPr>
                <w:noProof/>
                <w:webHidden/>
              </w:rPr>
              <w:fldChar w:fldCharType="begin"/>
            </w:r>
            <w:r w:rsidR="00803D07">
              <w:rPr>
                <w:noProof/>
                <w:webHidden/>
              </w:rPr>
              <w:instrText xml:space="preserve"> PAGEREF _Toc513458944 \h </w:instrText>
            </w:r>
            <w:r w:rsidR="00803D07">
              <w:rPr>
                <w:noProof/>
                <w:webHidden/>
              </w:rPr>
            </w:r>
            <w:r w:rsidR="00803D07">
              <w:rPr>
                <w:noProof/>
                <w:webHidden/>
              </w:rPr>
              <w:fldChar w:fldCharType="separate"/>
            </w:r>
            <w:r w:rsidR="00803D07">
              <w:rPr>
                <w:noProof/>
                <w:webHidden/>
              </w:rPr>
              <w:t>35</w:t>
            </w:r>
            <w:r w:rsidR="00803D07">
              <w:rPr>
                <w:noProof/>
                <w:webHidden/>
              </w:rPr>
              <w:fldChar w:fldCharType="end"/>
            </w:r>
          </w:hyperlink>
        </w:p>
        <w:p w14:paraId="6AEA4E65" w14:textId="77777777" w:rsidR="00803D07" w:rsidRDefault="00F0667C">
          <w:pPr>
            <w:pStyle w:val="TOC3"/>
            <w:rPr>
              <w:rFonts w:asciiTheme="minorHAnsi" w:eastAsiaTheme="minorEastAsia" w:hAnsiTheme="minorHAnsi" w:cstheme="minorBidi"/>
              <w:noProof/>
              <w:lang w:eastAsia="en-AU"/>
            </w:rPr>
          </w:pPr>
          <w:hyperlink w:anchor="_Toc513458945" w:history="1">
            <w:r w:rsidR="00803D07" w:rsidRPr="00476992">
              <w:rPr>
                <w:rStyle w:val="Hyperlink"/>
                <w:noProof/>
              </w:rPr>
              <w:t>Clinical evaluation for Submission PM-2015-04712-1-4</w:t>
            </w:r>
            <w:r w:rsidR="00803D07">
              <w:rPr>
                <w:noProof/>
                <w:webHidden/>
              </w:rPr>
              <w:tab/>
            </w:r>
            <w:r w:rsidR="00803D07">
              <w:rPr>
                <w:noProof/>
                <w:webHidden/>
              </w:rPr>
              <w:fldChar w:fldCharType="begin"/>
            </w:r>
            <w:r w:rsidR="00803D07">
              <w:rPr>
                <w:noProof/>
                <w:webHidden/>
              </w:rPr>
              <w:instrText xml:space="preserve"> PAGEREF _Toc513458945 \h </w:instrText>
            </w:r>
            <w:r w:rsidR="00803D07">
              <w:rPr>
                <w:noProof/>
                <w:webHidden/>
              </w:rPr>
            </w:r>
            <w:r w:rsidR="00803D07">
              <w:rPr>
                <w:noProof/>
                <w:webHidden/>
              </w:rPr>
              <w:fldChar w:fldCharType="separate"/>
            </w:r>
            <w:r w:rsidR="00803D07">
              <w:rPr>
                <w:noProof/>
                <w:webHidden/>
              </w:rPr>
              <w:t>38</w:t>
            </w:r>
            <w:r w:rsidR="00803D07">
              <w:rPr>
                <w:noProof/>
                <w:webHidden/>
              </w:rPr>
              <w:fldChar w:fldCharType="end"/>
            </w:r>
          </w:hyperlink>
        </w:p>
        <w:p w14:paraId="39CE6557" w14:textId="77777777" w:rsidR="00803D07" w:rsidRDefault="00F0667C">
          <w:pPr>
            <w:pStyle w:val="TOC3"/>
            <w:rPr>
              <w:rFonts w:asciiTheme="minorHAnsi" w:eastAsiaTheme="minorEastAsia" w:hAnsiTheme="minorHAnsi" w:cstheme="minorBidi"/>
              <w:noProof/>
              <w:lang w:eastAsia="en-AU"/>
            </w:rPr>
          </w:pPr>
          <w:hyperlink w:anchor="_Toc513458946" w:history="1">
            <w:r w:rsidR="00803D07" w:rsidRPr="00476992">
              <w:rPr>
                <w:rStyle w:val="Hyperlink"/>
                <w:noProof/>
              </w:rPr>
              <w:t>Clinical evaluation for Submission PM-2016-02325-1-4</w:t>
            </w:r>
            <w:r w:rsidR="00803D07">
              <w:rPr>
                <w:noProof/>
                <w:webHidden/>
              </w:rPr>
              <w:tab/>
            </w:r>
            <w:r w:rsidR="00803D07">
              <w:rPr>
                <w:noProof/>
                <w:webHidden/>
              </w:rPr>
              <w:fldChar w:fldCharType="begin"/>
            </w:r>
            <w:r w:rsidR="00803D07">
              <w:rPr>
                <w:noProof/>
                <w:webHidden/>
              </w:rPr>
              <w:instrText xml:space="preserve"> PAGEREF _Toc513458946 \h </w:instrText>
            </w:r>
            <w:r w:rsidR="00803D07">
              <w:rPr>
                <w:noProof/>
                <w:webHidden/>
              </w:rPr>
            </w:r>
            <w:r w:rsidR="00803D07">
              <w:rPr>
                <w:noProof/>
                <w:webHidden/>
              </w:rPr>
              <w:fldChar w:fldCharType="separate"/>
            </w:r>
            <w:r w:rsidR="00803D07">
              <w:rPr>
                <w:noProof/>
                <w:webHidden/>
              </w:rPr>
              <w:t>44</w:t>
            </w:r>
            <w:r w:rsidR="00803D07">
              <w:rPr>
                <w:noProof/>
                <w:webHidden/>
              </w:rPr>
              <w:fldChar w:fldCharType="end"/>
            </w:r>
          </w:hyperlink>
        </w:p>
        <w:p w14:paraId="3E127C9E" w14:textId="77777777" w:rsidR="00803D07" w:rsidRDefault="00F0667C">
          <w:pPr>
            <w:pStyle w:val="TOC3"/>
            <w:rPr>
              <w:rFonts w:asciiTheme="minorHAnsi" w:eastAsiaTheme="minorEastAsia" w:hAnsiTheme="minorHAnsi" w:cstheme="minorBidi"/>
              <w:noProof/>
              <w:lang w:eastAsia="en-AU"/>
            </w:rPr>
          </w:pPr>
          <w:hyperlink w:anchor="_Toc513458947" w:history="1">
            <w:r w:rsidR="00803D07" w:rsidRPr="00476992">
              <w:rPr>
                <w:rStyle w:val="Hyperlink"/>
                <w:noProof/>
                <w:lang w:eastAsia="en-AU"/>
              </w:rPr>
              <w:t>Risk management plan</w:t>
            </w:r>
            <w:r w:rsidR="00803D07">
              <w:rPr>
                <w:noProof/>
                <w:webHidden/>
              </w:rPr>
              <w:tab/>
            </w:r>
            <w:r w:rsidR="00803D07">
              <w:rPr>
                <w:noProof/>
                <w:webHidden/>
              </w:rPr>
              <w:fldChar w:fldCharType="begin"/>
            </w:r>
            <w:r w:rsidR="00803D07">
              <w:rPr>
                <w:noProof/>
                <w:webHidden/>
              </w:rPr>
              <w:instrText xml:space="preserve"> PAGEREF _Toc513458947 \h </w:instrText>
            </w:r>
            <w:r w:rsidR="00803D07">
              <w:rPr>
                <w:noProof/>
                <w:webHidden/>
              </w:rPr>
            </w:r>
            <w:r w:rsidR="00803D07">
              <w:rPr>
                <w:noProof/>
                <w:webHidden/>
              </w:rPr>
              <w:fldChar w:fldCharType="separate"/>
            </w:r>
            <w:r w:rsidR="00803D07">
              <w:rPr>
                <w:noProof/>
                <w:webHidden/>
              </w:rPr>
              <w:t>53</w:t>
            </w:r>
            <w:r w:rsidR="00803D07">
              <w:rPr>
                <w:noProof/>
                <w:webHidden/>
              </w:rPr>
              <w:fldChar w:fldCharType="end"/>
            </w:r>
          </w:hyperlink>
        </w:p>
        <w:p w14:paraId="66439436" w14:textId="77777777" w:rsidR="00803D07" w:rsidRDefault="00F0667C">
          <w:pPr>
            <w:pStyle w:val="TOC3"/>
            <w:rPr>
              <w:rFonts w:asciiTheme="minorHAnsi" w:eastAsiaTheme="minorEastAsia" w:hAnsiTheme="minorHAnsi" w:cstheme="minorBidi"/>
              <w:noProof/>
              <w:lang w:eastAsia="en-AU"/>
            </w:rPr>
          </w:pPr>
          <w:hyperlink w:anchor="_Toc513458948" w:history="1">
            <w:r w:rsidR="00803D07" w:rsidRPr="00476992">
              <w:rPr>
                <w:rStyle w:val="Hyperlink"/>
                <w:noProof/>
              </w:rPr>
              <w:t>Risk-benefit analysis</w:t>
            </w:r>
            <w:r w:rsidR="00803D07">
              <w:rPr>
                <w:noProof/>
                <w:webHidden/>
              </w:rPr>
              <w:tab/>
            </w:r>
            <w:r w:rsidR="00803D07">
              <w:rPr>
                <w:noProof/>
                <w:webHidden/>
              </w:rPr>
              <w:fldChar w:fldCharType="begin"/>
            </w:r>
            <w:r w:rsidR="00803D07">
              <w:rPr>
                <w:noProof/>
                <w:webHidden/>
              </w:rPr>
              <w:instrText xml:space="preserve"> PAGEREF _Toc513458948 \h </w:instrText>
            </w:r>
            <w:r w:rsidR="00803D07">
              <w:rPr>
                <w:noProof/>
                <w:webHidden/>
              </w:rPr>
            </w:r>
            <w:r w:rsidR="00803D07">
              <w:rPr>
                <w:noProof/>
                <w:webHidden/>
              </w:rPr>
              <w:fldChar w:fldCharType="separate"/>
            </w:r>
            <w:r w:rsidR="00803D07">
              <w:rPr>
                <w:noProof/>
                <w:webHidden/>
              </w:rPr>
              <w:t>53</w:t>
            </w:r>
            <w:r w:rsidR="00803D07">
              <w:rPr>
                <w:noProof/>
                <w:webHidden/>
              </w:rPr>
              <w:fldChar w:fldCharType="end"/>
            </w:r>
          </w:hyperlink>
        </w:p>
        <w:p w14:paraId="4999BB27" w14:textId="77777777" w:rsidR="00803D07" w:rsidRDefault="00F0667C">
          <w:pPr>
            <w:pStyle w:val="TOC3"/>
            <w:rPr>
              <w:rFonts w:asciiTheme="minorHAnsi" w:eastAsiaTheme="minorEastAsia" w:hAnsiTheme="minorHAnsi" w:cstheme="minorBidi"/>
              <w:noProof/>
              <w:lang w:eastAsia="en-AU"/>
            </w:rPr>
          </w:pPr>
          <w:hyperlink w:anchor="_Toc513458949" w:history="1">
            <w:r w:rsidR="00803D07" w:rsidRPr="00476992">
              <w:rPr>
                <w:rStyle w:val="Hyperlink"/>
                <w:noProof/>
              </w:rPr>
              <w:t>Outcome</w:t>
            </w:r>
            <w:r w:rsidR="00803D07">
              <w:rPr>
                <w:noProof/>
                <w:webHidden/>
              </w:rPr>
              <w:tab/>
            </w:r>
            <w:r w:rsidR="00803D07">
              <w:rPr>
                <w:noProof/>
                <w:webHidden/>
              </w:rPr>
              <w:fldChar w:fldCharType="begin"/>
            </w:r>
            <w:r w:rsidR="00803D07">
              <w:rPr>
                <w:noProof/>
                <w:webHidden/>
              </w:rPr>
              <w:instrText xml:space="preserve"> PAGEREF _Toc513458949 \h </w:instrText>
            </w:r>
            <w:r w:rsidR="00803D07">
              <w:rPr>
                <w:noProof/>
                <w:webHidden/>
              </w:rPr>
            </w:r>
            <w:r w:rsidR="00803D07">
              <w:rPr>
                <w:noProof/>
                <w:webHidden/>
              </w:rPr>
              <w:fldChar w:fldCharType="separate"/>
            </w:r>
            <w:r w:rsidR="00803D07">
              <w:rPr>
                <w:noProof/>
                <w:webHidden/>
              </w:rPr>
              <w:t>72</w:t>
            </w:r>
            <w:r w:rsidR="00803D07">
              <w:rPr>
                <w:noProof/>
                <w:webHidden/>
              </w:rPr>
              <w:fldChar w:fldCharType="end"/>
            </w:r>
          </w:hyperlink>
        </w:p>
        <w:p w14:paraId="29AD9159" w14:textId="77777777" w:rsidR="00803D07" w:rsidRDefault="00F0667C">
          <w:pPr>
            <w:pStyle w:val="TOC2"/>
            <w:rPr>
              <w:rFonts w:asciiTheme="minorHAnsi" w:eastAsiaTheme="minorEastAsia" w:hAnsiTheme="minorHAnsi" w:cstheme="minorBidi"/>
              <w:b w:val="0"/>
              <w:noProof/>
              <w:sz w:val="22"/>
              <w:lang w:eastAsia="en-AU"/>
            </w:rPr>
          </w:pPr>
          <w:hyperlink w:anchor="_Toc513458950" w:history="1">
            <w:r w:rsidR="00803D07" w:rsidRPr="00476992">
              <w:rPr>
                <w:rStyle w:val="Hyperlink"/>
                <w:noProof/>
              </w:rPr>
              <w:t>Attachment 1. Product Information</w:t>
            </w:r>
            <w:r w:rsidR="00803D07">
              <w:rPr>
                <w:noProof/>
                <w:webHidden/>
              </w:rPr>
              <w:tab/>
            </w:r>
            <w:r w:rsidR="00803D07">
              <w:rPr>
                <w:noProof/>
                <w:webHidden/>
              </w:rPr>
              <w:fldChar w:fldCharType="begin"/>
            </w:r>
            <w:r w:rsidR="00803D07">
              <w:rPr>
                <w:noProof/>
                <w:webHidden/>
              </w:rPr>
              <w:instrText xml:space="preserve"> PAGEREF _Toc513458950 \h </w:instrText>
            </w:r>
            <w:r w:rsidR="00803D07">
              <w:rPr>
                <w:noProof/>
                <w:webHidden/>
              </w:rPr>
            </w:r>
            <w:r w:rsidR="00803D07">
              <w:rPr>
                <w:noProof/>
                <w:webHidden/>
              </w:rPr>
              <w:fldChar w:fldCharType="separate"/>
            </w:r>
            <w:r w:rsidR="00803D07">
              <w:rPr>
                <w:noProof/>
                <w:webHidden/>
              </w:rPr>
              <w:t>72</w:t>
            </w:r>
            <w:r w:rsidR="00803D07">
              <w:rPr>
                <w:noProof/>
                <w:webHidden/>
              </w:rPr>
              <w:fldChar w:fldCharType="end"/>
            </w:r>
          </w:hyperlink>
        </w:p>
        <w:p w14:paraId="02ADD66E" w14:textId="77777777" w:rsidR="00803D07" w:rsidRDefault="00F0667C">
          <w:pPr>
            <w:pStyle w:val="TOC2"/>
            <w:rPr>
              <w:rFonts w:asciiTheme="minorHAnsi" w:eastAsiaTheme="minorEastAsia" w:hAnsiTheme="minorHAnsi" w:cstheme="minorBidi"/>
              <w:b w:val="0"/>
              <w:noProof/>
              <w:sz w:val="22"/>
              <w:lang w:eastAsia="en-AU"/>
            </w:rPr>
          </w:pPr>
          <w:hyperlink w:anchor="_Toc513458951" w:history="1">
            <w:r w:rsidR="00803D07" w:rsidRPr="00476992">
              <w:rPr>
                <w:rStyle w:val="Hyperlink"/>
                <w:noProof/>
                <w:lang w:eastAsia="en-AU"/>
              </w:rPr>
              <w:t>Attachment 2. Extract from the Clinical Evaluation Report (submission PM 2015-04712-1-4)</w:t>
            </w:r>
            <w:r w:rsidR="00803D07">
              <w:rPr>
                <w:noProof/>
                <w:webHidden/>
              </w:rPr>
              <w:tab/>
            </w:r>
            <w:r w:rsidR="00803D07">
              <w:rPr>
                <w:noProof/>
                <w:webHidden/>
              </w:rPr>
              <w:fldChar w:fldCharType="begin"/>
            </w:r>
            <w:r w:rsidR="00803D07">
              <w:rPr>
                <w:noProof/>
                <w:webHidden/>
              </w:rPr>
              <w:instrText xml:space="preserve"> PAGEREF _Toc513458951 \h </w:instrText>
            </w:r>
            <w:r w:rsidR="00803D07">
              <w:rPr>
                <w:noProof/>
                <w:webHidden/>
              </w:rPr>
            </w:r>
            <w:r w:rsidR="00803D07">
              <w:rPr>
                <w:noProof/>
                <w:webHidden/>
              </w:rPr>
              <w:fldChar w:fldCharType="separate"/>
            </w:r>
            <w:r w:rsidR="00803D07">
              <w:rPr>
                <w:noProof/>
                <w:webHidden/>
              </w:rPr>
              <w:t>73</w:t>
            </w:r>
            <w:r w:rsidR="00803D07">
              <w:rPr>
                <w:noProof/>
                <w:webHidden/>
              </w:rPr>
              <w:fldChar w:fldCharType="end"/>
            </w:r>
          </w:hyperlink>
        </w:p>
        <w:p w14:paraId="6207FE4B" w14:textId="77777777" w:rsidR="00803D07" w:rsidRDefault="00F0667C">
          <w:pPr>
            <w:pStyle w:val="TOC2"/>
            <w:rPr>
              <w:rFonts w:asciiTheme="minorHAnsi" w:eastAsiaTheme="minorEastAsia" w:hAnsiTheme="minorHAnsi" w:cstheme="minorBidi"/>
              <w:b w:val="0"/>
              <w:noProof/>
              <w:sz w:val="22"/>
              <w:lang w:eastAsia="en-AU"/>
            </w:rPr>
          </w:pPr>
          <w:hyperlink w:anchor="_Toc513458952" w:history="1">
            <w:r w:rsidR="00803D07" w:rsidRPr="00476992">
              <w:rPr>
                <w:rStyle w:val="Hyperlink"/>
                <w:noProof/>
                <w:lang w:eastAsia="en-AU"/>
              </w:rPr>
              <w:t>Attachment 3. Extract from the Clinical Evaluation Report (submission PM-2016-02325-1-4)</w:t>
            </w:r>
            <w:r w:rsidR="00803D07">
              <w:rPr>
                <w:noProof/>
                <w:webHidden/>
              </w:rPr>
              <w:tab/>
            </w:r>
            <w:r w:rsidR="00803D07">
              <w:rPr>
                <w:noProof/>
                <w:webHidden/>
              </w:rPr>
              <w:fldChar w:fldCharType="begin"/>
            </w:r>
            <w:r w:rsidR="00803D07">
              <w:rPr>
                <w:noProof/>
                <w:webHidden/>
              </w:rPr>
              <w:instrText xml:space="preserve"> PAGEREF _Toc513458952 \h </w:instrText>
            </w:r>
            <w:r w:rsidR="00803D07">
              <w:rPr>
                <w:noProof/>
                <w:webHidden/>
              </w:rPr>
            </w:r>
            <w:r w:rsidR="00803D07">
              <w:rPr>
                <w:noProof/>
                <w:webHidden/>
              </w:rPr>
              <w:fldChar w:fldCharType="separate"/>
            </w:r>
            <w:r w:rsidR="00803D07">
              <w:rPr>
                <w:noProof/>
                <w:webHidden/>
              </w:rPr>
              <w:t>73</w:t>
            </w:r>
            <w:r w:rsidR="00803D07">
              <w:rPr>
                <w:noProof/>
                <w:webHidden/>
              </w:rPr>
              <w:fldChar w:fldCharType="end"/>
            </w:r>
          </w:hyperlink>
        </w:p>
        <w:p w14:paraId="07F4C486" w14:textId="77777777" w:rsidR="003A7F6C" w:rsidRPr="00B811C6" w:rsidRDefault="00DB6124" w:rsidP="00B811C6">
          <w:pPr>
            <w:pStyle w:val="TOC2"/>
          </w:pPr>
          <w:r>
            <w:fldChar w:fldCharType="end"/>
          </w:r>
        </w:p>
      </w:sdtContent>
    </w:sdt>
    <w:bookmarkStart w:id="2" w:name="_Toc314842482" w:displacedByCustomXml="prev"/>
    <w:p w14:paraId="07F4C487" w14:textId="77777777" w:rsidR="00FD119B" w:rsidRDefault="00FD119B">
      <w:pPr>
        <w:spacing w:before="0" w:after="200" w:line="0" w:lineRule="auto"/>
      </w:pPr>
      <w:r>
        <w:br w:type="page"/>
      </w:r>
    </w:p>
    <w:p w14:paraId="07F4C488"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513458909"/>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FD119B" w:rsidRPr="00FD119B" w14:paraId="07F4C48B"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07F4C489"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07F4C48A" w14:textId="77777777" w:rsidR="00FD119B" w:rsidRPr="00FD119B" w:rsidRDefault="00FD119B" w:rsidP="00FD119B">
            <w:pPr>
              <w:keepNext w:val="0"/>
              <w:ind w:left="0" w:right="0"/>
              <w:rPr>
                <w:szCs w:val="22"/>
                <w:lang w:eastAsia="en-US"/>
              </w:rPr>
            </w:pPr>
            <w:r w:rsidRPr="00FD119B">
              <w:rPr>
                <w:szCs w:val="22"/>
                <w:lang w:eastAsia="en-US"/>
              </w:rPr>
              <w:t>Meaning</w:t>
            </w:r>
          </w:p>
        </w:tc>
      </w:tr>
      <w:tr w:rsidR="00A81270" w:rsidRPr="00FD119B" w14:paraId="07F4C48E" w14:textId="77777777" w:rsidTr="00FD119B">
        <w:tc>
          <w:tcPr>
            <w:tcW w:w="1809" w:type="dxa"/>
          </w:tcPr>
          <w:p w14:paraId="07F4C48C" w14:textId="77777777" w:rsidR="00A81270" w:rsidRPr="000A0844" w:rsidRDefault="00A81270" w:rsidP="001322AC">
            <w:r>
              <w:t>ACM</w:t>
            </w:r>
          </w:p>
        </w:tc>
        <w:tc>
          <w:tcPr>
            <w:tcW w:w="6911" w:type="dxa"/>
          </w:tcPr>
          <w:p w14:paraId="07F4C48D" w14:textId="77777777" w:rsidR="00A81270" w:rsidRDefault="00A81270" w:rsidP="00A81270">
            <w:r>
              <w:t>Advisory Committee for Medicines</w:t>
            </w:r>
          </w:p>
        </w:tc>
      </w:tr>
      <w:tr w:rsidR="008141D3" w:rsidRPr="00FD119B" w14:paraId="07F4C491" w14:textId="77777777" w:rsidTr="00FD119B">
        <w:tc>
          <w:tcPr>
            <w:tcW w:w="1809" w:type="dxa"/>
          </w:tcPr>
          <w:p w14:paraId="07F4C48F" w14:textId="77777777" w:rsidR="008141D3" w:rsidRPr="000941D5" w:rsidRDefault="008141D3" w:rsidP="001322AC">
            <w:r w:rsidRPr="000A0844">
              <w:t>ADAs</w:t>
            </w:r>
          </w:p>
        </w:tc>
        <w:tc>
          <w:tcPr>
            <w:tcW w:w="6911" w:type="dxa"/>
          </w:tcPr>
          <w:p w14:paraId="07F4C490" w14:textId="25748693" w:rsidR="008141D3" w:rsidRPr="000941D5" w:rsidRDefault="003C5B17" w:rsidP="008141D3">
            <w:r>
              <w:t>A</w:t>
            </w:r>
            <w:r w:rsidR="008141D3">
              <w:t>nti-drug antibodies</w:t>
            </w:r>
          </w:p>
        </w:tc>
      </w:tr>
      <w:tr w:rsidR="00574F5E" w:rsidRPr="00FD119B" w14:paraId="07F4C494" w14:textId="77777777" w:rsidTr="00FD119B">
        <w:tc>
          <w:tcPr>
            <w:tcW w:w="1809" w:type="dxa"/>
          </w:tcPr>
          <w:p w14:paraId="07F4C492" w14:textId="77777777" w:rsidR="00574F5E" w:rsidRPr="000941D5" w:rsidRDefault="00574F5E" w:rsidP="001322AC">
            <w:r w:rsidRPr="000941D5">
              <w:t>AE</w:t>
            </w:r>
          </w:p>
        </w:tc>
        <w:tc>
          <w:tcPr>
            <w:tcW w:w="6911" w:type="dxa"/>
          </w:tcPr>
          <w:p w14:paraId="07F4C493" w14:textId="77777777" w:rsidR="00574F5E" w:rsidRPr="000941D5" w:rsidRDefault="00574F5E" w:rsidP="001322AC">
            <w:r w:rsidRPr="000941D5">
              <w:t>Adverse Event</w:t>
            </w:r>
          </w:p>
        </w:tc>
      </w:tr>
      <w:tr w:rsidR="00574F5E" w:rsidRPr="00FD119B" w14:paraId="07F4C497" w14:textId="77777777" w:rsidTr="00FD119B">
        <w:tc>
          <w:tcPr>
            <w:tcW w:w="1809" w:type="dxa"/>
          </w:tcPr>
          <w:p w14:paraId="07F4C495" w14:textId="77777777" w:rsidR="00574F5E" w:rsidRPr="000941D5" w:rsidRDefault="00574F5E" w:rsidP="001322AC">
            <w:r w:rsidRPr="000941D5">
              <w:t>AEOSI</w:t>
            </w:r>
          </w:p>
        </w:tc>
        <w:tc>
          <w:tcPr>
            <w:tcW w:w="6911" w:type="dxa"/>
          </w:tcPr>
          <w:p w14:paraId="07F4C496" w14:textId="77777777" w:rsidR="00574F5E" w:rsidRPr="000941D5" w:rsidRDefault="00574F5E" w:rsidP="001322AC">
            <w:r w:rsidRPr="000941D5">
              <w:t>Adverse event of special interest</w:t>
            </w:r>
          </w:p>
        </w:tc>
      </w:tr>
      <w:tr w:rsidR="00574F5E" w:rsidRPr="00FD119B" w14:paraId="07F4C49A" w14:textId="77777777" w:rsidTr="00FD119B">
        <w:tc>
          <w:tcPr>
            <w:tcW w:w="1809" w:type="dxa"/>
          </w:tcPr>
          <w:p w14:paraId="07F4C498" w14:textId="77777777" w:rsidR="00574F5E" w:rsidRPr="000941D5" w:rsidRDefault="00574F5E" w:rsidP="001322AC">
            <w:r w:rsidRPr="000941D5">
              <w:t>ALK</w:t>
            </w:r>
          </w:p>
        </w:tc>
        <w:tc>
          <w:tcPr>
            <w:tcW w:w="6911" w:type="dxa"/>
          </w:tcPr>
          <w:p w14:paraId="07F4C499" w14:textId="77777777" w:rsidR="00574F5E" w:rsidRPr="000941D5" w:rsidRDefault="00574F5E" w:rsidP="001322AC">
            <w:r w:rsidRPr="000941D5">
              <w:t>Anaplastic Lymphoma Kinase</w:t>
            </w:r>
          </w:p>
        </w:tc>
      </w:tr>
      <w:tr w:rsidR="00574F5E" w:rsidRPr="00FD119B" w14:paraId="07F4C49D" w14:textId="77777777" w:rsidTr="00FD119B">
        <w:tc>
          <w:tcPr>
            <w:tcW w:w="1809" w:type="dxa"/>
          </w:tcPr>
          <w:p w14:paraId="07F4C49B" w14:textId="77777777" w:rsidR="00574F5E" w:rsidRPr="000941D5" w:rsidRDefault="00574F5E" w:rsidP="001322AC">
            <w:r w:rsidRPr="000941D5">
              <w:t>ALT</w:t>
            </w:r>
          </w:p>
        </w:tc>
        <w:tc>
          <w:tcPr>
            <w:tcW w:w="6911" w:type="dxa"/>
          </w:tcPr>
          <w:p w14:paraId="07F4C49C" w14:textId="77777777" w:rsidR="00574F5E" w:rsidRPr="000941D5" w:rsidRDefault="00574F5E" w:rsidP="001322AC">
            <w:r w:rsidRPr="000941D5">
              <w:t>Alanine Transaminase</w:t>
            </w:r>
          </w:p>
        </w:tc>
      </w:tr>
      <w:tr w:rsidR="005B1C86" w:rsidRPr="00FD119B" w14:paraId="07F4C4A0" w14:textId="77777777" w:rsidTr="00FD119B">
        <w:tc>
          <w:tcPr>
            <w:tcW w:w="1809" w:type="dxa"/>
          </w:tcPr>
          <w:p w14:paraId="07F4C49E" w14:textId="77777777" w:rsidR="005B1C86" w:rsidRPr="000941D5" w:rsidRDefault="005B1C86" w:rsidP="001322AC">
            <w:proofErr w:type="spellStart"/>
            <w:r w:rsidRPr="00FC75EF">
              <w:t>APaT</w:t>
            </w:r>
            <w:proofErr w:type="spellEnd"/>
          </w:p>
        </w:tc>
        <w:tc>
          <w:tcPr>
            <w:tcW w:w="6911" w:type="dxa"/>
          </w:tcPr>
          <w:p w14:paraId="07F4C49F" w14:textId="77777777" w:rsidR="005B1C86" w:rsidRPr="000941D5" w:rsidRDefault="00C37728" w:rsidP="001322AC">
            <w:r>
              <w:t>All patients as treated</w:t>
            </w:r>
          </w:p>
        </w:tc>
      </w:tr>
      <w:tr w:rsidR="006418E7" w:rsidRPr="00FD119B" w14:paraId="07F4C4A3" w14:textId="77777777" w:rsidTr="00FD119B">
        <w:tc>
          <w:tcPr>
            <w:tcW w:w="1809" w:type="dxa"/>
          </w:tcPr>
          <w:p w14:paraId="07F4C4A1" w14:textId="77777777" w:rsidR="006418E7" w:rsidRPr="000941D5" w:rsidRDefault="006418E7" w:rsidP="001322AC">
            <w:r>
              <w:rPr>
                <w:lang w:eastAsia="ja-JP"/>
              </w:rPr>
              <w:t>APCs</w:t>
            </w:r>
          </w:p>
        </w:tc>
        <w:tc>
          <w:tcPr>
            <w:tcW w:w="6911" w:type="dxa"/>
          </w:tcPr>
          <w:p w14:paraId="07F4C4A2" w14:textId="77777777" w:rsidR="006418E7" w:rsidRPr="000941D5" w:rsidRDefault="002D1E8D" w:rsidP="006418E7">
            <w:r>
              <w:rPr>
                <w:lang w:eastAsia="ja-JP"/>
              </w:rPr>
              <w:t xml:space="preserve">Antigen </w:t>
            </w:r>
            <w:r w:rsidR="006418E7">
              <w:rPr>
                <w:lang w:eastAsia="ja-JP"/>
              </w:rPr>
              <w:t>presenting cells</w:t>
            </w:r>
          </w:p>
        </w:tc>
      </w:tr>
      <w:tr w:rsidR="00574F5E" w:rsidRPr="00FD119B" w14:paraId="07F4C4A6" w14:textId="77777777" w:rsidTr="00FD119B">
        <w:tc>
          <w:tcPr>
            <w:tcW w:w="1809" w:type="dxa"/>
          </w:tcPr>
          <w:p w14:paraId="07F4C4A4" w14:textId="77777777" w:rsidR="00574F5E" w:rsidRPr="000941D5" w:rsidRDefault="00C37728" w:rsidP="001322AC">
            <w:proofErr w:type="spellStart"/>
            <w:r>
              <w:t>a</w:t>
            </w:r>
            <w:r w:rsidR="00574F5E" w:rsidRPr="000941D5">
              <w:t>PTT</w:t>
            </w:r>
            <w:proofErr w:type="spellEnd"/>
          </w:p>
        </w:tc>
        <w:tc>
          <w:tcPr>
            <w:tcW w:w="6911" w:type="dxa"/>
          </w:tcPr>
          <w:p w14:paraId="07F4C4A5" w14:textId="29397046" w:rsidR="00574F5E" w:rsidRPr="000941D5" w:rsidRDefault="003C5B17" w:rsidP="001322AC">
            <w:r>
              <w:t>A</w:t>
            </w:r>
            <w:r w:rsidRPr="000941D5">
              <w:t xml:space="preserve">ctivated </w:t>
            </w:r>
            <w:r w:rsidR="00574F5E" w:rsidRPr="000941D5">
              <w:t>partial thromboplastin time</w:t>
            </w:r>
          </w:p>
        </w:tc>
      </w:tr>
      <w:tr w:rsidR="00A81270" w:rsidRPr="00FD119B" w14:paraId="07F4C4A9" w14:textId="77777777" w:rsidTr="00FD119B">
        <w:tc>
          <w:tcPr>
            <w:tcW w:w="1809" w:type="dxa"/>
          </w:tcPr>
          <w:p w14:paraId="07F4C4A7" w14:textId="77777777" w:rsidR="00A81270" w:rsidRPr="000941D5" w:rsidRDefault="00A81270" w:rsidP="001322AC">
            <w:r>
              <w:t>ASA</w:t>
            </w:r>
          </w:p>
        </w:tc>
        <w:tc>
          <w:tcPr>
            <w:tcW w:w="6911" w:type="dxa"/>
          </w:tcPr>
          <w:p w14:paraId="07F4C4A8" w14:textId="77777777" w:rsidR="00A81270" w:rsidRPr="000941D5" w:rsidRDefault="00A81270" w:rsidP="00A81270">
            <w:r>
              <w:t>Australian Specific Annex (of the RMP)</w:t>
            </w:r>
          </w:p>
        </w:tc>
      </w:tr>
      <w:tr w:rsidR="00C37728" w:rsidRPr="00FD119B" w14:paraId="07F4C4AC" w14:textId="77777777" w:rsidTr="00FD119B">
        <w:tc>
          <w:tcPr>
            <w:tcW w:w="1809" w:type="dxa"/>
          </w:tcPr>
          <w:p w14:paraId="07F4C4AA" w14:textId="77777777" w:rsidR="00C37728" w:rsidRDefault="00C37728" w:rsidP="001322AC">
            <w:proofErr w:type="spellStart"/>
            <w:r w:rsidRPr="00393AAC">
              <w:t>ASaT</w:t>
            </w:r>
            <w:proofErr w:type="spellEnd"/>
          </w:p>
        </w:tc>
        <w:tc>
          <w:tcPr>
            <w:tcW w:w="6911" w:type="dxa"/>
          </w:tcPr>
          <w:p w14:paraId="07F4C4AB" w14:textId="77777777" w:rsidR="00C37728" w:rsidRDefault="00C37728" w:rsidP="00A81270">
            <w:r>
              <w:t>All subjects as treated</w:t>
            </w:r>
          </w:p>
        </w:tc>
      </w:tr>
      <w:tr w:rsidR="00574F5E" w:rsidRPr="00FD119B" w14:paraId="07F4C4AF" w14:textId="77777777" w:rsidTr="00FD119B">
        <w:tc>
          <w:tcPr>
            <w:tcW w:w="1809" w:type="dxa"/>
          </w:tcPr>
          <w:p w14:paraId="07F4C4AD" w14:textId="77777777" w:rsidR="00574F5E" w:rsidRPr="000941D5" w:rsidRDefault="00574F5E" w:rsidP="001322AC">
            <w:r w:rsidRPr="000941D5">
              <w:t>AST</w:t>
            </w:r>
          </w:p>
        </w:tc>
        <w:tc>
          <w:tcPr>
            <w:tcW w:w="6911" w:type="dxa"/>
          </w:tcPr>
          <w:p w14:paraId="07F4C4AE" w14:textId="77777777" w:rsidR="00574F5E" w:rsidRPr="000941D5" w:rsidRDefault="00574F5E" w:rsidP="001322AC">
            <w:r w:rsidRPr="000941D5">
              <w:t>Aspartate Transaminase</w:t>
            </w:r>
          </w:p>
        </w:tc>
      </w:tr>
      <w:tr w:rsidR="00574F5E" w:rsidRPr="00FD119B" w14:paraId="07F4C4B2" w14:textId="77777777" w:rsidTr="00FD119B">
        <w:tc>
          <w:tcPr>
            <w:tcW w:w="1809" w:type="dxa"/>
          </w:tcPr>
          <w:p w14:paraId="07F4C4B0" w14:textId="77777777" w:rsidR="00574F5E" w:rsidRPr="000941D5" w:rsidRDefault="00574F5E" w:rsidP="001322AC">
            <w:r w:rsidRPr="000941D5">
              <w:t>AUC</w:t>
            </w:r>
          </w:p>
        </w:tc>
        <w:tc>
          <w:tcPr>
            <w:tcW w:w="6911" w:type="dxa"/>
          </w:tcPr>
          <w:p w14:paraId="07F4C4B1" w14:textId="77777777" w:rsidR="00574F5E" w:rsidRPr="000941D5" w:rsidRDefault="00574F5E" w:rsidP="001322AC">
            <w:r w:rsidRPr="000941D5">
              <w:t>Area under the curve</w:t>
            </w:r>
          </w:p>
        </w:tc>
      </w:tr>
      <w:tr w:rsidR="00574F5E" w:rsidRPr="00FD119B" w14:paraId="07F4C4B5" w14:textId="77777777" w:rsidTr="00FD119B">
        <w:tc>
          <w:tcPr>
            <w:tcW w:w="1809" w:type="dxa"/>
          </w:tcPr>
          <w:p w14:paraId="07F4C4B3" w14:textId="77777777" w:rsidR="00574F5E" w:rsidRPr="000941D5" w:rsidRDefault="00574F5E" w:rsidP="001322AC">
            <w:r w:rsidRPr="000941D5">
              <w:t>BICR</w:t>
            </w:r>
          </w:p>
        </w:tc>
        <w:tc>
          <w:tcPr>
            <w:tcW w:w="6911" w:type="dxa"/>
          </w:tcPr>
          <w:p w14:paraId="07F4C4B4" w14:textId="77777777" w:rsidR="00574F5E" w:rsidRPr="000941D5" w:rsidRDefault="00574F5E" w:rsidP="001322AC">
            <w:r w:rsidRPr="000941D5">
              <w:t>Blinded Independent Central Radiologist</w:t>
            </w:r>
          </w:p>
        </w:tc>
      </w:tr>
      <w:tr w:rsidR="00574F5E" w:rsidRPr="00FD119B" w14:paraId="07F4C4B8" w14:textId="77777777" w:rsidTr="00FD119B">
        <w:tc>
          <w:tcPr>
            <w:tcW w:w="1809" w:type="dxa"/>
          </w:tcPr>
          <w:p w14:paraId="07F4C4B6" w14:textId="77777777" w:rsidR="00574F5E" w:rsidRPr="000941D5" w:rsidRDefault="00574F5E" w:rsidP="001322AC">
            <w:r w:rsidRPr="000941D5">
              <w:t>CI</w:t>
            </w:r>
          </w:p>
        </w:tc>
        <w:tc>
          <w:tcPr>
            <w:tcW w:w="6911" w:type="dxa"/>
          </w:tcPr>
          <w:p w14:paraId="07F4C4B7" w14:textId="77777777" w:rsidR="00574F5E" w:rsidRPr="000941D5" w:rsidRDefault="00574F5E" w:rsidP="001322AC">
            <w:r w:rsidRPr="000941D5">
              <w:t>Confidence interval</w:t>
            </w:r>
          </w:p>
        </w:tc>
      </w:tr>
      <w:tr w:rsidR="008141D3" w:rsidRPr="00FD119B" w14:paraId="07F4C4BB" w14:textId="77777777" w:rsidTr="00FD119B">
        <w:tc>
          <w:tcPr>
            <w:tcW w:w="1809" w:type="dxa"/>
          </w:tcPr>
          <w:p w14:paraId="07F4C4B9" w14:textId="77777777" w:rsidR="008141D3" w:rsidRPr="000941D5" w:rsidRDefault="008141D3" w:rsidP="001322AC">
            <w:proofErr w:type="spellStart"/>
            <w:r w:rsidRPr="00F5372F">
              <w:t>C</w:t>
            </w:r>
            <w:r w:rsidRPr="00D53B25">
              <w:rPr>
                <w:vertAlign w:val="subscript"/>
              </w:rPr>
              <w:t>min</w:t>
            </w:r>
            <w:proofErr w:type="spellEnd"/>
          </w:p>
        </w:tc>
        <w:tc>
          <w:tcPr>
            <w:tcW w:w="6911" w:type="dxa"/>
          </w:tcPr>
          <w:p w14:paraId="07F4C4BA" w14:textId="77777777" w:rsidR="008141D3" w:rsidRPr="000941D5" w:rsidRDefault="008141D3" w:rsidP="001322AC">
            <w:r>
              <w:t>Minimum plasma concentration</w:t>
            </w:r>
          </w:p>
        </w:tc>
      </w:tr>
      <w:tr w:rsidR="00574F5E" w:rsidRPr="00FD119B" w14:paraId="07F4C4BE" w14:textId="77777777" w:rsidTr="00FD119B">
        <w:tc>
          <w:tcPr>
            <w:tcW w:w="1809" w:type="dxa"/>
          </w:tcPr>
          <w:p w14:paraId="07F4C4BC" w14:textId="77777777" w:rsidR="00574F5E" w:rsidRPr="000941D5" w:rsidRDefault="00574F5E" w:rsidP="001322AC">
            <w:r w:rsidRPr="000941D5">
              <w:t>CMI</w:t>
            </w:r>
          </w:p>
        </w:tc>
        <w:tc>
          <w:tcPr>
            <w:tcW w:w="6911" w:type="dxa"/>
          </w:tcPr>
          <w:p w14:paraId="07F4C4BD" w14:textId="77777777" w:rsidR="00574F5E" w:rsidRPr="000941D5" w:rsidRDefault="00574F5E" w:rsidP="001322AC">
            <w:r w:rsidRPr="000941D5">
              <w:t>Consumer Medicines Information</w:t>
            </w:r>
          </w:p>
        </w:tc>
      </w:tr>
      <w:tr w:rsidR="00CE318D" w:rsidRPr="00FD119B" w14:paraId="07F4C4C1" w14:textId="77777777" w:rsidTr="00FD119B">
        <w:tc>
          <w:tcPr>
            <w:tcW w:w="1809" w:type="dxa"/>
          </w:tcPr>
          <w:p w14:paraId="07F4C4BF" w14:textId="77777777" w:rsidR="00CE318D" w:rsidRPr="000941D5" w:rsidRDefault="00CE318D" w:rsidP="001322AC">
            <w:r w:rsidRPr="00273833">
              <w:t>COPD</w:t>
            </w:r>
          </w:p>
        </w:tc>
        <w:tc>
          <w:tcPr>
            <w:tcW w:w="6911" w:type="dxa"/>
          </w:tcPr>
          <w:p w14:paraId="07F4C4C0" w14:textId="77777777" w:rsidR="00CE318D" w:rsidRPr="000941D5" w:rsidRDefault="00CE318D" w:rsidP="001322AC">
            <w:r>
              <w:t>Chronic obstructive pulmonary disease</w:t>
            </w:r>
          </w:p>
        </w:tc>
      </w:tr>
      <w:tr w:rsidR="005B1C86" w:rsidRPr="00FD119B" w14:paraId="07F4C4C4" w14:textId="77777777" w:rsidTr="00FD119B">
        <w:tc>
          <w:tcPr>
            <w:tcW w:w="1809" w:type="dxa"/>
          </w:tcPr>
          <w:p w14:paraId="07F4C4C2" w14:textId="77777777" w:rsidR="005B1C86" w:rsidRPr="000941D5" w:rsidRDefault="005B1C86" w:rsidP="001322AC">
            <w:r>
              <w:t>CTA</w:t>
            </w:r>
          </w:p>
        </w:tc>
        <w:tc>
          <w:tcPr>
            <w:tcW w:w="6911" w:type="dxa"/>
          </w:tcPr>
          <w:p w14:paraId="07F4C4C3" w14:textId="77777777" w:rsidR="005B1C86" w:rsidRPr="000941D5" w:rsidRDefault="005B1C86" w:rsidP="005B1C86">
            <w:r w:rsidRPr="00FC75EF">
              <w:t xml:space="preserve">Clinical Trial </w:t>
            </w:r>
            <w:r w:rsidRPr="005B1C86">
              <w:t>Assay (for PD-L1)</w:t>
            </w:r>
          </w:p>
        </w:tc>
      </w:tr>
      <w:tr w:rsidR="00574F5E" w:rsidRPr="00FD119B" w14:paraId="07F4C4C7" w14:textId="77777777" w:rsidTr="00FD119B">
        <w:tc>
          <w:tcPr>
            <w:tcW w:w="1809" w:type="dxa"/>
          </w:tcPr>
          <w:p w14:paraId="07F4C4C5" w14:textId="77777777" w:rsidR="00574F5E" w:rsidRPr="000941D5" w:rsidRDefault="00574F5E" w:rsidP="001322AC">
            <w:r w:rsidRPr="000941D5">
              <w:t>CTCAE</w:t>
            </w:r>
          </w:p>
        </w:tc>
        <w:tc>
          <w:tcPr>
            <w:tcW w:w="6911" w:type="dxa"/>
          </w:tcPr>
          <w:p w14:paraId="07F4C4C6" w14:textId="77777777" w:rsidR="00574F5E" w:rsidRPr="000941D5" w:rsidRDefault="00574F5E" w:rsidP="001322AC">
            <w:r w:rsidRPr="000941D5">
              <w:t>Common terminology criteria for adverse events</w:t>
            </w:r>
          </w:p>
        </w:tc>
      </w:tr>
      <w:tr w:rsidR="008141D3" w:rsidRPr="00FD119B" w14:paraId="07F4C4CA" w14:textId="77777777" w:rsidTr="00FD119B">
        <w:tc>
          <w:tcPr>
            <w:tcW w:w="1809" w:type="dxa"/>
          </w:tcPr>
          <w:p w14:paraId="07F4C4C8" w14:textId="77777777" w:rsidR="008141D3" w:rsidRPr="000941D5" w:rsidRDefault="008141D3" w:rsidP="001322AC">
            <w:r>
              <w:t>CV</w:t>
            </w:r>
          </w:p>
        </w:tc>
        <w:tc>
          <w:tcPr>
            <w:tcW w:w="6911" w:type="dxa"/>
          </w:tcPr>
          <w:p w14:paraId="07F4C4C9" w14:textId="1B94EC72" w:rsidR="008141D3" w:rsidRPr="000941D5" w:rsidRDefault="003C5B17" w:rsidP="001322AC">
            <w:r>
              <w:t>C</w:t>
            </w:r>
            <w:r w:rsidRPr="00AB5089">
              <w:t xml:space="preserve">oefficient </w:t>
            </w:r>
            <w:r w:rsidR="008141D3" w:rsidRPr="00AB5089">
              <w:t>of variation</w:t>
            </w:r>
          </w:p>
        </w:tc>
      </w:tr>
      <w:tr w:rsidR="005B1C86" w:rsidRPr="00FD119B" w14:paraId="07F4C4CD" w14:textId="77777777" w:rsidTr="00FD119B">
        <w:tc>
          <w:tcPr>
            <w:tcW w:w="1809" w:type="dxa"/>
          </w:tcPr>
          <w:p w14:paraId="07F4C4CB" w14:textId="77777777" w:rsidR="005B1C86" w:rsidRPr="000941D5" w:rsidRDefault="005B1C86" w:rsidP="001322AC">
            <w:proofErr w:type="spellStart"/>
            <w:r w:rsidRPr="00FC75EF">
              <w:t>DoR</w:t>
            </w:r>
            <w:proofErr w:type="spellEnd"/>
          </w:p>
        </w:tc>
        <w:tc>
          <w:tcPr>
            <w:tcW w:w="6911" w:type="dxa"/>
          </w:tcPr>
          <w:p w14:paraId="07F4C4CC" w14:textId="77777777" w:rsidR="005B1C86" w:rsidRPr="000941D5" w:rsidRDefault="005B1C86" w:rsidP="001322AC">
            <w:r>
              <w:t>Duration of response</w:t>
            </w:r>
          </w:p>
        </w:tc>
      </w:tr>
      <w:tr w:rsidR="008D6066" w:rsidRPr="00FD119B" w14:paraId="07F4C4D0" w14:textId="77777777" w:rsidTr="00FD119B">
        <w:tc>
          <w:tcPr>
            <w:tcW w:w="1809" w:type="dxa"/>
          </w:tcPr>
          <w:p w14:paraId="07F4C4CE" w14:textId="77777777" w:rsidR="008D6066" w:rsidRPr="000941D5" w:rsidRDefault="008D6066" w:rsidP="001322AC">
            <w:r>
              <w:rPr>
                <w:lang w:eastAsia="ja-JP"/>
              </w:rPr>
              <w:t>ECI</w:t>
            </w:r>
          </w:p>
        </w:tc>
        <w:tc>
          <w:tcPr>
            <w:tcW w:w="6911" w:type="dxa"/>
          </w:tcPr>
          <w:p w14:paraId="07F4C4CF" w14:textId="3B3FA20A" w:rsidR="008D6066" w:rsidRPr="000941D5" w:rsidRDefault="003C5B17" w:rsidP="008D6066">
            <w:r>
              <w:rPr>
                <w:lang w:eastAsia="ja-JP"/>
              </w:rPr>
              <w:t xml:space="preserve">Events </w:t>
            </w:r>
            <w:r w:rsidR="008D6066">
              <w:rPr>
                <w:lang w:eastAsia="ja-JP"/>
              </w:rPr>
              <w:t>of clinical interest</w:t>
            </w:r>
          </w:p>
        </w:tc>
      </w:tr>
      <w:tr w:rsidR="00574F5E" w:rsidRPr="00FD119B" w14:paraId="07F4C4D3" w14:textId="77777777" w:rsidTr="00FD119B">
        <w:tc>
          <w:tcPr>
            <w:tcW w:w="1809" w:type="dxa"/>
          </w:tcPr>
          <w:p w14:paraId="07F4C4D1" w14:textId="77777777" w:rsidR="00574F5E" w:rsidRPr="000941D5" w:rsidRDefault="00574F5E" w:rsidP="001322AC">
            <w:r w:rsidRPr="000941D5">
              <w:t>ECOG</w:t>
            </w:r>
          </w:p>
        </w:tc>
        <w:tc>
          <w:tcPr>
            <w:tcW w:w="6911" w:type="dxa"/>
          </w:tcPr>
          <w:p w14:paraId="07F4C4D2" w14:textId="77777777" w:rsidR="00574F5E" w:rsidRPr="000941D5" w:rsidRDefault="00574F5E" w:rsidP="001322AC">
            <w:r w:rsidRPr="000941D5">
              <w:t>Eastern Cooperative Oncology Group</w:t>
            </w:r>
          </w:p>
        </w:tc>
      </w:tr>
      <w:tr w:rsidR="00574F5E" w:rsidRPr="00FD119B" w14:paraId="07F4C4D6" w14:textId="77777777" w:rsidTr="00FD119B">
        <w:tc>
          <w:tcPr>
            <w:tcW w:w="1809" w:type="dxa"/>
          </w:tcPr>
          <w:p w14:paraId="07F4C4D4" w14:textId="77777777" w:rsidR="00574F5E" w:rsidRPr="000941D5" w:rsidRDefault="00574F5E" w:rsidP="001322AC">
            <w:r w:rsidRPr="000941D5">
              <w:t>EGFR</w:t>
            </w:r>
          </w:p>
        </w:tc>
        <w:tc>
          <w:tcPr>
            <w:tcW w:w="6911" w:type="dxa"/>
          </w:tcPr>
          <w:p w14:paraId="07F4C4D5" w14:textId="77777777" w:rsidR="00574F5E" w:rsidRPr="000941D5" w:rsidRDefault="00574F5E" w:rsidP="001322AC">
            <w:r w:rsidRPr="000941D5">
              <w:t>Epidermal Growth Factor Receptor</w:t>
            </w:r>
          </w:p>
        </w:tc>
      </w:tr>
      <w:tr w:rsidR="00574F5E" w:rsidRPr="00FD119B" w14:paraId="07F4C4D9" w14:textId="77777777" w:rsidTr="00FD119B">
        <w:tc>
          <w:tcPr>
            <w:tcW w:w="1809" w:type="dxa"/>
          </w:tcPr>
          <w:p w14:paraId="07F4C4D7" w14:textId="77777777" w:rsidR="00574F5E" w:rsidRPr="000941D5" w:rsidRDefault="00574F5E" w:rsidP="001322AC">
            <w:r w:rsidRPr="000941D5">
              <w:lastRenderedPageBreak/>
              <w:t>EMA</w:t>
            </w:r>
          </w:p>
        </w:tc>
        <w:tc>
          <w:tcPr>
            <w:tcW w:w="6911" w:type="dxa"/>
          </w:tcPr>
          <w:p w14:paraId="07F4C4D8" w14:textId="77777777" w:rsidR="00574F5E" w:rsidRPr="000941D5" w:rsidRDefault="00574F5E" w:rsidP="001322AC">
            <w:r w:rsidRPr="000941D5">
              <w:t>European Medicines Agency</w:t>
            </w:r>
          </w:p>
        </w:tc>
      </w:tr>
      <w:tr w:rsidR="00574F5E" w:rsidRPr="00FD119B" w14:paraId="07F4C4DC" w14:textId="77777777" w:rsidTr="00FD119B">
        <w:tc>
          <w:tcPr>
            <w:tcW w:w="1809" w:type="dxa"/>
          </w:tcPr>
          <w:p w14:paraId="07F4C4DA" w14:textId="77777777" w:rsidR="00574F5E" w:rsidRPr="000941D5" w:rsidRDefault="00574F5E" w:rsidP="001322AC">
            <w:r w:rsidRPr="000941D5">
              <w:t>EORTC</w:t>
            </w:r>
          </w:p>
        </w:tc>
        <w:tc>
          <w:tcPr>
            <w:tcW w:w="6911" w:type="dxa"/>
          </w:tcPr>
          <w:p w14:paraId="07F4C4DB" w14:textId="77777777" w:rsidR="00574F5E" w:rsidRPr="000941D5" w:rsidRDefault="00574F5E" w:rsidP="001322AC">
            <w:r w:rsidRPr="000941D5">
              <w:t>European Organisation for Research and Treatment of Cancer</w:t>
            </w:r>
          </w:p>
        </w:tc>
      </w:tr>
      <w:tr w:rsidR="00574F5E" w:rsidRPr="00FD119B" w14:paraId="07F4C4DF" w14:textId="77777777" w:rsidTr="00FD119B">
        <w:tc>
          <w:tcPr>
            <w:tcW w:w="1809" w:type="dxa"/>
          </w:tcPr>
          <w:p w14:paraId="07F4C4DD" w14:textId="77777777" w:rsidR="00574F5E" w:rsidRPr="000941D5" w:rsidRDefault="00574F5E" w:rsidP="001322AC">
            <w:r w:rsidRPr="000941D5">
              <w:t>FDA</w:t>
            </w:r>
          </w:p>
        </w:tc>
        <w:tc>
          <w:tcPr>
            <w:tcW w:w="6911" w:type="dxa"/>
          </w:tcPr>
          <w:p w14:paraId="07F4C4DE" w14:textId="77777777" w:rsidR="00574F5E" w:rsidRPr="000941D5" w:rsidRDefault="00574F5E" w:rsidP="001322AC">
            <w:r w:rsidRPr="000941D5">
              <w:t>Food and Drug Administration</w:t>
            </w:r>
          </w:p>
        </w:tc>
      </w:tr>
      <w:tr w:rsidR="00574F5E" w:rsidRPr="00FD119B" w14:paraId="07F4C4E2" w14:textId="77777777" w:rsidTr="00FD119B">
        <w:tc>
          <w:tcPr>
            <w:tcW w:w="1809" w:type="dxa"/>
          </w:tcPr>
          <w:p w14:paraId="07F4C4E0" w14:textId="77777777" w:rsidR="00574F5E" w:rsidRPr="000941D5" w:rsidRDefault="00574F5E" w:rsidP="001322AC">
            <w:r w:rsidRPr="000941D5">
              <w:t>GCP</w:t>
            </w:r>
          </w:p>
        </w:tc>
        <w:tc>
          <w:tcPr>
            <w:tcW w:w="6911" w:type="dxa"/>
          </w:tcPr>
          <w:p w14:paraId="07F4C4E1" w14:textId="77777777" w:rsidR="00574F5E" w:rsidRPr="000941D5" w:rsidRDefault="00574F5E" w:rsidP="001322AC">
            <w:r w:rsidRPr="000941D5">
              <w:t>Good Clinical Practice</w:t>
            </w:r>
          </w:p>
        </w:tc>
      </w:tr>
      <w:tr w:rsidR="00A81270" w:rsidRPr="00FD119B" w14:paraId="07F4C4E5" w14:textId="77777777" w:rsidTr="00FD119B">
        <w:tc>
          <w:tcPr>
            <w:tcW w:w="1809" w:type="dxa"/>
          </w:tcPr>
          <w:p w14:paraId="07F4C4E3" w14:textId="77777777" w:rsidR="00A81270" w:rsidRPr="000941D5" w:rsidRDefault="00A81270" w:rsidP="001322AC">
            <w:r>
              <w:t>HNSCC</w:t>
            </w:r>
          </w:p>
        </w:tc>
        <w:tc>
          <w:tcPr>
            <w:tcW w:w="6911" w:type="dxa"/>
          </w:tcPr>
          <w:p w14:paraId="07F4C4E4" w14:textId="77777777" w:rsidR="00A81270" w:rsidRPr="000941D5" w:rsidRDefault="00A81270" w:rsidP="00A81270">
            <w:r>
              <w:t>H</w:t>
            </w:r>
            <w:r w:rsidRPr="00560D2A">
              <w:t>ead an</w:t>
            </w:r>
            <w:r>
              <w:t>d neck squamous cell carcinoma</w:t>
            </w:r>
          </w:p>
        </w:tc>
      </w:tr>
      <w:tr w:rsidR="00A24417" w:rsidRPr="00FD119B" w14:paraId="07F4C4E8" w14:textId="77777777" w:rsidTr="00FD119B">
        <w:tc>
          <w:tcPr>
            <w:tcW w:w="1809" w:type="dxa"/>
          </w:tcPr>
          <w:p w14:paraId="07F4C4E6" w14:textId="77777777" w:rsidR="00A24417" w:rsidRPr="000941D5" w:rsidRDefault="00A24417" w:rsidP="001322AC">
            <w:r w:rsidRPr="00FC75EF">
              <w:t>HR</w:t>
            </w:r>
          </w:p>
        </w:tc>
        <w:tc>
          <w:tcPr>
            <w:tcW w:w="6911" w:type="dxa"/>
          </w:tcPr>
          <w:p w14:paraId="07F4C4E7" w14:textId="77777777" w:rsidR="00A24417" w:rsidRPr="000941D5" w:rsidRDefault="00A24417" w:rsidP="001322AC">
            <w:r>
              <w:t>Hazard ratio</w:t>
            </w:r>
          </w:p>
        </w:tc>
      </w:tr>
      <w:tr w:rsidR="00691589" w:rsidRPr="00FD119B" w14:paraId="07F4C4EB" w14:textId="77777777" w:rsidTr="00FD119B">
        <w:tc>
          <w:tcPr>
            <w:tcW w:w="1809" w:type="dxa"/>
          </w:tcPr>
          <w:p w14:paraId="07F4C4E9" w14:textId="77777777" w:rsidR="00691589" w:rsidRPr="00FC75EF" w:rsidRDefault="00691589" w:rsidP="001322AC">
            <w:r>
              <w:rPr>
                <w:lang w:val="en-US"/>
              </w:rPr>
              <w:t>IASLC</w:t>
            </w:r>
          </w:p>
        </w:tc>
        <w:tc>
          <w:tcPr>
            <w:tcW w:w="6911" w:type="dxa"/>
          </w:tcPr>
          <w:p w14:paraId="07F4C4EA" w14:textId="77777777" w:rsidR="00691589" w:rsidRDefault="00691589" w:rsidP="001322AC">
            <w:r>
              <w:rPr>
                <w:lang w:val="en-US"/>
              </w:rPr>
              <w:t>International Association for the Study of Lung Cancer</w:t>
            </w:r>
          </w:p>
        </w:tc>
      </w:tr>
      <w:tr w:rsidR="00E52E07" w:rsidRPr="00FD119B" w14:paraId="07F4C4EE" w14:textId="77777777" w:rsidTr="00FD119B">
        <w:tc>
          <w:tcPr>
            <w:tcW w:w="1809" w:type="dxa"/>
          </w:tcPr>
          <w:p w14:paraId="07F4C4EC" w14:textId="77777777" w:rsidR="00E52E07" w:rsidRDefault="00E52E07" w:rsidP="001322AC">
            <w:pPr>
              <w:rPr>
                <w:lang w:val="en-US"/>
              </w:rPr>
            </w:pPr>
            <w:r>
              <w:rPr>
                <w:lang w:val="en-US"/>
              </w:rPr>
              <w:t>IFU</w:t>
            </w:r>
          </w:p>
        </w:tc>
        <w:tc>
          <w:tcPr>
            <w:tcW w:w="6911" w:type="dxa"/>
          </w:tcPr>
          <w:p w14:paraId="07F4C4ED" w14:textId="13381E32" w:rsidR="00E52E07" w:rsidRDefault="003C5B17" w:rsidP="001322AC">
            <w:pPr>
              <w:rPr>
                <w:lang w:val="en-US"/>
              </w:rPr>
            </w:pPr>
            <w:r>
              <w:t>I</w:t>
            </w:r>
            <w:r w:rsidR="00E52E07">
              <w:t>nstructions for use</w:t>
            </w:r>
          </w:p>
        </w:tc>
      </w:tr>
      <w:tr w:rsidR="008D6066" w:rsidRPr="00FD119B" w14:paraId="07F4C4F1" w14:textId="77777777" w:rsidTr="00FD119B">
        <w:tc>
          <w:tcPr>
            <w:tcW w:w="1809" w:type="dxa"/>
          </w:tcPr>
          <w:p w14:paraId="07F4C4EF" w14:textId="77777777" w:rsidR="008D6066" w:rsidRPr="000941D5" w:rsidRDefault="008D6066" w:rsidP="001322AC">
            <w:proofErr w:type="spellStart"/>
            <w:r>
              <w:rPr>
                <w:lang w:eastAsia="ja-JP"/>
              </w:rPr>
              <w:t>irAEs</w:t>
            </w:r>
            <w:proofErr w:type="spellEnd"/>
          </w:p>
        </w:tc>
        <w:tc>
          <w:tcPr>
            <w:tcW w:w="6911" w:type="dxa"/>
          </w:tcPr>
          <w:p w14:paraId="07F4C4F0" w14:textId="77777777" w:rsidR="008D6066" w:rsidRPr="000941D5" w:rsidRDefault="008D6066" w:rsidP="008D6066">
            <w:r>
              <w:rPr>
                <w:lang w:eastAsia="ja-JP"/>
              </w:rPr>
              <w:t>Immune related AEs</w:t>
            </w:r>
          </w:p>
        </w:tc>
      </w:tr>
      <w:tr w:rsidR="00574F5E" w:rsidRPr="00FD119B" w14:paraId="07F4C4F4" w14:textId="77777777" w:rsidTr="00FD119B">
        <w:tc>
          <w:tcPr>
            <w:tcW w:w="1809" w:type="dxa"/>
          </w:tcPr>
          <w:p w14:paraId="07F4C4F2" w14:textId="77777777" w:rsidR="00574F5E" w:rsidRPr="000941D5" w:rsidRDefault="00574F5E" w:rsidP="001322AC">
            <w:r w:rsidRPr="000941D5">
              <w:t>ITT</w:t>
            </w:r>
          </w:p>
        </w:tc>
        <w:tc>
          <w:tcPr>
            <w:tcW w:w="6911" w:type="dxa"/>
          </w:tcPr>
          <w:p w14:paraId="07F4C4F3" w14:textId="77777777" w:rsidR="00574F5E" w:rsidRPr="000941D5" w:rsidRDefault="00574F5E" w:rsidP="001322AC">
            <w:r w:rsidRPr="000941D5">
              <w:t>Intention to Treat</w:t>
            </w:r>
          </w:p>
        </w:tc>
      </w:tr>
      <w:tr w:rsidR="00574F5E" w:rsidRPr="00FD119B" w14:paraId="07F4C4F7" w14:textId="77777777" w:rsidTr="00FD119B">
        <w:tc>
          <w:tcPr>
            <w:tcW w:w="1809" w:type="dxa"/>
          </w:tcPr>
          <w:p w14:paraId="07F4C4F5" w14:textId="77777777" w:rsidR="00574F5E" w:rsidRPr="000941D5" w:rsidRDefault="00574F5E" w:rsidP="001322AC">
            <w:r w:rsidRPr="000941D5">
              <w:t>IV</w:t>
            </w:r>
          </w:p>
        </w:tc>
        <w:tc>
          <w:tcPr>
            <w:tcW w:w="6911" w:type="dxa"/>
          </w:tcPr>
          <w:p w14:paraId="07F4C4F6" w14:textId="77777777" w:rsidR="00574F5E" w:rsidRPr="000941D5" w:rsidRDefault="00574F5E" w:rsidP="001322AC">
            <w:r w:rsidRPr="000941D5">
              <w:t>Intravenous</w:t>
            </w:r>
          </w:p>
        </w:tc>
      </w:tr>
      <w:tr w:rsidR="00E06B28" w:rsidRPr="00FD119B" w14:paraId="07F4C4FA" w14:textId="77777777" w:rsidTr="00FD119B">
        <w:tc>
          <w:tcPr>
            <w:tcW w:w="1809" w:type="dxa"/>
          </w:tcPr>
          <w:p w14:paraId="07F4C4F8" w14:textId="77777777" w:rsidR="00E06B28" w:rsidRPr="000941D5" w:rsidRDefault="00D12ADF" w:rsidP="001322AC">
            <w:r>
              <w:t>KN-001</w:t>
            </w:r>
          </w:p>
        </w:tc>
        <w:tc>
          <w:tcPr>
            <w:tcW w:w="6911" w:type="dxa"/>
          </w:tcPr>
          <w:p w14:paraId="07F4C4F9" w14:textId="6AEB1F5B" w:rsidR="00E06B28" w:rsidRPr="000941D5" w:rsidRDefault="00D12ADF" w:rsidP="001322AC">
            <w:r w:rsidRPr="003329F0">
              <w:t>KEYNOTE</w:t>
            </w:r>
            <w:r>
              <w:t>-001</w:t>
            </w:r>
            <w:r w:rsidR="00263D09">
              <w:t xml:space="preserve"> trial;</w:t>
            </w:r>
            <w:r>
              <w:t xml:space="preserve"> also referred to as Study 3475-P001V04</w:t>
            </w:r>
          </w:p>
        </w:tc>
      </w:tr>
      <w:tr w:rsidR="00E06B28" w:rsidRPr="000941D5" w14:paraId="07F4C4FD" w14:textId="77777777" w:rsidTr="00691589">
        <w:tc>
          <w:tcPr>
            <w:tcW w:w="1809" w:type="dxa"/>
          </w:tcPr>
          <w:p w14:paraId="07F4C4FB" w14:textId="77777777" w:rsidR="00E06B28" w:rsidRPr="000941D5" w:rsidRDefault="00E06B28" w:rsidP="00691589">
            <w:r>
              <w:t>KN-010</w:t>
            </w:r>
          </w:p>
        </w:tc>
        <w:tc>
          <w:tcPr>
            <w:tcW w:w="6911" w:type="dxa"/>
          </w:tcPr>
          <w:p w14:paraId="07F4C4FC" w14:textId="591ED2EE" w:rsidR="00E06B28" w:rsidRPr="000941D5" w:rsidRDefault="00E06B28" w:rsidP="00691589">
            <w:r w:rsidRPr="003329F0">
              <w:t>KEYNOTE</w:t>
            </w:r>
            <w:r>
              <w:t>-010</w:t>
            </w:r>
            <w:r w:rsidR="00263D09">
              <w:t xml:space="preserve"> trial; </w:t>
            </w:r>
            <w:r>
              <w:t xml:space="preserve"> also referred to as Study 3745-P010V01</w:t>
            </w:r>
          </w:p>
        </w:tc>
      </w:tr>
      <w:tr w:rsidR="00E06B28" w:rsidRPr="00FD119B" w14:paraId="07F4C500" w14:textId="77777777" w:rsidTr="00FD119B">
        <w:tc>
          <w:tcPr>
            <w:tcW w:w="1809" w:type="dxa"/>
          </w:tcPr>
          <w:p w14:paraId="07F4C4FE" w14:textId="77777777" w:rsidR="00E06B28" w:rsidRPr="000941D5" w:rsidRDefault="008D6066" w:rsidP="001322AC">
            <w:r>
              <w:t>KN-024</w:t>
            </w:r>
          </w:p>
        </w:tc>
        <w:tc>
          <w:tcPr>
            <w:tcW w:w="6911" w:type="dxa"/>
          </w:tcPr>
          <w:p w14:paraId="07F4C4FF" w14:textId="0E8ECB75" w:rsidR="00E06B28" w:rsidRPr="000941D5" w:rsidRDefault="008D6066" w:rsidP="001322AC">
            <w:r>
              <w:rPr>
                <w:lang w:eastAsia="ja-JP"/>
              </w:rPr>
              <w:t xml:space="preserve">KEYNOTE-024 </w:t>
            </w:r>
            <w:r w:rsidR="00263D09">
              <w:rPr>
                <w:lang w:eastAsia="ja-JP"/>
              </w:rPr>
              <w:t xml:space="preserve">trial; </w:t>
            </w:r>
            <w:r>
              <w:rPr>
                <w:lang w:eastAsia="ja-JP"/>
              </w:rPr>
              <w:t>also known as Study 024</w:t>
            </w:r>
          </w:p>
        </w:tc>
      </w:tr>
      <w:tr w:rsidR="00574F5E" w:rsidRPr="00FD119B" w14:paraId="07F4C503" w14:textId="77777777" w:rsidTr="00FD119B">
        <w:tc>
          <w:tcPr>
            <w:tcW w:w="1809" w:type="dxa"/>
          </w:tcPr>
          <w:p w14:paraId="07F4C501" w14:textId="77777777" w:rsidR="00574F5E" w:rsidRPr="000941D5" w:rsidRDefault="00574F5E" w:rsidP="001322AC">
            <w:r w:rsidRPr="000941D5">
              <w:t>LFTs</w:t>
            </w:r>
          </w:p>
        </w:tc>
        <w:tc>
          <w:tcPr>
            <w:tcW w:w="6911" w:type="dxa"/>
          </w:tcPr>
          <w:p w14:paraId="07F4C502" w14:textId="77777777" w:rsidR="00574F5E" w:rsidRPr="000941D5" w:rsidRDefault="00574F5E" w:rsidP="001322AC">
            <w:r w:rsidRPr="000941D5">
              <w:t>Liver function tests</w:t>
            </w:r>
          </w:p>
        </w:tc>
      </w:tr>
      <w:tr w:rsidR="00E52E07" w:rsidRPr="00FD119B" w14:paraId="07F4C506" w14:textId="77777777" w:rsidTr="00FD119B">
        <w:tc>
          <w:tcPr>
            <w:tcW w:w="1809" w:type="dxa"/>
          </w:tcPr>
          <w:p w14:paraId="07F4C504" w14:textId="77777777" w:rsidR="00E52E07" w:rsidRPr="000941D5" w:rsidRDefault="00E52E07" w:rsidP="001322AC">
            <w:r w:rsidRPr="00FC75EF">
              <w:rPr>
                <w:rFonts w:eastAsia="TimesNewRoman" w:cs="TimesNewRoman"/>
              </w:rPr>
              <w:t>MAH</w:t>
            </w:r>
          </w:p>
        </w:tc>
        <w:tc>
          <w:tcPr>
            <w:tcW w:w="6911" w:type="dxa"/>
          </w:tcPr>
          <w:p w14:paraId="07F4C505" w14:textId="77777777" w:rsidR="00E52E07" w:rsidRPr="000941D5" w:rsidRDefault="00E52E07" w:rsidP="001322AC">
            <w:r>
              <w:t>Market authorisation holder</w:t>
            </w:r>
          </w:p>
        </w:tc>
      </w:tr>
      <w:tr w:rsidR="00574F5E" w:rsidRPr="00FD119B" w14:paraId="07F4C509" w14:textId="77777777" w:rsidTr="00FD119B">
        <w:tc>
          <w:tcPr>
            <w:tcW w:w="1809" w:type="dxa"/>
          </w:tcPr>
          <w:p w14:paraId="07F4C507" w14:textId="77777777" w:rsidR="00574F5E" w:rsidRPr="000941D5" w:rsidRDefault="00574F5E" w:rsidP="001322AC">
            <w:proofErr w:type="spellStart"/>
            <w:r w:rsidRPr="000941D5">
              <w:t>MedDRA</w:t>
            </w:r>
            <w:proofErr w:type="spellEnd"/>
          </w:p>
        </w:tc>
        <w:tc>
          <w:tcPr>
            <w:tcW w:w="6911" w:type="dxa"/>
          </w:tcPr>
          <w:p w14:paraId="07F4C508" w14:textId="77777777" w:rsidR="00574F5E" w:rsidRPr="000941D5" w:rsidRDefault="00574F5E" w:rsidP="001322AC">
            <w:r w:rsidRPr="000941D5">
              <w:t>Medical dictionary for regulatory activities</w:t>
            </w:r>
          </w:p>
        </w:tc>
      </w:tr>
      <w:tr w:rsidR="00D65920" w:rsidRPr="00FD119B" w14:paraId="07F4C50C" w14:textId="77777777" w:rsidTr="00FD119B">
        <w:tc>
          <w:tcPr>
            <w:tcW w:w="1809" w:type="dxa"/>
          </w:tcPr>
          <w:p w14:paraId="07F4C50A" w14:textId="77777777" w:rsidR="00D65920" w:rsidRPr="000941D5" w:rsidRDefault="00D65920" w:rsidP="001322AC">
            <w:r w:rsidRPr="00767CC3">
              <w:t>MK-3475</w:t>
            </w:r>
          </w:p>
        </w:tc>
        <w:tc>
          <w:tcPr>
            <w:tcW w:w="6911" w:type="dxa"/>
          </w:tcPr>
          <w:p w14:paraId="07F4C50B" w14:textId="77777777" w:rsidR="00D65920" w:rsidRPr="000941D5" w:rsidRDefault="001C3222" w:rsidP="001322AC">
            <w:r>
              <w:t>Pembrolizumab (Keytruda)</w:t>
            </w:r>
          </w:p>
        </w:tc>
      </w:tr>
      <w:tr w:rsidR="00574F5E" w:rsidRPr="00FD119B" w14:paraId="07F4C50F" w14:textId="77777777" w:rsidTr="00FD119B">
        <w:tc>
          <w:tcPr>
            <w:tcW w:w="1809" w:type="dxa"/>
          </w:tcPr>
          <w:p w14:paraId="07F4C50D" w14:textId="77777777" w:rsidR="00574F5E" w:rsidRPr="000941D5" w:rsidRDefault="00574F5E" w:rsidP="001322AC">
            <w:r w:rsidRPr="000941D5">
              <w:t>NCI</w:t>
            </w:r>
          </w:p>
        </w:tc>
        <w:tc>
          <w:tcPr>
            <w:tcW w:w="6911" w:type="dxa"/>
          </w:tcPr>
          <w:p w14:paraId="07F4C50E" w14:textId="77777777" w:rsidR="00574F5E" w:rsidRPr="000941D5" w:rsidRDefault="00574F5E" w:rsidP="001322AC">
            <w:r w:rsidRPr="000941D5">
              <w:t>National Cancer Institute</w:t>
            </w:r>
          </w:p>
        </w:tc>
      </w:tr>
      <w:tr w:rsidR="008D6066" w:rsidRPr="00FD119B" w14:paraId="07F4C512" w14:textId="77777777" w:rsidTr="00FD119B">
        <w:tc>
          <w:tcPr>
            <w:tcW w:w="1809" w:type="dxa"/>
          </w:tcPr>
          <w:p w14:paraId="07F4C510" w14:textId="77777777" w:rsidR="008D6066" w:rsidRPr="000941D5" w:rsidRDefault="008D6066" w:rsidP="001322AC">
            <w:r w:rsidRPr="005A200B">
              <w:rPr>
                <w:lang w:val="en-US" w:eastAsia="ja-JP"/>
              </w:rPr>
              <w:t>NCI CTCAE</w:t>
            </w:r>
          </w:p>
        </w:tc>
        <w:tc>
          <w:tcPr>
            <w:tcW w:w="6911" w:type="dxa"/>
          </w:tcPr>
          <w:p w14:paraId="07F4C511" w14:textId="77777777" w:rsidR="008D6066" w:rsidRPr="000941D5" w:rsidRDefault="008D6066" w:rsidP="001322AC">
            <w:r>
              <w:t>NCI common terminology criteria for adverse events</w:t>
            </w:r>
          </w:p>
        </w:tc>
      </w:tr>
      <w:tr w:rsidR="00574F5E" w:rsidRPr="00FD119B" w14:paraId="07F4C515" w14:textId="77777777" w:rsidTr="00FD119B">
        <w:tc>
          <w:tcPr>
            <w:tcW w:w="1809" w:type="dxa"/>
          </w:tcPr>
          <w:p w14:paraId="07F4C513" w14:textId="77777777" w:rsidR="00574F5E" w:rsidRPr="000941D5" w:rsidRDefault="00574F5E" w:rsidP="001322AC">
            <w:r w:rsidRPr="000941D5">
              <w:t>NSCLC</w:t>
            </w:r>
          </w:p>
        </w:tc>
        <w:tc>
          <w:tcPr>
            <w:tcW w:w="6911" w:type="dxa"/>
          </w:tcPr>
          <w:p w14:paraId="07F4C514" w14:textId="242BBE8B" w:rsidR="00574F5E" w:rsidRPr="000941D5" w:rsidRDefault="00574F5E" w:rsidP="001322AC">
            <w:r w:rsidRPr="000941D5">
              <w:t>Non-</w:t>
            </w:r>
            <w:r w:rsidR="003C5B17">
              <w:t>s</w:t>
            </w:r>
            <w:r w:rsidRPr="000941D5">
              <w:t xml:space="preserve">mall </w:t>
            </w:r>
            <w:r w:rsidR="003C5B17">
              <w:t>c</w:t>
            </w:r>
            <w:r w:rsidRPr="000941D5">
              <w:t xml:space="preserve">ell </w:t>
            </w:r>
            <w:r w:rsidR="003C5B17">
              <w:t>l</w:t>
            </w:r>
            <w:r w:rsidRPr="000941D5">
              <w:t xml:space="preserve">ung </w:t>
            </w:r>
            <w:r w:rsidR="003C5B17">
              <w:t>c</w:t>
            </w:r>
            <w:r w:rsidRPr="000941D5">
              <w:t>ancer</w:t>
            </w:r>
          </w:p>
        </w:tc>
      </w:tr>
      <w:tr w:rsidR="00CE318D" w:rsidRPr="00FD119B" w14:paraId="07F4C518" w14:textId="77777777" w:rsidTr="00FD119B">
        <w:tc>
          <w:tcPr>
            <w:tcW w:w="1809" w:type="dxa"/>
          </w:tcPr>
          <w:p w14:paraId="07F4C516" w14:textId="77777777" w:rsidR="00CE318D" w:rsidRPr="000941D5" w:rsidRDefault="00CE318D" w:rsidP="001322AC">
            <w:r>
              <w:t>NSQ</w:t>
            </w:r>
          </w:p>
        </w:tc>
        <w:tc>
          <w:tcPr>
            <w:tcW w:w="6911" w:type="dxa"/>
          </w:tcPr>
          <w:p w14:paraId="07F4C517" w14:textId="77777777" w:rsidR="00CE318D" w:rsidRPr="000941D5" w:rsidRDefault="00CE318D" w:rsidP="001322AC">
            <w:r>
              <w:t>Non-squamous</w:t>
            </w:r>
          </w:p>
        </w:tc>
      </w:tr>
      <w:tr w:rsidR="00574F5E" w:rsidRPr="00FD119B" w14:paraId="07F4C51B" w14:textId="77777777" w:rsidTr="00FD119B">
        <w:tc>
          <w:tcPr>
            <w:tcW w:w="1809" w:type="dxa"/>
          </w:tcPr>
          <w:p w14:paraId="07F4C519" w14:textId="77777777" w:rsidR="00574F5E" w:rsidRPr="000941D5" w:rsidRDefault="00574F5E" w:rsidP="001322AC">
            <w:r w:rsidRPr="000941D5">
              <w:t>ORR</w:t>
            </w:r>
          </w:p>
        </w:tc>
        <w:tc>
          <w:tcPr>
            <w:tcW w:w="6911" w:type="dxa"/>
          </w:tcPr>
          <w:p w14:paraId="07F4C51A" w14:textId="77777777" w:rsidR="00574F5E" w:rsidRPr="000941D5" w:rsidRDefault="00574F5E" w:rsidP="001322AC">
            <w:r w:rsidRPr="000941D5">
              <w:t>Objective Response Rate</w:t>
            </w:r>
            <w:r w:rsidR="00691589">
              <w:t xml:space="preserve"> or Overall Response Rate</w:t>
            </w:r>
          </w:p>
        </w:tc>
      </w:tr>
      <w:tr w:rsidR="00574F5E" w:rsidRPr="00FD119B" w14:paraId="07F4C51E" w14:textId="77777777" w:rsidTr="00FD119B">
        <w:tc>
          <w:tcPr>
            <w:tcW w:w="1809" w:type="dxa"/>
          </w:tcPr>
          <w:p w14:paraId="07F4C51C" w14:textId="77777777" w:rsidR="00574F5E" w:rsidRPr="000941D5" w:rsidRDefault="00574F5E" w:rsidP="001322AC">
            <w:r w:rsidRPr="000941D5">
              <w:t>OS</w:t>
            </w:r>
          </w:p>
        </w:tc>
        <w:tc>
          <w:tcPr>
            <w:tcW w:w="6911" w:type="dxa"/>
          </w:tcPr>
          <w:p w14:paraId="07F4C51D" w14:textId="77777777" w:rsidR="00574F5E" w:rsidRPr="000941D5" w:rsidRDefault="00574F5E" w:rsidP="001322AC">
            <w:r w:rsidRPr="000941D5">
              <w:t>Overall Survival</w:t>
            </w:r>
          </w:p>
        </w:tc>
      </w:tr>
      <w:tr w:rsidR="00CE318D" w:rsidRPr="00FD119B" w14:paraId="07F4C521" w14:textId="77777777" w:rsidTr="00FD119B">
        <w:tc>
          <w:tcPr>
            <w:tcW w:w="1809" w:type="dxa"/>
          </w:tcPr>
          <w:p w14:paraId="07F4C51F" w14:textId="77777777" w:rsidR="00CE318D" w:rsidRPr="000941D5" w:rsidRDefault="00CE318D" w:rsidP="001322AC">
            <w:r>
              <w:t>PBS</w:t>
            </w:r>
          </w:p>
        </w:tc>
        <w:tc>
          <w:tcPr>
            <w:tcW w:w="6911" w:type="dxa"/>
          </w:tcPr>
          <w:p w14:paraId="07F4C520" w14:textId="645037E5" w:rsidR="00CE318D" w:rsidRPr="000941D5" w:rsidRDefault="00CE318D" w:rsidP="001322AC">
            <w:r>
              <w:t xml:space="preserve">Pharmaceutical </w:t>
            </w:r>
            <w:r w:rsidR="003C5B17">
              <w:t>B</w:t>
            </w:r>
            <w:r>
              <w:t xml:space="preserve">enefits </w:t>
            </w:r>
            <w:r w:rsidR="003C5B17">
              <w:t>S</w:t>
            </w:r>
            <w:r>
              <w:t>cheme (Australia)</w:t>
            </w:r>
          </w:p>
        </w:tc>
      </w:tr>
      <w:tr w:rsidR="00E06B28" w:rsidRPr="00FD119B" w14:paraId="07F4C524" w14:textId="77777777" w:rsidTr="00FD119B">
        <w:tc>
          <w:tcPr>
            <w:tcW w:w="1809" w:type="dxa"/>
          </w:tcPr>
          <w:p w14:paraId="07F4C522" w14:textId="77777777" w:rsidR="00E06B28" w:rsidRPr="000941D5" w:rsidRDefault="00E06B28" w:rsidP="001322AC">
            <w:r w:rsidRPr="00B36C07">
              <w:t>PD-1</w:t>
            </w:r>
          </w:p>
        </w:tc>
        <w:tc>
          <w:tcPr>
            <w:tcW w:w="6911" w:type="dxa"/>
          </w:tcPr>
          <w:p w14:paraId="07F4C523" w14:textId="77777777" w:rsidR="00E06B28" w:rsidRPr="000941D5" w:rsidRDefault="00E06B28" w:rsidP="00E06B28">
            <w:r>
              <w:t>Programmed death receptor-1</w:t>
            </w:r>
          </w:p>
        </w:tc>
      </w:tr>
      <w:tr w:rsidR="00E06B28" w:rsidRPr="00FD119B" w14:paraId="07F4C527" w14:textId="77777777" w:rsidTr="00FD119B">
        <w:tc>
          <w:tcPr>
            <w:tcW w:w="1809" w:type="dxa"/>
          </w:tcPr>
          <w:p w14:paraId="07F4C525" w14:textId="77777777" w:rsidR="00E06B28" w:rsidRPr="00B36C07" w:rsidRDefault="00E06B28" w:rsidP="001322AC">
            <w:r>
              <w:lastRenderedPageBreak/>
              <w:t>PD-L1</w:t>
            </w:r>
          </w:p>
        </w:tc>
        <w:tc>
          <w:tcPr>
            <w:tcW w:w="6911" w:type="dxa"/>
          </w:tcPr>
          <w:p w14:paraId="07F4C526" w14:textId="747D31A4" w:rsidR="00E06B28" w:rsidRDefault="003C5B17" w:rsidP="006418E7">
            <w:r>
              <w:t>P</w:t>
            </w:r>
            <w:r w:rsidRPr="003D1BCE">
              <w:t xml:space="preserve">rogrammed </w:t>
            </w:r>
            <w:r w:rsidR="00E06B28" w:rsidRPr="003D1BCE">
              <w:t>death ligand-1</w:t>
            </w:r>
            <w:r w:rsidR="006418E7">
              <w:t xml:space="preserve"> a</w:t>
            </w:r>
            <w:r w:rsidR="006418E7" w:rsidRPr="00730C59">
              <w:rPr>
                <w:lang w:eastAsia="ja-JP"/>
              </w:rPr>
              <w:t>lso known as CD274 or B7-H1</w:t>
            </w:r>
          </w:p>
        </w:tc>
      </w:tr>
      <w:tr w:rsidR="00E06B28" w:rsidRPr="00FD119B" w14:paraId="07F4C52A" w14:textId="77777777" w:rsidTr="00FD119B">
        <w:tc>
          <w:tcPr>
            <w:tcW w:w="1809" w:type="dxa"/>
          </w:tcPr>
          <w:p w14:paraId="07F4C528" w14:textId="77777777" w:rsidR="00E06B28" w:rsidRPr="00B36C07" w:rsidRDefault="00E06B28" w:rsidP="001322AC">
            <w:r>
              <w:t>PD-L2</w:t>
            </w:r>
          </w:p>
        </w:tc>
        <w:tc>
          <w:tcPr>
            <w:tcW w:w="6911" w:type="dxa"/>
          </w:tcPr>
          <w:p w14:paraId="07F4C529" w14:textId="01E65E89" w:rsidR="00E06B28" w:rsidRDefault="003C5B17" w:rsidP="00E06B28">
            <w:r>
              <w:t xml:space="preserve">Programmed </w:t>
            </w:r>
            <w:r w:rsidR="00E06B28">
              <w:t>death ligand-2</w:t>
            </w:r>
            <w:r w:rsidR="006418E7">
              <w:t xml:space="preserve"> </w:t>
            </w:r>
            <w:r w:rsidR="006418E7" w:rsidRPr="00730C59">
              <w:rPr>
                <w:lang w:eastAsia="ja-JP"/>
              </w:rPr>
              <w:t>also known as CD273 or B7-DC</w:t>
            </w:r>
          </w:p>
        </w:tc>
      </w:tr>
      <w:tr w:rsidR="00574F5E" w:rsidRPr="00FD119B" w14:paraId="07F4C52D" w14:textId="77777777" w:rsidTr="00FD119B">
        <w:tc>
          <w:tcPr>
            <w:tcW w:w="1809" w:type="dxa"/>
          </w:tcPr>
          <w:p w14:paraId="07F4C52B" w14:textId="77777777" w:rsidR="00574F5E" w:rsidRPr="000941D5" w:rsidRDefault="00574F5E" w:rsidP="001322AC">
            <w:r w:rsidRPr="000941D5">
              <w:t>PFS</w:t>
            </w:r>
          </w:p>
        </w:tc>
        <w:tc>
          <w:tcPr>
            <w:tcW w:w="6911" w:type="dxa"/>
          </w:tcPr>
          <w:p w14:paraId="07F4C52C" w14:textId="77777777" w:rsidR="00574F5E" w:rsidRPr="000941D5" w:rsidRDefault="00574F5E" w:rsidP="001322AC">
            <w:r w:rsidRPr="000941D5">
              <w:t>Progression free survival</w:t>
            </w:r>
          </w:p>
        </w:tc>
      </w:tr>
      <w:tr w:rsidR="00574F5E" w:rsidRPr="00FD119B" w14:paraId="07F4C530" w14:textId="77777777" w:rsidTr="00FD119B">
        <w:tc>
          <w:tcPr>
            <w:tcW w:w="1809" w:type="dxa"/>
          </w:tcPr>
          <w:p w14:paraId="07F4C52E" w14:textId="77777777" w:rsidR="00574F5E" w:rsidRPr="000941D5" w:rsidRDefault="00574F5E" w:rsidP="001322AC">
            <w:r w:rsidRPr="000941D5">
              <w:t>PI</w:t>
            </w:r>
          </w:p>
        </w:tc>
        <w:tc>
          <w:tcPr>
            <w:tcW w:w="6911" w:type="dxa"/>
          </w:tcPr>
          <w:p w14:paraId="07F4C52F" w14:textId="77777777" w:rsidR="00574F5E" w:rsidRPr="000941D5" w:rsidRDefault="00574F5E" w:rsidP="001322AC">
            <w:r w:rsidRPr="000941D5">
              <w:t>Product Information</w:t>
            </w:r>
          </w:p>
        </w:tc>
      </w:tr>
      <w:tr w:rsidR="00574F5E" w:rsidRPr="00FD119B" w14:paraId="07F4C533" w14:textId="77777777" w:rsidTr="00FD119B">
        <w:tc>
          <w:tcPr>
            <w:tcW w:w="1809" w:type="dxa"/>
          </w:tcPr>
          <w:p w14:paraId="07F4C531" w14:textId="77777777" w:rsidR="00574F5E" w:rsidRPr="000941D5" w:rsidRDefault="00574F5E" w:rsidP="001322AC">
            <w:r w:rsidRPr="000941D5">
              <w:t>PK</w:t>
            </w:r>
          </w:p>
        </w:tc>
        <w:tc>
          <w:tcPr>
            <w:tcW w:w="6911" w:type="dxa"/>
          </w:tcPr>
          <w:p w14:paraId="07F4C532" w14:textId="77777777" w:rsidR="00574F5E" w:rsidRPr="000941D5" w:rsidRDefault="00574F5E" w:rsidP="001322AC">
            <w:r w:rsidRPr="000941D5">
              <w:t>Pharmacokinetics</w:t>
            </w:r>
          </w:p>
        </w:tc>
      </w:tr>
      <w:tr w:rsidR="00574F5E" w:rsidRPr="00FD119B" w14:paraId="07F4C536" w14:textId="77777777" w:rsidTr="00FD119B">
        <w:tc>
          <w:tcPr>
            <w:tcW w:w="1809" w:type="dxa"/>
          </w:tcPr>
          <w:p w14:paraId="07F4C534" w14:textId="77777777" w:rsidR="00574F5E" w:rsidRPr="000941D5" w:rsidRDefault="00574F5E" w:rsidP="001322AC">
            <w:r w:rsidRPr="000941D5">
              <w:t>PRO</w:t>
            </w:r>
          </w:p>
        </w:tc>
        <w:tc>
          <w:tcPr>
            <w:tcW w:w="6911" w:type="dxa"/>
          </w:tcPr>
          <w:p w14:paraId="07F4C535" w14:textId="77777777" w:rsidR="00574F5E" w:rsidRPr="000941D5" w:rsidRDefault="00574F5E" w:rsidP="001322AC">
            <w:r w:rsidRPr="000941D5">
              <w:t>Patient reported outcomes</w:t>
            </w:r>
          </w:p>
        </w:tc>
      </w:tr>
      <w:tr w:rsidR="00A81270" w:rsidRPr="00FD119B" w14:paraId="07F4C539" w14:textId="77777777" w:rsidTr="00FD119B">
        <w:tc>
          <w:tcPr>
            <w:tcW w:w="1809" w:type="dxa"/>
          </w:tcPr>
          <w:p w14:paraId="07F4C537" w14:textId="77777777" w:rsidR="00A81270" w:rsidRPr="000941D5" w:rsidRDefault="00A81270" w:rsidP="001322AC">
            <w:r>
              <w:rPr>
                <w:lang w:eastAsia="ja-JP"/>
              </w:rPr>
              <w:t>PSUR</w:t>
            </w:r>
          </w:p>
        </w:tc>
        <w:tc>
          <w:tcPr>
            <w:tcW w:w="6911" w:type="dxa"/>
          </w:tcPr>
          <w:p w14:paraId="07F4C538" w14:textId="77777777" w:rsidR="00A81270" w:rsidRPr="000941D5" w:rsidRDefault="00A81270" w:rsidP="00A81270">
            <w:r>
              <w:rPr>
                <w:lang w:eastAsia="ja-JP"/>
              </w:rPr>
              <w:t>Periodic safety update report</w:t>
            </w:r>
          </w:p>
        </w:tc>
      </w:tr>
      <w:tr w:rsidR="00191F92" w:rsidRPr="00FD119B" w14:paraId="07F4C53C" w14:textId="77777777" w:rsidTr="00FD119B">
        <w:tc>
          <w:tcPr>
            <w:tcW w:w="1809" w:type="dxa"/>
          </w:tcPr>
          <w:p w14:paraId="07F4C53A" w14:textId="77777777" w:rsidR="00191F92" w:rsidRDefault="00191F92" w:rsidP="001322AC">
            <w:pPr>
              <w:rPr>
                <w:lang w:eastAsia="ja-JP"/>
              </w:rPr>
            </w:pPr>
            <w:r w:rsidRPr="000941D5">
              <w:t>Q2W</w:t>
            </w:r>
          </w:p>
        </w:tc>
        <w:tc>
          <w:tcPr>
            <w:tcW w:w="6911" w:type="dxa"/>
          </w:tcPr>
          <w:p w14:paraId="07F4C53B" w14:textId="77777777" w:rsidR="00191F92" w:rsidRDefault="00191F92" w:rsidP="00A81270">
            <w:pPr>
              <w:rPr>
                <w:lang w:eastAsia="ja-JP"/>
              </w:rPr>
            </w:pPr>
            <w:r>
              <w:t>E</w:t>
            </w:r>
            <w:r w:rsidRPr="000941D5">
              <w:t>very 2 weeks</w:t>
            </w:r>
          </w:p>
        </w:tc>
      </w:tr>
      <w:tr w:rsidR="00574F5E" w:rsidRPr="00FD119B" w14:paraId="07F4C53F" w14:textId="77777777" w:rsidTr="00FD119B">
        <w:tc>
          <w:tcPr>
            <w:tcW w:w="1809" w:type="dxa"/>
          </w:tcPr>
          <w:p w14:paraId="07F4C53D" w14:textId="77777777" w:rsidR="00574F5E" w:rsidRPr="000941D5" w:rsidRDefault="00191F92" w:rsidP="001322AC">
            <w:r>
              <w:t>Q3W</w:t>
            </w:r>
          </w:p>
        </w:tc>
        <w:tc>
          <w:tcPr>
            <w:tcW w:w="6911" w:type="dxa"/>
          </w:tcPr>
          <w:p w14:paraId="07F4C53E" w14:textId="77777777" w:rsidR="00574F5E" w:rsidRPr="000941D5" w:rsidRDefault="00191F92" w:rsidP="00191F92">
            <w:r>
              <w:t>Every 3 weeks</w:t>
            </w:r>
          </w:p>
        </w:tc>
      </w:tr>
      <w:tr w:rsidR="00574F5E" w:rsidRPr="00FD119B" w14:paraId="07F4C542" w14:textId="77777777" w:rsidTr="00FD119B">
        <w:tc>
          <w:tcPr>
            <w:tcW w:w="1809" w:type="dxa"/>
          </w:tcPr>
          <w:p w14:paraId="07F4C540" w14:textId="77777777" w:rsidR="00574F5E" w:rsidRPr="000941D5" w:rsidRDefault="00574F5E" w:rsidP="001322AC">
            <w:r w:rsidRPr="000941D5">
              <w:t>RECIST</w:t>
            </w:r>
          </w:p>
        </w:tc>
        <w:tc>
          <w:tcPr>
            <w:tcW w:w="6911" w:type="dxa"/>
          </w:tcPr>
          <w:p w14:paraId="07F4C541" w14:textId="77777777" w:rsidR="00574F5E" w:rsidRPr="000941D5" w:rsidRDefault="00574F5E" w:rsidP="001322AC">
            <w:r w:rsidRPr="000941D5">
              <w:t>Response evaluation criteria in solid tumours</w:t>
            </w:r>
          </w:p>
        </w:tc>
      </w:tr>
      <w:tr w:rsidR="00A81270" w:rsidRPr="00FD119B" w14:paraId="07F4C545" w14:textId="77777777" w:rsidTr="00FD119B">
        <w:tc>
          <w:tcPr>
            <w:tcW w:w="1809" w:type="dxa"/>
          </w:tcPr>
          <w:p w14:paraId="07F4C543" w14:textId="77777777" w:rsidR="00A81270" w:rsidRPr="000941D5" w:rsidRDefault="00A81270" w:rsidP="001322AC">
            <w:r>
              <w:t>RMP</w:t>
            </w:r>
          </w:p>
        </w:tc>
        <w:tc>
          <w:tcPr>
            <w:tcW w:w="6911" w:type="dxa"/>
          </w:tcPr>
          <w:p w14:paraId="07F4C544" w14:textId="77777777" w:rsidR="00A81270" w:rsidRPr="000941D5" w:rsidRDefault="00A81270" w:rsidP="00A81270">
            <w:r w:rsidRPr="003F23D1">
              <w:rPr>
                <w:rStyle w:val="BulletlistChar"/>
                <w:rFonts w:eastAsia="Cambria"/>
                <w:sz w:val="22"/>
              </w:rPr>
              <w:t>Risk Management Plan</w:t>
            </w:r>
          </w:p>
        </w:tc>
      </w:tr>
      <w:tr w:rsidR="00574F5E" w:rsidRPr="00FD119B" w14:paraId="07F4C548" w14:textId="77777777" w:rsidTr="00FD119B">
        <w:tc>
          <w:tcPr>
            <w:tcW w:w="1809" w:type="dxa"/>
          </w:tcPr>
          <w:p w14:paraId="07F4C546" w14:textId="77777777" w:rsidR="00574F5E" w:rsidRPr="000941D5" w:rsidRDefault="00574F5E" w:rsidP="001322AC">
            <w:r w:rsidRPr="000941D5">
              <w:t>SAE</w:t>
            </w:r>
          </w:p>
        </w:tc>
        <w:tc>
          <w:tcPr>
            <w:tcW w:w="6911" w:type="dxa"/>
          </w:tcPr>
          <w:p w14:paraId="07F4C547" w14:textId="77777777" w:rsidR="00574F5E" w:rsidRPr="000941D5" w:rsidRDefault="00574F5E" w:rsidP="001322AC">
            <w:r w:rsidRPr="000941D5">
              <w:t>Serious Adverse Event</w:t>
            </w:r>
          </w:p>
        </w:tc>
      </w:tr>
      <w:tr w:rsidR="006418E7" w:rsidRPr="00FD119B" w14:paraId="07F4C54B" w14:textId="77777777" w:rsidTr="00FD119B">
        <w:tc>
          <w:tcPr>
            <w:tcW w:w="1809" w:type="dxa"/>
          </w:tcPr>
          <w:p w14:paraId="07F4C549" w14:textId="77777777" w:rsidR="006418E7" w:rsidRPr="000941D5" w:rsidRDefault="006418E7" w:rsidP="001322AC">
            <w:r>
              <w:rPr>
                <w:lang w:eastAsia="ja-JP"/>
              </w:rPr>
              <w:t>SCLC</w:t>
            </w:r>
          </w:p>
        </w:tc>
        <w:tc>
          <w:tcPr>
            <w:tcW w:w="6911" w:type="dxa"/>
          </w:tcPr>
          <w:p w14:paraId="07F4C54A" w14:textId="7DC56E48" w:rsidR="006418E7" w:rsidRPr="000941D5" w:rsidRDefault="003C5B17" w:rsidP="006418E7">
            <w:r>
              <w:rPr>
                <w:lang w:eastAsia="ja-JP"/>
              </w:rPr>
              <w:t xml:space="preserve">Small </w:t>
            </w:r>
            <w:r w:rsidR="006418E7">
              <w:rPr>
                <w:lang w:eastAsia="ja-JP"/>
              </w:rPr>
              <w:t>cell lung cancer</w:t>
            </w:r>
          </w:p>
        </w:tc>
      </w:tr>
      <w:tr w:rsidR="00CE318D" w:rsidRPr="00FD119B" w14:paraId="07F4C54E" w14:textId="77777777" w:rsidTr="00FD119B">
        <w:tc>
          <w:tcPr>
            <w:tcW w:w="1809" w:type="dxa"/>
          </w:tcPr>
          <w:p w14:paraId="07F4C54C" w14:textId="77777777" w:rsidR="00CE318D" w:rsidRPr="000941D5" w:rsidRDefault="00CE318D" w:rsidP="001322AC">
            <w:r w:rsidRPr="00441A46">
              <w:t>SQ</w:t>
            </w:r>
          </w:p>
        </w:tc>
        <w:tc>
          <w:tcPr>
            <w:tcW w:w="6911" w:type="dxa"/>
          </w:tcPr>
          <w:p w14:paraId="07F4C54D" w14:textId="1A24A910" w:rsidR="00CE318D" w:rsidRPr="000941D5" w:rsidRDefault="003C5B17" w:rsidP="001322AC">
            <w:r>
              <w:t>Squamous</w:t>
            </w:r>
          </w:p>
        </w:tc>
      </w:tr>
      <w:tr w:rsidR="00574F5E" w:rsidRPr="00FD119B" w14:paraId="07F4C551" w14:textId="77777777" w:rsidTr="00FD119B">
        <w:tc>
          <w:tcPr>
            <w:tcW w:w="1809" w:type="dxa"/>
          </w:tcPr>
          <w:p w14:paraId="07F4C54F" w14:textId="77777777" w:rsidR="00574F5E" w:rsidRPr="000941D5" w:rsidRDefault="00574F5E" w:rsidP="001322AC">
            <w:r w:rsidRPr="000941D5">
              <w:t>TGA</w:t>
            </w:r>
          </w:p>
        </w:tc>
        <w:tc>
          <w:tcPr>
            <w:tcW w:w="6911" w:type="dxa"/>
          </w:tcPr>
          <w:p w14:paraId="07F4C550" w14:textId="77777777" w:rsidR="00574F5E" w:rsidRPr="000941D5" w:rsidRDefault="00574F5E" w:rsidP="001322AC">
            <w:r w:rsidRPr="000941D5">
              <w:t>Therapeutic Goods Administration</w:t>
            </w:r>
          </w:p>
        </w:tc>
      </w:tr>
      <w:tr w:rsidR="008141D3" w:rsidRPr="00FD119B" w14:paraId="07F4C554" w14:textId="77777777" w:rsidTr="00FD119B">
        <w:tc>
          <w:tcPr>
            <w:tcW w:w="1809" w:type="dxa"/>
          </w:tcPr>
          <w:p w14:paraId="07F4C552" w14:textId="77777777" w:rsidR="008141D3" w:rsidRPr="000941D5" w:rsidRDefault="008141D3" w:rsidP="001322AC">
            <w:r w:rsidRPr="00B9394D">
              <w:t>TPS</w:t>
            </w:r>
          </w:p>
        </w:tc>
        <w:tc>
          <w:tcPr>
            <w:tcW w:w="6911" w:type="dxa"/>
          </w:tcPr>
          <w:p w14:paraId="07F4C553" w14:textId="0B767A3F" w:rsidR="008141D3" w:rsidRPr="000941D5" w:rsidRDefault="003C5B17" w:rsidP="001322AC">
            <w:r>
              <w:t xml:space="preserve">Tumour </w:t>
            </w:r>
            <w:r w:rsidR="008141D3">
              <w:t>proportion score</w:t>
            </w:r>
          </w:p>
        </w:tc>
      </w:tr>
      <w:tr w:rsidR="00574F5E" w:rsidRPr="00FD119B" w14:paraId="07F4C557" w14:textId="77777777" w:rsidTr="00FD119B">
        <w:tc>
          <w:tcPr>
            <w:tcW w:w="1809" w:type="dxa"/>
          </w:tcPr>
          <w:p w14:paraId="07F4C555" w14:textId="77777777" w:rsidR="00574F5E" w:rsidRPr="000941D5" w:rsidRDefault="00574F5E" w:rsidP="001322AC">
            <w:r w:rsidRPr="000941D5">
              <w:t>TSH</w:t>
            </w:r>
          </w:p>
        </w:tc>
        <w:tc>
          <w:tcPr>
            <w:tcW w:w="6911" w:type="dxa"/>
          </w:tcPr>
          <w:p w14:paraId="07F4C556" w14:textId="77777777" w:rsidR="00574F5E" w:rsidRPr="000941D5" w:rsidRDefault="00574F5E" w:rsidP="001322AC">
            <w:r w:rsidRPr="000941D5">
              <w:t>Thyroid stimulating hormone</w:t>
            </w:r>
          </w:p>
        </w:tc>
      </w:tr>
      <w:tr w:rsidR="00691589" w:rsidRPr="00FD119B" w14:paraId="07F4C55A" w14:textId="77777777" w:rsidTr="00FD119B">
        <w:tc>
          <w:tcPr>
            <w:tcW w:w="1809" w:type="dxa"/>
          </w:tcPr>
          <w:p w14:paraId="07F4C558" w14:textId="77777777" w:rsidR="00691589" w:rsidRPr="000941D5" w:rsidRDefault="00691589" w:rsidP="001322AC">
            <w:r>
              <w:t>WHO</w:t>
            </w:r>
          </w:p>
        </w:tc>
        <w:tc>
          <w:tcPr>
            <w:tcW w:w="6911" w:type="dxa"/>
          </w:tcPr>
          <w:p w14:paraId="07F4C559" w14:textId="77777777" w:rsidR="00691589" w:rsidRPr="000941D5" w:rsidRDefault="00691589" w:rsidP="001322AC">
            <w:r>
              <w:t>World Health Organisation</w:t>
            </w:r>
          </w:p>
        </w:tc>
      </w:tr>
    </w:tbl>
    <w:p w14:paraId="07F4C55B" w14:textId="77777777" w:rsidR="00FD119B" w:rsidRDefault="00FD119B" w:rsidP="00FD119B"/>
    <w:p w14:paraId="07F4C55C"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7F4C55D" w14:textId="77777777" w:rsidR="008E7846" w:rsidRDefault="00F53C07" w:rsidP="008E7846">
      <w:pPr>
        <w:pStyle w:val="Heading2"/>
      </w:pPr>
      <w:bookmarkStart w:id="8" w:name="_Toc513458910"/>
      <w:r>
        <w:lastRenderedPageBreak/>
        <w:t>I.</w:t>
      </w:r>
      <w:r w:rsidR="008E7846">
        <w:t xml:space="preserve"> Introduction to product submission</w:t>
      </w:r>
      <w:bookmarkEnd w:id="8"/>
      <w:bookmarkEnd w:id="2"/>
      <w:bookmarkEnd w:id="0"/>
    </w:p>
    <w:p w14:paraId="07F4C55E" w14:textId="77777777" w:rsidR="008E7846" w:rsidRDefault="008E7846" w:rsidP="008E7846">
      <w:pPr>
        <w:pStyle w:val="Heading3"/>
        <w:rPr>
          <w:lang w:eastAsia="en-AU"/>
        </w:rPr>
      </w:pPr>
      <w:bookmarkStart w:id="9" w:name="_Toc247691502"/>
      <w:bookmarkStart w:id="10" w:name="_Toc314842483"/>
      <w:bookmarkStart w:id="11" w:name="_Toc513458911"/>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07F4C561" w14:textId="77777777" w:rsidTr="00BA16BD">
        <w:trPr>
          <w:trHeight w:hRule="exact" w:val="454"/>
        </w:trPr>
        <w:tc>
          <w:tcPr>
            <w:tcW w:w="2907" w:type="dxa"/>
          </w:tcPr>
          <w:p w14:paraId="07F4C55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7F4C560" w14:textId="7F0C9818" w:rsidR="008E7846" w:rsidRPr="003D1E62" w:rsidRDefault="00574F5E" w:rsidP="00DD2450">
            <w:r>
              <w:t>M</w:t>
            </w:r>
            <w:r w:rsidR="008E7846" w:rsidRPr="003D1E62">
              <w:t xml:space="preserve">ajor </w:t>
            </w:r>
            <w:r w:rsidR="001B5C90">
              <w:t>v</w:t>
            </w:r>
            <w:r w:rsidR="008E7846" w:rsidRPr="003D1E62">
              <w:t xml:space="preserve">ariation </w:t>
            </w:r>
            <w:r w:rsidR="00DD2450">
              <w:t>(</w:t>
            </w:r>
            <w:r w:rsidR="005C2430">
              <w:t>both submissions</w:t>
            </w:r>
            <w:r w:rsidR="00DD2450">
              <w:t xml:space="preserve"> were for new indications)</w:t>
            </w:r>
          </w:p>
        </w:tc>
      </w:tr>
      <w:tr w:rsidR="008E7846" w:rsidRPr="003D1E62" w14:paraId="07F4C564" w14:textId="77777777" w:rsidTr="00BA16BD">
        <w:trPr>
          <w:trHeight w:hRule="exact" w:val="454"/>
        </w:trPr>
        <w:tc>
          <w:tcPr>
            <w:tcW w:w="2907" w:type="dxa"/>
          </w:tcPr>
          <w:p w14:paraId="07F4C562" w14:textId="77777777" w:rsidR="008E7846" w:rsidRPr="003D1E62" w:rsidRDefault="008E7846" w:rsidP="003D1E62">
            <w:r w:rsidRPr="003D1E62">
              <w:rPr>
                <w:i/>
              </w:rPr>
              <w:t>Decision</w:t>
            </w:r>
            <w:r w:rsidRPr="003D1E62">
              <w:t>:</w:t>
            </w:r>
          </w:p>
        </w:tc>
        <w:tc>
          <w:tcPr>
            <w:tcW w:w="6307" w:type="dxa"/>
          </w:tcPr>
          <w:p w14:paraId="07F4C563" w14:textId="77777777" w:rsidR="008E7846" w:rsidRPr="003D1E62" w:rsidRDefault="00574F5E" w:rsidP="00574F5E">
            <w:r>
              <w:t>Approved</w:t>
            </w:r>
          </w:p>
        </w:tc>
      </w:tr>
      <w:tr w:rsidR="008E7846" w:rsidRPr="003D1E62" w14:paraId="07F4C567" w14:textId="77777777" w:rsidTr="00BA16BD">
        <w:trPr>
          <w:trHeight w:hRule="exact" w:val="454"/>
        </w:trPr>
        <w:tc>
          <w:tcPr>
            <w:tcW w:w="2907" w:type="dxa"/>
          </w:tcPr>
          <w:p w14:paraId="07F4C565"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7F4C566" w14:textId="77777777" w:rsidR="008E7846" w:rsidRPr="003D1E62" w:rsidRDefault="00802F18" w:rsidP="001B5C90">
            <w:r>
              <w:t>3 March 3017</w:t>
            </w:r>
          </w:p>
        </w:tc>
      </w:tr>
      <w:tr w:rsidR="00ED2922" w:rsidRPr="003D1E62" w14:paraId="07F4C56A" w14:textId="77777777" w:rsidTr="00F0667C">
        <w:trPr>
          <w:trHeight w:hRule="exact" w:val="760"/>
        </w:trPr>
        <w:tc>
          <w:tcPr>
            <w:tcW w:w="2907" w:type="dxa"/>
          </w:tcPr>
          <w:p w14:paraId="07F4C568" w14:textId="77777777" w:rsidR="00ED2922" w:rsidRPr="00441C3F" w:rsidRDefault="00ED2922" w:rsidP="001B5C90">
            <w:pPr>
              <w:rPr>
                <w:i/>
              </w:rPr>
            </w:pPr>
            <w:r w:rsidRPr="00441C3F">
              <w:rPr>
                <w:i/>
              </w:rPr>
              <w:t>Date of entry onto ARTG</w:t>
            </w:r>
          </w:p>
        </w:tc>
        <w:tc>
          <w:tcPr>
            <w:tcW w:w="6307" w:type="dxa"/>
          </w:tcPr>
          <w:p w14:paraId="07F4C569" w14:textId="62D68198" w:rsidR="00ED2922" w:rsidRPr="005720A2" w:rsidRDefault="00F0667C" w:rsidP="00F0667C">
            <w:pPr>
              <w:rPr>
                <w:i/>
              </w:rPr>
            </w:pPr>
            <w:r>
              <w:t>6 March 2017 (PM-2015-04712-1-4) and</w:t>
            </w:r>
            <w:r>
              <w:br/>
            </w:r>
            <w:r>
              <w:t>7 March 2017 (PM -2016-02325-1-4)</w:t>
            </w:r>
          </w:p>
        </w:tc>
      </w:tr>
      <w:tr w:rsidR="008E7846" w:rsidRPr="00487162" w14:paraId="07F4C56E" w14:textId="77777777" w:rsidTr="00BA16BD">
        <w:tc>
          <w:tcPr>
            <w:tcW w:w="2907" w:type="dxa"/>
          </w:tcPr>
          <w:p w14:paraId="07F4C56C" w14:textId="77777777" w:rsidR="008E7846" w:rsidRPr="00487162" w:rsidRDefault="00574F5E" w:rsidP="00E45619">
            <w:pPr>
              <w:rPr>
                <w:i/>
              </w:rPr>
            </w:pPr>
            <w:r>
              <w:rPr>
                <w:i/>
              </w:rPr>
              <w:t>Active ingredient</w:t>
            </w:r>
            <w:r w:rsidR="001B5C90">
              <w:rPr>
                <w:i/>
              </w:rPr>
              <w:t>:</w:t>
            </w:r>
          </w:p>
        </w:tc>
        <w:tc>
          <w:tcPr>
            <w:tcW w:w="6307" w:type="dxa"/>
          </w:tcPr>
          <w:p w14:paraId="07F4C56D" w14:textId="77777777" w:rsidR="008E7846" w:rsidRPr="00487162" w:rsidRDefault="00574F5E" w:rsidP="00E45619">
            <w:r>
              <w:t>Pembrolizumab (rch)</w:t>
            </w:r>
          </w:p>
        </w:tc>
      </w:tr>
      <w:tr w:rsidR="008E7846" w:rsidRPr="00487162" w14:paraId="07F4C571" w14:textId="77777777" w:rsidTr="00BA16BD">
        <w:tc>
          <w:tcPr>
            <w:tcW w:w="2907" w:type="dxa"/>
          </w:tcPr>
          <w:p w14:paraId="07F4C56F" w14:textId="77777777" w:rsidR="008E7846" w:rsidRPr="00487162" w:rsidRDefault="008E7846" w:rsidP="001B5C90">
            <w:pPr>
              <w:rPr>
                <w:i/>
              </w:rPr>
            </w:pPr>
            <w:r w:rsidRPr="00487162">
              <w:rPr>
                <w:i/>
              </w:rPr>
              <w:t>Product</w:t>
            </w:r>
            <w:r w:rsidR="00574F5E">
              <w:rPr>
                <w:i/>
              </w:rPr>
              <w:t xml:space="preserve"> name</w:t>
            </w:r>
            <w:r w:rsidR="001B5C90">
              <w:rPr>
                <w:i/>
              </w:rPr>
              <w:t>:</w:t>
            </w:r>
          </w:p>
        </w:tc>
        <w:tc>
          <w:tcPr>
            <w:tcW w:w="6307" w:type="dxa"/>
          </w:tcPr>
          <w:p w14:paraId="07F4C570" w14:textId="77777777" w:rsidR="008E7846" w:rsidRPr="00487162" w:rsidRDefault="00574F5E" w:rsidP="00E45619">
            <w:r>
              <w:t>Keytruda</w:t>
            </w:r>
          </w:p>
        </w:tc>
      </w:tr>
      <w:tr w:rsidR="008E7846" w:rsidRPr="00487162" w14:paraId="07F4C577" w14:textId="77777777" w:rsidTr="00BA16BD">
        <w:tc>
          <w:tcPr>
            <w:tcW w:w="2907" w:type="dxa"/>
          </w:tcPr>
          <w:p w14:paraId="07F4C572" w14:textId="77777777" w:rsidR="008E7846" w:rsidRPr="00487162" w:rsidRDefault="008E7846" w:rsidP="001B5C90">
            <w:pPr>
              <w:rPr>
                <w:i/>
              </w:rPr>
            </w:pPr>
            <w:bookmarkStart w:id="12" w:name="_GoBack"/>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063C023" w14:textId="2133C130" w:rsidR="00DD2450" w:rsidRDefault="00574F5E" w:rsidP="00E45619">
            <w:r>
              <w:t>Merck Sharp &amp; Dohme Australia Pty Ltd</w:t>
            </w:r>
          </w:p>
          <w:p w14:paraId="7331415D" w14:textId="59871AA3" w:rsidR="00DD2450" w:rsidRDefault="009069AC" w:rsidP="00E45619">
            <w:r>
              <w:t>North Ryde Post Business Centre</w:t>
            </w:r>
          </w:p>
          <w:p w14:paraId="07F4C575" w14:textId="77777777" w:rsidR="009069AC" w:rsidRDefault="009069AC" w:rsidP="00E45619">
            <w:r>
              <w:t>Locked Bag 2234</w:t>
            </w:r>
          </w:p>
          <w:p w14:paraId="07F4C576" w14:textId="77777777" w:rsidR="009069AC" w:rsidRPr="00487162" w:rsidRDefault="009069AC" w:rsidP="00E45619">
            <w:r>
              <w:t>North Ryde NSW 1670</w:t>
            </w:r>
          </w:p>
        </w:tc>
      </w:tr>
      <w:bookmarkEnd w:id="12"/>
      <w:tr w:rsidR="008E7846" w:rsidRPr="00487162" w14:paraId="07F4C57A" w14:textId="77777777" w:rsidTr="00BA16BD">
        <w:tc>
          <w:tcPr>
            <w:tcW w:w="2907" w:type="dxa"/>
          </w:tcPr>
          <w:p w14:paraId="07F4C578" w14:textId="77777777" w:rsidR="008E7846" w:rsidRPr="00487162" w:rsidRDefault="00574F5E" w:rsidP="00E45619">
            <w:pPr>
              <w:rPr>
                <w:i/>
              </w:rPr>
            </w:pPr>
            <w:r>
              <w:rPr>
                <w:i/>
              </w:rPr>
              <w:t>Dose forms</w:t>
            </w:r>
            <w:r w:rsidR="001B5C90">
              <w:rPr>
                <w:i/>
              </w:rPr>
              <w:t>:</w:t>
            </w:r>
          </w:p>
        </w:tc>
        <w:tc>
          <w:tcPr>
            <w:tcW w:w="6307" w:type="dxa"/>
          </w:tcPr>
          <w:p w14:paraId="07F4C579" w14:textId="77777777" w:rsidR="008E7846" w:rsidRPr="00487162" w:rsidRDefault="00574F5E" w:rsidP="00E45619">
            <w:r>
              <w:t>Powder for injection and concentrated injection</w:t>
            </w:r>
          </w:p>
        </w:tc>
      </w:tr>
      <w:tr w:rsidR="008E7846" w:rsidRPr="00487162" w14:paraId="07F4C57D" w14:textId="77777777" w:rsidTr="00BA16BD">
        <w:tc>
          <w:tcPr>
            <w:tcW w:w="2907" w:type="dxa"/>
          </w:tcPr>
          <w:p w14:paraId="07F4C57B" w14:textId="77777777" w:rsidR="008E7846" w:rsidRPr="00487162" w:rsidRDefault="00574F5E" w:rsidP="00E45619">
            <w:pPr>
              <w:rPr>
                <w:i/>
              </w:rPr>
            </w:pPr>
            <w:r>
              <w:rPr>
                <w:i/>
              </w:rPr>
              <w:t>Strengths</w:t>
            </w:r>
            <w:r w:rsidR="008E7846" w:rsidRPr="00487162">
              <w:rPr>
                <w:i/>
              </w:rPr>
              <w:t xml:space="preserve">: </w:t>
            </w:r>
          </w:p>
        </w:tc>
        <w:tc>
          <w:tcPr>
            <w:tcW w:w="6307" w:type="dxa"/>
          </w:tcPr>
          <w:p w14:paraId="07F4C57C" w14:textId="3B56FA38" w:rsidR="008E7846" w:rsidRPr="00487162" w:rsidRDefault="00574F5E" w:rsidP="00574F5E">
            <w:r>
              <w:t>100 mg/4 mL</w:t>
            </w:r>
            <w:r w:rsidR="008E7846" w:rsidRPr="00487162">
              <w:t xml:space="preserve">, and </w:t>
            </w:r>
            <w:r>
              <w:t>50 mg (powder)</w:t>
            </w:r>
          </w:p>
        </w:tc>
      </w:tr>
      <w:tr w:rsidR="008E7846" w:rsidRPr="00487162" w14:paraId="07F4C580" w14:textId="77777777" w:rsidTr="00BA16BD">
        <w:tc>
          <w:tcPr>
            <w:tcW w:w="2907" w:type="dxa"/>
          </w:tcPr>
          <w:p w14:paraId="07F4C57E" w14:textId="77777777" w:rsidR="008E7846" w:rsidRPr="00487162" w:rsidRDefault="00574F5E" w:rsidP="00E45619">
            <w:pPr>
              <w:rPr>
                <w:i/>
              </w:rPr>
            </w:pPr>
            <w:r>
              <w:rPr>
                <w:i/>
              </w:rPr>
              <w:t>Container</w:t>
            </w:r>
            <w:r w:rsidR="008E7846" w:rsidRPr="00487162">
              <w:rPr>
                <w:i/>
              </w:rPr>
              <w:t>:</w:t>
            </w:r>
          </w:p>
        </w:tc>
        <w:tc>
          <w:tcPr>
            <w:tcW w:w="6307" w:type="dxa"/>
          </w:tcPr>
          <w:p w14:paraId="07F4C57F" w14:textId="2F15D501" w:rsidR="008E7846" w:rsidRPr="00487162" w:rsidRDefault="00DD2450" w:rsidP="00E45619">
            <w:r>
              <w:t>V</w:t>
            </w:r>
            <w:r w:rsidR="00574F5E">
              <w:t>ial</w:t>
            </w:r>
          </w:p>
        </w:tc>
      </w:tr>
      <w:tr w:rsidR="008E7846" w:rsidRPr="00487162" w14:paraId="07F4C583" w14:textId="77777777" w:rsidTr="00BA16BD">
        <w:tc>
          <w:tcPr>
            <w:tcW w:w="2907" w:type="dxa"/>
          </w:tcPr>
          <w:p w14:paraId="07F4C581" w14:textId="77777777" w:rsidR="008E7846" w:rsidRPr="00487162" w:rsidRDefault="00805F1B" w:rsidP="00E45619">
            <w:pPr>
              <w:rPr>
                <w:i/>
              </w:rPr>
            </w:pPr>
            <w:r>
              <w:rPr>
                <w:i/>
              </w:rPr>
              <w:t>Pack size</w:t>
            </w:r>
            <w:r w:rsidR="008E7846" w:rsidRPr="00487162">
              <w:rPr>
                <w:i/>
              </w:rPr>
              <w:t>:</w:t>
            </w:r>
          </w:p>
        </w:tc>
        <w:tc>
          <w:tcPr>
            <w:tcW w:w="6307" w:type="dxa"/>
          </w:tcPr>
          <w:p w14:paraId="07F4C582" w14:textId="77777777" w:rsidR="008E7846" w:rsidRPr="00487162" w:rsidRDefault="00805F1B" w:rsidP="00E45619">
            <w:r>
              <w:t>1 vial</w:t>
            </w:r>
          </w:p>
        </w:tc>
      </w:tr>
      <w:tr w:rsidR="008E7846" w:rsidRPr="00487162" w14:paraId="07F4C587" w14:textId="77777777" w:rsidTr="00BA16BD">
        <w:tc>
          <w:tcPr>
            <w:tcW w:w="2907" w:type="dxa"/>
          </w:tcPr>
          <w:p w14:paraId="07F4C584"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7F4C585" w14:textId="77777777" w:rsidR="00581621" w:rsidRPr="00581621" w:rsidRDefault="00C329E7" w:rsidP="00581621">
            <w:pPr>
              <w:rPr>
                <w:i/>
              </w:rPr>
            </w:pPr>
            <w:r>
              <w:rPr>
                <w:i/>
              </w:rPr>
              <w:t>Keytruda</w:t>
            </w:r>
            <w:r w:rsidR="00581621" w:rsidRPr="00581621">
              <w:rPr>
                <w:i/>
              </w:rPr>
              <w:t xml:space="preserve"> is indicated for the first-line treatment of patients with metastatic non-small cell lung carcinoma (NSCLC) whose tumours express PD-L1 with a </w:t>
            </w:r>
            <w:r w:rsidR="0046163D">
              <w:rPr>
                <w:i/>
              </w:rPr>
              <w:t>≥</w:t>
            </w:r>
            <w:r w:rsidR="00170F49">
              <w:rPr>
                <w:i/>
              </w:rPr>
              <w:t xml:space="preserve"> </w:t>
            </w:r>
            <w:r w:rsidR="00581621" w:rsidRPr="00581621">
              <w:rPr>
                <w:i/>
              </w:rPr>
              <w:t>50% tumour proportion score (TPS) as determined by a validated test, with no EGFR or ALK genomic tumour aberrations.</w:t>
            </w:r>
          </w:p>
          <w:p w14:paraId="07F4C586" w14:textId="77777777" w:rsidR="008E7846" w:rsidRPr="00581621" w:rsidRDefault="00C329E7" w:rsidP="00E45619">
            <w:r>
              <w:rPr>
                <w:i/>
              </w:rPr>
              <w:t>Keytruda</w:t>
            </w:r>
            <w:r w:rsidR="00581621" w:rsidRPr="00581621">
              <w:rPr>
                <w:i/>
              </w:rPr>
              <w:t xml:space="preserve"> is indicated for the treatment of patients with advanced NSCLC whose tumours express PD-L1 with a </w:t>
            </w:r>
            <w:r w:rsidR="0046163D">
              <w:rPr>
                <w:i/>
              </w:rPr>
              <w:t>≥</w:t>
            </w:r>
            <w:r w:rsidR="00170F49">
              <w:rPr>
                <w:i/>
              </w:rPr>
              <w:t xml:space="preserve"> </w:t>
            </w:r>
            <w:r w:rsidR="00581621" w:rsidRPr="00581621">
              <w:rPr>
                <w:i/>
              </w:rPr>
              <w:t xml:space="preserve">1% TPS as determined by a validated test and who have received </w:t>
            </w:r>
            <w:r w:rsidR="005B1C86">
              <w:rPr>
                <w:i/>
              </w:rPr>
              <w:t>platinum containing</w:t>
            </w:r>
            <w:r w:rsidR="00581621" w:rsidRPr="00581621">
              <w:rPr>
                <w:i/>
              </w:rPr>
              <w:t xml:space="preserve"> chemotherapy. Patients with EGFR or ALK genomic tumour aberrations should have received prior therapy for these aberrations prior to receiving </w:t>
            </w:r>
            <w:r>
              <w:rPr>
                <w:i/>
              </w:rPr>
              <w:t>Keytruda</w:t>
            </w:r>
            <w:r w:rsidR="00581621" w:rsidRPr="00581621">
              <w:rPr>
                <w:i/>
              </w:rPr>
              <w:t>.</w:t>
            </w:r>
          </w:p>
        </w:tc>
      </w:tr>
      <w:tr w:rsidR="008E7846" w:rsidRPr="00487162" w14:paraId="07F4C58A" w14:textId="77777777" w:rsidTr="00BA16BD">
        <w:tc>
          <w:tcPr>
            <w:tcW w:w="2907" w:type="dxa"/>
          </w:tcPr>
          <w:p w14:paraId="07F4C588" w14:textId="77777777" w:rsidR="008E7846" w:rsidRPr="00487162" w:rsidRDefault="00574F5E" w:rsidP="00E45619">
            <w:pPr>
              <w:rPr>
                <w:i/>
              </w:rPr>
            </w:pPr>
            <w:r>
              <w:rPr>
                <w:i/>
              </w:rPr>
              <w:t xml:space="preserve">Route </w:t>
            </w:r>
            <w:r w:rsidR="008E7846" w:rsidRPr="00487162">
              <w:rPr>
                <w:i/>
              </w:rPr>
              <w:t>of administration:</w:t>
            </w:r>
          </w:p>
        </w:tc>
        <w:tc>
          <w:tcPr>
            <w:tcW w:w="6307" w:type="dxa"/>
          </w:tcPr>
          <w:p w14:paraId="07F4C589" w14:textId="77777777" w:rsidR="008E7846" w:rsidRPr="00487162" w:rsidRDefault="00574F5E" w:rsidP="00E45619">
            <w:r>
              <w:t>Intravenous</w:t>
            </w:r>
          </w:p>
        </w:tc>
      </w:tr>
      <w:tr w:rsidR="008E7846" w:rsidRPr="00487162" w14:paraId="07F4C58D" w14:textId="77777777" w:rsidTr="00BA16BD">
        <w:tc>
          <w:tcPr>
            <w:tcW w:w="2907" w:type="dxa"/>
          </w:tcPr>
          <w:p w14:paraId="07F4C58B" w14:textId="77777777" w:rsidR="008E7846" w:rsidRPr="00487162" w:rsidRDefault="008E7846" w:rsidP="00E45619">
            <w:pPr>
              <w:rPr>
                <w:i/>
              </w:rPr>
            </w:pPr>
            <w:r w:rsidRPr="00487162">
              <w:rPr>
                <w:i/>
              </w:rPr>
              <w:t>Dosage:</w:t>
            </w:r>
          </w:p>
        </w:tc>
        <w:tc>
          <w:tcPr>
            <w:tcW w:w="6307" w:type="dxa"/>
          </w:tcPr>
          <w:p w14:paraId="07F4C58C" w14:textId="77777777" w:rsidR="008E7846" w:rsidRPr="00487162" w:rsidRDefault="00A4412F" w:rsidP="00D37A44">
            <w:r>
              <w:t xml:space="preserve">Dosage for </w:t>
            </w:r>
            <w:r w:rsidR="00D37A44">
              <w:t>previously treated</w:t>
            </w:r>
            <w:r>
              <w:t xml:space="preserve"> NSCLC is 2 mg/kg once every three weeks. Dosing in </w:t>
            </w:r>
            <w:r w:rsidR="00D37A44">
              <w:t xml:space="preserve">previously untreated NSCLC </w:t>
            </w:r>
            <w:r>
              <w:t xml:space="preserve">is 200 mg once every three weeks. </w:t>
            </w:r>
            <w:r w:rsidR="00D37A44">
              <w:t xml:space="preserve">Determination of positive PD-L1 expression is a prerequisite. </w:t>
            </w:r>
            <w:r>
              <w:t>For further details please see the Product Information (PI)</w:t>
            </w:r>
          </w:p>
        </w:tc>
      </w:tr>
      <w:tr w:rsidR="008E7846" w:rsidRPr="00487162" w14:paraId="07F4C590" w14:textId="77777777" w:rsidTr="00BA16BD">
        <w:tc>
          <w:tcPr>
            <w:tcW w:w="2907" w:type="dxa"/>
          </w:tcPr>
          <w:p w14:paraId="07F4C58E" w14:textId="77777777" w:rsidR="008E7846" w:rsidRPr="00487162" w:rsidRDefault="008E7846" w:rsidP="001B5C90">
            <w:pPr>
              <w:rPr>
                <w:i/>
              </w:rPr>
            </w:pPr>
            <w:r w:rsidRPr="00487162">
              <w:rPr>
                <w:i/>
              </w:rPr>
              <w:t xml:space="preserve">ARTG </w:t>
            </w:r>
            <w:r w:rsidR="001B5C90">
              <w:rPr>
                <w:i/>
              </w:rPr>
              <w:t>n</w:t>
            </w:r>
            <w:r w:rsidR="00805F1B">
              <w:rPr>
                <w:i/>
              </w:rPr>
              <w:t>umbers</w:t>
            </w:r>
            <w:r w:rsidR="001B5C90">
              <w:rPr>
                <w:i/>
              </w:rPr>
              <w:t>:</w:t>
            </w:r>
          </w:p>
        </w:tc>
        <w:tc>
          <w:tcPr>
            <w:tcW w:w="6307" w:type="dxa"/>
          </w:tcPr>
          <w:p w14:paraId="07F4C58F" w14:textId="77777777" w:rsidR="008E7846" w:rsidRPr="00487162" w:rsidRDefault="00805F1B" w:rsidP="00E45619">
            <w:r>
              <w:t>226597, 263932</w:t>
            </w:r>
          </w:p>
        </w:tc>
      </w:tr>
    </w:tbl>
    <w:p w14:paraId="07F4C591" w14:textId="77777777" w:rsidR="008E7846" w:rsidRDefault="008E7846" w:rsidP="0046163D">
      <w:pPr>
        <w:pStyle w:val="Heading3"/>
        <w:pageBreakBefore/>
      </w:pPr>
      <w:bookmarkStart w:id="13" w:name="_Toc247691503"/>
      <w:bookmarkStart w:id="14" w:name="_Toc314842484"/>
      <w:bookmarkStart w:id="15" w:name="_Toc513458912"/>
      <w:r>
        <w:lastRenderedPageBreak/>
        <w:t>Product background</w:t>
      </w:r>
      <w:bookmarkEnd w:id="13"/>
      <w:bookmarkEnd w:id="14"/>
      <w:bookmarkEnd w:id="15"/>
    </w:p>
    <w:p w14:paraId="07F4C592" w14:textId="77777777" w:rsidR="008E7846" w:rsidRDefault="00940A89" w:rsidP="00940A89">
      <w:r w:rsidRPr="00940A89">
        <w:t>This AusPAR describes the application</w:t>
      </w:r>
      <w:r w:rsidR="00805F1B">
        <w:t>s</w:t>
      </w:r>
      <w:r w:rsidRPr="00940A89">
        <w:t xml:space="preserve"> by </w:t>
      </w:r>
      <w:r w:rsidR="00805F1B">
        <w:t xml:space="preserve">Merck Sharp </w:t>
      </w:r>
      <w:r w:rsidR="0018153A">
        <w:t>and</w:t>
      </w:r>
      <w:r w:rsidR="00805F1B">
        <w:t xml:space="preserve"> Dohme Australia Pty Ltd</w:t>
      </w:r>
      <w:r w:rsidR="00805F1B" w:rsidRPr="00940A89">
        <w:t xml:space="preserve"> </w:t>
      </w:r>
      <w:r w:rsidR="00805F1B">
        <w:t>(</w:t>
      </w:r>
      <w:r w:rsidRPr="00940A89">
        <w:t>the sponsor</w:t>
      </w:r>
      <w:r w:rsidR="00805F1B">
        <w:t>)</w:t>
      </w:r>
      <w:r w:rsidRPr="00940A89">
        <w:t xml:space="preserve"> to register </w:t>
      </w:r>
      <w:r w:rsidR="00581621">
        <w:t>Keytruda</w:t>
      </w:r>
      <w:r w:rsidRPr="00940A89">
        <w:t xml:space="preserve"> for the following indication</w:t>
      </w:r>
      <w:r w:rsidR="00805F1B">
        <w:t>s:</w:t>
      </w:r>
    </w:p>
    <w:p w14:paraId="07F4C593" w14:textId="77777777" w:rsidR="00805F1B" w:rsidRDefault="00805F1B" w:rsidP="00940A89">
      <w:r>
        <w:t>Submission PM-2015-04712-1-4</w:t>
      </w:r>
      <w:r w:rsidR="006F591B">
        <w:t>:</w:t>
      </w:r>
    </w:p>
    <w:p w14:paraId="07F4C594" w14:textId="77777777" w:rsidR="006F591B" w:rsidRPr="006F591B" w:rsidRDefault="00C329E7" w:rsidP="006F591B">
      <w:pPr>
        <w:ind w:left="720"/>
        <w:rPr>
          <w:i/>
        </w:rPr>
      </w:pPr>
      <w:r>
        <w:rPr>
          <w:i/>
        </w:rPr>
        <w:t>Keytruda</w:t>
      </w:r>
      <w:r w:rsidR="006F591B" w:rsidRPr="006F591B">
        <w:rPr>
          <w:i/>
        </w:rPr>
        <w:t xml:space="preserve"> is indicated for the treatment of patients with advanced non-small cell lung carcinoma (NSCLC) whose tumours express PD-L1 and who have received </w:t>
      </w:r>
      <w:r w:rsidR="005B1C86">
        <w:rPr>
          <w:i/>
        </w:rPr>
        <w:t>platinum containing</w:t>
      </w:r>
      <w:r w:rsidR="006F591B" w:rsidRPr="006F591B">
        <w:rPr>
          <w:i/>
        </w:rPr>
        <w:t xml:space="preserve"> chemotherapy. Patients with EGFR or ALK genomic tumour aberrations should also have received approved therapy for these aberrations prior to receiving </w:t>
      </w:r>
      <w:r>
        <w:rPr>
          <w:i/>
        </w:rPr>
        <w:t>Keytruda</w:t>
      </w:r>
      <w:r w:rsidR="006F591B" w:rsidRPr="006F591B">
        <w:rPr>
          <w:i/>
        </w:rPr>
        <w:t xml:space="preserve"> [see CLINICAL TRIALS].</w:t>
      </w:r>
    </w:p>
    <w:p w14:paraId="07F4C595" w14:textId="77777777" w:rsidR="00805F1B" w:rsidRDefault="00805F1B" w:rsidP="00940A89">
      <w:r>
        <w:t>Submission PM-2016-02325-1-4</w:t>
      </w:r>
      <w:r w:rsidR="006F591B">
        <w:t>:</w:t>
      </w:r>
    </w:p>
    <w:p w14:paraId="07F4C596" w14:textId="75DB9290" w:rsidR="006F591B" w:rsidRPr="006F591B" w:rsidRDefault="00C329E7" w:rsidP="006F591B">
      <w:pPr>
        <w:ind w:left="720"/>
        <w:rPr>
          <w:i/>
        </w:rPr>
      </w:pPr>
      <w:r>
        <w:rPr>
          <w:i/>
        </w:rPr>
        <w:t>Keytruda</w:t>
      </w:r>
      <w:r w:rsidR="006F591B" w:rsidRPr="006F591B">
        <w:rPr>
          <w:i/>
        </w:rPr>
        <w:t xml:space="preserve"> is indicated for the treatment of patients with previously untreated metastatic non-small cell lung carcinoma (NSCLC) whose tumours express PD-L1 as determined by a validated test and do not harbour a </w:t>
      </w:r>
      <w:r w:rsidR="00A70986">
        <w:rPr>
          <w:i/>
        </w:rPr>
        <w:t>sensitizing</w:t>
      </w:r>
      <w:r w:rsidR="006F591B" w:rsidRPr="006F591B">
        <w:rPr>
          <w:i/>
        </w:rPr>
        <w:t xml:space="preserve"> EGFR mutation or ALK translocation [see CLINICAL TRIALS].</w:t>
      </w:r>
    </w:p>
    <w:p w14:paraId="07F4C597" w14:textId="1CFB45A7" w:rsidR="004D4E88" w:rsidRDefault="001664CD" w:rsidP="001664CD">
      <w:r>
        <w:t xml:space="preserve">The sponsor initially submitted the application for the second line treatment for </w:t>
      </w:r>
      <w:r w:rsidR="0018153A" w:rsidRPr="0018153A">
        <w:t xml:space="preserve">non-small cell lung carcinoma </w:t>
      </w:r>
      <w:r w:rsidR="0018153A">
        <w:t>(</w:t>
      </w:r>
      <w:r>
        <w:t>NSCLC</w:t>
      </w:r>
      <w:r w:rsidR="0018153A">
        <w:t>)</w:t>
      </w:r>
      <w:r>
        <w:t xml:space="preserve"> (</w:t>
      </w:r>
      <w:r w:rsidR="00DD2450">
        <w:t xml:space="preserve">Submission </w:t>
      </w:r>
      <w:r>
        <w:t>PM-2015-04712-1-4) and the</w:t>
      </w:r>
      <w:r w:rsidR="00E01EEE">
        <w:t>n the</w:t>
      </w:r>
      <w:r>
        <w:t xml:space="preserve"> subsequent submission for first line treatment for NSCLC (</w:t>
      </w:r>
      <w:r w:rsidR="00DD2450">
        <w:t xml:space="preserve">Submission </w:t>
      </w:r>
      <w:r>
        <w:t>PM-2016-02325-1-4)</w:t>
      </w:r>
      <w:r w:rsidR="00E01EEE">
        <w:t>. T</w:t>
      </w:r>
      <w:r>
        <w:t xml:space="preserve">he submissions were </w:t>
      </w:r>
      <w:r w:rsidR="00E01EEE">
        <w:t xml:space="preserve">jointly </w:t>
      </w:r>
      <w:r>
        <w:t xml:space="preserve">reviewed by the Delegate and the </w:t>
      </w:r>
      <w:r w:rsidR="003C5B17">
        <w:t>A</w:t>
      </w:r>
      <w:r>
        <w:t xml:space="preserve">dvisory </w:t>
      </w:r>
      <w:r w:rsidR="003C5B17">
        <w:t xml:space="preserve">Committee </w:t>
      </w:r>
      <w:r w:rsidR="00E01EEE">
        <w:t xml:space="preserve">for </w:t>
      </w:r>
      <w:r w:rsidR="003C5B17">
        <w:t xml:space="preserve">Medicines </w:t>
      </w:r>
      <w:r w:rsidR="00E01EEE">
        <w:t>(ACM)</w:t>
      </w:r>
      <w:r w:rsidR="0079686A">
        <w:t>. This AusPAR presents the assessment and review of both submissions and the associated clinical evaluations are presented as Attachment 2 (</w:t>
      </w:r>
      <w:r w:rsidR="00DD2450">
        <w:t>Submission </w:t>
      </w:r>
      <w:r w:rsidR="0079686A">
        <w:t>PM</w:t>
      </w:r>
      <w:r w:rsidR="00DD2450">
        <w:noBreakHyphen/>
      </w:r>
      <w:r w:rsidR="0079686A">
        <w:t>2015-04721-1-4) and At</w:t>
      </w:r>
      <w:r w:rsidR="00E01EEE">
        <w:t>tachment 3 (</w:t>
      </w:r>
      <w:r w:rsidR="00DD2450">
        <w:t xml:space="preserve">Submission </w:t>
      </w:r>
      <w:r w:rsidR="00E01EEE">
        <w:t>PM</w:t>
      </w:r>
      <w:r w:rsidR="00332AEC">
        <w:noBreakHyphen/>
      </w:r>
      <w:r w:rsidR="00E01EEE">
        <w:t>2015-02325-1-4).</w:t>
      </w:r>
    </w:p>
    <w:p w14:paraId="07F4C598" w14:textId="6D9F9ACC" w:rsidR="00C93CF2" w:rsidRDefault="00C93CF2" w:rsidP="001664CD">
      <w:r>
        <w:t>Non-small cell lung cancer</w:t>
      </w:r>
      <w:r w:rsidR="00F21233">
        <w:t xml:space="preserve"> </w:t>
      </w:r>
      <w:r>
        <w:t xml:space="preserve">accounts for approximately 81% of lung cancer and is histologically classified into </w:t>
      </w:r>
      <w:r w:rsidR="008306DA">
        <w:t xml:space="preserve">the following cell types: squamous cell carcinoma (25%); adenocarcinoma (47%); large cell carcinoma (6%); and other (22%). Choice of therapy for advanced disease depends upon histology and also the extent of disease (number and site of metastases), presence of symptoms, the presence of </w:t>
      </w:r>
      <w:r w:rsidR="00C51A60">
        <w:t xml:space="preserve">oncogenic </w:t>
      </w:r>
      <w:r w:rsidR="008306DA">
        <w:t>driver</w:t>
      </w:r>
      <w:r w:rsidR="00C51A60">
        <w:t>s</w:t>
      </w:r>
      <w:r w:rsidR="008306DA">
        <w:t xml:space="preserve"> (for example </w:t>
      </w:r>
      <w:r w:rsidR="004572B1">
        <w:t xml:space="preserve">epidermal growth factor </w:t>
      </w:r>
      <w:r w:rsidR="004572B1" w:rsidRPr="004572B1">
        <w:t>receptor (</w:t>
      </w:r>
      <w:r w:rsidR="00B36C07" w:rsidRPr="004572B1">
        <w:t>EGFR</w:t>
      </w:r>
      <w:r w:rsidR="004572B1" w:rsidRPr="004572B1">
        <w:t>)</w:t>
      </w:r>
      <w:r w:rsidR="00B36C07" w:rsidRPr="004572B1">
        <w:t xml:space="preserve">, </w:t>
      </w:r>
      <w:r w:rsidR="004572B1" w:rsidRPr="004572B1">
        <w:t>anaplastic lymphoma kinase (</w:t>
      </w:r>
      <w:r w:rsidR="00B36C07" w:rsidRPr="004572B1">
        <w:t>ALK</w:t>
      </w:r>
      <w:r w:rsidR="004572B1" w:rsidRPr="004572B1">
        <w:t>)</w:t>
      </w:r>
      <w:r w:rsidR="00B36C07" w:rsidRPr="004572B1">
        <w:t>,</w:t>
      </w:r>
      <w:r w:rsidR="002A0D9B">
        <w:t xml:space="preserve"> and</w:t>
      </w:r>
      <w:r w:rsidR="00B36C07" w:rsidRPr="004572B1">
        <w:t xml:space="preserve"> ROS1</w:t>
      </w:r>
      <w:r w:rsidR="00DD2450">
        <w:t>)</w:t>
      </w:r>
      <w:r w:rsidR="004572B1" w:rsidRPr="004572B1">
        <w:rPr>
          <w:rStyle w:val="FootnoteReference"/>
        </w:rPr>
        <w:footnoteReference w:id="1"/>
      </w:r>
      <w:r w:rsidR="00B36C07" w:rsidRPr="004572B1">
        <w:t xml:space="preserve"> and</w:t>
      </w:r>
      <w:r w:rsidR="00B36C07">
        <w:t xml:space="preserve"> the patients</w:t>
      </w:r>
      <w:r w:rsidR="00C51A60">
        <w:t>’</w:t>
      </w:r>
      <w:r w:rsidR="00B36C07">
        <w:t xml:space="preserve"> overall condition and co-morbidities.</w:t>
      </w:r>
    </w:p>
    <w:p w14:paraId="07F4C599" w14:textId="57F99A27" w:rsidR="00C93CF2" w:rsidRPr="00EA0D05" w:rsidRDefault="0018153A" w:rsidP="00EA0D05">
      <w:r>
        <w:t>Programmed death receptor-</w:t>
      </w:r>
      <w:r w:rsidRPr="003D1BCE">
        <w:t xml:space="preserve">1 </w:t>
      </w:r>
      <w:r>
        <w:t>(</w:t>
      </w:r>
      <w:r w:rsidR="00B36C07" w:rsidRPr="00B36C07">
        <w:t>PD-1</w:t>
      </w:r>
      <w:r>
        <w:t>)</w:t>
      </w:r>
      <w:r w:rsidR="00B36C07" w:rsidRPr="00B36C07">
        <w:t xml:space="preserve"> is an immune</w:t>
      </w:r>
      <w:r w:rsidR="002A0D9B">
        <w:t xml:space="preserve"> </w:t>
      </w:r>
      <w:r w:rsidR="00B36C07" w:rsidRPr="00B36C07">
        <w:t>checkpoint receptor that limits the activity of T lymphocytes in peripheral</w:t>
      </w:r>
      <w:r w:rsidR="00B36C07">
        <w:t xml:space="preserve"> </w:t>
      </w:r>
      <w:r w:rsidR="00B36C07" w:rsidRPr="00B36C07">
        <w:t>tissues. The PD-1 pathway is an immune control checkpoint that</w:t>
      </w:r>
      <w:r w:rsidR="00B36C07">
        <w:t xml:space="preserve"> may be engaged by tumour cells </w:t>
      </w:r>
      <w:r w:rsidR="00B36C07" w:rsidRPr="00B36C07">
        <w:t>to inhibit active T</w:t>
      </w:r>
      <w:r w:rsidR="002A0D9B">
        <w:t xml:space="preserve"> </w:t>
      </w:r>
      <w:r w:rsidR="00B36C07" w:rsidRPr="00B36C07">
        <w:t xml:space="preserve">cell immune surveillance. </w:t>
      </w:r>
      <w:r w:rsidR="00B36C07" w:rsidRPr="00D37A44">
        <w:t>Pembrolizumab is a m</w:t>
      </w:r>
      <w:r w:rsidR="00B36C07">
        <w:t xml:space="preserve">onoclonal antibody against PD-1; </w:t>
      </w:r>
      <w:r w:rsidR="00B36C07" w:rsidRPr="00B36C07">
        <w:t>which exerts dual ligand blockade of the PD-1 pathway, includ</w:t>
      </w:r>
      <w:r w:rsidR="00B36C07">
        <w:t xml:space="preserve">ing PD-L1 and PD-L2, on antigen </w:t>
      </w:r>
      <w:r w:rsidR="00B36C07" w:rsidRPr="00B36C07">
        <w:t>presenting or tumour cells. By inhibiting the PD-1 receptor from b</w:t>
      </w:r>
      <w:r w:rsidR="00B36C07">
        <w:t xml:space="preserve">inding to its ligands pembrolizumab </w:t>
      </w:r>
      <w:r>
        <w:t xml:space="preserve">reactivates tumour </w:t>
      </w:r>
      <w:r w:rsidR="00B36C07" w:rsidRPr="00B36C07">
        <w:t xml:space="preserve">specific cytotoxic T lymphocytes in </w:t>
      </w:r>
      <w:r w:rsidR="00B36C07">
        <w:t xml:space="preserve">the tumour microenvironment and </w:t>
      </w:r>
      <w:r w:rsidR="00B36C07" w:rsidRPr="00B36C07">
        <w:t>reactivates anti-tumour immunity</w:t>
      </w:r>
      <w:r w:rsidR="00EA0D05">
        <w:t xml:space="preserve">. Pembrolizumab thus </w:t>
      </w:r>
      <w:r w:rsidR="00B36C07" w:rsidRPr="00EA0D05">
        <w:t>functio</w:t>
      </w:r>
      <w:r w:rsidR="00EA0D05">
        <w:t>ns as a ‘checkpoint inhibitor’;</w:t>
      </w:r>
      <w:r w:rsidR="00B36C07" w:rsidRPr="00EA0D05">
        <w:t xml:space="preserve"> releasing the brakes on anti-tumour immunity (while also predisposing to autoimmune toxicity).</w:t>
      </w:r>
    </w:p>
    <w:p w14:paraId="07F4C59A" w14:textId="63040E93" w:rsidR="0018153A" w:rsidRDefault="00D37A44" w:rsidP="001664CD">
      <w:r w:rsidRPr="00D37A44">
        <w:t>NSCLC is an area of unmet need</w:t>
      </w:r>
      <w:r w:rsidR="00EC47E6">
        <w:t xml:space="preserve"> with few effective treatment options. N</w:t>
      </w:r>
      <w:r w:rsidR="00EC47E6" w:rsidRPr="00D37A44">
        <w:t xml:space="preserve">ivolumab </w:t>
      </w:r>
      <w:r w:rsidRPr="00D37A44">
        <w:t xml:space="preserve">(also an anti-PD-1 </w:t>
      </w:r>
      <w:r w:rsidR="00EA0D05">
        <w:t>monoclonal antibody</w:t>
      </w:r>
      <w:r w:rsidRPr="00D37A44">
        <w:t xml:space="preserve">) is approved as a </w:t>
      </w:r>
      <w:r w:rsidR="0046163D">
        <w:t>second line</w:t>
      </w:r>
      <w:r w:rsidR="00EA0D05">
        <w:t xml:space="preserve"> agent in advanced NSCLC</w:t>
      </w:r>
      <w:r w:rsidR="00EC47E6">
        <w:t xml:space="preserve"> </w:t>
      </w:r>
      <w:r w:rsidR="00EA0D05">
        <w:t>with no requirement with</w:t>
      </w:r>
      <w:r w:rsidRPr="00D37A44">
        <w:t xml:space="preserve"> respect to PD-L1 expression on tumour</w:t>
      </w:r>
      <w:r w:rsidR="0018153A">
        <w:t xml:space="preserve"> specimens. In the</w:t>
      </w:r>
      <w:r w:rsidR="00EA0D05">
        <w:t>s</w:t>
      </w:r>
      <w:r w:rsidR="0018153A">
        <w:t>e</w:t>
      </w:r>
      <w:r w:rsidRPr="00D37A44">
        <w:t xml:space="preserve"> submissions the sponsor requests approval of pembrolizumab in NSCLC subjects whose tumours express PD-L1 (with strong expression required in </w:t>
      </w:r>
      <w:r w:rsidR="00EA0D05">
        <w:t>first line</w:t>
      </w:r>
      <w:r w:rsidRPr="00D37A44">
        <w:t xml:space="preserve"> </w:t>
      </w:r>
      <w:r w:rsidR="00EA0D05">
        <w:t xml:space="preserve">treatment of </w:t>
      </w:r>
      <w:r w:rsidRPr="00D37A44">
        <w:t xml:space="preserve">NSCLC, and ‘any’ positive staining required in </w:t>
      </w:r>
      <w:r w:rsidR="00EA0D05">
        <w:t>second line treatment</w:t>
      </w:r>
      <w:r w:rsidRPr="00D37A44">
        <w:t xml:space="preserve"> NSCLC).</w:t>
      </w:r>
    </w:p>
    <w:p w14:paraId="07F4C59B" w14:textId="1D9BAEF3" w:rsidR="004D4E88" w:rsidRPr="001664CD" w:rsidRDefault="00D37A44" w:rsidP="001664CD">
      <w:r>
        <w:lastRenderedPageBreak/>
        <w:t xml:space="preserve">Determination of PD-L1 expression </w:t>
      </w:r>
      <w:r w:rsidR="00C93CF2">
        <w:t xml:space="preserve">is performed histologically and is rated using a tumour proportion score (TPS) based on the percentage of viable tumour cells showing partial or complete membrane staining. A TPS score </w:t>
      </w:r>
      <w:r w:rsidR="0046163D">
        <w:t>≥</w:t>
      </w:r>
      <w:r w:rsidR="00170F49">
        <w:t xml:space="preserve"> </w:t>
      </w:r>
      <w:r w:rsidR="00C93CF2">
        <w:t xml:space="preserve">50% is </w:t>
      </w:r>
      <w:r w:rsidR="006A284A">
        <w:t>defined</w:t>
      </w:r>
      <w:r w:rsidR="00E01EEE">
        <w:t xml:space="preserve"> as </w:t>
      </w:r>
      <w:r w:rsidR="00C93CF2">
        <w:t>strongly positive PD-L1 expression.</w:t>
      </w:r>
    </w:p>
    <w:p w14:paraId="07F4C59C" w14:textId="77777777" w:rsidR="008E7846" w:rsidRPr="003F31A2" w:rsidRDefault="00386150" w:rsidP="008E7846">
      <w:pPr>
        <w:pStyle w:val="Heading3"/>
      </w:pPr>
      <w:bookmarkStart w:id="16" w:name="_Toc314842485"/>
      <w:bookmarkStart w:id="17" w:name="_Toc247691504"/>
      <w:bookmarkStart w:id="18" w:name="_Toc513458913"/>
      <w:r>
        <w:t>Regulatory s</w:t>
      </w:r>
      <w:r w:rsidR="008E7846">
        <w:t>tatus</w:t>
      </w:r>
      <w:bookmarkEnd w:id="16"/>
      <w:bookmarkEnd w:id="17"/>
      <w:bookmarkEnd w:id="18"/>
    </w:p>
    <w:p w14:paraId="07F4C59D" w14:textId="77777777" w:rsidR="00940A89" w:rsidRPr="00940A89" w:rsidRDefault="00940A89" w:rsidP="00940A89">
      <w:bookmarkStart w:id="19" w:name="_Toc247691505"/>
      <w:bookmarkStart w:id="20" w:name="_Toc314842486"/>
      <w:r w:rsidRPr="00940A89">
        <w:t>The product received initial registration on the Australian Register</w:t>
      </w:r>
      <w:r w:rsidR="004D4E88">
        <w:t xml:space="preserve"> of Therapeutic Goods (ARTG) o</w:t>
      </w:r>
      <w:r w:rsidR="00A4412F">
        <w:t>n16 April 2015</w:t>
      </w:r>
      <w:r w:rsidR="004D4E88">
        <w:t xml:space="preserve"> (powder for injection) and 8 March 2016 (concentrate for injection)</w:t>
      </w:r>
      <w:r w:rsidR="00A4412F">
        <w:t xml:space="preserve"> and at the time of consideration for this submission the approved indications were:</w:t>
      </w:r>
    </w:p>
    <w:p w14:paraId="07F4C59E" w14:textId="77777777" w:rsidR="008819BE" w:rsidRPr="00A4412F" w:rsidRDefault="00C329E7" w:rsidP="00A4412F">
      <w:pPr>
        <w:ind w:left="720"/>
        <w:rPr>
          <w:i/>
        </w:rPr>
      </w:pPr>
      <w:r>
        <w:rPr>
          <w:i/>
        </w:rPr>
        <w:t>Keytruda</w:t>
      </w:r>
      <w:r w:rsidR="00A4412F" w:rsidRPr="00A4412F">
        <w:rPr>
          <w:i/>
        </w:rPr>
        <w:t xml:space="preserve"> (pembrolizumab) is indicated as monotherapy for the treatment of unresectable or metastatic melanoma in adults.</w:t>
      </w:r>
    </w:p>
    <w:p w14:paraId="07F4C59F" w14:textId="77777777" w:rsidR="00940A89" w:rsidRDefault="00940A89" w:rsidP="00940A89">
      <w:r w:rsidRPr="00940A89">
        <w:t>At the time the TGA considered this application, a similar application had been approved was under co</w:t>
      </w:r>
      <w:r>
        <w:t xml:space="preserve">nsideration in </w:t>
      </w:r>
      <w:r w:rsidR="00E877D0">
        <w:t>the countries as described in Table 1.</w:t>
      </w:r>
    </w:p>
    <w:p w14:paraId="07F4C5A0" w14:textId="78935F84" w:rsidR="001D4C9C" w:rsidRDefault="001D4C9C" w:rsidP="001D4C9C">
      <w:pPr>
        <w:pStyle w:val="TableTitle"/>
      </w:pPr>
      <w:r>
        <w:t>Table 1: International regulatory history</w:t>
      </w:r>
    </w:p>
    <w:tbl>
      <w:tblPr>
        <w:tblStyle w:val="TableTGAblue"/>
        <w:tblW w:w="0" w:type="auto"/>
        <w:tblLook w:val="04A0" w:firstRow="1" w:lastRow="0" w:firstColumn="1" w:lastColumn="0" w:noHBand="0" w:noVBand="1"/>
      </w:tblPr>
      <w:tblGrid>
        <w:gridCol w:w="1856"/>
        <w:gridCol w:w="3352"/>
        <w:gridCol w:w="3512"/>
      </w:tblGrid>
      <w:tr w:rsidR="00E877D0" w:rsidRPr="00BA16BD" w14:paraId="07F4C5A4" w14:textId="77777777" w:rsidTr="001D4C9C">
        <w:trPr>
          <w:cnfStyle w:val="100000000000" w:firstRow="1" w:lastRow="0" w:firstColumn="0" w:lastColumn="0" w:oddVBand="0" w:evenVBand="0" w:oddHBand="0" w:evenHBand="0" w:firstRowFirstColumn="0" w:firstRowLastColumn="0" w:lastRowFirstColumn="0" w:lastRowLastColumn="0"/>
        </w:trPr>
        <w:tc>
          <w:tcPr>
            <w:tcW w:w="1591" w:type="dxa"/>
          </w:tcPr>
          <w:p w14:paraId="07F4C5A1" w14:textId="77777777" w:rsidR="001D4C9C" w:rsidRPr="00BA16BD" w:rsidRDefault="001D4C9C" w:rsidP="00BA16BD">
            <w:pPr>
              <w:rPr>
                <w:b w:val="0"/>
                <w:sz w:val="20"/>
                <w:szCs w:val="20"/>
              </w:rPr>
            </w:pPr>
            <w:r w:rsidRPr="00BA16BD">
              <w:rPr>
                <w:sz w:val="20"/>
                <w:szCs w:val="20"/>
              </w:rPr>
              <w:t>Regulatory authority</w:t>
            </w:r>
          </w:p>
        </w:tc>
        <w:tc>
          <w:tcPr>
            <w:tcW w:w="3479" w:type="dxa"/>
          </w:tcPr>
          <w:p w14:paraId="07F4C5A2" w14:textId="77777777" w:rsidR="001D4C9C" w:rsidRPr="00BA16BD" w:rsidRDefault="001D4C9C" w:rsidP="00BA16BD">
            <w:pPr>
              <w:rPr>
                <w:b w:val="0"/>
                <w:sz w:val="20"/>
                <w:szCs w:val="20"/>
              </w:rPr>
            </w:pPr>
            <w:r w:rsidRPr="00BA16BD">
              <w:rPr>
                <w:sz w:val="20"/>
                <w:szCs w:val="20"/>
              </w:rPr>
              <w:t>Second line NSCLC</w:t>
            </w:r>
          </w:p>
        </w:tc>
        <w:tc>
          <w:tcPr>
            <w:tcW w:w="3650" w:type="dxa"/>
          </w:tcPr>
          <w:p w14:paraId="07F4C5A3" w14:textId="77777777" w:rsidR="001D4C9C" w:rsidRPr="00BA16BD" w:rsidRDefault="0018153A" w:rsidP="00BA16BD">
            <w:pPr>
              <w:rPr>
                <w:b w:val="0"/>
                <w:sz w:val="20"/>
                <w:szCs w:val="20"/>
              </w:rPr>
            </w:pPr>
            <w:r w:rsidRPr="00BA16BD">
              <w:rPr>
                <w:sz w:val="20"/>
                <w:szCs w:val="20"/>
              </w:rPr>
              <w:t xml:space="preserve">First </w:t>
            </w:r>
            <w:r w:rsidR="001D4C9C" w:rsidRPr="00BA16BD">
              <w:rPr>
                <w:sz w:val="20"/>
                <w:szCs w:val="20"/>
              </w:rPr>
              <w:t>line NSCLC</w:t>
            </w:r>
          </w:p>
        </w:tc>
      </w:tr>
      <w:tr w:rsidR="00E877D0" w:rsidRPr="00BA16BD" w14:paraId="07F4C5AA" w14:textId="77777777" w:rsidTr="001D4C9C">
        <w:tc>
          <w:tcPr>
            <w:tcW w:w="1591" w:type="dxa"/>
          </w:tcPr>
          <w:p w14:paraId="07F4C5A5" w14:textId="77777777" w:rsidR="001D4C9C" w:rsidRPr="00BA16BD" w:rsidRDefault="002D1E8D" w:rsidP="00BA16BD">
            <w:pPr>
              <w:rPr>
                <w:sz w:val="20"/>
                <w:szCs w:val="20"/>
              </w:rPr>
            </w:pPr>
            <w:r w:rsidRPr="00BA16BD">
              <w:rPr>
                <w:sz w:val="20"/>
                <w:szCs w:val="20"/>
              </w:rPr>
              <w:t>Food and Drug Administration (</w:t>
            </w:r>
            <w:r w:rsidR="001D4C9C" w:rsidRPr="00BA16BD">
              <w:rPr>
                <w:sz w:val="20"/>
                <w:szCs w:val="20"/>
              </w:rPr>
              <w:t>FDA</w:t>
            </w:r>
            <w:r w:rsidRPr="00BA16BD">
              <w:rPr>
                <w:sz w:val="20"/>
                <w:szCs w:val="20"/>
              </w:rPr>
              <w:t>)</w:t>
            </w:r>
          </w:p>
        </w:tc>
        <w:tc>
          <w:tcPr>
            <w:tcW w:w="3479" w:type="dxa"/>
          </w:tcPr>
          <w:p w14:paraId="07F4C5A6" w14:textId="77777777" w:rsidR="001D4C9C" w:rsidRPr="00BA16BD" w:rsidRDefault="001D4C9C" w:rsidP="00BA16BD">
            <w:pPr>
              <w:rPr>
                <w:sz w:val="20"/>
                <w:szCs w:val="20"/>
              </w:rPr>
            </w:pPr>
            <w:r w:rsidRPr="00BA16BD">
              <w:rPr>
                <w:sz w:val="20"/>
                <w:szCs w:val="20"/>
              </w:rPr>
              <w:t>Approved 24</w:t>
            </w:r>
            <w:r w:rsidR="008141D3" w:rsidRPr="00BA16BD">
              <w:rPr>
                <w:sz w:val="20"/>
                <w:szCs w:val="20"/>
              </w:rPr>
              <w:t xml:space="preserve"> October </w:t>
            </w:r>
            <w:r w:rsidRPr="00BA16BD">
              <w:rPr>
                <w:sz w:val="20"/>
                <w:szCs w:val="20"/>
              </w:rPr>
              <w:t>2016</w:t>
            </w:r>
          </w:p>
          <w:p w14:paraId="07F4C5A7" w14:textId="77777777" w:rsidR="001D4C9C" w:rsidRPr="00BA16BD" w:rsidRDefault="001D4C9C" w:rsidP="00BA16BD">
            <w:pPr>
              <w:rPr>
                <w:sz w:val="20"/>
                <w:szCs w:val="20"/>
              </w:rPr>
            </w:pPr>
            <w:r w:rsidRPr="00BA16BD">
              <w:rPr>
                <w:sz w:val="20"/>
                <w:szCs w:val="20"/>
              </w:rPr>
              <w:t xml:space="preserve">Indication: </w:t>
            </w:r>
            <w:r w:rsidR="00C329E7" w:rsidRPr="00BA16BD">
              <w:rPr>
                <w:sz w:val="20"/>
                <w:szCs w:val="20"/>
              </w:rPr>
              <w:t>Keytruda</w:t>
            </w:r>
            <w:r w:rsidRPr="00BA16BD">
              <w:rPr>
                <w:sz w:val="20"/>
                <w:szCs w:val="20"/>
              </w:rPr>
              <w:t xml:space="preserve"> is indicated for the treatment of patients with metastatic NSCLC whose </w:t>
            </w:r>
            <w:proofErr w:type="spellStart"/>
            <w:r w:rsidRPr="00BA16BD">
              <w:rPr>
                <w:sz w:val="20"/>
                <w:szCs w:val="20"/>
              </w:rPr>
              <w:t>tumors</w:t>
            </w:r>
            <w:proofErr w:type="spellEnd"/>
            <w:r w:rsidRPr="00BA16BD">
              <w:rPr>
                <w:sz w:val="20"/>
                <w:szCs w:val="20"/>
              </w:rPr>
              <w:t xml:space="preserve"> express PD-L1 (TPS </w:t>
            </w:r>
            <w:r w:rsidR="0046163D" w:rsidRPr="00BA16BD">
              <w:rPr>
                <w:sz w:val="20"/>
                <w:szCs w:val="20"/>
              </w:rPr>
              <w:t xml:space="preserve">≥ </w:t>
            </w:r>
            <w:r w:rsidRPr="00BA16BD">
              <w:rPr>
                <w:sz w:val="20"/>
                <w:szCs w:val="20"/>
              </w:rPr>
              <w:t xml:space="preserve">1%) as determined by an FDA-approved test, with disease progression on or after </w:t>
            </w:r>
            <w:r w:rsidR="005B1C86" w:rsidRPr="00BA16BD">
              <w:rPr>
                <w:sz w:val="20"/>
                <w:szCs w:val="20"/>
              </w:rPr>
              <w:t>platinum containing</w:t>
            </w:r>
            <w:r w:rsidRPr="00BA16BD">
              <w:rPr>
                <w:sz w:val="20"/>
                <w:szCs w:val="20"/>
              </w:rPr>
              <w:t xml:space="preserve"> chemotherapy. Patients with EGFR or ALK genomic </w:t>
            </w:r>
            <w:proofErr w:type="spellStart"/>
            <w:r w:rsidRPr="00BA16BD">
              <w:rPr>
                <w:sz w:val="20"/>
                <w:szCs w:val="20"/>
              </w:rPr>
              <w:t>tumor</w:t>
            </w:r>
            <w:proofErr w:type="spellEnd"/>
            <w:r w:rsidRPr="00BA16BD">
              <w:rPr>
                <w:sz w:val="20"/>
                <w:szCs w:val="20"/>
              </w:rPr>
              <w:t xml:space="preserve"> aberrations should have disease progression on FDA-approved therapy for these aberrations prior to receiving </w:t>
            </w:r>
            <w:r w:rsidR="00C329E7" w:rsidRPr="00BA16BD">
              <w:rPr>
                <w:sz w:val="20"/>
                <w:szCs w:val="20"/>
              </w:rPr>
              <w:t>Keytruda</w:t>
            </w:r>
            <w:r w:rsidRPr="00BA16BD">
              <w:rPr>
                <w:sz w:val="20"/>
                <w:szCs w:val="20"/>
              </w:rPr>
              <w:t xml:space="preserve"> [see Clinical Studies (14.2)].</w:t>
            </w:r>
          </w:p>
        </w:tc>
        <w:tc>
          <w:tcPr>
            <w:tcW w:w="3650" w:type="dxa"/>
          </w:tcPr>
          <w:p w14:paraId="07F4C5A8" w14:textId="77777777" w:rsidR="001D4C9C" w:rsidRPr="00BA16BD" w:rsidRDefault="001D4C9C" w:rsidP="00BA16BD">
            <w:pPr>
              <w:rPr>
                <w:sz w:val="20"/>
                <w:szCs w:val="20"/>
              </w:rPr>
            </w:pPr>
            <w:r w:rsidRPr="00BA16BD">
              <w:rPr>
                <w:sz w:val="20"/>
                <w:szCs w:val="20"/>
              </w:rPr>
              <w:t>Approved 24</w:t>
            </w:r>
            <w:r w:rsidR="008141D3" w:rsidRPr="00BA16BD">
              <w:rPr>
                <w:sz w:val="20"/>
                <w:szCs w:val="20"/>
              </w:rPr>
              <w:t xml:space="preserve"> October </w:t>
            </w:r>
            <w:r w:rsidRPr="00BA16BD">
              <w:rPr>
                <w:sz w:val="20"/>
                <w:szCs w:val="20"/>
              </w:rPr>
              <w:t>2016</w:t>
            </w:r>
          </w:p>
          <w:p w14:paraId="07F4C5A9" w14:textId="77777777" w:rsidR="001D4C9C" w:rsidRPr="00BA16BD" w:rsidRDefault="001D4C9C" w:rsidP="00BA16BD">
            <w:pPr>
              <w:rPr>
                <w:sz w:val="20"/>
                <w:szCs w:val="20"/>
              </w:rPr>
            </w:pPr>
            <w:r w:rsidRPr="00BA16BD">
              <w:rPr>
                <w:sz w:val="20"/>
                <w:szCs w:val="20"/>
              </w:rPr>
              <w:t xml:space="preserve">Indication: </w:t>
            </w:r>
            <w:r w:rsidR="00C329E7" w:rsidRPr="00BA16BD">
              <w:rPr>
                <w:sz w:val="20"/>
                <w:szCs w:val="20"/>
              </w:rPr>
              <w:t>Keytruda</w:t>
            </w:r>
            <w:r w:rsidRPr="00BA16BD">
              <w:rPr>
                <w:sz w:val="20"/>
                <w:szCs w:val="20"/>
              </w:rPr>
              <w:t xml:space="preserve"> is indicated for the first-line treatment of patients with metastatic non-small cell lung cancer (NSCLC) whose </w:t>
            </w:r>
            <w:proofErr w:type="spellStart"/>
            <w:r w:rsidRPr="00BA16BD">
              <w:rPr>
                <w:sz w:val="20"/>
                <w:szCs w:val="20"/>
              </w:rPr>
              <w:t>tumors</w:t>
            </w:r>
            <w:proofErr w:type="spellEnd"/>
            <w:r w:rsidRPr="00BA16BD">
              <w:rPr>
                <w:sz w:val="20"/>
                <w:szCs w:val="20"/>
              </w:rPr>
              <w:t xml:space="preserve"> have high PD-L1 expression [</w:t>
            </w:r>
            <w:proofErr w:type="spellStart"/>
            <w:r w:rsidRPr="00BA16BD">
              <w:rPr>
                <w:sz w:val="20"/>
                <w:szCs w:val="20"/>
              </w:rPr>
              <w:t>Tumor</w:t>
            </w:r>
            <w:proofErr w:type="spellEnd"/>
            <w:r w:rsidRPr="00BA16BD">
              <w:rPr>
                <w:sz w:val="20"/>
                <w:szCs w:val="20"/>
              </w:rPr>
              <w:t xml:space="preserve"> Proportion Score (TPS) </w:t>
            </w:r>
            <w:r w:rsidR="0046163D" w:rsidRPr="00BA16BD">
              <w:rPr>
                <w:sz w:val="20"/>
                <w:szCs w:val="20"/>
              </w:rPr>
              <w:t xml:space="preserve">≥ </w:t>
            </w:r>
            <w:r w:rsidRPr="00BA16BD">
              <w:rPr>
                <w:sz w:val="20"/>
                <w:szCs w:val="20"/>
              </w:rPr>
              <w:t xml:space="preserve">50%)] as determined by an FDA-approved test, with no EGFR or ALK genomic </w:t>
            </w:r>
            <w:proofErr w:type="spellStart"/>
            <w:r w:rsidRPr="00BA16BD">
              <w:rPr>
                <w:sz w:val="20"/>
                <w:szCs w:val="20"/>
              </w:rPr>
              <w:t>tumor</w:t>
            </w:r>
            <w:proofErr w:type="spellEnd"/>
            <w:r w:rsidRPr="00BA16BD">
              <w:rPr>
                <w:sz w:val="20"/>
                <w:szCs w:val="20"/>
              </w:rPr>
              <w:t xml:space="preserve"> aberrations [see Clinical Studies (14.2)].</w:t>
            </w:r>
          </w:p>
        </w:tc>
      </w:tr>
      <w:tr w:rsidR="00E877D0" w:rsidRPr="00BA16BD" w14:paraId="07F4C5AF" w14:textId="77777777" w:rsidTr="001D4C9C">
        <w:tc>
          <w:tcPr>
            <w:tcW w:w="1591" w:type="dxa"/>
          </w:tcPr>
          <w:p w14:paraId="07F4C5AB" w14:textId="77777777" w:rsidR="001D4C9C" w:rsidRPr="00BA16BD" w:rsidRDefault="002D1E8D" w:rsidP="00BA16BD">
            <w:pPr>
              <w:rPr>
                <w:sz w:val="20"/>
                <w:szCs w:val="20"/>
              </w:rPr>
            </w:pPr>
            <w:r w:rsidRPr="00BA16BD">
              <w:rPr>
                <w:sz w:val="20"/>
                <w:szCs w:val="20"/>
              </w:rPr>
              <w:t>European Medicines Agency (</w:t>
            </w:r>
            <w:r w:rsidR="001D4C9C" w:rsidRPr="00BA16BD">
              <w:rPr>
                <w:sz w:val="20"/>
                <w:szCs w:val="20"/>
              </w:rPr>
              <w:t>EMA</w:t>
            </w:r>
            <w:r w:rsidRPr="00BA16BD">
              <w:rPr>
                <w:sz w:val="20"/>
                <w:szCs w:val="20"/>
              </w:rPr>
              <w:t>)</w:t>
            </w:r>
          </w:p>
        </w:tc>
        <w:tc>
          <w:tcPr>
            <w:tcW w:w="3479" w:type="dxa"/>
          </w:tcPr>
          <w:p w14:paraId="07F4C5AC" w14:textId="77777777" w:rsidR="001D4C9C" w:rsidRPr="00BA16BD" w:rsidRDefault="008141D3" w:rsidP="00BA16BD">
            <w:pPr>
              <w:rPr>
                <w:sz w:val="20"/>
                <w:szCs w:val="20"/>
              </w:rPr>
            </w:pPr>
            <w:r w:rsidRPr="00BA16BD">
              <w:rPr>
                <w:sz w:val="20"/>
                <w:szCs w:val="20"/>
              </w:rPr>
              <w:t xml:space="preserve">Approved 29 July </w:t>
            </w:r>
            <w:r w:rsidR="001D4C9C" w:rsidRPr="00BA16BD">
              <w:rPr>
                <w:sz w:val="20"/>
                <w:szCs w:val="20"/>
              </w:rPr>
              <w:t>2016</w:t>
            </w:r>
          </w:p>
          <w:p w14:paraId="07F4C5AD" w14:textId="77777777" w:rsidR="001D4C9C" w:rsidRPr="00BA16BD" w:rsidRDefault="001D4C9C" w:rsidP="00BA16BD">
            <w:pPr>
              <w:rPr>
                <w:sz w:val="20"/>
                <w:szCs w:val="20"/>
              </w:rPr>
            </w:pPr>
            <w:r w:rsidRPr="00BA16BD">
              <w:rPr>
                <w:sz w:val="20"/>
                <w:szCs w:val="20"/>
              </w:rPr>
              <w:t xml:space="preserve">Indication: </w:t>
            </w:r>
            <w:r w:rsidR="00C329E7" w:rsidRPr="00BA16BD">
              <w:rPr>
                <w:sz w:val="20"/>
                <w:szCs w:val="20"/>
              </w:rPr>
              <w:t>Keytruda</w:t>
            </w:r>
            <w:r w:rsidRPr="00BA16BD">
              <w:rPr>
                <w:sz w:val="20"/>
                <w:szCs w:val="20"/>
              </w:rPr>
              <w:t xml:space="preserve"> is indicated for the treatment of locally advanced or metastatic non-small cell lung carcinoma (NSCLC) in adults whose tumours express PDL1 and who have received at least one prior chemotherapy regimen. Patients with EGFR or ALK positive tumour mutations should also have received approved therapy for these mutations prior to receiving </w:t>
            </w:r>
            <w:r w:rsidR="00C329E7" w:rsidRPr="00BA16BD">
              <w:rPr>
                <w:sz w:val="20"/>
                <w:szCs w:val="20"/>
              </w:rPr>
              <w:t>Keytruda</w:t>
            </w:r>
            <w:r w:rsidRPr="00BA16BD">
              <w:rPr>
                <w:sz w:val="20"/>
                <w:szCs w:val="20"/>
              </w:rPr>
              <w:t>.</w:t>
            </w:r>
          </w:p>
        </w:tc>
        <w:tc>
          <w:tcPr>
            <w:tcW w:w="3650" w:type="dxa"/>
          </w:tcPr>
          <w:p w14:paraId="07F4C5AE" w14:textId="77777777" w:rsidR="001D4C9C" w:rsidRPr="00BA16BD" w:rsidRDefault="001D4C9C" w:rsidP="00BA16BD">
            <w:pPr>
              <w:rPr>
                <w:sz w:val="20"/>
                <w:szCs w:val="20"/>
              </w:rPr>
            </w:pPr>
            <w:r w:rsidRPr="00BA16BD">
              <w:rPr>
                <w:sz w:val="20"/>
                <w:szCs w:val="20"/>
              </w:rPr>
              <w:t>Pending (recommended for approval by CHMP)</w:t>
            </w:r>
          </w:p>
        </w:tc>
      </w:tr>
      <w:tr w:rsidR="00E877D0" w:rsidRPr="00BA16BD" w14:paraId="07F4C5B3" w14:textId="77777777" w:rsidTr="001D4C9C">
        <w:tc>
          <w:tcPr>
            <w:tcW w:w="1591" w:type="dxa"/>
          </w:tcPr>
          <w:p w14:paraId="07F4C5B0" w14:textId="77777777" w:rsidR="001D4C9C" w:rsidRPr="00BA16BD" w:rsidRDefault="001D4C9C" w:rsidP="00BA16BD">
            <w:pPr>
              <w:rPr>
                <w:sz w:val="20"/>
                <w:szCs w:val="20"/>
              </w:rPr>
            </w:pPr>
            <w:r w:rsidRPr="00BA16BD">
              <w:rPr>
                <w:sz w:val="20"/>
                <w:szCs w:val="20"/>
              </w:rPr>
              <w:t>Health Canada</w:t>
            </w:r>
          </w:p>
        </w:tc>
        <w:tc>
          <w:tcPr>
            <w:tcW w:w="3479" w:type="dxa"/>
          </w:tcPr>
          <w:p w14:paraId="07F4C5B1" w14:textId="77777777" w:rsidR="001D4C9C" w:rsidRPr="00BA16BD" w:rsidRDefault="001D4C9C" w:rsidP="00BA16BD">
            <w:pPr>
              <w:rPr>
                <w:sz w:val="20"/>
                <w:szCs w:val="20"/>
              </w:rPr>
            </w:pPr>
            <w:r w:rsidRPr="00BA16BD">
              <w:rPr>
                <w:sz w:val="20"/>
                <w:szCs w:val="20"/>
              </w:rPr>
              <w:t>Pending</w:t>
            </w:r>
          </w:p>
        </w:tc>
        <w:tc>
          <w:tcPr>
            <w:tcW w:w="3650" w:type="dxa"/>
          </w:tcPr>
          <w:p w14:paraId="07F4C5B2" w14:textId="77777777" w:rsidR="001D4C9C" w:rsidRPr="00BA16BD" w:rsidRDefault="001D4C9C" w:rsidP="00BA16BD">
            <w:pPr>
              <w:rPr>
                <w:sz w:val="20"/>
                <w:szCs w:val="20"/>
              </w:rPr>
            </w:pPr>
            <w:r w:rsidRPr="00BA16BD">
              <w:rPr>
                <w:sz w:val="20"/>
                <w:szCs w:val="20"/>
              </w:rPr>
              <w:t>Pending</w:t>
            </w:r>
          </w:p>
        </w:tc>
      </w:tr>
      <w:tr w:rsidR="00E877D0" w:rsidRPr="00BA16BD" w14:paraId="07F4C5B8" w14:textId="77777777" w:rsidTr="00F21233">
        <w:trPr>
          <w:cantSplit/>
        </w:trPr>
        <w:tc>
          <w:tcPr>
            <w:tcW w:w="1591" w:type="dxa"/>
          </w:tcPr>
          <w:p w14:paraId="07F4C5B4" w14:textId="48C4307B" w:rsidR="001D4C9C" w:rsidRPr="00BA16BD" w:rsidRDefault="001D4C9C" w:rsidP="00BA16BD">
            <w:pPr>
              <w:rPr>
                <w:sz w:val="20"/>
                <w:szCs w:val="20"/>
              </w:rPr>
            </w:pPr>
            <w:proofErr w:type="spellStart"/>
            <w:r w:rsidRPr="00BA16BD">
              <w:rPr>
                <w:sz w:val="20"/>
                <w:szCs w:val="20"/>
              </w:rPr>
              <w:lastRenderedPageBreak/>
              <w:t>Medsafe</w:t>
            </w:r>
            <w:proofErr w:type="spellEnd"/>
            <w:r w:rsidRPr="00BA16BD">
              <w:rPr>
                <w:sz w:val="20"/>
                <w:szCs w:val="20"/>
              </w:rPr>
              <w:t xml:space="preserve"> (New</w:t>
            </w:r>
            <w:r w:rsidR="00D8527B" w:rsidRPr="00BA16BD">
              <w:rPr>
                <w:sz w:val="20"/>
                <w:szCs w:val="20"/>
              </w:rPr>
              <w:t> </w:t>
            </w:r>
            <w:r w:rsidRPr="00BA16BD">
              <w:rPr>
                <w:sz w:val="20"/>
                <w:szCs w:val="20"/>
              </w:rPr>
              <w:t>Zealand)</w:t>
            </w:r>
          </w:p>
        </w:tc>
        <w:tc>
          <w:tcPr>
            <w:tcW w:w="3479" w:type="dxa"/>
          </w:tcPr>
          <w:p w14:paraId="07F4C5B5" w14:textId="77777777" w:rsidR="001D4C9C" w:rsidRPr="00BA16BD" w:rsidRDefault="001D4C9C" w:rsidP="00BA16BD">
            <w:pPr>
              <w:rPr>
                <w:sz w:val="20"/>
                <w:szCs w:val="20"/>
              </w:rPr>
            </w:pPr>
            <w:r w:rsidRPr="00BA16BD">
              <w:rPr>
                <w:sz w:val="20"/>
                <w:szCs w:val="20"/>
              </w:rPr>
              <w:t>Approved 25</w:t>
            </w:r>
            <w:r w:rsidR="008141D3" w:rsidRPr="00BA16BD">
              <w:rPr>
                <w:sz w:val="20"/>
                <w:szCs w:val="20"/>
              </w:rPr>
              <w:t xml:space="preserve"> August </w:t>
            </w:r>
            <w:r w:rsidRPr="00BA16BD">
              <w:rPr>
                <w:sz w:val="20"/>
                <w:szCs w:val="20"/>
              </w:rPr>
              <w:t>2016</w:t>
            </w:r>
          </w:p>
          <w:p w14:paraId="07F4C5B6" w14:textId="77777777" w:rsidR="001D4C9C" w:rsidRPr="00BA16BD" w:rsidRDefault="001D4C9C" w:rsidP="00BA16BD">
            <w:pPr>
              <w:rPr>
                <w:sz w:val="20"/>
                <w:szCs w:val="20"/>
              </w:rPr>
            </w:pPr>
            <w:r w:rsidRPr="00BA16BD">
              <w:rPr>
                <w:sz w:val="20"/>
                <w:szCs w:val="20"/>
              </w:rPr>
              <w:t xml:space="preserve">Indication: </w:t>
            </w:r>
            <w:r w:rsidR="00C329E7" w:rsidRPr="00BA16BD">
              <w:rPr>
                <w:sz w:val="20"/>
                <w:szCs w:val="20"/>
              </w:rPr>
              <w:t>Keytruda</w:t>
            </w:r>
            <w:r w:rsidRPr="00BA16BD">
              <w:rPr>
                <w:sz w:val="20"/>
                <w:szCs w:val="20"/>
              </w:rPr>
              <w:t xml:space="preserve"> is indicated for the treatment of patients with advanced non-small cell lung carcinoma (NSCLC) whose tumours express PD-L1 and who have received </w:t>
            </w:r>
            <w:r w:rsidR="005B1C86" w:rsidRPr="00BA16BD">
              <w:rPr>
                <w:sz w:val="20"/>
                <w:szCs w:val="20"/>
              </w:rPr>
              <w:t>platinum containing</w:t>
            </w:r>
            <w:r w:rsidRPr="00BA16BD">
              <w:rPr>
                <w:sz w:val="20"/>
                <w:szCs w:val="20"/>
              </w:rPr>
              <w:t xml:space="preserve"> chemotherapy. Patients with EGFR or ALK genomic tumour aberrations should have received approved</w:t>
            </w:r>
          </w:p>
        </w:tc>
        <w:tc>
          <w:tcPr>
            <w:tcW w:w="3650" w:type="dxa"/>
          </w:tcPr>
          <w:p w14:paraId="07F4C5B7" w14:textId="77777777" w:rsidR="001D4C9C" w:rsidRPr="00BA16BD" w:rsidRDefault="00E877D0" w:rsidP="00BA16BD">
            <w:pPr>
              <w:rPr>
                <w:sz w:val="20"/>
                <w:szCs w:val="20"/>
              </w:rPr>
            </w:pPr>
            <w:r w:rsidRPr="00BA16BD">
              <w:rPr>
                <w:sz w:val="20"/>
                <w:szCs w:val="20"/>
              </w:rPr>
              <w:t>Pending</w:t>
            </w:r>
          </w:p>
        </w:tc>
      </w:tr>
      <w:tr w:rsidR="00E877D0" w:rsidRPr="00BA16BD" w14:paraId="07F4C5BD" w14:textId="77777777" w:rsidTr="001D4C9C">
        <w:tc>
          <w:tcPr>
            <w:tcW w:w="1591" w:type="dxa"/>
          </w:tcPr>
          <w:p w14:paraId="07F4C5B9" w14:textId="77777777" w:rsidR="00E877D0" w:rsidRPr="00BA16BD" w:rsidRDefault="00E877D0" w:rsidP="00BA16BD">
            <w:pPr>
              <w:rPr>
                <w:sz w:val="20"/>
                <w:szCs w:val="20"/>
              </w:rPr>
            </w:pPr>
            <w:proofErr w:type="spellStart"/>
            <w:r w:rsidRPr="00BA16BD">
              <w:rPr>
                <w:sz w:val="20"/>
                <w:szCs w:val="20"/>
              </w:rPr>
              <w:t>Swissmedic</w:t>
            </w:r>
            <w:proofErr w:type="spellEnd"/>
          </w:p>
        </w:tc>
        <w:tc>
          <w:tcPr>
            <w:tcW w:w="3479" w:type="dxa"/>
          </w:tcPr>
          <w:p w14:paraId="07F4C5BA" w14:textId="77777777" w:rsidR="00E877D0" w:rsidRPr="00BA16BD" w:rsidRDefault="00E877D0" w:rsidP="00BA16BD">
            <w:pPr>
              <w:rPr>
                <w:sz w:val="20"/>
                <w:szCs w:val="20"/>
              </w:rPr>
            </w:pPr>
            <w:r w:rsidRPr="00BA16BD">
              <w:rPr>
                <w:sz w:val="20"/>
                <w:szCs w:val="20"/>
              </w:rPr>
              <w:t>Approved 13</w:t>
            </w:r>
            <w:r w:rsidR="008141D3" w:rsidRPr="00BA16BD">
              <w:rPr>
                <w:sz w:val="20"/>
                <w:szCs w:val="20"/>
              </w:rPr>
              <w:t xml:space="preserve"> September </w:t>
            </w:r>
            <w:r w:rsidRPr="00BA16BD">
              <w:rPr>
                <w:sz w:val="20"/>
                <w:szCs w:val="20"/>
              </w:rPr>
              <w:t>2016</w:t>
            </w:r>
          </w:p>
          <w:p w14:paraId="07F4C5BB" w14:textId="77777777" w:rsidR="00E877D0" w:rsidRPr="00BA16BD" w:rsidRDefault="00E877D0" w:rsidP="00BA16BD">
            <w:pPr>
              <w:rPr>
                <w:sz w:val="20"/>
                <w:szCs w:val="20"/>
              </w:rPr>
            </w:pPr>
            <w:r w:rsidRPr="00BA16BD">
              <w:rPr>
                <w:sz w:val="20"/>
                <w:szCs w:val="20"/>
              </w:rPr>
              <w:t xml:space="preserve">Indication: </w:t>
            </w:r>
            <w:r w:rsidR="00C329E7" w:rsidRPr="00BA16BD">
              <w:rPr>
                <w:sz w:val="20"/>
                <w:szCs w:val="20"/>
              </w:rPr>
              <w:t>Keytruda</w:t>
            </w:r>
            <w:r w:rsidRPr="00BA16BD">
              <w:rPr>
                <w:sz w:val="20"/>
                <w:szCs w:val="20"/>
              </w:rPr>
              <w:t xml:space="preserve"> is indicated for the treatment of advanced, metastatic non-small cell lung carcinoma (NSCLC) after prior chemotherapy in adults whose tumours express PD-L1. Patients with EGFR or ALK genomic tumour aberrations should also have received therapy for these aberrations prior to receiving </w:t>
            </w:r>
            <w:r w:rsidR="00C329E7" w:rsidRPr="00BA16BD">
              <w:rPr>
                <w:sz w:val="20"/>
                <w:szCs w:val="20"/>
              </w:rPr>
              <w:t>Keytruda</w:t>
            </w:r>
            <w:r w:rsidRPr="00BA16BD">
              <w:rPr>
                <w:sz w:val="20"/>
                <w:szCs w:val="20"/>
              </w:rPr>
              <w:t>.</w:t>
            </w:r>
          </w:p>
        </w:tc>
        <w:tc>
          <w:tcPr>
            <w:tcW w:w="3650" w:type="dxa"/>
          </w:tcPr>
          <w:p w14:paraId="07F4C5BC" w14:textId="77777777" w:rsidR="00E877D0" w:rsidRPr="00BA16BD" w:rsidRDefault="00E877D0" w:rsidP="00BA16BD">
            <w:pPr>
              <w:rPr>
                <w:sz w:val="20"/>
                <w:szCs w:val="20"/>
              </w:rPr>
            </w:pPr>
            <w:r w:rsidRPr="00BA16BD">
              <w:rPr>
                <w:sz w:val="20"/>
                <w:szCs w:val="20"/>
              </w:rPr>
              <w:t>Pending</w:t>
            </w:r>
          </w:p>
        </w:tc>
      </w:tr>
      <w:tr w:rsidR="00E877D0" w:rsidRPr="00BA16BD" w14:paraId="07F4C5C2" w14:textId="77777777" w:rsidTr="001D4C9C">
        <w:tc>
          <w:tcPr>
            <w:tcW w:w="1591" w:type="dxa"/>
          </w:tcPr>
          <w:p w14:paraId="07F4C5BE" w14:textId="77777777" w:rsidR="00E877D0" w:rsidRPr="00BA16BD" w:rsidRDefault="00E877D0" w:rsidP="00BA16BD">
            <w:pPr>
              <w:rPr>
                <w:sz w:val="20"/>
                <w:szCs w:val="20"/>
              </w:rPr>
            </w:pPr>
            <w:r w:rsidRPr="00BA16BD">
              <w:rPr>
                <w:sz w:val="20"/>
                <w:szCs w:val="20"/>
              </w:rPr>
              <w:t>Health Sciences Authority (Singapore)</w:t>
            </w:r>
          </w:p>
        </w:tc>
        <w:tc>
          <w:tcPr>
            <w:tcW w:w="3479" w:type="dxa"/>
          </w:tcPr>
          <w:p w14:paraId="07F4C5BF" w14:textId="77777777" w:rsidR="00E877D0" w:rsidRPr="00BA16BD" w:rsidRDefault="00E877D0" w:rsidP="00BA16BD">
            <w:pPr>
              <w:rPr>
                <w:sz w:val="20"/>
                <w:szCs w:val="20"/>
              </w:rPr>
            </w:pPr>
            <w:r w:rsidRPr="00BA16BD">
              <w:rPr>
                <w:sz w:val="20"/>
                <w:szCs w:val="20"/>
              </w:rPr>
              <w:t>Approved 30</w:t>
            </w:r>
            <w:r w:rsidR="008141D3" w:rsidRPr="00BA16BD">
              <w:rPr>
                <w:sz w:val="20"/>
                <w:szCs w:val="20"/>
              </w:rPr>
              <w:t xml:space="preserve"> September </w:t>
            </w:r>
            <w:r w:rsidRPr="00BA16BD">
              <w:rPr>
                <w:sz w:val="20"/>
                <w:szCs w:val="20"/>
              </w:rPr>
              <w:t>2016</w:t>
            </w:r>
          </w:p>
          <w:p w14:paraId="07F4C5C0" w14:textId="2984BD52" w:rsidR="00E877D0" w:rsidRPr="00BA16BD" w:rsidRDefault="00E877D0" w:rsidP="00BA16BD">
            <w:pPr>
              <w:rPr>
                <w:sz w:val="20"/>
                <w:szCs w:val="20"/>
              </w:rPr>
            </w:pPr>
            <w:r w:rsidRPr="00BA16BD">
              <w:rPr>
                <w:sz w:val="20"/>
                <w:szCs w:val="20"/>
              </w:rPr>
              <w:t xml:space="preserve">Indication: </w:t>
            </w:r>
            <w:r w:rsidR="00C329E7" w:rsidRPr="00BA16BD">
              <w:rPr>
                <w:sz w:val="20"/>
                <w:szCs w:val="20"/>
              </w:rPr>
              <w:t>Keytruda</w:t>
            </w:r>
            <w:r w:rsidRPr="00BA16BD">
              <w:rPr>
                <w:sz w:val="20"/>
                <w:szCs w:val="20"/>
              </w:rPr>
              <w:t xml:space="preserve"> is indicated for the treatment of patients with locally advanced or metastatic non-small cell lung carcinoma (NSCLC) whose </w:t>
            </w:r>
            <w:proofErr w:type="spellStart"/>
            <w:r w:rsidRPr="00BA16BD">
              <w:rPr>
                <w:sz w:val="20"/>
                <w:szCs w:val="20"/>
              </w:rPr>
              <w:t>tumors</w:t>
            </w:r>
            <w:proofErr w:type="spellEnd"/>
            <w:r w:rsidRPr="00BA16BD">
              <w:rPr>
                <w:sz w:val="20"/>
                <w:szCs w:val="20"/>
              </w:rPr>
              <w:t xml:space="preserve"> express PD-L1 as determined by a validated test and who have received platinum containing chemotherapy. Patients with EGFR or ALK genomic </w:t>
            </w:r>
            <w:proofErr w:type="spellStart"/>
            <w:r w:rsidRPr="00BA16BD">
              <w:rPr>
                <w:sz w:val="20"/>
                <w:szCs w:val="20"/>
              </w:rPr>
              <w:t>tumor</w:t>
            </w:r>
            <w:proofErr w:type="spellEnd"/>
            <w:r w:rsidRPr="00BA16BD">
              <w:rPr>
                <w:sz w:val="20"/>
                <w:szCs w:val="20"/>
              </w:rPr>
              <w:t xml:space="preserve"> aberrations should have received approved therapy for these aberrations prior to receiving </w:t>
            </w:r>
            <w:r w:rsidR="00C329E7" w:rsidRPr="00BA16BD">
              <w:rPr>
                <w:sz w:val="20"/>
                <w:szCs w:val="20"/>
              </w:rPr>
              <w:t>Keytruda</w:t>
            </w:r>
            <w:r w:rsidRPr="00BA16BD">
              <w:rPr>
                <w:sz w:val="20"/>
                <w:szCs w:val="20"/>
              </w:rPr>
              <w:t>.</w:t>
            </w:r>
          </w:p>
        </w:tc>
        <w:tc>
          <w:tcPr>
            <w:tcW w:w="3650" w:type="dxa"/>
          </w:tcPr>
          <w:p w14:paraId="07F4C5C1" w14:textId="77777777" w:rsidR="00E877D0" w:rsidRPr="00BA16BD" w:rsidRDefault="00E877D0" w:rsidP="00BA16BD">
            <w:pPr>
              <w:rPr>
                <w:sz w:val="20"/>
                <w:szCs w:val="20"/>
              </w:rPr>
            </w:pPr>
            <w:r w:rsidRPr="00BA16BD">
              <w:rPr>
                <w:sz w:val="20"/>
                <w:szCs w:val="20"/>
              </w:rPr>
              <w:t>Pending</w:t>
            </w:r>
          </w:p>
        </w:tc>
      </w:tr>
    </w:tbl>
    <w:p w14:paraId="07F4C5C4" w14:textId="77777777" w:rsidR="008E7846" w:rsidRDefault="008E7846" w:rsidP="00940A89">
      <w:pPr>
        <w:pStyle w:val="Heading3"/>
      </w:pPr>
      <w:bookmarkStart w:id="21" w:name="_Toc513458914"/>
      <w:r>
        <w:t>Product Information</w:t>
      </w:r>
      <w:bookmarkEnd w:id="19"/>
      <w:bookmarkEnd w:id="20"/>
      <w:bookmarkEnd w:id="21"/>
    </w:p>
    <w:p w14:paraId="07F4C5C5" w14:textId="77777777"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5" w:history="1">
        <w:r w:rsidR="00441C3F" w:rsidRPr="00441C3F">
          <w:rPr>
            <w:rStyle w:val="Hyperlink"/>
          </w:rPr>
          <w:t>https://www.tga.gov.au/product-information-pi</w:t>
        </w:r>
      </w:hyperlink>
      <w:r w:rsidR="00441C3F">
        <w:t>&gt;</w:t>
      </w:r>
      <w:r w:rsidR="00940A89" w:rsidRPr="00940A89">
        <w:t>.</w:t>
      </w:r>
    </w:p>
    <w:p w14:paraId="07F4C5C6" w14:textId="77777777" w:rsidR="002C7814" w:rsidRPr="002C7814" w:rsidRDefault="002C7814" w:rsidP="002C7814">
      <w:pPr>
        <w:pStyle w:val="Heading2"/>
      </w:pPr>
      <w:bookmarkStart w:id="24" w:name="_Toc513458915"/>
      <w:r w:rsidRPr="002C7814">
        <w:lastRenderedPageBreak/>
        <w:t>II. Submission timeline</w:t>
      </w:r>
      <w:bookmarkEnd w:id="24"/>
    </w:p>
    <w:p w14:paraId="07F4C5C7" w14:textId="645FB613" w:rsidR="002C7814" w:rsidRPr="008C00C8" w:rsidRDefault="002C7814" w:rsidP="00D8527B">
      <w:pPr>
        <w:pStyle w:val="Tabletitle0"/>
      </w:pPr>
      <w:r>
        <w:t xml:space="preserve">Table 2: Registration timeline </w:t>
      </w:r>
      <w:r w:rsidR="00D8527B">
        <w:t xml:space="preserve">for </w:t>
      </w:r>
      <w:r>
        <w:t>Submission PM-2015-04712-1-4</w:t>
      </w:r>
    </w:p>
    <w:tbl>
      <w:tblPr>
        <w:tblStyle w:val="TableTGAblue"/>
        <w:tblW w:w="8749" w:type="dxa"/>
        <w:tblLook w:val="04A0" w:firstRow="1" w:lastRow="0" w:firstColumn="1" w:lastColumn="0" w:noHBand="0" w:noVBand="1"/>
      </w:tblPr>
      <w:tblGrid>
        <w:gridCol w:w="5974"/>
        <w:gridCol w:w="2775"/>
      </w:tblGrid>
      <w:tr w:rsidR="002C7814" w:rsidRPr="00C633D6" w14:paraId="07F4C5CA" w14:textId="77777777" w:rsidTr="00F21233">
        <w:trPr>
          <w:cnfStyle w:val="100000000000" w:firstRow="1" w:lastRow="0" w:firstColumn="0" w:lastColumn="0" w:oddVBand="0" w:evenVBand="0" w:oddHBand="0" w:evenHBand="0" w:firstRowFirstColumn="0" w:firstRowLastColumn="0" w:lastRowFirstColumn="0" w:lastRowLastColumn="0"/>
          <w:trHeight w:val="143"/>
        </w:trPr>
        <w:tc>
          <w:tcPr>
            <w:tcW w:w="5974" w:type="dxa"/>
          </w:tcPr>
          <w:p w14:paraId="07F4C5C8" w14:textId="77777777" w:rsidR="002C7814" w:rsidRPr="00C633D6" w:rsidRDefault="002C7814" w:rsidP="00D8527B">
            <w:pPr>
              <w:rPr>
                <w:sz w:val="20"/>
                <w:szCs w:val="20"/>
              </w:rPr>
            </w:pPr>
            <w:r w:rsidRPr="00C633D6">
              <w:rPr>
                <w:sz w:val="20"/>
                <w:szCs w:val="20"/>
              </w:rPr>
              <w:t>Description</w:t>
            </w:r>
          </w:p>
        </w:tc>
        <w:tc>
          <w:tcPr>
            <w:tcW w:w="2775" w:type="dxa"/>
          </w:tcPr>
          <w:p w14:paraId="07F4C5C9" w14:textId="77777777" w:rsidR="002C7814" w:rsidRPr="00C633D6" w:rsidRDefault="002C7814" w:rsidP="00D356B6">
            <w:pPr>
              <w:rPr>
                <w:sz w:val="20"/>
                <w:szCs w:val="20"/>
              </w:rPr>
            </w:pPr>
            <w:r w:rsidRPr="00C633D6">
              <w:rPr>
                <w:sz w:val="20"/>
                <w:szCs w:val="20"/>
              </w:rPr>
              <w:t>Date</w:t>
            </w:r>
          </w:p>
        </w:tc>
      </w:tr>
      <w:tr w:rsidR="002C7814" w:rsidRPr="00EA786F" w14:paraId="07F4C5CD" w14:textId="77777777" w:rsidTr="00F21233">
        <w:trPr>
          <w:trHeight w:val="143"/>
        </w:trPr>
        <w:tc>
          <w:tcPr>
            <w:tcW w:w="5974" w:type="dxa"/>
          </w:tcPr>
          <w:p w14:paraId="07F4C5CB" w14:textId="46D8D516" w:rsidR="002C7814" w:rsidRPr="00BA16BD" w:rsidRDefault="002C7814" w:rsidP="00BA16BD">
            <w:pPr>
              <w:rPr>
                <w:sz w:val="20"/>
                <w:szCs w:val="20"/>
              </w:rPr>
            </w:pPr>
            <w:r w:rsidRPr="00BA16BD">
              <w:rPr>
                <w:sz w:val="20"/>
                <w:szCs w:val="20"/>
              </w:rPr>
              <w:t xml:space="preserve">Submission dossier accepted and </w:t>
            </w:r>
            <w:r w:rsidR="00D356B6" w:rsidRPr="00BA16BD">
              <w:rPr>
                <w:sz w:val="20"/>
                <w:szCs w:val="20"/>
              </w:rPr>
              <w:t>first</w:t>
            </w:r>
            <w:r w:rsidRPr="00BA16BD">
              <w:rPr>
                <w:sz w:val="20"/>
                <w:szCs w:val="20"/>
              </w:rPr>
              <w:t xml:space="preserve"> round evaluation commenced</w:t>
            </w:r>
          </w:p>
        </w:tc>
        <w:tc>
          <w:tcPr>
            <w:tcW w:w="2775" w:type="dxa"/>
          </w:tcPr>
          <w:p w14:paraId="07F4C5CC" w14:textId="77777777" w:rsidR="002C7814" w:rsidRPr="00EA786F" w:rsidRDefault="00EA786F" w:rsidP="00F21233">
            <w:pPr>
              <w:keepNext/>
              <w:rPr>
                <w:color w:val="auto"/>
                <w:sz w:val="20"/>
                <w:szCs w:val="20"/>
              </w:rPr>
            </w:pPr>
            <w:r w:rsidRPr="00EA786F">
              <w:rPr>
                <w:color w:val="auto"/>
                <w:sz w:val="20"/>
                <w:szCs w:val="20"/>
              </w:rPr>
              <w:t>1 April2016</w:t>
            </w:r>
          </w:p>
        </w:tc>
      </w:tr>
      <w:tr w:rsidR="002C7814" w:rsidRPr="00EA786F" w14:paraId="07F4C5D0" w14:textId="77777777" w:rsidTr="00F21233">
        <w:trPr>
          <w:trHeight w:val="143"/>
        </w:trPr>
        <w:tc>
          <w:tcPr>
            <w:tcW w:w="5974" w:type="dxa"/>
          </w:tcPr>
          <w:p w14:paraId="07F4C5CE" w14:textId="07739333" w:rsidR="002C7814" w:rsidRPr="00C633D6" w:rsidRDefault="00D8527B" w:rsidP="002C7814">
            <w:pPr>
              <w:rPr>
                <w:sz w:val="20"/>
                <w:szCs w:val="20"/>
              </w:rPr>
            </w:pPr>
            <w:r>
              <w:rPr>
                <w:sz w:val="20"/>
                <w:szCs w:val="20"/>
              </w:rPr>
              <w:t>First</w:t>
            </w:r>
            <w:r w:rsidR="002C7814" w:rsidRPr="00C633D6">
              <w:rPr>
                <w:sz w:val="20"/>
                <w:szCs w:val="20"/>
              </w:rPr>
              <w:t xml:space="preserve"> round evaluation completed</w:t>
            </w:r>
          </w:p>
        </w:tc>
        <w:tc>
          <w:tcPr>
            <w:tcW w:w="2775" w:type="dxa"/>
          </w:tcPr>
          <w:p w14:paraId="07F4C5CF" w14:textId="77777777" w:rsidR="002C7814" w:rsidRPr="00EA786F" w:rsidRDefault="00EA786F" w:rsidP="002C7814">
            <w:pPr>
              <w:rPr>
                <w:color w:val="auto"/>
                <w:sz w:val="20"/>
                <w:szCs w:val="20"/>
              </w:rPr>
            </w:pPr>
            <w:r w:rsidRPr="00EA786F">
              <w:rPr>
                <w:color w:val="auto"/>
                <w:sz w:val="20"/>
                <w:szCs w:val="20"/>
              </w:rPr>
              <w:t>30 August 2016</w:t>
            </w:r>
          </w:p>
        </w:tc>
      </w:tr>
      <w:tr w:rsidR="002C7814" w:rsidRPr="00EA786F" w14:paraId="07F4C5D3" w14:textId="77777777" w:rsidTr="00F21233">
        <w:trPr>
          <w:trHeight w:val="707"/>
        </w:trPr>
        <w:tc>
          <w:tcPr>
            <w:tcW w:w="5974" w:type="dxa"/>
          </w:tcPr>
          <w:p w14:paraId="07F4C5D1" w14:textId="77E2B5B5" w:rsidR="002C7814" w:rsidRPr="00C633D6" w:rsidRDefault="002C7814" w:rsidP="002C7814">
            <w:pPr>
              <w:rPr>
                <w:sz w:val="20"/>
                <w:szCs w:val="20"/>
              </w:rPr>
            </w:pPr>
            <w:r w:rsidRPr="00C633D6">
              <w:rPr>
                <w:sz w:val="20"/>
                <w:szCs w:val="20"/>
              </w:rPr>
              <w:t xml:space="preserve">Sponsor provides responses on questions raised in </w:t>
            </w:r>
            <w:r w:rsidR="00D8527B">
              <w:rPr>
                <w:sz w:val="20"/>
                <w:szCs w:val="20"/>
              </w:rPr>
              <w:t>first</w:t>
            </w:r>
            <w:r w:rsidRPr="00C633D6">
              <w:rPr>
                <w:sz w:val="20"/>
                <w:szCs w:val="20"/>
              </w:rPr>
              <w:t xml:space="preserve"> round evaluation</w:t>
            </w:r>
          </w:p>
        </w:tc>
        <w:tc>
          <w:tcPr>
            <w:tcW w:w="2775" w:type="dxa"/>
          </w:tcPr>
          <w:p w14:paraId="07F4C5D2" w14:textId="77777777" w:rsidR="002C7814" w:rsidRPr="00EA786F" w:rsidRDefault="00EA786F" w:rsidP="002C7814">
            <w:pPr>
              <w:rPr>
                <w:color w:val="auto"/>
                <w:sz w:val="20"/>
                <w:szCs w:val="20"/>
              </w:rPr>
            </w:pPr>
            <w:r w:rsidRPr="00EA786F">
              <w:rPr>
                <w:color w:val="auto"/>
                <w:sz w:val="20"/>
                <w:szCs w:val="20"/>
              </w:rPr>
              <w:t>29 September 2016</w:t>
            </w:r>
          </w:p>
        </w:tc>
      </w:tr>
      <w:tr w:rsidR="002C7814" w:rsidRPr="00AF0CE0" w14:paraId="07F4C5D6" w14:textId="77777777" w:rsidTr="00F21233">
        <w:trPr>
          <w:trHeight w:val="467"/>
        </w:trPr>
        <w:tc>
          <w:tcPr>
            <w:tcW w:w="5974" w:type="dxa"/>
          </w:tcPr>
          <w:p w14:paraId="07F4C5D4" w14:textId="4F61EB12" w:rsidR="002C7814" w:rsidRPr="00C633D6" w:rsidRDefault="00D8527B" w:rsidP="002C7814">
            <w:pPr>
              <w:rPr>
                <w:sz w:val="20"/>
                <w:szCs w:val="20"/>
              </w:rPr>
            </w:pPr>
            <w:r>
              <w:rPr>
                <w:sz w:val="20"/>
                <w:szCs w:val="20"/>
              </w:rPr>
              <w:t>Second</w:t>
            </w:r>
            <w:r w:rsidRPr="00C633D6">
              <w:rPr>
                <w:sz w:val="20"/>
                <w:szCs w:val="20"/>
              </w:rPr>
              <w:t xml:space="preserve"> </w:t>
            </w:r>
            <w:r w:rsidR="002C7814" w:rsidRPr="00C633D6">
              <w:rPr>
                <w:sz w:val="20"/>
                <w:szCs w:val="20"/>
              </w:rPr>
              <w:t>round evaluation completed</w:t>
            </w:r>
          </w:p>
        </w:tc>
        <w:tc>
          <w:tcPr>
            <w:tcW w:w="2775" w:type="dxa"/>
          </w:tcPr>
          <w:p w14:paraId="07F4C5D5" w14:textId="77777777" w:rsidR="002C7814" w:rsidRPr="00AF0CE0" w:rsidRDefault="00AF0CE0" w:rsidP="002C7814">
            <w:pPr>
              <w:rPr>
                <w:color w:val="auto"/>
                <w:sz w:val="20"/>
                <w:szCs w:val="20"/>
              </w:rPr>
            </w:pPr>
            <w:r w:rsidRPr="00AF0CE0">
              <w:rPr>
                <w:color w:val="auto"/>
                <w:sz w:val="20"/>
                <w:szCs w:val="20"/>
              </w:rPr>
              <w:t>17 November 2016</w:t>
            </w:r>
          </w:p>
        </w:tc>
      </w:tr>
      <w:tr w:rsidR="002C7814" w:rsidRPr="00802F18" w14:paraId="07F4C5D9" w14:textId="77777777" w:rsidTr="00F21233">
        <w:trPr>
          <w:trHeight w:val="479"/>
        </w:trPr>
        <w:tc>
          <w:tcPr>
            <w:tcW w:w="5974" w:type="dxa"/>
          </w:tcPr>
          <w:p w14:paraId="07F4C5D7" w14:textId="33AFE57A" w:rsidR="002C7814" w:rsidRPr="00C633D6" w:rsidRDefault="002C7814" w:rsidP="002C7814">
            <w:pPr>
              <w:rPr>
                <w:sz w:val="20"/>
                <w:szCs w:val="20"/>
              </w:rPr>
            </w:pPr>
            <w:r>
              <w:rPr>
                <w:sz w:val="20"/>
                <w:szCs w:val="20"/>
              </w:rPr>
              <w:t>Delegate’s overview/R</w:t>
            </w:r>
            <w:r w:rsidRPr="00C633D6">
              <w:rPr>
                <w:sz w:val="20"/>
                <w:szCs w:val="20"/>
              </w:rPr>
              <w:t>equest for Advisory Committee advice</w:t>
            </w:r>
          </w:p>
        </w:tc>
        <w:tc>
          <w:tcPr>
            <w:tcW w:w="2775" w:type="dxa"/>
          </w:tcPr>
          <w:p w14:paraId="07F4C5D8" w14:textId="77777777" w:rsidR="002C7814" w:rsidRPr="00802F18" w:rsidRDefault="003F15B2" w:rsidP="002C7814">
            <w:pPr>
              <w:rPr>
                <w:color w:val="auto"/>
                <w:sz w:val="20"/>
                <w:szCs w:val="20"/>
              </w:rPr>
            </w:pPr>
            <w:r>
              <w:rPr>
                <w:color w:val="auto"/>
                <w:sz w:val="20"/>
                <w:szCs w:val="20"/>
              </w:rPr>
              <w:t>3 January 2017</w:t>
            </w:r>
          </w:p>
        </w:tc>
      </w:tr>
      <w:tr w:rsidR="002C7814" w:rsidRPr="00802F18" w14:paraId="07F4C5DC" w14:textId="77777777" w:rsidTr="00F21233">
        <w:trPr>
          <w:trHeight w:val="467"/>
        </w:trPr>
        <w:tc>
          <w:tcPr>
            <w:tcW w:w="5974" w:type="dxa"/>
          </w:tcPr>
          <w:p w14:paraId="07F4C5DA" w14:textId="77777777" w:rsidR="002C7814" w:rsidRPr="00C633D6" w:rsidRDefault="002C7814" w:rsidP="002C7814">
            <w:pPr>
              <w:rPr>
                <w:sz w:val="20"/>
                <w:szCs w:val="20"/>
              </w:rPr>
            </w:pPr>
            <w:r w:rsidRPr="00C633D6">
              <w:rPr>
                <w:sz w:val="20"/>
                <w:szCs w:val="20"/>
              </w:rPr>
              <w:t>Sponsor’s response</w:t>
            </w:r>
            <w:r>
              <w:rPr>
                <w:sz w:val="20"/>
                <w:szCs w:val="20"/>
              </w:rPr>
              <w:t xml:space="preserve"> to the Delegate’s overview</w:t>
            </w:r>
          </w:p>
        </w:tc>
        <w:tc>
          <w:tcPr>
            <w:tcW w:w="2775" w:type="dxa"/>
          </w:tcPr>
          <w:p w14:paraId="07F4C5DB" w14:textId="77777777" w:rsidR="002C7814" w:rsidRPr="00802F18" w:rsidRDefault="00802F18" w:rsidP="002C7814">
            <w:pPr>
              <w:rPr>
                <w:color w:val="auto"/>
                <w:sz w:val="20"/>
                <w:szCs w:val="20"/>
              </w:rPr>
            </w:pPr>
            <w:r w:rsidRPr="00802F18">
              <w:rPr>
                <w:color w:val="auto"/>
                <w:sz w:val="20"/>
                <w:szCs w:val="20"/>
              </w:rPr>
              <w:t>16 January 2017</w:t>
            </w:r>
          </w:p>
        </w:tc>
      </w:tr>
      <w:tr w:rsidR="00FD6B0C" w:rsidRPr="00FD6B0C" w14:paraId="07F4C5DF" w14:textId="77777777" w:rsidTr="00F21233">
        <w:trPr>
          <w:trHeight w:val="479"/>
        </w:trPr>
        <w:tc>
          <w:tcPr>
            <w:tcW w:w="5974" w:type="dxa"/>
          </w:tcPr>
          <w:p w14:paraId="07F4C5DD" w14:textId="77777777" w:rsidR="002C7814" w:rsidRPr="00C633D6" w:rsidRDefault="002C7814" w:rsidP="002C7814">
            <w:pPr>
              <w:rPr>
                <w:sz w:val="20"/>
                <w:szCs w:val="20"/>
              </w:rPr>
            </w:pPr>
            <w:r w:rsidRPr="00C633D6">
              <w:rPr>
                <w:sz w:val="20"/>
                <w:szCs w:val="20"/>
              </w:rPr>
              <w:t>Advisory Committee meeting</w:t>
            </w:r>
          </w:p>
        </w:tc>
        <w:tc>
          <w:tcPr>
            <w:tcW w:w="2775" w:type="dxa"/>
          </w:tcPr>
          <w:p w14:paraId="07F4C5DE" w14:textId="77777777" w:rsidR="002C7814" w:rsidRPr="00FD6B0C" w:rsidRDefault="00FD6B0C" w:rsidP="00802F18">
            <w:pPr>
              <w:rPr>
                <w:color w:val="auto"/>
                <w:sz w:val="20"/>
                <w:szCs w:val="20"/>
              </w:rPr>
            </w:pPr>
            <w:r w:rsidRPr="00FD6B0C">
              <w:rPr>
                <w:color w:val="auto"/>
                <w:sz w:val="20"/>
                <w:szCs w:val="20"/>
              </w:rPr>
              <w:t>2 and 3</w:t>
            </w:r>
            <w:r w:rsidR="002C7814" w:rsidRPr="00FD6B0C">
              <w:rPr>
                <w:color w:val="auto"/>
                <w:sz w:val="20"/>
                <w:szCs w:val="20"/>
              </w:rPr>
              <w:t xml:space="preserve"> February 201</w:t>
            </w:r>
            <w:r w:rsidR="00802F18" w:rsidRPr="00FD6B0C">
              <w:rPr>
                <w:color w:val="auto"/>
                <w:sz w:val="20"/>
                <w:szCs w:val="20"/>
              </w:rPr>
              <w:t>7</w:t>
            </w:r>
          </w:p>
        </w:tc>
      </w:tr>
      <w:tr w:rsidR="002C7814" w:rsidRPr="00802F18" w14:paraId="07F4C5E2" w14:textId="77777777" w:rsidTr="00F21233">
        <w:trPr>
          <w:trHeight w:val="467"/>
        </w:trPr>
        <w:tc>
          <w:tcPr>
            <w:tcW w:w="5974" w:type="dxa"/>
          </w:tcPr>
          <w:p w14:paraId="07F4C5E0" w14:textId="77777777" w:rsidR="002C7814" w:rsidRPr="00C633D6" w:rsidRDefault="002C7814" w:rsidP="002C7814">
            <w:pPr>
              <w:rPr>
                <w:sz w:val="20"/>
                <w:szCs w:val="20"/>
              </w:rPr>
            </w:pPr>
            <w:r w:rsidRPr="00C633D6">
              <w:rPr>
                <w:sz w:val="20"/>
                <w:szCs w:val="20"/>
              </w:rPr>
              <w:t>Registration decision</w:t>
            </w:r>
          </w:p>
        </w:tc>
        <w:tc>
          <w:tcPr>
            <w:tcW w:w="2775" w:type="dxa"/>
          </w:tcPr>
          <w:p w14:paraId="07F4C5E1" w14:textId="77777777" w:rsidR="002C7814" w:rsidRPr="00802F18" w:rsidRDefault="00802F18" w:rsidP="002C7814">
            <w:pPr>
              <w:rPr>
                <w:color w:val="auto"/>
                <w:sz w:val="20"/>
                <w:szCs w:val="20"/>
              </w:rPr>
            </w:pPr>
            <w:r w:rsidRPr="00802F18">
              <w:rPr>
                <w:color w:val="auto"/>
                <w:sz w:val="20"/>
                <w:szCs w:val="20"/>
              </w:rPr>
              <w:t>3 March 2017</w:t>
            </w:r>
          </w:p>
        </w:tc>
      </w:tr>
      <w:tr w:rsidR="00B4200E" w:rsidRPr="00B4200E" w14:paraId="07F4C5E5" w14:textId="77777777" w:rsidTr="00F21233">
        <w:trPr>
          <w:trHeight w:val="467"/>
        </w:trPr>
        <w:tc>
          <w:tcPr>
            <w:tcW w:w="5974" w:type="dxa"/>
          </w:tcPr>
          <w:p w14:paraId="07F4C5E3" w14:textId="77777777" w:rsidR="002C7814" w:rsidRPr="00C633D6" w:rsidRDefault="002C7814" w:rsidP="002C7814">
            <w:pPr>
              <w:rPr>
                <w:sz w:val="20"/>
                <w:szCs w:val="20"/>
              </w:rPr>
            </w:pPr>
            <w:r w:rsidRPr="00C633D6">
              <w:rPr>
                <w:sz w:val="20"/>
                <w:szCs w:val="20"/>
              </w:rPr>
              <w:t>Entry onto ARTG</w:t>
            </w:r>
          </w:p>
        </w:tc>
        <w:tc>
          <w:tcPr>
            <w:tcW w:w="2775" w:type="dxa"/>
          </w:tcPr>
          <w:p w14:paraId="07F4C5E4" w14:textId="77777777" w:rsidR="002C7814" w:rsidRPr="00B4200E" w:rsidRDefault="002C7814" w:rsidP="00B4200E">
            <w:pPr>
              <w:rPr>
                <w:color w:val="auto"/>
                <w:sz w:val="20"/>
                <w:szCs w:val="20"/>
              </w:rPr>
            </w:pPr>
            <w:r w:rsidRPr="00B4200E">
              <w:rPr>
                <w:color w:val="auto"/>
                <w:sz w:val="20"/>
                <w:szCs w:val="20"/>
              </w:rPr>
              <w:t xml:space="preserve">6 </w:t>
            </w:r>
            <w:r w:rsidR="00B4200E" w:rsidRPr="00B4200E">
              <w:rPr>
                <w:color w:val="auto"/>
                <w:sz w:val="20"/>
                <w:szCs w:val="20"/>
              </w:rPr>
              <w:t>March</w:t>
            </w:r>
            <w:r w:rsidRPr="00B4200E">
              <w:rPr>
                <w:color w:val="auto"/>
                <w:sz w:val="20"/>
                <w:szCs w:val="20"/>
              </w:rPr>
              <w:t xml:space="preserve"> 2017</w:t>
            </w:r>
          </w:p>
        </w:tc>
      </w:tr>
      <w:tr w:rsidR="002C7814" w:rsidRPr="00AF0CE0" w14:paraId="07F4C5E8" w14:textId="77777777" w:rsidTr="00F21233">
        <w:trPr>
          <w:trHeight w:val="719"/>
        </w:trPr>
        <w:tc>
          <w:tcPr>
            <w:tcW w:w="5974" w:type="dxa"/>
          </w:tcPr>
          <w:p w14:paraId="07F4C5E6" w14:textId="7E0353C1" w:rsidR="002C7814" w:rsidRPr="00C633D6" w:rsidRDefault="002C7814" w:rsidP="002C7814">
            <w:pPr>
              <w:rPr>
                <w:sz w:val="20"/>
                <w:szCs w:val="20"/>
              </w:rPr>
            </w:pPr>
            <w:r w:rsidRPr="00C633D6">
              <w:rPr>
                <w:sz w:val="20"/>
                <w:szCs w:val="20"/>
              </w:rPr>
              <w:t xml:space="preserve">Number of TGA working days from </w:t>
            </w:r>
            <w:r>
              <w:rPr>
                <w:sz w:val="20"/>
                <w:szCs w:val="20"/>
              </w:rPr>
              <w:t>commencement of evaluation</w:t>
            </w:r>
            <w:r w:rsidRPr="00C633D6">
              <w:rPr>
                <w:sz w:val="20"/>
                <w:szCs w:val="20"/>
              </w:rPr>
              <w:t xml:space="preserve"> to registration decision*</w:t>
            </w:r>
          </w:p>
        </w:tc>
        <w:tc>
          <w:tcPr>
            <w:tcW w:w="2775" w:type="dxa"/>
          </w:tcPr>
          <w:p w14:paraId="07F4C5E7" w14:textId="77777777" w:rsidR="002C7814" w:rsidRPr="00AF0CE0" w:rsidRDefault="00AF0CE0" w:rsidP="002C7814">
            <w:pPr>
              <w:rPr>
                <w:color w:val="auto"/>
                <w:sz w:val="20"/>
                <w:szCs w:val="20"/>
              </w:rPr>
            </w:pPr>
            <w:r w:rsidRPr="00AF0CE0">
              <w:rPr>
                <w:color w:val="auto"/>
                <w:sz w:val="20"/>
                <w:szCs w:val="20"/>
              </w:rPr>
              <w:t>212</w:t>
            </w:r>
          </w:p>
        </w:tc>
      </w:tr>
    </w:tbl>
    <w:p w14:paraId="07F4C5E9" w14:textId="5E276D1F" w:rsidR="002C7814" w:rsidRDefault="002C7814" w:rsidP="00D65920">
      <w:pPr>
        <w:pStyle w:val="TableDescription"/>
      </w:pPr>
      <w:r>
        <w:t xml:space="preserve">* </w:t>
      </w:r>
      <w:r w:rsidR="0005391E">
        <w:t xml:space="preserve">Statutory </w:t>
      </w:r>
      <w:r>
        <w:t>timeframe for standard applications</w:t>
      </w:r>
      <w:r w:rsidR="0005391E">
        <w:t>:</w:t>
      </w:r>
      <w:r>
        <w:t xml:space="preserve"> 255 working days</w:t>
      </w:r>
    </w:p>
    <w:p w14:paraId="07F4C5EA" w14:textId="1402F329" w:rsidR="002C7814" w:rsidRPr="008C00C8" w:rsidRDefault="002C7814" w:rsidP="0018153A">
      <w:pPr>
        <w:pStyle w:val="Tabletitle0"/>
      </w:pPr>
      <w:r>
        <w:t xml:space="preserve">Table 3: Registration timeline </w:t>
      </w:r>
      <w:r w:rsidR="00D8527B">
        <w:t xml:space="preserve">for </w:t>
      </w:r>
      <w:r>
        <w:t>Submission PM-2016-02325-1-4</w:t>
      </w:r>
    </w:p>
    <w:tbl>
      <w:tblPr>
        <w:tblStyle w:val="TableTGAblue"/>
        <w:tblW w:w="0" w:type="auto"/>
        <w:tblLook w:val="04A0" w:firstRow="1" w:lastRow="0" w:firstColumn="1" w:lastColumn="0" w:noHBand="0" w:noVBand="1"/>
      </w:tblPr>
      <w:tblGrid>
        <w:gridCol w:w="6204"/>
        <w:gridCol w:w="2516"/>
      </w:tblGrid>
      <w:tr w:rsidR="002C7814" w:rsidRPr="00C633D6" w14:paraId="07F4C5ED" w14:textId="77777777" w:rsidTr="002C7814">
        <w:trPr>
          <w:cnfStyle w:val="100000000000" w:firstRow="1" w:lastRow="0" w:firstColumn="0" w:lastColumn="0" w:oddVBand="0" w:evenVBand="0" w:oddHBand="0" w:evenHBand="0" w:firstRowFirstColumn="0" w:firstRowLastColumn="0" w:lastRowFirstColumn="0" w:lastRowLastColumn="0"/>
        </w:trPr>
        <w:tc>
          <w:tcPr>
            <w:tcW w:w="6204" w:type="dxa"/>
          </w:tcPr>
          <w:p w14:paraId="07F4C5EB" w14:textId="77777777" w:rsidR="002C7814" w:rsidRPr="00C633D6" w:rsidRDefault="002C7814" w:rsidP="002C7814">
            <w:pPr>
              <w:rPr>
                <w:sz w:val="20"/>
                <w:szCs w:val="20"/>
              </w:rPr>
            </w:pPr>
            <w:r w:rsidRPr="00C633D6">
              <w:rPr>
                <w:sz w:val="20"/>
                <w:szCs w:val="20"/>
              </w:rPr>
              <w:t>Description</w:t>
            </w:r>
          </w:p>
        </w:tc>
        <w:tc>
          <w:tcPr>
            <w:tcW w:w="2516" w:type="dxa"/>
          </w:tcPr>
          <w:p w14:paraId="07F4C5EC" w14:textId="77777777" w:rsidR="002C7814" w:rsidRPr="00C633D6" w:rsidRDefault="002C7814" w:rsidP="002C7814">
            <w:pPr>
              <w:rPr>
                <w:sz w:val="20"/>
                <w:szCs w:val="20"/>
              </w:rPr>
            </w:pPr>
            <w:r w:rsidRPr="00C633D6">
              <w:rPr>
                <w:sz w:val="20"/>
                <w:szCs w:val="20"/>
              </w:rPr>
              <w:t>Date</w:t>
            </w:r>
          </w:p>
        </w:tc>
      </w:tr>
      <w:tr w:rsidR="002C7814" w:rsidRPr="00AF0CE0" w14:paraId="07F4C5F0" w14:textId="77777777" w:rsidTr="002C7814">
        <w:tc>
          <w:tcPr>
            <w:tcW w:w="6204" w:type="dxa"/>
          </w:tcPr>
          <w:p w14:paraId="07F4C5EE" w14:textId="2992254A" w:rsidR="002C7814" w:rsidRPr="00C633D6" w:rsidRDefault="002C7814" w:rsidP="002C7814">
            <w:pPr>
              <w:rPr>
                <w:sz w:val="20"/>
                <w:szCs w:val="20"/>
              </w:rPr>
            </w:pPr>
            <w:r w:rsidRPr="00C633D6">
              <w:rPr>
                <w:sz w:val="20"/>
                <w:szCs w:val="20"/>
              </w:rPr>
              <w:t xml:space="preserve">Submission dossier accepted and </w:t>
            </w:r>
            <w:r w:rsidR="00D356B6">
              <w:rPr>
                <w:sz w:val="20"/>
                <w:szCs w:val="20"/>
              </w:rPr>
              <w:t>first</w:t>
            </w:r>
            <w:r w:rsidRPr="00C633D6">
              <w:rPr>
                <w:sz w:val="20"/>
                <w:szCs w:val="20"/>
              </w:rPr>
              <w:t xml:space="preserve"> round evaluation commenced</w:t>
            </w:r>
          </w:p>
        </w:tc>
        <w:tc>
          <w:tcPr>
            <w:tcW w:w="2516" w:type="dxa"/>
          </w:tcPr>
          <w:p w14:paraId="07F4C5EF" w14:textId="77777777" w:rsidR="002C7814" w:rsidRPr="00AF0CE0" w:rsidRDefault="00AF0CE0" w:rsidP="002C7814">
            <w:pPr>
              <w:rPr>
                <w:color w:val="auto"/>
                <w:sz w:val="20"/>
                <w:szCs w:val="20"/>
              </w:rPr>
            </w:pPr>
            <w:r w:rsidRPr="00AF0CE0">
              <w:rPr>
                <w:color w:val="auto"/>
                <w:sz w:val="20"/>
                <w:szCs w:val="20"/>
              </w:rPr>
              <w:t>30 September 2016</w:t>
            </w:r>
          </w:p>
        </w:tc>
      </w:tr>
      <w:tr w:rsidR="002C7814" w:rsidRPr="00AF0CE0" w14:paraId="07F4C5F3" w14:textId="77777777" w:rsidTr="002C7814">
        <w:tc>
          <w:tcPr>
            <w:tcW w:w="6204" w:type="dxa"/>
          </w:tcPr>
          <w:p w14:paraId="07F4C5F1" w14:textId="66AD585B" w:rsidR="002C7814" w:rsidRPr="00C633D6" w:rsidRDefault="00D8527B" w:rsidP="002C7814">
            <w:pPr>
              <w:rPr>
                <w:sz w:val="20"/>
                <w:szCs w:val="20"/>
              </w:rPr>
            </w:pPr>
            <w:r>
              <w:rPr>
                <w:sz w:val="20"/>
                <w:szCs w:val="20"/>
              </w:rPr>
              <w:t>First</w:t>
            </w:r>
            <w:r w:rsidRPr="00C633D6">
              <w:rPr>
                <w:sz w:val="20"/>
                <w:szCs w:val="20"/>
              </w:rPr>
              <w:t xml:space="preserve"> </w:t>
            </w:r>
            <w:r w:rsidR="002C7814" w:rsidRPr="00C633D6">
              <w:rPr>
                <w:sz w:val="20"/>
                <w:szCs w:val="20"/>
              </w:rPr>
              <w:t>round evaluation completed</w:t>
            </w:r>
          </w:p>
        </w:tc>
        <w:tc>
          <w:tcPr>
            <w:tcW w:w="2516" w:type="dxa"/>
          </w:tcPr>
          <w:p w14:paraId="07F4C5F2" w14:textId="77777777" w:rsidR="002C7814" w:rsidRPr="00AF0CE0" w:rsidRDefault="003F15B2" w:rsidP="002C7814">
            <w:pPr>
              <w:rPr>
                <w:color w:val="auto"/>
                <w:sz w:val="20"/>
                <w:szCs w:val="20"/>
              </w:rPr>
            </w:pPr>
            <w:r>
              <w:rPr>
                <w:color w:val="auto"/>
                <w:sz w:val="20"/>
                <w:szCs w:val="20"/>
              </w:rPr>
              <w:t>16 December 2016</w:t>
            </w:r>
          </w:p>
        </w:tc>
      </w:tr>
      <w:tr w:rsidR="002C7814" w:rsidRPr="003F15B2" w14:paraId="07F4C5F6" w14:textId="77777777" w:rsidTr="002C7814">
        <w:tc>
          <w:tcPr>
            <w:tcW w:w="6204" w:type="dxa"/>
          </w:tcPr>
          <w:p w14:paraId="07F4C5F4" w14:textId="2323780C" w:rsidR="002C7814" w:rsidRPr="00C633D6" w:rsidRDefault="002C7814" w:rsidP="002C7814">
            <w:pPr>
              <w:rPr>
                <w:sz w:val="20"/>
                <w:szCs w:val="20"/>
              </w:rPr>
            </w:pPr>
            <w:r w:rsidRPr="00C633D6">
              <w:rPr>
                <w:sz w:val="20"/>
                <w:szCs w:val="20"/>
              </w:rPr>
              <w:t xml:space="preserve">Sponsor provides responses on questions raised in </w:t>
            </w:r>
            <w:r w:rsidR="00D8527B">
              <w:rPr>
                <w:sz w:val="20"/>
                <w:szCs w:val="20"/>
              </w:rPr>
              <w:t>first</w:t>
            </w:r>
            <w:r w:rsidRPr="00C633D6">
              <w:rPr>
                <w:sz w:val="20"/>
                <w:szCs w:val="20"/>
              </w:rPr>
              <w:t xml:space="preserve"> round evaluation</w:t>
            </w:r>
          </w:p>
        </w:tc>
        <w:tc>
          <w:tcPr>
            <w:tcW w:w="2516" w:type="dxa"/>
          </w:tcPr>
          <w:p w14:paraId="07F4C5F5" w14:textId="77777777" w:rsidR="002C7814" w:rsidRPr="003F15B2" w:rsidRDefault="003F15B2" w:rsidP="002C7814">
            <w:pPr>
              <w:rPr>
                <w:color w:val="auto"/>
                <w:sz w:val="20"/>
                <w:szCs w:val="20"/>
              </w:rPr>
            </w:pPr>
            <w:r w:rsidRPr="003F15B2">
              <w:rPr>
                <w:color w:val="auto"/>
                <w:sz w:val="20"/>
                <w:szCs w:val="20"/>
              </w:rPr>
              <w:t>NA</w:t>
            </w:r>
            <w:r>
              <w:rPr>
                <w:color w:val="auto"/>
                <w:sz w:val="20"/>
                <w:szCs w:val="20"/>
              </w:rPr>
              <w:t xml:space="preserve"> – expedited review response provided in response to Delegate’s overview</w:t>
            </w:r>
          </w:p>
        </w:tc>
      </w:tr>
      <w:tr w:rsidR="00B4200E" w:rsidRPr="003F15B2" w14:paraId="07F4C5F9" w14:textId="77777777" w:rsidTr="002C7814">
        <w:tc>
          <w:tcPr>
            <w:tcW w:w="6204" w:type="dxa"/>
          </w:tcPr>
          <w:p w14:paraId="07F4C5F7" w14:textId="22C127CC" w:rsidR="002C7814" w:rsidRPr="00C633D6" w:rsidRDefault="00D8527B" w:rsidP="002C7814">
            <w:pPr>
              <w:rPr>
                <w:sz w:val="20"/>
                <w:szCs w:val="20"/>
              </w:rPr>
            </w:pPr>
            <w:r>
              <w:rPr>
                <w:sz w:val="20"/>
                <w:szCs w:val="20"/>
              </w:rPr>
              <w:t>Second</w:t>
            </w:r>
            <w:r w:rsidRPr="00C633D6">
              <w:rPr>
                <w:sz w:val="20"/>
                <w:szCs w:val="20"/>
              </w:rPr>
              <w:t xml:space="preserve"> </w:t>
            </w:r>
            <w:r w:rsidR="002C7814" w:rsidRPr="00C633D6">
              <w:rPr>
                <w:sz w:val="20"/>
                <w:szCs w:val="20"/>
              </w:rPr>
              <w:t>round evaluation completed</w:t>
            </w:r>
          </w:p>
        </w:tc>
        <w:tc>
          <w:tcPr>
            <w:tcW w:w="2516" w:type="dxa"/>
          </w:tcPr>
          <w:p w14:paraId="07F4C5F8" w14:textId="77777777" w:rsidR="002C7814" w:rsidRPr="003F15B2" w:rsidRDefault="003F15B2" w:rsidP="003F15B2">
            <w:pPr>
              <w:rPr>
                <w:color w:val="auto"/>
                <w:sz w:val="20"/>
                <w:szCs w:val="20"/>
              </w:rPr>
            </w:pPr>
            <w:r w:rsidRPr="003F15B2">
              <w:rPr>
                <w:color w:val="auto"/>
                <w:sz w:val="20"/>
                <w:szCs w:val="20"/>
              </w:rPr>
              <w:t>NA</w:t>
            </w:r>
            <w:r>
              <w:rPr>
                <w:color w:val="auto"/>
                <w:sz w:val="20"/>
                <w:szCs w:val="20"/>
              </w:rPr>
              <w:t xml:space="preserve"> – expedited review</w:t>
            </w:r>
          </w:p>
        </w:tc>
      </w:tr>
      <w:tr w:rsidR="002C7814" w:rsidRPr="00802F18" w14:paraId="07F4C5FC" w14:textId="77777777" w:rsidTr="002C7814">
        <w:tc>
          <w:tcPr>
            <w:tcW w:w="6204" w:type="dxa"/>
          </w:tcPr>
          <w:p w14:paraId="07F4C5FA" w14:textId="4A729DF8" w:rsidR="002C7814" w:rsidRPr="00C633D6" w:rsidRDefault="00EA786F" w:rsidP="002C7814">
            <w:pPr>
              <w:rPr>
                <w:sz w:val="20"/>
                <w:szCs w:val="20"/>
              </w:rPr>
            </w:pPr>
            <w:r>
              <w:rPr>
                <w:sz w:val="20"/>
                <w:szCs w:val="20"/>
              </w:rPr>
              <w:t>Delegate’s overview/R</w:t>
            </w:r>
            <w:r w:rsidRPr="00C633D6">
              <w:rPr>
                <w:sz w:val="20"/>
                <w:szCs w:val="20"/>
              </w:rPr>
              <w:t>equest for Advisory Committee advice</w:t>
            </w:r>
          </w:p>
        </w:tc>
        <w:tc>
          <w:tcPr>
            <w:tcW w:w="2516" w:type="dxa"/>
          </w:tcPr>
          <w:p w14:paraId="07F4C5FB" w14:textId="77777777" w:rsidR="002C7814" w:rsidRPr="00802F18" w:rsidRDefault="003F15B2" w:rsidP="002C7814">
            <w:pPr>
              <w:rPr>
                <w:color w:val="auto"/>
                <w:sz w:val="20"/>
                <w:szCs w:val="20"/>
              </w:rPr>
            </w:pPr>
            <w:r>
              <w:rPr>
                <w:color w:val="auto"/>
                <w:sz w:val="20"/>
                <w:szCs w:val="20"/>
              </w:rPr>
              <w:t>3 January 2017</w:t>
            </w:r>
          </w:p>
        </w:tc>
      </w:tr>
      <w:tr w:rsidR="002C7814" w:rsidRPr="00802F18" w14:paraId="07F4C5FF" w14:textId="77777777" w:rsidTr="002C7814">
        <w:tc>
          <w:tcPr>
            <w:tcW w:w="6204" w:type="dxa"/>
          </w:tcPr>
          <w:p w14:paraId="07F4C5FD" w14:textId="77777777" w:rsidR="002C7814" w:rsidRPr="00C633D6" w:rsidRDefault="00EA786F" w:rsidP="002C7814">
            <w:pPr>
              <w:rPr>
                <w:sz w:val="20"/>
                <w:szCs w:val="20"/>
              </w:rPr>
            </w:pPr>
            <w:r w:rsidRPr="00C633D6">
              <w:rPr>
                <w:sz w:val="20"/>
                <w:szCs w:val="20"/>
              </w:rPr>
              <w:t>Sponsor’s response</w:t>
            </w:r>
            <w:r>
              <w:rPr>
                <w:sz w:val="20"/>
                <w:szCs w:val="20"/>
              </w:rPr>
              <w:t xml:space="preserve"> to the Delegate’s overview</w:t>
            </w:r>
          </w:p>
        </w:tc>
        <w:tc>
          <w:tcPr>
            <w:tcW w:w="2516" w:type="dxa"/>
          </w:tcPr>
          <w:p w14:paraId="07F4C5FE" w14:textId="77777777" w:rsidR="002C7814" w:rsidRPr="00802F18" w:rsidRDefault="00802F18" w:rsidP="002C7814">
            <w:pPr>
              <w:rPr>
                <w:color w:val="auto"/>
                <w:sz w:val="20"/>
                <w:szCs w:val="20"/>
              </w:rPr>
            </w:pPr>
            <w:r w:rsidRPr="00802F18">
              <w:rPr>
                <w:color w:val="auto"/>
                <w:sz w:val="20"/>
                <w:szCs w:val="20"/>
              </w:rPr>
              <w:t>16 January 2017</w:t>
            </w:r>
          </w:p>
        </w:tc>
      </w:tr>
      <w:tr w:rsidR="00FD6B0C" w:rsidRPr="00FD6B0C" w14:paraId="07F4C602" w14:textId="77777777" w:rsidTr="002C7814">
        <w:tc>
          <w:tcPr>
            <w:tcW w:w="6204" w:type="dxa"/>
          </w:tcPr>
          <w:p w14:paraId="07F4C600" w14:textId="77777777" w:rsidR="002C7814" w:rsidRPr="00C633D6" w:rsidRDefault="002C7814" w:rsidP="002C7814">
            <w:pPr>
              <w:rPr>
                <w:sz w:val="20"/>
                <w:szCs w:val="20"/>
              </w:rPr>
            </w:pPr>
            <w:r w:rsidRPr="00C633D6">
              <w:rPr>
                <w:sz w:val="20"/>
                <w:szCs w:val="20"/>
              </w:rPr>
              <w:t>Advisory Committee meeting</w:t>
            </w:r>
          </w:p>
        </w:tc>
        <w:tc>
          <w:tcPr>
            <w:tcW w:w="2516" w:type="dxa"/>
          </w:tcPr>
          <w:p w14:paraId="07F4C601" w14:textId="77777777" w:rsidR="002C7814" w:rsidRPr="00FD6B0C" w:rsidRDefault="00FD6B0C" w:rsidP="002C7814">
            <w:pPr>
              <w:rPr>
                <w:color w:val="auto"/>
                <w:sz w:val="20"/>
                <w:szCs w:val="20"/>
              </w:rPr>
            </w:pPr>
            <w:r w:rsidRPr="00FD6B0C">
              <w:rPr>
                <w:color w:val="auto"/>
                <w:sz w:val="20"/>
                <w:szCs w:val="20"/>
              </w:rPr>
              <w:t>2 and 3 February 2017</w:t>
            </w:r>
          </w:p>
        </w:tc>
      </w:tr>
      <w:tr w:rsidR="002C7814" w:rsidRPr="00802F18" w14:paraId="07F4C605" w14:textId="77777777" w:rsidTr="002C7814">
        <w:tc>
          <w:tcPr>
            <w:tcW w:w="6204" w:type="dxa"/>
          </w:tcPr>
          <w:p w14:paraId="07F4C603" w14:textId="77777777" w:rsidR="002C7814" w:rsidRPr="00C633D6" w:rsidRDefault="002C7814" w:rsidP="002C7814">
            <w:pPr>
              <w:rPr>
                <w:sz w:val="20"/>
                <w:szCs w:val="20"/>
              </w:rPr>
            </w:pPr>
            <w:r w:rsidRPr="00C633D6">
              <w:rPr>
                <w:sz w:val="20"/>
                <w:szCs w:val="20"/>
              </w:rPr>
              <w:t>Registration decision</w:t>
            </w:r>
          </w:p>
        </w:tc>
        <w:tc>
          <w:tcPr>
            <w:tcW w:w="2516" w:type="dxa"/>
          </w:tcPr>
          <w:p w14:paraId="07F4C604" w14:textId="77777777" w:rsidR="002C7814" w:rsidRPr="00802F18" w:rsidRDefault="00802F18" w:rsidP="002C7814">
            <w:pPr>
              <w:rPr>
                <w:color w:val="auto"/>
                <w:sz w:val="20"/>
                <w:szCs w:val="20"/>
              </w:rPr>
            </w:pPr>
            <w:r w:rsidRPr="00802F18">
              <w:rPr>
                <w:color w:val="auto"/>
                <w:sz w:val="20"/>
                <w:szCs w:val="20"/>
              </w:rPr>
              <w:t>3 March 2017</w:t>
            </w:r>
          </w:p>
        </w:tc>
      </w:tr>
      <w:tr w:rsidR="002C7814" w:rsidRPr="00B4200E" w14:paraId="07F4C608" w14:textId="77777777" w:rsidTr="002C7814">
        <w:tc>
          <w:tcPr>
            <w:tcW w:w="6204" w:type="dxa"/>
          </w:tcPr>
          <w:p w14:paraId="07F4C606" w14:textId="77777777" w:rsidR="002C7814" w:rsidRPr="00C633D6" w:rsidRDefault="002C7814" w:rsidP="002C7814">
            <w:pPr>
              <w:rPr>
                <w:sz w:val="20"/>
                <w:szCs w:val="20"/>
              </w:rPr>
            </w:pPr>
            <w:r w:rsidRPr="00C633D6">
              <w:rPr>
                <w:sz w:val="20"/>
                <w:szCs w:val="20"/>
              </w:rPr>
              <w:t>Entry onto ARTG</w:t>
            </w:r>
          </w:p>
        </w:tc>
        <w:tc>
          <w:tcPr>
            <w:tcW w:w="2516" w:type="dxa"/>
          </w:tcPr>
          <w:p w14:paraId="07F4C607" w14:textId="77777777" w:rsidR="002C7814" w:rsidRPr="00B4200E" w:rsidRDefault="00B4200E" w:rsidP="002C7814">
            <w:pPr>
              <w:rPr>
                <w:color w:val="auto"/>
                <w:sz w:val="20"/>
                <w:szCs w:val="20"/>
              </w:rPr>
            </w:pPr>
            <w:r w:rsidRPr="00B4200E">
              <w:rPr>
                <w:color w:val="auto"/>
                <w:sz w:val="20"/>
                <w:szCs w:val="20"/>
              </w:rPr>
              <w:t>7 March</w:t>
            </w:r>
            <w:r w:rsidR="002C7814" w:rsidRPr="00B4200E">
              <w:rPr>
                <w:color w:val="auto"/>
                <w:sz w:val="20"/>
                <w:szCs w:val="20"/>
              </w:rPr>
              <w:t xml:space="preserve"> 2017</w:t>
            </w:r>
          </w:p>
        </w:tc>
      </w:tr>
      <w:tr w:rsidR="002C7814" w:rsidRPr="00794AE3" w14:paraId="07F4C60B" w14:textId="77777777" w:rsidTr="002C7814">
        <w:tc>
          <w:tcPr>
            <w:tcW w:w="6204" w:type="dxa"/>
          </w:tcPr>
          <w:p w14:paraId="07F4C609" w14:textId="1DDCBB92" w:rsidR="002C7814" w:rsidRPr="00C633D6" w:rsidRDefault="00EA786F" w:rsidP="002C7814">
            <w:pPr>
              <w:rPr>
                <w:sz w:val="20"/>
                <w:szCs w:val="20"/>
              </w:rPr>
            </w:pPr>
            <w:r w:rsidRPr="00C633D6">
              <w:rPr>
                <w:sz w:val="20"/>
                <w:szCs w:val="20"/>
              </w:rPr>
              <w:lastRenderedPageBreak/>
              <w:t xml:space="preserve">Number of TGA working days from </w:t>
            </w:r>
            <w:r>
              <w:rPr>
                <w:sz w:val="20"/>
                <w:szCs w:val="20"/>
              </w:rPr>
              <w:t>commencement of evaluation</w:t>
            </w:r>
            <w:r w:rsidRPr="00C633D6">
              <w:rPr>
                <w:sz w:val="20"/>
                <w:szCs w:val="20"/>
              </w:rPr>
              <w:t xml:space="preserve"> to registration decision*</w:t>
            </w:r>
          </w:p>
        </w:tc>
        <w:tc>
          <w:tcPr>
            <w:tcW w:w="2516" w:type="dxa"/>
          </w:tcPr>
          <w:p w14:paraId="07F4C60A" w14:textId="77777777" w:rsidR="002C7814" w:rsidRPr="00794AE3" w:rsidRDefault="00794AE3" w:rsidP="002C7814">
            <w:pPr>
              <w:rPr>
                <w:color w:val="auto"/>
                <w:sz w:val="20"/>
                <w:szCs w:val="20"/>
              </w:rPr>
            </w:pPr>
            <w:r w:rsidRPr="00794AE3">
              <w:rPr>
                <w:color w:val="auto"/>
                <w:sz w:val="20"/>
                <w:szCs w:val="20"/>
              </w:rPr>
              <w:t>106</w:t>
            </w:r>
          </w:p>
        </w:tc>
      </w:tr>
    </w:tbl>
    <w:p w14:paraId="07F4C60C" w14:textId="2E4884F3" w:rsidR="00EA786F" w:rsidRPr="00C633D6" w:rsidRDefault="00EA786F" w:rsidP="00EA786F">
      <w:pPr>
        <w:pStyle w:val="TableDescription"/>
      </w:pPr>
      <w:r>
        <w:t xml:space="preserve">* </w:t>
      </w:r>
      <w:r w:rsidR="0005391E">
        <w:t xml:space="preserve">Statutory </w:t>
      </w:r>
      <w:r>
        <w:t>timeframe for standard applications: 255 working days</w:t>
      </w:r>
    </w:p>
    <w:p w14:paraId="07F4C60D" w14:textId="77777777" w:rsidR="008E7846" w:rsidRPr="003602A9" w:rsidRDefault="002C7814" w:rsidP="008E7846">
      <w:pPr>
        <w:pStyle w:val="Heading2"/>
        <w:ind w:left="-11"/>
      </w:pPr>
      <w:bookmarkStart w:id="25" w:name="_Toc513458916"/>
      <w:r>
        <w:t>I</w:t>
      </w:r>
      <w:r w:rsidR="008E7846">
        <w:t>II. Quality</w:t>
      </w:r>
      <w:bookmarkEnd w:id="1"/>
      <w:r w:rsidR="008E7846">
        <w:t xml:space="preserve"> findings</w:t>
      </w:r>
      <w:bookmarkEnd w:id="22"/>
      <w:bookmarkEnd w:id="23"/>
      <w:bookmarkEnd w:id="25"/>
    </w:p>
    <w:p w14:paraId="07F4C60E" w14:textId="77777777" w:rsidR="00940A89" w:rsidRPr="00B4200E" w:rsidRDefault="00940A89" w:rsidP="00940A89">
      <w:pPr>
        <w:pStyle w:val="Heading3"/>
        <w:rPr>
          <w:rFonts w:ascii="Cambria" w:eastAsia="Cambria" w:hAnsi="Cambria"/>
          <w:b w:val="0"/>
          <w:bCs w:val="0"/>
          <w:szCs w:val="22"/>
        </w:rPr>
      </w:pPr>
      <w:bookmarkStart w:id="26" w:name="_Toc513458917"/>
      <w:bookmarkStart w:id="27" w:name="_Toc247691507"/>
      <w:bookmarkStart w:id="28" w:name="_Toc314842488"/>
      <w:r w:rsidRPr="00940A89">
        <w:t>Introduction</w:t>
      </w:r>
      <w:bookmarkEnd w:id="26"/>
    </w:p>
    <w:p w14:paraId="07F4C60F" w14:textId="77777777" w:rsidR="008E7846" w:rsidRDefault="00940A89" w:rsidP="008E7846">
      <w:r w:rsidRPr="00940A89">
        <w:t>There was no requirement for a quality evaluation in a submission of this type.</w:t>
      </w:r>
      <w:bookmarkEnd w:id="27"/>
      <w:bookmarkEnd w:id="28"/>
    </w:p>
    <w:p w14:paraId="07F4C610" w14:textId="77777777" w:rsidR="008E7846" w:rsidRDefault="002C7814" w:rsidP="008E7846">
      <w:pPr>
        <w:pStyle w:val="Heading2"/>
      </w:pPr>
      <w:bookmarkStart w:id="29" w:name="_Toc196046439"/>
      <w:bookmarkStart w:id="30" w:name="_Toc247691510"/>
      <w:bookmarkStart w:id="31" w:name="_Toc314842494"/>
      <w:bookmarkStart w:id="32" w:name="_Toc513458918"/>
      <w:r>
        <w:t>IV</w:t>
      </w:r>
      <w:r w:rsidR="008E7846">
        <w:t>. Nonclinical</w:t>
      </w:r>
      <w:bookmarkEnd w:id="29"/>
      <w:r w:rsidR="008E7846">
        <w:t xml:space="preserve"> findings</w:t>
      </w:r>
      <w:bookmarkEnd w:id="30"/>
      <w:bookmarkEnd w:id="31"/>
      <w:bookmarkEnd w:id="32"/>
    </w:p>
    <w:p w14:paraId="07F4C611" w14:textId="77777777" w:rsidR="00940A89" w:rsidRDefault="00940A89" w:rsidP="000E6196">
      <w:bookmarkStart w:id="33" w:name="_Toc247691511"/>
      <w:bookmarkStart w:id="34" w:name="_Toc314842495"/>
      <w:r>
        <w:t>There was no requirement for a nonclinical evaluation in a submission of this type.</w:t>
      </w:r>
    </w:p>
    <w:p w14:paraId="07F4C612" w14:textId="62473292" w:rsidR="008E7846" w:rsidRPr="00254787" w:rsidRDefault="008E7846" w:rsidP="008E7846">
      <w:pPr>
        <w:pStyle w:val="Heading2"/>
      </w:pPr>
      <w:bookmarkStart w:id="35" w:name="_Toc196046462"/>
      <w:bookmarkStart w:id="36" w:name="_Toc247691516"/>
      <w:bookmarkStart w:id="37" w:name="_Toc314842500"/>
      <w:bookmarkStart w:id="38" w:name="_Toc513458919"/>
      <w:bookmarkStart w:id="39" w:name="_Toc163441353"/>
      <w:bookmarkStart w:id="40" w:name="_Toc163441348"/>
      <w:bookmarkEnd w:id="33"/>
      <w:bookmarkEnd w:id="34"/>
      <w:r>
        <w:t>V</w:t>
      </w:r>
      <w:r w:rsidR="00071A1C">
        <w:t>a</w:t>
      </w:r>
      <w:r>
        <w:t xml:space="preserve">. </w:t>
      </w:r>
      <w:r w:rsidRPr="00254787">
        <w:t>Clinical</w:t>
      </w:r>
      <w:bookmarkEnd w:id="35"/>
      <w:r>
        <w:t xml:space="preserve"> </w:t>
      </w:r>
      <w:r w:rsidR="003A7F6C">
        <w:t>f</w:t>
      </w:r>
      <w:r>
        <w:t>indings</w:t>
      </w:r>
      <w:bookmarkEnd w:id="36"/>
      <w:bookmarkEnd w:id="37"/>
      <w:r w:rsidR="004572B1">
        <w:t xml:space="preserve"> </w:t>
      </w:r>
      <w:r w:rsidR="00D356B6">
        <w:t xml:space="preserve">for </w:t>
      </w:r>
      <w:r w:rsidR="004572B1">
        <w:t>Submission PM-2015-04712-1-4</w:t>
      </w:r>
      <w:bookmarkEnd w:id="38"/>
    </w:p>
    <w:p w14:paraId="07F4C613" w14:textId="77777777" w:rsidR="00C80137" w:rsidRDefault="00C80137" w:rsidP="00D425BB">
      <w:bookmarkStart w:id="4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r w:rsidR="00071A1C">
        <w:t>, the extract</w:t>
      </w:r>
      <w:r w:rsidR="004572B1">
        <w:t xml:space="preserve"> of</w:t>
      </w:r>
      <w:r w:rsidR="00071A1C">
        <w:t xml:space="preserve"> the clinical evaluation report for submission</w:t>
      </w:r>
      <w:r w:rsidR="004572B1">
        <w:t xml:space="preserve"> PM-2015-04712-1-4</w:t>
      </w:r>
      <w:r w:rsidRPr="00FD70B8">
        <w:t>.</w:t>
      </w:r>
    </w:p>
    <w:p w14:paraId="07F4C614" w14:textId="77777777" w:rsidR="008E7846" w:rsidRDefault="008E7846" w:rsidP="008E7846">
      <w:pPr>
        <w:pStyle w:val="Heading3"/>
      </w:pPr>
      <w:bookmarkStart w:id="42" w:name="_Toc247691517"/>
      <w:bookmarkStart w:id="43" w:name="_Toc314842501"/>
      <w:bookmarkStart w:id="44" w:name="_Toc513458920"/>
      <w:r w:rsidRPr="00254787">
        <w:t>Introduction</w:t>
      </w:r>
      <w:bookmarkEnd w:id="41"/>
      <w:bookmarkEnd w:id="42"/>
      <w:bookmarkEnd w:id="43"/>
      <w:bookmarkEnd w:id="44"/>
    </w:p>
    <w:p w14:paraId="07F4C615" w14:textId="77777777" w:rsidR="00605AD4" w:rsidRDefault="00605AD4" w:rsidP="00605AD4">
      <w:pPr>
        <w:pStyle w:val="Heading4"/>
      </w:pPr>
      <w:bookmarkStart w:id="45" w:name="_Toc196046464"/>
      <w:bookmarkStart w:id="46" w:name="_Toc247691518"/>
      <w:bookmarkStart w:id="47" w:name="_Toc314842502"/>
      <w:r w:rsidRPr="00605AD4">
        <w:t xml:space="preserve">Clinical </w:t>
      </w:r>
      <w:r w:rsidR="00EF59DC">
        <w:t>r</w:t>
      </w:r>
      <w:r w:rsidRPr="00605AD4">
        <w:t>ationale</w:t>
      </w:r>
    </w:p>
    <w:p w14:paraId="07F4C616" w14:textId="63D0AFDB" w:rsidR="00071A1C" w:rsidRPr="003D1BCE" w:rsidRDefault="00013221" w:rsidP="00071A1C">
      <w:r>
        <w:t>Historically,</w:t>
      </w:r>
      <w:r w:rsidRPr="003D1BCE">
        <w:t xml:space="preserve"> </w:t>
      </w:r>
      <w:r w:rsidR="00071A1C" w:rsidRPr="003D1BCE">
        <w:t>treatment of NSCLC employed regimens of chemotherapy and/or radiotherapy depending upon the patient characteristics and tumour staging.</w:t>
      </w:r>
    </w:p>
    <w:p w14:paraId="07F4C617" w14:textId="386BB71E" w:rsidR="00071A1C" w:rsidRPr="003D1BCE" w:rsidRDefault="00071A1C" w:rsidP="00071A1C">
      <w:r w:rsidRPr="003D1BCE">
        <w:t>Programmed death receptor 1 (PD-1) is expressed by T cells, natural killer cells and some B cells, its action being to active T cells in peripheral tissues. PD-1 has two ligands, programmed death ligand-1</w:t>
      </w:r>
      <w:r w:rsidR="00E06B28">
        <w:t>(PD-L1)</w:t>
      </w:r>
      <w:r w:rsidRPr="003D1BCE">
        <w:t xml:space="preserve"> and </w:t>
      </w:r>
      <w:r w:rsidR="00E06B28">
        <w:t>programmed death ligand-2 (PD-L2)</w:t>
      </w:r>
      <w:r w:rsidRPr="003D1BCE">
        <w:t xml:space="preserve"> These ligands are major histocompatibility complex cell surface proteins, and have been identified as molecular target expressed on a number of types of tumours, including NSCLC. Pembrolizumab binds to PD-1, thereby blocking the PD-1:</w:t>
      </w:r>
      <w:r>
        <w:t xml:space="preserve"> PD-L1 interaction.</w:t>
      </w:r>
    </w:p>
    <w:p w14:paraId="07F4C618" w14:textId="5CFAA4F0" w:rsidR="00071A1C" w:rsidRPr="003D1BCE" w:rsidRDefault="00071A1C" w:rsidP="00071A1C">
      <w:r w:rsidRPr="003D1BCE">
        <w:t xml:space="preserve">The expression of PD-L1 is </w:t>
      </w:r>
      <w:r w:rsidR="00D356B6">
        <w:t>‘</w:t>
      </w:r>
      <w:r w:rsidRPr="003D1BCE">
        <w:t>variable and dynamic</w:t>
      </w:r>
      <w:r w:rsidR="00D356B6">
        <w:t>’</w:t>
      </w:r>
      <w:r w:rsidRPr="003D1BCE">
        <w:t>, and in practical terms is thus a continuous variable.</w:t>
      </w:r>
      <w:r w:rsidR="003329F0">
        <w:rPr>
          <w:rStyle w:val="FootnoteReference"/>
        </w:rPr>
        <w:footnoteReference w:id="2"/>
      </w:r>
      <w:r w:rsidRPr="003D1BCE">
        <w:t xml:space="preserve"> Furthermore, within tumours, PD-L1 expression, as assessed by more than one assay, is heterogeneous.</w:t>
      </w:r>
      <w:r w:rsidR="003329F0">
        <w:rPr>
          <w:rStyle w:val="FootnoteReference"/>
        </w:rPr>
        <w:footnoteReference w:id="3"/>
      </w:r>
    </w:p>
    <w:p w14:paraId="07F4C619" w14:textId="16966EEB" w:rsidR="00071A1C" w:rsidRPr="003D1BCE" w:rsidRDefault="00071A1C" w:rsidP="00071A1C">
      <w:r w:rsidRPr="003D1BCE">
        <w:t>The FDA ha</w:t>
      </w:r>
      <w:r w:rsidR="00E06B28">
        <w:t>d</w:t>
      </w:r>
      <w:r w:rsidRPr="003D1BCE">
        <w:t xml:space="preserve"> approved</w:t>
      </w:r>
      <w:r w:rsidR="00E06B28">
        <w:t xml:space="preserve"> (at the time of this report)</w:t>
      </w:r>
      <w:r w:rsidRPr="003D1BCE">
        <w:t xml:space="preserve"> the use of pembrolizumab, registered under </w:t>
      </w:r>
      <w:r w:rsidR="006A284A">
        <w:t>accelerated</w:t>
      </w:r>
      <w:r w:rsidRPr="003D1BCE">
        <w:t xml:space="preserve"> licencing arrangements, pending review of this dossier of the confirmatory study, for </w:t>
      </w:r>
      <w:r w:rsidR="006A284A">
        <w:t xml:space="preserve">previously treated </w:t>
      </w:r>
      <w:r w:rsidRPr="003D1BCE">
        <w:t>patients with NSCLC whose tumours express PD-L1</w:t>
      </w:r>
      <w:r>
        <w:t xml:space="preserve"> </w:t>
      </w:r>
      <w:r w:rsidR="006361A9">
        <w:t xml:space="preserve">in </w:t>
      </w:r>
      <w:r>
        <w:t xml:space="preserve">&gt; </w:t>
      </w:r>
      <w:r w:rsidRPr="003D1BCE">
        <w:t>50% of the cells examined, when assessed using an FDA approved assay.</w:t>
      </w:r>
    </w:p>
    <w:p w14:paraId="07F4C61A" w14:textId="2429FE25" w:rsidR="00071A1C" w:rsidRPr="003D1BCE" w:rsidRDefault="00071A1C" w:rsidP="00071A1C">
      <w:r w:rsidRPr="003D1BCE">
        <w:t xml:space="preserve">The TGA is currently evaluating the companion diagnostic test proposed for use with pembrolizumab in NSCLC. The current submission proposes an extension of the use of </w:t>
      </w:r>
      <w:r w:rsidRPr="003D1BCE">
        <w:lastRenderedPageBreak/>
        <w:t xml:space="preserve">pembrolizumab beyond that approved by the FDA, in that, patients with PD-L1 expression </w:t>
      </w:r>
      <w:r w:rsidR="006361A9">
        <w:t>in</w:t>
      </w:r>
      <w:r>
        <w:t xml:space="preserve"> &gt; </w:t>
      </w:r>
      <w:r w:rsidRPr="003D1BCE">
        <w:t>1% of the cells examined are captured by the indication. Given the diagnostic test assay measures PD-L1 expression, this is a proxy for the PD-1 target of pembrolizumab.</w:t>
      </w:r>
    </w:p>
    <w:p w14:paraId="07F4C61B" w14:textId="355FE813" w:rsidR="00071A1C" w:rsidRPr="00071A1C" w:rsidRDefault="00071A1C" w:rsidP="00071A1C">
      <w:pPr>
        <w:rPr>
          <w:vertAlign w:val="superscript"/>
        </w:rPr>
      </w:pPr>
      <w:r w:rsidRPr="003D1BCE">
        <w:t>Previous studies have demonstrated a variation in the efficacy of PD-L1 inhibition depending upon the level of expression of PD-L1.</w:t>
      </w:r>
      <w:r w:rsidR="003329F0">
        <w:rPr>
          <w:rStyle w:val="FootnoteReference"/>
        </w:rPr>
        <w:footnoteReference w:id="4"/>
      </w:r>
      <w:r w:rsidR="003329F0">
        <w:t>,</w:t>
      </w:r>
      <w:r w:rsidR="003329F0">
        <w:rPr>
          <w:rStyle w:val="FootnoteReference"/>
        </w:rPr>
        <w:footnoteReference w:id="5"/>
      </w:r>
    </w:p>
    <w:p w14:paraId="07F4C61C" w14:textId="77777777" w:rsidR="00605AD4" w:rsidRDefault="00605AD4" w:rsidP="00605AD4">
      <w:pPr>
        <w:pStyle w:val="Heading4"/>
      </w:pPr>
      <w:r w:rsidRPr="00605AD4">
        <w:t>Guidance</w:t>
      </w:r>
    </w:p>
    <w:p w14:paraId="07F4C61D" w14:textId="77777777" w:rsidR="00CD0FBB" w:rsidRDefault="00CD0FBB" w:rsidP="00CD0FBB">
      <w:r>
        <w:t xml:space="preserve">The following EMA guidelines which have been adopted by the </w:t>
      </w:r>
      <w:proofErr w:type="gramStart"/>
      <w:r>
        <w:t>TGA,</w:t>
      </w:r>
      <w:proofErr w:type="gramEnd"/>
      <w:r>
        <w:t xml:space="preserve"> are considered relevant to the current submission:</w:t>
      </w:r>
    </w:p>
    <w:p w14:paraId="07F4C61E" w14:textId="12290781" w:rsidR="00CD0FBB" w:rsidRDefault="00CD0FBB" w:rsidP="00F21233">
      <w:pPr>
        <w:pStyle w:val="ListBullet"/>
      </w:pPr>
      <w:r>
        <w:t>Guideline on the evaluation of anticancer medicinal products</w:t>
      </w:r>
      <w:r w:rsidR="006361A9">
        <w:t>;</w:t>
      </w:r>
      <w:r w:rsidR="008819BE">
        <w:rPr>
          <w:rStyle w:val="FootnoteReference"/>
        </w:rPr>
        <w:footnoteReference w:id="6"/>
      </w:r>
    </w:p>
    <w:p w14:paraId="07F4C61F" w14:textId="19EEAA52" w:rsidR="00CD0FBB" w:rsidRDefault="00CD0FBB" w:rsidP="00F21233">
      <w:pPr>
        <w:pStyle w:val="ListBullet"/>
      </w:pPr>
      <w:r w:rsidRPr="00B874B3">
        <w:t>Appendix 1 to the guideline on the evaluation of anticancer medicinal products in man. (Methodological consideration for using progression</w:t>
      </w:r>
      <w:r w:rsidR="006361A9">
        <w:t xml:space="preserve"> </w:t>
      </w:r>
      <w:r w:rsidRPr="00B874B3">
        <w:t>free survival or disease</w:t>
      </w:r>
      <w:r w:rsidR="006361A9">
        <w:t xml:space="preserve"> </w:t>
      </w:r>
      <w:r w:rsidRPr="00B874B3">
        <w:t>free survival in confirmatory trials)</w:t>
      </w:r>
      <w:r w:rsidR="006361A9">
        <w:t>;</w:t>
      </w:r>
      <w:r w:rsidR="008819BE">
        <w:rPr>
          <w:rStyle w:val="FootnoteReference"/>
        </w:rPr>
        <w:footnoteReference w:id="7"/>
      </w:r>
    </w:p>
    <w:p w14:paraId="07F4C620" w14:textId="7408C9E7" w:rsidR="00CD0FBB" w:rsidRDefault="00CD0FBB" w:rsidP="00F21233">
      <w:pPr>
        <w:pStyle w:val="ListBullet"/>
      </w:pPr>
      <w:r>
        <w:t>Appendix 4</w:t>
      </w:r>
      <w:r w:rsidRPr="009F708A">
        <w:t xml:space="preserve"> </w:t>
      </w:r>
      <w:r w:rsidRPr="00B874B3">
        <w:t>to the guideline on the evaluation of anticancer medicinal products in man. (</w:t>
      </w:r>
      <w:r>
        <w:t>Condition Specific Guidance)</w:t>
      </w:r>
      <w:r w:rsidR="006361A9">
        <w:t>;</w:t>
      </w:r>
      <w:r w:rsidR="008819BE">
        <w:rPr>
          <w:rStyle w:val="FootnoteReference"/>
        </w:rPr>
        <w:footnoteReference w:id="8"/>
      </w:r>
    </w:p>
    <w:p w14:paraId="07F4C621" w14:textId="10369304" w:rsidR="00CD0FBB" w:rsidRDefault="00CD0FBB" w:rsidP="00F21233">
      <w:pPr>
        <w:pStyle w:val="ListBullet"/>
      </w:pPr>
      <w:r w:rsidRPr="004E69F7">
        <w:t>Points to consider on application with 1. Meta</w:t>
      </w:r>
      <w:r>
        <w:t>-analyses; 2. One pivotal study</w:t>
      </w:r>
      <w:r w:rsidR="00377F33">
        <w:t>.</w:t>
      </w:r>
      <w:r w:rsidR="008819BE">
        <w:rPr>
          <w:rStyle w:val="FootnoteReference"/>
        </w:rPr>
        <w:footnoteReference w:id="9"/>
      </w:r>
    </w:p>
    <w:p w14:paraId="07F4C622" w14:textId="77777777" w:rsidR="00CD0FBB" w:rsidRPr="00CD0FBB" w:rsidRDefault="00CD0FBB" w:rsidP="00CD0FBB">
      <w:pPr>
        <w:rPr>
          <w:lang w:eastAsia="ja-JP"/>
        </w:rPr>
      </w:pPr>
      <w:r>
        <w:rPr>
          <w:lang w:eastAsia="ja-JP"/>
        </w:rPr>
        <w:t>Compliance with these guidelines will be assessed where relevant.</w:t>
      </w:r>
    </w:p>
    <w:p w14:paraId="07F4C623" w14:textId="77777777" w:rsidR="00605AD4" w:rsidRDefault="00605AD4" w:rsidP="00605AD4">
      <w:pPr>
        <w:pStyle w:val="Heading4"/>
      </w:pPr>
      <w:r w:rsidRPr="00605AD4">
        <w:t>Contents of the clinical dossier</w:t>
      </w:r>
    </w:p>
    <w:p w14:paraId="07F4C624" w14:textId="77777777" w:rsidR="003329F0" w:rsidRPr="00D24BD9" w:rsidRDefault="003329F0" w:rsidP="003329F0">
      <w:r w:rsidRPr="00D24BD9">
        <w:t xml:space="preserve">The submission contained the </w:t>
      </w:r>
      <w:r>
        <w:t>following clinical information:</w:t>
      </w:r>
    </w:p>
    <w:p w14:paraId="07F4C625" w14:textId="290AF1B9" w:rsidR="003329F0" w:rsidRPr="003329F0" w:rsidRDefault="003329F0" w:rsidP="003329F0">
      <w:pPr>
        <w:pStyle w:val="ListBullet"/>
      </w:pPr>
      <w:r w:rsidRPr="003329F0">
        <w:t xml:space="preserve">A pivotal full CSR for </w:t>
      </w:r>
      <w:r w:rsidR="00E06B28">
        <w:t>Study</w:t>
      </w:r>
      <w:r w:rsidRPr="003329F0">
        <w:t xml:space="preserve"> 3745-P010V01 (</w:t>
      </w:r>
      <w:r w:rsidR="00E06B28" w:rsidRPr="003329F0">
        <w:t>KEYNOTE</w:t>
      </w:r>
      <w:r w:rsidRPr="003329F0">
        <w:t xml:space="preserve">-010); </w:t>
      </w:r>
      <w:r w:rsidR="00F21233">
        <w:t>a</w:t>
      </w:r>
      <w:r w:rsidR="00F21233" w:rsidRPr="003329F0">
        <w:t xml:space="preserve"> </w:t>
      </w:r>
      <w:r w:rsidRPr="003329F0">
        <w:t xml:space="preserve">Phase II/III </w:t>
      </w:r>
      <w:r w:rsidR="006361A9" w:rsidRPr="003329F0">
        <w:t>randomi</w:t>
      </w:r>
      <w:r w:rsidR="006361A9">
        <w:t>s</w:t>
      </w:r>
      <w:r w:rsidR="006361A9" w:rsidRPr="003329F0">
        <w:t xml:space="preserve">ed </w:t>
      </w:r>
      <w:r w:rsidRPr="003329F0">
        <w:t xml:space="preserve">trial of two doses of </w:t>
      </w:r>
      <w:r w:rsidR="006361A9">
        <w:t>p</w:t>
      </w:r>
      <w:r w:rsidR="006361A9" w:rsidRPr="003329F0">
        <w:t xml:space="preserve">embrolizumab </w:t>
      </w:r>
      <w:r w:rsidRPr="003329F0">
        <w:t xml:space="preserve">versus </w:t>
      </w:r>
      <w:r w:rsidR="006361A9">
        <w:t>d</w:t>
      </w:r>
      <w:r w:rsidR="006361A9" w:rsidRPr="003329F0">
        <w:t xml:space="preserve">ocetaxel </w:t>
      </w:r>
      <w:r w:rsidRPr="003329F0">
        <w:t>in previously treated subjects with non-small cell lung cancer (NSCLC).</w:t>
      </w:r>
    </w:p>
    <w:p w14:paraId="07F4C626" w14:textId="54E17FDC" w:rsidR="003329F0" w:rsidRPr="003329F0" w:rsidRDefault="00E06B28" w:rsidP="003329F0">
      <w:pPr>
        <w:pStyle w:val="ListBullet"/>
      </w:pPr>
      <w:r>
        <w:t>Interim CSR for S</w:t>
      </w:r>
      <w:r w:rsidR="003329F0" w:rsidRPr="003329F0">
        <w:t>tudy 3475-P001V04 (</w:t>
      </w:r>
      <w:r w:rsidRPr="003329F0">
        <w:t>KEYNOTE</w:t>
      </w:r>
      <w:r w:rsidR="003329F0" w:rsidRPr="003329F0">
        <w:t xml:space="preserve">-001); </w:t>
      </w:r>
      <w:r w:rsidR="00C55B28">
        <w:t xml:space="preserve">a </w:t>
      </w:r>
      <w:r w:rsidR="003329F0" w:rsidRPr="003329F0">
        <w:t xml:space="preserve">Phase I </w:t>
      </w:r>
      <w:r w:rsidR="00C55B28">
        <w:t>s</w:t>
      </w:r>
      <w:r w:rsidR="00C55B28" w:rsidRPr="003329F0">
        <w:t xml:space="preserve">tudy </w:t>
      </w:r>
      <w:r w:rsidR="003329F0" w:rsidRPr="003329F0">
        <w:t xml:space="preserve">of </w:t>
      </w:r>
      <w:r w:rsidR="00C55B28">
        <w:t>s</w:t>
      </w:r>
      <w:r w:rsidR="00C55B28" w:rsidRPr="003329F0">
        <w:t xml:space="preserve">ingle </w:t>
      </w:r>
      <w:r w:rsidR="003329F0" w:rsidRPr="003329F0">
        <w:t>agent MK-3475</w:t>
      </w:r>
      <w:r w:rsidR="002D1E8D">
        <w:t xml:space="preserve"> (Keytruda)</w:t>
      </w:r>
      <w:r w:rsidR="003329F0" w:rsidRPr="003329F0">
        <w:t xml:space="preserve"> in patients with progressive locally advanced or metastatic carcinoma, melanoma, and </w:t>
      </w:r>
      <w:r w:rsidR="00C55B28">
        <w:t>NSCLC</w:t>
      </w:r>
      <w:r w:rsidR="003329F0" w:rsidRPr="003329F0">
        <w:t>.</w:t>
      </w:r>
    </w:p>
    <w:p w14:paraId="07F4C627" w14:textId="70BAA99A" w:rsidR="003329F0" w:rsidRPr="003329F0" w:rsidRDefault="003329F0" w:rsidP="003329F0">
      <w:pPr>
        <w:pStyle w:val="ListBullet"/>
      </w:pPr>
      <w:r w:rsidRPr="003329F0">
        <w:t xml:space="preserve">A full CSR for </w:t>
      </w:r>
      <w:r w:rsidR="00E06B28">
        <w:t>Study</w:t>
      </w:r>
      <w:r w:rsidRPr="003329F0">
        <w:t xml:space="preserve"> 3475-006; A multicentre, </w:t>
      </w:r>
      <w:r w:rsidR="00C55B28" w:rsidRPr="003329F0">
        <w:t>randomi</w:t>
      </w:r>
      <w:r w:rsidR="00C55B28">
        <w:t>s</w:t>
      </w:r>
      <w:r w:rsidR="00C55B28" w:rsidRPr="003329F0">
        <w:t>ed</w:t>
      </w:r>
      <w:r w:rsidRPr="003329F0">
        <w:t>, controlled, three arm, Phase</w:t>
      </w:r>
      <w:r w:rsidR="00F21233">
        <w:t> </w:t>
      </w:r>
      <w:r w:rsidRPr="003329F0">
        <w:t xml:space="preserve">III study to evaluate the safety and efficacy of two dosing schedules of MK-3475 compared to </w:t>
      </w:r>
      <w:r w:rsidR="00C55B28">
        <w:t>i</w:t>
      </w:r>
      <w:r w:rsidR="00C55B28" w:rsidRPr="003329F0">
        <w:t xml:space="preserve">pilimumab </w:t>
      </w:r>
      <w:r w:rsidRPr="003329F0">
        <w:t>in patients with advanced melanoma.</w:t>
      </w:r>
    </w:p>
    <w:p w14:paraId="07F4C628" w14:textId="1F7A57CC" w:rsidR="003329F0" w:rsidRPr="003329F0" w:rsidRDefault="003329F0" w:rsidP="003329F0">
      <w:pPr>
        <w:pStyle w:val="ListBullet"/>
      </w:pPr>
      <w:r w:rsidRPr="003329F0">
        <w:t xml:space="preserve">Integrated summaries of efficacy and safety (combining data from patients with NSCLC and melanoma from </w:t>
      </w:r>
      <w:r w:rsidR="000F2159">
        <w:t xml:space="preserve">the </w:t>
      </w:r>
      <w:r w:rsidRPr="003329F0">
        <w:t>KEYNOTE-001,</w:t>
      </w:r>
      <w:r w:rsidR="00D12ADF" w:rsidRPr="00D12ADF">
        <w:t xml:space="preserve"> </w:t>
      </w:r>
      <w:r w:rsidR="00D12ADF" w:rsidRPr="003329F0">
        <w:t>KEYNOTE</w:t>
      </w:r>
      <w:r w:rsidRPr="003329F0">
        <w:t xml:space="preserve">-002 and </w:t>
      </w:r>
      <w:r w:rsidR="00D12ADF" w:rsidRPr="003329F0">
        <w:t>KEYNOTE</w:t>
      </w:r>
      <w:r w:rsidRPr="003329F0">
        <w:t xml:space="preserve">-006 and </w:t>
      </w:r>
      <w:r w:rsidR="00D12ADF" w:rsidRPr="003329F0">
        <w:t>KEYNOTE</w:t>
      </w:r>
      <w:r w:rsidR="00D12ADF">
        <w:noBreakHyphen/>
      </w:r>
      <w:r w:rsidRPr="003329F0">
        <w:t>010</w:t>
      </w:r>
      <w:r w:rsidR="000F2159">
        <w:t xml:space="preserve"> clinical trials</w:t>
      </w:r>
      <w:r w:rsidRPr="003329F0">
        <w:t>)</w:t>
      </w:r>
      <w:r w:rsidR="00C55B28">
        <w:t>.</w:t>
      </w:r>
    </w:p>
    <w:p w14:paraId="07F4C629" w14:textId="73672227" w:rsidR="003329F0" w:rsidRPr="003329F0" w:rsidRDefault="003329F0" w:rsidP="003329F0">
      <w:pPr>
        <w:pStyle w:val="ListBullet"/>
      </w:pPr>
      <w:r w:rsidRPr="003329F0">
        <w:t>Population pharmacokinetic analyses</w:t>
      </w:r>
      <w:r w:rsidR="00C55B28">
        <w:t>.</w:t>
      </w:r>
    </w:p>
    <w:p w14:paraId="07F4C62A" w14:textId="2C01F43E" w:rsidR="003329F0" w:rsidRPr="003329F0" w:rsidRDefault="003329F0" w:rsidP="003329F0">
      <w:pPr>
        <w:pStyle w:val="ListBullet"/>
      </w:pPr>
      <w:r w:rsidRPr="003329F0">
        <w:lastRenderedPageBreak/>
        <w:t xml:space="preserve">Pooled </w:t>
      </w:r>
      <w:r w:rsidR="00C55B28">
        <w:t>p</w:t>
      </w:r>
      <w:r w:rsidR="00C55B28" w:rsidRPr="003329F0">
        <w:t xml:space="preserve">embrolizumab </w:t>
      </w:r>
      <w:r w:rsidRPr="003329F0">
        <w:t xml:space="preserve">(MK-3475) </w:t>
      </w:r>
      <w:r w:rsidR="00C55B28">
        <w:t>i</w:t>
      </w:r>
      <w:r w:rsidR="00C55B28" w:rsidRPr="003329F0">
        <w:t xml:space="preserve">mmunogenicity </w:t>
      </w:r>
      <w:r w:rsidR="00C55B28">
        <w:t>a</w:t>
      </w:r>
      <w:r w:rsidR="00C55B28" w:rsidRPr="003329F0">
        <w:t xml:space="preserve">nalysis </w:t>
      </w:r>
      <w:r w:rsidRPr="003329F0">
        <w:t xml:space="preserve">in </w:t>
      </w:r>
      <w:r w:rsidR="00C55B28">
        <w:t>m</w:t>
      </w:r>
      <w:r w:rsidR="00C55B28" w:rsidRPr="003329F0">
        <w:t xml:space="preserve">elanoma </w:t>
      </w:r>
      <w:r w:rsidRPr="003329F0">
        <w:t xml:space="preserve">and </w:t>
      </w:r>
      <w:r w:rsidR="00C55B28">
        <w:t>NSCLC</w:t>
      </w:r>
      <w:r w:rsidRPr="003329F0">
        <w:t xml:space="preserve"> </w:t>
      </w:r>
      <w:r w:rsidR="00C55B28">
        <w:t>p</w:t>
      </w:r>
      <w:r w:rsidRPr="003329F0">
        <w:t>atients from Protocol</w:t>
      </w:r>
      <w:r w:rsidR="00C55B28">
        <w:t>s</w:t>
      </w:r>
      <w:r w:rsidRPr="003329F0">
        <w:t xml:space="preserve"> 001, 002, 006 and 010</w:t>
      </w:r>
      <w:r w:rsidR="00C55B28">
        <w:t>.</w:t>
      </w:r>
    </w:p>
    <w:p w14:paraId="07F4C62B" w14:textId="24FA01B6" w:rsidR="003329F0" w:rsidRPr="003329F0" w:rsidRDefault="003329F0" w:rsidP="003329F0">
      <w:pPr>
        <w:pStyle w:val="ListBullet"/>
      </w:pPr>
      <w:r w:rsidRPr="003329F0">
        <w:t xml:space="preserve">Periodic Safety </w:t>
      </w:r>
      <w:r w:rsidR="000F2159">
        <w:t>U</w:t>
      </w:r>
      <w:r w:rsidRPr="003329F0">
        <w:t>pdate Report (PSUR) for the period 4 September 2014 to 3</w:t>
      </w:r>
      <w:r w:rsidR="000F2159">
        <w:t> </w:t>
      </w:r>
      <w:r w:rsidRPr="003329F0">
        <w:t>September 2015</w:t>
      </w:r>
      <w:r w:rsidR="000F2159">
        <w:t>.</w:t>
      </w:r>
    </w:p>
    <w:p w14:paraId="07F4C62C" w14:textId="26207ADC" w:rsidR="003329F0" w:rsidRPr="003329F0" w:rsidRDefault="000F2159" w:rsidP="003329F0">
      <w:pPr>
        <w:pStyle w:val="ListBullet"/>
      </w:pPr>
      <w:r>
        <w:t>The s</w:t>
      </w:r>
      <w:r w:rsidR="003329F0" w:rsidRPr="003329F0">
        <w:t>ponsor’s Clinical Overview, Summary of Clinical Efficacy, Summary of Clinical Safety, synopses of individual studies and literature references.</w:t>
      </w:r>
    </w:p>
    <w:p w14:paraId="07F4C62D" w14:textId="77777777" w:rsidR="00605AD4" w:rsidRDefault="00605AD4" w:rsidP="00605AD4">
      <w:pPr>
        <w:pStyle w:val="Heading4"/>
      </w:pPr>
      <w:r w:rsidRPr="00605AD4">
        <w:t>Paediatric data</w:t>
      </w:r>
    </w:p>
    <w:p w14:paraId="07F4C62E" w14:textId="77777777" w:rsidR="003329F0" w:rsidRPr="003329F0" w:rsidRDefault="003329F0" w:rsidP="003329F0">
      <w:r>
        <w:t>The submission did not include paediatric data.</w:t>
      </w:r>
    </w:p>
    <w:p w14:paraId="07F4C62F" w14:textId="77777777" w:rsidR="00605AD4" w:rsidRDefault="00605AD4" w:rsidP="00605AD4">
      <w:pPr>
        <w:pStyle w:val="Heading4"/>
      </w:pPr>
      <w:r w:rsidRPr="00605AD4">
        <w:t>Good clinical practice</w:t>
      </w:r>
    </w:p>
    <w:p w14:paraId="07F4C630" w14:textId="77777777" w:rsidR="003329F0" w:rsidRPr="003329F0" w:rsidRDefault="003329F0" w:rsidP="003329F0">
      <w:bookmarkStart w:id="48" w:name="_Toc241374282"/>
      <w:r>
        <w:t>Each of the clinical study reports states that Good Clinical Practice guidance was adhered to.</w:t>
      </w:r>
      <w:bookmarkEnd w:id="48"/>
    </w:p>
    <w:p w14:paraId="07F4C631" w14:textId="77777777" w:rsidR="008E7846" w:rsidRDefault="008E7846" w:rsidP="00605AD4">
      <w:pPr>
        <w:pStyle w:val="Heading3"/>
      </w:pPr>
      <w:bookmarkStart w:id="49" w:name="_Toc513458921"/>
      <w:r w:rsidRPr="00254787">
        <w:t>Pharmacokinetics</w:t>
      </w:r>
      <w:bookmarkEnd w:id="39"/>
      <w:bookmarkEnd w:id="45"/>
      <w:bookmarkEnd w:id="46"/>
      <w:bookmarkEnd w:id="47"/>
      <w:bookmarkEnd w:id="49"/>
    </w:p>
    <w:p w14:paraId="07F4C632" w14:textId="77777777" w:rsidR="00605AD4" w:rsidRDefault="00605AD4" w:rsidP="00605AD4">
      <w:pPr>
        <w:pStyle w:val="Heading4"/>
      </w:pPr>
      <w:r>
        <w:t>Studies</w:t>
      </w:r>
      <w:r w:rsidR="003329F0">
        <w:t xml:space="preserve"> providing pharmacokinetic data</w:t>
      </w:r>
    </w:p>
    <w:p w14:paraId="07F4C633" w14:textId="4716184C" w:rsidR="0031629A" w:rsidRDefault="001541A4" w:rsidP="0031629A">
      <w:pPr>
        <w:pStyle w:val="Heading5"/>
      </w:pPr>
      <w:r w:rsidRPr="00767CC3">
        <w:t>K</w:t>
      </w:r>
      <w:r w:rsidR="00D12ADF" w:rsidRPr="00767CC3">
        <w:t>EYNOTE</w:t>
      </w:r>
      <w:r w:rsidRPr="00767CC3">
        <w:t>-</w:t>
      </w:r>
      <w:r w:rsidR="00D12ADF">
        <w:t xml:space="preserve">001 (also referred to as </w:t>
      </w:r>
      <w:r w:rsidR="00D12ADF" w:rsidRPr="00767CC3">
        <w:t>Study P001V04</w:t>
      </w:r>
      <w:r w:rsidR="00D12ADF">
        <w:t>)</w:t>
      </w:r>
    </w:p>
    <w:p w14:paraId="07F4C634" w14:textId="3D8A3E71" w:rsidR="0031629A" w:rsidRPr="0031629A" w:rsidRDefault="000F2159" w:rsidP="0031629A">
      <w:r>
        <w:t xml:space="preserve">A </w:t>
      </w:r>
      <w:r w:rsidR="001541A4" w:rsidRPr="00767CC3">
        <w:t xml:space="preserve">Phase I </w:t>
      </w:r>
      <w:r>
        <w:t>s</w:t>
      </w:r>
      <w:r w:rsidR="001541A4" w:rsidRPr="00767CC3">
        <w:t xml:space="preserve">tudy of </w:t>
      </w:r>
      <w:r>
        <w:t>s</w:t>
      </w:r>
      <w:r w:rsidRPr="00767CC3">
        <w:t xml:space="preserve">ingle </w:t>
      </w:r>
      <w:r w:rsidR="001541A4" w:rsidRPr="00767CC3">
        <w:t>agent MK-3475</w:t>
      </w:r>
      <w:r w:rsidR="001C3222">
        <w:t xml:space="preserve"> (pembrolizumab)</w:t>
      </w:r>
      <w:r w:rsidR="001541A4" w:rsidRPr="00767CC3">
        <w:t xml:space="preserve"> in patients with progressive locally advanced or metastati</w:t>
      </w:r>
      <w:r w:rsidR="001541A4">
        <w:t xml:space="preserve">c carcinoma, melanoma, and </w:t>
      </w:r>
      <w:r>
        <w:t>NSCLC</w:t>
      </w:r>
      <w:r w:rsidR="001541A4" w:rsidRPr="00767CC3">
        <w:t>.</w:t>
      </w:r>
      <w:r w:rsidR="001541A4">
        <w:t xml:space="preserve"> </w:t>
      </w:r>
      <w:r w:rsidR="0031629A">
        <w:t>For the full details please see Attachment 2.</w:t>
      </w:r>
    </w:p>
    <w:p w14:paraId="07F4C635" w14:textId="77777777" w:rsidR="00605AD4" w:rsidRDefault="00605AD4" w:rsidP="00605AD4">
      <w:pPr>
        <w:pStyle w:val="Heading4"/>
      </w:pPr>
      <w:r>
        <w:t>Evaluator’s conclusions on pharmacokinetics</w:t>
      </w:r>
    </w:p>
    <w:p w14:paraId="07F4C636" w14:textId="43EBF02B" w:rsidR="001541A4" w:rsidRPr="00F5372F" w:rsidRDefault="001541A4" w:rsidP="001541A4">
      <w:r w:rsidRPr="00F5372F">
        <w:t>Pharmacokinetic data from K</w:t>
      </w:r>
      <w:r w:rsidR="00D12ADF" w:rsidRPr="00F5372F">
        <w:t>EYNOTE</w:t>
      </w:r>
      <w:r w:rsidRPr="00F5372F">
        <w:t>-001, and the updated population pharmacokinetic</w:t>
      </w:r>
      <w:r w:rsidR="00CE1B59">
        <w:t>s</w:t>
      </w:r>
      <w:r w:rsidRPr="00F5372F">
        <w:t xml:space="preserve"> model, demonstrate no substantial changes to the understanding of the pharmacokinetics of pembrolizumab from that described in the initial registration dossier.</w:t>
      </w:r>
    </w:p>
    <w:p w14:paraId="07F4C637" w14:textId="77777777" w:rsidR="001541A4" w:rsidRDefault="001541A4" w:rsidP="001541A4">
      <w:r w:rsidRPr="00F5372F">
        <w:t>There is no demonstrated effect of mild or moderate renal impairment or mild hepatic impairment on the pharmacokinetics of pembrolizumab, and thus no dose modifications are required for such patients</w:t>
      </w:r>
      <w:r>
        <w:t>.</w:t>
      </w:r>
    </w:p>
    <w:p w14:paraId="07F4C638" w14:textId="77777777" w:rsidR="001541A4" w:rsidRPr="00F5372F" w:rsidRDefault="001541A4" w:rsidP="001541A4">
      <w:r w:rsidRPr="00F5372F">
        <w:t xml:space="preserve">There is no data regarding the </w:t>
      </w:r>
      <w:r w:rsidR="00D12ADF">
        <w:t>pharmacokinetics</w:t>
      </w:r>
      <w:r w:rsidRPr="00F5372F">
        <w:t xml:space="preserve"> in patients with severe renal impairment or moderate or severe hepatic impairment.</w:t>
      </w:r>
    </w:p>
    <w:p w14:paraId="07F4C639" w14:textId="6CAE1150" w:rsidR="001541A4" w:rsidRPr="001541A4" w:rsidRDefault="001541A4" w:rsidP="001541A4">
      <w:r w:rsidRPr="00F5372F">
        <w:t xml:space="preserve">There are updates to the product information </w:t>
      </w:r>
      <w:r w:rsidR="008141D3">
        <w:t xml:space="preserve">pharmacokinetic </w:t>
      </w:r>
      <w:r w:rsidRPr="00F5372F">
        <w:t>values of volume of distribution (</w:t>
      </w:r>
      <w:r>
        <w:t>and</w:t>
      </w:r>
      <w:r w:rsidRPr="00F5372F">
        <w:t xml:space="preserve"> </w:t>
      </w:r>
      <w:r w:rsidR="008141D3" w:rsidRPr="00AB5089">
        <w:t>coefficient of variation</w:t>
      </w:r>
      <w:r w:rsidR="008141D3" w:rsidRPr="00F5372F">
        <w:t xml:space="preserve"> </w:t>
      </w:r>
      <w:r w:rsidR="008141D3">
        <w:t>(</w:t>
      </w:r>
      <w:r w:rsidRPr="00F5372F">
        <w:t>CV</w:t>
      </w:r>
      <w:r w:rsidR="008141D3">
        <w:t>)</w:t>
      </w:r>
      <w:r w:rsidRPr="00F5372F">
        <w:t xml:space="preserve">), plasma terminal </w:t>
      </w:r>
      <w:r w:rsidR="001C271E" w:rsidRPr="00F5372F">
        <w:t>half</w:t>
      </w:r>
      <w:r w:rsidR="001C271E">
        <w:t>-</w:t>
      </w:r>
      <w:r w:rsidR="001C271E" w:rsidRPr="00F5372F">
        <w:t>life</w:t>
      </w:r>
      <w:r w:rsidRPr="00F5372F">
        <w:t xml:space="preserve"> (</w:t>
      </w:r>
      <w:r>
        <w:t>and</w:t>
      </w:r>
      <w:r w:rsidRPr="00F5372F">
        <w:t xml:space="preserve"> CV), time to steady state, </w:t>
      </w:r>
      <w:r w:rsidR="002D1E8D">
        <w:t>minimum plasma concentration</w:t>
      </w:r>
      <w:r w:rsidR="002D1E8D" w:rsidRPr="00F5372F">
        <w:t xml:space="preserve"> </w:t>
      </w:r>
      <w:r w:rsidR="002D1E8D">
        <w:t>(</w:t>
      </w:r>
      <w:proofErr w:type="spellStart"/>
      <w:r w:rsidRPr="00F5372F">
        <w:t>C</w:t>
      </w:r>
      <w:r w:rsidRPr="00D53B25">
        <w:rPr>
          <w:vertAlign w:val="subscript"/>
        </w:rPr>
        <w:t>min</w:t>
      </w:r>
      <w:proofErr w:type="spellEnd"/>
      <w:r w:rsidR="002D1E8D">
        <w:t>)</w:t>
      </w:r>
      <w:r w:rsidRPr="00F5372F">
        <w:t xml:space="preserve">, for the dosing regimen of 2 mg/kg </w:t>
      </w:r>
      <w:r w:rsidR="008141D3">
        <w:t>e</w:t>
      </w:r>
      <w:r w:rsidR="008141D3" w:rsidRPr="000941D5">
        <w:t>very 3 weeks</w:t>
      </w:r>
      <w:r w:rsidR="008141D3" w:rsidRPr="00F5372F">
        <w:t xml:space="preserve"> </w:t>
      </w:r>
      <w:r w:rsidR="008141D3">
        <w:t>(</w:t>
      </w:r>
      <w:r w:rsidRPr="00F5372F">
        <w:t>Q3W</w:t>
      </w:r>
      <w:r w:rsidR="008141D3">
        <w:t>)</w:t>
      </w:r>
      <w:r w:rsidRPr="00F5372F">
        <w:t xml:space="preserve"> across indications. These updates are considered satisfactory.</w:t>
      </w:r>
    </w:p>
    <w:p w14:paraId="07F4C63A" w14:textId="77777777" w:rsidR="008E7846" w:rsidRDefault="008E7846" w:rsidP="008E7846">
      <w:pPr>
        <w:pStyle w:val="Heading3"/>
      </w:pPr>
      <w:bookmarkStart w:id="50" w:name="_Toc196046481"/>
      <w:bookmarkStart w:id="51" w:name="_Toc247691520"/>
      <w:bookmarkStart w:id="52" w:name="_Toc314842503"/>
      <w:bookmarkStart w:id="53" w:name="_Toc513458922"/>
      <w:r w:rsidRPr="00254787">
        <w:t>Pharmacodynamics</w:t>
      </w:r>
      <w:bookmarkEnd w:id="40"/>
      <w:bookmarkEnd w:id="50"/>
      <w:bookmarkEnd w:id="51"/>
      <w:bookmarkEnd w:id="52"/>
      <w:bookmarkEnd w:id="53"/>
    </w:p>
    <w:p w14:paraId="07F4C63B" w14:textId="77777777" w:rsidR="00605AD4" w:rsidRDefault="00605AD4" w:rsidP="00605AD4">
      <w:pPr>
        <w:pStyle w:val="Heading4"/>
      </w:pPr>
      <w:r>
        <w:t>Studies providing pharmacodynamic data</w:t>
      </w:r>
    </w:p>
    <w:p w14:paraId="07F4C63C" w14:textId="77777777" w:rsidR="001541A4" w:rsidRPr="001541A4" w:rsidRDefault="001541A4" w:rsidP="001541A4">
      <w:r>
        <w:t>No separate studies of pharmacodynamics were presented for evaluation.</w:t>
      </w:r>
    </w:p>
    <w:p w14:paraId="07F4C63D" w14:textId="77777777" w:rsidR="008E7846" w:rsidRDefault="00605AD4" w:rsidP="00605AD4">
      <w:pPr>
        <w:pStyle w:val="Heading3"/>
      </w:pPr>
      <w:bookmarkStart w:id="54" w:name="_Toc513458923"/>
      <w:r>
        <w:lastRenderedPageBreak/>
        <w:t>Dosage selection for the pivotal studies</w:t>
      </w:r>
      <w:bookmarkEnd w:id="54"/>
    </w:p>
    <w:p w14:paraId="07F4C63E" w14:textId="46740EF1" w:rsidR="001541A4" w:rsidRPr="001541A4" w:rsidRDefault="001541A4" w:rsidP="001541A4">
      <w:r>
        <w:rPr>
          <w:lang w:eastAsia="ja-JP"/>
        </w:rPr>
        <w:t xml:space="preserve">Data from </w:t>
      </w:r>
      <w:r w:rsidR="00A70986">
        <w:rPr>
          <w:lang w:eastAsia="ja-JP"/>
        </w:rPr>
        <w:t xml:space="preserve">the </w:t>
      </w:r>
      <w:r w:rsidR="00D12ADF" w:rsidRPr="00767CC3">
        <w:t>KEYNOTE-</w:t>
      </w:r>
      <w:r w:rsidR="00D12ADF">
        <w:t>001</w:t>
      </w:r>
      <w:r w:rsidRPr="007E7144">
        <w:rPr>
          <w:lang w:eastAsia="ja-JP"/>
        </w:rPr>
        <w:t xml:space="preserve"> </w:t>
      </w:r>
      <w:r w:rsidR="00A70986">
        <w:rPr>
          <w:lang w:eastAsia="ja-JP"/>
        </w:rPr>
        <w:t xml:space="preserve">trial </w:t>
      </w:r>
      <w:r w:rsidRPr="007E7144">
        <w:rPr>
          <w:lang w:eastAsia="ja-JP"/>
        </w:rPr>
        <w:t>informed the dose selection of pe</w:t>
      </w:r>
      <w:r>
        <w:rPr>
          <w:lang w:eastAsia="ja-JP"/>
        </w:rPr>
        <w:t xml:space="preserve">mbrolizumab for </w:t>
      </w:r>
      <w:r w:rsidR="00E06B28">
        <w:rPr>
          <w:lang w:eastAsia="ja-JP"/>
        </w:rPr>
        <w:t>Study</w:t>
      </w:r>
      <w:r w:rsidR="00D12ADF">
        <w:rPr>
          <w:lang w:eastAsia="ja-JP"/>
        </w:rPr>
        <w:t xml:space="preserve"> </w:t>
      </w:r>
      <w:r w:rsidR="00D12ADF">
        <w:t>KEYNOTE-010</w:t>
      </w:r>
      <w:r w:rsidR="008141D3">
        <w:t xml:space="preserve"> (also referred to as </w:t>
      </w:r>
      <w:r w:rsidR="008141D3" w:rsidRPr="00CC79E6">
        <w:t xml:space="preserve">Study </w:t>
      </w:r>
      <w:r w:rsidR="008141D3">
        <w:t>P010V01)</w:t>
      </w:r>
      <w:r>
        <w:rPr>
          <w:lang w:eastAsia="ja-JP"/>
        </w:rPr>
        <w:t xml:space="preserve">; </w:t>
      </w:r>
      <w:r w:rsidRPr="007E7144">
        <w:rPr>
          <w:lang w:eastAsia="ja-JP"/>
        </w:rPr>
        <w:t xml:space="preserve">a </w:t>
      </w:r>
      <w:r>
        <w:rPr>
          <w:lang w:eastAsia="ja-JP"/>
        </w:rPr>
        <w:t>Phase</w:t>
      </w:r>
      <w:r w:rsidRPr="007E7144">
        <w:rPr>
          <w:lang w:eastAsia="ja-JP"/>
        </w:rPr>
        <w:t xml:space="preserve"> II/III study of either 2 mg/kg Q3W or 10 mg/kg Q3W</w:t>
      </w:r>
      <w:r>
        <w:rPr>
          <w:lang w:eastAsia="ja-JP"/>
        </w:rPr>
        <w:t xml:space="preserve"> Pembrolizumab versus Docetaxel 75 mg/</w:t>
      </w:r>
      <w:r w:rsidR="00441A46" w:rsidRPr="00441A46">
        <w:t>m</w:t>
      </w:r>
      <w:r w:rsidR="00441A46" w:rsidRPr="00441A46">
        <w:rPr>
          <w:vertAlign w:val="superscript"/>
        </w:rPr>
        <w:t>2</w:t>
      </w:r>
      <w:r>
        <w:rPr>
          <w:lang w:eastAsia="ja-JP"/>
        </w:rPr>
        <w:t xml:space="preserve"> Q3W.</w:t>
      </w:r>
    </w:p>
    <w:p w14:paraId="07F4C63F" w14:textId="77777777" w:rsidR="008E7846" w:rsidRPr="00254787" w:rsidRDefault="008E7846" w:rsidP="008E7846">
      <w:pPr>
        <w:pStyle w:val="Heading3"/>
      </w:pPr>
      <w:bookmarkStart w:id="55" w:name="_Toc163441372"/>
      <w:bookmarkStart w:id="56" w:name="_Toc196046485"/>
      <w:bookmarkStart w:id="57" w:name="_Toc247691521"/>
      <w:bookmarkStart w:id="58" w:name="_Toc314842504"/>
      <w:bookmarkStart w:id="59" w:name="_Toc513458924"/>
      <w:r w:rsidRPr="00254787">
        <w:t>Efficacy</w:t>
      </w:r>
      <w:bookmarkEnd w:id="55"/>
      <w:bookmarkEnd w:id="56"/>
      <w:bookmarkEnd w:id="57"/>
      <w:bookmarkEnd w:id="58"/>
      <w:bookmarkEnd w:id="59"/>
    </w:p>
    <w:p w14:paraId="07F4C640" w14:textId="77777777" w:rsidR="00605AD4" w:rsidRDefault="00605AD4" w:rsidP="00605AD4">
      <w:pPr>
        <w:pStyle w:val="Heading4"/>
      </w:pPr>
      <w:bookmarkStart w:id="60" w:name="_Toc184439992"/>
      <w:bookmarkStart w:id="61" w:name="_Toc184440279"/>
      <w:bookmarkStart w:id="62" w:name="_Toc184444657"/>
      <w:bookmarkStart w:id="63" w:name="_Toc196046487"/>
      <w:r>
        <w:t>Studies providing efficacy data</w:t>
      </w:r>
    </w:p>
    <w:p w14:paraId="07F4C641" w14:textId="3F57958E" w:rsidR="001541A4" w:rsidRDefault="001541A4" w:rsidP="001541A4">
      <w:pPr>
        <w:pStyle w:val="Heading5"/>
      </w:pPr>
      <w:bookmarkStart w:id="64" w:name="_Ref243301615"/>
      <w:bookmarkStart w:id="65" w:name="_Ref271040927"/>
      <w:bookmarkStart w:id="66" w:name="_Ref271040932"/>
      <w:bookmarkStart w:id="67" w:name="_Toc272414653"/>
      <w:bookmarkStart w:id="68" w:name="_Toc290846275"/>
      <w:bookmarkStart w:id="69" w:name="_Toc453755698"/>
      <w:r>
        <w:t xml:space="preserve">Pivotal study; </w:t>
      </w:r>
      <w:bookmarkEnd w:id="64"/>
      <w:bookmarkEnd w:id="65"/>
      <w:bookmarkEnd w:id="66"/>
      <w:bookmarkEnd w:id="67"/>
      <w:bookmarkEnd w:id="68"/>
      <w:r>
        <w:t>K</w:t>
      </w:r>
      <w:r w:rsidR="00D12ADF" w:rsidRPr="00CC79E6">
        <w:t>EYNOTE</w:t>
      </w:r>
      <w:r w:rsidRPr="00CC79E6">
        <w:t>-010</w:t>
      </w:r>
      <w:bookmarkEnd w:id="69"/>
    </w:p>
    <w:p w14:paraId="07F4C642" w14:textId="5E386AA3" w:rsidR="001541A4" w:rsidRDefault="001541A4" w:rsidP="001541A4">
      <w:r w:rsidRPr="00CC79E6">
        <w:t xml:space="preserve">This was an </w:t>
      </w:r>
      <w:r>
        <w:t>open label</w:t>
      </w:r>
      <w:r w:rsidRPr="00CC79E6">
        <w:t xml:space="preserve"> Phase </w:t>
      </w:r>
      <w:r>
        <w:t>II/III</w:t>
      </w:r>
      <w:r w:rsidRPr="00CC79E6">
        <w:t xml:space="preserve"> trial of intravenous (IV) pembrolizumab at two dosing schedules (2 mg/kg and 10 mg/kg) versus docetaxel in subjects with NSCLC with PD-L1 positive tumours who had experienced disease progression after </w:t>
      </w:r>
      <w:r>
        <w:t>platinum containing</w:t>
      </w:r>
      <w:r w:rsidRPr="00CC79E6">
        <w:t xml:space="preserve"> systemic therapy.</w:t>
      </w:r>
    </w:p>
    <w:p w14:paraId="07F4C643" w14:textId="4A005697" w:rsidR="001541A4" w:rsidRDefault="001541A4" w:rsidP="001541A4">
      <w:pPr>
        <w:pStyle w:val="Heading5"/>
      </w:pPr>
      <w:bookmarkStart w:id="70" w:name="_Toc290846276"/>
      <w:bookmarkStart w:id="71" w:name="_Toc453755699"/>
      <w:r w:rsidRPr="009A78B0">
        <w:t xml:space="preserve">Supportive </w:t>
      </w:r>
      <w:bookmarkEnd w:id="70"/>
      <w:r w:rsidR="00D12ADF">
        <w:t xml:space="preserve">study </w:t>
      </w:r>
      <w:r w:rsidR="00D12ADF" w:rsidRPr="009A78B0">
        <w:t>KEYNOTE</w:t>
      </w:r>
      <w:r w:rsidRPr="009A78B0">
        <w:t>-00</w:t>
      </w:r>
      <w:bookmarkEnd w:id="71"/>
      <w:r w:rsidR="00D12ADF">
        <w:t>1</w:t>
      </w:r>
    </w:p>
    <w:p w14:paraId="07F4C644" w14:textId="77777777" w:rsidR="001541A4" w:rsidRDefault="001541A4" w:rsidP="001541A4">
      <w:r w:rsidRPr="009A78B0">
        <w:t xml:space="preserve">This was a multicentre, </w:t>
      </w:r>
      <w:r>
        <w:t>open label</w:t>
      </w:r>
      <w:r w:rsidRPr="009A78B0">
        <w:t xml:space="preserve">, </w:t>
      </w:r>
      <w:r>
        <w:t>Phase</w:t>
      </w:r>
      <w:r w:rsidRPr="009A78B0">
        <w:t xml:space="preserve"> I study of pembrolizumab monotherapy in patients with locally advanced or metastatic carcinoma, melanoma and non-small cell lung cancer.</w:t>
      </w:r>
    </w:p>
    <w:p w14:paraId="07F4C645" w14:textId="77777777" w:rsidR="001541A4" w:rsidRPr="009A78B0" w:rsidRDefault="001541A4" w:rsidP="001541A4">
      <w:pPr>
        <w:pStyle w:val="Heading5"/>
      </w:pPr>
      <w:bookmarkStart w:id="72" w:name="_Toc241374312"/>
      <w:bookmarkStart w:id="73" w:name="_Toc272414656"/>
      <w:bookmarkStart w:id="74" w:name="_Toc290846281"/>
      <w:bookmarkStart w:id="75" w:name="_Toc453755700"/>
      <w:bookmarkStart w:id="76" w:name="_Toc504482892"/>
      <w:r w:rsidRPr="009439B4">
        <w:t>Analyses performed across trials (pooled analyses and meta-analyses)</w:t>
      </w:r>
      <w:bookmarkEnd w:id="72"/>
      <w:bookmarkEnd w:id="73"/>
      <w:bookmarkEnd w:id="74"/>
      <w:bookmarkEnd w:id="75"/>
      <w:bookmarkEnd w:id="76"/>
    </w:p>
    <w:p w14:paraId="07F4C646" w14:textId="77777777" w:rsidR="001541A4" w:rsidRPr="009439B4" w:rsidRDefault="001541A4" w:rsidP="001541A4">
      <w:r w:rsidRPr="009439B4">
        <w:t>A population pharmacokinetic analysis was performed for this submission, based upon a model compiled for the dossier for initial registration</w:t>
      </w:r>
      <w:r>
        <w:t>.</w:t>
      </w:r>
    </w:p>
    <w:p w14:paraId="07F4C647" w14:textId="77777777" w:rsidR="001541A4" w:rsidRPr="001541A4" w:rsidRDefault="001541A4" w:rsidP="001541A4">
      <w:r>
        <w:t>For the full details of the evaluation please see Attachment 2.</w:t>
      </w:r>
    </w:p>
    <w:p w14:paraId="07F4C648" w14:textId="77777777" w:rsidR="008E7846" w:rsidRDefault="00605AD4" w:rsidP="00605AD4">
      <w:pPr>
        <w:pStyle w:val="Heading4"/>
      </w:pPr>
      <w:r>
        <w:t>Evaluator’s conclusions on efficacy</w:t>
      </w:r>
    </w:p>
    <w:p w14:paraId="07F4C649" w14:textId="0A06B181" w:rsidR="001541A4" w:rsidRPr="008F0542" w:rsidRDefault="001541A4" w:rsidP="00D12ADF">
      <w:pPr>
        <w:pStyle w:val="Heading5"/>
      </w:pPr>
      <w:r w:rsidRPr="008F0542">
        <w:t>Conclusions on clinical efficacy of pembrolizumab for the treatment of non-small cell lung cancer.</w:t>
      </w:r>
    </w:p>
    <w:p w14:paraId="07F4C64A" w14:textId="270FF299" w:rsidR="001541A4" w:rsidRPr="00B9394D" w:rsidRDefault="001541A4" w:rsidP="001541A4">
      <w:r w:rsidRPr="00B9394D">
        <w:t xml:space="preserve">The efficacy outcomes for patients with a </w:t>
      </w:r>
      <w:r w:rsidR="008141D3">
        <w:t>tumour proportion score (TPS)</w:t>
      </w:r>
      <w:r>
        <w:t xml:space="preserve"> </w:t>
      </w:r>
      <w:r w:rsidR="0046163D">
        <w:t>≥</w:t>
      </w:r>
      <w:r w:rsidR="00170F49">
        <w:t xml:space="preserve"> </w:t>
      </w:r>
      <w:r w:rsidRPr="00B9394D">
        <w:t xml:space="preserve">1% presented in </w:t>
      </w:r>
      <w:r w:rsidR="00D12ADF" w:rsidRPr="00B9394D">
        <w:t>KEYNOTE</w:t>
      </w:r>
      <w:r w:rsidRPr="00B9394D">
        <w:t>-010 do not satisfactorily represent the observed differences in efficacy for patients dichotomised above, and below, a TPS score of 50%. For an individual patient, it has to be considered whether their potential outcome would be best represented by the population stratified at a TPS above and below 50%, or by the amalgamated population with a TPS</w:t>
      </w:r>
      <w:r>
        <w:t xml:space="preserve"> </w:t>
      </w:r>
      <w:r w:rsidR="0046163D">
        <w:t>≥</w:t>
      </w:r>
      <w:r w:rsidR="00D07D50">
        <w:t> </w:t>
      </w:r>
      <w:r w:rsidRPr="00B9394D">
        <w:t xml:space="preserve">1%. Owing to the substantial differences between them, and in order for clinicians to satisfactorily obtain informed consent </w:t>
      </w:r>
      <w:r w:rsidR="00FD79B9">
        <w:t>from</w:t>
      </w:r>
      <w:r w:rsidR="00FD79B9" w:rsidRPr="00B9394D">
        <w:t xml:space="preserve"> </w:t>
      </w:r>
      <w:r w:rsidRPr="00B9394D">
        <w:t>individual patients, the evaluator considers the outcomes to be best represented by the populations dichotomised at a TPS of 50%.</w:t>
      </w:r>
    </w:p>
    <w:p w14:paraId="07F4C64B" w14:textId="0F278121" w:rsidR="001541A4" w:rsidRPr="00B9394D" w:rsidRDefault="001541A4" w:rsidP="001541A4">
      <w:r w:rsidRPr="00B9394D">
        <w:t xml:space="preserve">The conclusions on clinical efficacy of pembrolizumab from </w:t>
      </w:r>
      <w:r w:rsidR="00D12ADF">
        <w:t>KEYNOTE</w:t>
      </w:r>
      <w:r w:rsidRPr="00B9394D">
        <w:t xml:space="preserve">-010 (supported by a similar approach to </w:t>
      </w:r>
      <w:r w:rsidR="00D12ADF">
        <w:t>KEYNOTE</w:t>
      </w:r>
      <w:r w:rsidRPr="00B9394D">
        <w:t>-001) are thus described according to the two strata of TPS</w:t>
      </w:r>
      <w:r w:rsidR="001C3222">
        <w:t> </w:t>
      </w:r>
      <w:r w:rsidR="0046163D">
        <w:t>≥</w:t>
      </w:r>
      <w:r w:rsidR="00170F49">
        <w:t xml:space="preserve"> </w:t>
      </w:r>
      <w:r w:rsidRPr="00B9394D">
        <w:t>50% and TPS</w:t>
      </w:r>
      <w:r>
        <w:t xml:space="preserve"> </w:t>
      </w:r>
      <w:r w:rsidR="0046163D">
        <w:t>≥</w:t>
      </w:r>
      <w:r w:rsidR="00170F49">
        <w:t xml:space="preserve"> </w:t>
      </w:r>
      <w:r w:rsidRPr="00B9394D">
        <w:t xml:space="preserve">1 to </w:t>
      </w:r>
      <w:r>
        <w:t xml:space="preserve">&lt; </w:t>
      </w:r>
      <w:r w:rsidRPr="00B9394D">
        <w:t>50%.</w:t>
      </w:r>
    </w:p>
    <w:p w14:paraId="07F4C64C" w14:textId="77777777" w:rsidR="001541A4" w:rsidRPr="008F0542" w:rsidRDefault="001541A4" w:rsidP="008F0542">
      <w:pPr>
        <w:pStyle w:val="Heading5"/>
      </w:pPr>
      <w:r w:rsidRPr="008F0542">
        <w:t xml:space="preserve">Has evidence of efficacy benefit in patients with a TPS </w:t>
      </w:r>
      <w:r w:rsidR="0046163D">
        <w:t>≥</w:t>
      </w:r>
      <w:r w:rsidR="00170F49">
        <w:t xml:space="preserve"> </w:t>
      </w:r>
      <w:r w:rsidRPr="008F0542">
        <w:t>50% treated with pembrolizumab at the proposed dose of 2 mg/kg Q3W been satisfactorily demonstrated?</w:t>
      </w:r>
    </w:p>
    <w:p w14:paraId="07F4C64D" w14:textId="79918682" w:rsidR="001541A4" w:rsidRPr="00B9394D" w:rsidRDefault="001541A4" w:rsidP="001541A4">
      <w:r w:rsidRPr="00B9394D">
        <w:t xml:space="preserve">From the pivotal </w:t>
      </w:r>
      <w:r w:rsidR="00E06B28">
        <w:t>Study</w:t>
      </w:r>
      <w:r w:rsidRPr="00B9394D">
        <w:t xml:space="preserve"> </w:t>
      </w:r>
      <w:r w:rsidR="00D12ADF">
        <w:t>KEYNOTE</w:t>
      </w:r>
      <w:r w:rsidRPr="00B9394D">
        <w:t>-010, the sponsor has satisfactorily demonstrated superior efficacy of pembrolizumab 2 mg/kg Q3W over docetaxel 75 mg/</w:t>
      </w:r>
      <w:r w:rsidR="00441A46" w:rsidRPr="00441A46">
        <w:t>m</w:t>
      </w:r>
      <w:r w:rsidR="00441A46" w:rsidRPr="00441A46">
        <w:rPr>
          <w:vertAlign w:val="superscript"/>
        </w:rPr>
        <w:t>2</w:t>
      </w:r>
      <w:r w:rsidRPr="00B9394D">
        <w:t xml:space="preserve"> Q3W in patients with a TPS</w:t>
      </w:r>
      <w:r>
        <w:t> </w:t>
      </w:r>
      <w:r w:rsidR="0046163D">
        <w:t>≥</w:t>
      </w:r>
      <w:r w:rsidR="00170F49">
        <w:t xml:space="preserve"> </w:t>
      </w:r>
      <w:r w:rsidRPr="00B9394D">
        <w:t>50%. Evidence of benefit has been observed across multiple efficacy measures:</w:t>
      </w:r>
    </w:p>
    <w:p w14:paraId="07F4C64E" w14:textId="23092D68" w:rsidR="001541A4" w:rsidRPr="008F0542" w:rsidRDefault="001541A4" w:rsidP="008F0542">
      <w:pPr>
        <w:pStyle w:val="Numberbullet0"/>
      </w:pPr>
      <w:r w:rsidRPr="008F0542">
        <w:lastRenderedPageBreak/>
        <w:t>The difference in duration of median overall survival</w:t>
      </w:r>
      <w:r w:rsidR="008141D3">
        <w:t xml:space="preserve"> (OS)</w:t>
      </w:r>
      <w:r w:rsidRPr="008F0542">
        <w:t xml:space="preserve"> was 6.7 months, which is clinically significant. The OS hazard ratio</w:t>
      </w:r>
      <w:r w:rsidR="001C088E">
        <w:t xml:space="preserve"> (HR)</w:t>
      </w:r>
      <w:r w:rsidRPr="008F0542">
        <w:t xml:space="preserve"> was statistically significant 0.54 </w:t>
      </w:r>
      <w:r w:rsidR="008141D3">
        <w:t>(95%</w:t>
      </w:r>
      <w:r w:rsidR="00D07D50">
        <w:t> </w:t>
      </w:r>
      <w:r w:rsidR="002D1E8D">
        <w:t>confidence interval (</w:t>
      </w:r>
      <w:r w:rsidR="008141D3">
        <w:t>CI</w:t>
      </w:r>
      <w:r w:rsidR="002D1E8D">
        <w:t>)</w:t>
      </w:r>
      <w:r w:rsidR="008141D3">
        <w:t xml:space="preserve">: 0.38, 0.77) with a one </w:t>
      </w:r>
      <w:r w:rsidRPr="008F0542">
        <w:t>sided p</w:t>
      </w:r>
      <w:r w:rsidR="00D07D50">
        <w:t>-</w:t>
      </w:r>
      <w:r w:rsidRPr="008F0542">
        <w:t>value of 0.00024.</w:t>
      </w:r>
    </w:p>
    <w:p w14:paraId="07F4C64F" w14:textId="321FAAE0" w:rsidR="001541A4" w:rsidRPr="008F0542" w:rsidRDefault="001541A4" w:rsidP="008F0542">
      <w:pPr>
        <w:pStyle w:val="Numberbullet0"/>
      </w:pPr>
      <w:r w:rsidRPr="008F0542">
        <w:t>An exploratory analysis of overall survival according to patient characterist</w:t>
      </w:r>
      <w:r w:rsidR="008141D3">
        <w:t>ics did not demonstrate any sub</w:t>
      </w:r>
      <w:r w:rsidRPr="008F0542">
        <w:t>groups that might not be expected to obtain an efficacy benefit. In particular, there was not a substantial difference between</w:t>
      </w:r>
      <w:r w:rsidR="009F652B">
        <w:t xml:space="preserve"> NSCLC</w:t>
      </w:r>
      <w:r w:rsidRPr="008F0542">
        <w:t xml:space="preserve"> tumour histologies.</w:t>
      </w:r>
    </w:p>
    <w:p w14:paraId="07F4C650" w14:textId="109C9239" w:rsidR="001541A4" w:rsidRPr="008F0542" w:rsidRDefault="001541A4" w:rsidP="008F0542">
      <w:pPr>
        <w:pStyle w:val="Numberbullet0"/>
      </w:pPr>
      <w:r w:rsidRPr="008F0542">
        <w:t>The difference in duration of median progression free survival</w:t>
      </w:r>
      <w:r w:rsidR="008141D3">
        <w:t xml:space="preserve"> (PFS)</w:t>
      </w:r>
      <w:r w:rsidRPr="008F0542">
        <w:t xml:space="preserve"> was 1.1 months, with an estimate of HR for PFS of 0.58 </w:t>
      </w:r>
      <w:r w:rsidR="008141D3">
        <w:t>(95% CI: 0.43, 0.77) with a one sided p</w:t>
      </w:r>
      <w:r w:rsidR="001C088E">
        <w:t>-</w:t>
      </w:r>
      <w:r w:rsidRPr="008F0542">
        <w:t>value of 0.00009.</w:t>
      </w:r>
    </w:p>
    <w:p w14:paraId="07F4C651" w14:textId="2078A99B" w:rsidR="001541A4" w:rsidRPr="008F0542" w:rsidRDefault="001541A4" w:rsidP="008F0542">
      <w:pPr>
        <w:pStyle w:val="Numberbullet0"/>
      </w:pPr>
      <w:r w:rsidRPr="008F0542">
        <w:t>The overall response rate was higher for patients treated with pembrolizumab 2</w:t>
      </w:r>
      <w:r w:rsidR="001C088E">
        <w:t> </w:t>
      </w:r>
      <w:r w:rsidRPr="008F0542">
        <w:t>mg/kg as compared to docetaxel. However</w:t>
      </w:r>
      <w:r w:rsidR="009F652B">
        <w:t>,</w:t>
      </w:r>
      <w:r w:rsidRPr="008F0542">
        <w:t xml:space="preserve"> it is noted that no patients in any treatment group achieved a best overall response of complete response.</w:t>
      </w:r>
    </w:p>
    <w:p w14:paraId="07F4C652" w14:textId="77777777" w:rsidR="001541A4" w:rsidRPr="008F0542" w:rsidRDefault="001541A4" w:rsidP="008F0542">
      <w:pPr>
        <w:pStyle w:val="Numberbullet0"/>
      </w:pPr>
      <w:r w:rsidRPr="008F0542">
        <w:t>For this patient population, the number needed to treat in order to achieve one additional event of partial response is 5.</w:t>
      </w:r>
    </w:p>
    <w:p w14:paraId="07F4C653" w14:textId="77777777" w:rsidR="001541A4" w:rsidRPr="008F0542" w:rsidRDefault="001541A4" w:rsidP="008F0542">
      <w:pPr>
        <w:pStyle w:val="Numberbullet0"/>
      </w:pPr>
      <w:r w:rsidRPr="008F0542">
        <w:t>The risk of disease progression was lower for patients who received pembrolizumab.</w:t>
      </w:r>
    </w:p>
    <w:p w14:paraId="07F4C654" w14:textId="5E44F5C7" w:rsidR="001541A4" w:rsidRPr="008F0542" w:rsidRDefault="001541A4" w:rsidP="008F0542">
      <w:pPr>
        <w:pStyle w:val="Numberbullet0"/>
      </w:pPr>
      <w:r w:rsidRPr="008F0542">
        <w:t xml:space="preserve">The median duration of response </w:t>
      </w:r>
      <w:r w:rsidR="00A603C8">
        <w:t>(</w:t>
      </w:r>
      <w:proofErr w:type="spellStart"/>
      <w:r w:rsidR="00A603C8">
        <w:t>DoR</w:t>
      </w:r>
      <w:proofErr w:type="spellEnd"/>
      <w:r w:rsidR="00A603C8">
        <w:t xml:space="preserve">) </w:t>
      </w:r>
      <w:r w:rsidRPr="008F0542">
        <w:t>was not reached in the pembrolizumab arm.</w:t>
      </w:r>
    </w:p>
    <w:p w14:paraId="07F4C655" w14:textId="77777777" w:rsidR="001541A4" w:rsidRPr="00B9394D" w:rsidRDefault="001541A4" w:rsidP="008F0542">
      <w:pPr>
        <w:pStyle w:val="Heading5"/>
      </w:pPr>
      <w:r w:rsidRPr="00B9394D">
        <w:t>Has evidence of efficacy benefit in patients with a TPS</w:t>
      </w:r>
      <w:r>
        <w:t xml:space="preserve"> </w:t>
      </w:r>
      <w:r w:rsidR="0046163D">
        <w:t>≥</w:t>
      </w:r>
      <w:r w:rsidR="00170F49">
        <w:t xml:space="preserve"> </w:t>
      </w:r>
      <w:r w:rsidRPr="00B9394D">
        <w:t xml:space="preserve">1 to </w:t>
      </w:r>
      <w:r>
        <w:t xml:space="preserve">&lt; </w:t>
      </w:r>
      <w:r w:rsidRPr="00B9394D">
        <w:t>50% treated with pembrolizumab at the proposed dose of 2 mg/kg Q3W been satisfactorily demonstrated?</w:t>
      </w:r>
    </w:p>
    <w:p w14:paraId="07F4C656" w14:textId="61A23C58" w:rsidR="001541A4" w:rsidRDefault="001541A4" w:rsidP="001541A4">
      <w:r w:rsidRPr="00B9394D">
        <w:t xml:space="preserve">From the pivotal </w:t>
      </w:r>
      <w:r w:rsidR="00E06B28">
        <w:t>Study</w:t>
      </w:r>
      <w:r w:rsidRPr="00B9394D">
        <w:t xml:space="preserve">, </w:t>
      </w:r>
      <w:r w:rsidR="00D12ADF">
        <w:t>KEYNOTE</w:t>
      </w:r>
      <w:r w:rsidRPr="00B9394D">
        <w:t>-010, the sponsor has not satisfactorily demonstrated superior efficacy of pembrolizumab 2 mg/kg Q3W over docetaxel 75 mg/</w:t>
      </w:r>
      <w:r w:rsidR="00441A46" w:rsidRPr="00441A46">
        <w:t>m</w:t>
      </w:r>
      <w:r w:rsidR="00441A46" w:rsidRPr="00441A46">
        <w:rPr>
          <w:vertAlign w:val="superscript"/>
        </w:rPr>
        <w:t>2</w:t>
      </w:r>
      <w:r w:rsidRPr="00B9394D">
        <w:t xml:space="preserve"> Q3W in patients with a TPS</w:t>
      </w:r>
      <w:r>
        <w:t> </w:t>
      </w:r>
      <w:r w:rsidR="0046163D">
        <w:t>≥</w:t>
      </w:r>
      <w:r w:rsidR="00170F49">
        <w:t xml:space="preserve"> </w:t>
      </w:r>
      <w:r w:rsidRPr="00B9394D">
        <w:t xml:space="preserve">1 to </w:t>
      </w:r>
      <w:r>
        <w:t xml:space="preserve">&lt; </w:t>
      </w:r>
      <w:r w:rsidRPr="00B9394D">
        <w:t>50%</w:t>
      </w:r>
      <w:r>
        <w:t>.</w:t>
      </w:r>
    </w:p>
    <w:p w14:paraId="07F4C657" w14:textId="77777777" w:rsidR="001541A4" w:rsidRPr="00B9394D" w:rsidRDefault="001541A4" w:rsidP="001541A4">
      <w:r w:rsidRPr="00B9394D">
        <w:t>Evidence of a lack of superiority over docetaxel has been observed across multiple efficacy measures, which is preclusive to registering pembrolizumab for the proposed use:</w:t>
      </w:r>
    </w:p>
    <w:p w14:paraId="07F4C658" w14:textId="0425920E" w:rsidR="001541A4" w:rsidRPr="008F0542" w:rsidRDefault="001541A4" w:rsidP="00CB0ECA">
      <w:pPr>
        <w:pStyle w:val="Numberbullet0"/>
        <w:numPr>
          <w:ilvl w:val="0"/>
          <w:numId w:val="16"/>
        </w:numPr>
      </w:pPr>
      <w:r w:rsidRPr="008F0542">
        <w:t xml:space="preserve">The difference in median duration of </w:t>
      </w:r>
      <w:r w:rsidR="00B10CE1">
        <w:t>OS</w:t>
      </w:r>
      <w:r w:rsidRPr="008F0542">
        <w:t xml:space="preserve"> was 0.8 months favouring pembrolizumab. The </w:t>
      </w:r>
      <w:r w:rsidR="00B10CE1">
        <w:t>HR</w:t>
      </w:r>
      <w:r w:rsidRPr="008F0542">
        <w:t xml:space="preserve"> for overall survival was 0.79 (95% CI: 0.61, 1.04), p = 0.04.</w:t>
      </w:r>
    </w:p>
    <w:p w14:paraId="07F4C659" w14:textId="0EF739C5" w:rsidR="001541A4" w:rsidRPr="008F0542" w:rsidRDefault="001541A4" w:rsidP="00CB0ECA">
      <w:pPr>
        <w:pStyle w:val="Numberbullet0"/>
        <w:numPr>
          <w:ilvl w:val="0"/>
          <w:numId w:val="16"/>
        </w:numPr>
      </w:pPr>
      <w:r w:rsidRPr="008F0542">
        <w:t xml:space="preserve">The difference in duration of median progression free survival was 1.3 months favouring docetaxel, with a </w:t>
      </w:r>
      <w:r w:rsidR="00B10CE1">
        <w:t>HR</w:t>
      </w:r>
      <w:r w:rsidRPr="008F0542">
        <w:t xml:space="preserve"> of 1.07 (95% CI 0.85, 1.34), p = 0.718.</w:t>
      </w:r>
    </w:p>
    <w:p w14:paraId="07F4C65A" w14:textId="1CB63605" w:rsidR="001541A4" w:rsidRPr="008F0542" w:rsidRDefault="001541A4" w:rsidP="00CB0ECA">
      <w:pPr>
        <w:pStyle w:val="Numberbullet0"/>
        <w:numPr>
          <w:ilvl w:val="0"/>
          <w:numId w:val="16"/>
        </w:numPr>
      </w:pPr>
      <w:r w:rsidRPr="008F0542">
        <w:t>The difference in overall response rate</w:t>
      </w:r>
      <w:r w:rsidR="008141D3">
        <w:t xml:space="preserve"> (ORR)</w:t>
      </w:r>
      <w:r w:rsidRPr="008F0542">
        <w:t xml:space="preserve"> was not statistically significantly different between the pembrolizumab and docetaxel arms = 0.6 (95% CI -5.4, 6.8), p</w:t>
      </w:r>
      <w:r w:rsidR="00B10CE1">
        <w:t> </w:t>
      </w:r>
      <w:r w:rsidRPr="008F0542">
        <w:t>=</w:t>
      </w:r>
      <w:r w:rsidR="00B10CE1">
        <w:t> </w:t>
      </w:r>
      <w:r w:rsidRPr="008F0542">
        <w:t xml:space="preserve">0.84 within this stratum. The ORR for patients in this stratum was substantially lower (9.8 (95% CI 6.1, 14.7)) as compared to the TPS </w:t>
      </w:r>
      <w:r w:rsidR="0046163D">
        <w:t>≥</w:t>
      </w:r>
      <w:r w:rsidR="00170F49">
        <w:t xml:space="preserve"> </w:t>
      </w:r>
      <w:r w:rsidRPr="008F0542">
        <w:t xml:space="preserve">50% stratum </w:t>
      </w:r>
      <w:r w:rsidR="00B10CE1">
        <w:t>(</w:t>
      </w:r>
      <w:r w:rsidRPr="008F0542">
        <w:t>30.2 (95%</w:t>
      </w:r>
      <w:r w:rsidR="00B10CE1">
        <w:t> </w:t>
      </w:r>
      <w:r w:rsidRPr="008F0542">
        <w:t>CI</w:t>
      </w:r>
      <w:r w:rsidR="00B10CE1">
        <w:t> </w:t>
      </w:r>
      <w:r w:rsidRPr="008F0542">
        <w:t>22.7, 38.6)).</w:t>
      </w:r>
    </w:p>
    <w:p w14:paraId="07F4C65B" w14:textId="77777777" w:rsidR="001541A4" w:rsidRPr="008F0542" w:rsidRDefault="001541A4" w:rsidP="00CB0ECA">
      <w:pPr>
        <w:pStyle w:val="Numberbullet0"/>
        <w:numPr>
          <w:ilvl w:val="0"/>
          <w:numId w:val="16"/>
        </w:numPr>
      </w:pPr>
      <w:r w:rsidRPr="008F0542">
        <w:t>For this patient population, the number needed to treat to achieve one additional event of partial response is 140.</w:t>
      </w:r>
    </w:p>
    <w:p w14:paraId="07F4C65C" w14:textId="77777777" w:rsidR="001541A4" w:rsidRPr="008F0542" w:rsidRDefault="001541A4" w:rsidP="00CB0ECA">
      <w:pPr>
        <w:pStyle w:val="Numberbullet0"/>
        <w:numPr>
          <w:ilvl w:val="0"/>
          <w:numId w:val="16"/>
        </w:numPr>
      </w:pPr>
      <w:r w:rsidRPr="008F0542">
        <w:t>The reported risk of disease progressi</w:t>
      </w:r>
      <w:r w:rsidR="008141D3">
        <w:t xml:space="preserve">on was higher for pembrolizumab </w:t>
      </w:r>
      <w:r w:rsidRPr="008F0542">
        <w:t>exposed patients (79/205 (38.5%)) compared to those that received docetaxel (53/191 (27.7%)).</w:t>
      </w:r>
    </w:p>
    <w:p w14:paraId="07F4C65D" w14:textId="77777777" w:rsidR="001541A4" w:rsidRPr="008F0542" w:rsidRDefault="001541A4" w:rsidP="00CB0ECA">
      <w:pPr>
        <w:pStyle w:val="Numberbullet0"/>
        <w:numPr>
          <w:ilvl w:val="0"/>
          <w:numId w:val="16"/>
        </w:numPr>
      </w:pPr>
      <w:r w:rsidRPr="008F0542">
        <w:t>Results of patient reported outcomes for this stratum have not been presented in the dossier for evaluation.</w:t>
      </w:r>
    </w:p>
    <w:p w14:paraId="07F4C65E" w14:textId="4D018C7A" w:rsidR="001541A4" w:rsidRPr="00B9394D" w:rsidRDefault="008141D3" w:rsidP="001541A4">
      <w:r>
        <w:t xml:space="preserve">The effect </w:t>
      </w:r>
      <w:r w:rsidR="001541A4" w:rsidRPr="00B9394D">
        <w:t>size of pembrolizumab is dependent upon the reported TPS cut</w:t>
      </w:r>
      <w:r w:rsidR="00B10CE1">
        <w:t xml:space="preserve"> </w:t>
      </w:r>
      <w:r w:rsidR="001541A4" w:rsidRPr="00B9394D">
        <w:t>off percentage. In presenting the data according to a TPS</w:t>
      </w:r>
      <w:r w:rsidR="001541A4">
        <w:t xml:space="preserve"> </w:t>
      </w:r>
      <w:r w:rsidR="0046163D">
        <w:t>≥</w:t>
      </w:r>
      <w:r w:rsidR="00170F49">
        <w:t xml:space="preserve"> </w:t>
      </w:r>
      <w:r w:rsidR="001541A4" w:rsidRPr="00B9394D">
        <w:t>1%, the large effect size of pembrolizumab efficacy in those with a TPS</w:t>
      </w:r>
      <w:r w:rsidR="001541A4">
        <w:t xml:space="preserve"> </w:t>
      </w:r>
      <w:r w:rsidR="0046163D">
        <w:t>≥</w:t>
      </w:r>
      <w:r w:rsidR="00170F49">
        <w:t xml:space="preserve"> </w:t>
      </w:r>
      <w:r w:rsidR="001541A4" w:rsidRPr="00B9394D">
        <w:t>50% masks the effect size for those with a TPS</w:t>
      </w:r>
      <w:r w:rsidR="001541A4">
        <w:t xml:space="preserve"> </w:t>
      </w:r>
      <w:r w:rsidR="0046163D">
        <w:t>≥</w:t>
      </w:r>
      <w:r w:rsidR="00170F49">
        <w:t xml:space="preserve"> </w:t>
      </w:r>
      <w:r w:rsidR="001541A4" w:rsidRPr="00B9394D">
        <w:t xml:space="preserve">1% to </w:t>
      </w:r>
      <w:r w:rsidR="001C3222">
        <w:t>&lt; </w:t>
      </w:r>
      <w:r w:rsidR="001541A4" w:rsidRPr="00B9394D">
        <w:t>50%, yielding an apparent benefit for the latter group. There is evidence of inferiority of pembrolizumab compared to docetaxel for patients with a TPS</w:t>
      </w:r>
      <w:r w:rsidR="001541A4">
        <w:t xml:space="preserve"> </w:t>
      </w:r>
      <w:r w:rsidR="0046163D">
        <w:t>≥</w:t>
      </w:r>
      <w:r w:rsidR="00170F49">
        <w:t xml:space="preserve"> </w:t>
      </w:r>
      <w:r w:rsidR="001541A4" w:rsidRPr="00B9394D">
        <w:t xml:space="preserve">1% to </w:t>
      </w:r>
      <w:r w:rsidR="001541A4">
        <w:t xml:space="preserve">&lt; </w:t>
      </w:r>
      <w:r w:rsidR="001541A4" w:rsidRPr="00B9394D">
        <w:t>50%, with insubstantial difference in median duration of overall survival</w:t>
      </w:r>
      <w:r w:rsidR="001C271E">
        <w:t xml:space="preserve"> (</w:t>
      </w:r>
      <w:r w:rsidR="00B10CE1">
        <w:t>OS</w:t>
      </w:r>
      <w:r w:rsidR="001C271E">
        <w:t>)</w:t>
      </w:r>
      <w:r w:rsidR="001541A4" w:rsidRPr="00B9394D">
        <w:t xml:space="preserve">, worse median </w:t>
      </w:r>
      <w:r w:rsidR="001541A4" w:rsidRPr="00B9394D">
        <w:lastRenderedPageBreak/>
        <w:t>duration of PFS, substantially lower ORR and a higher number needed to treat as compared to the stratum of TPS</w:t>
      </w:r>
      <w:r w:rsidR="001541A4">
        <w:t xml:space="preserve"> </w:t>
      </w:r>
      <w:r w:rsidR="0046163D">
        <w:t>≥</w:t>
      </w:r>
      <w:r w:rsidR="00170F49">
        <w:t xml:space="preserve"> </w:t>
      </w:r>
      <w:r w:rsidR="001541A4" w:rsidRPr="00B9394D">
        <w:t>50%.</w:t>
      </w:r>
    </w:p>
    <w:p w14:paraId="07F4C65F" w14:textId="46CC3462" w:rsidR="001541A4" w:rsidRPr="00B9394D" w:rsidRDefault="001541A4" w:rsidP="001541A4">
      <w:r w:rsidRPr="00B9394D">
        <w:t xml:space="preserve">No patients, receiving either dose of pembrolizumab, obtained a complete response in either </w:t>
      </w:r>
      <w:r w:rsidR="00B10CE1">
        <w:t xml:space="preserve">the </w:t>
      </w:r>
      <w:r w:rsidR="00D12ADF">
        <w:t>KEYNOTE</w:t>
      </w:r>
      <w:r w:rsidRPr="00B9394D">
        <w:t xml:space="preserve">-010 or </w:t>
      </w:r>
      <w:r w:rsidR="00D12ADF">
        <w:t>KEYNOTE</w:t>
      </w:r>
      <w:r w:rsidRPr="00B9394D">
        <w:t>-001</w:t>
      </w:r>
      <w:r w:rsidR="00B10CE1">
        <w:t xml:space="preserve"> trials</w:t>
      </w:r>
      <w:r w:rsidRPr="00B9394D">
        <w:t>.</w:t>
      </w:r>
    </w:p>
    <w:p w14:paraId="07F4C660" w14:textId="77777777" w:rsidR="001541A4" w:rsidRPr="00B9394D" w:rsidRDefault="001541A4" w:rsidP="001541A4">
      <w:r w:rsidRPr="00B9394D">
        <w:t>There is clearly demonstrated effect modification between the strata of patients dichotomised at a TPS value of 50% among patients receiving pembr</w:t>
      </w:r>
      <w:r w:rsidR="001C3222">
        <w:t>olizumab 2 mg/kg </w:t>
      </w:r>
      <w:r w:rsidRPr="00B9394D">
        <w:t>Q3W. The magnitude of the difference in effect size, as seen across numerous efficacy endpoints, necessitates that the strata are reported separately to satisfactorily enable clinicians to gain informed consent for treatment from their patients.</w:t>
      </w:r>
    </w:p>
    <w:p w14:paraId="07F4C661" w14:textId="09572A8A" w:rsidR="001541A4" w:rsidRPr="001541A4" w:rsidRDefault="001541A4" w:rsidP="001541A4">
      <w:r w:rsidRPr="00B9394D">
        <w:t xml:space="preserve">In </w:t>
      </w:r>
      <w:r w:rsidR="00D12ADF">
        <w:t>KEYNOTE</w:t>
      </w:r>
      <w:r w:rsidRPr="00B9394D">
        <w:t xml:space="preserve">-001, there is a clear effect on overall response rate of degree of PD-L1 expression, based upon overall response rate, when </w:t>
      </w:r>
      <w:r w:rsidR="001C271E">
        <w:t xml:space="preserve">the </w:t>
      </w:r>
      <w:r w:rsidRPr="00B9394D">
        <w:t>degree of PD-L1 express</w:t>
      </w:r>
      <w:r w:rsidR="001C3222">
        <w:t>ion was expressed as quartiles.</w:t>
      </w:r>
    </w:p>
    <w:p w14:paraId="07F4C662" w14:textId="77777777" w:rsidR="008E7846" w:rsidRPr="002E238E" w:rsidRDefault="008E7846" w:rsidP="008E7846">
      <w:pPr>
        <w:pStyle w:val="Heading3"/>
      </w:pPr>
      <w:bookmarkStart w:id="77" w:name="_Toc163441378"/>
      <w:bookmarkStart w:id="78" w:name="_Toc196046495"/>
      <w:bookmarkStart w:id="79" w:name="_Toc247691522"/>
      <w:bookmarkStart w:id="80" w:name="_Toc314842505"/>
      <w:bookmarkStart w:id="81" w:name="_Toc513458925"/>
      <w:bookmarkEnd w:id="60"/>
      <w:bookmarkEnd w:id="61"/>
      <w:bookmarkEnd w:id="62"/>
      <w:bookmarkEnd w:id="63"/>
      <w:r w:rsidRPr="002E238E">
        <w:t>Safety</w:t>
      </w:r>
      <w:bookmarkEnd w:id="77"/>
      <w:bookmarkEnd w:id="78"/>
      <w:bookmarkEnd w:id="79"/>
      <w:bookmarkEnd w:id="80"/>
      <w:bookmarkEnd w:id="81"/>
    </w:p>
    <w:p w14:paraId="07F4C663" w14:textId="77777777" w:rsidR="00605AD4" w:rsidRDefault="00605AD4" w:rsidP="00605AD4">
      <w:pPr>
        <w:pStyle w:val="Heading4"/>
      </w:pPr>
      <w:bookmarkStart w:id="82" w:name="_Toc247691524"/>
      <w:bookmarkStart w:id="83" w:name="_Toc314842508"/>
      <w:bookmarkStart w:id="84" w:name="_Toc196046504"/>
      <w:bookmarkStart w:id="85" w:name="_Toc163441390"/>
      <w:r w:rsidRPr="00605AD4">
        <w:t>Studies providing safety data</w:t>
      </w:r>
    </w:p>
    <w:p w14:paraId="07F4C664" w14:textId="6FA105B9" w:rsidR="008F0542" w:rsidRPr="008F0542" w:rsidRDefault="00663418" w:rsidP="008F0542">
      <w:r>
        <w:t>The p</w:t>
      </w:r>
      <w:r w:rsidR="008F0542" w:rsidRPr="00B9394D">
        <w:t xml:space="preserve">ivotal efficacy </w:t>
      </w:r>
      <w:r w:rsidR="00D12ADF">
        <w:t>KEYNOTE</w:t>
      </w:r>
      <w:r w:rsidR="008141D3">
        <w:t>-010</w:t>
      </w:r>
      <w:r>
        <w:t xml:space="preserve"> tr</w:t>
      </w:r>
      <w:r w:rsidR="00E2416D">
        <w:t>ial provided safety data. See the descri</w:t>
      </w:r>
      <w:r w:rsidR="00F61D21">
        <w:t>ption above for details.</w:t>
      </w:r>
    </w:p>
    <w:p w14:paraId="07F4C665" w14:textId="77777777" w:rsidR="00605AD4" w:rsidRDefault="00605AD4" w:rsidP="00605AD4">
      <w:pPr>
        <w:pStyle w:val="Heading4"/>
      </w:pPr>
      <w:r w:rsidRPr="00605AD4">
        <w:t>Patient exposure</w:t>
      </w:r>
    </w:p>
    <w:p w14:paraId="07F4C666" w14:textId="3BDC86D0" w:rsidR="008F0542" w:rsidRPr="001E3F3B" w:rsidRDefault="008F0542" w:rsidP="008F0542">
      <w:r w:rsidRPr="001E3F3B">
        <w:t xml:space="preserve">Among patients in </w:t>
      </w:r>
      <w:r w:rsidR="00D12ADF">
        <w:t>KEYNOTE</w:t>
      </w:r>
      <w:r w:rsidRPr="001E3F3B">
        <w:t>-010, the exposure, according to s</w:t>
      </w:r>
      <w:r>
        <w:t>tudy treatment and degree of PD</w:t>
      </w:r>
      <w:r>
        <w:noBreakHyphen/>
        <w:t xml:space="preserve">L1 expression is </w:t>
      </w:r>
      <w:r w:rsidRPr="0078548B">
        <w:t xml:space="preserve">shown </w:t>
      </w:r>
      <w:r w:rsidR="00F61D21">
        <w:t xml:space="preserve">below </w:t>
      </w:r>
      <w:r w:rsidRPr="00880EEA">
        <w:t xml:space="preserve">in </w:t>
      </w:r>
      <w:r w:rsidR="00880EEA" w:rsidRPr="00880EEA">
        <w:t>Tables 4</w:t>
      </w:r>
      <w:r w:rsidR="00F61D21">
        <w:t xml:space="preserve"> and</w:t>
      </w:r>
      <w:r w:rsidR="00880EEA" w:rsidRPr="00880EEA">
        <w:t xml:space="preserve"> 5</w:t>
      </w:r>
      <w:r w:rsidR="00F61D21">
        <w:t>. Exposure in the supportive KEYNOTE 001 trial is shown in Table</w:t>
      </w:r>
      <w:r w:rsidR="00880EEA" w:rsidRPr="00880EEA">
        <w:t xml:space="preserve"> </w:t>
      </w:r>
      <w:r w:rsidRPr="00880EEA">
        <w:t>6.</w:t>
      </w:r>
    </w:p>
    <w:p w14:paraId="07F4C667" w14:textId="4D63D726" w:rsidR="008F0542" w:rsidRPr="001E3F3B" w:rsidRDefault="00880EEA" w:rsidP="008F0542">
      <w:pPr>
        <w:pStyle w:val="Tabletitle0"/>
      </w:pPr>
      <w:bookmarkStart w:id="86" w:name="_Toc453755637"/>
      <w:r w:rsidRPr="00880EEA">
        <w:t xml:space="preserve">Table </w:t>
      </w:r>
      <w:r w:rsidR="008F0542" w:rsidRPr="00880EEA">
        <w:t>4:</w:t>
      </w:r>
      <w:r w:rsidR="008F0542" w:rsidRPr="001E3F3B">
        <w:t xml:space="preserve"> </w:t>
      </w:r>
      <w:r w:rsidR="00D12ADF">
        <w:t>KEYNOTE</w:t>
      </w:r>
      <w:r w:rsidR="008F0542" w:rsidRPr="001E3F3B">
        <w:t xml:space="preserve">-010 </w:t>
      </w:r>
      <w:r w:rsidR="00F61D21">
        <w:t xml:space="preserve">trial </w:t>
      </w:r>
      <w:r w:rsidR="008F0542" w:rsidRPr="001E3F3B">
        <w:t>patients with PD-L1</w:t>
      </w:r>
      <w:r w:rsidR="008F0542">
        <w:t xml:space="preserve"> </w:t>
      </w:r>
      <w:r w:rsidR="00F61D21">
        <w:t>≥</w:t>
      </w:r>
      <w:r w:rsidR="008F0542">
        <w:t xml:space="preserve"> </w:t>
      </w:r>
      <w:r w:rsidR="008F0542" w:rsidRPr="001E3F3B">
        <w:t>50%</w:t>
      </w:r>
      <w:bookmarkEnd w:id="86"/>
    </w:p>
    <w:p w14:paraId="07F4C668" w14:textId="77777777" w:rsidR="008F0542" w:rsidRDefault="008F0542" w:rsidP="008F0542">
      <w:r>
        <w:rPr>
          <w:noProof/>
          <w:lang w:eastAsia="en-AU"/>
        </w:rPr>
        <w:drawing>
          <wp:inline distT="0" distB="0" distL="0" distR="0" wp14:anchorId="07F4C9D2" wp14:editId="07F4C9D3">
            <wp:extent cx="5400040" cy="1055200"/>
            <wp:effectExtent l="0" t="0" r="0" b="0"/>
            <wp:docPr id="5" name="Picture 5" descr="Table 4: KEYNOTE-010 patients with PD-L1 &g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055200"/>
                    </a:xfrm>
                    <a:prstGeom prst="rect">
                      <a:avLst/>
                    </a:prstGeom>
                  </pic:spPr>
                </pic:pic>
              </a:graphicData>
            </a:graphic>
          </wp:inline>
        </w:drawing>
      </w:r>
    </w:p>
    <w:p w14:paraId="07F4C669" w14:textId="13273F2D" w:rsidR="008F0542" w:rsidRDefault="00880EEA" w:rsidP="008F0542">
      <w:pPr>
        <w:pStyle w:val="Tabletitle0"/>
      </w:pPr>
      <w:bookmarkStart w:id="87" w:name="_Toc453755638"/>
      <w:r w:rsidRPr="00880EEA">
        <w:t xml:space="preserve">Table </w:t>
      </w:r>
      <w:r w:rsidR="008F0542" w:rsidRPr="00880EEA">
        <w:t xml:space="preserve">5: </w:t>
      </w:r>
      <w:r w:rsidR="00D12ADF" w:rsidRPr="00880EEA">
        <w:t>KEYNOTE</w:t>
      </w:r>
      <w:r w:rsidR="008F0542">
        <w:t>-010</w:t>
      </w:r>
      <w:r w:rsidR="00F61D21">
        <w:t xml:space="preserve"> trial</w:t>
      </w:r>
      <w:r w:rsidR="008F0542">
        <w:t xml:space="preserve"> patients with PD-L1 &gt; 1% to &lt; 50%</w:t>
      </w:r>
      <w:bookmarkEnd w:id="87"/>
    </w:p>
    <w:p w14:paraId="07F4C66A" w14:textId="77777777" w:rsidR="008F0542" w:rsidRPr="00880EEA" w:rsidRDefault="008F0542" w:rsidP="008F0542">
      <w:r w:rsidRPr="00880EEA">
        <w:rPr>
          <w:noProof/>
          <w:lang w:eastAsia="en-AU"/>
        </w:rPr>
        <w:drawing>
          <wp:inline distT="0" distB="0" distL="0" distR="0" wp14:anchorId="07F4C9D4" wp14:editId="07F4C9D5">
            <wp:extent cx="5400040" cy="1045392"/>
            <wp:effectExtent l="0" t="0" r="0" b="2540"/>
            <wp:docPr id="13" name="Picture 13" descr="Table 5: KEYNOTE-010 patients with PD-L1 &gt; 1% to &l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045392"/>
                    </a:xfrm>
                    <a:prstGeom prst="rect">
                      <a:avLst/>
                    </a:prstGeom>
                  </pic:spPr>
                </pic:pic>
              </a:graphicData>
            </a:graphic>
          </wp:inline>
        </w:drawing>
      </w:r>
    </w:p>
    <w:p w14:paraId="07F4C66B" w14:textId="17A0981F" w:rsidR="008F0542" w:rsidRPr="001E3F3B" w:rsidRDefault="00880EEA" w:rsidP="008F0542">
      <w:pPr>
        <w:pStyle w:val="Tabletitle0"/>
      </w:pPr>
      <w:bookmarkStart w:id="88" w:name="_Toc453755639"/>
      <w:r w:rsidRPr="00880EEA">
        <w:lastRenderedPageBreak/>
        <w:t xml:space="preserve">Table </w:t>
      </w:r>
      <w:r w:rsidR="008F0542" w:rsidRPr="00880EEA">
        <w:t xml:space="preserve">6: Supportive </w:t>
      </w:r>
      <w:r w:rsidR="00D12ADF" w:rsidRPr="00880EEA">
        <w:t>KEYNOTE</w:t>
      </w:r>
      <w:r w:rsidR="008F0542" w:rsidRPr="00880EEA">
        <w:t>-001</w:t>
      </w:r>
      <w:r w:rsidR="00880CF7">
        <w:t xml:space="preserve"> trial</w:t>
      </w:r>
      <w:r w:rsidR="008F0542" w:rsidRPr="00880EEA">
        <w:t xml:space="preserve"> summary of drug exposure all subjects</w:t>
      </w:r>
      <w:r w:rsidR="008F0542" w:rsidRPr="001E3F3B">
        <w:t xml:space="preserve"> with NSCLC by dose (All </w:t>
      </w:r>
      <w:r w:rsidR="00880CF7">
        <w:t>s</w:t>
      </w:r>
      <w:r w:rsidR="00880CF7" w:rsidRPr="001E3F3B">
        <w:t xml:space="preserve">ubjects </w:t>
      </w:r>
      <w:r w:rsidR="008F0542" w:rsidRPr="001E3F3B">
        <w:t xml:space="preserve">as </w:t>
      </w:r>
      <w:r w:rsidR="00F61D21">
        <w:t>t</w:t>
      </w:r>
      <w:r w:rsidR="00F61D21" w:rsidRPr="001E3F3B">
        <w:t>reated</w:t>
      </w:r>
      <w:r w:rsidR="008F0542" w:rsidRPr="001E3F3B">
        <w:t>)</w:t>
      </w:r>
      <w:bookmarkEnd w:id="88"/>
    </w:p>
    <w:p w14:paraId="07F4C66C" w14:textId="77777777" w:rsidR="008F0542" w:rsidRPr="008F0542" w:rsidRDefault="008F0542" w:rsidP="008F0542">
      <w:r>
        <w:rPr>
          <w:noProof/>
          <w:lang w:eastAsia="en-AU"/>
        </w:rPr>
        <w:drawing>
          <wp:inline distT="0" distB="0" distL="0" distR="0" wp14:anchorId="07F4C9D6" wp14:editId="07F4C9D7">
            <wp:extent cx="5400040" cy="1348279"/>
            <wp:effectExtent l="0" t="0" r="0" b="4445"/>
            <wp:docPr id="14" name="Picture 14" descr="Table 6: Supportive Study KEYNOTE-001 summary of drug exposure all subjects with NSCLC by dose (All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348279"/>
                    </a:xfrm>
                    <a:prstGeom prst="rect">
                      <a:avLst/>
                    </a:prstGeom>
                  </pic:spPr>
                </pic:pic>
              </a:graphicData>
            </a:graphic>
          </wp:inline>
        </w:drawing>
      </w:r>
    </w:p>
    <w:p w14:paraId="07F4C66D" w14:textId="77777777" w:rsidR="00605AD4" w:rsidRDefault="00605AD4" w:rsidP="00605AD4">
      <w:pPr>
        <w:pStyle w:val="Heading4"/>
      </w:pPr>
      <w:r w:rsidRPr="00605AD4">
        <w:t>Safety issues with the potential for major regulatory impact</w:t>
      </w:r>
    </w:p>
    <w:p w14:paraId="07F4C66E" w14:textId="77777777" w:rsidR="008F0542" w:rsidRDefault="008F0542" w:rsidP="008F0542">
      <w:pPr>
        <w:pStyle w:val="Heading5"/>
      </w:pPr>
      <w:bookmarkStart w:id="89" w:name="_Toc453755716"/>
      <w:r w:rsidRPr="000A0844">
        <w:t>Pre-specified adverse events</w:t>
      </w:r>
      <w:bookmarkEnd w:id="89"/>
    </w:p>
    <w:p w14:paraId="07F4C66F" w14:textId="77777777" w:rsidR="008F0542" w:rsidRDefault="008F0542" w:rsidP="008F0542">
      <w:r w:rsidRPr="000A0844">
        <w:t>The sponsor pre-specified events of diarrhoea, colitis, pneumonitis and thyroid dysfunction as b</w:t>
      </w:r>
      <w:r>
        <w:t>eing of most clinical interest.</w:t>
      </w:r>
    </w:p>
    <w:p w14:paraId="07F4C670" w14:textId="77777777" w:rsidR="0050543E" w:rsidRPr="006A284A" w:rsidRDefault="0050543E" w:rsidP="0050543E">
      <w:pPr>
        <w:pStyle w:val="Heading6"/>
        <w:rPr>
          <w:b/>
        </w:rPr>
      </w:pPr>
      <w:r w:rsidRPr="006A284A">
        <w:rPr>
          <w:b/>
        </w:rPr>
        <w:t>Diarrhoea</w:t>
      </w:r>
    </w:p>
    <w:p w14:paraId="07F4C671" w14:textId="77777777" w:rsidR="0050543E" w:rsidRPr="000A0844" w:rsidRDefault="0050543E" w:rsidP="0050543E">
      <w:r w:rsidRPr="000A0844">
        <w:t>Overall, for diarrhoea, the incidence</w:t>
      </w:r>
      <w:r w:rsidR="008141D3">
        <w:t xml:space="preserve"> among the docetaxel arm was 80 out of 309 (25.9%) as compared to 53 out of </w:t>
      </w:r>
      <w:r w:rsidRPr="000A0844">
        <w:t>339 (15.6%) for</w:t>
      </w:r>
      <w:r>
        <w:t xml:space="preserve"> the pembrolizumab 2 mg/kg arm.</w:t>
      </w:r>
    </w:p>
    <w:p w14:paraId="07F4C672" w14:textId="77777777" w:rsidR="0050543E" w:rsidRPr="006A284A" w:rsidRDefault="0050543E" w:rsidP="0050543E">
      <w:pPr>
        <w:pStyle w:val="Heading6"/>
        <w:rPr>
          <w:b/>
        </w:rPr>
      </w:pPr>
      <w:r w:rsidRPr="006A284A">
        <w:rPr>
          <w:b/>
        </w:rPr>
        <w:t>Colitis/ischaemic colitis</w:t>
      </w:r>
    </w:p>
    <w:p w14:paraId="07F4C673" w14:textId="660C1867" w:rsidR="0050543E" w:rsidRDefault="0050543E" w:rsidP="0050543E">
      <w:r w:rsidRPr="000A0844">
        <w:t>This was reported in one patient in each of the docetaxel and pembrolizumab 2 mg/kg arms in those with TPS</w:t>
      </w:r>
      <w:r>
        <w:t xml:space="preserve"> </w:t>
      </w:r>
      <w:r w:rsidR="00F476EE">
        <w:t>≥</w:t>
      </w:r>
      <w:r>
        <w:t xml:space="preserve"> </w:t>
      </w:r>
      <w:r w:rsidRPr="000A0844">
        <w:t>50%</w:t>
      </w:r>
      <w:r>
        <w:t>.</w:t>
      </w:r>
    </w:p>
    <w:p w14:paraId="07F4C674" w14:textId="77777777" w:rsidR="0050543E" w:rsidRPr="000A0844" w:rsidRDefault="0050543E" w:rsidP="0050543E">
      <w:r w:rsidRPr="000A0844">
        <w:t>For those patients with TPS</w:t>
      </w:r>
      <w:r>
        <w:t xml:space="preserve"> &gt; </w:t>
      </w:r>
      <w:r w:rsidRPr="000A0844">
        <w:t xml:space="preserve">1 to </w:t>
      </w:r>
      <w:r>
        <w:t xml:space="preserve">&lt; </w:t>
      </w:r>
      <w:r w:rsidRPr="000A0844">
        <w:t>50%, there were thre</w:t>
      </w:r>
      <w:r w:rsidR="001C3222">
        <w:t>e events in the pembrolizumab 2 </w:t>
      </w:r>
      <w:r w:rsidRPr="000A0844">
        <w:t>mg/kg arm as comp</w:t>
      </w:r>
      <w:r>
        <w:t>ared none in the docetaxel arm.</w:t>
      </w:r>
    </w:p>
    <w:p w14:paraId="07F4C675" w14:textId="79111A21" w:rsidR="0050543E" w:rsidRPr="000A0844" w:rsidRDefault="0050543E" w:rsidP="0050543E">
      <w:r w:rsidRPr="000A0844">
        <w:t>Of note, for patients with a TPS</w:t>
      </w:r>
      <w:r>
        <w:t xml:space="preserve"> </w:t>
      </w:r>
      <w:r w:rsidR="00F476EE">
        <w:t>≥</w:t>
      </w:r>
      <w:r>
        <w:t xml:space="preserve"> </w:t>
      </w:r>
      <w:r w:rsidRPr="000A0844">
        <w:t>50%, there was a higher incidence of constipation among patients rec</w:t>
      </w:r>
      <w:r w:rsidR="008141D3">
        <w:t xml:space="preserve">eiving pembrolizumab 2 mg/kg 24 out of </w:t>
      </w:r>
      <w:r w:rsidRPr="000A0844">
        <w:t>137 (17.</w:t>
      </w:r>
      <w:r w:rsidR="008141D3">
        <w:t xml:space="preserve">5%) as compared to docetaxel 16 out of </w:t>
      </w:r>
      <w:r w:rsidRPr="000A0844">
        <w:t>133 (12.0%).</w:t>
      </w:r>
    </w:p>
    <w:p w14:paraId="07F4C677" w14:textId="77777777" w:rsidR="0050543E" w:rsidRPr="006A284A" w:rsidRDefault="0050543E" w:rsidP="0050543E">
      <w:pPr>
        <w:pStyle w:val="Heading6"/>
        <w:rPr>
          <w:b/>
        </w:rPr>
      </w:pPr>
      <w:r w:rsidRPr="006A284A">
        <w:rPr>
          <w:b/>
        </w:rPr>
        <w:t>Thyroid disorders</w:t>
      </w:r>
    </w:p>
    <w:p w14:paraId="07F4C678" w14:textId="70815C0B" w:rsidR="0050543E" w:rsidRPr="000A0844" w:rsidRDefault="0050543E" w:rsidP="0050543E">
      <w:r w:rsidRPr="000A0844">
        <w:t>For patients with TPS</w:t>
      </w:r>
      <w:r>
        <w:t xml:space="preserve"> </w:t>
      </w:r>
      <w:r w:rsidR="00F476EE">
        <w:t>≥</w:t>
      </w:r>
      <w:r>
        <w:t xml:space="preserve"> </w:t>
      </w:r>
      <w:r w:rsidRPr="000A0844">
        <w:t>50%, there was a higher incidence of thyroid disorders among t</w:t>
      </w:r>
      <w:r w:rsidR="008141D3">
        <w:t xml:space="preserve">he pembrolizumab 2mg/kg arm (19 out of </w:t>
      </w:r>
      <w:r w:rsidRPr="000A0844">
        <w:t>137 (13.9%), predominate</w:t>
      </w:r>
      <w:r>
        <w:t>ly events of hypothyroidism (14 </w:t>
      </w:r>
      <w:r w:rsidRPr="000A0844">
        <w:t>patients) and thyroiditis (2 patients), as c</w:t>
      </w:r>
      <w:r w:rsidR="008141D3">
        <w:t xml:space="preserve">ompared to the docetaxel arm (5 out of </w:t>
      </w:r>
      <w:r w:rsidRPr="000A0844">
        <w:t>133 (3.8%)</w:t>
      </w:r>
      <w:r w:rsidR="00F476EE">
        <w:t>)</w:t>
      </w:r>
      <w:r w:rsidRPr="000A0844">
        <w:t>.</w:t>
      </w:r>
    </w:p>
    <w:p w14:paraId="07F4C679" w14:textId="77777777" w:rsidR="0050543E" w:rsidRPr="000A0844" w:rsidRDefault="0050543E" w:rsidP="0050543E">
      <w:r w:rsidRPr="000A0844">
        <w:t>Among patients with TPS</w:t>
      </w:r>
      <w:r>
        <w:t xml:space="preserve"> &gt; </w:t>
      </w:r>
      <w:r w:rsidRPr="000A0844">
        <w:t xml:space="preserve">1% to </w:t>
      </w:r>
      <w:r>
        <w:t xml:space="preserve">&lt; </w:t>
      </w:r>
      <w:r w:rsidR="008141D3">
        <w:t xml:space="preserve">50%, there were 6 out of </w:t>
      </w:r>
      <w:r w:rsidRPr="000A0844">
        <w:t>202 (3.0%) patients who experienced hyperthyroidism in association with pembrolizumab 2 mg/kg, whereas none occurred in those rec</w:t>
      </w:r>
      <w:r w:rsidR="008141D3">
        <w:t xml:space="preserve">eiving docetaxel. There were 14 out of </w:t>
      </w:r>
      <w:r w:rsidRPr="000A0844">
        <w:t>202 patients (6.9%) in the pembrolizumab 2mg/kg arm who experienced hypothyroidism as compared to none in the docetaxel arm.</w:t>
      </w:r>
    </w:p>
    <w:p w14:paraId="07F4C67A" w14:textId="77777777" w:rsidR="0050543E" w:rsidRPr="006A284A" w:rsidRDefault="0050543E" w:rsidP="0050543E">
      <w:pPr>
        <w:pStyle w:val="Heading6"/>
        <w:rPr>
          <w:b/>
        </w:rPr>
      </w:pPr>
      <w:r w:rsidRPr="006A284A">
        <w:rPr>
          <w:b/>
        </w:rPr>
        <w:t>Pneumonitis</w:t>
      </w:r>
    </w:p>
    <w:p w14:paraId="07F4C67B" w14:textId="2DB4FAF9" w:rsidR="0050543E" w:rsidRDefault="0050543E" w:rsidP="0050543E">
      <w:r w:rsidRPr="000A0844">
        <w:t>For patients with TPS</w:t>
      </w:r>
      <w:r>
        <w:t xml:space="preserve"> </w:t>
      </w:r>
      <w:r w:rsidR="00F476EE">
        <w:t>≥</w:t>
      </w:r>
      <w:r>
        <w:t xml:space="preserve"> </w:t>
      </w:r>
      <w:r w:rsidRPr="000A0844">
        <w:t>50 %, there was an increased incidence of respiratory, thoracic and mediastinal disorders in the pembrolizumab 2 mg/kg arm (75</w:t>
      </w:r>
      <w:r w:rsidR="008141D3">
        <w:t xml:space="preserve"> out of </w:t>
      </w:r>
      <w:r w:rsidRPr="000A0844">
        <w:t>137 (54.7%)</w:t>
      </w:r>
      <w:r w:rsidR="00F476EE">
        <w:t>)</w:t>
      </w:r>
      <w:r w:rsidRPr="000A0844">
        <w:t xml:space="preserve"> as compared to docetaxel (64</w:t>
      </w:r>
      <w:r w:rsidR="008141D3">
        <w:t xml:space="preserve"> out of </w:t>
      </w:r>
      <w:r w:rsidRPr="000A0844">
        <w:t>133 (48.1%)</w:t>
      </w:r>
      <w:r w:rsidR="00F476EE">
        <w:t>)</w:t>
      </w:r>
      <w:r w:rsidRPr="000A0844">
        <w:t>, with 8 patients (5.8%) experiencing pneumonitis in association with pembrolizumab and 2 patients (1.5%) with docetaxel.</w:t>
      </w:r>
    </w:p>
    <w:p w14:paraId="07EC8ACD" w14:textId="53350F57" w:rsidR="00F203B7" w:rsidRPr="000A0844" w:rsidRDefault="00F203B7" w:rsidP="0050543E">
      <w:r w:rsidRPr="000A0844">
        <w:t>Events of pneumonitis in the TPS</w:t>
      </w:r>
      <w:r>
        <w:t xml:space="preserve"> &gt; </w:t>
      </w:r>
      <w:r w:rsidRPr="000A0844">
        <w:t xml:space="preserve">1 to </w:t>
      </w:r>
      <w:r>
        <w:t xml:space="preserve">&lt; </w:t>
      </w:r>
      <w:r w:rsidRPr="000A0844">
        <w:t>50% population occurred in 8 patients (4.0%) exposed to pembrolizumab 2</w:t>
      </w:r>
      <w:r w:rsidR="00F476EE">
        <w:t xml:space="preserve"> </w:t>
      </w:r>
      <w:r w:rsidRPr="000A0844">
        <w:t>mg/kg and 3 patients (1.7%) exposed to do</w:t>
      </w:r>
      <w:r>
        <w:t>cetaxel. Of the 8</w:t>
      </w:r>
      <w:r w:rsidR="00F476EE">
        <w:t> </w:t>
      </w:r>
      <w:r>
        <w:t xml:space="preserve">pembrolizumab </w:t>
      </w:r>
      <w:r w:rsidRPr="000A0844">
        <w:t>associated</w:t>
      </w:r>
      <w:r>
        <w:t xml:space="preserve"> episodes, </w:t>
      </w:r>
      <w:r w:rsidR="00484972">
        <w:t xml:space="preserve">four </w:t>
      </w:r>
      <w:r>
        <w:t xml:space="preserve">were </w:t>
      </w:r>
      <w:r w:rsidR="00F476EE">
        <w:t>G</w:t>
      </w:r>
      <w:r>
        <w:t>rade 3</w:t>
      </w:r>
      <w:r w:rsidR="00F476EE">
        <w:t xml:space="preserve"> to </w:t>
      </w:r>
      <w:r>
        <w:t>5.</w:t>
      </w:r>
    </w:p>
    <w:p w14:paraId="07F4C67C" w14:textId="77777777" w:rsidR="008F0542" w:rsidRPr="000A0844" w:rsidRDefault="008F0542" w:rsidP="0050543E">
      <w:pPr>
        <w:pStyle w:val="Heading5"/>
      </w:pPr>
      <w:bookmarkStart w:id="90" w:name="_Toc453755717"/>
      <w:r w:rsidRPr="000A0844">
        <w:lastRenderedPageBreak/>
        <w:t>Liver toxicity</w:t>
      </w:r>
      <w:bookmarkEnd w:id="90"/>
    </w:p>
    <w:p w14:paraId="07F4C67D" w14:textId="4C59EFAE" w:rsidR="008F0542" w:rsidRDefault="0050543E" w:rsidP="008F0542">
      <w:r w:rsidRPr="000A0844">
        <w:t xml:space="preserve">In </w:t>
      </w:r>
      <w:r w:rsidR="00D12ADF">
        <w:t>KEYNOTE</w:t>
      </w:r>
      <w:r w:rsidRPr="000A0844">
        <w:t>-010</w:t>
      </w:r>
      <w:r w:rsidR="00F476EE">
        <w:t xml:space="preserve"> trial</w:t>
      </w:r>
      <w:r w:rsidRPr="000A0844">
        <w:t xml:space="preserve"> patients with TPS</w:t>
      </w:r>
      <w:r>
        <w:t xml:space="preserve"> </w:t>
      </w:r>
      <w:r w:rsidR="00F476EE">
        <w:t>≥</w:t>
      </w:r>
      <w:r>
        <w:t xml:space="preserve"> </w:t>
      </w:r>
      <w:r w:rsidRPr="000A0844">
        <w:t>50%, four events of hepatotoxicity were reported in each of the t</w:t>
      </w:r>
      <w:r>
        <w:t xml:space="preserve">wo pembrolizumab arms; </w:t>
      </w:r>
      <w:r w:rsidRPr="000A0844">
        <w:t>2.9% and 2.6</w:t>
      </w:r>
      <w:r w:rsidR="001C3222">
        <w:t>% of the 2 mg/kg Q3W and 10 mg/kg </w:t>
      </w:r>
      <w:r w:rsidRPr="000A0844">
        <w:t>Q3W arms respectively. No events were reported for patients receiving docetaxel.</w:t>
      </w:r>
    </w:p>
    <w:p w14:paraId="07F4C67E" w14:textId="77777777" w:rsidR="0050543E" w:rsidRPr="000A0844" w:rsidRDefault="0050543E" w:rsidP="0050543E">
      <w:pPr>
        <w:pStyle w:val="Heading5"/>
      </w:pPr>
      <w:bookmarkStart w:id="91" w:name="_Toc272414683"/>
      <w:bookmarkStart w:id="92" w:name="_Toc290846321"/>
      <w:bookmarkStart w:id="93" w:name="_Toc453755718"/>
      <w:r w:rsidRPr="000A0844">
        <w:t>Serious skin reactions</w:t>
      </w:r>
      <w:bookmarkEnd w:id="91"/>
      <w:bookmarkEnd w:id="92"/>
      <w:bookmarkEnd w:id="93"/>
    </w:p>
    <w:p w14:paraId="07F4C67F" w14:textId="3ABFDBBA" w:rsidR="0050543E" w:rsidRDefault="0050543E" w:rsidP="008F0542">
      <w:r w:rsidRPr="000A0844">
        <w:t xml:space="preserve">No events of toxic epidermal necrolysis or Stevens Johnson syndrome were reported in </w:t>
      </w:r>
      <w:r w:rsidR="00F476EE">
        <w:t xml:space="preserve">the </w:t>
      </w:r>
      <w:r w:rsidR="00D12ADF">
        <w:t>KEYNOTE</w:t>
      </w:r>
      <w:r w:rsidRPr="000A0844">
        <w:t>-01</w:t>
      </w:r>
      <w:r>
        <w:t>0</w:t>
      </w:r>
      <w:r w:rsidR="00F476EE">
        <w:t xml:space="preserve"> trial</w:t>
      </w:r>
      <w:r>
        <w:t>, or in the summary of safety.</w:t>
      </w:r>
    </w:p>
    <w:p w14:paraId="07F4C680" w14:textId="77777777" w:rsidR="0050543E" w:rsidRPr="000A0844" w:rsidRDefault="0050543E" w:rsidP="0050543E">
      <w:pPr>
        <w:pStyle w:val="Heading5"/>
      </w:pPr>
      <w:bookmarkStart w:id="94" w:name="_Toc272414684"/>
      <w:bookmarkStart w:id="95" w:name="_Toc290846322"/>
      <w:bookmarkStart w:id="96" w:name="_Toc453755719"/>
      <w:r w:rsidRPr="000A0844">
        <w:t>Cardiovascular safety</w:t>
      </w:r>
      <w:bookmarkEnd w:id="94"/>
      <w:bookmarkEnd w:id="95"/>
      <w:bookmarkEnd w:id="96"/>
    </w:p>
    <w:p w14:paraId="07F4C681" w14:textId="31E65C50" w:rsidR="0050543E" w:rsidRPr="000A0844" w:rsidRDefault="00D12ADF" w:rsidP="00484972">
      <w:pPr>
        <w:pStyle w:val="Heading6"/>
      </w:pPr>
      <w:r>
        <w:t>KEYNOTE</w:t>
      </w:r>
      <w:r w:rsidR="0050543E" w:rsidRPr="000A0844">
        <w:t>-010 patients with PD-L1</w:t>
      </w:r>
      <w:r w:rsidR="0050543E">
        <w:t xml:space="preserve"> </w:t>
      </w:r>
      <w:r w:rsidR="00F476EE">
        <w:t>≥</w:t>
      </w:r>
      <w:r w:rsidR="0050543E">
        <w:t xml:space="preserve"> </w:t>
      </w:r>
      <w:r w:rsidR="0050543E" w:rsidRPr="000A0844">
        <w:t>50%</w:t>
      </w:r>
    </w:p>
    <w:p w14:paraId="07F4C682" w14:textId="15846760" w:rsidR="0050543E" w:rsidRPr="000A0844" w:rsidRDefault="0050543E" w:rsidP="0050543E">
      <w:pPr>
        <w:pStyle w:val="ListBullet"/>
        <w:numPr>
          <w:ilvl w:val="0"/>
          <w:numId w:val="0"/>
        </w:numPr>
      </w:pPr>
      <w:r w:rsidRPr="000A0844">
        <w:t>There was a similar incidence of cardiac disorders in the docetaxel arm (8</w:t>
      </w:r>
      <w:r w:rsidR="008141D3">
        <w:t xml:space="preserve"> out of </w:t>
      </w:r>
      <w:r w:rsidRPr="000A0844">
        <w:t>133 (6.0%)</w:t>
      </w:r>
      <w:r w:rsidR="00D53B78">
        <w:t>)</w:t>
      </w:r>
      <w:r w:rsidRPr="000A0844">
        <w:t xml:space="preserve"> versus the pembrolizumab 2 mg/kg arm</w:t>
      </w:r>
      <w:r w:rsidR="00D53B78">
        <w:t xml:space="preserve"> (</w:t>
      </w:r>
      <w:r w:rsidR="00D53B78" w:rsidRPr="000A0844">
        <w:t>9</w:t>
      </w:r>
      <w:r w:rsidR="00D53B78">
        <w:t xml:space="preserve"> out of 137 (6.6%))</w:t>
      </w:r>
      <w:r w:rsidRPr="000A0844">
        <w:t>.</w:t>
      </w:r>
    </w:p>
    <w:p w14:paraId="07F4C683" w14:textId="07B395D2" w:rsidR="0050543E" w:rsidRPr="000A0844" w:rsidRDefault="00D12ADF" w:rsidP="00484972">
      <w:pPr>
        <w:pStyle w:val="Heading6"/>
      </w:pPr>
      <w:r>
        <w:t>KEYNOTE</w:t>
      </w:r>
      <w:r w:rsidR="0050543E" w:rsidRPr="000A0844">
        <w:t>-010 patients with PD-L1</w:t>
      </w:r>
      <w:r w:rsidR="0050543E">
        <w:t xml:space="preserve"> &gt; </w:t>
      </w:r>
      <w:r w:rsidR="0050543E" w:rsidRPr="000A0844">
        <w:t xml:space="preserve">1% to </w:t>
      </w:r>
      <w:r w:rsidR="0050543E">
        <w:t xml:space="preserve">&lt; </w:t>
      </w:r>
      <w:r w:rsidR="0050543E" w:rsidRPr="000A0844">
        <w:t>50%</w:t>
      </w:r>
    </w:p>
    <w:p w14:paraId="07F4C684" w14:textId="77777777" w:rsidR="0050543E" w:rsidRPr="000A0844" w:rsidRDefault="0050543E" w:rsidP="0050543E">
      <w:pPr>
        <w:pStyle w:val="ListBullet"/>
        <w:numPr>
          <w:ilvl w:val="0"/>
          <w:numId w:val="0"/>
        </w:numPr>
      </w:pPr>
      <w:r w:rsidRPr="000A0844">
        <w:t xml:space="preserve">Eighteen events of cardiac disorder (8.9%) occurred in the pembrolizumab 2 mg/kg arm as compared to </w:t>
      </w:r>
      <w:r>
        <w:t>10 in the docetaxel arm (5.7%).</w:t>
      </w:r>
    </w:p>
    <w:p w14:paraId="07F4C685" w14:textId="6283F1C6" w:rsidR="0050543E" w:rsidRDefault="0050543E" w:rsidP="0050543E">
      <w:r w:rsidRPr="000A0844">
        <w:t>The reported risk of cardiac rhythm or conduction disturbance has been discus</w:t>
      </w:r>
      <w:r>
        <w:t>sed (please see Attachment 2)</w:t>
      </w:r>
      <w:r w:rsidR="00D53B78">
        <w:t>.</w:t>
      </w:r>
    </w:p>
    <w:p w14:paraId="07F4C686" w14:textId="77777777" w:rsidR="0050543E" w:rsidRPr="000A0844" w:rsidRDefault="0050543E" w:rsidP="0050543E">
      <w:pPr>
        <w:pStyle w:val="Heading5"/>
      </w:pPr>
      <w:bookmarkStart w:id="97" w:name="_Toc241374323"/>
      <w:bookmarkStart w:id="98" w:name="_Toc272414685"/>
      <w:bookmarkStart w:id="99" w:name="_Toc290846323"/>
      <w:bookmarkStart w:id="100" w:name="_Toc453755720"/>
      <w:r w:rsidRPr="000A0844">
        <w:t>Unwanted immunological events</w:t>
      </w:r>
      <w:bookmarkEnd w:id="97"/>
      <w:bookmarkEnd w:id="98"/>
      <w:bookmarkEnd w:id="99"/>
      <w:bookmarkEnd w:id="100"/>
    </w:p>
    <w:p w14:paraId="07F4C687" w14:textId="7ADF1FF4" w:rsidR="0050543E" w:rsidRDefault="0050543E" w:rsidP="0050543E">
      <w:r w:rsidRPr="000A0844">
        <w:t>The development of anti-drug antibodies (ADAs) was assessed in patients partic</w:t>
      </w:r>
      <w:r>
        <w:t xml:space="preserve">ipating in </w:t>
      </w:r>
      <w:r w:rsidR="00D12ADF">
        <w:t>KEYNOTE</w:t>
      </w:r>
      <w:r>
        <w:t xml:space="preserve">-001 </w:t>
      </w:r>
      <w:r w:rsidR="00D53B78">
        <w:t xml:space="preserve">trial </w:t>
      </w:r>
      <w:r>
        <w:t>parts C and</w:t>
      </w:r>
      <w:r w:rsidRPr="000A0844">
        <w:t xml:space="preserve"> F</w:t>
      </w:r>
      <w:r>
        <w:t>.</w:t>
      </w:r>
    </w:p>
    <w:p w14:paraId="07F4C688" w14:textId="00E90E90" w:rsidR="0050543E" w:rsidRDefault="0050543E" w:rsidP="0050543E">
      <w:r w:rsidRPr="000A0844">
        <w:t xml:space="preserve">The majority of assessed patients were not evaluable owing to the concentration of pembrolizumab being above that tolerated for the ADA test. Overall </w:t>
      </w:r>
      <w:r w:rsidR="00D53B78">
        <w:t xml:space="preserve">16 </w:t>
      </w:r>
      <w:r>
        <w:t>patients were evaluable;</w:t>
      </w:r>
      <w:r w:rsidRPr="000A0844">
        <w:t xml:space="preserve"> </w:t>
      </w:r>
      <w:r w:rsidR="00484972">
        <w:t>5</w:t>
      </w:r>
      <w:r w:rsidR="00484972" w:rsidRPr="000A0844">
        <w:t xml:space="preserve"> </w:t>
      </w:r>
      <w:r w:rsidRPr="000A0844">
        <w:t>having received pembrolizumab 2 mg/kg and e</w:t>
      </w:r>
      <w:r w:rsidR="008141D3">
        <w:t>leven having received 10 </w:t>
      </w:r>
      <w:r>
        <w:t>mg/kg;</w:t>
      </w:r>
      <w:r w:rsidRPr="000A0844">
        <w:t xml:space="preserve"> none of these </w:t>
      </w:r>
      <w:r w:rsidR="00D53B78">
        <w:t>16</w:t>
      </w:r>
      <w:r w:rsidR="00D53B78" w:rsidRPr="000A0844">
        <w:t xml:space="preserve"> </w:t>
      </w:r>
      <w:r w:rsidRPr="000A0844">
        <w:t>patients were reported to have developed</w:t>
      </w:r>
      <w:r>
        <w:t xml:space="preserve"> anti</w:t>
      </w:r>
      <w:r w:rsidR="00787ACF">
        <w:noBreakHyphen/>
      </w:r>
      <w:r>
        <w:t>pembrolizumab antibodies. For further detail see Attachment 2.</w:t>
      </w:r>
    </w:p>
    <w:p w14:paraId="07F4C689" w14:textId="77777777" w:rsidR="00CB0ECA" w:rsidRPr="008F0542" w:rsidRDefault="00CB0ECA" w:rsidP="00CB0ECA">
      <w:pPr>
        <w:pStyle w:val="Heading4"/>
      </w:pPr>
      <w:r w:rsidRPr="00605AD4">
        <w:t>Evaluator’s conclusions on safety</w:t>
      </w:r>
    </w:p>
    <w:p w14:paraId="07F4C68A" w14:textId="77777777" w:rsidR="0050543E" w:rsidRPr="00FB284C" w:rsidRDefault="0050543E" w:rsidP="0050543E">
      <w:r w:rsidRPr="00FB284C">
        <w:t>Fewer patients discontinued study drug therapy among those receiving pembrolizumab, irrespective of TPS status.</w:t>
      </w:r>
    </w:p>
    <w:p w14:paraId="07F4C68B" w14:textId="77777777" w:rsidR="0050543E" w:rsidRPr="00FB284C" w:rsidRDefault="0050543E" w:rsidP="0050543E">
      <w:r w:rsidRPr="00FB284C">
        <w:t xml:space="preserve">The crude incidence of adverse events was similar between patients receiving docetaxel and pembrolizumab 2 mg/kg. </w:t>
      </w:r>
      <w:r>
        <w:t>Investigator assessed</w:t>
      </w:r>
      <w:r w:rsidRPr="00FB284C">
        <w:t xml:space="preserve"> </w:t>
      </w:r>
      <w:r>
        <w:t>treatment emergent</w:t>
      </w:r>
      <w:r w:rsidRPr="00FB284C">
        <w:t xml:space="preserve"> adverse events showed the incidence to be lower for patients receiving pembrolizumab, and among these, was lower in those with TPS</w:t>
      </w:r>
      <w:r>
        <w:t xml:space="preserve"> &gt; </w:t>
      </w:r>
      <w:r w:rsidRPr="00FB284C">
        <w:t xml:space="preserve">1 to </w:t>
      </w:r>
      <w:r>
        <w:t xml:space="preserve">&lt; </w:t>
      </w:r>
      <w:r w:rsidRPr="00FB284C">
        <w:t>50%.</w:t>
      </w:r>
    </w:p>
    <w:p w14:paraId="07F4C68C" w14:textId="6546645B" w:rsidR="0050543E" w:rsidRPr="00FB284C" w:rsidRDefault="0050543E" w:rsidP="0050543E">
      <w:r w:rsidRPr="00FB284C">
        <w:t xml:space="preserve">The </w:t>
      </w:r>
      <w:proofErr w:type="gramStart"/>
      <w:r w:rsidRPr="00FB284C">
        <w:t>proportion</w:t>
      </w:r>
      <w:proofErr w:type="gramEnd"/>
      <w:r w:rsidRPr="00FB284C">
        <w:t xml:space="preserve"> of patients who died related</w:t>
      </w:r>
      <w:r w:rsidR="00000572">
        <w:t xml:space="preserve"> to</w:t>
      </w:r>
      <w:r w:rsidRPr="00FB284C">
        <w:t>, and not related to study drug, were comparable between patients receiving docetaxel and pembrolizumab.</w:t>
      </w:r>
    </w:p>
    <w:p w14:paraId="07F4C68D" w14:textId="451C0453" w:rsidR="0050543E" w:rsidRPr="00FB284C" w:rsidRDefault="0050543E" w:rsidP="0050543E">
      <w:r w:rsidRPr="00FB284C">
        <w:t xml:space="preserve">The incidence of </w:t>
      </w:r>
      <w:r w:rsidR="00787ACF">
        <w:t>Grade</w:t>
      </w:r>
      <w:r w:rsidR="00787ACF" w:rsidRPr="00FB284C">
        <w:t xml:space="preserve"> </w:t>
      </w:r>
      <w:r w:rsidRPr="00FB284C">
        <w:t>3</w:t>
      </w:r>
      <w:r w:rsidR="00787ACF">
        <w:t xml:space="preserve"> to </w:t>
      </w:r>
      <w:r w:rsidRPr="00FB284C">
        <w:t>5 adverse events was lower among patients receiving pembrolizumab; the lowest proportion occurring in the patients with TPS</w:t>
      </w:r>
      <w:r>
        <w:t xml:space="preserve"> &gt; </w:t>
      </w:r>
      <w:r w:rsidRPr="00FB284C">
        <w:t xml:space="preserve">1 to </w:t>
      </w:r>
      <w:r>
        <w:t xml:space="preserve">&lt; </w:t>
      </w:r>
      <w:r w:rsidRPr="00FB284C">
        <w:t>50%.</w:t>
      </w:r>
    </w:p>
    <w:p w14:paraId="07F4C68E" w14:textId="77777777" w:rsidR="0050543E" w:rsidRDefault="0050543E" w:rsidP="0050543E">
      <w:r w:rsidRPr="00FB284C">
        <w:t>The overall incidence of adverse effects, and events leading to study treatment discontinuation were generally lower in those patients receiving pembroliz</w:t>
      </w:r>
      <w:r>
        <w:t>umab as compared to docetaxel.</w:t>
      </w:r>
    </w:p>
    <w:p w14:paraId="07F4C68F" w14:textId="77777777" w:rsidR="0050543E" w:rsidRPr="00FB284C" w:rsidRDefault="0050543E" w:rsidP="0050543E">
      <w:r w:rsidRPr="00FB284C">
        <w:t>The reporting method of many adverse events does not lend itself to the satisfactory assessment of risk of some adverse events that may have multiple associated terms used to describe the same event. Such events include: alteration of cardiac rhythm, myocarditis/pericarditis, perforation of hollow viscera and peripheral neur</w:t>
      </w:r>
      <w:r>
        <w:t xml:space="preserve">opathies. The </w:t>
      </w:r>
      <w:r>
        <w:lastRenderedPageBreak/>
        <w:t xml:space="preserve">pattern of immune </w:t>
      </w:r>
      <w:r w:rsidRPr="00FB284C">
        <w:t>mediated adverse reactions as described in the product information is not comprehensive and requires expansion to comprehensively report the risks.</w:t>
      </w:r>
    </w:p>
    <w:p w14:paraId="07F4C690" w14:textId="77777777" w:rsidR="0050543E" w:rsidRPr="00FB284C" w:rsidRDefault="0050543E" w:rsidP="0050543E">
      <w:r w:rsidRPr="00FB284C">
        <w:t>Identification of anti-pembrolizumab antibodies is complic</w:t>
      </w:r>
      <w:r>
        <w:t xml:space="preserve">ated by the presence of free drug, and may be under </w:t>
      </w:r>
      <w:r w:rsidRPr="00FB284C">
        <w:t>reported as a consequence. However, among those patients who could be satisfactorily assessed, the incidence of anti-pembrolizumab antibodies was low.</w:t>
      </w:r>
    </w:p>
    <w:p w14:paraId="07F4C691" w14:textId="77777777" w:rsidR="00605AD4" w:rsidRPr="00605AD4" w:rsidRDefault="0050543E" w:rsidP="00605AD4">
      <w:r w:rsidRPr="00FB284C">
        <w:t>In contrast to the efficacy analysis, overall the pattern of adverse effect so pembrolizumab was not substantially different between patients with a tumour propor</w:t>
      </w:r>
      <w:r w:rsidR="00CB0ECA">
        <w:t>tion score dichotomised at 50%.</w:t>
      </w:r>
    </w:p>
    <w:p w14:paraId="07F4C692" w14:textId="4A355EB1" w:rsidR="006136D7" w:rsidRPr="00605AD4" w:rsidRDefault="00CB0ECA" w:rsidP="006136D7">
      <w:r w:rsidRPr="00CB0ECA">
        <w:t xml:space="preserve">For the </w:t>
      </w:r>
      <w:r w:rsidR="00A70986">
        <w:t>f</w:t>
      </w:r>
      <w:r w:rsidR="00605AD4" w:rsidRPr="00CB0ECA">
        <w:t xml:space="preserve">irst </w:t>
      </w:r>
      <w:r w:rsidR="00787ACF">
        <w:t>r</w:t>
      </w:r>
      <w:r w:rsidR="00787ACF" w:rsidRPr="00CB0ECA">
        <w:t xml:space="preserve">ound </w:t>
      </w:r>
      <w:r w:rsidR="00787ACF">
        <w:t>b</w:t>
      </w:r>
      <w:r w:rsidR="00787ACF" w:rsidRPr="00CB0ECA">
        <w:t>enefit</w:t>
      </w:r>
      <w:r w:rsidR="00605AD4" w:rsidRPr="00CB0ECA">
        <w:t>-</w:t>
      </w:r>
      <w:r w:rsidR="00787ACF">
        <w:t>r</w:t>
      </w:r>
      <w:r w:rsidR="00787ACF" w:rsidRPr="00CB0ECA">
        <w:t xml:space="preserve">isk </w:t>
      </w:r>
      <w:r w:rsidR="00787ACF">
        <w:t>a</w:t>
      </w:r>
      <w:r w:rsidR="00787ACF" w:rsidRPr="00CB0ECA">
        <w:t>ssessment</w:t>
      </w:r>
      <w:r w:rsidR="00787ACF">
        <w:t>,</w:t>
      </w:r>
      <w:r>
        <w:t xml:space="preserve"> </w:t>
      </w:r>
      <w:r w:rsidR="00484972" w:rsidRPr="00CB0ECA">
        <w:t>first</w:t>
      </w:r>
      <w:r w:rsidR="00605AD4" w:rsidRPr="00CB0ECA">
        <w:t xml:space="preserve"> </w:t>
      </w:r>
      <w:r w:rsidR="00787ACF">
        <w:t>r</w:t>
      </w:r>
      <w:r w:rsidR="00787ACF" w:rsidRPr="00CB0ECA">
        <w:t xml:space="preserve">ound </w:t>
      </w:r>
      <w:r w:rsidR="00787ACF">
        <w:t>r</w:t>
      </w:r>
      <w:r w:rsidR="00787ACF" w:rsidRPr="00CB0ECA">
        <w:t xml:space="preserve">ecommendation </w:t>
      </w:r>
      <w:r w:rsidR="00787ACF">
        <w:t>r</w:t>
      </w:r>
      <w:r w:rsidR="00787ACF" w:rsidRPr="00CB0ECA">
        <w:t xml:space="preserve">egarding </w:t>
      </w:r>
      <w:r w:rsidR="00787ACF">
        <w:t>a</w:t>
      </w:r>
      <w:r w:rsidR="00787ACF" w:rsidRPr="00CB0ECA">
        <w:t>uthorisation</w:t>
      </w:r>
      <w:r w:rsidR="00787ACF">
        <w:t>,</w:t>
      </w:r>
      <w:r>
        <w:t xml:space="preserve"> </w:t>
      </w:r>
      <w:r w:rsidR="00A70986">
        <w:t>c</w:t>
      </w:r>
      <w:r w:rsidR="00A70986" w:rsidRPr="00CB0ECA">
        <w:t xml:space="preserve">linical </w:t>
      </w:r>
      <w:r w:rsidR="00787ACF">
        <w:t>q</w:t>
      </w:r>
      <w:r w:rsidR="00787ACF" w:rsidRPr="00CB0ECA">
        <w:t>uestions</w:t>
      </w:r>
      <w:r w:rsidR="00787ACF">
        <w:t xml:space="preserve"> </w:t>
      </w:r>
      <w:r>
        <w:t xml:space="preserve">and </w:t>
      </w:r>
      <w:r w:rsidR="00484972" w:rsidRPr="00CB0ECA">
        <w:t>second</w:t>
      </w:r>
      <w:r w:rsidR="00605AD4" w:rsidRPr="00CB0ECA">
        <w:t xml:space="preserve"> </w:t>
      </w:r>
      <w:r w:rsidR="00787ACF">
        <w:t>r</w:t>
      </w:r>
      <w:r w:rsidR="00787ACF" w:rsidRPr="00CB0ECA">
        <w:t xml:space="preserve">ound </w:t>
      </w:r>
      <w:r w:rsidR="00787ACF">
        <w:t>e</w:t>
      </w:r>
      <w:r w:rsidR="00787ACF" w:rsidRPr="00CB0ECA">
        <w:t xml:space="preserve">valuation </w:t>
      </w:r>
      <w:r w:rsidR="00605AD4" w:rsidRPr="00CB0ECA">
        <w:t>of clinical data submitted in response to questions</w:t>
      </w:r>
      <w:r w:rsidR="00F7046C">
        <w:t>,</w:t>
      </w:r>
      <w:r>
        <w:t xml:space="preserve"> </w:t>
      </w:r>
      <w:r w:rsidR="006136D7">
        <w:t>please see Attachment 2.</w:t>
      </w:r>
    </w:p>
    <w:p w14:paraId="07F4C693" w14:textId="26020C68" w:rsidR="00605AD4" w:rsidRPr="00CB0ECA" w:rsidRDefault="00605AD4" w:rsidP="00CB0ECA">
      <w:pPr>
        <w:pStyle w:val="Heading3"/>
        <w:rPr>
          <w:rFonts w:eastAsia="Cambria"/>
        </w:rPr>
      </w:pPr>
      <w:bookmarkStart w:id="101" w:name="_Toc513458926"/>
      <w:r w:rsidRPr="00CB0ECA">
        <w:rPr>
          <w:rFonts w:eastAsia="Cambria"/>
        </w:rPr>
        <w:t xml:space="preserve">Second </w:t>
      </w:r>
      <w:r w:rsidR="00BA16BD" w:rsidRPr="00CB0ECA">
        <w:rPr>
          <w:rFonts w:eastAsia="Cambria"/>
        </w:rPr>
        <w:t>round benefit-risk assessment</w:t>
      </w:r>
      <w:bookmarkEnd w:id="101"/>
    </w:p>
    <w:p w14:paraId="07F4C694" w14:textId="77777777" w:rsidR="00CB0ECA" w:rsidRPr="007A02F5" w:rsidRDefault="00CB0ECA" w:rsidP="00CB0ECA">
      <w:pPr>
        <w:pStyle w:val="Heading4"/>
      </w:pPr>
      <w:bookmarkStart w:id="102" w:name="_Toc272414709"/>
      <w:bookmarkStart w:id="103" w:name="_Toc290846349"/>
      <w:bookmarkStart w:id="104" w:name="_Toc453755743"/>
      <w:bookmarkStart w:id="105" w:name="_Toc504482918"/>
      <w:r w:rsidRPr="007A02F5">
        <w:t>Second round assessment of benefits</w:t>
      </w:r>
      <w:bookmarkEnd w:id="102"/>
      <w:bookmarkEnd w:id="103"/>
      <w:bookmarkEnd w:id="104"/>
      <w:bookmarkEnd w:id="105"/>
    </w:p>
    <w:p w14:paraId="07F4C695" w14:textId="77777777" w:rsidR="00CB0ECA" w:rsidRPr="007A02F5" w:rsidRDefault="00CB0ECA" w:rsidP="00CB0ECA">
      <w:r w:rsidRPr="007A02F5">
        <w:t>After consideration of the responses to clinical questions, the benefits of pembrolizumab in the proposed usage are:</w:t>
      </w:r>
    </w:p>
    <w:p w14:paraId="07F4C696" w14:textId="251DF67C" w:rsidR="00CB0ECA" w:rsidRPr="00CB0ECA" w:rsidRDefault="00CB0ECA" w:rsidP="00CB0ECA">
      <w:pPr>
        <w:pStyle w:val="ListBullet"/>
      </w:pPr>
      <w:r w:rsidRPr="00CB0ECA">
        <w:t xml:space="preserve">Among patients with TPS &gt; 1%, </w:t>
      </w:r>
      <w:r w:rsidRPr="00F203B7">
        <w:t xml:space="preserve">the </w:t>
      </w:r>
      <w:r w:rsidRPr="00484972">
        <w:t>OS HR</w:t>
      </w:r>
      <w:r w:rsidRPr="00CB0ECA">
        <w:t xml:space="preserve"> for pembrolizumab 2 mg/kg versus docetaxel was 0.71 (95% CI: 0.58, 0.88) with a p</w:t>
      </w:r>
      <w:r w:rsidR="00F7046C">
        <w:t>-</w:t>
      </w:r>
      <w:r w:rsidRPr="00CB0ECA">
        <w:t>value of 0.00076.</w:t>
      </w:r>
    </w:p>
    <w:p w14:paraId="07F4C697" w14:textId="77777777" w:rsidR="00CB0ECA" w:rsidRPr="00CB0ECA" w:rsidRDefault="00CB0ECA" w:rsidP="00CB0ECA">
      <w:pPr>
        <w:pStyle w:val="ListBullet"/>
      </w:pPr>
      <w:r w:rsidRPr="00CB0ECA">
        <w:t>The median OS for pembrolizumab 2 mg/kg was 10.4 months compared to 8.5 months for the docetaxel exposed patients.</w:t>
      </w:r>
    </w:p>
    <w:p w14:paraId="07F4C698" w14:textId="77777777" w:rsidR="00CB0ECA" w:rsidRPr="00CB0ECA" w:rsidRDefault="00CB0ECA" w:rsidP="00CB0ECA">
      <w:pPr>
        <w:pStyle w:val="ListBullet"/>
      </w:pPr>
      <w:r w:rsidRPr="00CB0ECA">
        <w:t>Among the patients studied, there was no apparent difference in estimates of efficacy according to the age of the specimen used to determine PD-L1 status.</w:t>
      </w:r>
    </w:p>
    <w:p w14:paraId="07F4C699" w14:textId="3CE64648" w:rsidR="00CB0ECA" w:rsidRPr="007A02F5" w:rsidRDefault="00CB0ECA" w:rsidP="00CB0ECA">
      <w:r w:rsidRPr="007A02F5">
        <w:t xml:space="preserve">The outcomes of patients with TPS </w:t>
      </w:r>
      <w:r w:rsidR="008141D3">
        <w:t xml:space="preserve">1 </w:t>
      </w:r>
      <w:r w:rsidR="00F7046C">
        <w:t>to</w:t>
      </w:r>
      <w:r w:rsidR="008141D3">
        <w:t xml:space="preserve"> 49% </w:t>
      </w:r>
      <w:r w:rsidRPr="007A02F5">
        <w:t xml:space="preserve">remain clinically important for the purposes of obtaining informed consent and enabling an assessment of likely treatment effect. The exploratory differential effect observed between patients with TPS </w:t>
      </w:r>
      <w:r w:rsidR="008141D3">
        <w:t xml:space="preserve">1 </w:t>
      </w:r>
      <w:r w:rsidR="00F7046C">
        <w:t xml:space="preserve">to </w:t>
      </w:r>
      <w:r w:rsidR="008141D3">
        <w:t xml:space="preserve">49% </w:t>
      </w:r>
      <w:r w:rsidRPr="007A02F5">
        <w:t>and TPS</w:t>
      </w:r>
      <w:r w:rsidR="00F7046C">
        <w:t> </w:t>
      </w:r>
      <w:r w:rsidR="0046163D">
        <w:t>≥</w:t>
      </w:r>
      <w:r w:rsidR="00F7046C">
        <w:t> </w:t>
      </w:r>
      <w:r w:rsidRPr="007A02F5">
        <w:t xml:space="preserve">50% described in the </w:t>
      </w:r>
      <w:r w:rsidR="00F7046C">
        <w:t xml:space="preserve">First </w:t>
      </w:r>
      <w:r w:rsidRPr="007A02F5">
        <w:t>round report is unchanged.</w:t>
      </w:r>
    </w:p>
    <w:p w14:paraId="07F4C69A" w14:textId="77777777" w:rsidR="00CB0ECA" w:rsidRPr="007A02F5" w:rsidRDefault="00CB0ECA" w:rsidP="00CB0ECA">
      <w:pPr>
        <w:pStyle w:val="Heading4"/>
      </w:pPr>
      <w:bookmarkStart w:id="106" w:name="_Toc272414710"/>
      <w:bookmarkStart w:id="107" w:name="_Toc290846350"/>
      <w:bookmarkStart w:id="108" w:name="_Toc453755744"/>
      <w:bookmarkStart w:id="109" w:name="_Toc504482919"/>
      <w:r w:rsidRPr="007A02F5">
        <w:t>Second round assessment of risks</w:t>
      </w:r>
      <w:bookmarkEnd w:id="106"/>
      <w:bookmarkEnd w:id="107"/>
      <w:bookmarkEnd w:id="108"/>
      <w:bookmarkEnd w:id="109"/>
    </w:p>
    <w:p w14:paraId="07F4C69B" w14:textId="77777777" w:rsidR="00CB0ECA" w:rsidRPr="007A02F5" w:rsidRDefault="00CB0ECA" w:rsidP="00CB0ECA">
      <w:r w:rsidRPr="007A02F5">
        <w:t>After consideration of the responses to clinical questions, the risks of pembrolizumab in the proposed usage are:</w:t>
      </w:r>
    </w:p>
    <w:p w14:paraId="07F4C69C" w14:textId="2451BD22" w:rsidR="00CB0ECA" w:rsidRPr="00CB0ECA" w:rsidRDefault="00CB0ECA" w:rsidP="00CB0ECA">
      <w:pPr>
        <w:pStyle w:val="ListBullet"/>
      </w:pPr>
      <w:r w:rsidRPr="00CB0ECA">
        <w:t xml:space="preserve">The PD-L1 test characteristics have not been satisfactorily demonstrated for PD-L1 expression at a </w:t>
      </w:r>
      <w:r w:rsidR="00484972" w:rsidRPr="00CB0ECA">
        <w:t>cut</w:t>
      </w:r>
      <w:r w:rsidR="00484972">
        <w:t>-</w:t>
      </w:r>
      <w:r w:rsidR="00484972" w:rsidRPr="00CB0ECA">
        <w:t>off</w:t>
      </w:r>
      <w:r w:rsidRPr="00CB0ECA">
        <w:t xml:space="preserve"> of 1%, the cut</w:t>
      </w:r>
      <w:r w:rsidR="00CE1B59">
        <w:t xml:space="preserve"> </w:t>
      </w:r>
      <w:r w:rsidRPr="00CB0ECA">
        <w:t>off mandated by proxy, in the sponsors proposed indication.</w:t>
      </w:r>
    </w:p>
    <w:p w14:paraId="07F4C69D" w14:textId="790AC62E" w:rsidR="00CB0ECA" w:rsidRPr="00CB0ECA" w:rsidRDefault="00CB0ECA" w:rsidP="00CB0ECA">
      <w:pPr>
        <w:pStyle w:val="ListBullet"/>
      </w:pPr>
      <w:r w:rsidRPr="00CB0ECA">
        <w:t xml:space="preserve">Patients with TPS &gt; 1 to &lt; 50% do not have comparable efficacy as compared to those with a TPS </w:t>
      </w:r>
      <w:r w:rsidR="0046163D">
        <w:t>≥</w:t>
      </w:r>
      <w:r w:rsidR="00170F49">
        <w:t xml:space="preserve"> </w:t>
      </w:r>
      <w:r w:rsidRPr="00CB0ECA">
        <w:t xml:space="preserve">50%. There is evidence that the efficacy of pembrolizumab is not consistently superior, indeed potentially inferior, to docetaxel for patients with this degree of PD-L1 expression, as </w:t>
      </w:r>
      <w:r w:rsidR="0046163D">
        <w:t>second line</w:t>
      </w:r>
      <w:r w:rsidRPr="00CB0ECA">
        <w:t xml:space="preserve"> therapy. The median duration of </w:t>
      </w:r>
      <w:r w:rsidR="008D3B66">
        <w:t>OS</w:t>
      </w:r>
      <w:r w:rsidRPr="00CB0ECA">
        <w:t xml:space="preserve"> was 0.8</w:t>
      </w:r>
      <w:r w:rsidR="008D3B66">
        <w:t> </w:t>
      </w:r>
      <w:r w:rsidRPr="00CB0ECA">
        <w:t>months longer in patients receiving pembrolizumab, which is an inadequate duration for registration purposes. The median duration of progression free survival was 1.3 months longer for patients receiving docetaxel among patients with TPS &gt; 1 to &lt; 50%. In the event that the Delegate agrees to register pembrolizumab for patients with this degree of PD-L1 expression, the provision of this information in the product information would be critical for clinicians to satisfactorily formulate a decision to initiate pembrolizumab therapy and obtain informed consent.</w:t>
      </w:r>
    </w:p>
    <w:p w14:paraId="07F4C69E" w14:textId="77777777" w:rsidR="00CB0ECA" w:rsidRPr="00CB0ECA" w:rsidRDefault="00CB0ECA" w:rsidP="00CB0ECA">
      <w:pPr>
        <w:pStyle w:val="ListBullet"/>
      </w:pPr>
      <w:r w:rsidRPr="00CB0ECA">
        <w:t>No patients with NSCLC were reported to have achieved a complete response from treatment with pembrolizumab.</w:t>
      </w:r>
    </w:p>
    <w:p w14:paraId="07F4C69F" w14:textId="77777777" w:rsidR="00CB0ECA" w:rsidRPr="00CB0ECA" w:rsidRDefault="00CB0ECA" w:rsidP="00CB0ECA">
      <w:pPr>
        <w:pStyle w:val="ListBullet"/>
      </w:pPr>
      <w:r w:rsidRPr="00CB0ECA">
        <w:lastRenderedPageBreak/>
        <w:t>From the evidence presented in the dossier, for patients with TPS &gt; 1 to &lt; 50%, the number needed to treat with pembrolizumab, as compared to docetaxel, in order to obtain one additional event of partial response is 140.</w:t>
      </w:r>
    </w:p>
    <w:p w14:paraId="07F4C6A0" w14:textId="77777777" w:rsidR="00CB0ECA" w:rsidRPr="007A02F5" w:rsidRDefault="00CB0ECA" w:rsidP="00CB0ECA">
      <w:r w:rsidRPr="007A02F5">
        <w:t xml:space="preserve">In addition, given the risk of myasthenia gravis and peripheral neuropathy and the potential presenting symptoms should be included in the PI and </w:t>
      </w:r>
      <w:r w:rsidR="002D1E8D">
        <w:t>Consumer Medicines Information</w:t>
      </w:r>
      <w:r w:rsidR="002D1E8D" w:rsidRPr="007A02F5">
        <w:t xml:space="preserve"> </w:t>
      </w:r>
      <w:r w:rsidR="002D1E8D">
        <w:t>(</w:t>
      </w:r>
      <w:r w:rsidRPr="007A02F5">
        <w:t>CMI</w:t>
      </w:r>
      <w:r w:rsidR="002D1E8D">
        <w:t>)</w:t>
      </w:r>
      <w:r w:rsidRPr="007A02F5">
        <w:t xml:space="preserve"> (each described in the FDA approved label).</w:t>
      </w:r>
    </w:p>
    <w:p w14:paraId="07F4C6A1" w14:textId="77777777" w:rsidR="00CB0ECA" w:rsidRPr="007A02F5" w:rsidRDefault="00CB0ECA" w:rsidP="00CB0ECA">
      <w:pPr>
        <w:pStyle w:val="Heading4"/>
      </w:pPr>
      <w:bookmarkStart w:id="110" w:name="_Toc272414711"/>
      <w:bookmarkStart w:id="111" w:name="_Toc290846351"/>
      <w:bookmarkStart w:id="112" w:name="_Toc453755745"/>
      <w:bookmarkStart w:id="113" w:name="_Toc504482920"/>
      <w:r w:rsidRPr="007A02F5">
        <w:t>Second round assessment of benefit-risk balance</w:t>
      </w:r>
      <w:bookmarkEnd w:id="110"/>
      <w:bookmarkEnd w:id="111"/>
      <w:bookmarkEnd w:id="112"/>
      <w:bookmarkEnd w:id="113"/>
    </w:p>
    <w:p w14:paraId="07F4C6A2" w14:textId="77777777" w:rsidR="00CB0ECA" w:rsidRPr="007A02F5" w:rsidRDefault="00CB0ECA" w:rsidP="00CB0ECA">
      <w:r w:rsidRPr="007A02F5">
        <w:t>The benefit-risk balance of pembrolizumab, given the proposed usage, is favourable.</w:t>
      </w:r>
    </w:p>
    <w:p w14:paraId="07F4C6A3" w14:textId="77777777" w:rsidR="00CB0ECA" w:rsidRDefault="00CB0ECA" w:rsidP="00CB0ECA">
      <w:pPr>
        <w:pStyle w:val="Heading3"/>
      </w:pPr>
      <w:bookmarkStart w:id="114" w:name="_Toc504482921"/>
      <w:bookmarkStart w:id="115" w:name="_Toc513458927"/>
      <w:r>
        <w:t>Second round recommendation regarding authorisation</w:t>
      </w:r>
      <w:bookmarkEnd w:id="114"/>
      <w:bookmarkEnd w:id="115"/>
    </w:p>
    <w:p w14:paraId="07F4C6A4" w14:textId="77777777" w:rsidR="00CB0ECA" w:rsidRPr="007A02F5" w:rsidRDefault="00CB0ECA" w:rsidP="00CB0ECA">
      <w:r w:rsidRPr="007A02F5">
        <w:t>It is recommended to the Delegate that pembrolizumab be approved for the indication:</w:t>
      </w:r>
    </w:p>
    <w:p w14:paraId="07F4C6A5" w14:textId="6DE3DB3A" w:rsidR="00CB0ECA" w:rsidRPr="00CB0ECA" w:rsidRDefault="00CB0ECA" w:rsidP="00CB0ECA">
      <w:pPr>
        <w:ind w:left="567"/>
        <w:rPr>
          <w:i/>
        </w:rPr>
      </w:pPr>
      <w:r w:rsidRPr="001F1098">
        <w:rPr>
          <w:i/>
        </w:rPr>
        <w:t>Keytruda is indicated for the treatment of patients with advanced non-small cell lung carcinoma (NSCLC) whose tumours express PD-L1 and who have received platinum containing chemotherapy. Patients with EGFR or ALK genomic tumour aberrations should also have received approved therapy for these aberrations prior to receiving Keytruda</w:t>
      </w:r>
      <w:r w:rsidR="008D3B66">
        <w:rPr>
          <w:i/>
        </w:rPr>
        <w:t>.</w:t>
      </w:r>
    </w:p>
    <w:p w14:paraId="07F4C6A6" w14:textId="3E1826C6" w:rsidR="00071A1C" w:rsidRDefault="00071A1C" w:rsidP="00071A1C">
      <w:pPr>
        <w:pStyle w:val="Heading2"/>
      </w:pPr>
      <w:bookmarkStart w:id="116" w:name="_Toc513458928"/>
      <w:r>
        <w:t xml:space="preserve">Vb. </w:t>
      </w:r>
      <w:r w:rsidRPr="00254787">
        <w:t>Clinical</w:t>
      </w:r>
      <w:r>
        <w:t xml:space="preserve"> findings</w:t>
      </w:r>
      <w:r w:rsidR="008D3B66">
        <w:t xml:space="preserve"> for</w:t>
      </w:r>
      <w:r>
        <w:t xml:space="preserve"> Submission PM-2016-02325-1-4</w:t>
      </w:r>
      <w:bookmarkEnd w:id="116"/>
    </w:p>
    <w:p w14:paraId="07F4C6A7" w14:textId="194D5624" w:rsidR="00071A1C" w:rsidRPr="00071A1C" w:rsidRDefault="00071A1C" w:rsidP="00071A1C">
      <w:r>
        <w:t xml:space="preserve">A summary of the </w:t>
      </w:r>
      <w:r w:rsidRPr="00FD70B8">
        <w:t xml:space="preserve">clinical findings </w:t>
      </w:r>
      <w:r w:rsidR="001C3222">
        <w:t xml:space="preserve">for </w:t>
      </w:r>
      <w:r w:rsidR="008D3B66">
        <w:t xml:space="preserve">Submission </w:t>
      </w:r>
      <w:r w:rsidR="001C3222">
        <w:t xml:space="preserve">PM-2016-02325-1-4 (first line use of pembrolizumab) </w:t>
      </w:r>
      <w:r w:rsidRPr="00FD70B8">
        <w:t xml:space="preserve">is presented in this section. </w:t>
      </w:r>
      <w:r>
        <w:t xml:space="preserve">Further details of these </w:t>
      </w:r>
      <w:r w:rsidRPr="00FD70B8">
        <w:t xml:space="preserve">clinical findings can be found in </w:t>
      </w:r>
      <w:r>
        <w:t>Attachment 3, the extract of the clinical eval</w:t>
      </w:r>
      <w:r w:rsidR="006418E7">
        <w:t xml:space="preserve">uation report for </w:t>
      </w:r>
      <w:r w:rsidR="008D3B66">
        <w:t xml:space="preserve">Submission </w:t>
      </w:r>
      <w:r w:rsidR="006418E7">
        <w:t>PM</w:t>
      </w:r>
      <w:r w:rsidR="006418E7">
        <w:noBreakHyphen/>
      </w:r>
      <w:r>
        <w:t>2016-02325-1-4.</w:t>
      </w:r>
    </w:p>
    <w:p w14:paraId="07F4C6A8" w14:textId="77777777" w:rsidR="00071A1C" w:rsidRDefault="00071A1C" w:rsidP="00071A1C">
      <w:pPr>
        <w:pStyle w:val="Heading3"/>
      </w:pPr>
      <w:bookmarkStart w:id="117" w:name="_Toc513458929"/>
      <w:r w:rsidRPr="00254787">
        <w:t>Introduction</w:t>
      </w:r>
      <w:bookmarkEnd w:id="117"/>
    </w:p>
    <w:p w14:paraId="07F4C6A9" w14:textId="46EE6B75" w:rsidR="006D5C98" w:rsidRDefault="006D5C98" w:rsidP="006D5C98">
      <w:r>
        <w:t xml:space="preserve">Pembrolizumab is a monoclonal antibody, which targets the </w:t>
      </w:r>
      <w:r w:rsidR="006418E7">
        <w:t>PD-1</w:t>
      </w:r>
      <w:r>
        <w:t xml:space="preserve"> receptor on activated T</w:t>
      </w:r>
      <w:r w:rsidR="00CE1B59">
        <w:t> </w:t>
      </w:r>
      <w:r>
        <w:t>lymphocytes. At the time of writing, the only approved indication for the product was:</w:t>
      </w:r>
    </w:p>
    <w:p w14:paraId="07F4C6AA" w14:textId="058CBFDD" w:rsidR="006D5C98" w:rsidRDefault="00CA2E8A" w:rsidP="00484972">
      <w:pPr>
        <w:ind w:left="720"/>
        <w:rPr>
          <w:lang w:val="en-US" w:eastAsia="ja-JP"/>
        </w:rPr>
      </w:pPr>
      <w:r>
        <w:rPr>
          <w:i/>
          <w:lang w:val="en-US" w:eastAsia="ja-JP"/>
        </w:rPr>
        <w:t>‘</w:t>
      </w:r>
      <w:r w:rsidR="006D5C98" w:rsidRPr="00783CBC">
        <w:rPr>
          <w:i/>
          <w:lang w:val="en-US" w:eastAsia="ja-JP"/>
        </w:rPr>
        <w:t xml:space="preserve">... </w:t>
      </w:r>
      <w:proofErr w:type="gramStart"/>
      <w:r w:rsidR="006D5C98" w:rsidRPr="00783CBC">
        <w:rPr>
          <w:i/>
          <w:lang w:val="en-US" w:eastAsia="ja-JP"/>
        </w:rPr>
        <w:t>as</w:t>
      </w:r>
      <w:proofErr w:type="gramEnd"/>
      <w:r w:rsidR="006D5C98" w:rsidRPr="00783CBC">
        <w:rPr>
          <w:i/>
          <w:lang w:val="en-US" w:eastAsia="ja-JP"/>
        </w:rPr>
        <w:t xml:space="preserve"> monotherapy for the treatment of unresectable or metastatic melanoma in adults</w:t>
      </w:r>
      <w:r>
        <w:rPr>
          <w:i/>
          <w:lang w:val="en-US" w:eastAsia="ja-JP"/>
        </w:rPr>
        <w:t>’.</w:t>
      </w:r>
    </w:p>
    <w:p w14:paraId="07F4C6AB" w14:textId="77777777" w:rsidR="006D5C98" w:rsidRDefault="006D5C98" w:rsidP="006D5C98">
      <w:pPr>
        <w:rPr>
          <w:lang w:val="en-US" w:eastAsia="ja-JP"/>
        </w:rPr>
      </w:pPr>
      <w:r>
        <w:rPr>
          <w:lang w:val="en-US" w:eastAsia="ja-JP"/>
        </w:rPr>
        <w:t>The proposed new indication that is the subject of this submission is:</w:t>
      </w:r>
    </w:p>
    <w:p w14:paraId="07F4C6AC" w14:textId="1B09FEE0" w:rsidR="006D5C98" w:rsidRDefault="00CA2E8A" w:rsidP="006D5C98">
      <w:pPr>
        <w:ind w:left="709"/>
        <w:rPr>
          <w:i/>
          <w:lang w:val="en-US" w:eastAsia="ja-JP"/>
        </w:rPr>
      </w:pPr>
      <w:r>
        <w:rPr>
          <w:i/>
          <w:lang w:val="en-US" w:eastAsia="ja-JP"/>
        </w:rPr>
        <w:t>‘</w:t>
      </w:r>
      <w:r w:rsidR="00C329E7">
        <w:rPr>
          <w:i/>
          <w:lang w:val="en-US" w:eastAsia="ja-JP"/>
        </w:rPr>
        <w:t>Keytruda</w:t>
      </w:r>
      <w:r w:rsidR="006D5C98" w:rsidRPr="007A4B96">
        <w:rPr>
          <w:i/>
          <w:lang w:val="en-US" w:eastAsia="ja-JP"/>
        </w:rPr>
        <w:t xml:space="preserve"> is indicated for the treatment of patients with previously untreated metastatic non</w:t>
      </w:r>
      <w:r w:rsidR="006D5C98">
        <w:rPr>
          <w:i/>
          <w:lang w:val="en-US" w:eastAsia="ja-JP"/>
        </w:rPr>
        <w:t>-</w:t>
      </w:r>
      <w:r w:rsidR="006D5C98" w:rsidRPr="007A4B96">
        <w:rPr>
          <w:i/>
          <w:lang w:val="en-US" w:eastAsia="ja-JP"/>
        </w:rPr>
        <w:t xml:space="preserve">small cell lung carcinoma (NSCLC) whose tumours express PD-L1 as determined by a validated test and do not harbour a </w:t>
      </w:r>
      <w:r w:rsidR="00A70986">
        <w:rPr>
          <w:i/>
          <w:lang w:val="en-US" w:eastAsia="ja-JP"/>
        </w:rPr>
        <w:t>sensitizing</w:t>
      </w:r>
      <w:r w:rsidR="006D5C98" w:rsidRPr="007A4B96">
        <w:rPr>
          <w:i/>
          <w:lang w:val="en-US" w:eastAsia="ja-JP"/>
        </w:rPr>
        <w:t xml:space="preserve"> EGFR mutation or ALK translocation [see CLINICAL TRIALS]</w:t>
      </w:r>
      <w:r>
        <w:rPr>
          <w:i/>
          <w:lang w:val="en-US" w:eastAsia="ja-JP"/>
        </w:rPr>
        <w:t>’.</w:t>
      </w:r>
    </w:p>
    <w:p w14:paraId="07F4C6AD" w14:textId="77777777" w:rsidR="006D5C98" w:rsidRDefault="006D5C98" w:rsidP="006D5C98">
      <w:pPr>
        <w:rPr>
          <w:lang w:eastAsia="ja-JP"/>
        </w:rPr>
      </w:pPr>
      <w:r>
        <w:rPr>
          <w:lang w:eastAsia="ja-JP"/>
        </w:rPr>
        <w:t xml:space="preserve">The proposed dose for the first line treatment of NSCLC </w:t>
      </w:r>
      <w:r w:rsidRPr="000941D5">
        <w:t>is 200 mg</w:t>
      </w:r>
      <w:r>
        <w:rPr>
          <w:lang w:eastAsia="ja-JP"/>
        </w:rPr>
        <w:t xml:space="preserve"> </w:t>
      </w:r>
      <w:r w:rsidR="006418E7">
        <w:rPr>
          <w:lang w:eastAsia="ja-JP"/>
        </w:rPr>
        <w:t>Q3W</w:t>
      </w:r>
      <w:r>
        <w:rPr>
          <w:lang w:eastAsia="ja-JP"/>
        </w:rPr>
        <w:t>, administered as an IV infusion over 30 minutes.</w:t>
      </w:r>
    </w:p>
    <w:p w14:paraId="07F4C6AE" w14:textId="77777777" w:rsidR="006D5C98" w:rsidRPr="006D5C98" w:rsidRDefault="006D5C98" w:rsidP="006D5C98">
      <w:pPr>
        <w:rPr>
          <w:lang w:eastAsia="ja-JP"/>
        </w:rPr>
      </w:pPr>
      <w:r>
        <w:rPr>
          <w:lang w:eastAsia="ja-JP"/>
        </w:rPr>
        <w:t xml:space="preserve">The currently approved regimen for melanoma </w:t>
      </w:r>
      <w:r w:rsidRPr="000941D5">
        <w:t>is 2 mg/kg</w:t>
      </w:r>
      <w:r>
        <w:rPr>
          <w:lang w:eastAsia="ja-JP"/>
        </w:rPr>
        <w:t xml:space="preserve"> IV </w:t>
      </w:r>
      <w:r w:rsidR="006418E7">
        <w:rPr>
          <w:lang w:eastAsia="ja-JP"/>
        </w:rPr>
        <w:t>Q3W</w:t>
      </w:r>
      <w:r>
        <w:rPr>
          <w:lang w:eastAsia="ja-JP"/>
        </w:rPr>
        <w:t>.</w:t>
      </w:r>
    </w:p>
    <w:p w14:paraId="07F4C6AF" w14:textId="77777777" w:rsidR="00071A1C" w:rsidRDefault="00071A1C" w:rsidP="00071A1C">
      <w:pPr>
        <w:pStyle w:val="Heading4"/>
      </w:pPr>
      <w:r w:rsidRPr="00605AD4">
        <w:lastRenderedPageBreak/>
        <w:t xml:space="preserve">Clinical </w:t>
      </w:r>
      <w:r>
        <w:t>r</w:t>
      </w:r>
      <w:r w:rsidRPr="00605AD4">
        <w:t>ationale</w:t>
      </w:r>
    </w:p>
    <w:p w14:paraId="07F4C6B0" w14:textId="6D2900E1" w:rsidR="00642AF1" w:rsidRDefault="00642AF1" w:rsidP="00642AF1">
      <w:pPr>
        <w:rPr>
          <w:lang w:eastAsia="ja-JP"/>
        </w:rPr>
      </w:pPr>
      <w:r>
        <w:rPr>
          <w:lang w:eastAsia="ja-JP"/>
        </w:rPr>
        <w:t xml:space="preserve">Non-small cell lung carcinoma (NSCLC) </w:t>
      </w:r>
      <w:r w:rsidR="00F203B7">
        <w:t>includes primary cancers arising from the epithelial tissues of the lung such as adenocarcinoma and squamous cell carcinoma, and excluding small cell lung cancer</w:t>
      </w:r>
      <w:r>
        <w:rPr>
          <w:lang w:eastAsia="ja-JP"/>
        </w:rPr>
        <w:t>.</w:t>
      </w:r>
      <w:r>
        <w:rPr>
          <w:rStyle w:val="FootnoteReference"/>
          <w:lang w:eastAsia="ja-JP"/>
        </w:rPr>
        <w:footnoteReference w:id="10"/>
      </w:r>
    </w:p>
    <w:p w14:paraId="07F4C6B1" w14:textId="7C7E9A84" w:rsidR="00642AF1" w:rsidRDefault="00642AF1" w:rsidP="00642AF1">
      <w:pPr>
        <w:rPr>
          <w:lang w:eastAsia="ja-JP"/>
        </w:rPr>
      </w:pPr>
      <w:r>
        <w:rPr>
          <w:lang w:eastAsia="ja-JP"/>
        </w:rPr>
        <w:t>Standard first line therapy for most patients with metastatic NSCLC is cytotoxic chemotherapy with a platinum based doublet combination. Platinum agents used in Australia for first line therapy are cisplatin and carboplatin</w:t>
      </w:r>
      <w:r w:rsidR="00AD66BE">
        <w:rPr>
          <w:lang w:eastAsia="ja-JP"/>
        </w:rPr>
        <w:t>;</w:t>
      </w:r>
      <w:r>
        <w:rPr>
          <w:rStyle w:val="FootnoteReference"/>
          <w:lang w:eastAsia="ja-JP"/>
        </w:rPr>
        <w:footnoteReference w:id="11"/>
      </w:r>
      <w:r>
        <w:rPr>
          <w:lang w:eastAsia="ja-JP"/>
        </w:rPr>
        <w:t xml:space="preserve"> although these drugs are not specifically registered for use in NSCLC. Other agents used in combination with platinum therapy include docetaxel, </w:t>
      </w:r>
      <w:proofErr w:type="gramStart"/>
      <w:r>
        <w:rPr>
          <w:lang w:eastAsia="ja-JP"/>
        </w:rPr>
        <w:t>paclitaxel,</w:t>
      </w:r>
      <w:proofErr w:type="gramEnd"/>
      <w:r>
        <w:rPr>
          <w:lang w:eastAsia="ja-JP"/>
        </w:rPr>
        <w:t xml:space="preserve"> albumin bound paclitaxel, pemetrexed (in subjects with non-squamous histology), </w:t>
      </w:r>
      <w:proofErr w:type="spellStart"/>
      <w:r>
        <w:rPr>
          <w:lang w:eastAsia="ja-JP"/>
        </w:rPr>
        <w:t>vinorelbine</w:t>
      </w:r>
      <w:proofErr w:type="spellEnd"/>
      <w:r>
        <w:rPr>
          <w:lang w:eastAsia="ja-JP"/>
        </w:rPr>
        <w:t>, gemcitabine and etoposide.</w:t>
      </w:r>
      <w:bookmarkStart w:id="118" w:name="_Ref505866134"/>
      <w:r w:rsidR="00A70986">
        <w:rPr>
          <w:lang w:eastAsia="ja-JP"/>
        </w:rPr>
        <w:t xml:space="preserve"> </w:t>
      </w:r>
      <w:r w:rsidRPr="00AD66BE">
        <w:rPr>
          <w:rStyle w:val="FootnoteReference"/>
          <w:lang w:eastAsia="ja-JP"/>
        </w:rPr>
        <w:footnoteReference w:id="12"/>
      </w:r>
      <w:bookmarkEnd w:id="118"/>
      <w:r w:rsidR="00AD66BE" w:rsidRPr="00AD66BE">
        <w:rPr>
          <w:vertAlign w:val="superscript"/>
          <w:lang w:eastAsia="ja-JP"/>
        </w:rPr>
        <w:t>,</w:t>
      </w:r>
      <w:bookmarkStart w:id="119" w:name="_Ref505866316"/>
      <w:r w:rsidRPr="00AD66BE">
        <w:rPr>
          <w:rStyle w:val="FootnoteReference"/>
          <w:lang w:eastAsia="ja-JP"/>
        </w:rPr>
        <w:footnoteReference w:id="13"/>
      </w:r>
      <w:bookmarkEnd w:id="119"/>
      <w:proofErr w:type="gramStart"/>
      <w:r w:rsidR="00AD66BE" w:rsidRPr="00AD66BE">
        <w:rPr>
          <w:vertAlign w:val="superscript"/>
          <w:lang w:eastAsia="ja-JP"/>
        </w:rPr>
        <w:t>,</w:t>
      </w:r>
      <w:proofErr w:type="gramEnd"/>
      <w:r w:rsidRPr="00AD66BE">
        <w:rPr>
          <w:rStyle w:val="FootnoteReference"/>
          <w:lang w:eastAsia="ja-JP"/>
        </w:rPr>
        <w:footnoteReference w:id="14"/>
      </w:r>
      <w:r>
        <w:rPr>
          <w:lang w:eastAsia="ja-JP"/>
        </w:rPr>
        <w:t xml:space="preserve"> Treatment with platinum based therapy is usually continued for 4 to 6 cycles.</w:t>
      </w:r>
      <w:r w:rsidRPr="00642AF1">
        <w:rPr>
          <w:vertAlign w:val="superscript"/>
          <w:lang w:eastAsia="ja-JP"/>
        </w:rPr>
        <w:fldChar w:fldCharType="begin"/>
      </w:r>
      <w:r w:rsidRPr="00642AF1">
        <w:rPr>
          <w:vertAlign w:val="superscript"/>
          <w:lang w:eastAsia="ja-JP"/>
        </w:rPr>
        <w:instrText xml:space="preserve"> NOTEREF _Ref505866134 \h </w:instrText>
      </w:r>
      <w:r>
        <w:rPr>
          <w:vertAlign w:val="superscript"/>
          <w:lang w:eastAsia="ja-JP"/>
        </w:rPr>
        <w:instrText xml:space="preserve"> \* MERGEFORMAT </w:instrText>
      </w:r>
      <w:r w:rsidRPr="00642AF1">
        <w:rPr>
          <w:vertAlign w:val="superscript"/>
          <w:lang w:eastAsia="ja-JP"/>
        </w:rPr>
      </w:r>
      <w:r w:rsidRPr="00642AF1">
        <w:rPr>
          <w:vertAlign w:val="superscript"/>
          <w:lang w:eastAsia="ja-JP"/>
        </w:rPr>
        <w:fldChar w:fldCharType="separate"/>
      </w:r>
      <w:r w:rsidRPr="00642AF1">
        <w:rPr>
          <w:vertAlign w:val="superscript"/>
          <w:lang w:eastAsia="ja-JP"/>
        </w:rPr>
        <w:t>12</w:t>
      </w:r>
      <w:r w:rsidRPr="00642AF1">
        <w:rPr>
          <w:vertAlign w:val="superscript"/>
          <w:lang w:eastAsia="ja-JP"/>
        </w:rPr>
        <w:fldChar w:fldCharType="end"/>
      </w:r>
      <w:proofErr w:type="gramStart"/>
      <w:r w:rsidRPr="00D2152A">
        <w:rPr>
          <w:vertAlign w:val="superscript"/>
          <w:lang w:eastAsia="ja-JP"/>
        </w:rPr>
        <w:t>,</w:t>
      </w:r>
      <w:proofErr w:type="gramEnd"/>
      <w:r>
        <w:rPr>
          <w:vertAlign w:val="superscript"/>
          <w:lang w:eastAsia="ja-JP"/>
        </w:rPr>
        <w:fldChar w:fldCharType="begin"/>
      </w:r>
      <w:r>
        <w:rPr>
          <w:vertAlign w:val="superscript"/>
          <w:lang w:eastAsia="ja-JP"/>
        </w:rPr>
        <w:instrText xml:space="preserve"> NOTEREF _Ref505866316 \h </w:instrText>
      </w:r>
      <w:r>
        <w:rPr>
          <w:vertAlign w:val="superscript"/>
          <w:lang w:eastAsia="ja-JP"/>
        </w:rPr>
      </w:r>
      <w:r>
        <w:rPr>
          <w:vertAlign w:val="superscript"/>
          <w:lang w:eastAsia="ja-JP"/>
        </w:rPr>
        <w:fldChar w:fldCharType="separate"/>
      </w:r>
      <w:r>
        <w:rPr>
          <w:vertAlign w:val="superscript"/>
          <w:lang w:eastAsia="ja-JP"/>
        </w:rPr>
        <w:t>13</w:t>
      </w:r>
      <w:r>
        <w:rPr>
          <w:vertAlign w:val="superscript"/>
          <w:lang w:eastAsia="ja-JP"/>
        </w:rPr>
        <w:fldChar w:fldCharType="end"/>
      </w:r>
      <w:r>
        <w:rPr>
          <w:lang w:eastAsia="ja-JP"/>
        </w:rPr>
        <w:t xml:space="preserve"> In elderly patients or those with poor performance status, single agent chemotherapy may be used for first line treatment.</w:t>
      </w:r>
      <w:r w:rsidRPr="00642AF1">
        <w:rPr>
          <w:vertAlign w:val="superscript"/>
          <w:lang w:eastAsia="ja-JP"/>
        </w:rPr>
        <w:fldChar w:fldCharType="begin"/>
      </w:r>
      <w:r w:rsidRPr="00642AF1">
        <w:rPr>
          <w:vertAlign w:val="superscript"/>
          <w:lang w:eastAsia="ja-JP"/>
        </w:rPr>
        <w:instrText xml:space="preserve"> NOTEREF _Ref505866134 \h </w:instrText>
      </w:r>
      <w:r>
        <w:rPr>
          <w:vertAlign w:val="superscript"/>
          <w:lang w:eastAsia="ja-JP"/>
        </w:rPr>
        <w:instrText xml:space="preserve"> \* MERGEFORMAT </w:instrText>
      </w:r>
      <w:r w:rsidRPr="00642AF1">
        <w:rPr>
          <w:vertAlign w:val="superscript"/>
          <w:lang w:eastAsia="ja-JP"/>
        </w:rPr>
      </w:r>
      <w:r w:rsidRPr="00642AF1">
        <w:rPr>
          <w:vertAlign w:val="superscript"/>
          <w:lang w:eastAsia="ja-JP"/>
        </w:rPr>
        <w:fldChar w:fldCharType="separate"/>
      </w:r>
      <w:r w:rsidRPr="00642AF1">
        <w:rPr>
          <w:vertAlign w:val="superscript"/>
          <w:lang w:eastAsia="ja-JP"/>
        </w:rPr>
        <w:t>12</w:t>
      </w:r>
      <w:r w:rsidRPr="00642AF1">
        <w:rPr>
          <w:vertAlign w:val="superscript"/>
          <w:lang w:eastAsia="ja-JP"/>
        </w:rPr>
        <w:fldChar w:fldCharType="end"/>
      </w:r>
      <w:proofErr w:type="gramStart"/>
      <w:r w:rsidRPr="00D2152A">
        <w:rPr>
          <w:vertAlign w:val="superscript"/>
          <w:lang w:eastAsia="ja-JP"/>
        </w:rPr>
        <w:t>,</w:t>
      </w:r>
      <w:proofErr w:type="gramEnd"/>
      <w:r>
        <w:rPr>
          <w:vertAlign w:val="superscript"/>
          <w:lang w:eastAsia="ja-JP"/>
        </w:rPr>
        <w:fldChar w:fldCharType="begin"/>
      </w:r>
      <w:r>
        <w:rPr>
          <w:vertAlign w:val="superscript"/>
          <w:lang w:eastAsia="ja-JP"/>
        </w:rPr>
        <w:instrText xml:space="preserve"> NOTEREF _Ref505866316 \h </w:instrText>
      </w:r>
      <w:r>
        <w:rPr>
          <w:vertAlign w:val="superscript"/>
          <w:lang w:eastAsia="ja-JP"/>
        </w:rPr>
      </w:r>
      <w:r>
        <w:rPr>
          <w:vertAlign w:val="superscript"/>
          <w:lang w:eastAsia="ja-JP"/>
        </w:rPr>
        <w:fldChar w:fldCharType="separate"/>
      </w:r>
      <w:r>
        <w:rPr>
          <w:vertAlign w:val="superscript"/>
          <w:lang w:eastAsia="ja-JP"/>
        </w:rPr>
        <w:t>13</w:t>
      </w:r>
      <w:r>
        <w:rPr>
          <w:vertAlign w:val="superscript"/>
          <w:lang w:eastAsia="ja-JP"/>
        </w:rPr>
        <w:fldChar w:fldCharType="end"/>
      </w:r>
    </w:p>
    <w:p w14:paraId="07F4C6B2" w14:textId="77777777" w:rsidR="00642AF1" w:rsidRDefault="00642AF1" w:rsidP="00642AF1">
      <w:pPr>
        <w:rPr>
          <w:lang w:eastAsia="ja-JP"/>
        </w:rPr>
      </w:pPr>
      <w:r>
        <w:rPr>
          <w:lang w:eastAsia="ja-JP"/>
        </w:rPr>
        <w:t xml:space="preserve">The anti-angiogenic agent bevacizumab has been registered in Australia for the first line treatment </w:t>
      </w:r>
      <w:r w:rsidRPr="00126748">
        <w:rPr>
          <w:lang w:eastAsia="ja-JP"/>
        </w:rPr>
        <w:t>of non-squamous</w:t>
      </w:r>
      <w:r>
        <w:rPr>
          <w:lang w:eastAsia="ja-JP"/>
        </w:rPr>
        <w:t xml:space="preserve"> forms of NSCLC, in combination with carboplatin and paclitaxel.</w:t>
      </w:r>
    </w:p>
    <w:p w14:paraId="07F4C6B3" w14:textId="1FFAC193" w:rsidR="00642AF1" w:rsidRDefault="00642AF1" w:rsidP="00642AF1">
      <w:pPr>
        <w:rPr>
          <w:vertAlign w:val="superscript"/>
          <w:lang w:eastAsia="ja-JP"/>
        </w:rPr>
      </w:pPr>
      <w:r>
        <w:rPr>
          <w:lang w:eastAsia="ja-JP"/>
        </w:rPr>
        <w:t>In subjects with tumours that have activating mutations of the epidermal growth factor receptor (EGFR), recommended first line treatment is with an EGFR tyrosine kinase inhibitor (</w:t>
      </w:r>
      <w:r w:rsidR="005B7774">
        <w:rPr>
          <w:lang w:eastAsia="ja-JP"/>
        </w:rPr>
        <w:t xml:space="preserve">such as </w:t>
      </w:r>
      <w:proofErr w:type="spellStart"/>
      <w:r>
        <w:rPr>
          <w:lang w:eastAsia="ja-JP"/>
        </w:rPr>
        <w:t>gefitinib</w:t>
      </w:r>
      <w:proofErr w:type="spellEnd"/>
      <w:r>
        <w:rPr>
          <w:lang w:eastAsia="ja-JP"/>
        </w:rPr>
        <w:t xml:space="preserve">, </w:t>
      </w:r>
      <w:proofErr w:type="spellStart"/>
      <w:r>
        <w:rPr>
          <w:lang w:eastAsia="ja-JP"/>
        </w:rPr>
        <w:t>erlotinib</w:t>
      </w:r>
      <w:proofErr w:type="spellEnd"/>
      <w:r>
        <w:rPr>
          <w:lang w:eastAsia="ja-JP"/>
        </w:rPr>
        <w:t xml:space="preserve"> or </w:t>
      </w:r>
      <w:proofErr w:type="spellStart"/>
      <w:r>
        <w:rPr>
          <w:lang w:eastAsia="ja-JP"/>
        </w:rPr>
        <w:t>afatinib</w:t>
      </w:r>
      <w:proofErr w:type="spellEnd"/>
      <w:r>
        <w:rPr>
          <w:lang w:eastAsia="ja-JP"/>
        </w:rPr>
        <w:t>).</w:t>
      </w:r>
      <w:r w:rsidRPr="00642AF1">
        <w:rPr>
          <w:vertAlign w:val="superscript"/>
          <w:lang w:eastAsia="ja-JP"/>
        </w:rPr>
        <w:fldChar w:fldCharType="begin"/>
      </w:r>
      <w:r w:rsidRPr="00642AF1">
        <w:rPr>
          <w:vertAlign w:val="superscript"/>
          <w:lang w:eastAsia="ja-JP"/>
        </w:rPr>
        <w:instrText xml:space="preserve"> NOTEREF _Ref505866134 \h </w:instrText>
      </w:r>
      <w:r>
        <w:rPr>
          <w:vertAlign w:val="superscript"/>
          <w:lang w:eastAsia="ja-JP"/>
        </w:rPr>
        <w:instrText xml:space="preserve"> \* MERGEFORMAT </w:instrText>
      </w:r>
      <w:r w:rsidRPr="00642AF1">
        <w:rPr>
          <w:vertAlign w:val="superscript"/>
          <w:lang w:eastAsia="ja-JP"/>
        </w:rPr>
      </w:r>
      <w:r w:rsidRPr="00642AF1">
        <w:rPr>
          <w:vertAlign w:val="superscript"/>
          <w:lang w:eastAsia="ja-JP"/>
        </w:rPr>
        <w:fldChar w:fldCharType="separate"/>
      </w:r>
      <w:r w:rsidRPr="00642AF1">
        <w:rPr>
          <w:vertAlign w:val="superscript"/>
          <w:lang w:eastAsia="ja-JP"/>
        </w:rPr>
        <w:t>12</w:t>
      </w:r>
      <w:r w:rsidRPr="00642AF1">
        <w:rPr>
          <w:vertAlign w:val="superscript"/>
          <w:lang w:eastAsia="ja-JP"/>
        </w:rPr>
        <w:fldChar w:fldCharType="end"/>
      </w:r>
      <w:proofErr w:type="gramStart"/>
      <w:r w:rsidRPr="00D2152A">
        <w:rPr>
          <w:vertAlign w:val="superscript"/>
          <w:lang w:eastAsia="ja-JP"/>
        </w:rPr>
        <w:t>,</w:t>
      </w:r>
      <w:proofErr w:type="gramEnd"/>
      <w:r>
        <w:rPr>
          <w:vertAlign w:val="superscript"/>
          <w:lang w:eastAsia="ja-JP"/>
        </w:rPr>
        <w:fldChar w:fldCharType="begin"/>
      </w:r>
      <w:r>
        <w:rPr>
          <w:vertAlign w:val="superscript"/>
          <w:lang w:eastAsia="ja-JP"/>
        </w:rPr>
        <w:instrText xml:space="preserve"> NOTEREF _Ref505866316 \h </w:instrText>
      </w:r>
      <w:r>
        <w:rPr>
          <w:vertAlign w:val="superscript"/>
          <w:lang w:eastAsia="ja-JP"/>
        </w:rPr>
      </w:r>
      <w:r>
        <w:rPr>
          <w:vertAlign w:val="superscript"/>
          <w:lang w:eastAsia="ja-JP"/>
        </w:rPr>
        <w:fldChar w:fldCharType="separate"/>
      </w:r>
      <w:r>
        <w:rPr>
          <w:vertAlign w:val="superscript"/>
          <w:lang w:eastAsia="ja-JP"/>
        </w:rPr>
        <w:t>13</w:t>
      </w:r>
      <w:r>
        <w:rPr>
          <w:vertAlign w:val="superscript"/>
          <w:lang w:eastAsia="ja-JP"/>
        </w:rPr>
        <w:fldChar w:fldCharType="end"/>
      </w:r>
      <w:r>
        <w:rPr>
          <w:lang w:eastAsia="ja-JP"/>
        </w:rPr>
        <w:t xml:space="preserve"> Such mutations occur in approximately 15% of subjects with NSCLC.</w:t>
      </w:r>
      <w:r>
        <w:rPr>
          <w:rStyle w:val="FootnoteReference"/>
          <w:lang w:eastAsia="ja-JP"/>
        </w:rPr>
        <w:footnoteReference w:id="15"/>
      </w:r>
      <w:r>
        <w:rPr>
          <w:lang w:eastAsia="ja-JP"/>
        </w:rPr>
        <w:t xml:space="preserve"> For tumours with translocation of the anaplastic lymphoma kinase (ALK) gene, recommended first line therapy is with crizotinib, </w:t>
      </w:r>
      <w:r w:rsidRPr="001943A4">
        <w:rPr>
          <w:lang w:eastAsia="ja-JP"/>
        </w:rPr>
        <w:t>an inhibitor of the ALK receptor tyrosine kinase</w:t>
      </w:r>
      <w:r>
        <w:rPr>
          <w:lang w:eastAsia="ja-JP"/>
        </w:rPr>
        <w:t>.</w:t>
      </w:r>
      <w:r w:rsidRPr="00642AF1">
        <w:rPr>
          <w:vertAlign w:val="superscript"/>
          <w:lang w:eastAsia="ja-JP"/>
        </w:rPr>
        <w:fldChar w:fldCharType="begin"/>
      </w:r>
      <w:r w:rsidRPr="00642AF1">
        <w:rPr>
          <w:vertAlign w:val="superscript"/>
          <w:lang w:eastAsia="ja-JP"/>
        </w:rPr>
        <w:instrText xml:space="preserve"> NOTEREF _Ref505866134 \h </w:instrText>
      </w:r>
      <w:r>
        <w:rPr>
          <w:vertAlign w:val="superscript"/>
          <w:lang w:eastAsia="ja-JP"/>
        </w:rPr>
        <w:instrText xml:space="preserve"> \* MERGEFORMAT </w:instrText>
      </w:r>
      <w:r w:rsidRPr="00642AF1">
        <w:rPr>
          <w:vertAlign w:val="superscript"/>
          <w:lang w:eastAsia="ja-JP"/>
        </w:rPr>
      </w:r>
      <w:r w:rsidRPr="00642AF1">
        <w:rPr>
          <w:vertAlign w:val="superscript"/>
          <w:lang w:eastAsia="ja-JP"/>
        </w:rPr>
        <w:fldChar w:fldCharType="separate"/>
      </w:r>
      <w:r w:rsidRPr="00642AF1">
        <w:rPr>
          <w:vertAlign w:val="superscript"/>
          <w:lang w:eastAsia="ja-JP"/>
        </w:rPr>
        <w:t>12</w:t>
      </w:r>
      <w:r w:rsidRPr="00642AF1">
        <w:rPr>
          <w:vertAlign w:val="superscript"/>
          <w:lang w:eastAsia="ja-JP"/>
        </w:rPr>
        <w:fldChar w:fldCharType="end"/>
      </w:r>
      <w:r w:rsidRPr="00D2152A">
        <w:rPr>
          <w:vertAlign w:val="superscript"/>
          <w:lang w:eastAsia="ja-JP"/>
        </w:rPr>
        <w:t xml:space="preserve">, </w:t>
      </w:r>
      <w:r>
        <w:rPr>
          <w:vertAlign w:val="superscript"/>
          <w:lang w:eastAsia="ja-JP"/>
        </w:rPr>
        <w:fldChar w:fldCharType="begin"/>
      </w:r>
      <w:r>
        <w:rPr>
          <w:vertAlign w:val="superscript"/>
          <w:lang w:eastAsia="ja-JP"/>
        </w:rPr>
        <w:instrText xml:space="preserve"> NOTEREF _Ref505866316 \h </w:instrText>
      </w:r>
      <w:r>
        <w:rPr>
          <w:vertAlign w:val="superscript"/>
          <w:lang w:eastAsia="ja-JP"/>
        </w:rPr>
      </w:r>
      <w:r>
        <w:rPr>
          <w:vertAlign w:val="superscript"/>
          <w:lang w:eastAsia="ja-JP"/>
        </w:rPr>
        <w:fldChar w:fldCharType="separate"/>
      </w:r>
      <w:r>
        <w:rPr>
          <w:vertAlign w:val="superscript"/>
          <w:lang w:eastAsia="ja-JP"/>
        </w:rPr>
        <w:t>13</w:t>
      </w:r>
      <w:r>
        <w:rPr>
          <w:vertAlign w:val="superscript"/>
          <w:lang w:eastAsia="ja-JP"/>
        </w:rPr>
        <w:fldChar w:fldCharType="end"/>
      </w:r>
      <w:r>
        <w:rPr>
          <w:lang w:eastAsia="ja-JP"/>
        </w:rPr>
        <w:t xml:space="preserve"> ALK rearrangements are present in approximately 3 to 5% of subjects with NSCLC.</w:t>
      </w:r>
      <w:bookmarkStart w:id="120" w:name="_Ref505866599"/>
      <w:r>
        <w:rPr>
          <w:rStyle w:val="FootnoteReference"/>
          <w:lang w:eastAsia="ja-JP"/>
        </w:rPr>
        <w:footnoteReference w:id="16"/>
      </w:r>
      <w:bookmarkEnd w:id="120"/>
      <w:r w:rsidRPr="00D2152A">
        <w:rPr>
          <w:lang w:eastAsia="ja-JP"/>
        </w:rPr>
        <w:t xml:space="preserve"> </w:t>
      </w:r>
      <w:r>
        <w:rPr>
          <w:lang w:eastAsia="ja-JP"/>
        </w:rPr>
        <w:t>Crizotinib is also recommended for the first line treatment of tumours with translocation of the ROS1 gene.</w:t>
      </w:r>
      <w:r w:rsidRPr="00642AF1">
        <w:rPr>
          <w:vertAlign w:val="superscript"/>
          <w:lang w:eastAsia="ja-JP"/>
        </w:rPr>
        <w:fldChar w:fldCharType="begin"/>
      </w:r>
      <w:r w:rsidRPr="00642AF1">
        <w:rPr>
          <w:vertAlign w:val="superscript"/>
          <w:lang w:eastAsia="ja-JP"/>
        </w:rPr>
        <w:instrText xml:space="preserve"> NOTEREF _Ref505866134 \h </w:instrText>
      </w:r>
      <w:r>
        <w:rPr>
          <w:vertAlign w:val="superscript"/>
          <w:lang w:eastAsia="ja-JP"/>
        </w:rPr>
        <w:instrText xml:space="preserve"> \* MERGEFORMAT </w:instrText>
      </w:r>
      <w:r w:rsidRPr="00642AF1">
        <w:rPr>
          <w:vertAlign w:val="superscript"/>
          <w:lang w:eastAsia="ja-JP"/>
        </w:rPr>
      </w:r>
      <w:r w:rsidRPr="00642AF1">
        <w:rPr>
          <w:vertAlign w:val="superscript"/>
          <w:lang w:eastAsia="ja-JP"/>
        </w:rPr>
        <w:fldChar w:fldCharType="separate"/>
      </w:r>
      <w:r w:rsidRPr="00642AF1">
        <w:rPr>
          <w:vertAlign w:val="superscript"/>
          <w:lang w:eastAsia="ja-JP"/>
        </w:rPr>
        <w:t>12</w:t>
      </w:r>
      <w:r w:rsidRPr="00642AF1">
        <w:rPr>
          <w:vertAlign w:val="superscript"/>
          <w:lang w:eastAsia="ja-JP"/>
        </w:rPr>
        <w:fldChar w:fldCharType="end"/>
      </w:r>
      <w:r w:rsidR="00A70986">
        <w:rPr>
          <w:vertAlign w:val="superscript"/>
          <w:lang w:eastAsia="ja-JP"/>
        </w:rPr>
        <w:t xml:space="preserve"> </w:t>
      </w:r>
      <w:r w:rsidR="00A70986" w:rsidRPr="00A70986">
        <w:rPr>
          <w:lang w:eastAsia="ja-JP"/>
        </w:rPr>
        <w:t>The</w:t>
      </w:r>
      <w:r>
        <w:rPr>
          <w:lang w:eastAsia="ja-JP"/>
        </w:rPr>
        <w:t xml:space="preserve"> ROS1 translocation is present in approximately 1 to 2% of subjects with NSCLC.</w:t>
      </w:r>
      <w:r w:rsidRPr="00642AF1">
        <w:rPr>
          <w:vertAlign w:val="superscript"/>
          <w:lang w:eastAsia="ja-JP"/>
        </w:rPr>
        <w:fldChar w:fldCharType="begin"/>
      </w:r>
      <w:r w:rsidRPr="00642AF1">
        <w:rPr>
          <w:vertAlign w:val="superscript"/>
          <w:lang w:eastAsia="ja-JP"/>
        </w:rPr>
        <w:instrText xml:space="preserve"> NOTEREF _Ref505866599 \h </w:instrText>
      </w:r>
      <w:r>
        <w:rPr>
          <w:vertAlign w:val="superscript"/>
          <w:lang w:eastAsia="ja-JP"/>
        </w:rPr>
        <w:instrText xml:space="preserve"> \* MERGEFORMAT </w:instrText>
      </w:r>
      <w:r w:rsidRPr="00642AF1">
        <w:rPr>
          <w:vertAlign w:val="superscript"/>
          <w:lang w:eastAsia="ja-JP"/>
        </w:rPr>
      </w:r>
      <w:r w:rsidRPr="00642AF1">
        <w:rPr>
          <w:vertAlign w:val="superscript"/>
          <w:lang w:eastAsia="ja-JP"/>
        </w:rPr>
        <w:fldChar w:fldCharType="separate"/>
      </w:r>
      <w:r w:rsidRPr="00642AF1">
        <w:rPr>
          <w:vertAlign w:val="superscript"/>
          <w:lang w:eastAsia="ja-JP"/>
        </w:rPr>
        <w:t>16</w:t>
      </w:r>
      <w:r w:rsidRPr="00642AF1">
        <w:rPr>
          <w:vertAlign w:val="superscript"/>
          <w:lang w:eastAsia="ja-JP"/>
        </w:rPr>
        <w:fldChar w:fldCharType="end"/>
      </w:r>
    </w:p>
    <w:p w14:paraId="07F4C6B4" w14:textId="4BBEA084" w:rsidR="002B3D27" w:rsidRPr="00730C59" w:rsidRDefault="002B3D27" w:rsidP="002B3D27">
      <w:pPr>
        <w:rPr>
          <w:lang w:eastAsia="ja-JP"/>
        </w:rPr>
      </w:pPr>
      <w:r w:rsidRPr="00730C59">
        <w:rPr>
          <w:lang w:eastAsia="ja-JP"/>
        </w:rPr>
        <w:t>Pembrolizumab is a monoclonal antibody that inhibits the PD-1 receptor (also known as CD279), which is expressed on activated T</w:t>
      </w:r>
      <w:r w:rsidR="000F7A0C">
        <w:rPr>
          <w:lang w:eastAsia="ja-JP"/>
        </w:rPr>
        <w:t xml:space="preserve"> </w:t>
      </w:r>
      <w:r w:rsidRPr="00730C59">
        <w:rPr>
          <w:lang w:eastAsia="ja-JP"/>
        </w:rPr>
        <w:t>lymphocytes. Stimulation of the PD-1 receptor results in an inhibitory effect on T</w:t>
      </w:r>
      <w:r w:rsidR="000F7A0C">
        <w:rPr>
          <w:lang w:eastAsia="ja-JP"/>
        </w:rPr>
        <w:t xml:space="preserve"> </w:t>
      </w:r>
      <w:r w:rsidRPr="00730C59">
        <w:rPr>
          <w:lang w:eastAsia="ja-JP"/>
        </w:rPr>
        <w:t xml:space="preserve">cell function. The normal function of the PD-1 receptor is to limit or </w:t>
      </w:r>
      <w:r w:rsidR="000F7A0C">
        <w:rPr>
          <w:lang w:eastAsia="ja-JP"/>
        </w:rPr>
        <w:t>‘</w:t>
      </w:r>
      <w:r w:rsidRPr="00730C59">
        <w:rPr>
          <w:lang w:eastAsia="ja-JP"/>
        </w:rPr>
        <w:t>check</w:t>
      </w:r>
      <w:r w:rsidR="000F7A0C">
        <w:rPr>
          <w:lang w:eastAsia="ja-JP"/>
        </w:rPr>
        <w:t>’</w:t>
      </w:r>
      <w:r w:rsidR="000F7A0C" w:rsidRPr="00730C59">
        <w:rPr>
          <w:lang w:eastAsia="ja-JP"/>
        </w:rPr>
        <w:t xml:space="preserve"> </w:t>
      </w:r>
      <w:r w:rsidRPr="00730C59">
        <w:rPr>
          <w:lang w:eastAsia="ja-JP"/>
        </w:rPr>
        <w:t>overstimulation of immune responses. There are two known normal ligands for PD-1: PD-L1 (also known as CD274 or B7-H1) and PD-L2 (also known as CD273 or B7-DC). The PD-L1</w:t>
      </w:r>
      <w:r w:rsidR="002D1E8D">
        <w:rPr>
          <w:lang w:eastAsia="ja-JP"/>
        </w:rPr>
        <w:t xml:space="preserve"> ligand is expressed on antigen </w:t>
      </w:r>
      <w:r w:rsidRPr="00730C59">
        <w:rPr>
          <w:lang w:eastAsia="ja-JP"/>
        </w:rPr>
        <w:t xml:space="preserve">presenting cells </w:t>
      </w:r>
      <w:r>
        <w:rPr>
          <w:lang w:eastAsia="ja-JP"/>
        </w:rPr>
        <w:t>(APCs) and a wide range of non</w:t>
      </w:r>
      <w:r>
        <w:rPr>
          <w:lang w:eastAsia="ja-JP"/>
        </w:rPr>
        <w:noBreakHyphen/>
      </w:r>
      <w:r w:rsidRPr="00730C59">
        <w:rPr>
          <w:lang w:eastAsia="ja-JP"/>
        </w:rPr>
        <w:t>haematopoietic cells, whereas PD-L2 is expressed on dendritic cells and macrophages</w:t>
      </w:r>
      <w:r>
        <w:rPr>
          <w:lang w:eastAsia="ja-JP"/>
        </w:rPr>
        <w:t>.</w:t>
      </w:r>
      <w:r>
        <w:rPr>
          <w:rStyle w:val="FootnoteReference"/>
          <w:lang w:eastAsia="ja-JP"/>
        </w:rPr>
        <w:footnoteReference w:id="17"/>
      </w:r>
    </w:p>
    <w:p w14:paraId="07F4C6B5" w14:textId="47A05D57" w:rsidR="002B3D27" w:rsidRDefault="002B3D27" w:rsidP="002B3D27">
      <w:pPr>
        <w:rPr>
          <w:lang w:eastAsia="ja-JP"/>
        </w:rPr>
      </w:pPr>
      <w:r w:rsidRPr="00EF520F">
        <w:rPr>
          <w:lang w:eastAsia="ja-JP"/>
        </w:rPr>
        <w:lastRenderedPageBreak/>
        <w:t>PD-L1 is often highly expressed in many human cancer types, including NSCLC</w:t>
      </w:r>
      <w:r>
        <w:rPr>
          <w:lang w:eastAsia="ja-JP"/>
        </w:rPr>
        <w:t>.</w:t>
      </w:r>
      <w:r w:rsidRPr="002B3D27">
        <w:rPr>
          <w:vertAlign w:val="superscript"/>
          <w:lang w:eastAsia="ja-JP"/>
        </w:rPr>
        <w:fldChar w:fldCharType="begin"/>
      </w:r>
      <w:r w:rsidRPr="002B3D27">
        <w:rPr>
          <w:vertAlign w:val="superscript"/>
          <w:lang w:eastAsia="ja-JP"/>
        </w:rPr>
        <w:instrText xml:space="preserve"> NOTEREF _Ref505866599 \h </w:instrText>
      </w:r>
      <w:r>
        <w:rPr>
          <w:vertAlign w:val="superscript"/>
          <w:lang w:eastAsia="ja-JP"/>
        </w:rPr>
        <w:instrText xml:space="preserve"> \* MERGEFORMAT </w:instrText>
      </w:r>
      <w:r w:rsidRPr="002B3D27">
        <w:rPr>
          <w:vertAlign w:val="superscript"/>
          <w:lang w:eastAsia="ja-JP"/>
        </w:rPr>
      </w:r>
      <w:r w:rsidRPr="002B3D27">
        <w:rPr>
          <w:vertAlign w:val="superscript"/>
          <w:lang w:eastAsia="ja-JP"/>
        </w:rPr>
        <w:fldChar w:fldCharType="separate"/>
      </w:r>
      <w:r w:rsidRPr="002B3D27">
        <w:rPr>
          <w:vertAlign w:val="superscript"/>
          <w:lang w:eastAsia="ja-JP"/>
        </w:rPr>
        <w:t>16</w:t>
      </w:r>
      <w:r w:rsidRPr="002B3D27">
        <w:rPr>
          <w:vertAlign w:val="superscript"/>
          <w:lang w:eastAsia="ja-JP"/>
        </w:rPr>
        <w:fldChar w:fldCharType="end"/>
      </w:r>
      <w:r>
        <w:rPr>
          <w:vertAlign w:val="superscript"/>
          <w:lang w:eastAsia="ja-JP"/>
        </w:rPr>
        <w:t xml:space="preserve"> </w:t>
      </w:r>
      <w:r>
        <w:rPr>
          <w:rStyle w:val="FootnoteReference"/>
          <w:lang w:eastAsia="ja-JP"/>
        </w:rPr>
        <w:footnoteReference w:id="18"/>
      </w:r>
      <w:r w:rsidRPr="00EF520F">
        <w:rPr>
          <w:lang w:eastAsia="ja-JP"/>
        </w:rPr>
        <w:t xml:space="preserve"> Tumour expression of PD-L1 may result in inhibition of T</w:t>
      </w:r>
      <w:r w:rsidR="000F7A0C">
        <w:rPr>
          <w:lang w:eastAsia="ja-JP"/>
        </w:rPr>
        <w:t xml:space="preserve"> </w:t>
      </w:r>
      <w:r w:rsidRPr="00EF520F">
        <w:rPr>
          <w:lang w:eastAsia="ja-JP"/>
        </w:rPr>
        <w:t>cell mediated anti-tumour effects via the PD</w:t>
      </w:r>
      <w:r>
        <w:rPr>
          <w:lang w:eastAsia="ja-JP"/>
        </w:rPr>
        <w:noBreakHyphen/>
      </w:r>
      <w:r w:rsidRPr="00EF520F">
        <w:rPr>
          <w:lang w:eastAsia="ja-JP"/>
        </w:rPr>
        <w:t>1 receptor. The clinical rationale for PD-1 receptor blockade with pembrolizumab is to remove such inhibition.</w:t>
      </w:r>
    </w:p>
    <w:p w14:paraId="07F4C6B6" w14:textId="77777777" w:rsidR="002B3D27" w:rsidRDefault="002B3D27" w:rsidP="002B3D27">
      <w:pPr>
        <w:pStyle w:val="Comment"/>
      </w:pPr>
      <w:r w:rsidRPr="00967D94">
        <w:rPr>
          <w:b/>
        </w:rPr>
        <w:t>Comment:</w:t>
      </w:r>
      <w:r>
        <w:t xml:space="preserve"> The rationale for use of pembrolizumab in NSCLC is acceptable and is supported by the recent TGA approval of another PD-1 receptor blocker (nivolumab) for the second line treatment of NSCLC.</w:t>
      </w:r>
      <w:bookmarkStart w:id="121" w:name="_Ref506459508"/>
      <w:r>
        <w:rPr>
          <w:rStyle w:val="FootnoteReference"/>
        </w:rPr>
        <w:footnoteReference w:id="19"/>
      </w:r>
      <w:bookmarkEnd w:id="121"/>
    </w:p>
    <w:p w14:paraId="07F4C6B7" w14:textId="77777777" w:rsidR="002B3D27" w:rsidRDefault="002B3D27" w:rsidP="002B3D27">
      <w:pPr>
        <w:pStyle w:val="Heading4"/>
      </w:pPr>
      <w:bookmarkStart w:id="122" w:name="_Toc504133702"/>
      <w:r>
        <w:t>Related submissions</w:t>
      </w:r>
      <w:bookmarkEnd w:id="122"/>
    </w:p>
    <w:p w14:paraId="07F4C6B8" w14:textId="77777777" w:rsidR="002B3D27" w:rsidRDefault="002B3D27" w:rsidP="002B3D27">
      <w:pPr>
        <w:rPr>
          <w:lang w:eastAsia="ja-JP"/>
        </w:rPr>
      </w:pPr>
      <w:r>
        <w:rPr>
          <w:lang w:eastAsia="ja-JP"/>
        </w:rPr>
        <w:t>The initial submission to register pembrolizumab for the treatment of melanoma (PM</w:t>
      </w:r>
      <w:r>
        <w:rPr>
          <w:lang w:eastAsia="ja-JP"/>
        </w:rPr>
        <w:noBreakHyphen/>
        <w:t>2014</w:t>
      </w:r>
      <w:r>
        <w:rPr>
          <w:lang w:eastAsia="ja-JP"/>
        </w:rPr>
        <w:noBreakHyphen/>
        <w:t>01928-1-4) was approved by the TGA on 15 April 2015.</w:t>
      </w:r>
    </w:p>
    <w:p w14:paraId="07F4C6B9" w14:textId="77777777" w:rsidR="002B3D27" w:rsidRDefault="002B3D27" w:rsidP="002B3D27">
      <w:pPr>
        <w:rPr>
          <w:lang w:eastAsia="ja-JP"/>
        </w:rPr>
      </w:pPr>
      <w:r>
        <w:rPr>
          <w:lang w:eastAsia="ja-JP"/>
        </w:rPr>
        <w:t>At the time of writing, a separate submission</w:t>
      </w:r>
      <w:r w:rsidR="006418E7">
        <w:rPr>
          <w:lang w:eastAsia="ja-JP"/>
        </w:rPr>
        <w:t xml:space="preserve"> </w:t>
      </w:r>
      <w:r w:rsidR="006418E7" w:rsidRPr="0090359D">
        <w:rPr>
          <w:lang w:eastAsia="ja-JP"/>
        </w:rPr>
        <w:t>(PM-2015-04712-1-4)</w:t>
      </w:r>
      <w:r>
        <w:rPr>
          <w:lang w:eastAsia="ja-JP"/>
        </w:rPr>
        <w:t xml:space="preserve"> to extend the indications of pembrolizumab to include the second </w:t>
      </w:r>
      <w:r w:rsidRPr="00F1769B">
        <w:rPr>
          <w:lang w:eastAsia="ja-JP"/>
        </w:rPr>
        <w:t>line</w:t>
      </w:r>
      <w:r>
        <w:rPr>
          <w:lang w:eastAsia="ja-JP"/>
        </w:rPr>
        <w:t xml:space="preserve"> treatment of NSCLC was under evaluation</w:t>
      </w:r>
      <w:r w:rsidRPr="0090359D">
        <w:rPr>
          <w:lang w:eastAsia="ja-JP"/>
        </w:rPr>
        <w:t>.</w:t>
      </w:r>
    </w:p>
    <w:p w14:paraId="07F4C6BA" w14:textId="6E29A39A" w:rsidR="002B3D27" w:rsidRDefault="002B3D27" w:rsidP="002B3D27">
      <w:pPr>
        <w:rPr>
          <w:lang w:eastAsia="ja-JP"/>
        </w:rPr>
      </w:pPr>
      <w:r>
        <w:rPr>
          <w:lang w:eastAsia="ja-JP"/>
        </w:rPr>
        <w:t xml:space="preserve">A submission to register another </w:t>
      </w:r>
      <w:r>
        <w:t>monoclonal antibody against the PD-1 receptor (nivolumab)</w:t>
      </w:r>
      <w:r w:rsidRPr="0090359D">
        <w:rPr>
          <w:lang w:eastAsia="ja-JP"/>
        </w:rPr>
        <w:t xml:space="preserve"> </w:t>
      </w:r>
      <w:r>
        <w:rPr>
          <w:lang w:eastAsia="ja-JP"/>
        </w:rPr>
        <w:t xml:space="preserve">for the second </w:t>
      </w:r>
      <w:r w:rsidRPr="0090359D">
        <w:rPr>
          <w:lang w:eastAsia="ja-JP"/>
        </w:rPr>
        <w:t>line</w:t>
      </w:r>
      <w:r>
        <w:rPr>
          <w:lang w:eastAsia="ja-JP"/>
        </w:rPr>
        <w:t xml:space="preserve"> treatment of NSCLC was approved by the TGA on 7</w:t>
      </w:r>
      <w:r w:rsidR="00756E7A">
        <w:rPr>
          <w:lang w:eastAsia="ja-JP"/>
        </w:rPr>
        <w:t> </w:t>
      </w:r>
      <w:r>
        <w:rPr>
          <w:lang w:eastAsia="ja-JP"/>
        </w:rPr>
        <w:t>January 2016.</w:t>
      </w:r>
      <w:r w:rsidR="006418E7" w:rsidRPr="006418E7">
        <w:rPr>
          <w:vertAlign w:val="superscript"/>
          <w:lang w:eastAsia="ja-JP"/>
        </w:rPr>
        <w:fldChar w:fldCharType="begin"/>
      </w:r>
      <w:r w:rsidR="006418E7" w:rsidRPr="006418E7">
        <w:rPr>
          <w:vertAlign w:val="superscript"/>
          <w:lang w:eastAsia="ja-JP"/>
        </w:rPr>
        <w:instrText xml:space="preserve"> NOTEREF _Ref506459508 \h  \* MERGEFORMAT </w:instrText>
      </w:r>
      <w:r w:rsidR="006418E7" w:rsidRPr="006418E7">
        <w:rPr>
          <w:vertAlign w:val="superscript"/>
          <w:lang w:eastAsia="ja-JP"/>
        </w:rPr>
      </w:r>
      <w:r w:rsidR="006418E7" w:rsidRPr="006418E7">
        <w:rPr>
          <w:vertAlign w:val="superscript"/>
          <w:lang w:eastAsia="ja-JP"/>
        </w:rPr>
        <w:fldChar w:fldCharType="separate"/>
      </w:r>
      <w:r w:rsidR="006418E7" w:rsidRPr="006418E7">
        <w:rPr>
          <w:vertAlign w:val="superscript"/>
          <w:lang w:eastAsia="ja-JP"/>
        </w:rPr>
        <w:t>19</w:t>
      </w:r>
      <w:r w:rsidR="006418E7" w:rsidRPr="006418E7">
        <w:rPr>
          <w:vertAlign w:val="superscript"/>
          <w:lang w:eastAsia="ja-JP"/>
        </w:rPr>
        <w:fldChar w:fldCharType="end"/>
      </w:r>
    </w:p>
    <w:p w14:paraId="07F4C6BB" w14:textId="6EB20CDA" w:rsidR="002B3D27" w:rsidRPr="00642AF1" w:rsidRDefault="002B3D27" w:rsidP="00642AF1">
      <w:pPr>
        <w:rPr>
          <w:lang w:eastAsia="ja-JP"/>
        </w:rPr>
      </w:pPr>
      <w:r w:rsidRPr="00126748">
        <w:rPr>
          <w:lang w:eastAsia="ja-JP"/>
        </w:rPr>
        <w:t xml:space="preserve">According to the covering letter for the current submission another application </w:t>
      </w:r>
      <w:r w:rsidR="006418E7" w:rsidRPr="00126748">
        <w:rPr>
          <w:lang w:eastAsia="ja-JP"/>
        </w:rPr>
        <w:t>(</w:t>
      </w:r>
      <w:r w:rsidR="00600D2E">
        <w:rPr>
          <w:lang w:eastAsia="ja-JP"/>
        </w:rPr>
        <w:t>Submission </w:t>
      </w:r>
      <w:r w:rsidR="006418E7" w:rsidRPr="00126748">
        <w:rPr>
          <w:lang w:eastAsia="ja-JP"/>
        </w:rPr>
        <w:t>PM-2016-01163-1-4)</w:t>
      </w:r>
      <w:r w:rsidR="006418E7">
        <w:rPr>
          <w:lang w:eastAsia="ja-JP"/>
        </w:rPr>
        <w:t xml:space="preserve"> </w:t>
      </w:r>
      <w:r w:rsidRPr="00126748">
        <w:rPr>
          <w:lang w:eastAsia="ja-JP"/>
        </w:rPr>
        <w:t>is currently under evaluation to extend the approved indications of pembrolizumab to include the treatment of squamous cell carcinoma of the head and neck.</w:t>
      </w:r>
      <w:r w:rsidRPr="00126748">
        <w:rPr>
          <w:rStyle w:val="FootnoteReference"/>
          <w:lang w:eastAsia="ja-JP"/>
        </w:rPr>
        <w:footnoteReference w:id="20"/>
      </w:r>
    </w:p>
    <w:p w14:paraId="07F4C6BC" w14:textId="77777777" w:rsidR="00071A1C" w:rsidRDefault="00071A1C" w:rsidP="00071A1C">
      <w:pPr>
        <w:pStyle w:val="Heading4"/>
      </w:pPr>
      <w:r w:rsidRPr="00605AD4">
        <w:t>Contents of the clinical dossier</w:t>
      </w:r>
    </w:p>
    <w:p w14:paraId="07F4C6BD" w14:textId="77777777" w:rsidR="002B3D27" w:rsidRDefault="002B3D27" w:rsidP="002B3D27">
      <w:pPr>
        <w:rPr>
          <w:lang w:eastAsia="ja-JP"/>
        </w:rPr>
      </w:pPr>
      <w:r>
        <w:rPr>
          <w:lang w:eastAsia="ja-JP"/>
        </w:rPr>
        <w:t>The submission contained the following clinical information:</w:t>
      </w:r>
    </w:p>
    <w:p w14:paraId="07F4C6BE" w14:textId="4E763259" w:rsidR="002B3D27" w:rsidRPr="002B3D27" w:rsidRDefault="002B3D27" w:rsidP="002B3D27">
      <w:pPr>
        <w:pStyle w:val="ListBullet"/>
      </w:pPr>
      <w:r w:rsidRPr="002B3D27">
        <w:t>A clinical study report for a single pivotal Phase III randomi</w:t>
      </w:r>
      <w:r w:rsidR="003F23D1">
        <w:t>sed controlled trial</w:t>
      </w:r>
      <w:r w:rsidR="00263D09">
        <w:t>, the</w:t>
      </w:r>
      <w:r w:rsidR="003F23D1">
        <w:t xml:space="preserve"> </w:t>
      </w:r>
      <w:r w:rsidR="006418E7">
        <w:rPr>
          <w:lang w:eastAsia="ja-JP"/>
        </w:rPr>
        <w:t>KEYNOTE-024</w:t>
      </w:r>
      <w:r w:rsidR="006418E7">
        <w:t xml:space="preserve"> </w:t>
      </w:r>
      <w:r w:rsidR="00263D09">
        <w:t xml:space="preserve">trial </w:t>
      </w:r>
      <w:r w:rsidR="003F23D1">
        <w:t>(</w:t>
      </w:r>
      <w:r w:rsidR="006418E7">
        <w:rPr>
          <w:lang w:eastAsia="ja-JP"/>
        </w:rPr>
        <w:t>also known as</w:t>
      </w:r>
      <w:r w:rsidR="006418E7">
        <w:t xml:space="preserve"> Study 024</w:t>
      </w:r>
      <w:r w:rsidR="003F23D1">
        <w:rPr>
          <w:lang w:eastAsia="ja-JP"/>
        </w:rPr>
        <w:t>)</w:t>
      </w:r>
      <w:r w:rsidRPr="002B3D27">
        <w:t>;</w:t>
      </w:r>
    </w:p>
    <w:p w14:paraId="07F4C6BF" w14:textId="77777777" w:rsidR="002B3D27" w:rsidRPr="002B3D27" w:rsidRDefault="002B3D27" w:rsidP="002B3D27">
      <w:pPr>
        <w:pStyle w:val="ListBullet"/>
      </w:pPr>
      <w:r w:rsidRPr="002B3D27">
        <w:t>1 pooled analysis (from 3 pembrolizumab studies) of the relationship between systemic exposure to pembrolizumab and efficacy in the first line treatment of NSCLC;</w:t>
      </w:r>
    </w:p>
    <w:p w14:paraId="07F4C6C0" w14:textId="77777777" w:rsidR="002B3D27" w:rsidRPr="002B3D27" w:rsidRDefault="002B3D27" w:rsidP="002B3D27">
      <w:pPr>
        <w:pStyle w:val="ListBullet"/>
      </w:pPr>
      <w:r w:rsidRPr="002B3D27">
        <w:t>1 pooled analysis (from 5 pembrolizumab studies) of the relationship between systemic exposure to pembrolizumab and the occurrence of immune related adverse events, in NSCLC and melanoma patients;</w:t>
      </w:r>
    </w:p>
    <w:p w14:paraId="07F4C6C1" w14:textId="77777777" w:rsidR="002B3D27" w:rsidRPr="002B3D27" w:rsidRDefault="002B3D27" w:rsidP="002B3D27">
      <w:pPr>
        <w:pStyle w:val="ListBullet"/>
      </w:pPr>
      <w:r w:rsidRPr="002B3D27">
        <w:t>1 analysis of immunogenicity data from several pembrolizumab studies;</w:t>
      </w:r>
    </w:p>
    <w:p w14:paraId="07F4C6C2" w14:textId="77777777" w:rsidR="002B3D27" w:rsidRPr="002B3D27" w:rsidRDefault="002B3D27" w:rsidP="002B3D27">
      <w:pPr>
        <w:pStyle w:val="ListBullet"/>
      </w:pPr>
      <w:r w:rsidRPr="002B3D27">
        <w:t>Literature references.</w:t>
      </w:r>
    </w:p>
    <w:p w14:paraId="07F4C6C3" w14:textId="77777777" w:rsidR="002B3D27" w:rsidRPr="002B3D27" w:rsidRDefault="002B3D27" w:rsidP="002B3D27">
      <w:r w:rsidRPr="002B3D27">
        <w:t>The submission also included a Clinical Overview, Summary of Clinical Efficacy and Summary of Clinical Safety.</w:t>
      </w:r>
    </w:p>
    <w:p w14:paraId="07F4C6C4" w14:textId="77777777" w:rsidR="00071A1C" w:rsidRDefault="00071A1C" w:rsidP="00071A1C">
      <w:pPr>
        <w:pStyle w:val="Heading4"/>
      </w:pPr>
      <w:r w:rsidRPr="00605AD4">
        <w:t>Paediatric data</w:t>
      </w:r>
    </w:p>
    <w:p w14:paraId="07F4C6C5" w14:textId="77777777" w:rsidR="002B3D27" w:rsidRDefault="002B3D27" w:rsidP="002B3D27">
      <w:pPr>
        <w:rPr>
          <w:lang w:eastAsia="ja-JP"/>
        </w:rPr>
      </w:pPr>
      <w:r>
        <w:rPr>
          <w:lang w:eastAsia="ja-JP"/>
        </w:rPr>
        <w:t>There were no paediatric data in the submission.</w:t>
      </w:r>
    </w:p>
    <w:p w14:paraId="07F4C6C6" w14:textId="7314F24F" w:rsidR="002B3D27" w:rsidRPr="002B3D27" w:rsidRDefault="002B3D27" w:rsidP="002B3D27">
      <w:pPr>
        <w:pStyle w:val="Comment"/>
      </w:pPr>
      <w:r w:rsidRPr="00967D94">
        <w:rPr>
          <w:b/>
        </w:rPr>
        <w:t>Comment:</w:t>
      </w:r>
      <w:r>
        <w:t xml:space="preserve"> As NSCLC is a disease of adults, the absence of paediatric data is acceptable.</w:t>
      </w:r>
    </w:p>
    <w:p w14:paraId="07F4C6C7" w14:textId="77777777" w:rsidR="00071A1C" w:rsidRDefault="00071A1C" w:rsidP="00071A1C">
      <w:pPr>
        <w:pStyle w:val="Heading4"/>
      </w:pPr>
      <w:r w:rsidRPr="00605AD4">
        <w:lastRenderedPageBreak/>
        <w:t>Good clinical practice</w:t>
      </w:r>
    </w:p>
    <w:p w14:paraId="07F4C6C8" w14:textId="27764D49" w:rsidR="002B3D27" w:rsidRDefault="002B3D27" w:rsidP="002B3D27">
      <w:pPr>
        <w:rPr>
          <w:lang w:eastAsia="ja-JP"/>
        </w:rPr>
      </w:pPr>
      <w:r>
        <w:rPr>
          <w:lang w:eastAsia="ja-JP"/>
        </w:rPr>
        <w:t xml:space="preserve">The </w:t>
      </w:r>
      <w:r w:rsidR="00F8577D">
        <w:rPr>
          <w:lang w:eastAsia="ja-JP"/>
        </w:rPr>
        <w:t xml:space="preserve">study </w:t>
      </w:r>
      <w:r>
        <w:rPr>
          <w:lang w:eastAsia="ja-JP"/>
        </w:rPr>
        <w:t xml:space="preserve">report for </w:t>
      </w:r>
      <w:r w:rsidR="00F8577D">
        <w:rPr>
          <w:lang w:eastAsia="ja-JP"/>
        </w:rPr>
        <w:t xml:space="preserve">the </w:t>
      </w:r>
      <w:r w:rsidR="006418E7">
        <w:rPr>
          <w:lang w:eastAsia="ja-JP"/>
        </w:rPr>
        <w:t>KEYNOTE-024</w:t>
      </w:r>
      <w:r>
        <w:rPr>
          <w:lang w:eastAsia="ja-JP"/>
        </w:rPr>
        <w:t xml:space="preserve"> </w:t>
      </w:r>
      <w:r w:rsidR="00F8577D">
        <w:rPr>
          <w:lang w:eastAsia="ja-JP"/>
        </w:rPr>
        <w:t xml:space="preserve">trial </w:t>
      </w:r>
      <w:r>
        <w:rPr>
          <w:lang w:eastAsia="ja-JP"/>
        </w:rPr>
        <w:t>included the following assurance:</w:t>
      </w:r>
    </w:p>
    <w:p w14:paraId="07F4C6C9" w14:textId="2310980C" w:rsidR="002B3D27" w:rsidRPr="002B3D27" w:rsidRDefault="00F8577D" w:rsidP="002B3D27">
      <w:pPr>
        <w:ind w:left="567"/>
        <w:rPr>
          <w:lang w:eastAsia="ja-JP"/>
        </w:rPr>
      </w:pPr>
      <w:r>
        <w:rPr>
          <w:lang w:eastAsia="ja-JP"/>
        </w:rPr>
        <w:t>‘</w:t>
      </w:r>
      <w:r w:rsidR="002B3D27" w:rsidRPr="00126748">
        <w:rPr>
          <w:lang w:eastAsia="ja-JP"/>
        </w:rPr>
        <w:t xml:space="preserve">This trial was conducted in substantial conformance </w:t>
      </w:r>
      <w:r w:rsidR="002D1E8D" w:rsidRPr="00126748">
        <w:rPr>
          <w:lang w:eastAsia="ja-JP"/>
        </w:rPr>
        <w:t xml:space="preserve">with </w:t>
      </w:r>
      <w:r w:rsidR="00377F33">
        <w:t>Good C</w:t>
      </w:r>
      <w:r w:rsidR="002D1E8D">
        <w:t xml:space="preserve">linical </w:t>
      </w:r>
      <w:r w:rsidR="00377F33">
        <w:t>P</w:t>
      </w:r>
      <w:r w:rsidR="002D1E8D">
        <w:t>ractice</w:t>
      </w:r>
      <w:r w:rsidR="002D1E8D" w:rsidRPr="00126748">
        <w:rPr>
          <w:lang w:eastAsia="ja-JP"/>
        </w:rPr>
        <w:t xml:space="preserve"> </w:t>
      </w:r>
      <w:r w:rsidR="002D1E8D">
        <w:rPr>
          <w:lang w:eastAsia="ja-JP"/>
        </w:rPr>
        <w:t>(</w:t>
      </w:r>
      <w:r w:rsidR="002B3D27" w:rsidRPr="00126748">
        <w:rPr>
          <w:lang w:eastAsia="ja-JP"/>
        </w:rPr>
        <w:t>GCP</w:t>
      </w:r>
      <w:r w:rsidR="002D1E8D">
        <w:rPr>
          <w:lang w:eastAsia="ja-JP"/>
        </w:rPr>
        <w:t>)</w:t>
      </w:r>
      <w:r w:rsidR="002B3D27" w:rsidRPr="00126748">
        <w:rPr>
          <w:lang w:eastAsia="ja-JP"/>
        </w:rPr>
        <w:t xml:space="preserve"> requirements and applicable country and/or local statutes and regulations regarding ethical committee review, informed consent, and the protection of human subjects participating in biomedical research</w:t>
      </w:r>
      <w:r>
        <w:rPr>
          <w:lang w:eastAsia="ja-JP"/>
        </w:rPr>
        <w:t>.’</w:t>
      </w:r>
    </w:p>
    <w:p w14:paraId="07F4C6CA" w14:textId="77777777" w:rsidR="00071A1C" w:rsidRDefault="00071A1C" w:rsidP="00071A1C">
      <w:pPr>
        <w:pStyle w:val="Heading3"/>
      </w:pPr>
      <w:bookmarkStart w:id="123" w:name="_Toc513458930"/>
      <w:r w:rsidRPr="00254787">
        <w:t>Pharmacokinetics</w:t>
      </w:r>
      <w:bookmarkEnd w:id="123"/>
    </w:p>
    <w:p w14:paraId="07F4C6CB" w14:textId="6828AF8E" w:rsidR="00A55B49" w:rsidRDefault="00A55B49" w:rsidP="00A55B49">
      <w:pPr>
        <w:rPr>
          <w:lang w:eastAsia="ja-JP"/>
        </w:rPr>
      </w:pPr>
      <w:r>
        <w:rPr>
          <w:lang w:eastAsia="ja-JP"/>
        </w:rPr>
        <w:t xml:space="preserve">No new pharmacokinetic studies were included in the submission. In the pivotal clinical study </w:t>
      </w:r>
      <w:r w:rsidR="006418E7">
        <w:rPr>
          <w:lang w:eastAsia="ja-JP"/>
        </w:rPr>
        <w:t xml:space="preserve">KEYNOTE-024 </w:t>
      </w:r>
      <w:r>
        <w:rPr>
          <w:lang w:eastAsia="ja-JP"/>
        </w:rPr>
        <w:t xml:space="preserve">sparse </w:t>
      </w:r>
      <w:r w:rsidR="00323732">
        <w:rPr>
          <w:lang w:eastAsia="ja-JP"/>
        </w:rPr>
        <w:t>pharmacokinetic (</w:t>
      </w:r>
      <w:r>
        <w:rPr>
          <w:lang w:eastAsia="ja-JP"/>
        </w:rPr>
        <w:t>PK</w:t>
      </w:r>
      <w:r w:rsidR="00323732">
        <w:rPr>
          <w:lang w:eastAsia="ja-JP"/>
        </w:rPr>
        <w:t>)</w:t>
      </w:r>
      <w:r>
        <w:rPr>
          <w:lang w:eastAsia="ja-JP"/>
        </w:rPr>
        <w:t xml:space="preserve"> sampling was performed in subjects in the pembrolizumab arm. Pre-dose (trough) samples were collected at Cycles 1, 2, 4 and 8 and every 8 cycles thereafter while the subject was receiving pembrolizumab. All trough samples were to be drawn within the 24 hours before the infusion. Post-dose samples were collected during Cycle 1 only; one sample within 30 minutes after end of infusion, and one sample between 72 and 168 hours post infusion.</w:t>
      </w:r>
    </w:p>
    <w:p w14:paraId="07F4C6CC" w14:textId="0B6D3A53" w:rsidR="00A55B49" w:rsidRDefault="00A55B49" w:rsidP="00A55B49">
      <w:pPr>
        <w:rPr>
          <w:lang w:eastAsia="ja-JP"/>
        </w:rPr>
      </w:pPr>
      <w:r>
        <w:rPr>
          <w:lang w:eastAsia="ja-JP"/>
        </w:rPr>
        <w:t xml:space="preserve">These PK data were incorporated into a previously developed population PK model (see </w:t>
      </w:r>
      <w:r w:rsidR="006418E7">
        <w:rPr>
          <w:lang w:eastAsia="ja-JP"/>
        </w:rPr>
        <w:t xml:space="preserve">Attachment 3, </w:t>
      </w:r>
      <w:r>
        <w:rPr>
          <w:lang w:eastAsia="ja-JP"/>
        </w:rPr>
        <w:t xml:space="preserve">Section 4.1.1). Simulations conducted with the model suggested that the pembrolizumab </w:t>
      </w:r>
      <w:r w:rsidR="00F8577D">
        <w:rPr>
          <w:lang w:eastAsia="ja-JP"/>
        </w:rPr>
        <w:t>pharmacokinetics</w:t>
      </w:r>
      <w:r>
        <w:rPr>
          <w:lang w:eastAsia="ja-JP"/>
        </w:rPr>
        <w:t xml:space="preserve"> in NSCLC </w:t>
      </w:r>
      <w:proofErr w:type="gramStart"/>
      <w:r>
        <w:rPr>
          <w:lang w:eastAsia="ja-JP"/>
        </w:rPr>
        <w:t>are</w:t>
      </w:r>
      <w:proofErr w:type="gramEnd"/>
      <w:r>
        <w:rPr>
          <w:lang w:eastAsia="ja-JP"/>
        </w:rPr>
        <w:t xml:space="preserve"> similar to </w:t>
      </w:r>
      <w:r w:rsidR="00F8577D">
        <w:rPr>
          <w:lang w:eastAsia="ja-JP"/>
        </w:rPr>
        <w:t>the pharmacokinetics</w:t>
      </w:r>
      <w:r>
        <w:rPr>
          <w:lang w:eastAsia="ja-JP"/>
        </w:rPr>
        <w:t xml:space="preserve"> in melanoma.</w:t>
      </w:r>
    </w:p>
    <w:p w14:paraId="07F4C6CD" w14:textId="77777777" w:rsidR="00A55B49" w:rsidRPr="00A55B49" w:rsidRDefault="00A55B49" w:rsidP="00A55B49">
      <w:r>
        <w:t>For further details please see Attachment 3.</w:t>
      </w:r>
    </w:p>
    <w:p w14:paraId="07F4C6CE" w14:textId="77777777" w:rsidR="00071A1C" w:rsidRDefault="00071A1C" w:rsidP="00071A1C">
      <w:pPr>
        <w:pStyle w:val="Heading4"/>
      </w:pPr>
      <w:r>
        <w:t>Evaluator’s conclusions on pharmacokinetics</w:t>
      </w:r>
    </w:p>
    <w:p w14:paraId="07F4C6CF" w14:textId="786332DA" w:rsidR="00A55B49" w:rsidRPr="00A55B49" w:rsidRDefault="00A55B49" w:rsidP="00A55B49">
      <w:pPr>
        <w:rPr>
          <w:lang w:eastAsia="ja-JP"/>
        </w:rPr>
      </w:pPr>
      <w:r>
        <w:rPr>
          <w:lang w:eastAsia="ja-JP"/>
        </w:rPr>
        <w:t xml:space="preserve">Pembrolizumab </w:t>
      </w:r>
      <w:r w:rsidR="00F8577D">
        <w:rPr>
          <w:lang w:eastAsia="ja-JP"/>
        </w:rPr>
        <w:t>pharmacokinetic</w:t>
      </w:r>
      <w:r>
        <w:rPr>
          <w:lang w:eastAsia="ja-JP"/>
        </w:rPr>
        <w:t xml:space="preserve"> parameters in subjects with previously untreated NSCLC are similar to those previously observed in melanoma subjects.</w:t>
      </w:r>
    </w:p>
    <w:p w14:paraId="07F4C6D0" w14:textId="77777777" w:rsidR="00071A1C" w:rsidRDefault="00071A1C" w:rsidP="00071A1C">
      <w:pPr>
        <w:pStyle w:val="Heading3"/>
      </w:pPr>
      <w:bookmarkStart w:id="124" w:name="_Toc513458931"/>
      <w:r w:rsidRPr="00254787">
        <w:t>Pharmacodynamics</w:t>
      </w:r>
      <w:bookmarkEnd w:id="124"/>
    </w:p>
    <w:p w14:paraId="07F4C6D1" w14:textId="77777777" w:rsidR="00A55B49" w:rsidRDefault="00A55B49" w:rsidP="00A55B49">
      <w:pPr>
        <w:rPr>
          <w:lang w:eastAsia="ja-JP"/>
        </w:rPr>
      </w:pPr>
      <w:r>
        <w:rPr>
          <w:lang w:eastAsia="ja-JP"/>
        </w:rPr>
        <w:t>No new pharmacodynamic data were included in the submission.</w:t>
      </w:r>
    </w:p>
    <w:p w14:paraId="07F4C6D2" w14:textId="77777777" w:rsidR="00071A1C" w:rsidRDefault="00071A1C" w:rsidP="00071A1C">
      <w:pPr>
        <w:pStyle w:val="Heading3"/>
      </w:pPr>
      <w:bookmarkStart w:id="125" w:name="_Toc513458932"/>
      <w:r>
        <w:t>Dosage selection for the pivotal studies</w:t>
      </w:r>
      <w:bookmarkEnd w:id="125"/>
    </w:p>
    <w:p w14:paraId="07F4C6D3" w14:textId="77B1581C" w:rsidR="00A55B49" w:rsidRDefault="00A55B49" w:rsidP="00A55B49">
      <w:pPr>
        <w:rPr>
          <w:lang w:eastAsia="ja-JP"/>
        </w:rPr>
      </w:pPr>
      <w:r>
        <w:rPr>
          <w:lang w:eastAsia="ja-JP"/>
        </w:rPr>
        <w:t xml:space="preserve">A dose of 2 mg/kg IV </w:t>
      </w:r>
      <w:r w:rsidR="006418E7">
        <w:rPr>
          <w:lang w:eastAsia="ja-JP"/>
        </w:rPr>
        <w:t>Q3W</w:t>
      </w:r>
      <w:r>
        <w:rPr>
          <w:lang w:eastAsia="ja-JP"/>
        </w:rPr>
        <w:t xml:space="preserve"> had previously been established as safe and effective in advanced melanoma. In NSCLC patients in the Phase I </w:t>
      </w:r>
      <w:r w:rsidR="00E06B28">
        <w:rPr>
          <w:lang w:eastAsia="ja-JP"/>
        </w:rPr>
        <w:t>Study</w:t>
      </w:r>
      <w:r w:rsidR="00691589">
        <w:rPr>
          <w:lang w:eastAsia="ja-JP"/>
        </w:rPr>
        <w:t xml:space="preserve"> KEYNOTE-001, a dose of 2 </w:t>
      </w:r>
      <w:r>
        <w:rPr>
          <w:lang w:eastAsia="ja-JP"/>
        </w:rPr>
        <w:t xml:space="preserve">mg/kg </w:t>
      </w:r>
      <w:r w:rsidR="006418E7">
        <w:rPr>
          <w:lang w:eastAsia="ja-JP"/>
        </w:rPr>
        <w:t>Q3W</w:t>
      </w:r>
      <w:r>
        <w:rPr>
          <w:lang w:eastAsia="ja-JP"/>
        </w:rPr>
        <w:t xml:space="preserve"> produced a comparable response rate to </w:t>
      </w:r>
      <w:r w:rsidR="008D6066">
        <w:rPr>
          <w:lang w:eastAsia="ja-JP"/>
        </w:rPr>
        <w:t>that achieved with 10 mg /kg IV </w:t>
      </w:r>
      <w:r w:rsidR="006418E7">
        <w:rPr>
          <w:lang w:eastAsia="ja-JP"/>
        </w:rPr>
        <w:t>Q3W</w:t>
      </w:r>
      <w:r>
        <w:rPr>
          <w:lang w:eastAsia="ja-JP"/>
        </w:rPr>
        <w:t xml:space="preserve">. In a population </w:t>
      </w:r>
      <w:r w:rsidR="00F8577D">
        <w:rPr>
          <w:lang w:eastAsia="ja-JP"/>
        </w:rPr>
        <w:t>pharmacokinetic</w:t>
      </w:r>
      <w:r w:rsidR="00377F33">
        <w:rPr>
          <w:lang w:eastAsia="ja-JP"/>
        </w:rPr>
        <w:t>s</w:t>
      </w:r>
      <w:r>
        <w:rPr>
          <w:lang w:eastAsia="ja-JP"/>
        </w:rPr>
        <w:t xml:space="preserve"> model, tumour load and tumour type were not found to have a significant effect on pembrolizumab </w:t>
      </w:r>
      <w:r w:rsidR="00F8577D">
        <w:rPr>
          <w:lang w:eastAsia="ja-JP"/>
        </w:rPr>
        <w:t>pharmacokinetics</w:t>
      </w:r>
      <w:r>
        <w:rPr>
          <w:lang w:eastAsia="ja-JP"/>
        </w:rPr>
        <w:t xml:space="preserve"> and the sponsor assumed that the dynamics of PD-1 target engagement would not vary significantly with tumour type. It was therefore anticipated that a dose of 2 mg/kg IV </w:t>
      </w:r>
      <w:r w:rsidR="008D6066">
        <w:rPr>
          <w:lang w:eastAsia="ja-JP"/>
        </w:rPr>
        <w:t>Q3W</w:t>
      </w:r>
      <w:r>
        <w:rPr>
          <w:lang w:eastAsia="ja-JP"/>
        </w:rPr>
        <w:t xml:space="preserve"> would be safe and effective in NSCLC subjects.</w:t>
      </w:r>
    </w:p>
    <w:p w14:paraId="07F4C6D4" w14:textId="0D897BCC" w:rsidR="00A55B49" w:rsidRDefault="00A55B49" w:rsidP="00A55B49">
      <w:pPr>
        <w:rPr>
          <w:lang w:eastAsia="ja-JP"/>
        </w:rPr>
      </w:pPr>
      <w:r>
        <w:rPr>
          <w:lang w:eastAsia="ja-JP"/>
        </w:rPr>
        <w:t xml:space="preserve">A flat dose regimen (200 mg Q3W for all subjects) was chosen for </w:t>
      </w:r>
      <w:r w:rsidR="008D6066">
        <w:rPr>
          <w:lang w:eastAsia="ja-JP"/>
        </w:rPr>
        <w:t>Study KEYNOTE-024</w:t>
      </w:r>
      <w:r>
        <w:rPr>
          <w:lang w:eastAsia="ja-JP"/>
        </w:rPr>
        <w:t xml:space="preserve"> based on the following considerations:</w:t>
      </w:r>
    </w:p>
    <w:p w14:paraId="07F4C6D5" w14:textId="6E5F067E" w:rsidR="00A55B49" w:rsidRPr="00A55B49" w:rsidRDefault="00A55B49" w:rsidP="00A55B49">
      <w:pPr>
        <w:pStyle w:val="ListBullet"/>
      </w:pPr>
      <w:r w:rsidRPr="00A55B49">
        <w:t xml:space="preserve">Simulations performed with the population </w:t>
      </w:r>
      <w:r w:rsidR="00F8577D">
        <w:rPr>
          <w:lang w:eastAsia="ja-JP"/>
        </w:rPr>
        <w:t>pharmacokinetic</w:t>
      </w:r>
      <w:r w:rsidR="00377F33">
        <w:rPr>
          <w:lang w:eastAsia="ja-JP"/>
        </w:rPr>
        <w:t>s</w:t>
      </w:r>
      <w:r w:rsidRPr="00A55B49">
        <w:t xml:space="preserve"> model of pembrolizumab showed that the fixed dose regimen of 200 mg Q3W would provide systemic exposures that were consistent with those obtained with the 2 mg/kg Q3W dose;</w:t>
      </w:r>
    </w:p>
    <w:p w14:paraId="07F4C6D6" w14:textId="77777777" w:rsidR="00A55B49" w:rsidRPr="00A55B49" w:rsidRDefault="00A55B49" w:rsidP="00A55B49">
      <w:pPr>
        <w:pStyle w:val="ListBullet"/>
      </w:pPr>
      <w:r w:rsidRPr="00A55B49">
        <w:t>A fixed dose regimen simplified dosing for health professionals and reduced the potential for dosing errors;</w:t>
      </w:r>
    </w:p>
    <w:p w14:paraId="07F4C6D7" w14:textId="77777777" w:rsidR="00A55B49" w:rsidRPr="00A55B49" w:rsidRDefault="00A55B49" w:rsidP="00A55B49">
      <w:pPr>
        <w:pStyle w:val="ListBullet"/>
      </w:pPr>
      <w:r w:rsidRPr="00A55B49">
        <w:lastRenderedPageBreak/>
        <w:t>A fixed dosing scheme also reduced complexity in the logistical chain at treatment facilities and reduced wastage.</w:t>
      </w:r>
    </w:p>
    <w:p w14:paraId="07F4C6D8" w14:textId="77777777" w:rsidR="00071A1C" w:rsidRPr="00254787" w:rsidRDefault="00071A1C" w:rsidP="00071A1C">
      <w:pPr>
        <w:pStyle w:val="Heading3"/>
      </w:pPr>
      <w:bookmarkStart w:id="126" w:name="_Toc513458933"/>
      <w:r w:rsidRPr="00254787">
        <w:t>Efficacy</w:t>
      </w:r>
      <w:bookmarkEnd w:id="126"/>
    </w:p>
    <w:p w14:paraId="07F4C6D9" w14:textId="77777777" w:rsidR="00071A1C" w:rsidRDefault="00071A1C" w:rsidP="00071A1C">
      <w:pPr>
        <w:pStyle w:val="Heading4"/>
      </w:pPr>
      <w:r>
        <w:t>Studies providing efficacy data</w:t>
      </w:r>
    </w:p>
    <w:p w14:paraId="07F4C6DA" w14:textId="71E0F566" w:rsidR="00A55B49" w:rsidRDefault="00A55B49" w:rsidP="00A55B49">
      <w:pPr>
        <w:rPr>
          <w:lang w:eastAsia="ja-JP"/>
        </w:rPr>
      </w:pPr>
      <w:proofErr w:type="gramStart"/>
      <w:r>
        <w:rPr>
          <w:lang w:eastAsia="ja-JP"/>
        </w:rPr>
        <w:t xml:space="preserve">Clinical data to support the proposed new indication come from a single Phase III trial; </w:t>
      </w:r>
      <w:r w:rsidR="008D6066">
        <w:rPr>
          <w:lang w:eastAsia="ja-JP"/>
        </w:rPr>
        <w:t xml:space="preserve">Study </w:t>
      </w:r>
      <w:r>
        <w:rPr>
          <w:lang w:eastAsia="ja-JP"/>
        </w:rPr>
        <w:t>KEYNOTE-024</w:t>
      </w:r>
      <w:r w:rsidR="008D6066">
        <w:rPr>
          <w:lang w:eastAsia="ja-JP"/>
        </w:rPr>
        <w:t xml:space="preserve"> (also known as Study 024</w:t>
      </w:r>
      <w:r w:rsidR="00A70986">
        <w:rPr>
          <w:lang w:eastAsia="ja-JP"/>
        </w:rPr>
        <w:t xml:space="preserve"> and the KEYNOTE-024 trial</w:t>
      </w:r>
      <w:r>
        <w:rPr>
          <w:lang w:eastAsia="ja-JP"/>
        </w:rPr>
        <w:t>).</w:t>
      </w:r>
      <w:proofErr w:type="gramEnd"/>
    </w:p>
    <w:p w14:paraId="07F4C6DB" w14:textId="77777777" w:rsidR="00760BF4" w:rsidRPr="00A55B49" w:rsidRDefault="00760BF4" w:rsidP="00A55B49">
      <w:pPr>
        <w:rPr>
          <w:lang w:eastAsia="ja-JP"/>
        </w:rPr>
      </w:pPr>
      <w:r>
        <w:rPr>
          <w:lang w:eastAsia="ja-JP"/>
        </w:rPr>
        <w:t>For the full details of the evaluation of the efficacy data please see Attachment 3.</w:t>
      </w:r>
    </w:p>
    <w:p w14:paraId="07F4C6DC" w14:textId="77777777" w:rsidR="00071A1C" w:rsidRDefault="00071A1C" w:rsidP="00071A1C">
      <w:pPr>
        <w:pStyle w:val="Heading4"/>
      </w:pPr>
      <w:r>
        <w:t>Evaluator’s conclusions on efficacy</w:t>
      </w:r>
    </w:p>
    <w:p w14:paraId="07F4C6DD" w14:textId="3C157151" w:rsidR="00760BF4" w:rsidRPr="00760BF4" w:rsidRDefault="00760BF4" w:rsidP="00760BF4">
      <w:pPr>
        <w:rPr>
          <w:lang w:eastAsia="ja-JP"/>
        </w:rPr>
      </w:pPr>
      <w:r>
        <w:rPr>
          <w:lang w:eastAsia="ja-JP"/>
        </w:rPr>
        <w:t>The efficacy data to support the new indication are adequate. However, due to lack of relevant efficacy data it is recommended that the indication be restricted to subjects with tumours that have high levels of PD-L1 expression (that is</w:t>
      </w:r>
      <w:r w:rsidR="00F8577D">
        <w:rPr>
          <w:lang w:eastAsia="ja-JP"/>
        </w:rPr>
        <w:t>,</w:t>
      </w:r>
      <w:r>
        <w:rPr>
          <w:lang w:eastAsia="ja-JP"/>
        </w:rPr>
        <w:t xml:space="preserve"> expression in </w:t>
      </w:r>
      <w:r w:rsidR="0046163D">
        <w:rPr>
          <w:lang w:eastAsia="ja-JP"/>
        </w:rPr>
        <w:t>≥</w:t>
      </w:r>
      <w:r w:rsidR="00170F49">
        <w:rPr>
          <w:lang w:eastAsia="ja-JP"/>
        </w:rPr>
        <w:t xml:space="preserve"> </w:t>
      </w:r>
      <w:r>
        <w:rPr>
          <w:lang w:eastAsia="ja-JP"/>
        </w:rPr>
        <w:t>50% of neoplastic cells). In addition, treatment should be restricted to a maximum of 35 cycles until further long term efficacy data are available.</w:t>
      </w:r>
    </w:p>
    <w:p w14:paraId="07F4C6DE" w14:textId="77777777" w:rsidR="00071A1C" w:rsidRPr="002E238E" w:rsidRDefault="00071A1C" w:rsidP="00071A1C">
      <w:pPr>
        <w:pStyle w:val="Heading3"/>
      </w:pPr>
      <w:bookmarkStart w:id="127" w:name="_Toc513458934"/>
      <w:r w:rsidRPr="002E238E">
        <w:t>Safety</w:t>
      </w:r>
      <w:bookmarkEnd w:id="127"/>
    </w:p>
    <w:p w14:paraId="07F4C6DF" w14:textId="77777777" w:rsidR="00071A1C" w:rsidRDefault="00071A1C" w:rsidP="00071A1C">
      <w:pPr>
        <w:pStyle w:val="Heading4"/>
      </w:pPr>
      <w:r w:rsidRPr="00605AD4">
        <w:t>Studies providing safety data</w:t>
      </w:r>
    </w:p>
    <w:p w14:paraId="07F4C6E0" w14:textId="7C71D23C" w:rsidR="00760BF4" w:rsidRPr="00760BF4" w:rsidRDefault="00F8577D" w:rsidP="00760BF4">
      <w:pPr>
        <w:pStyle w:val="Heading5"/>
      </w:pPr>
      <w:r>
        <w:rPr>
          <w:lang w:eastAsia="ja-JP"/>
        </w:rPr>
        <w:t>P</w:t>
      </w:r>
      <w:r w:rsidR="00760BF4">
        <w:rPr>
          <w:lang w:eastAsia="ja-JP"/>
        </w:rPr>
        <w:t>ivotal</w:t>
      </w:r>
      <w:r>
        <w:rPr>
          <w:lang w:eastAsia="ja-JP"/>
        </w:rPr>
        <w:t xml:space="preserve"> </w:t>
      </w:r>
      <w:r w:rsidR="008D6066">
        <w:rPr>
          <w:lang w:eastAsia="ja-JP"/>
        </w:rPr>
        <w:t>KEYNOTE-024</w:t>
      </w:r>
      <w:r>
        <w:rPr>
          <w:lang w:eastAsia="ja-JP"/>
        </w:rPr>
        <w:t xml:space="preserve"> trial</w:t>
      </w:r>
    </w:p>
    <w:p w14:paraId="07F4C6E1" w14:textId="359B52B7" w:rsidR="00760BF4" w:rsidRDefault="00760BF4" w:rsidP="00760BF4">
      <w:pPr>
        <w:rPr>
          <w:lang w:eastAsia="ja-JP"/>
        </w:rPr>
      </w:pPr>
      <w:r>
        <w:rPr>
          <w:lang w:eastAsia="ja-JP"/>
        </w:rPr>
        <w:t xml:space="preserve">Full safety data were available from the pivotal trial, Study </w:t>
      </w:r>
      <w:r w:rsidR="008D6066">
        <w:rPr>
          <w:lang w:eastAsia="ja-JP"/>
        </w:rPr>
        <w:t>KEYNOTE-024</w:t>
      </w:r>
      <w:r>
        <w:rPr>
          <w:lang w:eastAsia="ja-JP"/>
        </w:rPr>
        <w:t>. Safety monitoring included the following:</w:t>
      </w:r>
    </w:p>
    <w:p w14:paraId="07F4C6E2" w14:textId="623D3B3D" w:rsidR="00760BF4" w:rsidRDefault="00760BF4" w:rsidP="00760BF4">
      <w:pPr>
        <w:pStyle w:val="ListBullet"/>
        <w:numPr>
          <w:ilvl w:val="0"/>
          <w:numId w:val="1"/>
        </w:numPr>
        <w:rPr>
          <w:lang w:eastAsia="ja-JP"/>
        </w:rPr>
      </w:pPr>
      <w:r>
        <w:rPr>
          <w:lang w:eastAsia="ja-JP"/>
        </w:rPr>
        <w:t xml:space="preserve">Information on adverse events (AEs) was collected at each study visit. </w:t>
      </w:r>
      <w:r w:rsidR="00F8577D">
        <w:rPr>
          <w:lang w:eastAsia="ja-JP"/>
        </w:rPr>
        <w:t>Adverse events</w:t>
      </w:r>
      <w:r>
        <w:rPr>
          <w:lang w:eastAsia="ja-JP"/>
        </w:rPr>
        <w:t xml:space="preserve"> were </w:t>
      </w:r>
      <w:r w:rsidRPr="005A200B">
        <w:rPr>
          <w:lang w:val="en-US" w:eastAsia="ja-JP"/>
        </w:rPr>
        <w:t xml:space="preserve">graded according to the </w:t>
      </w:r>
      <w:r w:rsidR="008D6066" w:rsidRPr="000941D5">
        <w:t>National Cancer Institute</w:t>
      </w:r>
      <w:r w:rsidR="008D6066">
        <w:t xml:space="preserve"> common terminology criteria for adverse events</w:t>
      </w:r>
      <w:r w:rsidR="008D6066" w:rsidRPr="005A200B">
        <w:rPr>
          <w:lang w:val="en-US" w:eastAsia="ja-JP"/>
        </w:rPr>
        <w:t xml:space="preserve"> </w:t>
      </w:r>
      <w:r w:rsidR="008D6066">
        <w:rPr>
          <w:lang w:val="en-US" w:eastAsia="ja-JP"/>
        </w:rPr>
        <w:t>(</w:t>
      </w:r>
      <w:r w:rsidRPr="005A200B">
        <w:rPr>
          <w:lang w:val="en-US" w:eastAsia="ja-JP"/>
        </w:rPr>
        <w:t>NCI CTCAE</w:t>
      </w:r>
      <w:r w:rsidR="008D6066">
        <w:rPr>
          <w:lang w:val="en-US" w:eastAsia="ja-JP"/>
        </w:rPr>
        <w:t>)</w:t>
      </w:r>
      <w:r w:rsidRPr="005A200B">
        <w:rPr>
          <w:lang w:val="en-US" w:eastAsia="ja-JP"/>
        </w:rPr>
        <w:t>,</w:t>
      </w:r>
      <w:r>
        <w:rPr>
          <w:lang w:val="en-US" w:eastAsia="ja-JP"/>
        </w:rPr>
        <w:t xml:space="preserve"> </w:t>
      </w:r>
      <w:r w:rsidRPr="005A200B">
        <w:rPr>
          <w:lang w:val="en-US" w:eastAsia="ja-JP"/>
        </w:rPr>
        <w:t>Version 4</w:t>
      </w:r>
      <w:r>
        <w:rPr>
          <w:lang w:val="en-US" w:eastAsia="ja-JP"/>
        </w:rPr>
        <w:t xml:space="preserve"> and were </w:t>
      </w:r>
      <w:r w:rsidRPr="00A707B3">
        <w:rPr>
          <w:lang w:eastAsia="ja-JP"/>
        </w:rPr>
        <w:t>evaluated for seriousness, causality, and action taken with regards to trial treatment</w:t>
      </w:r>
      <w:r>
        <w:rPr>
          <w:lang w:eastAsia="ja-JP"/>
        </w:rPr>
        <w:t xml:space="preserve">. AE terms were standardised using the </w:t>
      </w:r>
      <w:r w:rsidRPr="00561449">
        <w:rPr>
          <w:lang w:eastAsia="ja-JP"/>
        </w:rPr>
        <w:t>Medical Dictionary for Regulatory Activities</w:t>
      </w:r>
      <w:r>
        <w:rPr>
          <w:lang w:eastAsia="ja-JP"/>
        </w:rPr>
        <w:t xml:space="preserve"> (</w:t>
      </w:r>
      <w:proofErr w:type="spellStart"/>
      <w:r w:rsidRPr="00561449">
        <w:rPr>
          <w:lang w:eastAsia="ja-JP"/>
        </w:rPr>
        <w:t>MedDRA</w:t>
      </w:r>
      <w:proofErr w:type="spellEnd"/>
      <w:r>
        <w:rPr>
          <w:lang w:eastAsia="ja-JP"/>
        </w:rPr>
        <w:t>)</w:t>
      </w:r>
      <w:r w:rsidRPr="00561449">
        <w:rPr>
          <w:lang w:eastAsia="ja-JP"/>
        </w:rPr>
        <w:t xml:space="preserve"> Version 19.0</w:t>
      </w:r>
      <w:r>
        <w:rPr>
          <w:lang w:eastAsia="ja-JP"/>
        </w:rPr>
        <w:t>.</w:t>
      </w:r>
    </w:p>
    <w:p w14:paraId="07F4C6E3" w14:textId="3B146655" w:rsidR="00760BF4" w:rsidRDefault="00760BF4" w:rsidP="00760BF4">
      <w:pPr>
        <w:pStyle w:val="ListBullet"/>
        <w:numPr>
          <w:ilvl w:val="0"/>
          <w:numId w:val="0"/>
        </w:numPr>
        <w:ind w:left="360"/>
        <w:rPr>
          <w:lang w:eastAsia="ja-JP"/>
        </w:rPr>
      </w:pPr>
      <w:r>
        <w:rPr>
          <w:lang w:eastAsia="ja-JP"/>
        </w:rPr>
        <w:t xml:space="preserve">The sponsor pre-identified a list of specific AE terms as adverse events of special interest (AEOSI). These AE terms covered events that were consistent with an immune phenomenon, such as pneumonitis, colitis, </w:t>
      </w:r>
      <w:proofErr w:type="spellStart"/>
      <w:r>
        <w:rPr>
          <w:lang w:eastAsia="ja-JP"/>
        </w:rPr>
        <w:t>hypophysitis</w:t>
      </w:r>
      <w:proofErr w:type="spellEnd"/>
      <w:r>
        <w:rPr>
          <w:lang w:eastAsia="ja-JP"/>
        </w:rPr>
        <w:t xml:space="preserve"> etcetera. These events </w:t>
      </w:r>
      <w:r w:rsidR="002D1E8D">
        <w:rPr>
          <w:lang w:eastAsia="ja-JP"/>
        </w:rPr>
        <w:t xml:space="preserve">were also referred to as immune </w:t>
      </w:r>
      <w:r>
        <w:rPr>
          <w:lang w:eastAsia="ja-JP"/>
        </w:rPr>
        <w:t xml:space="preserve">related </w:t>
      </w:r>
      <w:r w:rsidR="00906325">
        <w:rPr>
          <w:lang w:eastAsia="ja-JP"/>
        </w:rPr>
        <w:t>adverse events</w:t>
      </w:r>
      <w:r>
        <w:rPr>
          <w:lang w:eastAsia="ja-JP"/>
        </w:rPr>
        <w:t xml:space="preserve"> (</w:t>
      </w:r>
      <w:proofErr w:type="spellStart"/>
      <w:r>
        <w:rPr>
          <w:lang w:eastAsia="ja-JP"/>
        </w:rPr>
        <w:t>irAEs</w:t>
      </w:r>
      <w:proofErr w:type="spellEnd"/>
      <w:r>
        <w:rPr>
          <w:lang w:eastAsia="ja-JP"/>
        </w:rPr>
        <w:t>) or events of clinical interest (ECI).</w:t>
      </w:r>
    </w:p>
    <w:p w14:paraId="07F4C6E4" w14:textId="77777777" w:rsidR="00760BF4" w:rsidRDefault="00760BF4" w:rsidP="00760BF4">
      <w:pPr>
        <w:pStyle w:val="ListBullet"/>
        <w:numPr>
          <w:ilvl w:val="0"/>
          <w:numId w:val="1"/>
        </w:numPr>
        <w:rPr>
          <w:lang w:eastAsia="ja-JP"/>
        </w:rPr>
      </w:pPr>
      <w:r>
        <w:rPr>
          <w:lang w:eastAsia="ja-JP"/>
        </w:rPr>
        <w:t>Physical examination, including measurement of vital signs (</w:t>
      </w:r>
      <w:r w:rsidRPr="00712247">
        <w:rPr>
          <w:lang w:eastAsia="ja-JP"/>
        </w:rPr>
        <w:t>temperature, pulse, respiratory rate, weight and blood pressure</w:t>
      </w:r>
      <w:r>
        <w:rPr>
          <w:lang w:eastAsia="ja-JP"/>
        </w:rPr>
        <w:t>) was performed at each study visit.</w:t>
      </w:r>
    </w:p>
    <w:p w14:paraId="07F4C6E5" w14:textId="18A6AD6A" w:rsidR="00760BF4" w:rsidRDefault="00760BF4" w:rsidP="00760BF4">
      <w:pPr>
        <w:pStyle w:val="ListBullet"/>
        <w:numPr>
          <w:ilvl w:val="0"/>
          <w:numId w:val="1"/>
        </w:numPr>
        <w:rPr>
          <w:lang w:eastAsia="ja-JP"/>
        </w:rPr>
      </w:pPr>
      <w:r>
        <w:rPr>
          <w:lang w:eastAsia="ja-JP"/>
        </w:rPr>
        <w:t>Laboratory testing (complete blood count with differential and a comprehensive chemistry panel) was performed at randomisation, at each clinic visit during the treatment phase, at the discontinuation visit and at the 30 day safety follow</w:t>
      </w:r>
      <w:r w:rsidR="00906325">
        <w:rPr>
          <w:lang w:eastAsia="ja-JP"/>
        </w:rPr>
        <w:t xml:space="preserve"> </w:t>
      </w:r>
      <w:r>
        <w:rPr>
          <w:lang w:eastAsia="ja-JP"/>
        </w:rPr>
        <w:t>up visit.</w:t>
      </w:r>
    </w:p>
    <w:p w14:paraId="07F4C6E6" w14:textId="77777777" w:rsidR="00760BF4" w:rsidRDefault="00760BF4" w:rsidP="00760BF4">
      <w:pPr>
        <w:pStyle w:val="ListBullet"/>
        <w:numPr>
          <w:ilvl w:val="0"/>
          <w:numId w:val="1"/>
        </w:numPr>
        <w:rPr>
          <w:lang w:eastAsia="ja-JP"/>
        </w:rPr>
      </w:pPr>
      <w:r>
        <w:rPr>
          <w:lang w:eastAsia="ja-JP"/>
        </w:rPr>
        <w:t xml:space="preserve">Thyroid function testing (T3, free T4 and </w:t>
      </w:r>
      <w:r w:rsidR="00191F92">
        <w:t>thyroid stimulating hormone</w:t>
      </w:r>
      <w:r w:rsidR="00191F92">
        <w:rPr>
          <w:lang w:eastAsia="ja-JP"/>
        </w:rPr>
        <w:t xml:space="preserve"> (</w:t>
      </w:r>
      <w:r>
        <w:rPr>
          <w:lang w:eastAsia="ja-JP"/>
        </w:rPr>
        <w:t>TSH</w:t>
      </w:r>
      <w:r w:rsidR="00191F92">
        <w:rPr>
          <w:lang w:eastAsia="ja-JP"/>
        </w:rPr>
        <w:t>)</w:t>
      </w:r>
      <w:r>
        <w:rPr>
          <w:lang w:eastAsia="ja-JP"/>
        </w:rPr>
        <w:t>) was performed at every second Cycle during the treatment phase and at the discontinuation visit and at the 30 day safety follow-up visit.</w:t>
      </w:r>
    </w:p>
    <w:p w14:paraId="07F4C6E7" w14:textId="77777777" w:rsidR="00760BF4" w:rsidRDefault="00760BF4" w:rsidP="00760BF4">
      <w:pPr>
        <w:pStyle w:val="ListBullet"/>
        <w:numPr>
          <w:ilvl w:val="0"/>
          <w:numId w:val="1"/>
        </w:numPr>
        <w:rPr>
          <w:lang w:val="en-US"/>
        </w:rPr>
      </w:pPr>
      <w:r w:rsidRPr="00806357">
        <w:rPr>
          <w:lang w:val="en-US"/>
        </w:rPr>
        <w:t xml:space="preserve">Blood samples for detection of anti-pembrolizumab antibodies were collected pre-dose at </w:t>
      </w:r>
      <w:r>
        <w:rPr>
          <w:lang w:val="en-US"/>
        </w:rPr>
        <w:t>Cycle</w:t>
      </w:r>
      <w:r w:rsidRPr="00806357">
        <w:rPr>
          <w:lang w:val="en-US"/>
        </w:rPr>
        <w:t>s 1, 2, 4, 8 and every 8 cycles thereafter while the subject was receiving pembrolizumab. Once the subject discontinued taking pembrolizumab additional samples were obtained at 1, 3 and 6 months after the last dose of study medication</w:t>
      </w:r>
      <w:r>
        <w:rPr>
          <w:lang w:val="en-US"/>
        </w:rPr>
        <w:t>.</w:t>
      </w:r>
    </w:p>
    <w:p w14:paraId="07F4C6E8" w14:textId="4D576983" w:rsidR="00760BF4" w:rsidRDefault="00760BF4" w:rsidP="00760BF4">
      <w:pPr>
        <w:pStyle w:val="ListBullet"/>
        <w:numPr>
          <w:ilvl w:val="0"/>
          <w:numId w:val="1"/>
        </w:numPr>
        <w:rPr>
          <w:lang w:eastAsia="ja-JP"/>
        </w:rPr>
      </w:pPr>
      <w:r>
        <w:rPr>
          <w:lang w:eastAsia="ja-JP"/>
        </w:rPr>
        <w:lastRenderedPageBreak/>
        <w:t>Urinalysis was performed every 12 weeks during the treatment phase, at the discontinuation visit and at the 30 day safety follow</w:t>
      </w:r>
      <w:r w:rsidR="00906325">
        <w:rPr>
          <w:lang w:eastAsia="ja-JP"/>
        </w:rPr>
        <w:t xml:space="preserve"> </w:t>
      </w:r>
      <w:r>
        <w:rPr>
          <w:lang w:eastAsia="ja-JP"/>
        </w:rPr>
        <w:t>up visit.</w:t>
      </w:r>
    </w:p>
    <w:p w14:paraId="07F4C6E9" w14:textId="77777777" w:rsidR="00760BF4" w:rsidRDefault="00760BF4" w:rsidP="00760BF4">
      <w:pPr>
        <w:pStyle w:val="Heading5"/>
      </w:pPr>
      <w:r>
        <w:t>Other</w:t>
      </w:r>
      <w:r w:rsidRPr="00545B14">
        <w:t xml:space="preserve"> </w:t>
      </w:r>
      <w:r>
        <w:t>data</w:t>
      </w:r>
    </w:p>
    <w:p w14:paraId="07F4C6EA" w14:textId="77777777" w:rsidR="00760BF4" w:rsidRDefault="00760BF4" w:rsidP="00760BF4">
      <w:pPr>
        <w:rPr>
          <w:lang w:eastAsia="ja-JP"/>
        </w:rPr>
      </w:pPr>
      <w:r>
        <w:rPr>
          <w:lang w:eastAsia="ja-JP"/>
        </w:rPr>
        <w:t>The sponsor included the following additional safety data in the submission:</w:t>
      </w:r>
    </w:p>
    <w:p w14:paraId="07F4C6EB" w14:textId="2D77B4A9" w:rsidR="0046163D" w:rsidRDefault="00760BF4" w:rsidP="00760BF4">
      <w:pPr>
        <w:pStyle w:val="ListBullet"/>
        <w:numPr>
          <w:ilvl w:val="0"/>
          <w:numId w:val="1"/>
        </w:numPr>
        <w:rPr>
          <w:lang w:eastAsia="ja-JP"/>
        </w:rPr>
      </w:pPr>
      <w:r w:rsidRPr="00E271FF">
        <w:rPr>
          <w:lang w:eastAsia="ja-JP"/>
        </w:rPr>
        <w:t xml:space="preserve">A pooled analysis of immunogenicity data from </w:t>
      </w:r>
      <w:r w:rsidR="00906325">
        <w:rPr>
          <w:lang w:eastAsia="ja-JP"/>
        </w:rPr>
        <w:t>7</w:t>
      </w:r>
      <w:r w:rsidR="00906325" w:rsidRPr="00E271FF">
        <w:rPr>
          <w:lang w:eastAsia="ja-JP"/>
        </w:rPr>
        <w:t xml:space="preserve"> </w:t>
      </w:r>
      <w:r w:rsidRPr="00E271FF">
        <w:rPr>
          <w:lang w:eastAsia="ja-JP"/>
        </w:rPr>
        <w:t>pembrolizumab studies</w:t>
      </w:r>
      <w:r w:rsidR="0046163D">
        <w:rPr>
          <w:lang w:eastAsia="ja-JP"/>
        </w:rPr>
        <w:t>.</w:t>
      </w:r>
    </w:p>
    <w:p w14:paraId="07F4C6EC" w14:textId="238ADF15" w:rsidR="00760BF4" w:rsidRPr="00760BF4" w:rsidRDefault="00760BF4" w:rsidP="00760BF4">
      <w:pPr>
        <w:pStyle w:val="ListBullet"/>
      </w:pPr>
      <w:r>
        <w:rPr>
          <w:lang w:eastAsia="ja-JP"/>
        </w:rPr>
        <w:t>One periodic safety update</w:t>
      </w:r>
      <w:r w:rsidR="00323732">
        <w:rPr>
          <w:lang w:eastAsia="ja-JP"/>
        </w:rPr>
        <w:t xml:space="preserve"> report (</w:t>
      </w:r>
      <w:r w:rsidR="00906325">
        <w:rPr>
          <w:lang w:eastAsia="ja-JP"/>
        </w:rPr>
        <w:t>PSUR</w:t>
      </w:r>
      <w:r w:rsidR="00323732">
        <w:rPr>
          <w:lang w:eastAsia="ja-JP"/>
        </w:rPr>
        <w:t>)</w:t>
      </w:r>
      <w:r>
        <w:rPr>
          <w:lang w:eastAsia="ja-JP"/>
        </w:rPr>
        <w:t>.</w:t>
      </w:r>
    </w:p>
    <w:p w14:paraId="07F4C6ED" w14:textId="77777777" w:rsidR="00071A1C" w:rsidRDefault="00071A1C" w:rsidP="00071A1C">
      <w:pPr>
        <w:pStyle w:val="Heading4"/>
      </w:pPr>
      <w:r w:rsidRPr="00605AD4">
        <w:t>Patient exposure</w:t>
      </w:r>
    </w:p>
    <w:p w14:paraId="07F4C6EE" w14:textId="219CF8E1" w:rsidR="00760BF4" w:rsidRDefault="00760BF4" w:rsidP="00760BF4">
      <w:pPr>
        <w:rPr>
          <w:lang w:eastAsia="ja-JP"/>
        </w:rPr>
      </w:pPr>
      <w:r>
        <w:rPr>
          <w:lang w:eastAsia="ja-JP"/>
        </w:rPr>
        <w:t xml:space="preserve">Extent of exposure in is </w:t>
      </w:r>
      <w:r w:rsidRPr="00880EEA">
        <w:rPr>
          <w:lang w:eastAsia="ja-JP"/>
        </w:rPr>
        <w:t xml:space="preserve">summarised </w:t>
      </w:r>
      <w:r w:rsidR="00906325">
        <w:rPr>
          <w:lang w:eastAsia="ja-JP"/>
        </w:rPr>
        <w:t xml:space="preserve">below </w:t>
      </w:r>
      <w:r w:rsidRPr="00880EEA">
        <w:rPr>
          <w:lang w:eastAsia="ja-JP"/>
        </w:rPr>
        <w:t xml:space="preserve">in Table </w:t>
      </w:r>
      <w:r w:rsidR="00880EEA" w:rsidRPr="00880EEA">
        <w:rPr>
          <w:lang w:eastAsia="ja-JP"/>
        </w:rPr>
        <w:t>7</w:t>
      </w:r>
      <w:r w:rsidRPr="00880EEA">
        <w:rPr>
          <w:lang w:eastAsia="ja-JP"/>
        </w:rPr>
        <w:t>. The median duration of exposure in the pembrolizumab arm was 214 days (7.0 months</w:t>
      </w:r>
      <w:r>
        <w:rPr>
          <w:lang w:eastAsia="ja-JP"/>
        </w:rPr>
        <w:t>), compared to 106 days (3.5 months) in the chemotherapy arm. In the pembrolizumab arm, 87 subjects received at least 6</w:t>
      </w:r>
      <w:r w:rsidR="00906325">
        <w:rPr>
          <w:lang w:eastAsia="ja-JP"/>
        </w:rPr>
        <w:t> </w:t>
      </w:r>
      <w:r>
        <w:rPr>
          <w:lang w:eastAsia="ja-JP"/>
        </w:rPr>
        <w:t>months of treatment and 23 subjects had received at least 12 months of treatment. No subject had received the full planned 24 months of treatment.</w:t>
      </w:r>
    </w:p>
    <w:p w14:paraId="07F4C6EF" w14:textId="2AEBEDFE" w:rsidR="00760BF4" w:rsidRPr="00CB18B4" w:rsidRDefault="00760BF4" w:rsidP="00760BF4">
      <w:pPr>
        <w:pStyle w:val="Tabletitle0"/>
      </w:pPr>
      <w:r w:rsidRPr="00880EEA">
        <w:t xml:space="preserve">Table </w:t>
      </w:r>
      <w:r w:rsidR="00880EEA" w:rsidRPr="00880EEA">
        <w:t>7</w:t>
      </w:r>
      <w:r w:rsidRPr="00880EEA">
        <w:t xml:space="preserve">: </w:t>
      </w:r>
      <w:r w:rsidR="00880EEA">
        <w:t>KEYNOTE-</w:t>
      </w:r>
      <w:r w:rsidRPr="00CB18B4">
        <w:t>024</w:t>
      </w:r>
      <w:r w:rsidR="00906325">
        <w:t xml:space="preserve"> trial,</w:t>
      </w:r>
      <w:r w:rsidRPr="00CB18B4">
        <w:t xml:space="preserve"> extent of exposure</w:t>
      </w:r>
    </w:p>
    <w:p w14:paraId="07F4C6F0" w14:textId="77777777" w:rsidR="00760BF4" w:rsidRPr="00760BF4" w:rsidRDefault="00760BF4" w:rsidP="00760BF4">
      <w:r>
        <w:rPr>
          <w:noProof/>
          <w:lang w:eastAsia="en-AU"/>
        </w:rPr>
        <w:drawing>
          <wp:inline distT="0" distB="0" distL="0" distR="0" wp14:anchorId="07F4C9D8" wp14:editId="07F4C9D9">
            <wp:extent cx="5400040" cy="2736943"/>
            <wp:effectExtent l="0" t="0" r="0" b="6350"/>
            <wp:docPr id="15" name="Picture 15" descr="Table 7: Study KEYNOTE-024 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736943"/>
                    </a:xfrm>
                    <a:prstGeom prst="rect">
                      <a:avLst/>
                    </a:prstGeom>
                  </pic:spPr>
                </pic:pic>
              </a:graphicData>
            </a:graphic>
          </wp:inline>
        </w:drawing>
      </w:r>
    </w:p>
    <w:p w14:paraId="07F4C6F1" w14:textId="77777777" w:rsidR="00071A1C" w:rsidRDefault="00071A1C" w:rsidP="00071A1C">
      <w:pPr>
        <w:pStyle w:val="Heading4"/>
      </w:pPr>
      <w:r w:rsidRPr="00605AD4">
        <w:t>Safety issues with the potential for major regulatory impact</w:t>
      </w:r>
    </w:p>
    <w:p w14:paraId="07F4C6F2" w14:textId="77777777" w:rsidR="00760BF4" w:rsidRPr="00545B14" w:rsidRDefault="00760BF4" w:rsidP="00760BF4">
      <w:pPr>
        <w:pStyle w:val="Heading5"/>
      </w:pPr>
      <w:bookmarkStart w:id="128" w:name="_Toc272414669"/>
      <w:bookmarkStart w:id="129" w:name="_Toc290888533"/>
      <w:bookmarkStart w:id="130" w:name="_Toc416353749"/>
      <w:bookmarkStart w:id="131" w:name="_Toc421005292"/>
      <w:bookmarkStart w:id="132" w:name="_Toc432079169"/>
      <w:bookmarkStart w:id="133" w:name="_Toc432080742"/>
      <w:r w:rsidRPr="00545B14">
        <w:t>Liver function</w:t>
      </w:r>
      <w:bookmarkEnd w:id="128"/>
      <w:bookmarkEnd w:id="129"/>
      <w:bookmarkEnd w:id="130"/>
      <w:bookmarkEnd w:id="131"/>
      <w:r>
        <w:t xml:space="preserve"> and liver toxicity</w:t>
      </w:r>
      <w:bookmarkEnd w:id="132"/>
      <w:bookmarkEnd w:id="133"/>
    </w:p>
    <w:p w14:paraId="07F4C6F3" w14:textId="77777777" w:rsidR="00760BF4" w:rsidRDefault="00760BF4" w:rsidP="00760BF4">
      <w:pPr>
        <w:rPr>
          <w:lang w:eastAsia="ja-JP"/>
        </w:rPr>
      </w:pPr>
      <w:r>
        <w:rPr>
          <w:lang w:eastAsia="ja-JP"/>
        </w:rPr>
        <w:t>Immune mediated hepatitis is listed in the current PI as an adverse effect of pembrolizumab.</w:t>
      </w:r>
    </w:p>
    <w:p w14:paraId="07F4C6F4" w14:textId="6421B231" w:rsidR="00760BF4" w:rsidRDefault="00760BF4" w:rsidP="00760BF4">
      <w:pPr>
        <w:rPr>
          <w:lang w:eastAsia="ja-JP"/>
        </w:rPr>
      </w:pPr>
      <w:r>
        <w:rPr>
          <w:lang w:eastAsia="ja-JP"/>
        </w:rPr>
        <w:t xml:space="preserve">The incidence of </w:t>
      </w:r>
      <w:r w:rsidR="008D6066">
        <w:t>liver function test</w:t>
      </w:r>
      <w:r w:rsidR="008D6066">
        <w:rPr>
          <w:lang w:eastAsia="ja-JP"/>
        </w:rPr>
        <w:t xml:space="preserve"> (</w:t>
      </w:r>
      <w:r>
        <w:rPr>
          <w:lang w:eastAsia="ja-JP"/>
        </w:rPr>
        <w:t>LFT</w:t>
      </w:r>
      <w:r w:rsidR="008D6066">
        <w:rPr>
          <w:lang w:eastAsia="ja-JP"/>
        </w:rPr>
        <w:t>)</w:t>
      </w:r>
      <w:r>
        <w:rPr>
          <w:lang w:eastAsia="ja-JP"/>
        </w:rPr>
        <w:t xml:space="preserve"> abnormalities in </w:t>
      </w:r>
      <w:r w:rsidR="00906325">
        <w:rPr>
          <w:lang w:eastAsia="ja-JP"/>
        </w:rPr>
        <w:t xml:space="preserve">the </w:t>
      </w:r>
      <w:r w:rsidR="008D6066">
        <w:rPr>
          <w:lang w:eastAsia="ja-JP"/>
        </w:rPr>
        <w:t>KEYNOTE-024</w:t>
      </w:r>
      <w:r w:rsidR="00906325">
        <w:rPr>
          <w:lang w:eastAsia="ja-JP"/>
        </w:rPr>
        <w:t xml:space="preserve"> trial</w:t>
      </w:r>
      <w:r w:rsidR="008D6066">
        <w:rPr>
          <w:lang w:eastAsia="ja-JP"/>
        </w:rPr>
        <w:t xml:space="preserve"> </w:t>
      </w:r>
      <w:r>
        <w:rPr>
          <w:lang w:eastAsia="ja-JP"/>
        </w:rPr>
        <w:t xml:space="preserve">is </w:t>
      </w:r>
      <w:r w:rsidRPr="003A058C">
        <w:rPr>
          <w:lang w:eastAsia="ja-JP"/>
        </w:rPr>
        <w:t>summarised in Table 19</w:t>
      </w:r>
      <w:r>
        <w:rPr>
          <w:lang w:eastAsia="ja-JP"/>
        </w:rPr>
        <w:t xml:space="preserve"> of Attachment 3</w:t>
      </w:r>
      <w:r w:rsidRPr="003A058C">
        <w:rPr>
          <w:lang w:eastAsia="ja-JP"/>
        </w:rPr>
        <w:t>. The overall incidence of abnormalities was generally comparable in the</w:t>
      </w:r>
      <w:r>
        <w:rPr>
          <w:lang w:eastAsia="ja-JP"/>
        </w:rPr>
        <w:t xml:space="preserve"> two treatment arms. However, </w:t>
      </w:r>
      <w:r w:rsidR="00906325">
        <w:rPr>
          <w:lang w:eastAsia="ja-JP"/>
        </w:rPr>
        <w:t xml:space="preserve">Grade </w:t>
      </w:r>
      <w:r>
        <w:rPr>
          <w:lang w:eastAsia="ja-JP"/>
        </w:rPr>
        <w:t xml:space="preserve">3 or 4 transaminase elevations occurred more frequently in the pembrolizumab arm. The protocol for the study indicated that cases of abnormal LFTs meeting </w:t>
      </w:r>
      <w:proofErr w:type="spellStart"/>
      <w:r>
        <w:rPr>
          <w:lang w:eastAsia="ja-JP"/>
        </w:rPr>
        <w:t>Hy’s</w:t>
      </w:r>
      <w:proofErr w:type="spellEnd"/>
      <w:r>
        <w:rPr>
          <w:lang w:eastAsia="ja-JP"/>
        </w:rPr>
        <w:t xml:space="preserve"> law criteria would be monitored as events of clinical interest. However, no discussion of such cases was included in the study report.</w:t>
      </w:r>
    </w:p>
    <w:p w14:paraId="07F4C6F5" w14:textId="77777777" w:rsidR="00760BF4" w:rsidRPr="00545B14" w:rsidRDefault="00760BF4" w:rsidP="00760BF4">
      <w:pPr>
        <w:pStyle w:val="Heading5"/>
      </w:pPr>
      <w:r>
        <w:t xml:space="preserve">Renal </w:t>
      </w:r>
      <w:r w:rsidRPr="00545B14">
        <w:t>function</w:t>
      </w:r>
      <w:r>
        <w:t xml:space="preserve"> and renal toxicity</w:t>
      </w:r>
    </w:p>
    <w:p w14:paraId="07F4C6F6" w14:textId="77777777" w:rsidR="00760BF4" w:rsidRDefault="00760BF4" w:rsidP="00760BF4">
      <w:pPr>
        <w:rPr>
          <w:lang w:eastAsia="ja-JP"/>
        </w:rPr>
      </w:pPr>
      <w:r>
        <w:rPr>
          <w:lang w:eastAsia="ja-JP"/>
        </w:rPr>
        <w:t>Immune mediated nephritis is listed in the current PI as an adverse effect of pembrolizumab.</w:t>
      </w:r>
    </w:p>
    <w:p w14:paraId="07F4C6F7" w14:textId="10818C7F" w:rsidR="00760BF4" w:rsidRDefault="00760BF4" w:rsidP="00760BF4">
      <w:pPr>
        <w:rPr>
          <w:lang w:eastAsia="ja-JP"/>
        </w:rPr>
      </w:pPr>
      <w:r>
        <w:rPr>
          <w:lang w:eastAsia="ja-JP"/>
        </w:rPr>
        <w:lastRenderedPageBreak/>
        <w:t xml:space="preserve">In </w:t>
      </w:r>
      <w:r w:rsidR="00906325">
        <w:rPr>
          <w:lang w:eastAsia="ja-JP"/>
        </w:rPr>
        <w:t xml:space="preserve">the </w:t>
      </w:r>
      <w:r w:rsidR="008D6066">
        <w:rPr>
          <w:lang w:eastAsia="ja-JP"/>
        </w:rPr>
        <w:t>KEYNOTE-024</w:t>
      </w:r>
      <w:r w:rsidR="00906325">
        <w:rPr>
          <w:lang w:eastAsia="ja-JP"/>
        </w:rPr>
        <w:t xml:space="preserve"> trial</w:t>
      </w:r>
      <w:r>
        <w:rPr>
          <w:lang w:eastAsia="ja-JP"/>
        </w:rPr>
        <w:t xml:space="preserve">, abnormalities in serum creatinine occurred more frequently in the chemotherapy </w:t>
      </w:r>
      <w:r w:rsidRPr="003A058C">
        <w:rPr>
          <w:lang w:eastAsia="ja-JP"/>
        </w:rPr>
        <w:t>arm (</w:t>
      </w:r>
      <w:r w:rsidR="00906325">
        <w:rPr>
          <w:lang w:eastAsia="ja-JP"/>
        </w:rPr>
        <w:t xml:space="preserve">see </w:t>
      </w:r>
      <w:r w:rsidRPr="003A058C">
        <w:rPr>
          <w:lang w:eastAsia="ja-JP"/>
        </w:rPr>
        <w:t>Table 20</w:t>
      </w:r>
      <w:r w:rsidR="00377F33">
        <w:rPr>
          <w:lang w:eastAsia="ja-JP"/>
        </w:rPr>
        <w:t xml:space="preserve">, </w:t>
      </w:r>
      <w:r>
        <w:rPr>
          <w:lang w:eastAsia="ja-JP"/>
        </w:rPr>
        <w:t>Attachment 3</w:t>
      </w:r>
      <w:r w:rsidRPr="003A058C">
        <w:rPr>
          <w:lang w:eastAsia="ja-JP"/>
        </w:rPr>
        <w:t>).</w:t>
      </w:r>
    </w:p>
    <w:p w14:paraId="07F4C6F8" w14:textId="77777777" w:rsidR="00760BF4" w:rsidRDefault="00760BF4" w:rsidP="00760BF4">
      <w:pPr>
        <w:pStyle w:val="Heading5"/>
      </w:pPr>
      <w:r w:rsidRPr="00545B14">
        <w:t>Other clinical chemistry</w:t>
      </w:r>
    </w:p>
    <w:p w14:paraId="07F4C6F9" w14:textId="392157FA" w:rsidR="00760BF4" w:rsidRDefault="00760BF4" w:rsidP="00760BF4">
      <w:pPr>
        <w:rPr>
          <w:lang w:eastAsia="ja-JP"/>
        </w:rPr>
      </w:pPr>
      <w:r>
        <w:rPr>
          <w:lang w:eastAsia="ja-JP"/>
        </w:rPr>
        <w:t xml:space="preserve">Other biochemical abnormalities occurring in </w:t>
      </w:r>
      <w:r w:rsidR="00906325">
        <w:rPr>
          <w:lang w:eastAsia="ja-JP"/>
        </w:rPr>
        <w:t xml:space="preserve">the </w:t>
      </w:r>
      <w:r w:rsidR="00A81270">
        <w:rPr>
          <w:lang w:eastAsia="ja-JP"/>
        </w:rPr>
        <w:t>KEYNOTE-024</w:t>
      </w:r>
      <w:r w:rsidR="00906325">
        <w:rPr>
          <w:lang w:eastAsia="ja-JP"/>
        </w:rPr>
        <w:t xml:space="preserve"> trial</w:t>
      </w:r>
      <w:r>
        <w:rPr>
          <w:lang w:eastAsia="ja-JP"/>
        </w:rPr>
        <w:t xml:space="preserve"> are listed in Table 21 of Attachment 3. The incidence of such abnormalities was generally similar in the two treatment arms.</w:t>
      </w:r>
    </w:p>
    <w:p w14:paraId="07F4C6FA" w14:textId="3F537381" w:rsidR="00760BF4" w:rsidRDefault="00760BF4" w:rsidP="00760BF4">
      <w:pPr>
        <w:rPr>
          <w:lang w:eastAsia="ja-JP"/>
        </w:rPr>
      </w:pPr>
      <w:r>
        <w:rPr>
          <w:lang w:eastAsia="ja-JP"/>
        </w:rPr>
        <w:t xml:space="preserve">Abnormal amylase/lipase was slightly more common in the pembrolizumab arm. There was 1 </w:t>
      </w:r>
      <w:r w:rsidR="00906325">
        <w:rPr>
          <w:lang w:eastAsia="ja-JP"/>
        </w:rPr>
        <w:t>adverse event</w:t>
      </w:r>
      <w:r>
        <w:rPr>
          <w:lang w:eastAsia="ja-JP"/>
        </w:rPr>
        <w:t xml:space="preserve"> of pancreatitis in the pembrolizumab arm. Immune</w:t>
      </w:r>
      <w:r w:rsidR="00906325">
        <w:rPr>
          <w:lang w:eastAsia="ja-JP"/>
        </w:rPr>
        <w:t xml:space="preserve"> </w:t>
      </w:r>
      <w:r>
        <w:rPr>
          <w:lang w:eastAsia="ja-JP"/>
        </w:rPr>
        <w:t>mediated pancreatitis is listed in the current PI as an adverse effect of pembrolizumab.</w:t>
      </w:r>
    </w:p>
    <w:p w14:paraId="07F4C6FB" w14:textId="77777777" w:rsidR="00192A70" w:rsidRDefault="00192A70" w:rsidP="00192A70">
      <w:pPr>
        <w:pStyle w:val="Heading5"/>
      </w:pPr>
      <w:r w:rsidRPr="00545B14">
        <w:t>Haematology</w:t>
      </w:r>
      <w:r>
        <w:t xml:space="preserve"> and haematological toxicity</w:t>
      </w:r>
    </w:p>
    <w:p w14:paraId="07F4C6FC" w14:textId="3BDB7DB3" w:rsidR="00192A70" w:rsidRDefault="00192A70" w:rsidP="00192A70">
      <w:pPr>
        <w:rPr>
          <w:lang w:eastAsia="ja-JP"/>
        </w:rPr>
      </w:pPr>
      <w:r>
        <w:rPr>
          <w:lang w:eastAsia="ja-JP"/>
        </w:rPr>
        <w:t xml:space="preserve">Haematological laboratory abnormalities that occurred in </w:t>
      </w:r>
      <w:r w:rsidR="00906325">
        <w:rPr>
          <w:lang w:eastAsia="ja-JP"/>
        </w:rPr>
        <w:t xml:space="preserve">the </w:t>
      </w:r>
      <w:r w:rsidR="00A81270">
        <w:rPr>
          <w:lang w:eastAsia="ja-JP"/>
        </w:rPr>
        <w:t>KEYNOTE-024</w:t>
      </w:r>
      <w:r w:rsidR="00906325">
        <w:rPr>
          <w:lang w:eastAsia="ja-JP"/>
        </w:rPr>
        <w:t xml:space="preserve"> trial</w:t>
      </w:r>
      <w:r>
        <w:rPr>
          <w:lang w:eastAsia="ja-JP"/>
        </w:rPr>
        <w:t xml:space="preserve"> are </w:t>
      </w:r>
      <w:r w:rsidRPr="003A058C">
        <w:rPr>
          <w:lang w:eastAsia="ja-JP"/>
        </w:rPr>
        <w:t>summarised in Table 22</w:t>
      </w:r>
      <w:r w:rsidR="00377F33">
        <w:rPr>
          <w:lang w:eastAsia="ja-JP"/>
        </w:rPr>
        <w:t xml:space="preserve">, </w:t>
      </w:r>
      <w:r w:rsidR="00906325">
        <w:rPr>
          <w:lang w:eastAsia="ja-JP"/>
        </w:rPr>
        <w:t>Attachment 3</w:t>
      </w:r>
      <w:r w:rsidRPr="003A058C">
        <w:rPr>
          <w:lang w:eastAsia="ja-JP"/>
        </w:rPr>
        <w:t>. Cytopaenias</w:t>
      </w:r>
      <w:r>
        <w:rPr>
          <w:lang w:eastAsia="ja-JP"/>
        </w:rPr>
        <w:t xml:space="preserve"> were much more frequent in the chemotherapy arm. Other abnormalities occurred with a similar frequency in the two arms.</w:t>
      </w:r>
    </w:p>
    <w:p w14:paraId="07F4C6FD" w14:textId="77777777" w:rsidR="00192A70" w:rsidRDefault="00192A70" w:rsidP="00192A70">
      <w:pPr>
        <w:pStyle w:val="Heading5"/>
      </w:pPr>
      <w:r>
        <w:t>Immunogenicity and immunological events</w:t>
      </w:r>
    </w:p>
    <w:p w14:paraId="07F4C6FE" w14:textId="6F3721EB" w:rsidR="0046163D" w:rsidRDefault="00A81270" w:rsidP="00192A70">
      <w:pPr>
        <w:rPr>
          <w:lang w:eastAsia="ja-JP"/>
        </w:rPr>
      </w:pPr>
      <w:r>
        <w:rPr>
          <w:lang w:eastAsia="ja-JP"/>
        </w:rPr>
        <w:t xml:space="preserve">Immune </w:t>
      </w:r>
      <w:r w:rsidR="00192A70">
        <w:rPr>
          <w:lang w:eastAsia="ja-JP"/>
        </w:rPr>
        <w:t xml:space="preserve">mediated </w:t>
      </w:r>
      <w:r w:rsidR="00906325">
        <w:rPr>
          <w:lang w:eastAsia="ja-JP"/>
        </w:rPr>
        <w:t>adverse events</w:t>
      </w:r>
      <w:r w:rsidR="00192A70">
        <w:rPr>
          <w:lang w:eastAsia="ja-JP"/>
        </w:rPr>
        <w:t xml:space="preserve"> were common with pembrolizumab in </w:t>
      </w:r>
      <w:r w:rsidR="00906325">
        <w:rPr>
          <w:lang w:eastAsia="ja-JP"/>
        </w:rPr>
        <w:t xml:space="preserve">the </w:t>
      </w:r>
      <w:r>
        <w:rPr>
          <w:lang w:eastAsia="ja-JP"/>
        </w:rPr>
        <w:t>KEYNOTE</w:t>
      </w:r>
      <w:r w:rsidR="009727A2">
        <w:rPr>
          <w:lang w:eastAsia="ja-JP"/>
        </w:rPr>
        <w:noBreakHyphen/>
      </w:r>
      <w:r>
        <w:rPr>
          <w:lang w:eastAsia="ja-JP"/>
        </w:rPr>
        <w:t>024</w:t>
      </w:r>
      <w:r w:rsidR="00F63B5C">
        <w:rPr>
          <w:lang w:eastAsia="ja-JP"/>
        </w:rPr>
        <w:t xml:space="preserve"> trial</w:t>
      </w:r>
      <w:r w:rsidR="0046163D">
        <w:rPr>
          <w:lang w:eastAsia="ja-JP"/>
        </w:rPr>
        <w:t>.</w:t>
      </w:r>
    </w:p>
    <w:p w14:paraId="07F4C6FF" w14:textId="6B4C835E" w:rsidR="00192A70" w:rsidRDefault="00192A70" w:rsidP="00192A70">
      <w:pPr>
        <w:rPr>
          <w:lang w:eastAsia="ja-JP"/>
        </w:rPr>
      </w:pPr>
      <w:r>
        <w:rPr>
          <w:lang w:eastAsia="ja-JP"/>
        </w:rPr>
        <w:t xml:space="preserve">In </w:t>
      </w:r>
      <w:r w:rsidR="009727A2">
        <w:rPr>
          <w:lang w:eastAsia="ja-JP"/>
        </w:rPr>
        <w:t xml:space="preserve">the </w:t>
      </w:r>
      <w:r w:rsidR="00A81270">
        <w:rPr>
          <w:lang w:eastAsia="ja-JP"/>
        </w:rPr>
        <w:t>KEYNOTE-024</w:t>
      </w:r>
      <w:r w:rsidR="009727A2">
        <w:rPr>
          <w:lang w:eastAsia="ja-JP"/>
        </w:rPr>
        <w:t xml:space="preserve"> </w:t>
      </w:r>
      <w:proofErr w:type="gramStart"/>
      <w:r w:rsidR="009727A2">
        <w:rPr>
          <w:lang w:eastAsia="ja-JP"/>
        </w:rPr>
        <w:t xml:space="preserve">trial </w:t>
      </w:r>
      <w:r>
        <w:rPr>
          <w:lang w:eastAsia="ja-JP"/>
        </w:rPr>
        <w:t>,</w:t>
      </w:r>
      <w:proofErr w:type="gramEnd"/>
      <w:r>
        <w:rPr>
          <w:lang w:eastAsia="ja-JP"/>
        </w:rPr>
        <w:t xml:space="preserve"> treatment emergent anti-pembrolizumab antibodies developed in 6 of 140 evaluable subjects (4.3%). These subjects did not develop any </w:t>
      </w:r>
      <w:r w:rsidR="009727A2">
        <w:rPr>
          <w:lang w:eastAsia="ja-JP"/>
        </w:rPr>
        <w:t>adverse events</w:t>
      </w:r>
      <w:r>
        <w:rPr>
          <w:lang w:eastAsia="ja-JP"/>
        </w:rPr>
        <w:t xml:space="preserve"> of an allergic nature or any alterations in pembrolizumab </w:t>
      </w:r>
      <w:r w:rsidR="009727A2">
        <w:rPr>
          <w:lang w:eastAsia="ja-JP"/>
        </w:rPr>
        <w:t>pharmacokinetics</w:t>
      </w:r>
      <w:r>
        <w:rPr>
          <w:lang w:eastAsia="ja-JP"/>
        </w:rPr>
        <w:t>.</w:t>
      </w:r>
    </w:p>
    <w:p w14:paraId="07F4C700" w14:textId="7158B00C" w:rsidR="00760BF4" w:rsidRPr="00760BF4" w:rsidRDefault="00192A70" w:rsidP="00192A70">
      <w:r>
        <w:rPr>
          <w:lang w:eastAsia="ja-JP"/>
        </w:rPr>
        <w:t>The submission also included a pooled analysis of immunogenicity data from seven studies. This analysis is summarised in Section 8.4.8.1 of Attachment 3.</w:t>
      </w:r>
    </w:p>
    <w:p w14:paraId="07F4C701" w14:textId="77777777" w:rsidR="00071A1C" w:rsidRDefault="00071A1C" w:rsidP="00071A1C">
      <w:pPr>
        <w:pStyle w:val="Heading4"/>
      </w:pPr>
      <w:r w:rsidRPr="00605AD4">
        <w:t>Post</w:t>
      </w:r>
      <w:r w:rsidR="00760BF4">
        <w:t>-</w:t>
      </w:r>
      <w:r w:rsidRPr="00605AD4">
        <w:t>marketing data</w:t>
      </w:r>
    </w:p>
    <w:p w14:paraId="07F4C702" w14:textId="667FDE8C" w:rsidR="00192A70" w:rsidRDefault="00192A70" w:rsidP="00192A70">
      <w:pPr>
        <w:rPr>
          <w:lang w:eastAsia="ja-JP"/>
        </w:rPr>
      </w:pPr>
      <w:r>
        <w:rPr>
          <w:lang w:eastAsia="ja-JP"/>
        </w:rPr>
        <w:t>The submission included one PSUR that reviewed adverse event reports received by the sponsor over a 6 month period between 4 September 2015 and 3 March 2016. During this period, approximately 12,985 patients were exposed to marketed pembrolizumab. Cumulatively, there were approximately 22,494 patients who had been exposed to marketed pembrolizumab.</w:t>
      </w:r>
    </w:p>
    <w:p w14:paraId="07F4C703" w14:textId="77777777" w:rsidR="00192A70" w:rsidRDefault="00192A70" w:rsidP="00192A70">
      <w:pPr>
        <w:rPr>
          <w:lang w:eastAsia="ja-JP"/>
        </w:rPr>
      </w:pPr>
      <w:r>
        <w:rPr>
          <w:lang w:eastAsia="ja-JP"/>
        </w:rPr>
        <w:t>During the reporting period, there were no actions taken by regulators against the product on safety grounds.</w:t>
      </w:r>
    </w:p>
    <w:p w14:paraId="07F4C704" w14:textId="77777777" w:rsidR="00192A70" w:rsidRDefault="00A81270" w:rsidP="00192A70">
      <w:pPr>
        <w:rPr>
          <w:lang w:eastAsia="ja-JP"/>
        </w:rPr>
      </w:pPr>
      <w:r>
        <w:rPr>
          <w:lang w:eastAsia="ja-JP"/>
        </w:rPr>
        <w:t xml:space="preserve">Immune </w:t>
      </w:r>
      <w:r w:rsidR="00192A70" w:rsidRPr="00AC2C62">
        <w:rPr>
          <w:lang w:eastAsia="ja-JP"/>
        </w:rPr>
        <w:t>mediated myasthenia gravis was identified</w:t>
      </w:r>
      <w:r w:rsidR="00192A70">
        <w:rPr>
          <w:lang w:eastAsia="ja-JP"/>
        </w:rPr>
        <w:t xml:space="preserve"> as a potential safety issue based on published reports of cases occurring in subjects treated with nivolumab and ipilimumab. A review of the sponsor’s safety database for pembrolizumab identified 7 spontaneous reports that could have represented cases of myasthenia gravis. However, in all 7 cases the details provided were insufficient to allow a meaningful assessment. The sponsor considered that thes</w:t>
      </w:r>
      <w:r>
        <w:rPr>
          <w:lang w:eastAsia="ja-JP"/>
        </w:rPr>
        <w:t xml:space="preserve">e may have been cases of immune </w:t>
      </w:r>
      <w:r w:rsidR="00192A70">
        <w:rPr>
          <w:lang w:eastAsia="ja-JP"/>
        </w:rPr>
        <w:t>mediated myositis/myopathy which is an adverse reaction listed in the current PI. Another 4 potential cases were identified from clinical trials. However, there were confounding factors or inconsistencies with each of these four cases. The sponsor accepted myasthenia gravis as a potential safety risk for inclusion in the risk management program. However, a change to the prescribing information was not considered appropriate.</w:t>
      </w:r>
    </w:p>
    <w:p w14:paraId="07F4C705" w14:textId="7FECEE6B" w:rsidR="00192A70" w:rsidRDefault="00192A70" w:rsidP="00192A70">
      <w:pPr>
        <w:rPr>
          <w:lang w:eastAsia="ja-JP"/>
        </w:rPr>
      </w:pPr>
      <w:r>
        <w:rPr>
          <w:lang w:eastAsia="ja-JP"/>
        </w:rPr>
        <w:t xml:space="preserve">The sponsor also conducted an assessment of safety data related to reports </w:t>
      </w:r>
      <w:r w:rsidRPr="00AC2C62">
        <w:rPr>
          <w:lang w:eastAsia="ja-JP"/>
        </w:rPr>
        <w:t>of encephalitis and encephalopathy tempo</w:t>
      </w:r>
      <w:r>
        <w:rPr>
          <w:lang w:eastAsia="ja-JP"/>
        </w:rPr>
        <w:t>rally associated with the administration of pembrolizumab. A total of 19 cases were identified (17 from clinical trials and 2 spontaneous reports). In most of these cases, a more plausible explanation for the event was present (</w:t>
      </w:r>
      <w:r w:rsidR="0046163D">
        <w:rPr>
          <w:lang w:eastAsia="ja-JP"/>
        </w:rPr>
        <w:t>for example</w:t>
      </w:r>
      <w:r w:rsidR="009727A2">
        <w:rPr>
          <w:lang w:eastAsia="ja-JP"/>
        </w:rPr>
        <w:t>,</w:t>
      </w:r>
      <w:r>
        <w:rPr>
          <w:lang w:eastAsia="ja-JP"/>
        </w:rPr>
        <w:t xml:space="preserve"> brain metastases, hepatic encephalopathy, </w:t>
      </w:r>
      <w:proofErr w:type="gramStart"/>
      <w:r>
        <w:rPr>
          <w:lang w:eastAsia="ja-JP"/>
        </w:rPr>
        <w:t>alcohol</w:t>
      </w:r>
      <w:proofErr w:type="gramEnd"/>
      <w:r>
        <w:rPr>
          <w:lang w:eastAsia="ja-JP"/>
        </w:rPr>
        <w:t xml:space="preserve"> abuse etcetera). Three cases had </w:t>
      </w:r>
      <w:r>
        <w:rPr>
          <w:lang w:eastAsia="ja-JP"/>
        </w:rPr>
        <w:lastRenderedPageBreak/>
        <w:t>insufficient detail for an adequate assessment to be made. The sponsor concluded that there was insufficient evidence to support a causal relationship with pembrolizumab.</w:t>
      </w:r>
    </w:p>
    <w:p w14:paraId="07F4C706" w14:textId="77777777" w:rsidR="00192A70" w:rsidRPr="00192A70" w:rsidRDefault="00192A70" w:rsidP="00192A70">
      <w:pPr>
        <w:rPr>
          <w:lang w:eastAsia="ja-JP"/>
        </w:rPr>
      </w:pPr>
      <w:r>
        <w:rPr>
          <w:lang w:eastAsia="ja-JP"/>
        </w:rPr>
        <w:t>No other new safety issues were identified.</w:t>
      </w:r>
    </w:p>
    <w:p w14:paraId="07F4C707" w14:textId="77777777" w:rsidR="00071A1C" w:rsidRPr="00605AD4" w:rsidRDefault="00071A1C" w:rsidP="00071A1C">
      <w:pPr>
        <w:pStyle w:val="Heading4"/>
      </w:pPr>
      <w:r w:rsidRPr="00605AD4">
        <w:t>Evaluator’s conclusions on safety</w:t>
      </w:r>
    </w:p>
    <w:p w14:paraId="07F4C708" w14:textId="0C8D8768" w:rsidR="00192A70" w:rsidRDefault="00192A70" w:rsidP="00192A70">
      <w:pPr>
        <w:rPr>
          <w:lang w:eastAsia="ja-JP"/>
        </w:rPr>
      </w:pPr>
      <w:r>
        <w:rPr>
          <w:lang w:eastAsia="ja-JP"/>
        </w:rPr>
        <w:t xml:space="preserve">The data from </w:t>
      </w:r>
      <w:r w:rsidR="009727A2">
        <w:rPr>
          <w:lang w:eastAsia="ja-JP"/>
        </w:rPr>
        <w:t xml:space="preserve">the </w:t>
      </w:r>
      <w:r w:rsidR="00A81270">
        <w:rPr>
          <w:lang w:eastAsia="ja-JP"/>
        </w:rPr>
        <w:t>KEYNOTE-024</w:t>
      </w:r>
      <w:r>
        <w:rPr>
          <w:lang w:eastAsia="ja-JP"/>
        </w:rPr>
        <w:t xml:space="preserve"> </w:t>
      </w:r>
      <w:r w:rsidR="009727A2">
        <w:rPr>
          <w:lang w:eastAsia="ja-JP"/>
        </w:rPr>
        <w:t xml:space="preserve">trial </w:t>
      </w:r>
      <w:r>
        <w:rPr>
          <w:lang w:eastAsia="ja-JP"/>
        </w:rPr>
        <w:t xml:space="preserve">indicate that pembrolizumab has a more favourable overall safety profile than platinum doublet chemotherapy in the first line treatment of metastatic NSCLC. The incidence of AEs and serious </w:t>
      </w:r>
      <w:r w:rsidR="009727A2">
        <w:rPr>
          <w:lang w:eastAsia="ja-JP"/>
        </w:rPr>
        <w:t>adverse events</w:t>
      </w:r>
      <w:r>
        <w:rPr>
          <w:lang w:eastAsia="ja-JP"/>
        </w:rPr>
        <w:t xml:space="preserve"> was comparable in the two treatment groups even though the duration of treatment in the pembrolizumab arm was approximately double that in the chemotherapy arm. Pembrolizumab treatment was associated with a lower incidence of </w:t>
      </w:r>
      <w:r w:rsidR="009727A2">
        <w:rPr>
          <w:lang w:eastAsia="ja-JP"/>
        </w:rPr>
        <w:t xml:space="preserve">Grade </w:t>
      </w:r>
      <w:r>
        <w:rPr>
          <w:lang w:eastAsia="ja-JP"/>
        </w:rPr>
        <w:t>3 to 5 AEs (53.2% versus 72.7%), discontinuations due to AEs (9.1% versus 14.0%) and drug related AEs leading to death (0.6% versus 2.0%).</w:t>
      </w:r>
    </w:p>
    <w:p w14:paraId="07F4C709" w14:textId="397E6852" w:rsidR="00192A70" w:rsidRDefault="00192A70" w:rsidP="00192A70">
      <w:pPr>
        <w:rPr>
          <w:lang w:eastAsia="ja-JP"/>
        </w:rPr>
      </w:pPr>
      <w:r>
        <w:rPr>
          <w:lang w:eastAsia="ja-JP"/>
        </w:rPr>
        <w:t>The pattern of toxicity observed with pembrolizumab was consistent with that previously documented for the drug. The most common adverse events were consistent with immune</w:t>
      </w:r>
      <w:r w:rsidR="009727A2">
        <w:rPr>
          <w:lang w:eastAsia="ja-JP"/>
        </w:rPr>
        <w:t xml:space="preserve"> </w:t>
      </w:r>
      <w:r>
        <w:rPr>
          <w:lang w:eastAsia="ja-JP"/>
        </w:rPr>
        <w:t xml:space="preserve">mediated toxicities such as pneumonitis, colitis, thyroid dysfunction, skin disorders, </w:t>
      </w:r>
      <w:proofErr w:type="gramStart"/>
      <w:r>
        <w:rPr>
          <w:lang w:eastAsia="ja-JP"/>
        </w:rPr>
        <w:t>hepatitis</w:t>
      </w:r>
      <w:proofErr w:type="gramEnd"/>
      <w:r>
        <w:rPr>
          <w:lang w:eastAsia="ja-JP"/>
        </w:rPr>
        <w:t xml:space="preserve"> </w:t>
      </w:r>
      <w:r w:rsidR="009727A2">
        <w:rPr>
          <w:lang w:eastAsia="ja-JP"/>
        </w:rPr>
        <w:t xml:space="preserve">and so on. </w:t>
      </w:r>
      <w:r>
        <w:rPr>
          <w:lang w:eastAsia="ja-JP"/>
        </w:rPr>
        <w:t>No new toxicities were identified.</w:t>
      </w:r>
    </w:p>
    <w:p w14:paraId="07F4C70A" w14:textId="4174DC0B" w:rsidR="00192A70" w:rsidRDefault="00192A70" w:rsidP="00192A70">
      <w:pPr>
        <w:rPr>
          <w:lang w:eastAsia="ja-JP"/>
        </w:rPr>
      </w:pPr>
      <w:r>
        <w:rPr>
          <w:lang w:eastAsia="ja-JP"/>
        </w:rPr>
        <w:t xml:space="preserve">Anti-pembrolizumab antibodies developed in 4.3% of subjects in </w:t>
      </w:r>
      <w:r w:rsidR="005B4DED">
        <w:rPr>
          <w:lang w:eastAsia="ja-JP"/>
        </w:rPr>
        <w:t xml:space="preserve">the </w:t>
      </w:r>
      <w:r w:rsidR="00A81270">
        <w:rPr>
          <w:lang w:eastAsia="ja-JP"/>
        </w:rPr>
        <w:t>KEYNOTE-024</w:t>
      </w:r>
      <w:r w:rsidR="005B4DED">
        <w:rPr>
          <w:lang w:eastAsia="ja-JP"/>
        </w:rPr>
        <w:t xml:space="preserve"> trial</w:t>
      </w:r>
      <w:r>
        <w:rPr>
          <w:lang w:eastAsia="ja-JP"/>
        </w:rPr>
        <w:t>. However, these antibodies were not associated with any effects on the pharmacokinetics of the drug or with any safety concerns.</w:t>
      </w:r>
    </w:p>
    <w:p w14:paraId="07F4C70B" w14:textId="77777777" w:rsidR="00192A70" w:rsidRDefault="00192A70" w:rsidP="00192A70">
      <w:pPr>
        <w:rPr>
          <w:lang w:eastAsia="ja-JP"/>
        </w:rPr>
      </w:pPr>
      <w:r>
        <w:rPr>
          <w:lang w:eastAsia="ja-JP"/>
        </w:rPr>
        <w:t>Given that metastatic NSCLC is a life-threatening condition with a poor prognosis, the safety profile of pembrolizumab is considered acceptable.</w:t>
      </w:r>
    </w:p>
    <w:p w14:paraId="07F4C70C" w14:textId="2603D8C6" w:rsidR="00071A1C" w:rsidRPr="00605AD4" w:rsidRDefault="00071A1C" w:rsidP="00071A1C">
      <w:pPr>
        <w:pStyle w:val="Heading3"/>
        <w:rPr>
          <w:rFonts w:eastAsia="Cambria"/>
        </w:rPr>
      </w:pPr>
      <w:bookmarkStart w:id="134" w:name="_Toc513458935"/>
      <w:r w:rsidRPr="00605AD4">
        <w:rPr>
          <w:rFonts w:eastAsia="Cambria"/>
        </w:rPr>
        <w:t xml:space="preserve">First </w:t>
      </w:r>
      <w:r w:rsidR="00BA16BD" w:rsidRPr="00605AD4">
        <w:rPr>
          <w:rFonts w:eastAsia="Cambria"/>
        </w:rPr>
        <w:t>round benefit-risk assessment</w:t>
      </w:r>
      <w:bookmarkEnd w:id="134"/>
    </w:p>
    <w:p w14:paraId="07F4C70D" w14:textId="77777777" w:rsidR="00071A1C" w:rsidRDefault="00071A1C" w:rsidP="00071A1C">
      <w:pPr>
        <w:pStyle w:val="Heading4"/>
      </w:pPr>
      <w:r w:rsidRPr="00605AD4">
        <w:t>First round assessment of benefits</w:t>
      </w:r>
    </w:p>
    <w:p w14:paraId="4467D0C1" w14:textId="34D3F8A7" w:rsidR="00665E24" w:rsidRPr="00665E24" w:rsidRDefault="00665E24" w:rsidP="009760A6">
      <w:r>
        <w:t xml:space="preserve">Table 8 (shown below) summarises the clinical </w:t>
      </w:r>
      <w:proofErr w:type="gramStart"/>
      <w:r>
        <w:t>evaluators</w:t>
      </w:r>
      <w:proofErr w:type="gramEnd"/>
      <w:r>
        <w:t xml:space="preserve"> assessment of benefits at the First round.</w:t>
      </w:r>
    </w:p>
    <w:p w14:paraId="07F4C70E" w14:textId="3B2A6C0F" w:rsidR="007D6E21" w:rsidRPr="00BB0841" w:rsidRDefault="00880EEA" w:rsidP="007D6E21">
      <w:pPr>
        <w:pStyle w:val="Tabletitle0"/>
        <w:rPr>
          <w:lang w:eastAsia="ja-JP"/>
        </w:rPr>
      </w:pPr>
      <w:r w:rsidRPr="00880EEA">
        <w:rPr>
          <w:lang w:eastAsia="ja-JP"/>
        </w:rPr>
        <w:t>Table 8</w:t>
      </w:r>
      <w:r w:rsidR="007D6E21" w:rsidRPr="00880EEA">
        <w:rPr>
          <w:lang w:eastAsia="ja-JP"/>
        </w:rPr>
        <w:t>:</w:t>
      </w:r>
      <w:r w:rsidR="007D6E21">
        <w:rPr>
          <w:lang w:eastAsia="ja-JP"/>
        </w:rPr>
        <w:t xml:space="preserve"> First round assessment of benefits</w:t>
      </w:r>
    </w:p>
    <w:tbl>
      <w:tblPr>
        <w:tblStyle w:val="TableGrid"/>
        <w:tblW w:w="9186" w:type="dxa"/>
        <w:tblInd w:w="108" w:type="dxa"/>
        <w:tblLook w:val="04A0" w:firstRow="1" w:lastRow="0" w:firstColumn="1" w:lastColumn="0" w:noHBand="0" w:noVBand="1"/>
      </w:tblPr>
      <w:tblGrid>
        <w:gridCol w:w="4776"/>
        <w:gridCol w:w="4410"/>
      </w:tblGrid>
      <w:tr w:rsidR="00F842DE" w:rsidRPr="00C37A1D" w14:paraId="07F4C710" w14:textId="77777777" w:rsidTr="00BA16BD">
        <w:trPr>
          <w:tblHeader/>
        </w:trPr>
        <w:tc>
          <w:tcPr>
            <w:tcW w:w="9186" w:type="dxa"/>
            <w:gridSpan w:val="2"/>
            <w:tcBorders>
              <w:bottom w:val="single" w:sz="4" w:space="0" w:color="auto"/>
            </w:tcBorders>
            <w:shd w:val="clear" w:color="auto" w:fill="006DA7" w:themeFill="accent3"/>
          </w:tcPr>
          <w:p w14:paraId="07F4C70F" w14:textId="77777777" w:rsidR="0088229D" w:rsidRPr="0013182D" w:rsidRDefault="0088229D" w:rsidP="00D65920">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First line treatment of metastatic NSCLC</w:t>
            </w:r>
          </w:p>
        </w:tc>
      </w:tr>
      <w:tr w:rsidR="00F842DE" w:rsidRPr="00C37A1D" w14:paraId="07F4C713" w14:textId="77777777" w:rsidTr="00BA16BD">
        <w:trPr>
          <w:tblHeader/>
        </w:trPr>
        <w:tc>
          <w:tcPr>
            <w:tcW w:w="4776" w:type="dxa"/>
            <w:shd w:val="clear" w:color="auto" w:fill="C6D4E9"/>
          </w:tcPr>
          <w:p w14:paraId="07F4C711" w14:textId="77777777" w:rsidR="0088229D" w:rsidRPr="00BA16BD" w:rsidRDefault="0088229D" w:rsidP="00D65920">
            <w:pPr>
              <w:rPr>
                <w:rFonts w:asciiTheme="minorHAnsi" w:hAnsiTheme="minorHAnsi"/>
                <w:b/>
                <w:sz w:val="22"/>
                <w:szCs w:val="22"/>
              </w:rPr>
            </w:pPr>
            <w:r w:rsidRPr="00BA16BD">
              <w:rPr>
                <w:rFonts w:asciiTheme="minorHAnsi" w:hAnsiTheme="minorHAnsi"/>
                <w:b/>
                <w:sz w:val="22"/>
                <w:szCs w:val="22"/>
              </w:rPr>
              <w:t>Benefits</w:t>
            </w:r>
          </w:p>
        </w:tc>
        <w:tc>
          <w:tcPr>
            <w:tcW w:w="4410" w:type="dxa"/>
            <w:shd w:val="clear" w:color="auto" w:fill="C6D4E9"/>
          </w:tcPr>
          <w:p w14:paraId="07F4C712" w14:textId="77777777" w:rsidR="0088229D" w:rsidRPr="00BA16BD" w:rsidRDefault="0088229D" w:rsidP="00D65920">
            <w:pPr>
              <w:rPr>
                <w:rFonts w:asciiTheme="minorHAnsi" w:hAnsiTheme="minorHAnsi"/>
                <w:b/>
                <w:sz w:val="22"/>
                <w:szCs w:val="22"/>
              </w:rPr>
            </w:pPr>
            <w:r w:rsidRPr="00BA16BD">
              <w:rPr>
                <w:rFonts w:asciiTheme="minorHAnsi" w:hAnsiTheme="minorHAnsi"/>
                <w:b/>
                <w:sz w:val="22"/>
                <w:szCs w:val="22"/>
              </w:rPr>
              <w:t>Strengths and Uncertainties</w:t>
            </w:r>
          </w:p>
        </w:tc>
      </w:tr>
      <w:tr w:rsidR="00F842DE" w:rsidRPr="00C37A1D" w14:paraId="07F4C723" w14:textId="77777777" w:rsidTr="009760A6">
        <w:tc>
          <w:tcPr>
            <w:tcW w:w="4776" w:type="dxa"/>
          </w:tcPr>
          <w:p w14:paraId="07F4C714" w14:textId="77777777" w:rsidR="0088229D" w:rsidRPr="009760A6" w:rsidRDefault="0088229D" w:rsidP="009760A6">
            <w:pPr>
              <w:pStyle w:val="Tabletext"/>
              <w:rPr>
                <w:sz w:val="21"/>
              </w:rPr>
            </w:pPr>
            <w:r w:rsidRPr="009760A6">
              <w:rPr>
                <w:sz w:val="21"/>
              </w:rPr>
              <w:t>Compared with platinum doublet chemotherapy, pembrolizumab treatment was associated with:</w:t>
            </w:r>
          </w:p>
          <w:p w14:paraId="07F4C716" w14:textId="612EE4AD" w:rsidR="0088229D" w:rsidRPr="009760A6" w:rsidRDefault="0088229D" w:rsidP="009760A6">
            <w:pPr>
              <w:pStyle w:val="ListBullet"/>
            </w:pPr>
            <w:r w:rsidRPr="009760A6">
              <w:t>A significant reduction in the risk of a PFS event (hazard ratio = 0.50; 95%CI: 0.37 to 0.68; p</w:t>
            </w:r>
            <w:r w:rsidR="00665E24" w:rsidRPr="009760A6">
              <w:t> </w:t>
            </w:r>
            <w:r w:rsidRPr="009760A6">
              <w:t>&lt;</w:t>
            </w:r>
            <w:r w:rsidR="00665E24" w:rsidRPr="009760A6">
              <w:t> </w:t>
            </w:r>
            <w:r w:rsidRPr="009760A6">
              <w:t>0.001). Median PFS was prolonged by approximately 4.3 months (10.3 versus 6.0 months). The proportion of subjects alive and progression free at 6 months was increased from 50.3% to 62.1%</w:t>
            </w:r>
            <w:proofErr w:type="gramStart"/>
            <w:r w:rsidRPr="009760A6">
              <w:t>;A</w:t>
            </w:r>
            <w:proofErr w:type="gramEnd"/>
            <w:r w:rsidRPr="009760A6">
              <w:t xml:space="preserve"> significant reduction in the risk of death (hazard ratio = 0.60; 95%CI: 0.41 to 0.89; p</w:t>
            </w:r>
            <w:r w:rsidR="00665E24" w:rsidRPr="009760A6">
              <w:t> </w:t>
            </w:r>
            <w:r w:rsidRPr="009760A6">
              <w:t>=</w:t>
            </w:r>
            <w:r w:rsidR="00665E24" w:rsidRPr="009760A6">
              <w:t> </w:t>
            </w:r>
            <w:r w:rsidRPr="009760A6">
              <w:t xml:space="preserve">0.005). Median survival was not reached in either group, after a median follow up of 11 months. The </w:t>
            </w:r>
            <w:r w:rsidRPr="009760A6">
              <w:lastRenderedPageBreak/>
              <w:t>proportion of subjects alive at 6 months was increased from 72.4% to 80.2%, and the proportion of subjects alive at 12 months was increased from 54.2% to 69.9%.</w:t>
            </w:r>
          </w:p>
          <w:p w14:paraId="07F4C717" w14:textId="3510ABC6" w:rsidR="0088229D" w:rsidRPr="009760A6" w:rsidRDefault="0088229D" w:rsidP="00E0770A">
            <w:pPr>
              <w:pStyle w:val="ListBullet"/>
            </w:pPr>
            <w:r w:rsidRPr="009760A6">
              <w:t>An increase in the ORR from 27.8% (95%</w:t>
            </w:r>
            <w:r w:rsidR="00665E24" w:rsidRPr="009760A6">
              <w:t> </w:t>
            </w:r>
            <w:r w:rsidRPr="009760A6">
              <w:t>CI: 20.8 to 35.7) in the chemotherapy arm to 44.8% (95%</w:t>
            </w:r>
            <w:r w:rsidR="00665E24" w:rsidRPr="009760A6">
              <w:t> </w:t>
            </w:r>
            <w:r w:rsidRPr="009760A6">
              <w:t>CI:</w:t>
            </w:r>
            <w:r w:rsidR="00665E24" w:rsidRPr="009760A6">
              <w:t> </w:t>
            </w:r>
            <w:r w:rsidRPr="009760A6">
              <w:t>36.8</w:t>
            </w:r>
            <w:r w:rsidR="00665E24" w:rsidRPr="009760A6">
              <w:t xml:space="preserve"> </w:t>
            </w:r>
            <w:r w:rsidRPr="009760A6">
              <w:t>to</w:t>
            </w:r>
            <w:r w:rsidR="00665E24" w:rsidRPr="009760A6">
              <w:t xml:space="preserve"> </w:t>
            </w:r>
            <w:r w:rsidRPr="009760A6">
              <w:t>53.0) in the pembrolizumab arm.</w:t>
            </w:r>
          </w:p>
          <w:p w14:paraId="226A5653" w14:textId="77777777" w:rsidR="00E0770A" w:rsidRDefault="0088229D" w:rsidP="00E0770A">
            <w:pPr>
              <w:pStyle w:val="ListBullet"/>
            </w:pPr>
            <w:r w:rsidRPr="009760A6">
              <w:t xml:space="preserve">An improvement in overall quality of life and a prolongation of the time to </w:t>
            </w:r>
            <w:proofErr w:type="gramStart"/>
            <w:r w:rsidRPr="009760A6">
              <w:t>a deterioration</w:t>
            </w:r>
            <w:proofErr w:type="gramEnd"/>
            <w:r w:rsidRPr="009760A6">
              <w:t xml:space="preserve"> in symptoms (dyspnoea, cough, chest pain).</w:t>
            </w:r>
          </w:p>
          <w:p w14:paraId="07F4C719" w14:textId="647E673F" w:rsidR="0088229D" w:rsidRPr="009760A6" w:rsidRDefault="0088229D" w:rsidP="00E0770A">
            <w:pPr>
              <w:pStyle w:val="ListBullet"/>
            </w:pPr>
            <w:r w:rsidRPr="009760A6">
              <w:t xml:space="preserve">An improved overall safety profile compared to the current standard therapy of platinum based chemotherapy, with a reduced incidence of </w:t>
            </w:r>
            <w:r w:rsidR="00665E24" w:rsidRPr="009760A6">
              <w:t xml:space="preserve">Grade </w:t>
            </w:r>
            <w:r w:rsidRPr="009760A6">
              <w:t xml:space="preserve">3 to 5 AEs, discontinuations due to </w:t>
            </w:r>
            <w:r w:rsidR="00665E24" w:rsidRPr="009760A6">
              <w:rPr>
                <w:lang w:eastAsia="ja-JP"/>
              </w:rPr>
              <w:t>adverse events</w:t>
            </w:r>
            <w:r w:rsidRPr="009760A6">
              <w:t xml:space="preserve"> and </w:t>
            </w:r>
            <w:r w:rsidR="00665E24" w:rsidRPr="009760A6">
              <w:t>d</w:t>
            </w:r>
            <w:r w:rsidR="001224B4" w:rsidRPr="009760A6">
              <w:t>rug related</w:t>
            </w:r>
            <w:r w:rsidRPr="009760A6">
              <w:t xml:space="preserve"> fatal </w:t>
            </w:r>
            <w:r w:rsidR="00665E24" w:rsidRPr="009760A6">
              <w:rPr>
                <w:lang w:eastAsia="ja-JP"/>
              </w:rPr>
              <w:t>adverse events</w:t>
            </w:r>
            <w:r w:rsidRPr="009760A6">
              <w:t>.</w:t>
            </w:r>
          </w:p>
        </w:tc>
        <w:tc>
          <w:tcPr>
            <w:tcW w:w="4410" w:type="dxa"/>
          </w:tcPr>
          <w:p w14:paraId="07F4C71A" w14:textId="4E8C0AF3" w:rsidR="0088229D" w:rsidRPr="009760A6" w:rsidRDefault="0088229D" w:rsidP="00E0770A">
            <w:r w:rsidRPr="009760A6">
              <w:lastRenderedPageBreak/>
              <w:t>Strengths</w:t>
            </w:r>
            <w:r w:rsidR="00665E24" w:rsidRPr="009760A6">
              <w:t>:</w:t>
            </w:r>
          </w:p>
          <w:p w14:paraId="07F4C71B" w14:textId="1288E2D1" w:rsidR="0088229D" w:rsidRPr="009760A6" w:rsidRDefault="0088229D" w:rsidP="009760A6">
            <w:pPr>
              <w:pStyle w:val="ListBullet"/>
              <w:numPr>
                <w:ilvl w:val="0"/>
                <w:numId w:val="0"/>
              </w:numPr>
            </w:pPr>
            <w:r w:rsidRPr="009760A6">
              <w:t>The study was well</w:t>
            </w:r>
            <w:r w:rsidR="00665E24" w:rsidRPr="009760A6">
              <w:t xml:space="preserve"> </w:t>
            </w:r>
            <w:r w:rsidRPr="009760A6">
              <w:t>designed and executed. The trial design complied with various EMA guidelines adopted by the TGA.</w:t>
            </w:r>
          </w:p>
          <w:p w14:paraId="07F4C71C" w14:textId="77777777" w:rsidR="0088229D" w:rsidRPr="009760A6" w:rsidRDefault="0088229D" w:rsidP="009760A6">
            <w:pPr>
              <w:pStyle w:val="ListBullet"/>
              <w:numPr>
                <w:ilvl w:val="0"/>
                <w:numId w:val="0"/>
              </w:numPr>
            </w:pPr>
            <w:r w:rsidRPr="009760A6">
              <w:t>The improvements in PFS and OS were both statistically and clinically significant.</w:t>
            </w:r>
          </w:p>
          <w:p w14:paraId="07F4C71D" w14:textId="77777777" w:rsidR="0088229D" w:rsidRPr="009760A6" w:rsidRDefault="0088229D" w:rsidP="009760A6">
            <w:pPr>
              <w:pStyle w:val="ListBullet"/>
              <w:numPr>
                <w:ilvl w:val="0"/>
                <w:numId w:val="0"/>
              </w:numPr>
            </w:pPr>
            <w:r w:rsidRPr="009760A6">
              <w:t>The observed benefits in PFS/OS were consistent across various subgroups of patients.</w:t>
            </w:r>
          </w:p>
          <w:p w14:paraId="07F4C71E" w14:textId="50090E38" w:rsidR="0088229D" w:rsidRPr="00E0770A" w:rsidRDefault="0088229D" w:rsidP="00E0770A">
            <w:pPr>
              <w:rPr>
                <w:sz w:val="20"/>
              </w:rPr>
            </w:pPr>
            <w:r w:rsidRPr="00E0770A">
              <w:rPr>
                <w:sz w:val="20"/>
              </w:rPr>
              <w:t>Uncertainties</w:t>
            </w:r>
            <w:r w:rsidR="00665E24" w:rsidRPr="00E0770A">
              <w:rPr>
                <w:sz w:val="20"/>
              </w:rPr>
              <w:t>:</w:t>
            </w:r>
          </w:p>
          <w:p w14:paraId="07F4C71F" w14:textId="55E31715" w:rsidR="0088229D" w:rsidRPr="00E0770A" w:rsidRDefault="0088229D" w:rsidP="00E0770A">
            <w:pPr>
              <w:pStyle w:val="ListBullet"/>
              <w:rPr>
                <w:sz w:val="20"/>
              </w:rPr>
            </w:pPr>
            <w:r w:rsidRPr="00E0770A">
              <w:rPr>
                <w:sz w:val="20"/>
              </w:rPr>
              <w:t xml:space="preserve">The study excluded subjects with </w:t>
            </w:r>
            <w:r w:rsidR="00F842DE" w:rsidRPr="00E0770A">
              <w:rPr>
                <w:sz w:val="20"/>
              </w:rPr>
              <w:t xml:space="preserve">an </w:t>
            </w:r>
            <w:r w:rsidRPr="00E0770A">
              <w:rPr>
                <w:sz w:val="20"/>
              </w:rPr>
              <w:t xml:space="preserve">ECOG </w:t>
            </w:r>
            <w:r w:rsidRPr="00E0770A">
              <w:rPr>
                <w:sz w:val="20"/>
              </w:rPr>
              <w:lastRenderedPageBreak/>
              <w:t>PS &gt; 1 and subjects those with significant organ dysfunction</w:t>
            </w:r>
            <w:r w:rsidR="00F842DE" w:rsidRPr="00E0770A">
              <w:rPr>
                <w:sz w:val="20"/>
              </w:rPr>
              <w:t>.</w:t>
            </w:r>
            <w:r w:rsidR="00F842DE" w:rsidRPr="00E0770A">
              <w:rPr>
                <w:rStyle w:val="FootnoteReference"/>
                <w:sz w:val="20"/>
              </w:rPr>
              <w:footnoteReference w:id="21"/>
            </w:r>
            <w:r w:rsidRPr="00E0770A">
              <w:rPr>
                <w:sz w:val="20"/>
              </w:rPr>
              <w:t xml:space="preserve"> </w:t>
            </w:r>
            <w:proofErr w:type="gramStart"/>
            <w:r w:rsidRPr="00E0770A">
              <w:rPr>
                <w:sz w:val="20"/>
              </w:rPr>
              <w:t>Benefits in these subjects has</w:t>
            </w:r>
            <w:proofErr w:type="gramEnd"/>
            <w:r w:rsidRPr="00E0770A">
              <w:rPr>
                <w:sz w:val="20"/>
              </w:rPr>
              <w:t xml:space="preserve"> not been established.</w:t>
            </w:r>
          </w:p>
          <w:p w14:paraId="07F4C720" w14:textId="77777777" w:rsidR="0088229D" w:rsidRPr="00E0770A" w:rsidRDefault="0088229D" w:rsidP="00E0770A">
            <w:pPr>
              <w:pStyle w:val="ListBullet"/>
              <w:rPr>
                <w:rFonts w:asciiTheme="minorHAnsi" w:hAnsiTheme="minorHAnsi" w:cstheme="minorHAnsi"/>
                <w:sz w:val="20"/>
              </w:rPr>
            </w:pPr>
            <w:r w:rsidRPr="00E0770A">
              <w:rPr>
                <w:rFonts w:asciiTheme="minorHAnsi" w:hAnsiTheme="minorHAnsi" w:cstheme="minorHAnsi"/>
                <w:sz w:val="20"/>
              </w:rPr>
              <w:t>The improvements in quality of life/symptom measures were small and of borderline clinical significance.</w:t>
            </w:r>
          </w:p>
          <w:p w14:paraId="07F4C721" w14:textId="77777777" w:rsidR="0088229D" w:rsidRPr="00E0770A" w:rsidRDefault="0088229D" w:rsidP="00E0770A">
            <w:pPr>
              <w:pStyle w:val="ListBullet"/>
              <w:rPr>
                <w:rFonts w:asciiTheme="minorHAnsi" w:hAnsiTheme="minorHAnsi" w:cstheme="minorHAnsi"/>
                <w:sz w:val="20"/>
              </w:rPr>
            </w:pPr>
            <w:r w:rsidRPr="00E0770A">
              <w:rPr>
                <w:rFonts w:asciiTheme="minorHAnsi" w:hAnsiTheme="minorHAnsi" w:cstheme="minorHAnsi"/>
                <w:sz w:val="20"/>
              </w:rPr>
              <w:t>Benefits have not been demonstrated in subjects who have tumours with PD-L1 expression in &lt; 50% of neoplastic cells.</w:t>
            </w:r>
          </w:p>
          <w:p w14:paraId="07F4C722" w14:textId="03F96AF5" w:rsidR="0088229D" w:rsidRPr="00E0770A" w:rsidRDefault="0088229D" w:rsidP="00E0770A">
            <w:pPr>
              <w:pStyle w:val="ListBullet"/>
              <w:rPr>
                <w:rFonts w:asciiTheme="minorHAnsi" w:hAnsiTheme="minorHAnsi" w:cstheme="minorHAnsi"/>
                <w:i/>
                <w:sz w:val="20"/>
                <w:szCs w:val="22"/>
              </w:rPr>
            </w:pPr>
            <w:r w:rsidRPr="00E0770A">
              <w:rPr>
                <w:rFonts w:asciiTheme="minorHAnsi" w:hAnsiTheme="minorHAnsi" w:cstheme="minorHAnsi"/>
                <w:sz w:val="20"/>
              </w:rPr>
              <w:t>The optimal duration of treatment with pembrolizumab has not been defined.</w:t>
            </w:r>
          </w:p>
        </w:tc>
      </w:tr>
    </w:tbl>
    <w:p w14:paraId="07F4C725" w14:textId="77777777" w:rsidR="00071A1C" w:rsidRDefault="00071A1C" w:rsidP="00071A1C">
      <w:pPr>
        <w:pStyle w:val="Heading4"/>
      </w:pPr>
      <w:r w:rsidRPr="00605AD4">
        <w:lastRenderedPageBreak/>
        <w:t>First round assessment of risks</w:t>
      </w:r>
    </w:p>
    <w:p w14:paraId="0F345DAA" w14:textId="40703AEB" w:rsidR="00F842DE" w:rsidRPr="00F842DE" w:rsidRDefault="00F842DE" w:rsidP="00E0770A">
      <w:r>
        <w:t xml:space="preserve">Table 9 (shown below) summarises the clinical </w:t>
      </w:r>
      <w:proofErr w:type="gramStart"/>
      <w:r>
        <w:t>evaluators</w:t>
      </w:r>
      <w:proofErr w:type="gramEnd"/>
      <w:r>
        <w:t xml:space="preserve"> assessment of risks at the First round.</w:t>
      </w:r>
    </w:p>
    <w:p w14:paraId="07F4C726" w14:textId="28722D0A" w:rsidR="0088229D" w:rsidRPr="00C2743B" w:rsidRDefault="0088229D" w:rsidP="0088229D">
      <w:pPr>
        <w:pStyle w:val="Tabletitle0"/>
        <w:rPr>
          <w:lang w:eastAsia="ja-JP"/>
        </w:rPr>
      </w:pPr>
      <w:r w:rsidRPr="00880EEA">
        <w:rPr>
          <w:lang w:eastAsia="ja-JP"/>
        </w:rPr>
        <w:t xml:space="preserve">Table </w:t>
      </w:r>
      <w:r w:rsidR="00880EEA" w:rsidRPr="00880EEA">
        <w:rPr>
          <w:lang w:eastAsia="ja-JP"/>
        </w:rPr>
        <w:t>9</w:t>
      </w:r>
      <w:r w:rsidRPr="00880EEA">
        <w:rPr>
          <w:lang w:eastAsia="ja-JP"/>
        </w:rPr>
        <w:t>: Fir</w:t>
      </w:r>
      <w:r>
        <w:rPr>
          <w:lang w:eastAsia="ja-JP"/>
        </w:rPr>
        <w:t>st round assessment of risks</w:t>
      </w:r>
    </w:p>
    <w:tbl>
      <w:tblPr>
        <w:tblStyle w:val="TableGrid"/>
        <w:tblW w:w="9276" w:type="dxa"/>
        <w:tblInd w:w="108" w:type="dxa"/>
        <w:tblLook w:val="04A0" w:firstRow="1" w:lastRow="0" w:firstColumn="1" w:lastColumn="0" w:noHBand="0" w:noVBand="1"/>
      </w:tblPr>
      <w:tblGrid>
        <w:gridCol w:w="4776"/>
        <w:gridCol w:w="4500"/>
      </w:tblGrid>
      <w:tr w:rsidR="00F842DE" w:rsidRPr="00C37A1D" w14:paraId="07F4C729" w14:textId="77777777" w:rsidTr="00E0770A">
        <w:trPr>
          <w:tblHeader/>
        </w:trPr>
        <w:tc>
          <w:tcPr>
            <w:tcW w:w="4776" w:type="dxa"/>
            <w:shd w:val="clear" w:color="auto" w:fill="006DA7" w:themeFill="accent3"/>
          </w:tcPr>
          <w:p w14:paraId="07F4C727" w14:textId="77777777" w:rsidR="0088229D" w:rsidRPr="0013182D" w:rsidRDefault="0088229D" w:rsidP="00D65920">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500" w:type="dxa"/>
            <w:shd w:val="clear" w:color="auto" w:fill="006DA7" w:themeFill="accent3"/>
          </w:tcPr>
          <w:p w14:paraId="07F4C728" w14:textId="77777777" w:rsidR="0088229D" w:rsidRPr="0013182D" w:rsidRDefault="0088229D" w:rsidP="00D65920">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F842DE" w:rsidRPr="00C37A1D" w14:paraId="07F4C731" w14:textId="77777777" w:rsidTr="00E0770A">
        <w:tc>
          <w:tcPr>
            <w:tcW w:w="4776" w:type="dxa"/>
          </w:tcPr>
          <w:p w14:paraId="07F4C72A" w14:textId="3F36AC8E" w:rsidR="0088229D" w:rsidRPr="00E0770A" w:rsidRDefault="0088229D" w:rsidP="00E0770A">
            <w:pPr>
              <w:pStyle w:val="ListBullet"/>
            </w:pPr>
            <w:r w:rsidRPr="00F842DE">
              <w:t xml:space="preserve">Immune mediated adverse drug reactions such as pneumonitis, colitis, </w:t>
            </w:r>
            <w:r w:rsidRPr="00E0770A">
              <w:rPr>
                <w:lang w:eastAsia="en-US"/>
              </w:rPr>
              <w:t xml:space="preserve">thyroid dysfunction, skin disorders, hepatitis </w:t>
            </w:r>
            <w:r w:rsidRPr="00E0770A">
              <w:rPr>
                <w:lang w:eastAsia="ja-JP"/>
              </w:rPr>
              <w:t>etcetera</w:t>
            </w:r>
          </w:p>
          <w:p w14:paraId="07F4C72B" w14:textId="77777777" w:rsidR="0088229D" w:rsidRPr="00111D0E" w:rsidRDefault="0088229D" w:rsidP="00E0770A">
            <w:pPr>
              <w:pStyle w:val="ListBullet"/>
            </w:pPr>
            <w:r w:rsidRPr="00F842DE">
              <w:t>Anti-pembrolizumab antibodies develop in 4.3% of first line NSCLC subjects.</w:t>
            </w:r>
          </w:p>
        </w:tc>
        <w:tc>
          <w:tcPr>
            <w:tcW w:w="4500" w:type="dxa"/>
          </w:tcPr>
          <w:p w14:paraId="07F4C72C" w14:textId="5F642362" w:rsidR="0088229D" w:rsidRPr="00F842DE" w:rsidRDefault="0088229D" w:rsidP="00E0770A">
            <w:r w:rsidRPr="00F842DE">
              <w:t>Strengths</w:t>
            </w:r>
            <w:r w:rsidR="00F842DE">
              <w:t>:</w:t>
            </w:r>
          </w:p>
          <w:p w14:paraId="07F4C72D" w14:textId="77777777" w:rsidR="0088229D" w:rsidRPr="00E0770A" w:rsidRDefault="0088229D" w:rsidP="00E0770A">
            <w:pPr>
              <w:pStyle w:val="ListBullet"/>
            </w:pPr>
            <w:r w:rsidRPr="00F842DE">
              <w:t>No new toxicities were identified in the proposed new patient population.</w:t>
            </w:r>
          </w:p>
          <w:p w14:paraId="07F4C72E" w14:textId="77777777" w:rsidR="0088229D" w:rsidRPr="00E0770A" w:rsidRDefault="0088229D" w:rsidP="00E0770A">
            <w:pPr>
              <w:pStyle w:val="ListBullet"/>
            </w:pPr>
            <w:r w:rsidRPr="00F842DE">
              <w:t>Anti-pembrolizumab antibodies were not associated with any effects on the pharmacokinetics of the drug or with any safety concerns.</w:t>
            </w:r>
          </w:p>
          <w:p w14:paraId="07F4C72F" w14:textId="1FAE5AF8" w:rsidR="0088229D" w:rsidRPr="00E0770A" w:rsidRDefault="0088229D" w:rsidP="00E0770A">
            <w:r w:rsidRPr="00E0770A">
              <w:rPr>
                <w:sz w:val="22"/>
                <w:szCs w:val="22"/>
                <w:lang w:eastAsia="en-US"/>
              </w:rPr>
              <w:t>Uncertainties</w:t>
            </w:r>
            <w:r w:rsidR="00F842DE">
              <w:t>:</w:t>
            </w:r>
          </w:p>
          <w:p w14:paraId="07F4C730" w14:textId="57165584" w:rsidR="0088229D" w:rsidRPr="006C7AF0" w:rsidRDefault="0088229D" w:rsidP="00E0770A">
            <w:pPr>
              <w:pStyle w:val="ListBullet"/>
            </w:pPr>
            <w:r w:rsidRPr="00F842DE">
              <w:t>The study excluded subjects with ECOG</w:t>
            </w:r>
            <w:r w:rsidR="00F842DE">
              <w:t> </w:t>
            </w:r>
            <w:r w:rsidRPr="00F842DE">
              <w:t>PS</w:t>
            </w:r>
            <w:r w:rsidR="00F842DE">
              <w:t> </w:t>
            </w:r>
            <w:r w:rsidRPr="00F842DE">
              <w:t>&gt; 1 and subjects those with significant organ dysfunction. Safety in these subjects has not been established.</w:t>
            </w:r>
          </w:p>
        </w:tc>
      </w:tr>
    </w:tbl>
    <w:p w14:paraId="07F4C733" w14:textId="77777777" w:rsidR="00071A1C" w:rsidRPr="00605AD4" w:rsidRDefault="00071A1C" w:rsidP="00071A1C">
      <w:pPr>
        <w:pStyle w:val="Heading4"/>
      </w:pPr>
      <w:r w:rsidRPr="00605AD4">
        <w:t>First round assessment of benefit-risk balance</w:t>
      </w:r>
    </w:p>
    <w:p w14:paraId="07F4C734" w14:textId="77777777" w:rsidR="00071A1C" w:rsidRPr="00605AD4" w:rsidRDefault="0088229D" w:rsidP="00071A1C">
      <w:pPr>
        <w:rPr>
          <w:lang w:eastAsia="ja-JP"/>
        </w:rPr>
      </w:pPr>
      <w:r>
        <w:rPr>
          <w:lang w:eastAsia="ja-JP"/>
        </w:rPr>
        <w:t>Platinum based chemotherapy, as the current standard of treatment</w:t>
      </w:r>
      <w:r w:rsidRPr="00E94B69">
        <w:rPr>
          <w:lang w:eastAsia="ja-JP"/>
        </w:rPr>
        <w:t xml:space="preserve"> </w:t>
      </w:r>
      <w:r>
        <w:rPr>
          <w:lang w:eastAsia="ja-JP"/>
        </w:rPr>
        <w:t xml:space="preserve">in the first line treatment of metastatic NSCLC, is considered to have a favourable risk-benefit balance. Pembrolizumab has improved efficacy and an improved overall safety profile compared </w:t>
      </w:r>
      <w:r>
        <w:rPr>
          <w:lang w:eastAsia="ja-JP"/>
        </w:rPr>
        <w:lastRenderedPageBreak/>
        <w:t>with platinum based chemotherapy. It can therefore be concluded that risk-benefit balance of pembrolizumab for the first line treatment of NSCLC is favourable.</w:t>
      </w:r>
    </w:p>
    <w:p w14:paraId="07F4C735" w14:textId="71CA1E87" w:rsidR="00071A1C" w:rsidRPr="00605AD4" w:rsidRDefault="00071A1C" w:rsidP="00071A1C">
      <w:pPr>
        <w:pStyle w:val="Heading3"/>
        <w:rPr>
          <w:rFonts w:eastAsia="Cambria"/>
        </w:rPr>
      </w:pPr>
      <w:bookmarkStart w:id="135" w:name="_Toc513458936"/>
      <w:r w:rsidRPr="00605AD4">
        <w:rPr>
          <w:rFonts w:eastAsia="Cambria"/>
        </w:rPr>
        <w:t xml:space="preserve">First </w:t>
      </w:r>
      <w:r w:rsidR="00BA16BD" w:rsidRPr="00605AD4">
        <w:rPr>
          <w:rFonts w:eastAsia="Cambria"/>
        </w:rPr>
        <w:t>round recommendation regarding authorisation</w:t>
      </w:r>
      <w:bookmarkEnd w:id="135"/>
    </w:p>
    <w:p w14:paraId="07F4C736" w14:textId="77777777" w:rsidR="0088229D" w:rsidRDefault="0088229D" w:rsidP="0088229D">
      <w:pPr>
        <w:rPr>
          <w:lang w:eastAsia="ja-JP"/>
        </w:rPr>
      </w:pPr>
      <w:r>
        <w:rPr>
          <w:lang w:eastAsia="ja-JP"/>
        </w:rPr>
        <w:t>It is recommended that pembrolizumab be approved for the first line treatment of NSCLC. However, it is recommended that the indication should be revised as follows:</w:t>
      </w:r>
    </w:p>
    <w:p w14:paraId="07F4C737" w14:textId="6513D7CA" w:rsidR="0088229D" w:rsidRPr="007A4B96" w:rsidRDefault="009E5DA3" w:rsidP="0088229D">
      <w:pPr>
        <w:ind w:left="709"/>
        <w:rPr>
          <w:i/>
          <w:lang w:val="en-US" w:eastAsia="ja-JP"/>
        </w:rPr>
      </w:pPr>
      <w:r>
        <w:rPr>
          <w:i/>
          <w:lang w:val="en-US" w:eastAsia="ja-JP"/>
        </w:rPr>
        <w:t>‘</w:t>
      </w:r>
      <w:r w:rsidR="00C329E7">
        <w:rPr>
          <w:i/>
          <w:lang w:val="en-US" w:eastAsia="ja-JP"/>
        </w:rPr>
        <w:t>Keytruda</w:t>
      </w:r>
      <w:r w:rsidR="0088229D" w:rsidRPr="007A4B96">
        <w:rPr>
          <w:i/>
          <w:lang w:val="en-US" w:eastAsia="ja-JP"/>
        </w:rPr>
        <w:t xml:space="preserve"> is indicated for the treatment of patients with previously untreated metastatic non</w:t>
      </w:r>
      <w:r w:rsidR="0088229D">
        <w:rPr>
          <w:i/>
          <w:lang w:val="en-US" w:eastAsia="ja-JP"/>
        </w:rPr>
        <w:t>-</w:t>
      </w:r>
      <w:r w:rsidR="0088229D" w:rsidRPr="007A4B96">
        <w:rPr>
          <w:i/>
          <w:lang w:val="en-US" w:eastAsia="ja-JP"/>
        </w:rPr>
        <w:t xml:space="preserve">small cell lung carcinoma (NSCLC) whose tumours express PD-L1 </w:t>
      </w:r>
      <w:r w:rsidR="0088229D" w:rsidRPr="0046163D">
        <w:rPr>
          <w:i/>
          <w:lang w:val="en-US" w:eastAsia="ja-JP"/>
        </w:rPr>
        <w:t xml:space="preserve">in </w:t>
      </w:r>
      <w:r w:rsidR="0046163D">
        <w:rPr>
          <w:i/>
          <w:lang w:val="en-US" w:eastAsia="ja-JP"/>
        </w:rPr>
        <w:t>≥</w:t>
      </w:r>
      <w:r w:rsidR="00A81270">
        <w:rPr>
          <w:i/>
          <w:lang w:val="en-US" w:eastAsia="ja-JP"/>
        </w:rPr>
        <w:t> </w:t>
      </w:r>
      <w:r w:rsidR="0088229D" w:rsidRPr="0046163D">
        <w:rPr>
          <w:i/>
          <w:lang w:val="en-US" w:eastAsia="ja-JP"/>
        </w:rPr>
        <w:t xml:space="preserve">50% of neoplastic cells </w:t>
      </w:r>
      <w:r w:rsidR="0088229D" w:rsidRPr="007A4B96">
        <w:rPr>
          <w:i/>
          <w:lang w:val="en-US" w:eastAsia="ja-JP"/>
        </w:rPr>
        <w:t xml:space="preserve">as determined by a validated test and do not harbour a </w:t>
      </w:r>
      <w:r w:rsidR="00A70986">
        <w:rPr>
          <w:i/>
          <w:lang w:val="en-US" w:eastAsia="ja-JP"/>
        </w:rPr>
        <w:t>sensitizing</w:t>
      </w:r>
      <w:r w:rsidR="0088229D" w:rsidRPr="007A4B96">
        <w:rPr>
          <w:i/>
          <w:lang w:val="en-US" w:eastAsia="ja-JP"/>
        </w:rPr>
        <w:t xml:space="preserve"> EGFR mutation or ALK translocation [see CLINICAL TRIALS].</w:t>
      </w:r>
      <w:r>
        <w:rPr>
          <w:i/>
          <w:lang w:val="en-US" w:eastAsia="ja-JP"/>
        </w:rPr>
        <w:t>’</w:t>
      </w:r>
    </w:p>
    <w:p w14:paraId="07F4C738" w14:textId="77777777" w:rsidR="0088229D" w:rsidRDefault="0088229D" w:rsidP="0088229D">
      <w:pPr>
        <w:rPr>
          <w:lang w:eastAsia="ja-JP"/>
        </w:rPr>
      </w:pPr>
      <w:r>
        <w:rPr>
          <w:lang w:eastAsia="ja-JP"/>
        </w:rPr>
        <w:t>It is also recommended that the duration of pembrolizumab treatment be restricted to 24 months.</w:t>
      </w:r>
    </w:p>
    <w:p w14:paraId="07F4C739" w14:textId="536C85F8" w:rsidR="00071A1C" w:rsidRPr="00605AD4" w:rsidRDefault="00071A1C" w:rsidP="00071A1C">
      <w:pPr>
        <w:pStyle w:val="Heading3"/>
        <w:rPr>
          <w:rFonts w:eastAsia="Cambria"/>
        </w:rPr>
      </w:pPr>
      <w:bookmarkStart w:id="136" w:name="_Toc513458937"/>
      <w:r w:rsidRPr="00605AD4">
        <w:rPr>
          <w:rFonts w:eastAsia="Cambria"/>
        </w:rPr>
        <w:t xml:space="preserve">Clinical </w:t>
      </w:r>
      <w:r w:rsidR="00BA16BD">
        <w:rPr>
          <w:rFonts w:eastAsia="Cambria"/>
        </w:rPr>
        <w:t>q</w:t>
      </w:r>
      <w:r w:rsidRPr="00605AD4">
        <w:rPr>
          <w:rFonts w:eastAsia="Cambria"/>
        </w:rPr>
        <w:t>uestions</w:t>
      </w:r>
      <w:bookmarkEnd w:id="136"/>
    </w:p>
    <w:p w14:paraId="07F4C73A" w14:textId="5E29CB68" w:rsidR="00605AD4" w:rsidRPr="00605AD4" w:rsidRDefault="0088229D" w:rsidP="00546154">
      <w:r>
        <w:t xml:space="preserve">For the clinical questions please see Attachment 3. As this submission was an expedited review there was no </w:t>
      </w:r>
      <w:r w:rsidR="009E5DA3">
        <w:t xml:space="preserve">Second </w:t>
      </w:r>
      <w:r>
        <w:t>round clinical evaluation, the issues raised and the second round evaluation of the clinical data submitted in responses to the questions have been addressed by the Delegate in the overview of the two submissions</w:t>
      </w:r>
      <w:r w:rsidR="003F23D1">
        <w:t xml:space="preserve"> (see Overall conclusion and risk/benefit assessment)</w:t>
      </w:r>
      <w:r>
        <w:t>.</w:t>
      </w:r>
    </w:p>
    <w:p w14:paraId="07F4C73B" w14:textId="77777777" w:rsidR="008E7846" w:rsidRPr="00E41208" w:rsidRDefault="008E7846" w:rsidP="00546154">
      <w:pPr>
        <w:pStyle w:val="Heading2"/>
      </w:pPr>
      <w:bookmarkStart w:id="137" w:name="_Toc513458938"/>
      <w:r w:rsidRPr="00E41208">
        <w:t>V</w:t>
      </w:r>
      <w:r w:rsidR="002C7814">
        <w:t>I</w:t>
      </w:r>
      <w:r w:rsidRPr="00E41208">
        <w:t xml:space="preserve">. Pharmacovigilance </w:t>
      </w:r>
      <w:r>
        <w:t>f</w:t>
      </w:r>
      <w:r w:rsidRPr="00E41208">
        <w:t>indings</w:t>
      </w:r>
      <w:bookmarkEnd w:id="82"/>
      <w:bookmarkEnd w:id="83"/>
      <w:bookmarkEnd w:id="137"/>
    </w:p>
    <w:p w14:paraId="07F4C73C" w14:textId="77777777" w:rsidR="008E7846" w:rsidRDefault="00386150" w:rsidP="008E7846">
      <w:pPr>
        <w:pStyle w:val="Heading3"/>
        <w:rPr>
          <w:lang w:eastAsia="en-AU"/>
        </w:rPr>
      </w:pPr>
      <w:bookmarkStart w:id="138" w:name="_Toc247691526"/>
      <w:bookmarkStart w:id="139" w:name="_Toc314842509"/>
      <w:bookmarkStart w:id="140" w:name="_Toc513458939"/>
      <w:r>
        <w:rPr>
          <w:lang w:eastAsia="en-AU"/>
        </w:rPr>
        <w:t>Risk m</w:t>
      </w:r>
      <w:r w:rsidR="008E7846">
        <w:rPr>
          <w:lang w:eastAsia="en-AU"/>
        </w:rPr>
        <w:t xml:space="preserve">anagement </w:t>
      </w:r>
      <w:r>
        <w:rPr>
          <w:lang w:eastAsia="en-AU"/>
        </w:rPr>
        <w:t>p</w:t>
      </w:r>
      <w:r w:rsidR="008E7846">
        <w:rPr>
          <w:lang w:eastAsia="en-AU"/>
        </w:rPr>
        <w:t>lan</w:t>
      </w:r>
      <w:bookmarkEnd w:id="138"/>
      <w:bookmarkEnd w:id="139"/>
      <w:bookmarkEnd w:id="140"/>
    </w:p>
    <w:p w14:paraId="07F4C73D" w14:textId="01C14BE0" w:rsidR="000B18AA" w:rsidRDefault="000B18AA" w:rsidP="008E7846">
      <w:pPr>
        <w:rPr>
          <w:lang w:eastAsia="en-AU"/>
        </w:rPr>
      </w:pPr>
      <w:r>
        <w:rPr>
          <w:lang w:eastAsia="en-AU"/>
        </w:rPr>
        <w:t xml:space="preserve">Note at the time the submissions were considered the </w:t>
      </w:r>
      <w:r w:rsidR="00A81270" w:rsidRPr="003F23D1">
        <w:rPr>
          <w:rStyle w:val="BulletlistChar"/>
          <w:rFonts w:eastAsia="Cambria"/>
          <w:sz w:val="22"/>
        </w:rPr>
        <w:t>Risk Management Plan</w:t>
      </w:r>
      <w:r w:rsidR="00A81270">
        <w:rPr>
          <w:rStyle w:val="BulletlistChar"/>
          <w:rFonts w:eastAsia="Cambria"/>
          <w:sz w:val="22"/>
        </w:rPr>
        <w:t xml:space="preserve"> (</w:t>
      </w:r>
      <w:r w:rsidR="00A81270">
        <w:rPr>
          <w:lang w:eastAsia="en-AU"/>
        </w:rPr>
        <w:t xml:space="preserve">RMP) </w:t>
      </w:r>
      <w:r>
        <w:rPr>
          <w:lang w:eastAsia="en-AU"/>
        </w:rPr>
        <w:t>evalua</w:t>
      </w:r>
      <w:r w:rsidR="00A81270">
        <w:rPr>
          <w:lang w:eastAsia="en-AU"/>
        </w:rPr>
        <w:t xml:space="preserve">tion for </w:t>
      </w:r>
      <w:r w:rsidR="009E5DA3">
        <w:rPr>
          <w:lang w:eastAsia="en-AU"/>
        </w:rPr>
        <w:t xml:space="preserve">Submission </w:t>
      </w:r>
      <w:r w:rsidR="00A81270">
        <w:rPr>
          <w:lang w:eastAsia="en-AU"/>
        </w:rPr>
        <w:t>PM</w:t>
      </w:r>
      <w:r w:rsidR="00A81270">
        <w:rPr>
          <w:lang w:eastAsia="en-AU"/>
        </w:rPr>
        <w:noBreakHyphen/>
        <w:t>2016</w:t>
      </w:r>
      <w:r w:rsidR="00A81270">
        <w:rPr>
          <w:lang w:eastAsia="en-AU"/>
        </w:rPr>
        <w:noBreakHyphen/>
      </w:r>
      <w:r>
        <w:rPr>
          <w:lang w:eastAsia="en-AU"/>
        </w:rPr>
        <w:t xml:space="preserve">02325-1-4 (the use of Keytruda as first line treatment for NSCLC) took into account the RMP submitted for the earlier </w:t>
      </w:r>
      <w:r w:rsidR="009E5DA3">
        <w:rPr>
          <w:lang w:eastAsia="en-AU"/>
        </w:rPr>
        <w:t>Submission </w:t>
      </w:r>
      <w:r>
        <w:rPr>
          <w:lang w:eastAsia="en-AU"/>
        </w:rPr>
        <w:t xml:space="preserve">PM-2015-04712-1-4). Therefore the report provided in this AusPAR will be that written for the later </w:t>
      </w:r>
      <w:r w:rsidR="00377F33">
        <w:rPr>
          <w:lang w:eastAsia="en-AU"/>
        </w:rPr>
        <w:t>S</w:t>
      </w:r>
      <w:r>
        <w:rPr>
          <w:lang w:eastAsia="en-AU"/>
        </w:rPr>
        <w:t>ubmissio</w:t>
      </w:r>
      <w:r w:rsidR="00A81270">
        <w:rPr>
          <w:lang w:eastAsia="en-AU"/>
        </w:rPr>
        <w:t>n PM</w:t>
      </w:r>
      <w:r w:rsidR="00A81270">
        <w:rPr>
          <w:lang w:eastAsia="en-AU"/>
        </w:rPr>
        <w:noBreakHyphen/>
        <w:t>2016</w:t>
      </w:r>
      <w:r w:rsidR="00A81270">
        <w:rPr>
          <w:lang w:eastAsia="en-AU"/>
        </w:rPr>
        <w:noBreakHyphen/>
      </w:r>
      <w:r>
        <w:rPr>
          <w:lang w:eastAsia="en-AU"/>
        </w:rPr>
        <w:t>02325-1-4.</w:t>
      </w:r>
    </w:p>
    <w:p w14:paraId="07F4C73E" w14:textId="77777777" w:rsidR="008E7846" w:rsidRDefault="008E7846" w:rsidP="008E7846">
      <w:pPr>
        <w:rPr>
          <w:lang w:eastAsia="en-AU"/>
        </w:rPr>
      </w:pPr>
      <w:r>
        <w:rPr>
          <w:lang w:eastAsia="en-AU"/>
        </w:rPr>
        <w:t xml:space="preserve">The sponsor submitted a </w:t>
      </w:r>
      <w:r w:rsidR="00A81270">
        <w:rPr>
          <w:lang w:eastAsia="en-AU"/>
        </w:rPr>
        <w:t>RMP</w:t>
      </w:r>
      <w:r w:rsidR="006F25B8">
        <w:rPr>
          <w:lang w:eastAsia="en-AU"/>
        </w:rPr>
        <w:t xml:space="preserve"> </w:t>
      </w:r>
      <w:r w:rsidR="000B18AA" w:rsidRPr="007F0966">
        <w:rPr>
          <w:kern w:val="2"/>
        </w:rPr>
        <w:t>version 10.0; dated 20 September 2016; DLP 27 June 2016</w:t>
      </w:r>
      <w:r w:rsidR="000B18AA">
        <w:rPr>
          <w:lang w:eastAsia="en-AU"/>
        </w:rPr>
        <w:t xml:space="preserve"> and </w:t>
      </w:r>
      <w:r w:rsidR="00A81270">
        <w:rPr>
          <w:lang w:eastAsia="en-AU"/>
        </w:rPr>
        <w:t>Australian Specific Annex (</w:t>
      </w:r>
      <w:r w:rsidR="000B18AA">
        <w:rPr>
          <w:lang w:eastAsia="en-AU"/>
        </w:rPr>
        <w:t>ASA</w:t>
      </w:r>
      <w:r w:rsidR="00A81270">
        <w:rPr>
          <w:lang w:eastAsia="en-AU"/>
        </w:rPr>
        <w:t>)</w:t>
      </w:r>
      <w:r w:rsidR="000B18AA">
        <w:rPr>
          <w:lang w:eastAsia="en-AU"/>
        </w:rPr>
        <w:t xml:space="preserve"> </w:t>
      </w:r>
      <w:r w:rsidR="000B18AA" w:rsidRPr="00D65BF7">
        <w:rPr>
          <w:kern w:val="2"/>
        </w:rPr>
        <w:t>Round 1 ver</w:t>
      </w:r>
      <w:r w:rsidR="003F23D1">
        <w:rPr>
          <w:kern w:val="2"/>
        </w:rPr>
        <w:t>sion 6.0; dated 17 January 2017</w:t>
      </w:r>
      <w:r w:rsidR="000B18AA" w:rsidRPr="006F25B8">
        <w:rPr>
          <w:lang w:eastAsia="en-AU"/>
        </w:rPr>
        <w:t xml:space="preserve"> </w:t>
      </w:r>
      <w:r>
        <w:rPr>
          <w:lang w:eastAsia="en-AU"/>
        </w:rPr>
        <w:t xml:space="preserve">which was reviewed by the </w:t>
      </w:r>
      <w:r w:rsidR="00FC1FCA">
        <w:rPr>
          <w:lang w:eastAsia="en-AU"/>
        </w:rPr>
        <w:t>RMP evaluator.</w:t>
      </w:r>
    </w:p>
    <w:p w14:paraId="07F4C73F" w14:textId="77777777" w:rsidR="000B18AA" w:rsidRPr="003F23D1" w:rsidRDefault="000B18AA" w:rsidP="003F23D1">
      <w:pPr>
        <w:pStyle w:val="Heading3"/>
      </w:pPr>
      <w:bookmarkStart w:id="141" w:name="_Toc474505094"/>
      <w:bookmarkStart w:id="142" w:name="_Toc513458940"/>
      <w:r w:rsidRPr="003F23D1">
        <w:t>Summary</w:t>
      </w:r>
      <w:bookmarkEnd w:id="141"/>
      <w:bookmarkEnd w:id="142"/>
    </w:p>
    <w:p w14:paraId="07F4C740" w14:textId="252B0B5D" w:rsidR="000B18AA" w:rsidRPr="003F23D1" w:rsidRDefault="00377F33" w:rsidP="003F23D1">
      <w:pPr>
        <w:pStyle w:val="ListBullet"/>
      </w:pPr>
      <w:r>
        <w:t>The sponsor</w:t>
      </w:r>
      <w:r w:rsidR="000B18AA" w:rsidRPr="003F23D1">
        <w:t xml:space="preserve"> has applied to extend the indications of pembrolizumab </w:t>
      </w:r>
      <w:r w:rsidR="003F23D1" w:rsidRPr="003F23D1">
        <w:t xml:space="preserve">(Keytruda) </w:t>
      </w:r>
      <w:r w:rsidR="000B18AA" w:rsidRPr="003F23D1">
        <w:t xml:space="preserve">to include </w:t>
      </w:r>
      <w:r w:rsidR="00415E84">
        <w:t>‘</w:t>
      </w:r>
      <w:r w:rsidR="000B18AA" w:rsidRPr="003F23D1">
        <w:t xml:space="preserve">first-line treatment of patients with metastatic non-small cell lung carcinoma (NSCLC) whose tumours express PD-L1 with a </w:t>
      </w:r>
      <w:r w:rsidR="0046163D">
        <w:t>≥</w:t>
      </w:r>
      <w:r w:rsidR="00170F49">
        <w:t xml:space="preserve"> </w:t>
      </w:r>
      <w:r w:rsidR="000B18AA" w:rsidRPr="003F23D1">
        <w:t>50 % tumour proportion score (TPS) as determined by a validated test, with no EGFR mutation or ALK genomic tumour aberrations</w:t>
      </w:r>
      <w:r w:rsidR="00415E84">
        <w:t>’</w:t>
      </w:r>
      <w:r w:rsidR="000B18AA" w:rsidRPr="003F23D1">
        <w:t>, (</w:t>
      </w:r>
      <w:r w:rsidR="00985879" w:rsidRPr="003F23D1">
        <w:t>first line</w:t>
      </w:r>
      <w:r w:rsidR="00A81270">
        <w:t xml:space="preserve"> NSCLC) proposing a new fixed </w:t>
      </w:r>
      <w:r w:rsidR="000B18AA" w:rsidRPr="003F23D1">
        <w:t xml:space="preserve">dosage of </w:t>
      </w:r>
      <w:r w:rsidR="003F23D1" w:rsidRPr="003F23D1">
        <w:t>200 mg</w:t>
      </w:r>
      <w:r w:rsidR="000B18AA" w:rsidRPr="003F23D1">
        <w:t xml:space="preserve"> </w:t>
      </w:r>
      <w:r w:rsidR="00A81270">
        <w:t>Q3W</w:t>
      </w:r>
      <w:r w:rsidR="000B18AA" w:rsidRPr="003F23D1">
        <w:t xml:space="preserve"> administered intravenously over 30 minutes.</w:t>
      </w:r>
    </w:p>
    <w:p w14:paraId="07F4C741" w14:textId="15DA73BE" w:rsidR="000B18AA" w:rsidRPr="003F23D1" w:rsidRDefault="000B18AA" w:rsidP="003F23D1">
      <w:pPr>
        <w:pStyle w:val="ListBullet"/>
        <w:rPr>
          <w:rStyle w:val="BulletlistChar"/>
          <w:rFonts w:eastAsia="Cambria"/>
          <w:sz w:val="22"/>
        </w:rPr>
      </w:pPr>
      <w:r w:rsidRPr="003F23D1">
        <w:rPr>
          <w:rStyle w:val="BulletlistChar"/>
          <w:rFonts w:eastAsia="Cambria"/>
          <w:sz w:val="22"/>
        </w:rPr>
        <w:t xml:space="preserve">This evaluation considers the most recent </w:t>
      </w:r>
      <w:r w:rsidR="00865982">
        <w:rPr>
          <w:rStyle w:val="BulletlistChar"/>
          <w:rFonts w:eastAsia="Cambria"/>
          <w:sz w:val="22"/>
        </w:rPr>
        <w:t>RMP</w:t>
      </w:r>
      <w:r w:rsidR="00A81270">
        <w:rPr>
          <w:rStyle w:val="BulletlistChar"/>
          <w:rFonts w:eastAsia="Cambria"/>
          <w:sz w:val="22"/>
        </w:rPr>
        <w:t xml:space="preserve"> </w:t>
      </w:r>
      <w:r w:rsidRPr="003F23D1">
        <w:rPr>
          <w:rStyle w:val="BulletlistChar"/>
          <w:rFonts w:eastAsia="Cambria"/>
          <w:sz w:val="22"/>
        </w:rPr>
        <w:t xml:space="preserve">for </w:t>
      </w:r>
      <w:r w:rsidRPr="003F23D1">
        <w:t>Keytruda</w:t>
      </w:r>
      <w:r w:rsidRPr="003F23D1">
        <w:rPr>
          <w:rStyle w:val="BulletlistChar"/>
          <w:rFonts w:eastAsia="Cambria"/>
          <w:smallCaps/>
          <w:sz w:val="22"/>
        </w:rPr>
        <w:t xml:space="preserve"> </w:t>
      </w:r>
      <w:r w:rsidRPr="003F23D1">
        <w:rPr>
          <w:rStyle w:val="BulletlistChar"/>
          <w:rFonts w:eastAsia="Cambria"/>
          <w:sz w:val="22"/>
        </w:rPr>
        <w:t xml:space="preserve">submitted to the TGA by </w:t>
      </w:r>
      <w:r w:rsidR="00865982">
        <w:rPr>
          <w:rStyle w:val="BulletlistChar"/>
          <w:rFonts w:eastAsia="Cambria"/>
          <w:sz w:val="22"/>
        </w:rPr>
        <w:t>the sponsor</w:t>
      </w:r>
      <w:r w:rsidRPr="003F23D1">
        <w:rPr>
          <w:rStyle w:val="BulletlistChar"/>
          <w:rFonts w:eastAsia="Cambria"/>
          <w:sz w:val="22"/>
        </w:rPr>
        <w:t>: Core-RMP version 10.0 (dated 20 September 2016; DLP 27 June 2016) and ASA v6.0 (dated 17 January 2017). The most recent available EU RMP v</w:t>
      </w:r>
      <w:r w:rsidR="00865982">
        <w:rPr>
          <w:rStyle w:val="BulletlistChar"/>
          <w:rFonts w:eastAsia="Cambria"/>
          <w:sz w:val="22"/>
        </w:rPr>
        <w:t xml:space="preserve">ersion </w:t>
      </w:r>
      <w:r w:rsidRPr="003F23D1">
        <w:rPr>
          <w:rStyle w:val="BulletlistChar"/>
          <w:rFonts w:eastAsia="Cambria"/>
          <w:sz w:val="22"/>
        </w:rPr>
        <w:t>3.3 (dated 22 June 2016, DLP 30 September 2015) has been referred to where appropriate.</w:t>
      </w:r>
    </w:p>
    <w:p w14:paraId="07F4C742" w14:textId="77777777" w:rsidR="000B18AA" w:rsidRPr="00880EEA" w:rsidRDefault="000B18AA" w:rsidP="003F23D1">
      <w:pPr>
        <w:pStyle w:val="ListBullet"/>
      </w:pPr>
      <w:r w:rsidRPr="00196B8D">
        <w:lastRenderedPageBreak/>
        <w:t xml:space="preserve">The proposed Summary of Safety Concerns and their associated risk monitoring and mitigation strategies are summarised </w:t>
      </w:r>
      <w:r w:rsidRPr="00880EEA">
        <w:t>below</w:t>
      </w:r>
      <w:r w:rsidR="00560D2A" w:rsidRPr="00880EEA">
        <w:t xml:space="preserve"> in Table </w:t>
      </w:r>
      <w:r w:rsidR="00880EEA" w:rsidRPr="00880EEA">
        <w:t>10</w:t>
      </w:r>
      <w:r w:rsidR="00560D2A" w:rsidRPr="00880EEA">
        <w:t>.</w:t>
      </w:r>
    </w:p>
    <w:p w14:paraId="07F4C743" w14:textId="78970794" w:rsidR="00560D2A" w:rsidRPr="00196B8D" w:rsidRDefault="00560D2A" w:rsidP="0004761F">
      <w:pPr>
        <w:pStyle w:val="TableTitle"/>
      </w:pPr>
      <w:r w:rsidRPr="00880EEA">
        <w:t xml:space="preserve">Table </w:t>
      </w:r>
      <w:r w:rsidR="00880EEA" w:rsidRPr="00880EEA">
        <w:t>10</w:t>
      </w:r>
      <w:r w:rsidRPr="00880EEA">
        <w:t>: Summary</w:t>
      </w:r>
      <w:r>
        <w:t xml:space="preserve"> of safety concerns</w:t>
      </w:r>
    </w:p>
    <w:tbl>
      <w:tblPr>
        <w:tblStyle w:val="TableTGAblue"/>
        <w:tblW w:w="8613" w:type="dxa"/>
        <w:tblLayout w:type="fixed"/>
        <w:tblLook w:val="04A0" w:firstRow="1" w:lastRow="0" w:firstColumn="1" w:lastColumn="0" w:noHBand="0" w:noVBand="1"/>
      </w:tblPr>
      <w:tblGrid>
        <w:gridCol w:w="1242"/>
        <w:gridCol w:w="2835"/>
        <w:gridCol w:w="1134"/>
        <w:gridCol w:w="1276"/>
        <w:gridCol w:w="992"/>
        <w:gridCol w:w="1134"/>
      </w:tblGrid>
      <w:tr w:rsidR="004B35E3" w:rsidRPr="0004761F" w14:paraId="07F4C747" w14:textId="77777777" w:rsidTr="0004761F">
        <w:trPr>
          <w:cnfStyle w:val="100000000000" w:firstRow="1" w:lastRow="0" w:firstColumn="0" w:lastColumn="0" w:oddVBand="0" w:evenVBand="0" w:oddHBand="0" w:evenHBand="0" w:firstRowFirstColumn="0" w:firstRowLastColumn="0" w:lastRowFirstColumn="0" w:lastRowLastColumn="0"/>
          <w:trHeight w:val="695"/>
        </w:trPr>
        <w:tc>
          <w:tcPr>
            <w:tcW w:w="4077" w:type="dxa"/>
            <w:gridSpan w:val="2"/>
            <w:vMerge w:val="restart"/>
          </w:tcPr>
          <w:p w14:paraId="07F4C744" w14:textId="550AA483" w:rsidR="000B18AA" w:rsidRPr="0004761F" w:rsidRDefault="000B18AA" w:rsidP="00E0770A">
            <w:pPr>
              <w:rPr>
                <w:sz w:val="20"/>
                <w:szCs w:val="20"/>
              </w:rPr>
            </w:pPr>
            <w:r w:rsidRPr="0004761F">
              <w:rPr>
                <w:sz w:val="20"/>
                <w:szCs w:val="20"/>
              </w:rPr>
              <w:t>Summary of safety concerns (ASA</w:t>
            </w:r>
            <w:r w:rsidR="004B35E3" w:rsidRPr="0004761F">
              <w:rPr>
                <w:sz w:val="20"/>
                <w:szCs w:val="20"/>
              </w:rPr>
              <w:t> </w:t>
            </w:r>
            <w:r w:rsidRPr="0004761F">
              <w:rPr>
                <w:sz w:val="20"/>
                <w:szCs w:val="20"/>
              </w:rPr>
              <w:t>version 6.0)</w:t>
            </w:r>
          </w:p>
        </w:tc>
        <w:tc>
          <w:tcPr>
            <w:tcW w:w="2410" w:type="dxa"/>
            <w:gridSpan w:val="2"/>
          </w:tcPr>
          <w:p w14:paraId="07F4C745" w14:textId="42B7CB73" w:rsidR="000B18AA" w:rsidRPr="0004761F" w:rsidRDefault="000B18AA" w:rsidP="00E0770A">
            <w:pPr>
              <w:rPr>
                <w:sz w:val="20"/>
                <w:szCs w:val="20"/>
              </w:rPr>
            </w:pPr>
            <w:proofErr w:type="spellStart"/>
            <w:r w:rsidRPr="0004761F">
              <w:rPr>
                <w:sz w:val="20"/>
                <w:szCs w:val="20"/>
              </w:rPr>
              <w:t>Pharmacovigilanc</w:t>
            </w:r>
            <w:proofErr w:type="spellEnd"/>
            <w:r w:rsidR="00C87CF9" w:rsidRPr="0004761F">
              <w:rPr>
                <w:sz w:val="20"/>
                <w:szCs w:val="20"/>
                <w:vertAlign w:val="superscript"/>
              </w:rPr>
              <w:footnoteReference w:id="22"/>
            </w:r>
          </w:p>
        </w:tc>
        <w:tc>
          <w:tcPr>
            <w:tcW w:w="2126" w:type="dxa"/>
            <w:gridSpan w:val="2"/>
          </w:tcPr>
          <w:p w14:paraId="07F4C746" w14:textId="77777777" w:rsidR="000B18AA" w:rsidRPr="0004761F" w:rsidRDefault="000B18AA" w:rsidP="00E0770A">
            <w:pPr>
              <w:rPr>
                <w:sz w:val="20"/>
                <w:szCs w:val="20"/>
              </w:rPr>
            </w:pPr>
            <w:r w:rsidRPr="0004761F">
              <w:rPr>
                <w:sz w:val="20"/>
                <w:szCs w:val="20"/>
              </w:rPr>
              <w:t>Risk Minimisation</w:t>
            </w:r>
            <w:r w:rsidR="00C87CF9" w:rsidRPr="0004761F">
              <w:rPr>
                <w:sz w:val="20"/>
                <w:szCs w:val="20"/>
                <w:vertAlign w:val="superscript"/>
              </w:rPr>
              <w:footnoteReference w:id="23"/>
            </w:r>
          </w:p>
        </w:tc>
      </w:tr>
      <w:tr w:rsidR="004B35E3" w:rsidRPr="0004761F" w14:paraId="07F4C74D" w14:textId="77777777" w:rsidTr="0004761F">
        <w:trPr>
          <w:trHeight w:val="289"/>
        </w:trPr>
        <w:tc>
          <w:tcPr>
            <w:tcW w:w="4077" w:type="dxa"/>
            <w:gridSpan w:val="2"/>
            <w:vMerge/>
          </w:tcPr>
          <w:p w14:paraId="07F4C748" w14:textId="77777777" w:rsidR="000B18AA" w:rsidRPr="0004761F" w:rsidRDefault="000B18AA" w:rsidP="00560D2A">
            <w:pPr>
              <w:pStyle w:val="Tabletext"/>
              <w:spacing w:before="100" w:beforeAutospacing="1" w:after="100" w:afterAutospacing="1" w:line="240" w:lineRule="auto"/>
              <w:ind w:left="0" w:right="0"/>
              <w:rPr>
                <w:b/>
                <w:sz w:val="20"/>
                <w:szCs w:val="20"/>
              </w:rPr>
            </w:pPr>
          </w:p>
        </w:tc>
        <w:tc>
          <w:tcPr>
            <w:tcW w:w="1134" w:type="dxa"/>
          </w:tcPr>
          <w:p w14:paraId="07F4C749" w14:textId="08D5F439" w:rsidR="0014197E"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Routine</w:t>
            </w:r>
          </w:p>
        </w:tc>
        <w:tc>
          <w:tcPr>
            <w:tcW w:w="1276" w:type="dxa"/>
          </w:tcPr>
          <w:p w14:paraId="07F4C74A"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Additional</w:t>
            </w:r>
          </w:p>
        </w:tc>
        <w:tc>
          <w:tcPr>
            <w:tcW w:w="992" w:type="dxa"/>
          </w:tcPr>
          <w:p w14:paraId="07F4C74B"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Routine</w:t>
            </w:r>
          </w:p>
        </w:tc>
        <w:tc>
          <w:tcPr>
            <w:tcW w:w="1134" w:type="dxa"/>
          </w:tcPr>
          <w:p w14:paraId="07F4C74C"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Additional</w:t>
            </w:r>
          </w:p>
        </w:tc>
      </w:tr>
      <w:tr w:rsidR="004B35E3" w:rsidRPr="0004761F" w14:paraId="07F4C754" w14:textId="77777777" w:rsidTr="0004761F">
        <w:trPr>
          <w:trHeight w:val="135"/>
        </w:trPr>
        <w:tc>
          <w:tcPr>
            <w:tcW w:w="1242" w:type="dxa"/>
            <w:vMerge w:val="restart"/>
          </w:tcPr>
          <w:p w14:paraId="07F4C74E" w14:textId="77777777" w:rsidR="000B18AA" w:rsidRPr="0004761F" w:rsidRDefault="000B18AA" w:rsidP="00560D2A">
            <w:pPr>
              <w:pStyle w:val="Tabletext"/>
              <w:spacing w:before="100" w:beforeAutospacing="1" w:after="100" w:afterAutospacing="1" w:line="240" w:lineRule="auto"/>
              <w:ind w:left="0" w:right="0"/>
              <w:rPr>
                <w:b/>
                <w:sz w:val="20"/>
                <w:szCs w:val="20"/>
              </w:rPr>
            </w:pPr>
            <w:r w:rsidRPr="0004761F">
              <w:rPr>
                <w:b/>
                <w:sz w:val="20"/>
                <w:szCs w:val="20"/>
              </w:rPr>
              <w:t>Important identified risks</w:t>
            </w:r>
          </w:p>
        </w:tc>
        <w:tc>
          <w:tcPr>
            <w:tcW w:w="2835" w:type="dxa"/>
          </w:tcPr>
          <w:p w14:paraId="07F4C74F" w14:textId="14561713"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Immune</w:t>
            </w:r>
            <w:r w:rsidR="004B35E3" w:rsidRPr="0004761F">
              <w:rPr>
                <w:sz w:val="20"/>
                <w:szCs w:val="20"/>
              </w:rPr>
              <w:t xml:space="preserve"> </w:t>
            </w:r>
            <w:r w:rsidRPr="0004761F">
              <w:rPr>
                <w:sz w:val="20"/>
                <w:szCs w:val="20"/>
              </w:rPr>
              <w:t>mediated pneumonitis</w:t>
            </w:r>
          </w:p>
        </w:tc>
        <w:tc>
          <w:tcPr>
            <w:tcW w:w="1134" w:type="dxa"/>
          </w:tcPr>
          <w:p w14:paraId="07F4C750"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51"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52"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53"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2</w:t>
            </w:r>
          </w:p>
        </w:tc>
      </w:tr>
      <w:tr w:rsidR="004B35E3" w:rsidRPr="0004761F" w14:paraId="07F4C75B" w14:textId="77777777" w:rsidTr="0004761F">
        <w:trPr>
          <w:trHeight w:val="93"/>
        </w:trPr>
        <w:tc>
          <w:tcPr>
            <w:tcW w:w="1242" w:type="dxa"/>
            <w:vMerge/>
          </w:tcPr>
          <w:p w14:paraId="07F4C755" w14:textId="77777777" w:rsidR="000B18AA" w:rsidRPr="0004761F" w:rsidRDefault="000B18AA" w:rsidP="00560D2A">
            <w:pPr>
              <w:pStyle w:val="Tabletext"/>
              <w:spacing w:before="100" w:beforeAutospacing="1" w:after="100" w:afterAutospacing="1" w:line="240" w:lineRule="auto"/>
              <w:ind w:left="0" w:right="0"/>
              <w:rPr>
                <w:b/>
                <w:sz w:val="20"/>
                <w:szCs w:val="20"/>
              </w:rPr>
            </w:pPr>
          </w:p>
        </w:tc>
        <w:tc>
          <w:tcPr>
            <w:tcW w:w="2835" w:type="dxa"/>
          </w:tcPr>
          <w:p w14:paraId="07F4C756" w14:textId="45BFF371"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Immune</w:t>
            </w:r>
            <w:r w:rsidR="004B35E3" w:rsidRPr="0004761F">
              <w:rPr>
                <w:sz w:val="20"/>
                <w:szCs w:val="20"/>
              </w:rPr>
              <w:t xml:space="preserve"> </w:t>
            </w:r>
            <w:r w:rsidRPr="0004761F">
              <w:rPr>
                <w:sz w:val="20"/>
                <w:szCs w:val="20"/>
              </w:rPr>
              <w:t>mediated colitis</w:t>
            </w:r>
          </w:p>
        </w:tc>
        <w:tc>
          <w:tcPr>
            <w:tcW w:w="1134" w:type="dxa"/>
          </w:tcPr>
          <w:p w14:paraId="07F4C757"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58"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59"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5A"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2</w:t>
            </w:r>
          </w:p>
        </w:tc>
      </w:tr>
      <w:tr w:rsidR="004B35E3" w:rsidRPr="0004761F" w14:paraId="07F4C762" w14:textId="77777777" w:rsidTr="0004761F">
        <w:trPr>
          <w:trHeight w:val="185"/>
        </w:trPr>
        <w:tc>
          <w:tcPr>
            <w:tcW w:w="1242" w:type="dxa"/>
            <w:vMerge/>
          </w:tcPr>
          <w:p w14:paraId="07F4C75C" w14:textId="77777777" w:rsidR="000B18AA" w:rsidRPr="0004761F" w:rsidRDefault="000B18AA" w:rsidP="00560D2A">
            <w:pPr>
              <w:pStyle w:val="Tabletext"/>
              <w:spacing w:before="100" w:beforeAutospacing="1" w:after="100" w:afterAutospacing="1" w:line="240" w:lineRule="auto"/>
              <w:ind w:left="0" w:right="0"/>
              <w:rPr>
                <w:b/>
                <w:sz w:val="20"/>
                <w:szCs w:val="20"/>
              </w:rPr>
            </w:pPr>
          </w:p>
        </w:tc>
        <w:tc>
          <w:tcPr>
            <w:tcW w:w="2835" w:type="dxa"/>
          </w:tcPr>
          <w:p w14:paraId="07F4C75D" w14:textId="6FEB1116"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Immune</w:t>
            </w:r>
            <w:r w:rsidR="004B35E3" w:rsidRPr="0004761F">
              <w:rPr>
                <w:sz w:val="20"/>
                <w:szCs w:val="20"/>
              </w:rPr>
              <w:t xml:space="preserve"> </w:t>
            </w:r>
            <w:r w:rsidRPr="0004761F">
              <w:rPr>
                <w:sz w:val="20"/>
                <w:szCs w:val="20"/>
              </w:rPr>
              <w:t>mediated hepatitis</w:t>
            </w:r>
          </w:p>
        </w:tc>
        <w:tc>
          <w:tcPr>
            <w:tcW w:w="1134" w:type="dxa"/>
          </w:tcPr>
          <w:p w14:paraId="07F4C75E"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5F"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60"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61"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2</w:t>
            </w:r>
          </w:p>
        </w:tc>
      </w:tr>
      <w:tr w:rsidR="004B35E3" w:rsidRPr="0004761F" w14:paraId="07F4C769" w14:textId="77777777" w:rsidTr="0004761F">
        <w:trPr>
          <w:trHeight w:val="185"/>
        </w:trPr>
        <w:tc>
          <w:tcPr>
            <w:tcW w:w="1242" w:type="dxa"/>
            <w:vMerge/>
          </w:tcPr>
          <w:p w14:paraId="07F4C763" w14:textId="77777777" w:rsidR="000B18AA" w:rsidRPr="0004761F" w:rsidRDefault="000B18AA" w:rsidP="00560D2A">
            <w:pPr>
              <w:pStyle w:val="Tabletext"/>
              <w:spacing w:before="100" w:beforeAutospacing="1" w:after="100" w:afterAutospacing="1" w:line="240" w:lineRule="auto"/>
              <w:ind w:left="0" w:right="0"/>
              <w:rPr>
                <w:b/>
                <w:sz w:val="20"/>
                <w:szCs w:val="20"/>
              </w:rPr>
            </w:pPr>
          </w:p>
        </w:tc>
        <w:tc>
          <w:tcPr>
            <w:tcW w:w="2835" w:type="dxa"/>
          </w:tcPr>
          <w:p w14:paraId="07F4C764" w14:textId="27FB6D6F"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Immune</w:t>
            </w:r>
            <w:r w:rsidR="004B35E3" w:rsidRPr="0004761F">
              <w:rPr>
                <w:sz w:val="20"/>
                <w:szCs w:val="20"/>
              </w:rPr>
              <w:t xml:space="preserve"> </w:t>
            </w:r>
            <w:r w:rsidRPr="0004761F">
              <w:rPr>
                <w:sz w:val="20"/>
                <w:szCs w:val="20"/>
              </w:rPr>
              <w:t>mediated nephritis</w:t>
            </w:r>
          </w:p>
        </w:tc>
        <w:tc>
          <w:tcPr>
            <w:tcW w:w="1134" w:type="dxa"/>
          </w:tcPr>
          <w:p w14:paraId="07F4C765"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66"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67"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68"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2</w:t>
            </w:r>
          </w:p>
        </w:tc>
      </w:tr>
      <w:tr w:rsidR="004B35E3" w:rsidRPr="0004761F" w14:paraId="07F4C773" w14:textId="77777777" w:rsidTr="0004761F">
        <w:trPr>
          <w:trHeight w:val="185"/>
        </w:trPr>
        <w:tc>
          <w:tcPr>
            <w:tcW w:w="1242" w:type="dxa"/>
            <w:vMerge/>
          </w:tcPr>
          <w:p w14:paraId="07F4C76A" w14:textId="77777777" w:rsidR="000B18AA" w:rsidRPr="0004761F" w:rsidRDefault="000B18AA" w:rsidP="00560D2A">
            <w:pPr>
              <w:pStyle w:val="Tabletext"/>
              <w:spacing w:before="100" w:beforeAutospacing="1" w:after="100" w:afterAutospacing="1" w:line="240" w:lineRule="auto"/>
              <w:ind w:left="0" w:right="0"/>
              <w:rPr>
                <w:b/>
                <w:sz w:val="20"/>
                <w:szCs w:val="20"/>
              </w:rPr>
            </w:pPr>
          </w:p>
        </w:tc>
        <w:tc>
          <w:tcPr>
            <w:tcW w:w="2835" w:type="dxa"/>
          </w:tcPr>
          <w:p w14:paraId="07F4C76B" w14:textId="73A1F923" w:rsidR="000B18AA" w:rsidRPr="0004761F" w:rsidRDefault="000B18AA" w:rsidP="0014197E">
            <w:pPr>
              <w:pStyle w:val="Tabletext"/>
              <w:spacing w:before="0" w:after="0" w:line="240" w:lineRule="auto"/>
              <w:ind w:left="0" w:right="0"/>
              <w:rPr>
                <w:sz w:val="20"/>
                <w:szCs w:val="20"/>
              </w:rPr>
            </w:pPr>
            <w:r w:rsidRPr="0004761F">
              <w:rPr>
                <w:sz w:val="20"/>
                <w:szCs w:val="20"/>
              </w:rPr>
              <w:t>I</w:t>
            </w:r>
            <w:r w:rsidR="003F23D1" w:rsidRPr="0004761F">
              <w:rPr>
                <w:sz w:val="20"/>
                <w:szCs w:val="20"/>
              </w:rPr>
              <w:t>mmune</w:t>
            </w:r>
            <w:r w:rsidR="004B35E3" w:rsidRPr="0004761F">
              <w:rPr>
                <w:sz w:val="20"/>
                <w:szCs w:val="20"/>
              </w:rPr>
              <w:t xml:space="preserve"> </w:t>
            </w:r>
            <w:r w:rsidR="003F23D1" w:rsidRPr="0004761F">
              <w:rPr>
                <w:sz w:val="20"/>
                <w:szCs w:val="20"/>
              </w:rPr>
              <w:t>mediated endocrinopathies</w:t>
            </w:r>
            <w:r w:rsidR="0014197E" w:rsidRPr="0004761F">
              <w:rPr>
                <w:sz w:val="20"/>
                <w:szCs w:val="20"/>
              </w:rPr>
              <w:t>:</w:t>
            </w:r>
          </w:p>
          <w:p w14:paraId="07F4C76C" w14:textId="77777777" w:rsidR="000B18AA" w:rsidRPr="0004761F" w:rsidRDefault="000B18AA" w:rsidP="00E0770A">
            <w:pPr>
              <w:pStyle w:val="ListBullet"/>
              <w:spacing w:before="0" w:after="0" w:line="240" w:lineRule="auto"/>
              <w:ind w:left="357" w:right="0" w:hanging="357"/>
              <w:rPr>
                <w:sz w:val="20"/>
                <w:szCs w:val="20"/>
              </w:rPr>
            </w:pPr>
            <w:proofErr w:type="spellStart"/>
            <w:r w:rsidRPr="0004761F">
              <w:rPr>
                <w:sz w:val="20"/>
                <w:szCs w:val="20"/>
              </w:rPr>
              <w:t>Hypophysitis</w:t>
            </w:r>
            <w:proofErr w:type="spellEnd"/>
            <w:r w:rsidRPr="0004761F">
              <w:rPr>
                <w:sz w:val="20"/>
                <w:szCs w:val="20"/>
              </w:rPr>
              <w:t xml:space="preserve"> (including hypopituitarism and secondary adrenal insufficiency)</w:t>
            </w:r>
          </w:p>
          <w:p w14:paraId="07F4C76D" w14:textId="77777777" w:rsidR="000B18AA" w:rsidRPr="0004761F" w:rsidRDefault="000B18AA" w:rsidP="00E0770A">
            <w:pPr>
              <w:pStyle w:val="ListBullet"/>
              <w:spacing w:before="0" w:after="0" w:line="240" w:lineRule="auto"/>
              <w:ind w:left="357" w:right="0" w:hanging="357"/>
              <w:rPr>
                <w:sz w:val="20"/>
                <w:szCs w:val="20"/>
              </w:rPr>
            </w:pPr>
            <w:r w:rsidRPr="0004761F">
              <w:rPr>
                <w:sz w:val="20"/>
                <w:szCs w:val="20"/>
              </w:rPr>
              <w:t>Thyroid disorder (hypothyroidism, hyperthyroidism, thyroiditis)</w:t>
            </w:r>
          </w:p>
          <w:p w14:paraId="07F4C76E" w14:textId="77777777" w:rsidR="000B18AA" w:rsidRPr="0004761F" w:rsidRDefault="000B18AA" w:rsidP="00E0770A">
            <w:pPr>
              <w:pStyle w:val="ListBullet"/>
              <w:spacing w:before="0" w:after="0" w:line="240" w:lineRule="auto"/>
              <w:ind w:left="357" w:right="0" w:hanging="357"/>
              <w:rPr>
                <w:sz w:val="20"/>
                <w:szCs w:val="20"/>
              </w:rPr>
            </w:pPr>
            <w:r w:rsidRPr="0004761F">
              <w:rPr>
                <w:sz w:val="20"/>
                <w:szCs w:val="20"/>
              </w:rPr>
              <w:t>Type 1 diabetes mellitus</w:t>
            </w:r>
          </w:p>
        </w:tc>
        <w:tc>
          <w:tcPr>
            <w:tcW w:w="1134" w:type="dxa"/>
          </w:tcPr>
          <w:p w14:paraId="07F4C76F"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70"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71"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72"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2</w:t>
            </w:r>
          </w:p>
        </w:tc>
      </w:tr>
      <w:tr w:rsidR="004B35E3" w:rsidRPr="0004761F" w14:paraId="07F4C77F" w14:textId="77777777" w:rsidTr="0004761F">
        <w:trPr>
          <w:trHeight w:val="185"/>
        </w:trPr>
        <w:tc>
          <w:tcPr>
            <w:tcW w:w="1242" w:type="dxa"/>
            <w:vMerge/>
          </w:tcPr>
          <w:p w14:paraId="07F4C774" w14:textId="77777777" w:rsidR="000B18AA" w:rsidRPr="0004761F" w:rsidRDefault="000B18AA" w:rsidP="00560D2A">
            <w:pPr>
              <w:pStyle w:val="Tabletext"/>
              <w:spacing w:before="100" w:beforeAutospacing="1" w:after="100" w:afterAutospacing="1" w:line="240" w:lineRule="auto"/>
              <w:ind w:left="0" w:right="0"/>
              <w:rPr>
                <w:b/>
                <w:sz w:val="20"/>
                <w:szCs w:val="20"/>
              </w:rPr>
            </w:pPr>
          </w:p>
        </w:tc>
        <w:tc>
          <w:tcPr>
            <w:tcW w:w="2835" w:type="dxa"/>
          </w:tcPr>
          <w:p w14:paraId="07F4C775" w14:textId="1306E303" w:rsidR="000B18AA" w:rsidRPr="0004761F" w:rsidRDefault="000B18AA" w:rsidP="003F23D1">
            <w:pPr>
              <w:pStyle w:val="Tabletext"/>
              <w:spacing w:before="0" w:after="0" w:line="240" w:lineRule="auto"/>
              <w:ind w:left="0" w:right="0"/>
              <w:rPr>
                <w:sz w:val="20"/>
                <w:szCs w:val="20"/>
              </w:rPr>
            </w:pPr>
            <w:r w:rsidRPr="0004761F">
              <w:rPr>
                <w:sz w:val="20"/>
                <w:szCs w:val="20"/>
              </w:rPr>
              <w:t>Other immune mediated adverse reactions</w:t>
            </w:r>
            <w:r w:rsidR="0014197E" w:rsidRPr="0004761F">
              <w:rPr>
                <w:sz w:val="20"/>
                <w:szCs w:val="20"/>
              </w:rPr>
              <w:t>:</w:t>
            </w:r>
          </w:p>
          <w:p w14:paraId="07F4C776" w14:textId="77777777" w:rsidR="000B18AA" w:rsidRPr="0004761F" w:rsidRDefault="000B18AA" w:rsidP="00E0770A">
            <w:pPr>
              <w:pStyle w:val="ListBullet"/>
              <w:spacing w:before="0" w:after="0" w:line="240" w:lineRule="auto"/>
              <w:ind w:right="173"/>
              <w:rPr>
                <w:sz w:val="20"/>
                <w:szCs w:val="20"/>
              </w:rPr>
            </w:pPr>
            <w:r w:rsidRPr="0004761F">
              <w:rPr>
                <w:sz w:val="20"/>
                <w:szCs w:val="20"/>
              </w:rPr>
              <w:t>Uveitis</w:t>
            </w:r>
          </w:p>
          <w:p w14:paraId="07F4C777" w14:textId="77777777" w:rsidR="000B18AA" w:rsidRPr="0004761F" w:rsidRDefault="000B18AA" w:rsidP="00E0770A">
            <w:pPr>
              <w:pStyle w:val="ListBullet"/>
              <w:spacing w:before="0" w:after="0" w:line="240" w:lineRule="auto"/>
              <w:ind w:right="173"/>
              <w:rPr>
                <w:sz w:val="20"/>
                <w:szCs w:val="20"/>
              </w:rPr>
            </w:pPr>
            <w:r w:rsidRPr="0004761F">
              <w:rPr>
                <w:sz w:val="20"/>
                <w:szCs w:val="20"/>
              </w:rPr>
              <w:t>Myositis</w:t>
            </w:r>
          </w:p>
          <w:p w14:paraId="07F4C778" w14:textId="77777777" w:rsidR="000B18AA" w:rsidRPr="0004761F" w:rsidRDefault="000B18AA" w:rsidP="00E0770A">
            <w:pPr>
              <w:pStyle w:val="ListBullet"/>
              <w:spacing w:before="0" w:after="0" w:line="240" w:lineRule="auto"/>
              <w:ind w:right="173"/>
              <w:rPr>
                <w:sz w:val="20"/>
                <w:szCs w:val="20"/>
              </w:rPr>
            </w:pPr>
            <w:proofErr w:type="spellStart"/>
            <w:r w:rsidRPr="0004761F">
              <w:rPr>
                <w:sz w:val="20"/>
                <w:szCs w:val="20"/>
              </w:rPr>
              <w:t>Guillane</w:t>
            </w:r>
            <w:proofErr w:type="spellEnd"/>
            <w:r w:rsidRPr="0004761F">
              <w:rPr>
                <w:sz w:val="20"/>
                <w:szCs w:val="20"/>
              </w:rPr>
              <w:t>-barre syndrome</w:t>
            </w:r>
          </w:p>
          <w:p w14:paraId="07F4C779" w14:textId="77777777" w:rsidR="000B18AA" w:rsidRPr="0004761F" w:rsidRDefault="000B18AA" w:rsidP="00E0770A">
            <w:pPr>
              <w:pStyle w:val="ListBullet"/>
              <w:spacing w:before="0" w:after="0" w:line="240" w:lineRule="auto"/>
              <w:ind w:right="173"/>
              <w:rPr>
                <w:sz w:val="20"/>
                <w:szCs w:val="20"/>
              </w:rPr>
            </w:pPr>
            <w:r w:rsidRPr="0004761F">
              <w:rPr>
                <w:sz w:val="20"/>
                <w:szCs w:val="20"/>
              </w:rPr>
              <w:t>Pancreatitis</w:t>
            </w:r>
          </w:p>
          <w:p w14:paraId="07F4C77A" w14:textId="77777777" w:rsidR="000B18AA" w:rsidRPr="0004761F" w:rsidRDefault="000B18AA" w:rsidP="00E0770A">
            <w:pPr>
              <w:pStyle w:val="ListBullet"/>
              <w:spacing w:before="0" w:after="0" w:line="240" w:lineRule="auto"/>
              <w:ind w:right="173"/>
              <w:rPr>
                <w:sz w:val="20"/>
                <w:szCs w:val="20"/>
              </w:rPr>
            </w:pPr>
            <w:r w:rsidRPr="0004761F">
              <w:rPr>
                <w:sz w:val="20"/>
                <w:szCs w:val="20"/>
              </w:rPr>
              <w:t>Severe skin reactions</w:t>
            </w:r>
          </w:p>
        </w:tc>
        <w:tc>
          <w:tcPr>
            <w:tcW w:w="1134" w:type="dxa"/>
          </w:tcPr>
          <w:p w14:paraId="07F4C77B"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7C"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7D"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7E"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2</w:t>
            </w:r>
          </w:p>
        </w:tc>
      </w:tr>
      <w:tr w:rsidR="004B35E3" w:rsidRPr="0004761F" w14:paraId="07F4C786" w14:textId="77777777" w:rsidTr="0004761F">
        <w:trPr>
          <w:trHeight w:val="185"/>
        </w:trPr>
        <w:tc>
          <w:tcPr>
            <w:tcW w:w="1242" w:type="dxa"/>
            <w:vMerge/>
          </w:tcPr>
          <w:p w14:paraId="07F4C780" w14:textId="77777777" w:rsidR="000B18AA" w:rsidRPr="0004761F" w:rsidRDefault="000B18AA" w:rsidP="00560D2A">
            <w:pPr>
              <w:pStyle w:val="Tabletext"/>
              <w:spacing w:before="100" w:beforeAutospacing="1" w:after="100" w:afterAutospacing="1" w:line="240" w:lineRule="auto"/>
              <w:ind w:left="0" w:right="0"/>
              <w:rPr>
                <w:b/>
                <w:sz w:val="20"/>
                <w:szCs w:val="20"/>
              </w:rPr>
            </w:pPr>
          </w:p>
        </w:tc>
        <w:tc>
          <w:tcPr>
            <w:tcW w:w="2835" w:type="dxa"/>
          </w:tcPr>
          <w:p w14:paraId="07F4C781"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Infusion-related reactions</w:t>
            </w:r>
          </w:p>
        </w:tc>
        <w:tc>
          <w:tcPr>
            <w:tcW w:w="1134" w:type="dxa"/>
          </w:tcPr>
          <w:p w14:paraId="07F4C782"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83"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84"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85"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2</w:t>
            </w:r>
          </w:p>
        </w:tc>
      </w:tr>
      <w:tr w:rsidR="004B35E3" w:rsidRPr="0004761F" w14:paraId="07F4C78F" w14:textId="77777777" w:rsidTr="0004761F">
        <w:trPr>
          <w:trHeight w:val="1615"/>
        </w:trPr>
        <w:tc>
          <w:tcPr>
            <w:tcW w:w="1242" w:type="dxa"/>
            <w:vMerge w:val="restart"/>
          </w:tcPr>
          <w:p w14:paraId="07F4C787" w14:textId="77777777" w:rsidR="000B18AA" w:rsidRPr="0004761F" w:rsidRDefault="000B18AA" w:rsidP="00560D2A">
            <w:pPr>
              <w:pStyle w:val="Tabletext"/>
              <w:spacing w:before="100" w:beforeAutospacing="1" w:after="100" w:afterAutospacing="1" w:line="240" w:lineRule="auto"/>
              <w:ind w:left="0" w:right="0"/>
              <w:rPr>
                <w:b/>
                <w:sz w:val="20"/>
                <w:szCs w:val="20"/>
              </w:rPr>
            </w:pPr>
            <w:r w:rsidRPr="0004761F">
              <w:rPr>
                <w:b/>
                <w:sz w:val="20"/>
                <w:szCs w:val="20"/>
              </w:rPr>
              <w:t>Important potential risks</w:t>
            </w:r>
          </w:p>
        </w:tc>
        <w:tc>
          <w:tcPr>
            <w:tcW w:w="2835" w:type="dxa"/>
          </w:tcPr>
          <w:p w14:paraId="07F4C788" w14:textId="77777777" w:rsidR="000B18AA" w:rsidRPr="0004761F" w:rsidRDefault="000B18AA" w:rsidP="00E0770A">
            <w:pPr>
              <w:pStyle w:val="Tabletext"/>
              <w:spacing w:before="0" w:after="0" w:line="240" w:lineRule="auto"/>
              <w:ind w:left="0" w:right="0"/>
              <w:rPr>
                <w:sz w:val="20"/>
                <w:szCs w:val="20"/>
              </w:rPr>
            </w:pPr>
            <w:r w:rsidRPr="0004761F">
              <w:rPr>
                <w:sz w:val="20"/>
                <w:szCs w:val="20"/>
              </w:rPr>
              <w:t>Immune mediated adverse events</w:t>
            </w:r>
          </w:p>
          <w:p w14:paraId="07F4C789" w14:textId="77777777" w:rsidR="000B18AA" w:rsidRPr="0004761F" w:rsidRDefault="000B18AA" w:rsidP="00E0770A">
            <w:pPr>
              <w:pStyle w:val="ListBullet"/>
              <w:spacing w:before="0" w:after="0" w:line="240" w:lineRule="auto"/>
              <w:ind w:right="144"/>
              <w:rPr>
                <w:sz w:val="20"/>
                <w:szCs w:val="20"/>
              </w:rPr>
            </w:pPr>
            <w:r w:rsidRPr="0004761F">
              <w:rPr>
                <w:sz w:val="20"/>
                <w:szCs w:val="20"/>
              </w:rPr>
              <w:t>Myasthenic syndrome</w:t>
            </w:r>
          </w:p>
          <w:p w14:paraId="07F4C78A" w14:textId="27DFAE4D" w:rsidR="000B18AA" w:rsidRPr="0004761F" w:rsidRDefault="000B18AA" w:rsidP="00E0770A">
            <w:pPr>
              <w:pStyle w:val="ListBullet"/>
              <w:spacing w:before="0" w:after="0" w:line="240" w:lineRule="auto"/>
              <w:ind w:right="144"/>
              <w:rPr>
                <w:sz w:val="20"/>
                <w:szCs w:val="20"/>
              </w:rPr>
            </w:pPr>
            <w:r w:rsidRPr="0004761F">
              <w:rPr>
                <w:sz w:val="20"/>
                <w:szCs w:val="20"/>
              </w:rPr>
              <w:t>For haematological malignancies: increased risk of severe complications of allogenic stem cell transplantation in patients who have previously received pembrolizumab</w:t>
            </w:r>
            <w:r w:rsidR="004B35E3" w:rsidRPr="0004761F">
              <w:rPr>
                <w:sz w:val="20"/>
                <w:szCs w:val="20"/>
                <w:vertAlign w:val="superscript"/>
              </w:rPr>
              <w:t>3</w:t>
            </w:r>
          </w:p>
        </w:tc>
        <w:tc>
          <w:tcPr>
            <w:tcW w:w="1134" w:type="dxa"/>
          </w:tcPr>
          <w:p w14:paraId="07F4C78B"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8C"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8D"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8E"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96" w14:textId="77777777" w:rsidTr="0004761F">
        <w:trPr>
          <w:trHeight w:val="178"/>
        </w:trPr>
        <w:tc>
          <w:tcPr>
            <w:tcW w:w="1242" w:type="dxa"/>
            <w:vMerge/>
          </w:tcPr>
          <w:p w14:paraId="07F4C790" w14:textId="77777777" w:rsidR="000B18AA" w:rsidRPr="0004761F" w:rsidRDefault="000B18AA" w:rsidP="00560D2A">
            <w:pPr>
              <w:pStyle w:val="Tabletext"/>
              <w:spacing w:before="100" w:beforeAutospacing="1" w:after="100" w:afterAutospacing="1" w:line="240" w:lineRule="auto"/>
              <w:ind w:left="0" w:right="0"/>
              <w:rPr>
                <w:b/>
                <w:sz w:val="20"/>
                <w:szCs w:val="20"/>
              </w:rPr>
            </w:pPr>
          </w:p>
        </w:tc>
        <w:tc>
          <w:tcPr>
            <w:tcW w:w="2835" w:type="dxa"/>
          </w:tcPr>
          <w:p w14:paraId="07F4C791"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Immunogenicity</w:t>
            </w:r>
          </w:p>
        </w:tc>
        <w:tc>
          <w:tcPr>
            <w:tcW w:w="1134" w:type="dxa"/>
          </w:tcPr>
          <w:p w14:paraId="07F4C792"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93"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c>
          <w:tcPr>
            <w:tcW w:w="992" w:type="dxa"/>
          </w:tcPr>
          <w:p w14:paraId="07F4C794"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95"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9D" w14:textId="77777777" w:rsidTr="0004761F">
        <w:trPr>
          <w:trHeight w:val="176"/>
        </w:trPr>
        <w:tc>
          <w:tcPr>
            <w:tcW w:w="1242" w:type="dxa"/>
            <w:vMerge w:val="restart"/>
          </w:tcPr>
          <w:p w14:paraId="07F4C797" w14:textId="77777777" w:rsidR="000B18AA" w:rsidRPr="0004761F" w:rsidRDefault="000B18AA" w:rsidP="00560D2A">
            <w:pPr>
              <w:pStyle w:val="Tabletext"/>
              <w:spacing w:before="100" w:beforeAutospacing="1" w:after="100" w:afterAutospacing="1" w:line="240" w:lineRule="auto"/>
              <w:ind w:left="0" w:right="0"/>
              <w:rPr>
                <w:b/>
                <w:sz w:val="20"/>
                <w:szCs w:val="20"/>
              </w:rPr>
            </w:pPr>
            <w:r w:rsidRPr="0004761F">
              <w:rPr>
                <w:b/>
                <w:sz w:val="20"/>
                <w:szCs w:val="20"/>
              </w:rPr>
              <w:t xml:space="preserve">Missing </w:t>
            </w:r>
            <w:r w:rsidRPr="0004761F">
              <w:rPr>
                <w:b/>
                <w:sz w:val="20"/>
                <w:szCs w:val="20"/>
              </w:rPr>
              <w:lastRenderedPageBreak/>
              <w:t>information</w:t>
            </w:r>
          </w:p>
        </w:tc>
        <w:tc>
          <w:tcPr>
            <w:tcW w:w="2835" w:type="dxa"/>
          </w:tcPr>
          <w:p w14:paraId="07F4C798"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lastRenderedPageBreak/>
              <w:t xml:space="preserve">Safety in patients with </w:t>
            </w:r>
            <w:r w:rsidRPr="0004761F">
              <w:rPr>
                <w:sz w:val="20"/>
                <w:szCs w:val="20"/>
              </w:rPr>
              <w:lastRenderedPageBreak/>
              <w:t>moderate or severe hepatic impairment</w:t>
            </w:r>
          </w:p>
        </w:tc>
        <w:tc>
          <w:tcPr>
            <w:tcW w:w="1134" w:type="dxa"/>
          </w:tcPr>
          <w:p w14:paraId="07F4C799"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lastRenderedPageBreak/>
              <w:sym w:font="Wingdings" w:char="F0FC"/>
            </w:r>
          </w:p>
        </w:tc>
        <w:tc>
          <w:tcPr>
            <w:tcW w:w="1276" w:type="dxa"/>
          </w:tcPr>
          <w:p w14:paraId="07F4C79A"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c>
          <w:tcPr>
            <w:tcW w:w="992" w:type="dxa"/>
          </w:tcPr>
          <w:p w14:paraId="07F4C79B"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9C"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A4" w14:textId="77777777" w:rsidTr="0004761F">
        <w:trPr>
          <w:trHeight w:val="102"/>
        </w:trPr>
        <w:tc>
          <w:tcPr>
            <w:tcW w:w="1242" w:type="dxa"/>
            <w:vMerge/>
          </w:tcPr>
          <w:p w14:paraId="07F4C79E" w14:textId="77777777" w:rsidR="000B18AA" w:rsidRPr="0004761F" w:rsidRDefault="000B18AA" w:rsidP="00560D2A">
            <w:pPr>
              <w:pStyle w:val="Tabletext"/>
              <w:spacing w:before="100" w:beforeAutospacing="1" w:after="100" w:afterAutospacing="1" w:line="240" w:lineRule="auto"/>
              <w:ind w:left="0" w:right="0"/>
              <w:rPr>
                <w:sz w:val="20"/>
                <w:szCs w:val="20"/>
              </w:rPr>
            </w:pPr>
          </w:p>
        </w:tc>
        <w:tc>
          <w:tcPr>
            <w:tcW w:w="2835" w:type="dxa"/>
          </w:tcPr>
          <w:p w14:paraId="07F4C79F"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Safety in patients with severe renal impairment</w:t>
            </w:r>
          </w:p>
        </w:tc>
        <w:tc>
          <w:tcPr>
            <w:tcW w:w="1134" w:type="dxa"/>
          </w:tcPr>
          <w:p w14:paraId="07F4C7A0"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A1"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c>
          <w:tcPr>
            <w:tcW w:w="992" w:type="dxa"/>
          </w:tcPr>
          <w:p w14:paraId="07F4C7A2"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A3"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AB" w14:textId="77777777" w:rsidTr="0004761F">
        <w:trPr>
          <w:trHeight w:val="138"/>
        </w:trPr>
        <w:tc>
          <w:tcPr>
            <w:tcW w:w="1242" w:type="dxa"/>
            <w:vMerge/>
          </w:tcPr>
          <w:p w14:paraId="07F4C7A5" w14:textId="77777777" w:rsidR="000B18AA" w:rsidRPr="0004761F" w:rsidRDefault="000B18AA" w:rsidP="00560D2A">
            <w:pPr>
              <w:pStyle w:val="Tabletext"/>
              <w:spacing w:before="100" w:beforeAutospacing="1" w:after="100" w:afterAutospacing="1" w:line="240" w:lineRule="auto"/>
              <w:ind w:left="0" w:right="0"/>
              <w:rPr>
                <w:sz w:val="20"/>
                <w:szCs w:val="20"/>
              </w:rPr>
            </w:pPr>
          </w:p>
        </w:tc>
        <w:tc>
          <w:tcPr>
            <w:tcW w:w="2835" w:type="dxa"/>
          </w:tcPr>
          <w:p w14:paraId="07F4C7A6"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Safety in patients with active systemic autoimmune disease</w:t>
            </w:r>
          </w:p>
        </w:tc>
        <w:tc>
          <w:tcPr>
            <w:tcW w:w="1134" w:type="dxa"/>
          </w:tcPr>
          <w:p w14:paraId="07F4C7A7"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A8"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c>
          <w:tcPr>
            <w:tcW w:w="992" w:type="dxa"/>
          </w:tcPr>
          <w:p w14:paraId="07F4C7A9"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AA"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B2" w14:textId="77777777" w:rsidTr="0004761F">
        <w:trPr>
          <w:trHeight w:val="138"/>
        </w:trPr>
        <w:tc>
          <w:tcPr>
            <w:tcW w:w="1242" w:type="dxa"/>
            <w:vMerge/>
          </w:tcPr>
          <w:p w14:paraId="07F4C7AC" w14:textId="77777777" w:rsidR="000B18AA" w:rsidRPr="0004761F" w:rsidRDefault="000B18AA" w:rsidP="00560D2A">
            <w:pPr>
              <w:pStyle w:val="Tabletext"/>
              <w:spacing w:before="100" w:beforeAutospacing="1" w:after="100" w:afterAutospacing="1" w:line="240" w:lineRule="auto"/>
              <w:ind w:left="0" w:right="0"/>
              <w:rPr>
                <w:sz w:val="20"/>
                <w:szCs w:val="20"/>
              </w:rPr>
            </w:pPr>
          </w:p>
        </w:tc>
        <w:tc>
          <w:tcPr>
            <w:tcW w:w="2835" w:type="dxa"/>
          </w:tcPr>
          <w:p w14:paraId="07F4C7AD"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Safety in patients with HIV or Hepatitis B or Hepatitis C</w:t>
            </w:r>
          </w:p>
        </w:tc>
        <w:tc>
          <w:tcPr>
            <w:tcW w:w="1134" w:type="dxa"/>
          </w:tcPr>
          <w:p w14:paraId="07F4C7AE"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AF"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c>
          <w:tcPr>
            <w:tcW w:w="992" w:type="dxa"/>
          </w:tcPr>
          <w:p w14:paraId="07F4C7B0"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B1"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B9" w14:textId="77777777" w:rsidTr="0004761F">
        <w:trPr>
          <w:trHeight w:val="138"/>
        </w:trPr>
        <w:tc>
          <w:tcPr>
            <w:tcW w:w="1242" w:type="dxa"/>
            <w:vMerge/>
          </w:tcPr>
          <w:p w14:paraId="07F4C7B3" w14:textId="77777777" w:rsidR="000B18AA" w:rsidRPr="0004761F" w:rsidRDefault="000B18AA" w:rsidP="00560D2A">
            <w:pPr>
              <w:pStyle w:val="Tabletext"/>
              <w:spacing w:before="100" w:beforeAutospacing="1" w:after="100" w:afterAutospacing="1" w:line="240" w:lineRule="auto"/>
              <w:ind w:left="0" w:right="0"/>
              <w:rPr>
                <w:sz w:val="20"/>
                <w:szCs w:val="20"/>
              </w:rPr>
            </w:pPr>
          </w:p>
        </w:tc>
        <w:tc>
          <w:tcPr>
            <w:tcW w:w="2835" w:type="dxa"/>
          </w:tcPr>
          <w:p w14:paraId="07F4C7B4"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Safety in paediatric patients</w:t>
            </w:r>
          </w:p>
        </w:tc>
        <w:tc>
          <w:tcPr>
            <w:tcW w:w="1134" w:type="dxa"/>
          </w:tcPr>
          <w:p w14:paraId="07F4C7B5"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B6"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B7"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B8"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C0" w14:textId="77777777" w:rsidTr="0004761F">
        <w:trPr>
          <w:trHeight w:val="138"/>
        </w:trPr>
        <w:tc>
          <w:tcPr>
            <w:tcW w:w="1242" w:type="dxa"/>
            <w:vMerge/>
          </w:tcPr>
          <w:p w14:paraId="07F4C7BA" w14:textId="77777777" w:rsidR="000B18AA" w:rsidRPr="0004761F" w:rsidRDefault="000B18AA" w:rsidP="00560D2A">
            <w:pPr>
              <w:pStyle w:val="Tabletext"/>
              <w:spacing w:before="100" w:beforeAutospacing="1" w:after="100" w:afterAutospacing="1" w:line="240" w:lineRule="auto"/>
              <w:ind w:left="0" w:right="0"/>
              <w:rPr>
                <w:sz w:val="20"/>
                <w:szCs w:val="20"/>
              </w:rPr>
            </w:pPr>
          </w:p>
        </w:tc>
        <w:tc>
          <w:tcPr>
            <w:tcW w:w="2835" w:type="dxa"/>
          </w:tcPr>
          <w:p w14:paraId="07F4C7BB"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Reproductive and lactation data</w:t>
            </w:r>
          </w:p>
        </w:tc>
        <w:tc>
          <w:tcPr>
            <w:tcW w:w="1134" w:type="dxa"/>
          </w:tcPr>
          <w:p w14:paraId="07F4C7BC"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BD"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p>
        </w:tc>
        <w:tc>
          <w:tcPr>
            <w:tcW w:w="992" w:type="dxa"/>
          </w:tcPr>
          <w:p w14:paraId="07F4C7BE"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BF"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C7" w14:textId="77777777" w:rsidTr="0004761F">
        <w:trPr>
          <w:trHeight w:val="138"/>
        </w:trPr>
        <w:tc>
          <w:tcPr>
            <w:tcW w:w="1242" w:type="dxa"/>
            <w:vMerge/>
          </w:tcPr>
          <w:p w14:paraId="07F4C7C1" w14:textId="77777777" w:rsidR="000B18AA" w:rsidRPr="0004761F" w:rsidRDefault="000B18AA" w:rsidP="00560D2A">
            <w:pPr>
              <w:pStyle w:val="Tabletext"/>
              <w:spacing w:before="100" w:beforeAutospacing="1" w:after="100" w:afterAutospacing="1" w:line="240" w:lineRule="auto"/>
              <w:ind w:left="0" w:right="0"/>
              <w:rPr>
                <w:sz w:val="20"/>
                <w:szCs w:val="20"/>
              </w:rPr>
            </w:pPr>
          </w:p>
        </w:tc>
        <w:tc>
          <w:tcPr>
            <w:tcW w:w="2835" w:type="dxa"/>
          </w:tcPr>
          <w:p w14:paraId="07F4C7C2"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Long term safety data</w:t>
            </w:r>
          </w:p>
        </w:tc>
        <w:tc>
          <w:tcPr>
            <w:tcW w:w="1134" w:type="dxa"/>
          </w:tcPr>
          <w:p w14:paraId="07F4C7C3"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C4"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C5"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C6"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CE" w14:textId="77777777" w:rsidTr="0004761F">
        <w:trPr>
          <w:trHeight w:val="138"/>
        </w:trPr>
        <w:tc>
          <w:tcPr>
            <w:tcW w:w="1242" w:type="dxa"/>
            <w:vMerge/>
          </w:tcPr>
          <w:p w14:paraId="07F4C7C8" w14:textId="77777777" w:rsidR="000B18AA" w:rsidRPr="0004761F" w:rsidRDefault="000B18AA" w:rsidP="00560D2A">
            <w:pPr>
              <w:pStyle w:val="Tabletext"/>
              <w:spacing w:before="100" w:beforeAutospacing="1" w:after="100" w:afterAutospacing="1" w:line="240" w:lineRule="auto"/>
              <w:ind w:left="0" w:right="0"/>
              <w:rPr>
                <w:sz w:val="20"/>
                <w:szCs w:val="20"/>
              </w:rPr>
            </w:pPr>
          </w:p>
        </w:tc>
        <w:tc>
          <w:tcPr>
            <w:tcW w:w="2835" w:type="dxa"/>
          </w:tcPr>
          <w:p w14:paraId="07F4C7C9"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Safety in various ethnic groups</w:t>
            </w:r>
          </w:p>
        </w:tc>
        <w:tc>
          <w:tcPr>
            <w:tcW w:w="1134" w:type="dxa"/>
          </w:tcPr>
          <w:p w14:paraId="07F4C7CA"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CB"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r w:rsidRPr="0004761F">
              <w:rPr>
                <w:sz w:val="20"/>
                <w:szCs w:val="20"/>
                <w:vertAlign w:val="superscript"/>
              </w:rPr>
              <w:t>1</w:t>
            </w:r>
          </w:p>
        </w:tc>
        <w:tc>
          <w:tcPr>
            <w:tcW w:w="992" w:type="dxa"/>
          </w:tcPr>
          <w:p w14:paraId="07F4C7CC"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CD"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r w:rsidR="004B35E3" w:rsidRPr="0004761F" w14:paraId="07F4C7D5" w14:textId="77777777" w:rsidTr="0004761F">
        <w:trPr>
          <w:trHeight w:val="138"/>
        </w:trPr>
        <w:tc>
          <w:tcPr>
            <w:tcW w:w="1242" w:type="dxa"/>
            <w:vMerge/>
          </w:tcPr>
          <w:p w14:paraId="07F4C7CF" w14:textId="77777777" w:rsidR="000B18AA" w:rsidRPr="0004761F" w:rsidRDefault="000B18AA" w:rsidP="00560D2A">
            <w:pPr>
              <w:pStyle w:val="Tabletext"/>
              <w:spacing w:before="100" w:beforeAutospacing="1" w:after="100" w:afterAutospacing="1" w:line="240" w:lineRule="auto"/>
              <w:ind w:left="0" w:right="0"/>
              <w:rPr>
                <w:sz w:val="20"/>
                <w:szCs w:val="20"/>
              </w:rPr>
            </w:pPr>
          </w:p>
        </w:tc>
        <w:tc>
          <w:tcPr>
            <w:tcW w:w="2835" w:type="dxa"/>
          </w:tcPr>
          <w:p w14:paraId="07F4C7D0" w14:textId="77777777" w:rsidR="000B18AA" w:rsidRPr="0004761F" w:rsidRDefault="000B18AA" w:rsidP="00560D2A">
            <w:pPr>
              <w:pStyle w:val="Tabletext"/>
              <w:spacing w:before="100" w:beforeAutospacing="1" w:after="100" w:afterAutospacing="1" w:line="240" w:lineRule="auto"/>
              <w:ind w:left="0" w:right="0"/>
              <w:rPr>
                <w:sz w:val="20"/>
                <w:szCs w:val="20"/>
              </w:rPr>
            </w:pPr>
            <w:r w:rsidRPr="0004761F">
              <w:rPr>
                <w:sz w:val="20"/>
                <w:szCs w:val="20"/>
              </w:rPr>
              <w:t>Potential pharmacodynamic interaction with systemic immunosuppressants</w:t>
            </w:r>
          </w:p>
        </w:tc>
        <w:tc>
          <w:tcPr>
            <w:tcW w:w="1134" w:type="dxa"/>
          </w:tcPr>
          <w:p w14:paraId="07F4C7D1"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276" w:type="dxa"/>
          </w:tcPr>
          <w:p w14:paraId="07F4C7D2"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c>
          <w:tcPr>
            <w:tcW w:w="992" w:type="dxa"/>
          </w:tcPr>
          <w:p w14:paraId="07F4C7D3"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sym w:font="Wingdings" w:char="F0FC"/>
            </w:r>
          </w:p>
        </w:tc>
        <w:tc>
          <w:tcPr>
            <w:tcW w:w="1134" w:type="dxa"/>
          </w:tcPr>
          <w:p w14:paraId="07F4C7D4" w14:textId="77777777" w:rsidR="000B18AA" w:rsidRPr="0004761F" w:rsidRDefault="000B18AA" w:rsidP="00560D2A">
            <w:pPr>
              <w:pStyle w:val="Tabletext"/>
              <w:spacing w:before="100" w:beforeAutospacing="1" w:after="100" w:afterAutospacing="1" w:line="240" w:lineRule="auto"/>
              <w:ind w:left="0" w:right="0"/>
              <w:jc w:val="center"/>
              <w:rPr>
                <w:sz w:val="20"/>
                <w:szCs w:val="20"/>
              </w:rPr>
            </w:pPr>
            <w:r w:rsidRPr="0004761F">
              <w:rPr>
                <w:sz w:val="20"/>
                <w:szCs w:val="20"/>
              </w:rPr>
              <w:t>-</w:t>
            </w:r>
          </w:p>
        </w:tc>
      </w:tr>
    </w:tbl>
    <w:p w14:paraId="07F4C7D6" w14:textId="40B80FFE" w:rsidR="00560D2A" w:rsidRDefault="00206F2D" w:rsidP="00560D2A">
      <w:pPr>
        <w:pStyle w:val="TableDescription"/>
      </w:pPr>
      <w:r>
        <w:t xml:space="preserve">1) </w:t>
      </w:r>
      <w:r w:rsidR="00A81270">
        <w:t xml:space="preserve">Described in the core </w:t>
      </w:r>
      <w:r w:rsidR="00560D2A">
        <w:t xml:space="preserve">RMP; </w:t>
      </w:r>
      <w:r w:rsidRPr="0004761F">
        <w:t>2</w:t>
      </w:r>
      <w:proofErr w:type="gramStart"/>
      <w:r w:rsidRPr="0004761F">
        <w:t xml:space="preserve">)  </w:t>
      </w:r>
      <w:r w:rsidR="00560D2A">
        <w:t>Described</w:t>
      </w:r>
      <w:proofErr w:type="gramEnd"/>
      <w:r w:rsidR="00560D2A">
        <w:t xml:space="preserve"> in the ASA as a</w:t>
      </w:r>
      <w:r w:rsidR="0046163D">
        <w:t>n Australian-specific activity</w:t>
      </w:r>
      <w:r>
        <w:t>;</w:t>
      </w:r>
      <w:r w:rsidR="0046163D">
        <w:t xml:space="preserve"> </w:t>
      </w:r>
      <w:r>
        <w:t xml:space="preserve">3) </w:t>
      </w:r>
      <w:r w:rsidR="00560D2A">
        <w:t>this safety concern has been added to version 10 of the Core RMP, which includes additional indications that are currently under evaluation. This safety concern is not relevant to the currently approved indication, or the NSCLC indication being sought in the current application.</w:t>
      </w:r>
    </w:p>
    <w:p w14:paraId="07F4C7D7" w14:textId="717B20D7" w:rsidR="00560D2A" w:rsidRPr="00560D2A" w:rsidRDefault="00560D2A" w:rsidP="00560D2A">
      <w:pPr>
        <w:pStyle w:val="ListBullet"/>
      </w:pPr>
      <w:r w:rsidRPr="00560D2A">
        <w:t xml:space="preserve">Three (3) changes to the safety concerns are recommended [see Outstanding Recommendations (1 and 2) and </w:t>
      </w:r>
      <w:r>
        <w:t>Recommendation 2 b</w:t>
      </w:r>
      <w:r w:rsidRPr="00560D2A">
        <w:t>elow].</w:t>
      </w:r>
    </w:p>
    <w:p w14:paraId="07F4C7D8" w14:textId="77777777" w:rsidR="00560D2A" w:rsidRPr="00560D2A" w:rsidRDefault="00560D2A" w:rsidP="00560D2A">
      <w:pPr>
        <w:pStyle w:val="ListBullet"/>
      </w:pPr>
      <w:r w:rsidRPr="00560D2A">
        <w:t>The additional pharmacovigilance activ</w:t>
      </w:r>
      <w:r w:rsidR="00A81270">
        <w:t xml:space="preserve">ities, as described in the Core </w:t>
      </w:r>
      <w:r w:rsidRPr="00560D2A">
        <w:t>RMP, involve the monitoring and analysis of safety data from the ongoing trials (both from trials studying the approved indications and from exploratory efficacy trials)</w:t>
      </w:r>
    </w:p>
    <w:p w14:paraId="07F4C7D9" w14:textId="77777777" w:rsidR="00560D2A" w:rsidRPr="00560D2A" w:rsidRDefault="00560D2A" w:rsidP="00560D2A">
      <w:pPr>
        <w:pStyle w:val="ListBullet"/>
      </w:pPr>
      <w:r w:rsidRPr="00560D2A">
        <w:t>Additional risk minimisation activities are currently being conducted for Keytruda, and will continue for the proposed indication. These materials are appended to the ASA and include:</w:t>
      </w:r>
    </w:p>
    <w:p w14:paraId="07F4C7DA" w14:textId="77777777" w:rsidR="00560D2A" w:rsidRPr="00560D2A" w:rsidRDefault="00A81270" w:rsidP="00560D2A">
      <w:pPr>
        <w:pStyle w:val="ListBullet2"/>
      </w:pPr>
      <w:r>
        <w:t>Patient alert cards</w:t>
      </w:r>
    </w:p>
    <w:p w14:paraId="07F4C7DB" w14:textId="77777777" w:rsidR="00560D2A" w:rsidRPr="00560D2A" w:rsidRDefault="00A81270" w:rsidP="00560D2A">
      <w:pPr>
        <w:pStyle w:val="ListBullet2"/>
      </w:pPr>
      <w:r>
        <w:t>Patient educational materials</w:t>
      </w:r>
    </w:p>
    <w:p w14:paraId="07F4C7DC" w14:textId="77777777" w:rsidR="00560D2A" w:rsidRPr="00560D2A" w:rsidRDefault="00A81270" w:rsidP="00560D2A">
      <w:pPr>
        <w:pStyle w:val="ListBullet2"/>
      </w:pPr>
      <w:r>
        <w:t>Health Care Provider (</w:t>
      </w:r>
      <w:r w:rsidR="00560D2A" w:rsidRPr="00560D2A">
        <w:t>HCP</w:t>
      </w:r>
      <w:r>
        <w:t>)</w:t>
      </w:r>
      <w:r w:rsidR="00560D2A" w:rsidRPr="00560D2A">
        <w:t xml:space="preserve"> educational materials.</w:t>
      </w:r>
    </w:p>
    <w:p w14:paraId="07F4C7DD" w14:textId="4197ED7B" w:rsidR="00560D2A" w:rsidRPr="00560D2A" w:rsidRDefault="00560D2A" w:rsidP="00560D2A">
      <w:pPr>
        <w:pStyle w:val="Heading4"/>
      </w:pPr>
      <w:bookmarkStart w:id="143" w:name="_Toc474505095"/>
      <w:r w:rsidRPr="00560D2A">
        <w:t xml:space="preserve">New </w:t>
      </w:r>
      <w:r w:rsidR="00BA16BD">
        <w:t>r</w:t>
      </w:r>
      <w:r w:rsidRPr="00560D2A">
        <w:t>ecommendations (Round 1: PM-2016-02325-1-4)</w:t>
      </w:r>
      <w:bookmarkEnd w:id="143"/>
    </w:p>
    <w:p w14:paraId="07F4C7DE" w14:textId="2C4AFB76" w:rsidR="00560D2A" w:rsidRPr="00560D2A" w:rsidRDefault="00560D2A" w:rsidP="00560D2A">
      <w:r w:rsidRPr="00560D2A">
        <w:t xml:space="preserve">These recommendations should be addressed </w:t>
      </w:r>
      <w:r w:rsidR="0046163D">
        <w:t>by the sponsor in the</w:t>
      </w:r>
      <w:r w:rsidRPr="00560D2A">
        <w:t xml:space="preserve"> response.</w:t>
      </w:r>
    </w:p>
    <w:p w14:paraId="07F4C7DF" w14:textId="77777777" w:rsidR="0046163D" w:rsidRDefault="0046163D" w:rsidP="0046163D">
      <w:pPr>
        <w:pStyle w:val="Heading5"/>
      </w:pPr>
      <w:r>
        <w:t>Recommendation 1</w:t>
      </w:r>
    </w:p>
    <w:p w14:paraId="07F4C7E0" w14:textId="77777777" w:rsidR="00560D2A" w:rsidRPr="00560D2A" w:rsidRDefault="00560D2A" w:rsidP="00560D2A">
      <w:r w:rsidRPr="00560D2A">
        <w:t>The sponsor should update the immunogenicity and gastrointestin</w:t>
      </w:r>
      <w:r w:rsidR="0046163D">
        <w:t>al perforation data in the ASA</w:t>
      </w:r>
      <w:r w:rsidRPr="00560D2A">
        <w:t>.</w:t>
      </w:r>
    </w:p>
    <w:p w14:paraId="07F4C7E1" w14:textId="77777777" w:rsidR="0046163D" w:rsidRDefault="00560D2A" w:rsidP="0046163D">
      <w:pPr>
        <w:pStyle w:val="Heading5"/>
      </w:pPr>
      <w:bookmarkStart w:id="144" w:name="_Ref472682581"/>
      <w:r>
        <w:t>Recommendation</w:t>
      </w:r>
      <w:r w:rsidRPr="00560D2A">
        <w:t xml:space="preserve"> </w:t>
      </w:r>
      <w:r w:rsidR="0046163D">
        <w:t>2</w:t>
      </w:r>
    </w:p>
    <w:p w14:paraId="07F4C7E2" w14:textId="539D9636" w:rsidR="00560D2A" w:rsidRPr="00560D2A" w:rsidRDefault="00560D2A" w:rsidP="00560D2A">
      <w:r w:rsidRPr="00560D2A">
        <w:t>The sponsor should include encephalitis as an important potential risk in the summary of safety concerns within ‘Immune-mediated adverse events’ or provide acceptable justification for its omission.</w:t>
      </w:r>
      <w:bookmarkEnd w:id="144"/>
    </w:p>
    <w:p w14:paraId="07F4C7E3" w14:textId="77777777" w:rsidR="0046163D" w:rsidRDefault="0046163D" w:rsidP="0046163D">
      <w:pPr>
        <w:pStyle w:val="Heading5"/>
      </w:pPr>
      <w:bookmarkStart w:id="145" w:name="_Ref453316527"/>
      <w:r>
        <w:t>Recommendation 3</w:t>
      </w:r>
    </w:p>
    <w:p w14:paraId="07F4C7E4" w14:textId="77777777" w:rsidR="00560D2A" w:rsidRPr="00560D2A" w:rsidRDefault="00560D2A" w:rsidP="00560D2A">
      <w:r w:rsidRPr="00560D2A">
        <w:t>The sponsor should provide access to the K</w:t>
      </w:r>
      <w:r w:rsidR="0046163D" w:rsidRPr="00560D2A">
        <w:t>eytruda</w:t>
      </w:r>
      <w:r w:rsidRPr="00560D2A">
        <w:t xml:space="preserve"> </w:t>
      </w:r>
      <w:r w:rsidR="0046163D">
        <w:t>health care professional (</w:t>
      </w:r>
      <w:r w:rsidRPr="00560D2A">
        <w:t>HCP</w:t>
      </w:r>
      <w:r w:rsidR="0046163D">
        <w:t>)</w:t>
      </w:r>
      <w:r w:rsidRPr="00560D2A">
        <w:t xml:space="preserve"> and patient websites/ online risk minimisation materials for review.</w:t>
      </w:r>
      <w:bookmarkEnd w:id="145"/>
    </w:p>
    <w:p w14:paraId="07F4C7E5" w14:textId="53B62F7F" w:rsidR="00560D2A" w:rsidRPr="00560D2A" w:rsidRDefault="00560D2A" w:rsidP="00560D2A">
      <w:pPr>
        <w:pStyle w:val="Heading4"/>
      </w:pPr>
      <w:bookmarkStart w:id="146" w:name="_Toc474505096"/>
      <w:r w:rsidRPr="00560D2A">
        <w:lastRenderedPageBreak/>
        <w:t xml:space="preserve">Unresolved </w:t>
      </w:r>
      <w:r w:rsidR="00FD1305">
        <w:t>r</w:t>
      </w:r>
      <w:r w:rsidR="00FD1305" w:rsidRPr="00560D2A">
        <w:t xml:space="preserve">ecommendations </w:t>
      </w:r>
      <w:r w:rsidRPr="00560D2A">
        <w:t xml:space="preserve">in </w:t>
      </w:r>
      <w:r w:rsidR="00FD1305">
        <w:t>the c</w:t>
      </w:r>
      <w:r w:rsidRPr="00560D2A">
        <w:t xml:space="preserve">oncurrent RMP </w:t>
      </w:r>
      <w:r w:rsidR="00FD1305">
        <w:t>e</w:t>
      </w:r>
      <w:r w:rsidRPr="00560D2A">
        <w:t>valuations</w:t>
      </w:r>
      <w:bookmarkEnd w:id="146"/>
    </w:p>
    <w:p w14:paraId="07F4C7E6" w14:textId="3D7F28C4" w:rsidR="00560D2A" w:rsidRPr="00560D2A" w:rsidRDefault="00560D2A" w:rsidP="00560D2A">
      <w:r w:rsidRPr="00560D2A">
        <w:t>These recommendations are</w:t>
      </w:r>
      <w:r w:rsidR="0046163D">
        <w:t xml:space="preserve"> listed here for completeness</w:t>
      </w:r>
      <w:r w:rsidR="00FD1305">
        <w:t>:</w:t>
      </w:r>
    </w:p>
    <w:p w14:paraId="07F4C7E7" w14:textId="0F490E9B" w:rsidR="00560D2A" w:rsidRPr="00560D2A" w:rsidRDefault="00560D2A" w:rsidP="00AF27E6">
      <w:pPr>
        <w:pStyle w:val="Heading4"/>
      </w:pPr>
      <w:r w:rsidRPr="00560D2A">
        <w:t xml:space="preserve">Recommendations in the concurrent </w:t>
      </w:r>
      <w:r w:rsidR="00FD1305">
        <w:t>S</w:t>
      </w:r>
      <w:r w:rsidR="00FD1305" w:rsidRPr="00560D2A">
        <w:t xml:space="preserve">ubmission </w:t>
      </w:r>
      <w:r w:rsidRPr="00560D2A">
        <w:t>PM-2015-04712-1-4 (</w:t>
      </w:r>
      <w:r w:rsidR="00ED4E4E">
        <w:t>second line</w:t>
      </w:r>
      <w:r w:rsidRPr="00560D2A">
        <w:t xml:space="preserve"> </w:t>
      </w:r>
      <w:r w:rsidR="00FD1305">
        <w:t xml:space="preserve">treatment for </w:t>
      </w:r>
      <w:r w:rsidRPr="00560D2A">
        <w:t>NSCLC)</w:t>
      </w:r>
    </w:p>
    <w:p w14:paraId="07F4C7E8" w14:textId="37F66385" w:rsidR="00560D2A" w:rsidRPr="00560D2A" w:rsidRDefault="00560D2A" w:rsidP="00560D2A">
      <w:r w:rsidRPr="00560D2A">
        <w:t xml:space="preserve">The following changes to the safety concerns were recommended in the evaluation of the related </w:t>
      </w:r>
      <w:r w:rsidR="00FD1305">
        <w:t>S</w:t>
      </w:r>
      <w:r w:rsidR="00FD1305" w:rsidRPr="00560D2A">
        <w:t xml:space="preserve">ubmission </w:t>
      </w:r>
      <w:r w:rsidRPr="00560D2A">
        <w:t xml:space="preserve">PM-2015-04712-1-4 </w:t>
      </w:r>
      <w:r w:rsidR="00FD1305">
        <w:t>(</w:t>
      </w:r>
      <w:r w:rsidRPr="00560D2A">
        <w:t>extension of indications to previously treated advanced (</w:t>
      </w:r>
      <w:r w:rsidR="00ED4E4E">
        <w:t>second line</w:t>
      </w:r>
      <w:r w:rsidRPr="00560D2A">
        <w:t>) NSCLC</w:t>
      </w:r>
      <w:r w:rsidR="00FD1305">
        <w:t>)</w:t>
      </w:r>
      <w:r w:rsidRPr="00560D2A">
        <w:t>, and are considered unresolved and outstanding. These recommendations and the sponsor’s previous responses will be reconciled with consideration o</w:t>
      </w:r>
      <w:r w:rsidR="0046163D">
        <w:t xml:space="preserve">f the advice received from </w:t>
      </w:r>
      <w:r w:rsidR="00A81270">
        <w:t>Advisory Committee for Medicines (</w:t>
      </w:r>
      <w:r w:rsidR="0046163D">
        <w:t>ACM</w:t>
      </w:r>
      <w:r w:rsidR="00A81270">
        <w:t>)</w:t>
      </w:r>
      <w:r w:rsidR="0046163D">
        <w:t>.</w:t>
      </w:r>
    </w:p>
    <w:p w14:paraId="07F4C7E9" w14:textId="1639B152" w:rsidR="0046163D" w:rsidRDefault="0046163D" w:rsidP="0046163D">
      <w:pPr>
        <w:pStyle w:val="Heading5"/>
      </w:pPr>
      <w:bookmarkStart w:id="147" w:name="_Ref472082669"/>
      <w:r>
        <w:t xml:space="preserve">Outstanding </w:t>
      </w:r>
      <w:r w:rsidR="00BA16BD">
        <w:t>r</w:t>
      </w:r>
      <w:r w:rsidR="00FD1305">
        <w:t xml:space="preserve">ecommendation </w:t>
      </w:r>
      <w:r>
        <w:t>1</w:t>
      </w:r>
    </w:p>
    <w:p w14:paraId="07F4C7EA" w14:textId="77777777" w:rsidR="0046163D" w:rsidRDefault="00560D2A" w:rsidP="00560D2A">
      <w:r w:rsidRPr="00560D2A">
        <w:t>‘Other Immune-mediated adverse event: myasthenic syndrome’ should be considered as an important identified risk in the summary of safety concerns in the ASA</w:t>
      </w:r>
      <w:bookmarkEnd w:id="147"/>
      <w:r w:rsidR="0046163D">
        <w:t>.</w:t>
      </w:r>
    </w:p>
    <w:p w14:paraId="07F4C7EB" w14:textId="4615FD52" w:rsidR="0046163D" w:rsidRDefault="0046163D" w:rsidP="0046163D">
      <w:pPr>
        <w:pStyle w:val="Heading5"/>
      </w:pPr>
      <w:r>
        <w:t xml:space="preserve">Outstanding </w:t>
      </w:r>
      <w:r w:rsidR="00BA16BD">
        <w:t>r</w:t>
      </w:r>
      <w:r w:rsidR="00FD1305">
        <w:t xml:space="preserve">ecommendation </w:t>
      </w:r>
      <w:r>
        <w:t>2</w:t>
      </w:r>
    </w:p>
    <w:p w14:paraId="07F4C7EC" w14:textId="524BC1B7" w:rsidR="00560D2A" w:rsidRPr="00560D2A" w:rsidRDefault="00560D2A" w:rsidP="00560D2A">
      <w:r w:rsidRPr="00560D2A">
        <w:t>‘Other Immune-mediated adverse events</w:t>
      </w:r>
      <w:r w:rsidR="00FD1305">
        <w:t xml:space="preserve">: </w:t>
      </w:r>
      <w:proofErr w:type="gramStart"/>
      <w:r w:rsidRPr="00560D2A">
        <w:t>myocarditis’</w:t>
      </w:r>
      <w:proofErr w:type="gramEnd"/>
      <w:r w:rsidRPr="00560D2A">
        <w:t xml:space="preserve"> should be included in the summary of safety concerns in the ASA a</w:t>
      </w:r>
      <w:r w:rsidR="0046163D">
        <w:t>s an important identified risk.</w:t>
      </w:r>
    </w:p>
    <w:p w14:paraId="07F4C7ED" w14:textId="7C70C263" w:rsidR="00560D2A" w:rsidRPr="00BD45AC" w:rsidRDefault="00560D2A" w:rsidP="00BD45AC">
      <w:pPr>
        <w:pStyle w:val="Heading4"/>
      </w:pPr>
      <w:r w:rsidRPr="00BD45AC">
        <w:t xml:space="preserve">Recommendations in the concurrent </w:t>
      </w:r>
      <w:r w:rsidR="00FD1305">
        <w:t>S</w:t>
      </w:r>
      <w:r w:rsidR="00FD1305" w:rsidRPr="00BD45AC">
        <w:t xml:space="preserve">ubmission </w:t>
      </w:r>
      <w:r w:rsidRPr="00BD45AC">
        <w:t>PM-2016-01163-1-4 (</w:t>
      </w:r>
      <w:r w:rsidR="00ED4E4E">
        <w:t>second line</w:t>
      </w:r>
      <w:r w:rsidRPr="00BD45AC">
        <w:t xml:space="preserve"> </w:t>
      </w:r>
      <w:r w:rsidR="00FD1305">
        <w:t xml:space="preserve">treatment for head and neck </w:t>
      </w:r>
      <w:r w:rsidR="00130FFF">
        <w:t>squamous</w:t>
      </w:r>
      <w:r w:rsidR="00FD1305">
        <w:t xml:space="preserve"> cell carcinoma</w:t>
      </w:r>
      <w:r w:rsidR="00130FFF">
        <w:t xml:space="preserve"> (HNSCC)</w:t>
      </w:r>
      <w:r w:rsidRPr="00BD45AC">
        <w:t>)</w:t>
      </w:r>
    </w:p>
    <w:p w14:paraId="07F4C7EE" w14:textId="07ECB8F6" w:rsidR="0046163D" w:rsidRDefault="00560D2A" w:rsidP="00560D2A">
      <w:r w:rsidRPr="00560D2A">
        <w:t>The following changes were recommended in the evaluati</w:t>
      </w:r>
      <w:r w:rsidR="0046163D">
        <w:t xml:space="preserve">on of the related </w:t>
      </w:r>
      <w:r w:rsidR="00FD1305">
        <w:t>Submission </w:t>
      </w:r>
      <w:r w:rsidR="0046163D">
        <w:t>PM</w:t>
      </w:r>
      <w:r w:rsidR="0046163D">
        <w:noBreakHyphen/>
      </w:r>
      <w:r w:rsidRPr="00560D2A">
        <w:t>2016-01163-1-</w:t>
      </w:r>
      <w:r w:rsidR="00A81270">
        <w:t xml:space="preserve">4 </w:t>
      </w:r>
      <w:r w:rsidR="00FD1305">
        <w:t>(</w:t>
      </w:r>
      <w:r w:rsidR="00A81270">
        <w:t xml:space="preserve">extension of indications to </w:t>
      </w:r>
      <w:r w:rsidR="00130FFF">
        <w:t xml:space="preserve">include </w:t>
      </w:r>
      <w:r w:rsidR="00A81270">
        <w:t>second line</w:t>
      </w:r>
      <w:r w:rsidRPr="00560D2A">
        <w:t xml:space="preserve"> </w:t>
      </w:r>
      <w:r w:rsidR="00130FFF">
        <w:t>treatment of HNSCC):</w:t>
      </w:r>
    </w:p>
    <w:p w14:paraId="07F4C7EF" w14:textId="77777777" w:rsidR="0046163D" w:rsidRDefault="0046163D" w:rsidP="0046163D">
      <w:pPr>
        <w:pStyle w:val="Heading5"/>
      </w:pPr>
      <w:r>
        <w:t>Recommendation 1</w:t>
      </w:r>
    </w:p>
    <w:p w14:paraId="07F4C7F0" w14:textId="05307BA3" w:rsidR="0046163D" w:rsidRDefault="00560D2A" w:rsidP="00560D2A">
      <w:r w:rsidRPr="00560D2A">
        <w:t xml:space="preserve">The </w:t>
      </w:r>
      <w:r w:rsidR="00130FFF">
        <w:t>Consumer Medicine Information (</w:t>
      </w:r>
      <w:r w:rsidRPr="00560D2A">
        <w:t>CMI</w:t>
      </w:r>
      <w:r w:rsidR="00130FFF">
        <w:t>)</w:t>
      </w:r>
      <w:r w:rsidRPr="00560D2A">
        <w:t xml:space="preserve"> should be revised as recommended </w:t>
      </w:r>
      <w:r w:rsidR="00130FFF">
        <w:t>(in</w:t>
      </w:r>
      <w:r w:rsidRPr="00560D2A">
        <w:t xml:space="preserve"> the evaluation of </w:t>
      </w:r>
      <w:r w:rsidR="00130FFF">
        <w:t xml:space="preserve">Submission </w:t>
      </w:r>
      <w:r w:rsidRPr="00560D2A">
        <w:t>PM-2016-01163-1-4 (</w:t>
      </w:r>
      <w:r w:rsidR="00ED4E4E">
        <w:t>second line</w:t>
      </w:r>
      <w:r w:rsidRPr="00560D2A">
        <w:t xml:space="preserve"> HNS</w:t>
      </w:r>
      <w:r w:rsidR="0046163D">
        <w:t>CC)</w:t>
      </w:r>
      <w:r w:rsidR="00130FFF">
        <w:t>)</w:t>
      </w:r>
      <w:r w:rsidR="0046163D">
        <w:t xml:space="preserve"> with respect to</w:t>
      </w:r>
      <w:r w:rsidR="00130FFF">
        <w:t>:</w:t>
      </w:r>
    </w:p>
    <w:p w14:paraId="07F4C7F1" w14:textId="3003DED4" w:rsidR="0046163D" w:rsidRDefault="0046163D" w:rsidP="0046163D">
      <w:pPr>
        <w:pStyle w:val="Numberbullet0"/>
        <w:numPr>
          <w:ilvl w:val="0"/>
          <w:numId w:val="20"/>
        </w:numPr>
      </w:pPr>
      <w:r>
        <w:t>‘</w:t>
      </w:r>
      <w:r w:rsidR="00130FFF">
        <w:t>W</w:t>
      </w:r>
      <w:r>
        <w:t>hat K</w:t>
      </w:r>
      <w:r w:rsidR="00560D2A" w:rsidRPr="00560D2A">
        <w:t xml:space="preserve">eytruda is used for’ to </w:t>
      </w:r>
      <w:r>
        <w:t>make the note more readable</w:t>
      </w:r>
      <w:r w:rsidR="00130FFF">
        <w:t>;</w:t>
      </w:r>
      <w:r>
        <w:t xml:space="preserve"> and</w:t>
      </w:r>
    </w:p>
    <w:p w14:paraId="07F4C7F2" w14:textId="77777777" w:rsidR="00560D2A" w:rsidRPr="00560D2A" w:rsidRDefault="00560D2A" w:rsidP="0046163D">
      <w:pPr>
        <w:pStyle w:val="Numberbullet0"/>
        <w:numPr>
          <w:ilvl w:val="0"/>
          <w:numId w:val="20"/>
        </w:numPr>
      </w:pPr>
      <w:proofErr w:type="gramStart"/>
      <w:r w:rsidRPr="00560D2A">
        <w:t>appropriate</w:t>
      </w:r>
      <w:proofErr w:type="gramEnd"/>
      <w:r w:rsidRPr="00560D2A">
        <w:t xml:space="preserve"> wording for the signs and symptoms of pancreatitis.</w:t>
      </w:r>
    </w:p>
    <w:p w14:paraId="07F4C7F3" w14:textId="77777777" w:rsidR="00560D2A" w:rsidRPr="00560D2A" w:rsidRDefault="00560D2A" w:rsidP="00BD45AC">
      <w:pPr>
        <w:pStyle w:val="Heading4"/>
      </w:pPr>
      <w:r w:rsidRPr="00560D2A">
        <w:t>Outstanding commitment from previous evaluations</w:t>
      </w:r>
    </w:p>
    <w:p w14:paraId="07F4C7F4" w14:textId="77777777" w:rsidR="000B18AA" w:rsidRDefault="00560D2A" w:rsidP="008E7846">
      <w:r w:rsidRPr="00560D2A">
        <w:t xml:space="preserve">The </w:t>
      </w:r>
      <w:r w:rsidR="007344B9">
        <w:t>sponsor</w:t>
      </w:r>
      <w:r w:rsidRPr="00560D2A">
        <w:t xml:space="preserve"> has committed to revising the education materials prior t</w:t>
      </w:r>
      <w:r w:rsidR="0046163D">
        <w:t>o the launch of the indication.</w:t>
      </w:r>
    </w:p>
    <w:p w14:paraId="07F4C7F5" w14:textId="77777777" w:rsidR="008E7846" w:rsidRPr="00792A32" w:rsidRDefault="008E7846" w:rsidP="008E7846">
      <w:pPr>
        <w:pStyle w:val="Heading2"/>
      </w:pPr>
      <w:bookmarkStart w:id="148" w:name="_Toc247691527"/>
      <w:bookmarkStart w:id="149" w:name="_Toc314842510"/>
      <w:bookmarkStart w:id="150" w:name="_Toc513458941"/>
      <w:r>
        <w:t>VI</w:t>
      </w:r>
      <w:r w:rsidR="002C7814">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4"/>
      <w:bookmarkEnd w:id="148"/>
      <w:bookmarkEnd w:id="149"/>
      <w:bookmarkEnd w:id="150"/>
    </w:p>
    <w:p w14:paraId="07F4C7F6" w14:textId="37FA0606" w:rsidR="008E7846" w:rsidRDefault="008E7846" w:rsidP="008E7846">
      <w:bookmarkStart w:id="151" w:name="_Toc247691528"/>
      <w:r>
        <w:t xml:space="preserve">The submission was summarised in the following </w:t>
      </w:r>
      <w:r w:rsidRPr="00EF5C48">
        <w:t xml:space="preserve">Delegate’s </w:t>
      </w:r>
      <w:r>
        <w:t>overview</w:t>
      </w:r>
      <w:r w:rsidRPr="00EF5C48">
        <w:t xml:space="preserve"> and recommendation</w:t>
      </w:r>
      <w:r w:rsidR="00574F5E">
        <w:t>s</w:t>
      </w:r>
      <w:r w:rsidR="00130FFF">
        <w:t>.</w:t>
      </w:r>
    </w:p>
    <w:p w14:paraId="07F4C7F7" w14:textId="63364864" w:rsidR="00574F5E" w:rsidRPr="00985879" w:rsidRDefault="00574F5E" w:rsidP="00985879">
      <w:r w:rsidRPr="00985879">
        <w:t>The Delegate’s overview encompasses two submissions; there are therefore t</w:t>
      </w:r>
      <w:r w:rsidR="00985879" w:rsidRPr="00985879">
        <w:t>wo Clinical Evaluation Reports.</w:t>
      </w:r>
      <w:r w:rsidRPr="00985879">
        <w:t xml:space="preserve"> </w:t>
      </w:r>
      <w:r w:rsidRPr="00691589">
        <w:t>CER</w:t>
      </w:r>
      <w:r w:rsidR="00985879" w:rsidRPr="00691589">
        <w:t>-</w:t>
      </w:r>
      <w:r w:rsidRPr="00691589">
        <w:t>1L</w:t>
      </w:r>
      <w:r w:rsidRPr="00985879">
        <w:t xml:space="preserve"> refers to the report for Submission PM-2016-02325-1-4 (</w:t>
      </w:r>
      <w:r w:rsidR="00985879" w:rsidRPr="00985879">
        <w:t>First</w:t>
      </w:r>
      <w:r w:rsidR="00130FFF">
        <w:t> </w:t>
      </w:r>
      <w:r w:rsidR="00985879" w:rsidRPr="00985879">
        <w:t xml:space="preserve">line </w:t>
      </w:r>
      <w:r w:rsidRPr="00985879">
        <w:t>NSCLC</w:t>
      </w:r>
      <w:r w:rsidR="00691589">
        <w:t xml:space="preserve"> (</w:t>
      </w:r>
      <w:r w:rsidR="00130FFF">
        <w:t xml:space="preserve">see </w:t>
      </w:r>
      <w:r w:rsidR="00691589">
        <w:t>Attachment 3</w:t>
      </w:r>
      <w:r w:rsidRPr="00691589">
        <w:t>)</w:t>
      </w:r>
      <w:r w:rsidR="00691589">
        <w:t>)</w:t>
      </w:r>
      <w:r w:rsidRPr="00691589">
        <w:t xml:space="preserve">; </w:t>
      </w:r>
      <w:r w:rsidR="00130FFF">
        <w:t xml:space="preserve">and </w:t>
      </w:r>
      <w:r w:rsidRPr="00691589">
        <w:t>CER</w:t>
      </w:r>
      <w:r w:rsidR="00985879" w:rsidRPr="00691589">
        <w:t>-</w:t>
      </w:r>
      <w:r w:rsidRPr="00691589">
        <w:t>2L</w:t>
      </w:r>
      <w:r w:rsidRPr="00985879">
        <w:t xml:space="preserve"> refers to the report for Submission</w:t>
      </w:r>
      <w:r w:rsidR="00130FFF">
        <w:t> </w:t>
      </w:r>
      <w:r w:rsidRPr="00985879">
        <w:t>PM</w:t>
      </w:r>
      <w:r w:rsidR="007D4D01">
        <w:noBreakHyphen/>
      </w:r>
      <w:r w:rsidRPr="00985879">
        <w:t>2015-04712-1-4 (</w:t>
      </w:r>
      <w:r w:rsidR="00985879" w:rsidRPr="00985879">
        <w:t>Second line</w:t>
      </w:r>
      <w:r w:rsidRPr="00985879">
        <w:t xml:space="preserve"> NSCLC</w:t>
      </w:r>
      <w:r w:rsidR="00691589">
        <w:t xml:space="preserve"> (</w:t>
      </w:r>
      <w:r w:rsidR="007D4D01">
        <w:t xml:space="preserve">see </w:t>
      </w:r>
      <w:r w:rsidR="00691589">
        <w:t>Attachment 2)</w:t>
      </w:r>
      <w:r w:rsidRPr="00985879">
        <w:t>).</w:t>
      </w:r>
    </w:p>
    <w:p w14:paraId="07F4C7F8" w14:textId="77777777" w:rsidR="00574F5E" w:rsidRDefault="00574F5E" w:rsidP="00574F5E">
      <w:pPr>
        <w:pStyle w:val="Heading3"/>
      </w:pPr>
      <w:bookmarkStart w:id="152" w:name="_Toc513458942"/>
      <w:r>
        <w:t>Background</w:t>
      </w:r>
      <w:bookmarkEnd w:id="152"/>
    </w:p>
    <w:p w14:paraId="07F4C7F9" w14:textId="77777777" w:rsidR="00574F5E" w:rsidRPr="00FC75EF" w:rsidRDefault="00574F5E" w:rsidP="00574F5E">
      <w:r w:rsidRPr="00FC75EF">
        <w:t>Pembrolizumab is a monoclonal antibody against PD-1, and functio</w:t>
      </w:r>
      <w:r w:rsidR="00985879">
        <w:t>ns as a ‘checkpoint inhibitor’;</w:t>
      </w:r>
      <w:r w:rsidRPr="00FC75EF">
        <w:t xml:space="preserve"> releasing the brakes on anti-tumour immunity (while also predisp</w:t>
      </w:r>
      <w:r w:rsidR="00985879">
        <w:t xml:space="preserve">osing to autoimmune toxicity). </w:t>
      </w:r>
      <w:r w:rsidRPr="00FC75EF">
        <w:t xml:space="preserve">It is approved for use in unresectable or metastatic melanoma in </w:t>
      </w:r>
      <w:r w:rsidRPr="00FC75EF">
        <w:lastRenderedPageBreak/>
        <w:t>Australia, and for that and other uses in the USA (including those uses proposed in the submissions under review here).</w:t>
      </w:r>
    </w:p>
    <w:p w14:paraId="07F4C7FA" w14:textId="11613C66" w:rsidR="008361C7" w:rsidRPr="00FC75EF" w:rsidRDefault="00574F5E" w:rsidP="00574F5E">
      <w:r w:rsidRPr="00FC75EF">
        <w:t xml:space="preserve">Non-small cell lung cancer (NSCLC) is an area of unmet need, although nivolumab (also an anti-PD-1 </w:t>
      </w:r>
      <w:r w:rsidR="00691589">
        <w:t>monoclonal antibody (</w:t>
      </w:r>
      <w:proofErr w:type="spellStart"/>
      <w:r w:rsidRPr="00FC75EF">
        <w:t>mAb</w:t>
      </w:r>
      <w:proofErr w:type="spellEnd"/>
      <w:r w:rsidRPr="00FC75EF">
        <w:t>)</w:t>
      </w:r>
      <w:r w:rsidR="00691589">
        <w:t>)</w:t>
      </w:r>
      <w:r w:rsidRPr="00FC75EF">
        <w:t xml:space="preserve"> is approved as </w:t>
      </w:r>
      <w:r w:rsidRPr="00985879">
        <w:t xml:space="preserve">a </w:t>
      </w:r>
      <w:r w:rsidR="0046163D">
        <w:t>second line</w:t>
      </w:r>
      <w:r w:rsidRPr="00FC75EF">
        <w:t xml:space="preserve"> agent in advanced NSCLC.</w:t>
      </w:r>
      <w:r w:rsidR="0046163D">
        <w:t xml:space="preserve"> </w:t>
      </w:r>
      <w:r w:rsidRPr="00FC75EF">
        <w:t xml:space="preserve">Nivolumab is approved in ‘all comers’ with respect to PD-L1 expression on tumour specimens, while in the submissions under review here, the sponsor requests approval of pembrolizumab in NSCLC subjects whose tumours express PD-L1 (with strong expression required in </w:t>
      </w:r>
      <w:r w:rsidR="00985879">
        <w:t>first line</w:t>
      </w:r>
      <w:r w:rsidRPr="00FC75EF">
        <w:t xml:space="preserve"> NSCLC, and ‘any’ positive staining required in </w:t>
      </w:r>
      <w:r w:rsidR="00ED4E4E">
        <w:t>second line</w:t>
      </w:r>
      <w:r w:rsidRPr="00FC75EF">
        <w:t xml:space="preserve"> NSCLC).</w:t>
      </w:r>
    </w:p>
    <w:p w14:paraId="07F4C7FB" w14:textId="77777777" w:rsidR="008E7846" w:rsidRDefault="008E7846" w:rsidP="008E7846">
      <w:pPr>
        <w:pStyle w:val="Heading3"/>
      </w:pPr>
      <w:bookmarkStart w:id="153" w:name="_Toc314842511"/>
      <w:bookmarkStart w:id="154" w:name="_Toc513458943"/>
      <w:r>
        <w:t>Quality</w:t>
      </w:r>
      <w:bookmarkEnd w:id="151"/>
      <w:bookmarkEnd w:id="153"/>
      <w:bookmarkEnd w:id="154"/>
    </w:p>
    <w:p w14:paraId="07F4C7FC" w14:textId="77777777" w:rsidR="00E45619" w:rsidRDefault="008E7846" w:rsidP="003A7F6C">
      <w:r>
        <w:t>There was no requirement for a quality evaluation in a submission of this type.</w:t>
      </w:r>
    </w:p>
    <w:p w14:paraId="07F4C7FD" w14:textId="77777777" w:rsidR="008E7846" w:rsidRDefault="008E7846" w:rsidP="008E7846">
      <w:pPr>
        <w:pStyle w:val="Heading3"/>
      </w:pPr>
      <w:bookmarkStart w:id="155" w:name="_Toc314842512"/>
      <w:bookmarkStart w:id="156" w:name="_Toc513458944"/>
      <w:r>
        <w:t>Nonclinical</w:t>
      </w:r>
      <w:bookmarkEnd w:id="155"/>
      <w:bookmarkEnd w:id="156"/>
    </w:p>
    <w:p w14:paraId="07F4C7FE" w14:textId="77777777" w:rsidR="008E7846" w:rsidRDefault="008E7846" w:rsidP="008E7846">
      <w:r>
        <w:t>There was no requirement for a nonclinical evaluation in a submission of this type.</w:t>
      </w:r>
    </w:p>
    <w:p w14:paraId="07F4C7FF" w14:textId="5A56D69E" w:rsidR="008361C7" w:rsidRPr="00FC75EF" w:rsidRDefault="008361C7" w:rsidP="008361C7">
      <w:pPr>
        <w:pStyle w:val="Heading4"/>
      </w:pPr>
      <w:bookmarkStart w:id="157" w:name="_Toc314842514"/>
      <w:r w:rsidRPr="00FC75EF">
        <w:t>Non-small cell lung cancer</w:t>
      </w:r>
      <w:r w:rsidR="007D4D01">
        <w:t xml:space="preserve"> (NSCLC)</w:t>
      </w:r>
    </w:p>
    <w:p w14:paraId="07F4C800" w14:textId="6E2AC84A" w:rsidR="008361C7" w:rsidRPr="00FC75EF" w:rsidRDefault="008361C7" w:rsidP="008361C7">
      <w:r w:rsidRPr="00FC75EF">
        <w:t xml:space="preserve">The two major types of lung cancer are small cell lung cancer and non-small cell lung cancer (NSCLC; </w:t>
      </w:r>
      <w:r w:rsidR="0046163D">
        <w:t xml:space="preserve">approximately </w:t>
      </w:r>
      <w:r w:rsidRPr="00FC75EF">
        <w:t>81% of lung cancers).</w:t>
      </w:r>
      <w:r w:rsidR="0046163D">
        <w:t xml:space="preserve"> </w:t>
      </w:r>
      <w:r w:rsidR="007D4D01">
        <w:t xml:space="preserve">6% </w:t>
      </w:r>
      <w:r w:rsidRPr="00FC75EF">
        <w:t>of lung cancer originates from other cell types.</w:t>
      </w:r>
      <w:r w:rsidR="0046163D">
        <w:t xml:space="preserve"> </w:t>
      </w:r>
      <w:proofErr w:type="gramStart"/>
      <w:r w:rsidRPr="00FC75EF">
        <w:t>The WHO</w:t>
      </w:r>
      <w:proofErr w:type="gramEnd"/>
      <w:r w:rsidRPr="00FC75EF">
        <w:t>/IASLC</w:t>
      </w:r>
      <w:r w:rsidR="00691589">
        <w:rPr>
          <w:rStyle w:val="FootnoteReference"/>
        </w:rPr>
        <w:footnoteReference w:id="24"/>
      </w:r>
      <w:r w:rsidRPr="00FC75EF">
        <w:t xml:space="preserve"> histological classification of NSCLC is:</w:t>
      </w:r>
    </w:p>
    <w:p w14:paraId="07F4C801" w14:textId="77777777" w:rsidR="008361C7" w:rsidRPr="008361C7" w:rsidRDefault="008361C7" w:rsidP="008361C7">
      <w:pPr>
        <w:pStyle w:val="ListBullet"/>
      </w:pPr>
      <w:r w:rsidRPr="008361C7">
        <w:t xml:space="preserve">Squamous cell carcinoma (20% of lung cancers; </w:t>
      </w:r>
      <w:r w:rsidR="0046163D">
        <w:t xml:space="preserve">approximately </w:t>
      </w:r>
      <w:r w:rsidRPr="008361C7">
        <w:t>25% of NSCLC)</w:t>
      </w:r>
    </w:p>
    <w:p w14:paraId="07F4C802" w14:textId="77777777" w:rsidR="008361C7" w:rsidRPr="008361C7" w:rsidRDefault="008361C7" w:rsidP="008361C7">
      <w:pPr>
        <w:pStyle w:val="ListBullet"/>
      </w:pPr>
      <w:r w:rsidRPr="008361C7">
        <w:t xml:space="preserve">Adenocarcinoma (38% of lung cancers; </w:t>
      </w:r>
      <w:r w:rsidR="0046163D">
        <w:t xml:space="preserve">approximately </w:t>
      </w:r>
      <w:r w:rsidRPr="008361C7">
        <w:t>47% of NSCLC)</w:t>
      </w:r>
    </w:p>
    <w:p w14:paraId="07F4C803" w14:textId="77777777" w:rsidR="008361C7" w:rsidRPr="008361C7" w:rsidRDefault="008361C7" w:rsidP="008361C7">
      <w:pPr>
        <w:pStyle w:val="ListBullet"/>
      </w:pPr>
      <w:r w:rsidRPr="008361C7">
        <w:t xml:space="preserve">Large cell carcinoma (5% of lung cancers; </w:t>
      </w:r>
      <w:r w:rsidR="0046163D">
        <w:t xml:space="preserve">approximately </w:t>
      </w:r>
      <w:r w:rsidRPr="008361C7">
        <w:t>6% of NSCLC)</w:t>
      </w:r>
    </w:p>
    <w:p w14:paraId="07F4C804" w14:textId="77777777" w:rsidR="008361C7" w:rsidRPr="008361C7" w:rsidRDefault="008361C7" w:rsidP="008361C7">
      <w:pPr>
        <w:pStyle w:val="ListBullet"/>
      </w:pPr>
      <w:r w:rsidRPr="008361C7">
        <w:t xml:space="preserve">Other (18% of lung cancers; </w:t>
      </w:r>
      <w:r w:rsidR="0046163D">
        <w:t xml:space="preserve">approximately </w:t>
      </w:r>
      <w:r w:rsidRPr="008361C7">
        <w:t>22% of NSCLC)</w:t>
      </w:r>
    </w:p>
    <w:p w14:paraId="07F4C805" w14:textId="77777777" w:rsidR="008361C7" w:rsidRPr="00FC75EF" w:rsidRDefault="008361C7" w:rsidP="008361C7">
      <w:r w:rsidRPr="00FC75EF">
        <w:t>Choice of initial therapy for advanced disease depends on histology and also:</w:t>
      </w:r>
    </w:p>
    <w:p w14:paraId="07F4C806" w14:textId="77777777" w:rsidR="008361C7" w:rsidRPr="008361C7" w:rsidRDefault="008361C7" w:rsidP="008361C7">
      <w:pPr>
        <w:pStyle w:val="ListBullet"/>
      </w:pPr>
      <w:r w:rsidRPr="008361C7">
        <w:t>extent of disease (</w:t>
      </w:r>
      <w:r w:rsidR="0046163D">
        <w:t>for example</w:t>
      </w:r>
      <w:r w:rsidRPr="008361C7">
        <w:t xml:space="preserve"> number and site of metastases);</w:t>
      </w:r>
    </w:p>
    <w:p w14:paraId="07F4C807" w14:textId="77777777" w:rsidR="008361C7" w:rsidRPr="008361C7" w:rsidRDefault="008361C7" w:rsidP="008361C7">
      <w:pPr>
        <w:pStyle w:val="ListBullet"/>
      </w:pPr>
      <w:r w:rsidRPr="008361C7">
        <w:t>presence of symptoms related to a specific metastatic site;</w:t>
      </w:r>
    </w:p>
    <w:p w14:paraId="07F4C808" w14:textId="77777777" w:rsidR="008361C7" w:rsidRPr="008361C7" w:rsidRDefault="008361C7" w:rsidP="008361C7">
      <w:pPr>
        <w:pStyle w:val="ListBullet"/>
      </w:pPr>
      <w:r w:rsidRPr="008361C7">
        <w:t>presence of driver mutations (</w:t>
      </w:r>
      <w:r w:rsidR="0046163D">
        <w:t>for example</w:t>
      </w:r>
      <w:r w:rsidRPr="008361C7">
        <w:t xml:space="preserve"> EGFR; ALK; ROS1); and</w:t>
      </w:r>
    </w:p>
    <w:p w14:paraId="07F4C809" w14:textId="77777777" w:rsidR="008361C7" w:rsidRPr="008361C7" w:rsidRDefault="008361C7" w:rsidP="008361C7">
      <w:pPr>
        <w:pStyle w:val="ListBullet"/>
      </w:pPr>
      <w:r w:rsidRPr="008361C7">
        <w:t>the patient’s overall condition and co-morbidities</w:t>
      </w:r>
    </w:p>
    <w:p w14:paraId="07F4C80A" w14:textId="77777777" w:rsidR="008361C7" w:rsidRPr="00FC75EF" w:rsidRDefault="008361C7" w:rsidP="008361C7">
      <w:r w:rsidRPr="00FC75EF">
        <w:t>Influences on choice of subsequent therapy for advanced disease are similar.</w:t>
      </w:r>
      <w:r w:rsidR="0046163D">
        <w:t xml:space="preserve"> </w:t>
      </w:r>
      <w:r w:rsidRPr="00FC75EF">
        <w:t>One other factor is the choice of prior treatment (</w:t>
      </w:r>
      <w:r w:rsidR="0046163D">
        <w:t>that is,</w:t>
      </w:r>
      <w:r w:rsidRPr="00FC75EF">
        <w:t xml:space="preserve"> the need for a non</w:t>
      </w:r>
      <w:r w:rsidR="0046163D">
        <w:t xml:space="preserve"> cross resistant</w:t>
      </w:r>
      <w:r w:rsidRPr="00FC75EF">
        <w:t xml:space="preserve"> approach).</w:t>
      </w:r>
    </w:p>
    <w:p w14:paraId="07F4C80B" w14:textId="77777777" w:rsidR="008361C7" w:rsidRPr="00FC75EF" w:rsidRDefault="008361C7" w:rsidP="008361C7">
      <w:r w:rsidRPr="00FC75EF">
        <w:t>Treatment of advanced NSCLC aims to prolong survival and maintain quality of life, while minimising side effects of treatment.</w:t>
      </w:r>
      <w:r w:rsidR="0046163D">
        <w:t xml:space="preserve"> </w:t>
      </w:r>
      <w:r w:rsidRPr="00FC75EF">
        <w:t>Almost all patients with advanced NSCLC eventually develop progressive disease.</w:t>
      </w:r>
    </w:p>
    <w:p w14:paraId="07F4C80C" w14:textId="6F8F25DB" w:rsidR="008361C7" w:rsidRPr="00FC75EF" w:rsidRDefault="008361C7" w:rsidP="008361C7">
      <w:r w:rsidRPr="00FC75EF">
        <w:t>Treatment of advanced NSCLC involves surgery, radiotherapy and/or chemotherapy.</w:t>
      </w:r>
      <w:r w:rsidR="0046163D">
        <w:t xml:space="preserve"> </w:t>
      </w:r>
      <w:r w:rsidRPr="00FC75EF">
        <w:t>In local guidelines (Cancer Council Australia), each stage (I</w:t>
      </w:r>
      <w:r w:rsidR="00380337">
        <w:t xml:space="preserve"> to </w:t>
      </w:r>
      <w:r w:rsidRPr="00FC75EF">
        <w:t>IV) of NSCLC is divided into ‘operable’ and ‘non-operable’.</w:t>
      </w:r>
      <w:r w:rsidR="0046163D">
        <w:t xml:space="preserve"> </w:t>
      </w:r>
      <w:r w:rsidRPr="00FC75EF">
        <w:t>Surgery may not be possible due to comorbidity, poor lung function, tumour location or patient choice.</w:t>
      </w:r>
    </w:p>
    <w:p w14:paraId="07F4C80D" w14:textId="77777777" w:rsidR="008361C7" w:rsidRPr="008361C7" w:rsidRDefault="008361C7" w:rsidP="008361C7">
      <w:pPr>
        <w:pStyle w:val="Heading4"/>
      </w:pPr>
      <w:r w:rsidRPr="008361C7">
        <w:t>Recent therapeutic advances</w:t>
      </w:r>
    </w:p>
    <w:p w14:paraId="07F4C80E" w14:textId="77777777" w:rsidR="008361C7" w:rsidRPr="008361C7" w:rsidRDefault="008361C7" w:rsidP="008361C7">
      <w:r w:rsidRPr="008361C7">
        <w:t xml:space="preserve">Nivolumab </w:t>
      </w:r>
      <w:r w:rsidR="0046163D">
        <w:t xml:space="preserve">(Opdivo) </w:t>
      </w:r>
      <w:r w:rsidRPr="008361C7">
        <w:t>(another anti-PD-1 monoclonal antibody) is approved for use in second line NSCLC patients as follows:</w:t>
      </w:r>
    </w:p>
    <w:p w14:paraId="07F4C80F" w14:textId="005C2EAB" w:rsidR="0046163D" w:rsidRDefault="00380337" w:rsidP="008361C7">
      <w:pPr>
        <w:ind w:left="720"/>
        <w:rPr>
          <w:i/>
        </w:rPr>
      </w:pPr>
      <w:r>
        <w:rPr>
          <w:i/>
        </w:rPr>
        <w:lastRenderedPageBreak/>
        <w:t>‘</w:t>
      </w:r>
      <w:r w:rsidR="008361C7" w:rsidRPr="008361C7">
        <w:rPr>
          <w:i/>
        </w:rPr>
        <w:t>O</w:t>
      </w:r>
      <w:r w:rsidR="0046163D" w:rsidRPr="008361C7">
        <w:rPr>
          <w:i/>
        </w:rPr>
        <w:t>pdivo</w:t>
      </w:r>
      <w:r w:rsidR="008361C7" w:rsidRPr="008361C7">
        <w:rPr>
          <w:i/>
        </w:rPr>
        <w:t>, as monotherapy is indicated for the treatment of locally advanced or metastatic squamous non-small cell lung cancer (NSCLC) with progression on or after prior chemotherapy</w:t>
      </w:r>
      <w:r w:rsidR="0046163D">
        <w:rPr>
          <w:i/>
        </w:rPr>
        <w:t>.</w:t>
      </w:r>
    </w:p>
    <w:p w14:paraId="07F4C810" w14:textId="7D566D24" w:rsidR="0046163D" w:rsidRDefault="0046163D" w:rsidP="008361C7">
      <w:pPr>
        <w:ind w:left="720"/>
        <w:rPr>
          <w:i/>
        </w:rPr>
      </w:pPr>
      <w:r>
        <w:rPr>
          <w:i/>
        </w:rPr>
        <w:t>Opdivo</w:t>
      </w:r>
      <w:r w:rsidR="008361C7" w:rsidRPr="008361C7">
        <w:rPr>
          <w:i/>
        </w:rPr>
        <w:t xml:space="preserve">, as monotherapy is indicated for the treatment of locally advanced or metastatic non squamous non-small cell lung cancer (NSCLC) with progression on or after prior chemotherapy. In patients with tumour EGFR or ALK genomic aberrations, </w:t>
      </w:r>
      <w:r>
        <w:rPr>
          <w:i/>
        </w:rPr>
        <w:t>Opdivo</w:t>
      </w:r>
      <w:r w:rsidR="008361C7" w:rsidRPr="008361C7">
        <w:rPr>
          <w:i/>
        </w:rPr>
        <w:t xml:space="preserve"> should be used after progression on or after targeted therapy</w:t>
      </w:r>
      <w:r>
        <w:rPr>
          <w:i/>
        </w:rPr>
        <w:t>.</w:t>
      </w:r>
      <w:r w:rsidR="00380337">
        <w:rPr>
          <w:i/>
        </w:rPr>
        <w:t>’</w:t>
      </w:r>
    </w:p>
    <w:p w14:paraId="07F4C811" w14:textId="02FCAEF8" w:rsidR="008361C7" w:rsidRDefault="008361C7" w:rsidP="008361C7">
      <w:r w:rsidRPr="008361C7">
        <w:t xml:space="preserve">Based on the nivolumab PI/AusPAR, the following </w:t>
      </w:r>
      <w:r w:rsidR="00F71D39">
        <w:t>randomised control trial</w:t>
      </w:r>
      <w:r w:rsidRPr="008361C7">
        <w:t>s supported these approvals:</w:t>
      </w:r>
    </w:p>
    <w:p w14:paraId="07F4C812" w14:textId="32D11C90" w:rsidR="008361C7" w:rsidRPr="008361C7" w:rsidRDefault="00880EEA" w:rsidP="0004761F">
      <w:pPr>
        <w:pStyle w:val="TableTitle"/>
      </w:pPr>
      <w:r>
        <w:t>Table 11</w:t>
      </w:r>
      <w:r w:rsidR="008361C7">
        <w:t>: Nivolumab randomised clinical trials</w:t>
      </w:r>
    </w:p>
    <w:tbl>
      <w:tblPr>
        <w:tblStyle w:val="TableTGAblue"/>
        <w:tblW w:w="8844" w:type="dxa"/>
        <w:tblLayout w:type="fixed"/>
        <w:tblLook w:val="04A0" w:firstRow="1" w:lastRow="0" w:firstColumn="1" w:lastColumn="0" w:noHBand="0" w:noVBand="1"/>
      </w:tblPr>
      <w:tblGrid>
        <w:gridCol w:w="1824"/>
        <w:gridCol w:w="2340"/>
        <w:gridCol w:w="4680"/>
      </w:tblGrid>
      <w:tr w:rsidR="003A1169" w:rsidRPr="00CB729D" w14:paraId="07F4C816" w14:textId="77777777" w:rsidTr="00803D07">
        <w:trPr>
          <w:cnfStyle w:val="100000000000" w:firstRow="1" w:lastRow="0" w:firstColumn="0" w:lastColumn="0" w:oddVBand="0" w:evenVBand="0" w:oddHBand="0" w:evenHBand="0" w:firstRowFirstColumn="0" w:firstRowLastColumn="0" w:lastRowFirstColumn="0" w:lastRowLastColumn="0"/>
        </w:trPr>
        <w:tc>
          <w:tcPr>
            <w:tcW w:w="1824" w:type="dxa"/>
          </w:tcPr>
          <w:p w14:paraId="07F4C813" w14:textId="77777777" w:rsidR="008361C7" w:rsidRPr="00F71D39" w:rsidRDefault="008361C7" w:rsidP="00803D07"/>
        </w:tc>
        <w:tc>
          <w:tcPr>
            <w:tcW w:w="2340" w:type="dxa"/>
          </w:tcPr>
          <w:p w14:paraId="07F4C814" w14:textId="77777777" w:rsidR="008361C7" w:rsidRPr="00F71D39" w:rsidRDefault="008361C7" w:rsidP="00803D07">
            <w:r w:rsidRPr="00F71D39">
              <w:t>Study</w:t>
            </w:r>
          </w:p>
        </w:tc>
        <w:tc>
          <w:tcPr>
            <w:tcW w:w="4680" w:type="dxa"/>
          </w:tcPr>
          <w:p w14:paraId="07F4C815" w14:textId="77777777" w:rsidR="008361C7" w:rsidRPr="00954601" w:rsidRDefault="008361C7" w:rsidP="00803D07">
            <w:pPr>
              <w:ind w:left="0"/>
            </w:pPr>
            <w:r w:rsidRPr="00954601">
              <w:t xml:space="preserve">Outcomes (nivolumab </w:t>
            </w:r>
            <w:r w:rsidR="0046163D" w:rsidRPr="00954601">
              <w:t>versus</w:t>
            </w:r>
            <w:r w:rsidRPr="00954601">
              <w:t xml:space="preserve"> docetaxel)</w:t>
            </w:r>
          </w:p>
        </w:tc>
      </w:tr>
      <w:tr w:rsidR="003A1169" w:rsidRPr="00CB729D" w14:paraId="07F4C81E" w14:textId="77777777" w:rsidTr="002777F2">
        <w:trPr>
          <w:cantSplit/>
        </w:trPr>
        <w:tc>
          <w:tcPr>
            <w:tcW w:w="1824" w:type="dxa"/>
          </w:tcPr>
          <w:p w14:paraId="07F4C817" w14:textId="77777777" w:rsidR="008361C7" w:rsidRPr="00F71D39" w:rsidRDefault="008361C7" w:rsidP="002777F2">
            <w:pPr>
              <w:ind w:left="0"/>
            </w:pPr>
            <w:r w:rsidRPr="00F71D39">
              <w:t>Squamous NSCLC</w:t>
            </w:r>
          </w:p>
        </w:tc>
        <w:tc>
          <w:tcPr>
            <w:tcW w:w="2340" w:type="dxa"/>
          </w:tcPr>
          <w:p w14:paraId="07F4C818" w14:textId="77777777" w:rsidR="008361C7" w:rsidRPr="00F71D39" w:rsidRDefault="008361C7" w:rsidP="002777F2">
            <w:pPr>
              <w:ind w:left="0"/>
            </w:pPr>
            <w:r w:rsidRPr="00F71D39">
              <w:t>CA209017</w:t>
            </w:r>
          </w:p>
          <w:p w14:paraId="07F4C81A" w14:textId="2E0BE002" w:rsidR="008361C7" w:rsidRPr="00F71D39" w:rsidRDefault="00F71D39" w:rsidP="002777F2">
            <w:pPr>
              <w:ind w:left="0"/>
            </w:pPr>
            <w:r>
              <w:t>N</w:t>
            </w:r>
            <w:r w:rsidR="008361C7" w:rsidRPr="00F71D39">
              <w:t xml:space="preserve">ivolumab </w:t>
            </w:r>
            <w:r w:rsidR="0046163D" w:rsidRPr="00F71D39">
              <w:t>versus</w:t>
            </w:r>
            <w:r w:rsidR="008361C7" w:rsidRPr="00F71D39">
              <w:t xml:space="preserve"> docetaxel in previously treated SQ NSCLC</w:t>
            </w:r>
            <w:r>
              <w:t xml:space="preserve"> </w:t>
            </w:r>
            <w:r w:rsidR="008361C7" w:rsidRPr="00F71D39">
              <w:t>(one prior platinum doublet</w:t>
            </w:r>
            <w:r w:rsidR="00954601">
              <w:t xml:space="preserve"> </w:t>
            </w:r>
            <w:r w:rsidR="008361C7" w:rsidRPr="00F71D39">
              <w:t>based regimen)</w:t>
            </w:r>
          </w:p>
        </w:tc>
        <w:tc>
          <w:tcPr>
            <w:tcW w:w="4680" w:type="dxa"/>
          </w:tcPr>
          <w:p w14:paraId="07F4C81B" w14:textId="4359F364" w:rsidR="008361C7" w:rsidRPr="00F71D39" w:rsidRDefault="008361C7" w:rsidP="002777F2">
            <w:pPr>
              <w:ind w:left="0"/>
            </w:pPr>
            <w:r w:rsidRPr="00F71D39">
              <w:t>OS HR 0.59 (95% CI 0.43</w:t>
            </w:r>
            <w:r w:rsidR="00F71D39">
              <w:t xml:space="preserve">, </w:t>
            </w:r>
            <w:r w:rsidRPr="00F71D39">
              <w:t xml:space="preserve">0.81), median 9.2 </w:t>
            </w:r>
            <w:r w:rsidR="0046163D" w:rsidRPr="00F71D39">
              <w:t>versus</w:t>
            </w:r>
            <w:r w:rsidRPr="00F71D39">
              <w:t xml:space="preserve"> 6.0 months; </w:t>
            </w:r>
            <w:r w:rsidRPr="002777F2">
              <w:t>si</w:t>
            </w:r>
            <w:r w:rsidR="0046163D" w:rsidRPr="002777F2">
              <w:t>milar survival regardless of PD</w:t>
            </w:r>
            <w:r w:rsidR="0046163D" w:rsidRPr="002777F2">
              <w:noBreakHyphen/>
            </w:r>
            <w:r w:rsidRPr="002777F2">
              <w:t>L1 status using 1%, 5%, 10% cut</w:t>
            </w:r>
            <w:r w:rsidR="00F71D39">
              <w:t xml:space="preserve"> </w:t>
            </w:r>
            <w:r w:rsidRPr="002777F2">
              <w:t>offs</w:t>
            </w:r>
          </w:p>
          <w:p w14:paraId="07F4C81C" w14:textId="189D7E54" w:rsidR="008361C7" w:rsidRPr="00F71D39" w:rsidRDefault="008361C7" w:rsidP="002777F2">
            <w:pPr>
              <w:ind w:left="0"/>
            </w:pPr>
            <w:r w:rsidRPr="00F71D39">
              <w:t>PFS HR 0.62 (95% CI 0.47</w:t>
            </w:r>
            <w:r w:rsidR="00F71D39">
              <w:t xml:space="preserve">, </w:t>
            </w:r>
            <w:r w:rsidRPr="00F71D39">
              <w:t xml:space="preserve">0.81), median 3.5 </w:t>
            </w:r>
            <w:r w:rsidR="0046163D" w:rsidRPr="00F71D39">
              <w:t>versus 2.8 </w:t>
            </w:r>
            <w:r w:rsidRPr="00F71D39">
              <w:t>months</w:t>
            </w:r>
          </w:p>
          <w:p w14:paraId="07F4C81D" w14:textId="77777777" w:rsidR="008361C7" w:rsidRPr="00F71D39" w:rsidRDefault="008361C7" w:rsidP="002777F2">
            <w:pPr>
              <w:ind w:left="0"/>
            </w:pPr>
            <w:r w:rsidRPr="00F71D39">
              <w:t xml:space="preserve">ORR 20% </w:t>
            </w:r>
            <w:r w:rsidR="0046163D" w:rsidRPr="00F71D39">
              <w:t>versus</w:t>
            </w:r>
            <w:r w:rsidRPr="00F71D39">
              <w:t xml:space="preserve"> 8.8%</w:t>
            </w:r>
          </w:p>
        </w:tc>
      </w:tr>
      <w:tr w:rsidR="003A1169" w:rsidRPr="00CB729D" w14:paraId="07F4C827" w14:textId="77777777" w:rsidTr="002777F2">
        <w:tc>
          <w:tcPr>
            <w:tcW w:w="1824" w:type="dxa"/>
          </w:tcPr>
          <w:p w14:paraId="07F4C81F" w14:textId="77777777" w:rsidR="008361C7" w:rsidRPr="00F71D39" w:rsidRDefault="008361C7" w:rsidP="002777F2">
            <w:pPr>
              <w:ind w:left="0"/>
            </w:pPr>
            <w:r w:rsidRPr="00F71D39">
              <w:t>Non-squamous NSCLC</w:t>
            </w:r>
          </w:p>
        </w:tc>
        <w:tc>
          <w:tcPr>
            <w:tcW w:w="2340" w:type="dxa"/>
          </w:tcPr>
          <w:p w14:paraId="07F4C820" w14:textId="77777777" w:rsidR="008361C7" w:rsidRPr="00954601" w:rsidRDefault="008361C7" w:rsidP="002777F2">
            <w:pPr>
              <w:ind w:left="0"/>
            </w:pPr>
            <w:r w:rsidRPr="00954601">
              <w:t>CA209057</w:t>
            </w:r>
          </w:p>
          <w:p w14:paraId="07F4C821" w14:textId="77777777" w:rsidR="008361C7" w:rsidRPr="00954601" w:rsidRDefault="008361C7" w:rsidP="002777F2">
            <w:pPr>
              <w:ind w:left="0"/>
            </w:pPr>
            <w:r w:rsidRPr="00954601">
              <w:t xml:space="preserve">Nivolumab </w:t>
            </w:r>
            <w:r w:rsidR="0046163D" w:rsidRPr="00954601">
              <w:t>versus</w:t>
            </w:r>
            <w:r w:rsidRPr="00954601">
              <w:t xml:space="preserve"> docetaxel in previously treated </w:t>
            </w:r>
            <w:r w:rsidR="002D1E8D" w:rsidRPr="00954601">
              <w:t xml:space="preserve">non-squamous (NSQ) </w:t>
            </w:r>
            <w:r w:rsidRPr="00954601">
              <w:t>NSCLC</w:t>
            </w:r>
          </w:p>
          <w:p w14:paraId="07F4C822" w14:textId="77777777" w:rsidR="008361C7" w:rsidRPr="003A1169" w:rsidRDefault="008361C7" w:rsidP="002777F2">
            <w:pPr>
              <w:ind w:left="0"/>
            </w:pPr>
            <w:r w:rsidRPr="003A1169">
              <w:t>(one prior regimen, with additional TKI therapy for known EGFR or ALK aberrations)</w:t>
            </w:r>
          </w:p>
        </w:tc>
        <w:tc>
          <w:tcPr>
            <w:tcW w:w="4680" w:type="dxa"/>
          </w:tcPr>
          <w:p w14:paraId="07F4C823" w14:textId="6D040892" w:rsidR="008361C7" w:rsidRPr="00F71D39" w:rsidRDefault="008361C7" w:rsidP="002777F2">
            <w:pPr>
              <w:ind w:left="0"/>
            </w:pPr>
            <w:r w:rsidRPr="003A1169">
              <w:t>OS HR 0.73 (95% CI 0.59</w:t>
            </w:r>
            <w:r w:rsidR="00F71D39">
              <w:t xml:space="preserve">, </w:t>
            </w:r>
            <w:r w:rsidRPr="00F71D39">
              <w:t xml:space="preserve">0.89), median 12.2 </w:t>
            </w:r>
            <w:r w:rsidR="0046163D" w:rsidRPr="00F71D39">
              <w:t>versus 9.4 </w:t>
            </w:r>
            <w:r w:rsidRPr="00F71D39">
              <w:t>months.</w:t>
            </w:r>
          </w:p>
          <w:p w14:paraId="07F4C824" w14:textId="2D1AAE34" w:rsidR="008361C7" w:rsidRPr="002777F2" w:rsidRDefault="008361C7" w:rsidP="002777F2">
            <w:pPr>
              <w:ind w:left="0"/>
            </w:pPr>
            <w:r w:rsidRPr="002777F2">
              <w:t>OS HR was 0.59 in PD-L1 positive (1% cut</w:t>
            </w:r>
            <w:r w:rsidR="00F71D39">
              <w:t xml:space="preserve"> </w:t>
            </w:r>
            <w:r w:rsidRPr="002777F2">
              <w:t>off), and 0.90 for PD-L1 negative.</w:t>
            </w:r>
            <w:r w:rsidR="0046163D" w:rsidRPr="002777F2">
              <w:t xml:space="preserve"> </w:t>
            </w:r>
            <w:r w:rsidRPr="002777F2">
              <w:t>The difference was more pronounced with a 10% cut</w:t>
            </w:r>
            <w:r w:rsidR="00F71D39">
              <w:t xml:space="preserve"> </w:t>
            </w:r>
            <w:r w:rsidRPr="002777F2">
              <w:t>off (OS HRs 0.40 and 1.00 respectively).</w:t>
            </w:r>
          </w:p>
          <w:p w14:paraId="07F4C825" w14:textId="7399D75B" w:rsidR="008361C7" w:rsidRPr="00F71D39" w:rsidRDefault="008361C7" w:rsidP="002777F2">
            <w:pPr>
              <w:ind w:left="0"/>
            </w:pPr>
            <w:r w:rsidRPr="00F71D39">
              <w:t>PFS HR 0.92 (95% CI 0.77</w:t>
            </w:r>
            <w:r w:rsidR="00954601">
              <w:t xml:space="preserve">, </w:t>
            </w:r>
            <w:r w:rsidRPr="00F71D39">
              <w:t xml:space="preserve">1.11), median 2.3 </w:t>
            </w:r>
            <w:r w:rsidR="0046163D" w:rsidRPr="00F71D39">
              <w:t>versus</w:t>
            </w:r>
            <w:r w:rsidRPr="00F71D39">
              <w:t xml:space="preserve"> 4.2 months</w:t>
            </w:r>
            <w:r w:rsidR="00F71D39">
              <w:t>.</w:t>
            </w:r>
          </w:p>
          <w:p w14:paraId="07F4C826" w14:textId="5DFC1FD5" w:rsidR="008361C7" w:rsidRPr="00F71D39" w:rsidRDefault="008361C7" w:rsidP="002777F2">
            <w:pPr>
              <w:ind w:left="0"/>
            </w:pPr>
            <w:r w:rsidRPr="00F71D39">
              <w:t xml:space="preserve">ORR 19.2% </w:t>
            </w:r>
            <w:r w:rsidR="0046163D" w:rsidRPr="00F71D39">
              <w:t>versus</w:t>
            </w:r>
            <w:r w:rsidRPr="00F71D39">
              <w:t xml:space="preserve"> 12.4%</w:t>
            </w:r>
            <w:r w:rsidR="00F71D39">
              <w:t>.</w:t>
            </w:r>
          </w:p>
        </w:tc>
      </w:tr>
    </w:tbl>
    <w:p w14:paraId="07F4C829" w14:textId="68D48C85" w:rsidR="008361C7" w:rsidRPr="00FC75EF" w:rsidRDefault="008361C7" w:rsidP="008361C7">
      <w:r w:rsidRPr="00FC75EF">
        <w:t xml:space="preserve">A key study for nivolumab in </w:t>
      </w:r>
      <w:r w:rsidR="00985879">
        <w:t>first line</w:t>
      </w:r>
      <w:r w:rsidRPr="00FC75EF">
        <w:t xml:space="preserve"> NSCLC, </w:t>
      </w:r>
      <w:proofErr w:type="spellStart"/>
      <w:r w:rsidRPr="00FC75EF">
        <w:t>CheckMate</w:t>
      </w:r>
      <w:proofErr w:type="spellEnd"/>
      <w:r w:rsidRPr="00FC75EF">
        <w:t xml:space="preserve"> 026, did not indicate benefit over standard of care</w:t>
      </w:r>
      <w:r w:rsidR="00691589">
        <w:t>.</w:t>
      </w:r>
      <w:r w:rsidRPr="00FC75EF">
        <w:rPr>
          <w:rStyle w:val="FootnoteReference"/>
          <w:rFonts w:asciiTheme="minorHAnsi" w:hAnsiTheme="minorHAnsi"/>
          <w:sz w:val="24"/>
          <w:szCs w:val="24"/>
        </w:rPr>
        <w:footnoteReference w:id="25"/>
      </w:r>
      <w:r w:rsidR="0046163D">
        <w:t xml:space="preserve"> </w:t>
      </w:r>
      <w:r w:rsidRPr="00FC75EF">
        <w:t xml:space="preserve">In 423 patients with </w:t>
      </w:r>
      <w:r w:rsidR="0046163D">
        <w:t xml:space="preserve">≥ </w:t>
      </w:r>
      <w:r w:rsidRPr="00FC75EF">
        <w:t xml:space="preserve">5% PD-L1 tumour expression, the PFS HR was 1.15 and the OS HR was 1.02, relative to </w:t>
      </w:r>
      <w:r w:rsidR="0046163D">
        <w:t>platinum based</w:t>
      </w:r>
      <w:r w:rsidRPr="00FC75EF">
        <w:t xml:space="preserve"> doublet therapy.</w:t>
      </w:r>
    </w:p>
    <w:p w14:paraId="07F4C82A" w14:textId="577ADCB2" w:rsidR="008361C7" w:rsidRPr="00FC75EF" w:rsidRDefault="008361C7" w:rsidP="008361C7">
      <w:r w:rsidRPr="004971B4">
        <w:t>Hellmann et al</w:t>
      </w:r>
      <w:r w:rsidR="00954601">
        <w:t>.,</w:t>
      </w:r>
      <w:r w:rsidRPr="004971B4">
        <w:t xml:space="preserve"> (2016)</w:t>
      </w:r>
      <w:r w:rsidR="004971B4" w:rsidRPr="004971B4">
        <w:rPr>
          <w:rStyle w:val="FootnoteReference"/>
        </w:rPr>
        <w:footnoteReference w:id="26"/>
      </w:r>
      <w:r w:rsidRPr="00FC75EF">
        <w:t xml:space="preserve"> have published results of </w:t>
      </w:r>
      <w:r w:rsidR="0046163D">
        <w:t>Phase I</w:t>
      </w:r>
      <w:r w:rsidRPr="00FC75EF">
        <w:t xml:space="preserve"> </w:t>
      </w:r>
      <w:r w:rsidR="00E06B28">
        <w:t>Study</w:t>
      </w:r>
      <w:r w:rsidRPr="00FC75EF">
        <w:t xml:space="preserve"> </w:t>
      </w:r>
      <w:proofErr w:type="spellStart"/>
      <w:r w:rsidRPr="00FC75EF">
        <w:t>CheckMate</w:t>
      </w:r>
      <w:proofErr w:type="spellEnd"/>
      <w:r w:rsidRPr="00FC75EF">
        <w:t xml:space="preserve"> 012, where </w:t>
      </w:r>
      <w:proofErr w:type="spellStart"/>
      <w:r w:rsidRPr="00FC75EF">
        <w:t>nivolumab</w:t>
      </w:r>
      <w:proofErr w:type="spellEnd"/>
      <w:r w:rsidRPr="00FC75EF">
        <w:t xml:space="preserve"> + ipilimumab </w:t>
      </w:r>
      <w:proofErr w:type="gramStart"/>
      <w:r w:rsidRPr="00FC75EF">
        <w:t>was</w:t>
      </w:r>
      <w:proofErr w:type="gramEnd"/>
      <w:r w:rsidRPr="00FC75EF">
        <w:t xml:space="preserve"> tested in 77 Stage IIIB</w:t>
      </w:r>
      <w:r w:rsidR="00954601">
        <w:t xml:space="preserve"> to </w:t>
      </w:r>
      <w:r w:rsidRPr="00FC75EF">
        <w:t xml:space="preserve">IV, </w:t>
      </w:r>
      <w:r w:rsidR="0046163D">
        <w:t>chemotherapy naïve</w:t>
      </w:r>
      <w:r w:rsidRPr="00FC75EF">
        <w:t xml:space="preserve"> NSCLC patients.</w:t>
      </w:r>
      <w:r w:rsidR="0046163D">
        <w:t xml:space="preserve"> Confirmed ORRs were 38 to </w:t>
      </w:r>
      <w:r w:rsidRPr="00FC75EF">
        <w:t>47% in all comers across two dose regimens: 57% in PD-L1</w:t>
      </w:r>
      <w:r w:rsidR="0046163D">
        <w:t xml:space="preserve"> </w:t>
      </w:r>
      <w:r w:rsidR="00954601">
        <w:t xml:space="preserve">positive </w:t>
      </w:r>
      <w:r w:rsidR="0046163D">
        <w:t xml:space="preserve">subjects and 12 to </w:t>
      </w:r>
      <w:r w:rsidRPr="00FC75EF">
        <w:t>35% in PD-L1</w:t>
      </w:r>
      <w:r w:rsidR="00954601">
        <w:t xml:space="preserve"> negative </w:t>
      </w:r>
      <w:r w:rsidRPr="00FC75EF">
        <w:t>subjects.</w:t>
      </w:r>
      <w:r w:rsidR="0046163D">
        <w:t xml:space="preserve"> </w:t>
      </w:r>
      <w:r w:rsidRPr="00FC75EF">
        <w:t>This use is not approved.</w:t>
      </w:r>
    </w:p>
    <w:p w14:paraId="07F4C82B" w14:textId="42BC1F6F" w:rsidR="008361C7" w:rsidRPr="00FC75EF" w:rsidRDefault="008361C7" w:rsidP="008361C7">
      <w:r w:rsidRPr="00FC75EF">
        <w:t>Targeted therapies have emerged against tumours with specific driver mutations.</w:t>
      </w:r>
      <w:r w:rsidR="0046163D">
        <w:t xml:space="preserve"> </w:t>
      </w:r>
      <w:r w:rsidRPr="00FC75EF">
        <w:t xml:space="preserve">For example, ALK </w:t>
      </w:r>
      <w:r w:rsidR="00954601">
        <w:t xml:space="preserve">positive </w:t>
      </w:r>
      <w:r w:rsidRPr="00FC75EF">
        <w:t xml:space="preserve">disease can be treated with </w:t>
      </w:r>
      <w:proofErr w:type="spellStart"/>
      <w:r w:rsidRPr="00FC75EF">
        <w:t>crizotinib</w:t>
      </w:r>
      <w:proofErr w:type="spellEnd"/>
      <w:r w:rsidRPr="00FC75EF">
        <w:t xml:space="preserve"> and </w:t>
      </w:r>
      <w:proofErr w:type="spellStart"/>
      <w:r w:rsidRPr="00FC75EF">
        <w:t>ceritinib</w:t>
      </w:r>
      <w:proofErr w:type="spellEnd"/>
      <w:r w:rsidRPr="00FC75EF">
        <w:t>; EGFR</w:t>
      </w:r>
      <w:r w:rsidR="00954601">
        <w:t xml:space="preserve"> positive </w:t>
      </w:r>
      <w:r w:rsidRPr="00FC75EF">
        <w:t xml:space="preserve">disease can be treated with </w:t>
      </w:r>
      <w:proofErr w:type="spellStart"/>
      <w:r w:rsidRPr="00FC75EF">
        <w:t>gefitinib</w:t>
      </w:r>
      <w:proofErr w:type="spellEnd"/>
      <w:r w:rsidRPr="00FC75EF">
        <w:t xml:space="preserve">, </w:t>
      </w:r>
      <w:proofErr w:type="spellStart"/>
      <w:r w:rsidRPr="00FC75EF">
        <w:t>afatinib</w:t>
      </w:r>
      <w:proofErr w:type="spellEnd"/>
      <w:r w:rsidRPr="00FC75EF">
        <w:t xml:space="preserve">, </w:t>
      </w:r>
      <w:proofErr w:type="spellStart"/>
      <w:r w:rsidRPr="00FC75EF">
        <w:t>erlotinib</w:t>
      </w:r>
      <w:proofErr w:type="spellEnd"/>
      <w:r w:rsidRPr="00FC75EF">
        <w:t xml:space="preserve"> and/or </w:t>
      </w:r>
      <w:proofErr w:type="spellStart"/>
      <w:r w:rsidRPr="00FC75EF">
        <w:t>osimertinib</w:t>
      </w:r>
      <w:proofErr w:type="spellEnd"/>
      <w:r w:rsidRPr="00FC75EF">
        <w:t>.</w:t>
      </w:r>
    </w:p>
    <w:p w14:paraId="07F4C82C" w14:textId="77777777" w:rsidR="008361C7" w:rsidRPr="00FC75EF" w:rsidRDefault="008361C7" w:rsidP="008361C7">
      <w:pPr>
        <w:pStyle w:val="Heading4"/>
      </w:pPr>
      <w:r w:rsidRPr="00FC75EF">
        <w:lastRenderedPageBreak/>
        <w:t>Pembrolizumab</w:t>
      </w:r>
    </w:p>
    <w:p w14:paraId="07F4C82D" w14:textId="54E3E6A1" w:rsidR="008361C7" w:rsidRPr="00FC75EF" w:rsidRDefault="008361C7" w:rsidP="008361C7">
      <w:r w:rsidRPr="00FC75EF">
        <w:t xml:space="preserve">Pembrolizumab was approved for use in unresectable or metastatic melanoma by the TGA in April 2015, and has </w:t>
      </w:r>
      <w:r w:rsidR="00954601">
        <w:t>P</w:t>
      </w:r>
      <w:r w:rsidR="00955F18">
        <w:t xml:space="preserve">harmaceutical </w:t>
      </w:r>
      <w:r w:rsidR="00954601">
        <w:t xml:space="preserve">Benefits Scheme </w:t>
      </w:r>
      <w:r w:rsidR="00955F18">
        <w:t>(</w:t>
      </w:r>
      <w:r w:rsidRPr="00FC75EF">
        <w:t>PBS</w:t>
      </w:r>
      <w:r w:rsidR="00955F18">
        <w:t>)</w:t>
      </w:r>
      <w:r w:rsidRPr="00FC75EF">
        <w:t xml:space="preserve"> listing for unresectable Stage III or Stage IV melanoma.</w:t>
      </w:r>
    </w:p>
    <w:p w14:paraId="07F4C82E" w14:textId="284B7691" w:rsidR="008361C7" w:rsidRPr="00FC75EF" w:rsidRDefault="008361C7" w:rsidP="008361C7">
      <w:r w:rsidRPr="00FC75EF">
        <w:t xml:space="preserve">Pembrolizumab has a large clinical development programme, and there are multiple active applications currently, including </w:t>
      </w:r>
      <w:r w:rsidR="00954601">
        <w:t xml:space="preserve">Submissions </w:t>
      </w:r>
      <w:r w:rsidR="00537585">
        <w:t>PM-20</w:t>
      </w:r>
      <w:r w:rsidRPr="00FC75EF">
        <w:t>15-4712</w:t>
      </w:r>
      <w:r w:rsidR="0046163D">
        <w:t>-1-4</w:t>
      </w:r>
      <w:r w:rsidRPr="00FC75EF">
        <w:t xml:space="preserve"> and </w:t>
      </w:r>
      <w:r w:rsidR="00537585">
        <w:t>PM-20</w:t>
      </w:r>
      <w:r w:rsidRPr="00FC75EF">
        <w:t>16-2325</w:t>
      </w:r>
      <w:r w:rsidR="0046163D">
        <w:t>-1-4</w:t>
      </w:r>
      <w:r w:rsidRPr="00FC75EF">
        <w:t xml:space="preserve"> and:</w:t>
      </w:r>
    </w:p>
    <w:p w14:paraId="07F4C82F" w14:textId="05E33915" w:rsidR="008361C7" w:rsidRPr="00FC75EF" w:rsidRDefault="008361C7" w:rsidP="008361C7">
      <w:pPr>
        <w:pStyle w:val="ListBullet"/>
      </w:pPr>
      <w:r w:rsidRPr="00FC75EF">
        <w:t xml:space="preserve">Submission PM-2016-01163-1-4 (SCC of the head and neck, </w:t>
      </w:r>
      <w:r w:rsidR="002777F2">
        <w:t>(</w:t>
      </w:r>
      <w:r w:rsidRPr="00FC75EF">
        <w:t>HNSCC</w:t>
      </w:r>
      <w:r w:rsidR="002777F2">
        <w:t>)</w:t>
      </w:r>
      <w:r w:rsidRPr="00FC75EF">
        <w:t>)</w:t>
      </w:r>
      <w:r w:rsidR="0046163D">
        <w:t xml:space="preserve"> (approved 20 </w:t>
      </w:r>
      <w:r w:rsidR="00985879">
        <w:t>March 2017)</w:t>
      </w:r>
    </w:p>
    <w:p w14:paraId="07F4C830" w14:textId="7911888F" w:rsidR="008361C7" w:rsidRPr="00FC75EF" w:rsidRDefault="008361C7" w:rsidP="008361C7">
      <w:pPr>
        <w:pStyle w:val="ListBullet"/>
      </w:pPr>
      <w:r w:rsidRPr="00FC75EF">
        <w:t>Submission PM-2016-02736-1-4 (classical Hodgkin’s Lymphoma)</w:t>
      </w:r>
      <w:r w:rsidR="0046163D">
        <w:t>(approved 1 </w:t>
      </w:r>
      <w:r w:rsidR="00537585">
        <w:t>September 2017)</w:t>
      </w:r>
    </w:p>
    <w:p w14:paraId="07F4C831" w14:textId="30B0BD0D" w:rsidR="008361C7" w:rsidRPr="00FC75EF" w:rsidRDefault="008361C7" w:rsidP="008361C7">
      <w:pPr>
        <w:pStyle w:val="ListBullet"/>
      </w:pPr>
      <w:r w:rsidRPr="00FC75EF">
        <w:t>Submission PM-2016-03169-1-4 (flat dosing in melanoma)</w:t>
      </w:r>
      <w:r w:rsidR="0046163D">
        <w:t xml:space="preserve"> (approved 14 November </w:t>
      </w:r>
      <w:r w:rsidR="00537585">
        <w:t>2017)</w:t>
      </w:r>
    </w:p>
    <w:p w14:paraId="07F4C832" w14:textId="0751732B" w:rsidR="008361C7" w:rsidRPr="00FC75EF" w:rsidRDefault="008361C7" w:rsidP="008361C7">
      <w:pPr>
        <w:pStyle w:val="ListBullet"/>
      </w:pPr>
      <w:r w:rsidRPr="00FC75EF">
        <w:t>Submission PM-2016-03924-1-4 (flat dosing in NSCLC)</w:t>
      </w:r>
      <w:r w:rsidR="00537585">
        <w:t xml:space="preserve"> (approved 9 January 2018)</w:t>
      </w:r>
    </w:p>
    <w:p w14:paraId="07F4C833" w14:textId="5ABBEB1F" w:rsidR="008361C7" w:rsidRPr="00537585" w:rsidRDefault="008361C7" w:rsidP="008361C7">
      <w:pPr>
        <w:pStyle w:val="ListBullet"/>
      </w:pPr>
      <w:r w:rsidRPr="00FC75EF">
        <w:t>Submission PM-2016-04328-1-4 (urothelial carcinoma)</w:t>
      </w:r>
      <w:r w:rsidR="00537585">
        <w:t xml:space="preserve"> (approved 9 January 2018)</w:t>
      </w:r>
    </w:p>
    <w:p w14:paraId="07F4C834" w14:textId="77777777" w:rsidR="00BD3646" w:rsidRPr="00FC75EF" w:rsidRDefault="00BD3646" w:rsidP="00BD3646">
      <w:pPr>
        <w:pStyle w:val="Heading4"/>
      </w:pPr>
      <w:r w:rsidRPr="00FC75EF">
        <w:t>Regulatory guidelines</w:t>
      </w:r>
    </w:p>
    <w:p w14:paraId="07F4C835" w14:textId="06074D75" w:rsidR="00BD3646" w:rsidRPr="00FC75EF" w:rsidRDefault="00BD3646" w:rsidP="00BD3646">
      <w:r w:rsidRPr="00FC75EF">
        <w:t>The TGA has adopted the EU Guideline on evaluation of anticancer medicinal products, EMA/CHMP/205/95/Rev.4 (and relevant appendices).</w:t>
      </w:r>
      <w:r w:rsidR="0046163D">
        <w:t xml:space="preserve"> </w:t>
      </w:r>
      <w:r w:rsidRPr="00FC75EF">
        <w:t>Some other EU guidelines are TGA</w:t>
      </w:r>
      <w:r w:rsidR="001334E6">
        <w:t> </w:t>
      </w:r>
      <w:r w:rsidRPr="00FC75EF">
        <w:t xml:space="preserve">adopted and relevant, </w:t>
      </w:r>
      <w:r w:rsidR="0046163D">
        <w:t>for example</w:t>
      </w:r>
      <w:r w:rsidRPr="00FC75EF">
        <w:t xml:space="preserve"> ‘Points to consider on application with 1) meta-analysis; 2) single pivotal study’ (CPMP/EWP/2330/99).</w:t>
      </w:r>
      <w:r w:rsidR="0046163D">
        <w:t xml:space="preserve"> </w:t>
      </w:r>
      <w:r w:rsidRPr="00FC75EF">
        <w:t>Guidelines are not legally binding, but variations from their recommendations may suggest the need for scrutiny of particular quality, efficacy and/or safety issues.</w:t>
      </w:r>
    </w:p>
    <w:p w14:paraId="07F4C836" w14:textId="77777777" w:rsidR="00BD3646" w:rsidRPr="00FC75EF" w:rsidRDefault="0046163D" w:rsidP="00BD3646">
      <w:pPr>
        <w:pStyle w:val="Heading4"/>
      </w:pPr>
      <w:r>
        <w:t xml:space="preserve">Regulation; </w:t>
      </w:r>
      <w:r w:rsidR="00BD3646" w:rsidRPr="00FC75EF">
        <w:t>overseas status</w:t>
      </w:r>
    </w:p>
    <w:p w14:paraId="07F4C837" w14:textId="77777777" w:rsidR="00BD3646" w:rsidRPr="00FC75EF" w:rsidRDefault="00BD3646" w:rsidP="00BD3646">
      <w:pPr>
        <w:pStyle w:val="Heading5"/>
      </w:pPr>
      <w:r w:rsidRPr="00FC75EF">
        <w:t>U</w:t>
      </w:r>
      <w:r w:rsidR="00C329E7">
        <w:t xml:space="preserve">SA; FDA (checked 2 December </w:t>
      </w:r>
      <w:r w:rsidRPr="00FC75EF">
        <w:t>2016)</w:t>
      </w:r>
    </w:p>
    <w:p w14:paraId="07F4C838" w14:textId="77777777" w:rsidR="00BD3646" w:rsidRPr="00FC75EF" w:rsidRDefault="00BD3646" w:rsidP="00BD3646">
      <w:r w:rsidRPr="00FC75EF">
        <w:t>Pembrolizumab has the following indications:</w:t>
      </w:r>
    </w:p>
    <w:p w14:paraId="07F4C839" w14:textId="77777777" w:rsidR="00BD3646" w:rsidRPr="00FC75EF" w:rsidRDefault="00BD3646" w:rsidP="00BD3646">
      <w:pPr>
        <w:rPr>
          <w:rFonts w:eastAsiaTheme="minorHAnsi" w:cs="Arial"/>
          <w:color w:val="000000"/>
        </w:rPr>
      </w:pPr>
      <w:r w:rsidRPr="00FC75EF">
        <w:rPr>
          <w:rFonts w:eastAsiaTheme="minorHAnsi" w:cs="Arial"/>
          <w:color w:val="000000"/>
        </w:rPr>
        <w:t>K</w:t>
      </w:r>
      <w:r w:rsidR="00C329E7" w:rsidRPr="00FC75EF">
        <w:rPr>
          <w:rFonts w:eastAsiaTheme="minorHAnsi" w:cs="Arial"/>
          <w:color w:val="000000"/>
        </w:rPr>
        <w:t>eytruda</w:t>
      </w:r>
      <w:r w:rsidRPr="00FC75EF">
        <w:rPr>
          <w:rFonts w:eastAsiaTheme="minorHAnsi" w:cs="Arial"/>
          <w:color w:val="000000"/>
        </w:rPr>
        <w:t xml:space="preserve"> is a programmed death receptor-1 (PD-1)-blocking antibody indicated for the treatment of:</w:t>
      </w:r>
    </w:p>
    <w:p w14:paraId="07F4C83A" w14:textId="378FF62A" w:rsidR="00BD3646" w:rsidRPr="004971B4" w:rsidRDefault="00D01AB0" w:rsidP="00537585">
      <w:pPr>
        <w:ind w:left="720"/>
        <w:rPr>
          <w:rFonts w:eastAsiaTheme="minorHAnsi" w:cs="Arial"/>
          <w:i/>
          <w:color w:val="000000"/>
        </w:rPr>
      </w:pPr>
      <w:proofErr w:type="gramStart"/>
      <w:r>
        <w:rPr>
          <w:rFonts w:eastAsiaTheme="minorHAnsi" w:cs="Arial"/>
          <w:i/>
          <w:color w:val="000000"/>
        </w:rPr>
        <w:t>‘</w:t>
      </w:r>
      <w:r w:rsidR="00BD3646" w:rsidRPr="00BD3646">
        <w:rPr>
          <w:rFonts w:eastAsiaTheme="minorHAnsi" w:cs="Arial"/>
          <w:i/>
          <w:color w:val="000000"/>
        </w:rPr>
        <w:t xml:space="preserve">Patients with </w:t>
      </w:r>
      <w:r w:rsidR="00BD3646" w:rsidRPr="004971B4">
        <w:rPr>
          <w:rFonts w:eastAsiaTheme="minorHAnsi" w:cs="Arial"/>
          <w:i/>
          <w:color w:val="000000"/>
        </w:rPr>
        <w:t>unresectable or metastatic melanoma.</w:t>
      </w:r>
      <w:proofErr w:type="gramEnd"/>
      <w:r w:rsidR="00BD3646" w:rsidRPr="004971B4">
        <w:rPr>
          <w:rFonts w:eastAsiaTheme="minorHAnsi" w:cs="Arial"/>
          <w:i/>
          <w:color w:val="000000"/>
        </w:rPr>
        <w:t xml:space="preserve"> (1.1)</w:t>
      </w:r>
    </w:p>
    <w:p w14:paraId="07F4C83B" w14:textId="77777777" w:rsidR="00BD3646" w:rsidRPr="004971B4" w:rsidRDefault="00BD3646" w:rsidP="00537585">
      <w:pPr>
        <w:ind w:left="720"/>
        <w:rPr>
          <w:rFonts w:eastAsiaTheme="minorHAnsi" w:cs="Arial"/>
          <w:i/>
          <w:color w:val="000000"/>
        </w:rPr>
      </w:pPr>
      <w:r w:rsidRPr="004971B4">
        <w:rPr>
          <w:rFonts w:eastAsiaTheme="minorHAnsi" w:cs="Arial"/>
          <w:i/>
          <w:color w:val="000000"/>
        </w:rPr>
        <w:t xml:space="preserve">Patients with metastatic NSCLC whose </w:t>
      </w:r>
      <w:r w:rsidR="00C329E7" w:rsidRPr="004971B4">
        <w:rPr>
          <w:rFonts w:eastAsiaTheme="minorHAnsi" w:cs="Arial"/>
          <w:i/>
          <w:color w:val="000000"/>
        </w:rPr>
        <w:t>tumours</w:t>
      </w:r>
      <w:r w:rsidRPr="004971B4">
        <w:rPr>
          <w:rFonts w:eastAsiaTheme="minorHAnsi" w:cs="Arial"/>
          <w:i/>
          <w:color w:val="000000"/>
        </w:rPr>
        <w:t xml:space="preserve"> have high PD-L1 expression [(</w:t>
      </w:r>
      <w:proofErr w:type="spellStart"/>
      <w:r w:rsidRPr="004971B4">
        <w:rPr>
          <w:rFonts w:eastAsiaTheme="minorHAnsi" w:cs="Arial"/>
          <w:i/>
          <w:color w:val="000000"/>
        </w:rPr>
        <w:t>Tumor</w:t>
      </w:r>
      <w:proofErr w:type="spellEnd"/>
      <w:r w:rsidRPr="004971B4">
        <w:rPr>
          <w:rFonts w:eastAsiaTheme="minorHAnsi" w:cs="Arial"/>
          <w:i/>
          <w:color w:val="000000"/>
        </w:rPr>
        <w:t xml:space="preserve"> Proportion Score (TPS) </w:t>
      </w:r>
      <w:r w:rsidR="0046163D" w:rsidRPr="004971B4">
        <w:rPr>
          <w:rFonts w:eastAsiaTheme="minorHAnsi" w:cs="Arial"/>
          <w:i/>
          <w:color w:val="000000"/>
        </w:rPr>
        <w:t xml:space="preserve">≥ </w:t>
      </w:r>
      <w:r w:rsidRPr="004971B4">
        <w:rPr>
          <w:rFonts w:eastAsiaTheme="minorHAnsi" w:cs="Arial"/>
          <w:i/>
          <w:color w:val="000000"/>
        </w:rPr>
        <w:t xml:space="preserve">50%)] as determined by an FDA-approved test, with no EGFR or ALK genomic </w:t>
      </w:r>
      <w:r w:rsidR="00C329E7" w:rsidRPr="004971B4">
        <w:rPr>
          <w:rFonts w:eastAsiaTheme="minorHAnsi" w:cs="Arial"/>
          <w:i/>
          <w:color w:val="000000"/>
        </w:rPr>
        <w:t>tumour</w:t>
      </w:r>
      <w:r w:rsidRPr="004971B4">
        <w:rPr>
          <w:rFonts w:eastAsiaTheme="minorHAnsi" w:cs="Arial"/>
          <w:i/>
          <w:color w:val="000000"/>
        </w:rPr>
        <w:t xml:space="preserve"> aberrations, and no prior systemic chemotherapy treatment for metastatic NSCLC. (1.2)</w:t>
      </w:r>
    </w:p>
    <w:p w14:paraId="07F4C83C" w14:textId="77777777" w:rsidR="00BD3646" w:rsidRPr="004971B4" w:rsidRDefault="00BD3646" w:rsidP="00537585">
      <w:pPr>
        <w:ind w:left="720"/>
        <w:rPr>
          <w:rFonts w:eastAsiaTheme="minorHAnsi" w:cs="Arial"/>
          <w:i/>
          <w:color w:val="000000"/>
        </w:rPr>
      </w:pPr>
      <w:r w:rsidRPr="004971B4">
        <w:rPr>
          <w:rFonts w:eastAsiaTheme="minorHAnsi" w:cs="Arial"/>
          <w:i/>
          <w:color w:val="000000"/>
        </w:rPr>
        <w:t xml:space="preserve">Patients with metastatic NSCLC whose </w:t>
      </w:r>
      <w:r w:rsidR="00C329E7" w:rsidRPr="004971B4">
        <w:rPr>
          <w:rFonts w:eastAsiaTheme="minorHAnsi" w:cs="Arial"/>
          <w:i/>
          <w:color w:val="000000"/>
        </w:rPr>
        <w:t>tumours</w:t>
      </w:r>
      <w:r w:rsidRPr="004971B4">
        <w:rPr>
          <w:rFonts w:eastAsiaTheme="minorHAnsi" w:cs="Arial"/>
          <w:i/>
          <w:color w:val="000000"/>
        </w:rPr>
        <w:t xml:space="preserve"> express PD-L1 (TPS </w:t>
      </w:r>
      <w:r w:rsidR="0046163D" w:rsidRPr="004971B4">
        <w:rPr>
          <w:rFonts w:eastAsiaTheme="minorHAnsi" w:cs="Arial"/>
          <w:i/>
          <w:color w:val="000000"/>
        </w:rPr>
        <w:t xml:space="preserve">≥ </w:t>
      </w:r>
      <w:r w:rsidRPr="004971B4">
        <w:rPr>
          <w:rFonts w:eastAsiaTheme="minorHAnsi" w:cs="Arial"/>
          <w:i/>
          <w:color w:val="000000"/>
        </w:rPr>
        <w:t xml:space="preserve">1%) as determined by an FDA-approved test, with disease progression on or after </w:t>
      </w:r>
      <w:r w:rsidR="005B1C86">
        <w:rPr>
          <w:rFonts w:eastAsiaTheme="minorHAnsi" w:cs="Arial"/>
          <w:i/>
          <w:color w:val="000000"/>
        </w:rPr>
        <w:t>platinum containing</w:t>
      </w:r>
      <w:r w:rsidRPr="004971B4">
        <w:rPr>
          <w:rFonts w:eastAsiaTheme="minorHAnsi" w:cs="Arial"/>
          <w:i/>
          <w:color w:val="000000"/>
        </w:rPr>
        <w:t xml:space="preserve"> chemotherapy.</w:t>
      </w:r>
      <w:r w:rsidR="0046163D" w:rsidRPr="004971B4">
        <w:rPr>
          <w:rFonts w:eastAsiaTheme="minorHAnsi" w:cs="Arial"/>
          <w:i/>
          <w:color w:val="000000"/>
        </w:rPr>
        <w:t xml:space="preserve"> </w:t>
      </w:r>
      <w:r w:rsidRPr="004971B4">
        <w:rPr>
          <w:rFonts w:eastAsiaTheme="minorHAnsi" w:cs="Arial"/>
          <w:i/>
          <w:color w:val="000000"/>
        </w:rPr>
        <w:t xml:space="preserve">Patients with EGFR or ALK genomic </w:t>
      </w:r>
      <w:r w:rsidR="00C329E7" w:rsidRPr="004971B4">
        <w:rPr>
          <w:rFonts w:eastAsiaTheme="minorHAnsi" w:cs="Arial"/>
          <w:i/>
          <w:color w:val="000000"/>
        </w:rPr>
        <w:t>tumour</w:t>
      </w:r>
      <w:r w:rsidRPr="004971B4">
        <w:rPr>
          <w:rFonts w:eastAsiaTheme="minorHAnsi" w:cs="Arial"/>
          <w:i/>
          <w:color w:val="000000"/>
        </w:rPr>
        <w:t xml:space="preserve"> aberrations should have disease progression on FDA-approved therapy for these aberrations prior to receiving </w:t>
      </w:r>
      <w:r w:rsidR="00C329E7" w:rsidRPr="004971B4">
        <w:rPr>
          <w:rFonts w:eastAsiaTheme="minorHAnsi" w:cs="Arial"/>
          <w:i/>
          <w:color w:val="000000"/>
        </w:rPr>
        <w:t>Keytruda</w:t>
      </w:r>
      <w:r w:rsidRPr="004971B4">
        <w:rPr>
          <w:rFonts w:eastAsiaTheme="minorHAnsi" w:cs="Arial"/>
          <w:i/>
          <w:color w:val="000000"/>
        </w:rPr>
        <w:t>. (1.2)</w:t>
      </w:r>
    </w:p>
    <w:p w14:paraId="07F4C83D" w14:textId="562E2F67" w:rsidR="00BD3646" w:rsidRPr="00BD3646" w:rsidRDefault="00BD3646" w:rsidP="00537585">
      <w:pPr>
        <w:ind w:left="720"/>
        <w:rPr>
          <w:rFonts w:eastAsiaTheme="minorHAnsi" w:cs="Arial"/>
          <w:i/>
          <w:color w:val="000000"/>
        </w:rPr>
      </w:pPr>
      <w:proofErr w:type="gramStart"/>
      <w:r w:rsidRPr="004971B4">
        <w:rPr>
          <w:rFonts w:eastAsiaTheme="minorHAnsi" w:cs="Arial"/>
          <w:i/>
          <w:color w:val="000000"/>
        </w:rPr>
        <w:t xml:space="preserve">Patients with recurrent or metastatic HNSCC with disease progression on or after </w:t>
      </w:r>
      <w:r w:rsidR="005B1C86">
        <w:rPr>
          <w:rFonts w:eastAsiaTheme="minorHAnsi" w:cs="Arial"/>
          <w:i/>
          <w:color w:val="000000"/>
        </w:rPr>
        <w:t>platinum containing</w:t>
      </w:r>
      <w:r w:rsidRPr="004971B4">
        <w:rPr>
          <w:rFonts w:eastAsiaTheme="minorHAnsi" w:cs="Arial"/>
          <w:i/>
          <w:color w:val="000000"/>
        </w:rPr>
        <w:t xml:space="preserve"> chemotherapy.</w:t>
      </w:r>
      <w:proofErr w:type="gramEnd"/>
      <w:r w:rsidRPr="004971B4">
        <w:rPr>
          <w:rFonts w:eastAsiaTheme="minorHAnsi" w:cs="Arial"/>
          <w:i/>
          <w:color w:val="000000"/>
        </w:rPr>
        <w:t xml:space="preserve"> This indication</w:t>
      </w:r>
      <w:r w:rsidRPr="00BD3646">
        <w:rPr>
          <w:rFonts w:eastAsiaTheme="minorHAnsi" w:cs="Arial"/>
          <w:i/>
          <w:color w:val="000000"/>
        </w:rPr>
        <w:t xml:space="preserve"> is approved under accelerated approval based on </w:t>
      </w:r>
      <w:proofErr w:type="spellStart"/>
      <w:r w:rsidRPr="00BD3646">
        <w:rPr>
          <w:rFonts w:eastAsiaTheme="minorHAnsi" w:cs="Arial"/>
          <w:i/>
          <w:color w:val="000000"/>
        </w:rPr>
        <w:t>tumor</w:t>
      </w:r>
      <w:proofErr w:type="spellEnd"/>
      <w:r w:rsidRPr="00BD3646">
        <w:rPr>
          <w:rFonts w:eastAsiaTheme="minorHAnsi" w:cs="Arial"/>
          <w:i/>
          <w:color w:val="000000"/>
        </w:rPr>
        <w:t xml:space="preserve"> response rate and durability of response. Continued approval for this indication may be contingent upon verification and description of clinical benefit in the confirmatory trials. (1.3)</w:t>
      </w:r>
      <w:r w:rsidR="00D01AB0">
        <w:rPr>
          <w:rFonts w:eastAsiaTheme="minorHAnsi" w:cs="Arial"/>
          <w:i/>
          <w:color w:val="000000"/>
        </w:rPr>
        <w:t>’.</w:t>
      </w:r>
    </w:p>
    <w:p w14:paraId="07F4C83E" w14:textId="5CC7C310" w:rsidR="00BD3646" w:rsidRPr="00FC75EF" w:rsidRDefault="00BD3646" w:rsidP="00BD3646">
      <w:r w:rsidRPr="00FC75EF">
        <w:lastRenderedPageBreak/>
        <w:t xml:space="preserve">For </w:t>
      </w:r>
      <w:r w:rsidR="00537585">
        <w:t>second line</w:t>
      </w:r>
      <w:r w:rsidRPr="00FC75EF">
        <w:t xml:space="preserve"> NSCLC, accele</w:t>
      </w:r>
      <w:r w:rsidR="00C329E7">
        <w:t xml:space="preserve">rated approval was granted on 2 October </w:t>
      </w:r>
      <w:r w:rsidRPr="00FC75EF">
        <w:t xml:space="preserve">2015 supported by </w:t>
      </w:r>
      <w:r w:rsidR="00D01AB0">
        <w:t xml:space="preserve">the </w:t>
      </w:r>
      <w:r w:rsidR="005B1C86">
        <w:t>KEYNOTE-001</w:t>
      </w:r>
      <w:r w:rsidR="00D01AB0">
        <w:t xml:space="preserve"> trial</w:t>
      </w:r>
      <w:r w:rsidRPr="00FC75EF">
        <w:t>.</w:t>
      </w:r>
      <w:r w:rsidR="0046163D">
        <w:t xml:space="preserve"> </w:t>
      </w:r>
      <w:r w:rsidRPr="00FC75EF">
        <w:t>Conversion to ful</w:t>
      </w:r>
      <w:r w:rsidR="00C329E7">
        <w:t xml:space="preserve">l approval was granted on 24 October </w:t>
      </w:r>
      <w:r w:rsidRPr="00FC75EF">
        <w:t xml:space="preserve">2016 supported by </w:t>
      </w:r>
      <w:r w:rsidR="00D01AB0">
        <w:t xml:space="preserve">the </w:t>
      </w:r>
      <w:r w:rsidR="00691589">
        <w:t>KEYNOTE-010</w:t>
      </w:r>
      <w:r w:rsidR="00D01AB0">
        <w:t xml:space="preserve"> trial</w:t>
      </w:r>
      <w:r w:rsidRPr="00FC75EF">
        <w:t>.</w:t>
      </w:r>
    </w:p>
    <w:p w14:paraId="07F4C83F" w14:textId="06EA7A76" w:rsidR="00BD3646" w:rsidRPr="00FC75EF" w:rsidRDefault="00BD3646" w:rsidP="00BD3646">
      <w:r w:rsidRPr="00FC75EF">
        <w:t xml:space="preserve">Approval for </w:t>
      </w:r>
      <w:r w:rsidR="00985879">
        <w:t>first line</w:t>
      </w:r>
      <w:r w:rsidRPr="00FC75EF">
        <w:t xml:space="preserve"> NSCLC was given on </w:t>
      </w:r>
      <w:r w:rsidR="00C329E7">
        <w:t xml:space="preserve">24 October </w:t>
      </w:r>
      <w:r w:rsidR="00C329E7" w:rsidRPr="00FC75EF">
        <w:t>2016</w:t>
      </w:r>
      <w:r w:rsidR="00C329E7">
        <w:t xml:space="preserve"> </w:t>
      </w:r>
      <w:r w:rsidRPr="00FC75EF">
        <w:t xml:space="preserve">supported by </w:t>
      </w:r>
      <w:r w:rsidR="00D01AB0">
        <w:t xml:space="preserve">the </w:t>
      </w:r>
      <w:r w:rsidR="00691589">
        <w:t>KEYNOTE</w:t>
      </w:r>
      <w:r w:rsidR="00EC03E5">
        <w:noBreakHyphen/>
      </w:r>
      <w:r w:rsidR="00691589">
        <w:t>024</w:t>
      </w:r>
      <w:r w:rsidR="00EC03E5">
        <w:t xml:space="preserve"> trial</w:t>
      </w:r>
      <w:r w:rsidRPr="00FC75EF">
        <w:t>.</w:t>
      </w:r>
      <w:r w:rsidR="0046163D">
        <w:t xml:space="preserve"> </w:t>
      </w:r>
      <w:r w:rsidRPr="00FC75EF">
        <w:t xml:space="preserve">Final results of </w:t>
      </w:r>
      <w:r w:rsidR="00EC03E5">
        <w:t xml:space="preserve">the </w:t>
      </w:r>
      <w:r w:rsidR="00691589">
        <w:t>KEYNOTE-024</w:t>
      </w:r>
      <w:r w:rsidR="00EC03E5">
        <w:t xml:space="preserve"> trial</w:t>
      </w:r>
      <w:r w:rsidRPr="00FC75EF">
        <w:t xml:space="preserve"> are to be submitted by June</w:t>
      </w:r>
      <w:r w:rsidR="002777F2">
        <w:t> </w:t>
      </w:r>
      <w:r w:rsidRPr="00FC75EF">
        <w:t>2018</w:t>
      </w:r>
      <w:r w:rsidR="003A1169">
        <w:t>.</w:t>
      </w:r>
      <w:r w:rsidR="003A1169">
        <w:rPr>
          <w:rStyle w:val="FootnoteReference"/>
        </w:rPr>
        <w:footnoteReference w:id="27"/>
      </w:r>
      <w:r w:rsidRPr="00FC75EF">
        <w:t>(</w:t>
      </w:r>
      <w:proofErr w:type="gramStart"/>
      <w:r w:rsidRPr="00FC75EF">
        <w:t>ref</w:t>
      </w:r>
      <w:proofErr w:type="gramEnd"/>
      <w:r w:rsidRPr="00FC75EF">
        <w:t>: post-marketing commitment 3127-1).</w:t>
      </w:r>
    </w:p>
    <w:p w14:paraId="07F4C840" w14:textId="4EA518CC" w:rsidR="00BD3646" w:rsidRPr="00FC75EF" w:rsidRDefault="00BD3646" w:rsidP="00BD3646">
      <w:r w:rsidRPr="00FC75EF">
        <w:t>Also, final results of</w:t>
      </w:r>
      <w:r w:rsidR="00EC03E5">
        <w:t xml:space="preserve"> the</w:t>
      </w:r>
      <w:r w:rsidRPr="00FC75EF">
        <w:t xml:space="preserve"> K</w:t>
      </w:r>
      <w:r w:rsidR="005B1C86">
        <w:t>EY</w:t>
      </w:r>
      <w:r w:rsidRPr="00FC75EF">
        <w:t>N</w:t>
      </w:r>
      <w:r w:rsidR="005B1C86">
        <w:t>OTE-</w:t>
      </w:r>
      <w:r w:rsidRPr="00FC75EF">
        <w:t xml:space="preserve">042 </w:t>
      </w:r>
      <w:r w:rsidR="00EC03E5">
        <w:t xml:space="preserve">trial </w:t>
      </w:r>
      <w:r w:rsidRPr="00FC75EF">
        <w:t>are to be submitted by December 2018.</w:t>
      </w:r>
      <w:r w:rsidR="003A1169">
        <w:rPr>
          <w:rStyle w:val="FootnoteReference"/>
        </w:rPr>
        <w:footnoteReference w:id="28"/>
      </w:r>
      <w:r w:rsidR="0046163D">
        <w:t xml:space="preserve"> </w:t>
      </w:r>
      <w:r w:rsidR="00EC03E5">
        <w:t xml:space="preserve">The </w:t>
      </w:r>
      <w:r w:rsidR="005B1C86" w:rsidRPr="00FC75EF">
        <w:t>K</w:t>
      </w:r>
      <w:r w:rsidR="005B1C86">
        <w:t>EY</w:t>
      </w:r>
      <w:r w:rsidR="005B1C86" w:rsidRPr="00FC75EF">
        <w:t>N</w:t>
      </w:r>
      <w:r w:rsidR="005B1C86">
        <w:t>OTE-042</w:t>
      </w:r>
      <w:r w:rsidR="00EC03E5">
        <w:t xml:space="preserve"> trial</w:t>
      </w:r>
      <w:r w:rsidRPr="00C329E7">
        <w:t xml:space="preserve"> is described as</w:t>
      </w:r>
      <w:r w:rsidR="00EC03E5">
        <w:t>:</w:t>
      </w:r>
      <w:r w:rsidR="00EC03E5">
        <w:rPr>
          <w:color w:val="000000"/>
        </w:rPr>
        <w:t xml:space="preserve"> ‘A</w:t>
      </w:r>
      <w:r w:rsidR="004971B4">
        <w:rPr>
          <w:color w:val="000000"/>
        </w:rPr>
        <w:t xml:space="preserve"> </w:t>
      </w:r>
      <w:r w:rsidR="00EC03E5">
        <w:rPr>
          <w:color w:val="000000"/>
        </w:rPr>
        <w:t>r</w:t>
      </w:r>
      <w:r w:rsidR="004971B4">
        <w:rPr>
          <w:color w:val="000000"/>
        </w:rPr>
        <w:t>andomi</w:t>
      </w:r>
      <w:r w:rsidR="00EC03E5">
        <w:rPr>
          <w:color w:val="000000"/>
        </w:rPr>
        <w:t>s</w:t>
      </w:r>
      <w:r w:rsidR="004971B4">
        <w:rPr>
          <w:color w:val="000000"/>
        </w:rPr>
        <w:t xml:space="preserve">ed, </w:t>
      </w:r>
      <w:r w:rsidR="00EC03E5">
        <w:rPr>
          <w:color w:val="000000"/>
        </w:rPr>
        <w:t>o</w:t>
      </w:r>
      <w:r w:rsidR="004971B4">
        <w:rPr>
          <w:color w:val="000000"/>
        </w:rPr>
        <w:t xml:space="preserve">pen </w:t>
      </w:r>
      <w:r w:rsidR="00EC03E5">
        <w:rPr>
          <w:color w:val="000000"/>
        </w:rPr>
        <w:t>l</w:t>
      </w:r>
      <w:r w:rsidR="004971B4">
        <w:rPr>
          <w:color w:val="000000"/>
        </w:rPr>
        <w:t>abel</w:t>
      </w:r>
      <w:r w:rsidR="00EC03E5">
        <w:rPr>
          <w:color w:val="000000"/>
        </w:rPr>
        <w:t>,</w:t>
      </w:r>
      <w:r w:rsidRPr="00C329E7">
        <w:rPr>
          <w:color w:val="000000"/>
        </w:rPr>
        <w:t xml:space="preserve"> Phase III Study of </w:t>
      </w:r>
      <w:r w:rsidR="00EC03E5">
        <w:rPr>
          <w:color w:val="000000"/>
        </w:rPr>
        <w:t>o</w:t>
      </w:r>
      <w:r w:rsidRPr="00C329E7">
        <w:rPr>
          <w:color w:val="000000"/>
        </w:rPr>
        <w:t xml:space="preserve">verall </w:t>
      </w:r>
      <w:r w:rsidR="00EC03E5">
        <w:rPr>
          <w:color w:val="000000"/>
        </w:rPr>
        <w:t>s</w:t>
      </w:r>
      <w:r w:rsidRPr="00C329E7">
        <w:rPr>
          <w:color w:val="000000"/>
        </w:rPr>
        <w:t xml:space="preserve">urvival </w:t>
      </w:r>
      <w:r w:rsidR="00EC03E5">
        <w:rPr>
          <w:color w:val="000000"/>
        </w:rPr>
        <w:t>c</w:t>
      </w:r>
      <w:r w:rsidRPr="00C329E7">
        <w:rPr>
          <w:color w:val="000000"/>
        </w:rPr>
        <w:t xml:space="preserve">omparing </w:t>
      </w:r>
      <w:r w:rsidR="00EC03E5">
        <w:rPr>
          <w:color w:val="000000"/>
        </w:rPr>
        <w:t>p</w:t>
      </w:r>
      <w:r w:rsidRPr="00C329E7">
        <w:rPr>
          <w:color w:val="000000"/>
        </w:rPr>
        <w:t xml:space="preserve">embrolizumab (MK-3475) versus </w:t>
      </w:r>
      <w:r w:rsidR="00EC03E5">
        <w:rPr>
          <w:color w:val="000000"/>
        </w:rPr>
        <w:t>p</w:t>
      </w:r>
      <w:r w:rsidR="00EC03E5" w:rsidRPr="00C329E7">
        <w:rPr>
          <w:color w:val="000000"/>
        </w:rPr>
        <w:t xml:space="preserve">latinum </w:t>
      </w:r>
      <w:r w:rsidR="00EC03E5">
        <w:rPr>
          <w:color w:val="000000"/>
        </w:rPr>
        <w:t>b</w:t>
      </w:r>
      <w:r w:rsidR="00EC03E5" w:rsidRPr="00C329E7">
        <w:rPr>
          <w:color w:val="000000"/>
        </w:rPr>
        <w:t xml:space="preserve">ased </w:t>
      </w:r>
      <w:r w:rsidR="00EC03E5">
        <w:rPr>
          <w:color w:val="000000"/>
        </w:rPr>
        <w:t>c</w:t>
      </w:r>
      <w:r w:rsidR="00EC03E5" w:rsidRPr="00C329E7">
        <w:rPr>
          <w:color w:val="000000"/>
        </w:rPr>
        <w:t xml:space="preserve">hemotherapy </w:t>
      </w:r>
      <w:r w:rsidRPr="00C329E7">
        <w:rPr>
          <w:color w:val="000000"/>
        </w:rPr>
        <w:t xml:space="preserve">in </w:t>
      </w:r>
      <w:r w:rsidR="00EC03E5">
        <w:rPr>
          <w:color w:val="000000"/>
        </w:rPr>
        <w:t>t</w:t>
      </w:r>
      <w:r w:rsidRPr="00C329E7">
        <w:rPr>
          <w:color w:val="000000"/>
        </w:rPr>
        <w:t xml:space="preserve">reatment </w:t>
      </w:r>
      <w:r w:rsidR="00EC03E5">
        <w:rPr>
          <w:color w:val="000000"/>
        </w:rPr>
        <w:t>n</w:t>
      </w:r>
      <w:r w:rsidRPr="00C329E7">
        <w:rPr>
          <w:color w:val="000000"/>
        </w:rPr>
        <w:t xml:space="preserve">aïve </w:t>
      </w:r>
      <w:r w:rsidR="00EC03E5">
        <w:rPr>
          <w:color w:val="000000"/>
        </w:rPr>
        <w:t>s</w:t>
      </w:r>
      <w:r w:rsidRPr="00C329E7">
        <w:rPr>
          <w:color w:val="000000"/>
        </w:rPr>
        <w:t xml:space="preserve">ubjects with PD-L1 </w:t>
      </w:r>
      <w:r w:rsidR="00EC03E5">
        <w:rPr>
          <w:color w:val="000000"/>
        </w:rPr>
        <w:t>p</w:t>
      </w:r>
      <w:r w:rsidRPr="00C329E7">
        <w:rPr>
          <w:color w:val="000000"/>
        </w:rPr>
        <w:t xml:space="preserve">ositive </w:t>
      </w:r>
      <w:r w:rsidR="00EC03E5">
        <w:rPr>
          <w:color w:val="000000"/>
        </w:rPr>
        <w:t>a</w:t>
      </w:r>
      <w:r w:rsidR="00EC03E5" w:rsidRPr="00C329E7">
        <w:rPr>
          <w:color w:val="000000"/>
        </w:rPr>
        <w:t xml:space="preserve">dvanced </w:t>
      </w:r>
      <w:r w:rsidRPr="00C329E7">
        <w:rPr>
          <w:color w:val="000000"/>
        </w:rPr>
        <w:t xml:space="preserve">or </w:t>
      </w:r>
      <w:r w:rsidR="00EC03E5">
        <w:rPr>
          <w:color w:val="000000"/>
        </w:rPr>
        <w:t>m</w:t>
      </w:r>
      <w:r w:rsidRPr="00C329E7">
        <w:rPr>
          <w:color w:val="000000"/>
        </w:rPr>
        <w:t xml:space="preserve">etastatic </w:t>
      </w:r>
      <w:r w:rsidR="00EC03E5">
        <w:rPr>
          <w:color w:val="000000"/>
        </w:rPr>
        <w:t>n</w:t>
      </w:r>
      <w:r w:rsidRPr="00C329E7">
        <w:rPr>
          <w:color w:val="000000"/>
        </w:rPr>
        <w:t>on-</w:t>
      </w:r>
      <w:r w:rsidR="00EC03E5">
        <w:rPr>
          <w:color w:val="000000"/>
        </w:rPr>
        <w:t>s</w:t>
      </w:r>
      <w:r w:rsidRPr="00C329E7">
        <w:rPr>
          <w:color w:val="000000"/>
        </w:rPr>
        <w:t xml:space="preserve">mall </w:t>
      </w:r>
      <w:r w:rsidR="00EC03E5">
        <w:rPr>
          <w:color w:val="000000"/>
        </w:rPr>
        <w:t>c</w:t>
      </w:r>
      <w:r w:rsidRPr="00C329E7">
        <w:rPr>
          <w:color w:val="000000"/>
        </w:rPr>
        <w:t xml:space="preserve">ell </w:t>
      </w:r>
      <w:r w:rsidR="00EC03E5">
        <w:rPr>
          <w:color w:val="000000"/>
        </w:rPr>
        <w:t>l</w:t>
      </w:r>
      <w:r w:rsidRPr="00C329E7">
        <w:rPr>
          <w:color w:val="000000"/>
        </w:rPr>
        <w:t xml:space="preserve">ung </w:t>
      </w:r>
      <w:r w:rsidR="00EC03E5">
        <w:rPr>
          <w:color w:val="000000"/>
        </w:rPr>
        <w:t>c</w:t>
      </w:r>
      <w:r w:rsidRPr="00C329E7">
        <w:rPr>
          <w:color w:val="000000"/>
        </w:rPr>
        <w:t>ancer</w:t>
      </w:r>
      <w:r w:rsidR="00EC03E5">
        <w:rPr>
          <w:color w:val="000000"/>
        </w:rPr>
        <w:t>’.</w:t>
      </w:r>
      <w:r w:rsidR="0046163D" w:rsidRPr="00C329E7">
        <w:rPr>
          <w:color w:val="000000"/>
        </w:rPr>
        <w:t xml:space="preserve"> </w:t>
      </w:r>
      <w:r w:rsidRPr="00C329E7">
        <w:rPr>
          <w:color w:val="000000"/>
        </w:rPr>
        <w:t xml:space="preserve">This implies that patients with PD-L1 positive (not just strongly positive) tumours are being studied; and that patients with advanced </w:t>
      </w:r>
      <w:r w:rsidR="00931E21" w:rsidRPr="00C329E7">
        <w:rPr>
          <w:color w:val="000000"/>
        </w:rPr>
        <w:t xml:space="preserve">NSCLC </w:t>
      </w:r>
      <w:r w:rsidRPr="00C329E7">
        <w:rPr>
          <w:color w:val="000000"/>
        </w:rPr>
        <w:t>not just metastatic</w:t>
      </w:r>
      <w:r w:rsidR="00931E21">
        <w:rPr>
          <w:color w:val="000000"/>
        </w:rPr>
        <w:t xml:space="preserve"> (that is not just Stage IV disease) </w:t>
      </w:r>
      <w:r w:rsidRPr="00C329E7">
        <w:rPr>
          <w:color w:val="000000"/>
        </w:rPr>
        <w:t>may be under stud</w:t>
      </w:r>
      <w:r w:rsidRPr="00FC75EF">
        <w:rPr>
          <w:i/>
          <w:color w:val="000000"/>
        </w:rPr>
        <w:t>y.</w:t>
      </w:r>
    </w:p>
    <w:p w14:paraId="07F4C841" w14:textId="77777777" w:rsidR="00BD3646" w:rsidRPr="00FC75EF" w:rsidRDefault="00C329E7" w:rsidP="002777F2">
      <w:pPr>
        <w:pStyle w:val="Heading5"/>
      </w:pPr>
      <w:r>
        <w:t xml:space="preserve">EU; EMA (checked 2 December </w:t>
      </w:r>
      <w:r w:rsidR="00BD3646" w:rsidRPr="00FC75EF">
        <w:t>2016)</w:t>
      </w:r>
    </w:p>
    <w:p w14:paraId="07F4C842" w14:textId="77777777" w:rsidR="00BD3646" w:rsidRPr="00FC75EF" w:rsidRDefault="00BD3646" w:rsidP="00BD3646">
      <w:r w:rsidRPr="00FC75EF">
        <w:t>Pembrolizumab is approved for the following uses:</w:t>
      </w:r>
    </w:p>
    <w:p w14:paraId="07F4C843" w14:textId="0E4D0304" w:rsidR="00BD3646" w:rsidRPr="00BD3646" w:rsidRDefault="003A1169" w:rsidP="00BD3646">
      <w:pPr>
        <w:ind w:left="720"/>
        <w:rPr>
          <w:rFonts w:eastAsia="TimesNewRoman" w:cs="TimesNewRoman"/>
          <w:i/>
        </w:rPr>
      </w:pPr>
      <w:r>
        <w:rPr>
          <w:rFonts w:eastAsia="TimesNewRoman" w:cs="TimesNewRoman"/>
          <w:i/>
        </w:rPr>
        <w:t>‘</w:t>
      </w:r>
      <w:r w:rsidR="00C329E7">
        <w:rPr>
          <w:rFonts w:eastAsia="TimesNewRoman" w:cs="TimesNewRoman"/>
          <w:i/>
        </w:rPr>
        <w:t>Keytruda</w:t>
      </w:r>
      <w:r w:rsidR="00BD3646" w:rsidRPr="00BD3646">
        <w:rPr>
          <w:rFonts w:eastAsia="TimesNewRoman" w:cs="TimesNewRoman"/>
          <w:i/>
        </w:rPr>
        <w:t xml:space="preserve"> as monotherapy is indicated for the treatment of advanced (unresectable or metastatic) melanoma in adults.</w:t>
      </w:r>
    </w:p>
    <w:p w14:paraId="07F4C844" w14:textId="0CFAD00D" w:rsidR="00BD3646" w:rsidRPr="00BD3646" w:rsidRDefault="00C329E7" w:rsidP="00BD3646">
      <w:pPr>
        <w:ind w:left="720"/>
        <w:rPr>
          <w:rFonts w:eastAsia="TimesNewRoman" w:cs="TimesNewRoman"/>
          <w:i/>
        </w:rPr>
      </w:pPr>
      <w:r>
        <w:rPr>
          <w:rFonts w:eastAsia="TimesNewRoman" w:cs="TimesNewRoman"/>
          <w:i/>
        </w:rPr>
        <w:t>Keytruda</w:t>
      </w:r>
      <w:r w:rsidR="00BD3646" w:rsidRPr="00BD3646">
        <w:rPr>
          <w:rFonts w:eastAsia="TimesNewRoman" w:cs="TimesNewRoman"/>
          <w:i/>
        </w:rPr>
        <w:t xml:space="preserve"> is indicated for the treatment of locally advanced or metastatic non-small cell lung carcinoma (NSCLC) in adults whose tumours express PD-L1 and who have received at least one prior chemotherapy regimen. Patients with EGFR or ALK positive tumour mutations should also have received approved therapy for these mutations prior to receiving </w:t>
      </w:r>
      <w:r>
        <w:rPr>
          <w:rFonts w:eastAsia="TimesNewRoman" w:cs="TimesNewRoman"/>
          <w:i/>
        </w:rPr>
        <w:t>Keytruda</w:t>
      </w:r>
      <w:r w:rsidR="00BD3646" w:rsidRPr="00BD3646">
        <w:rPr>
          <w:rFonts w:eastAsia="TimesNewRoman" w:cs="TimesNewRoman"/>
          <w:i/>
        </w:rPr>
        <w:t>.</w:t>
      </w:r>
      <w:r w:rsidR="003A1169">
        <w:rPr>
          <w:rFonts w:eastAsia="TimesNewRoman" w:cs="TimesNewRoman"/>
          <w:i/>
        </w:rPr>
        <w:t>’</w:t>
      </w:r>
    </w:p>
    <w:p w14:paraId="07F4C846" w14:textId="6EC755AE" w:rsidR="00BD3646" w:rsidRDefault="00BD3646" w:rsidP="00BD3646">
      <w:pPr>
        <w:pStyle w:val="Heading3"/>
      </w:pPr>
      <w:bookmarkStart w:id="158" w:name="_Toc513458945"/>
      <w:r>
        <w:t xml:space="preserve">Clinical </w:t>
      </w:r>
      <w:r w:rsidR="00A16BBB">
        <w:t>e</w:t>
      </w:r>
      <w:r>
        <w:t xml:space="preserve">valuation </w:t>
      </w:r>
      <w:r w:rsidR="00A16BBB">
        <w:t xml:space="preserve">for </w:t>
      </w:r>
      <w:r>
        <w:t>Submission PM-2015-04712-1-4</w:t>
      </w:r>
      <w:bookmarkEnd w:id="158"/>
    </w:p>
    <w:p w14:paraId="07F4C847" w14:textId="39DB4A8B" w:rsidR="00BD3646" w:rsidRPr="00BD3646" w:rsidRDefault="004971B4" w:rsidP="00C329E7">
      <w:r>
        <w:t>Data included in the d</w:t>
      </w:r>
      <w:r w:rsidR="00BD3646" w:rsidRPr="00FC75EF">
        <w:t xml:space="preserve">ossier are listed </w:t>
      </w:r>
      <w:r w:rsidR="005B1C86">
        <w:t xml:space="preserve">in </w:t>
      </w:r>
      <w:r w:rsidR="00C329E7" w:rsidRPr="003851B2">
        <w:t>Attachment 2</w:t>
      </w:r>
      <w:r w:rsidR="00887E1B">
        <w:t xml:space="preserve">, </w:t>
      </w:r>
      <w:r w:rsidR="00BD3646" w:rsidRPr="003851B2">
        <w:t>page</w:t>
      </w:r>
      <w:r w:rsidR="00887E1B">
        <w:t>s</w:t>
      </w:r>
      <w:r w:rsidR="00BD3646" w:rsidRPr="003851B2">
        <w:t xml:space="preserve"> </w:t>
      </w:r>
      <w:r w:rsidR="003851B2" w:rsidRPr="003851B2">
        <w:t>8 and</w:t>
      </w:r>
      <w:r w:rsidR="003851B2">
        <w:t xml:space="preserve"> 9</w:t>
      </w:r>
      <w:r w:rsidR="00BD3646" w:rsidRPr="00FC75EF">
        <w:t>.</w:t>
      </w:r>
      <w:r w:rsidR="0046163D">
        <w:t xml:space="preserve"> </w:t>
      </w:r>
      <w:r w:rsidR="00BD3646" w:rsidRPr="00FC75EF">
        <w:t xml:space="preserve">The </w:t>
      </w:r>
      <w:r w:rsidR="00887E1B">
        <w:t>d</w:t>
      </w:r>
      <w:r w:rsidR="00BD3646" w:rsidRPr="00FC75EF">
        <w:t xml:space="preserve">ossier included </w:t>
      </w:r>
      <w:r w:rsidR="00887E1B">
        <w:t xml:space="preserve">the </w:t>
      </w:r>
      <w:r w:rsidR="00BD3646" w:rsidRPr="00FC75EF">
        <w:t xml:space="preserve">pivotal </w:t>
      </w:r>
      <w:r w:rsidR="00691589">
        <w:t>KEYNOTE-010</w:t>
      </w:r>
      <w:r w:rsidR="00887E1B">
        <w:t xml:space="preserve"> trial</w:t>
      </w:r>
      <w:r w:rsidR="00BD3646" w:rsidRPr="00FC75EF">
        <w:t xml:space="preserve"> and </w:t>
      </w:r>
      <w:r w:rsidR="00887E1B">
        <w:t xml:space="preserve">the </w:t>
      </w:r>
      <w:r w:rsidR="00BD3646" w:rsidRPr="00FC75EF">
        <w:t xml:space="preserve">supportive </w:t>
      </w:r>
      <w:r w:rsidR="005B1C86">
        <w:t>KEYNOTE-001</w:t>
      </w:r>
      <w:r w:rsidR="00887E1B">
        <w:t xml:space="preserve"> trial</w:t>
      </w:r>
      <w:r w:rsidR="00BD3646" w:rsidRPr="00FC75EF">
        <w:t>.</w:t>
      </w:r>
      <w:r w:rsidR="0046163D">
        <w:t xml:space="preserve"> </w:t>
      </w:r>
      <w:r w:rsidR="00BD3646" w:rsidRPr="00FC75EF">
        <w:t>A</w:t>
      </w:r>
      <w:r w:rsidR="00887E1B">
        <w:t> </w:t>
      </w:r>
      <w:r w:rsidR="00BD3646" w:rsidRPr="00FC75EF">
        <w:t xml:space="preserve">population </w:t>
      </w:r>
      <w:r w:rsidR="00887E1B">
        <w:t>pharmacokinetics</w:t>
      </w:r>
      <w:r w:rsidR="00887E1B" w:rsidRPr="00FC75EF">
        <w:t xml:space="preserve"> </w:t>
      </w:r>
      <w:r w:rsidR="00BD3646" w:rsidRPr="00FC75EF">
        <w:t>analysis was updated to included studies in NSCLC.</w:t>
      </w:r>
    </w:p>
    <w:p w14:paraId="07F4C848" w14:textId="77777777" w:rsidR="007B6132" w:rsidRDefault="007B6132" w:rsidP="00555280">
      <w:pPr>
        <w:pStyle w:val="Heading4"/>
      </w:pPr>
      <w:r w:rsidRPr="007B6132">
        <w:t>Clin</w:t>
      </w:r>
      <w:r w:rsidR="00BD3646">
        <w:t>ical evaluator’s recommendation</w:t>
      </w:r>
    </w:p>
    <w:p w14:paraId="07F4C849" w14:textId="77777777" w:rsidR="00BD3646" w:rsidRPr="00FC75EF" w:rsidRDefault="00BD3646" w:rsidP="00BD3646">
      <w:r w:rsidRPr="00FC75EF">
        <w:t>It is recommended to the Delegate that pembrolizumab be approved for the indication:</w:t>
      </w:r>
    </w:p>
    <w:p w14:paraId="07F4C84A" w14:textId="5AD22176" w:rsidR="00BD3646" w:rsidRPr="00BD3646" w:rsidRDefault="00887E1B" w:rsidP="00BD3646">
      <w:pPr>
        <w:ind w:left="720"/>
        <w:rPr>
          <w:i/>
        </w:rPr>
      </w:pPr>
      <w:r>
        <w:rPr>
          <w:i/>
        </w:rPr>
        <w:t>‘</w:t>
      </w:r>
      <w:r w:rsidR="00C329E7">
        <w:rPr>
          <w:i/>
        </w:rPr>
        <w:t>Keytruda</w:t>
      </w:r>
      <w:r w:rsidR="00BD3646" w:rsidRPr="00BD3646">
        <w:rPr>
          <w:i/>
        </w:rPr>
        <w:t xml:space="preserve"> is indicated for the treatment of patients with advanced non-small cell lung carcinoma (NSCLC) whose tumours express PD-L1 and who have received </w:t>
      </w:r>
      <w:r w:rsidR="005B1C86">
        <w:rPr>
          <w:i/>
        </w:rPr>
        <w:t>platinum containing</w:t>
      </w:r>
      <w:r w:rsidR="00BD3646" w:rsidRPr="00BD3646">
        <w:rPr>
          <w:i/>
        </w:rPr>
        <w:t xml:space="preserve"> chemotherapy. Patients with EGFR or ALK genomic tumour aberrations should also have received approved therapy for these aberrations prior to receiving </w:t>
      </w:r>
      <w:r w:rsidR="00C329E7">
        <w:rPr>
          <w:i/>
        </w:rPr>
        <w:t>Keytruda</w:t>
      </w:r>
      <w:r>
        <w:rPr>
          <w:i/>
        </w:rPr>
        <w:t>’.</w:t>
      </w:r>
    </w:p>
    <w:p w14:paraId="07F4C84B" w14:textId="77777777" w:rsidR="00BD3646" w:rsidRPr="00FC75EF" w:rsidRDefault="00BD3646" w:rsidP="00BD3646">
      <w:pPr>
        <w:pStyle w:val="Heading4"/>
      </w:pPr>
      <w:r w:rsidRPr="00FC75EF">
        <w:t>Pharmacology</w:t>
      </w:r>
    </w:p>
    <w:p w14:paraId="07F4C84C" w14:textId="7B9AABB5" w:rsidR="00BD3646" w:rsidRPr="00FC75EF" w:rsidRDefault="00BD3646" w:rsidP="00BD3646">
      <w:r w:rsidRPr="00FC75EF">
        <w:t xml:space="preserve">Information in the </w:t>
      </w:r>
      <w:r w:rsidR="00887E1B">
        <w:t>d</w:t>
      </w:r>
      <w:r w:rsidRPr="00FC75EF">
        <w:t xml:space="preserve">ossier did not substantially change the understanding of </w:t>
      </w:r>
      <w:r w:rsidR="00887E1B">
        <w:t>the pharmacokinetics</w:t>
      </w:r>
      <w:r w:rsidR="00887E1B" w:rsidRPr="00FC75EF">
        <w:t xml:space="preserve"> </w:t>
      </w:r>
      <w:r w:rsidRPr="00FC75EF">
        <w:t xml:space="preserve">for </w:t>
      </w:r>
      <w:r w:rsidR="003851B2">
        <w:t xml:space="preserve">pembrolizumab </w:t>
      </w:r>
      <w:r w:rsidRPr="003851B2">
        <w:t>CER</w:t>
      </w:r>
      <w:r w:rsidRPr="003851B2">
        <w:rPr>
          <w:vertAlign w:val="superscript"/>
        </w:rPr>
        <w:t>2L</w:t>
      </w:r>
      <w:r w:rsidRPr="003851B2">
        <w:t xml:space="preserve"> </w:t>
      </w:r>
      <w:r w:rsidR="003851B2">
        <w:t>(</w:t>
      </w:r>
      <w:r w:rsidR="00887E1B">
        <w:t xml:space="preserve">see </w:t>
      </w:r>
      <w:r w:rsidR="004971B4" w:rsidRPr="003851B2">
        <w:t>Attachment 2</w:t>
      </w:r>
      <w:r w:rsidR="00887E1B">
        <w:t>,</w:t>
      </w:r>
      <w:r w:rsidR="003851B2" w:rsidRPr="003851B2">
        <w:t xml:space="preserve"> </w:t>
      </w:r>
      <w:r w:rsidRPr="003851B2">
        <w:t>page</w:t>
      </w:r>
      <w:r w:rsidR="003851B2">
        <w:t>s</w:t>
      </w:r>
      <w:r w:rsidRPr="003851B2">
        <w:t xml:space="preserve"> </w:t>
      </w:r>
      <w:r w:rsidR="003851B2" w:rsidRPr="003851B2">
        <w:t>11</w:t>
      </w:r>
      <w:r w:rsidR="00887E1B">
        <w:t xml:space="preserve"> </w:t>
      </w:r>
      <w:r w:rsidR="003851B2">
        <w:t xml:space="preserve">and </w:t>
      </w:r>
      <w:r w:rsidRPr="003851B2">
        <w:t>39).</w:t>
      </w:r>
    </w:p>
    <w:p w14:paraId="07F4C84D" w14:textId="77777777" w:rsidR="00BD3646" w:rsidRPr="00FC75EF" w:rsidRDefault="00BD3646" w:rsidP="00BD3646">
      <w:pPr>
        <w:pStyle w:val="Heading4"/>
      </w:pPr>
      <w:r w:rsidRPr="00FC75EF">
        <w:lastRenderedPageBreak/>
        <w:t>Efficacy</w:t>
      </w:r>
    </w:p>
    <w:p w14:paraId="07F4C84E" w14:textId="5A8A9D46" w:rsidR="00BD3646" w:rsidRPr="00BD3646" w:rsidRDefault="00887E1B" w:rsidP="00BD3646">
      <w:pPr>
        <w:pStyle w:val="Heading5"/>
      </w:pPr>
      <w:r>
        <w:t xml:space="preserve">The </w:t>
      </w:r>
      <w:r w:rsidR="00691589">
        <w:t>KEYNOTE-010</w:t>
      </w:r>
      <w:r>
        <w:t xml:space="preserve"> trial</w:t>
      </w:r>
    </w:p>
    <w:p w14:paraId="07F4C84F" w14:textId="5AF03574" w:rsidR="00BD3646" w:rsidRPr="00FC75EF" w:rsidRDefault="00BD3646" w:rsidP="00BD3646">
      <w:r w:rsidRPr="00FC75EF">
        <w:t xml:space="preserve">This pivotal </w:t>
      </w:r>
      <w:r w:rsidR="00887E1B">
        <w:t>trial</w:t>
      </w:r>
      <w:r w:rsidRPr="00FC75EF">
        <w:t xml:space="preserve"> is described and evaluated </w:t>
      </w:r>
      <w:r w:rsidR="005B1C86">
        <w:t xml:space="preserve">in </w:t>
      </w:r>
      <w:r w:rsidR="004971B4" w:rsidRPr="003851B2">
        <w:t>Attachment 2</w:t>
      </w:r>
      <w:r w:rsidR="005B1C86">
        <w:t>; Section 7</w:t>
      </w:r>
      <w:r w:rsidRPr="00FC75EF">
        <w:t>.</w:t>
      </w:r>
      <w:r w:rsidR="0046163D">
        <w:t xml:space="preserve"> </w:t>
      </w:r>
      <w:r w:rsidRPr="00FC75EF">
        <w:t>The data</w:t>
      </w:r>
      <w:r w:rsidR="003851B2">
        <w:t xml:space="preserve"> cut</w:t>
      </w:r>
      <w:r w:rsidR="00887E1B">
        <w:t xml:space="preserve"> </w:t>
      </w:r>
      <w:r w:rsidR="003851B2">
        <w:t xml:space="preserve">off used in the CSR was 30 September </w:t>
      </w:r>
      <w:r w:rsidRPr="00FC75EF">
        <w:t>2015.</w:t>
      </w:r>
    </w:p>
    <w:p w14:paraId="07F4C850" w14:textId="03064819" w:rsidR="00BD3646" w:rsidRPr="003851B2" w:rsidRDefault="003851B2" w:rsidP="00BD3646">
      <w:pPr>
        <w:rPr>
          <w:rFonts w:asciiTheme="minorHAnsi" w:hAnsiTheme="minorHAnsi"/>
        </w:rPr>
      </w:pPr>
      <w:r w:rsidRPr="003851B2">
        <w:rPr>
          <w:rFonts w:asciiTheme="minorHAnsi" w:hAnsiTheme="minorHAnsi"/>
        </w:rPr>
        <w:t xml:space="preserve">Assessed were </w:t>
      </w:r>
      <w:r w:rsidR="00BD3646" w:rsidRPr="003851B2">
        <w:rPr>
          <w:rFonts w:asciiTheme="minorHAnsi" w:hAnsiTheme="minorHAnsi"/>
        </w:rPr>
        <w:t xml:space="preserve">1034 patients with NSCLC with PD-L1 positive tumours who had experienced disease progression after </w:t>
      </w:r>
      <w:r w:rsidR="005B1C86">
        <w:rPr>
          <w:rFonts w:asciiTheme="minorHAnsi" w:hAnsiTheme="minorHAnsi"/>
        </w:rPr>
        <w:t>platinum containing</w:t>
      </w:r>
      <w:r w:rsidR="00BD3646" w:rsidRPr="003851B2">
        <w:rPr>
          <w:rFonts w:asciiTheme="minorHAnsi" w:hAnsiTheme="minorHAnsi"/>
        </w:rPr>
        <w:t xml:space="preserve"> systemic therapy were randomised into one of three groups, </w:t>
      </w:r>
      <w:r w:rsidR="0022467B">
        <w:rPr>
          <w:rFonts w:asciiTheme="minorHAnsi" w:hAnsiTheme="minorHAnsi"/>
        </w:rPr>
        <w:t>and</w:t>
      </w:r>
      <w:r w:rsidR="0022467B" w:rsidRPr="003851B2">
        <w:rPr>
          <w:rFonts w:asciiTheme="minorHAnsi" w:hAnsiTheme="minorHAnsi"/>
        </w:rPr>
        <w:t xml:space="preserve"> </w:t>
      </w:r>
      <w:r w:rsidR="00BD3646" w:rsidRPr="003851B2">
        <w:rPr>
          <w:rFonts w:asciiTheme="minorHAnsi" w:hAnsiTheme="minorHAnsi"/>
        </w:rPr>
        <w:t>given treatment every three weeks (Q3W):</w:t>
      </w:r>
    </w:p>
    <w:p w14:paraId="07F4C851" w14:textId="77777777" w:rsidR="00BD3646" w:rsidRPr="00FC75EF" w:rsidRDefault="00BD3646" w:rsidP="00BD3646">
      <w:pPr>
        <w:pStyle w:val="ListBullet"/>
      </w:pPr>
      <w:r w:rsidRPr="00FC75EF">
        <w:t>pembrolizumab 2 mg/kg (</w:t>
      </w:r>
      <w:r w:rsidR="0046163D">
        <w:t xml:space="preserve">n = </w:t>
      </w:r>
      <w:r w:rsidRPr="00FC75EF">
        <w:t>345)</w:t>
      </w:r>
    </w:p>
    <w:p w14:paraId="07F4C852" w14:textId="77777777" w:rsidR="00BD3646" w:rsidRDefault="00BD3646" w:rsidP="00BD3646">
      <w:pPr>
        <w:pStyle w:val="ListBullet"/>
      </w:pPr>
      <w:r w:rsidRPr="00FC75EF">
        <w:t>pembrolizumab 10 mg/kg (</w:t>
      </w:r>
      <w:r w:rsidR="0046163D">
        <w:t xml:space="preserve">n = </w:t>
      </w:r>
      <w:r w:rsidRPr="00FC75EF">
        <w:t>346)</w:t>
      </w:r>
    </w:p>
    <w:p w14:paraId="07F4C853" w14:textId="050C8713" w:rsidR="00BD3646" w:rsidRDefault="00BD3646" w:rsidP="00BD3646">
      <w:pPr>
        <w:pStyle w:val="ListBullet"/>
      </w:pPr>
      <w:proofErr w:type="gramStart"/>
      <w:r w:rsidRPr="00FC75EF">
        <w:t>docetaxel</w:t>
      </w:r>
      <w:proofErr w:type="gramEnd"/>
      <w:r w:rsidRPr="00FC75EF">
        <w:t xml:space="preserve"> 75 mg/</w:t>
      </w:r>
      <w:r w:rsidR="00441A46" w:rsidRPr="00441A46">
        <w:t>m</w:t>
      </w:r>
      <w:r w:rsidR="00441A46" w:rsidRPr="00441A46">
        <w:rPr>
          <w:vertAlign w:val="superscript"/>
        </w:rPr>
        <w:t>2</w:t>
      </w:r>
      <w:r w:rsidRPr="00FC75EF">
        <w:rPr>
          <w:vertAlign w:val="superscript"/>
        </w:rPr>
        <w:t xml:space="preserve"> </w:t>
      </w:r>
      <w:r w:rsidRPr="00FC75EF">
        <w:t>(</w:t>
      </w:r>
      <w:r w:rsidR="0046163D">
        <w:t xml:space="preserve">n = </w:t>
      </w:r>
      <w:r w:rsidRPr="00FC75EF">
        <w:t>343)</w:t>
      </w:r>
      <w:r w:rsidR="0003440A">
        <w:t>.</w:t>
      </w:r>
    </w:p>
    <w:p w14:paraId="07F4C854" w14:textId="77777777" w:rsidR="00BD3646" w:rsidRPr="00FC75EF" w:rsidRDefault="00BD3646" w:rsidP="00361C89">
      <w:r w:rsidRPr="00FC75EF">
        <w:t>PD-L1 positivity (using the Clinical Trial Assay</w:t>
      </w:r>
      <w:r>
        <w:t xml:space="preserve">, </w:t>
      </w:r>
      <w:r w:rsidR="002D1E8D">
        <w:t>(</w:t>
      </w:r>
      <w:r>
        <w:t>CTA</w:t>
      </w:r>
      <w:r w:rsidR="002D1E8D">
        <w:t>)</w:t>
      </w:r>
      <w:r w:rsidRPr="00FC75EF">
        <w:t>) was classed as:</w:t>
      </w:r>
    </w:p>
    <w:p w14:paraId="07F4C855" w14:textId="230887FA" w:rsidR="00BD3646" w:rsidRPr="00FC75EF" w:rsidRDefault="00BD3646" w:rsidP="00361C89">
      <w:pPr>
        <w:pStyle w:val="ListBullet"/>
      </w:pPr>
      <w:r w:rsidRPr="00FC75EF">
        <w:t xml:space="preserve">strongly positive (TPS </w:t>
      </w:r>
      <w:r w:rsidR="0046163D">
        <w:t xml:space="preserve">≥ </w:t>
      </w:r>
      <w:r w:rsidRPr="00FC75EF">
        <w:t>50%)</w:t>
      </w:r>
      <w:r w:rsidR="00536A35">
        <w:t>;</w:t>
      </w:r>
      <w:r w:rsidRPr="00FC75EF">
        <w:t xml:space="preserve"> or</w:t>
      </w:r>
    </w:p>
    <w:p w14:paraId="07F4C856" w14:textId="77777777" w:rsidR="00BD3646" w:rsidRPr="00FC75EF" w:rsidRDefault="00BD3646" w:rsidP="00361C89">
      <w:pPr>
        <w:pStyle w:val="ListBullet"/>
      </w:pPr>
      <w:proofErr w:type="gramStart"/>
      <w:r w:rsidRPr="00FC75EF">
        <w:t>weakly</w:t>
      </w:r>
      <w:proofErr w:type="gramEnd"/>
      <w:r w:rsidRPr="00FC75EF">
        <w:t xml:space="preserve"> positive (TPS </w:t>
      </w:r>
      <w:r w:rsidR="00C329E7">
        <w:t>1 to 49%</w:t>
      </w:r>
      <w:r w:rsidRPr="00FC75EF">
        <w:t>)</w:t>
      </w:r>
      <w:r w:rsidR="00C329E7">
        <w:t>.</w:t>
      </w:r>
    </w:p>
    <w:p w14:paraId="07F4C857" w14:textId="7A97DA13" w:rsidR="00BD3646" w:rsidRPr="00FC75EF" w:rsidRDefault="00BD3646" w:rsidP="00361C89">
      <w:r w:rsidRPr="00FC75EF">
        <w:t>The</w:t>
      </w:r>
      <w:r w:rsidR="0046163D">
        <w:t xml:space="preserve"> </w:t>
      </w:r>
      <w:r w:rsidRPr="00FC75EF">
        <w:t>1034 patients included</w:t>
      </w:r>
      <w:r w:rsidR="0012585C">
        <w:t xml:space="preserve"> </w:t>
      </w:r>
      <w:r w:rsidRPr="00FC75EF">
        <w:t xml:space="preserve">442 (42.8%) with strongly positive </w:t>
      </w:r>
      <w:r w:rsidRPr="00E61B8C">
        <w:t>tumours (</w:t>
      </w:r>
      <w:r w:rsidR="00536A35">
        <w:t>see </w:t>
      </w:r>
      <w:r w:rsidR="004971B4" w:rsidRPr="00E61B8C">
        <w:t>Attachment</w:t>
      </w:r>
      <w:r w:rsidR="00536A35">
        <w:t> </w:t>
      </w:r>
      <w:r w:rsidR="004971B4" w:rsidRPr="00E61B8C">
        <w:t>2</w:t>
      </w:r>
      <w:r w:rsidR="00536A35">
        <w:t>;</w:t>
      </w:r>
      <w:r w:rsidR="00E61B8C">
        <w:t xml:space="preserve"> </w:t>
      </w:r>
      <w:r w:rsidRPr="00E61B8C">
        <w:t>page</w:t>
      </w:r>
      <w:r w:rsidR="00E61B8C" w:rsidRPr="00E61B8C">
        <w:t>s</w:t>
      </w:r>
      <w:r w:rsidRPr="00E61B8C">
        <w:t xml:space="preserve"> </w:t>
      </w:r>
      <w:r w:rsidR="00E61B8C" w:rsidRPr="00E61B8C">
        <w:t>18</w:t>
      </w:r>
      <w:r w:rsidR="00536A35">
        <w:t xml:space="preserve"> and </w:t>
      </w:r>
      <w:r w:rsidR="00E61B8C" w:rsidRPr="00E61B8C">
        <w:t>19</w:t>
      </w:r>
      <w:r w:rsidRPr="00E61B8C">
        <w:t xml:space="preserve"> </w:t>
      </w:r>
      <w:r w:rsidR="00536A35">
        <w:t>(</w:t>
      </w:r>
      <w:r w:rsidRPr="00E61B8C">
        <w:t>Section 7.1.1.1.9</w:t>
      </w:r>
      <w:r w:rsidR="00536A35">
        <w:t>)</w:t>
      </w:r>
      <w:r w:rsidRPr="00E61B8C">
        <w:t>).</w:t>
      </w:r>
    </w:p>
    <w:p w14:paraId="07F4C858" w14:textId="1394DA63" w:rsidR="00BD3646" w:rsidRPr="00FC75EF" w:rsidRDefault="00BD3646" w:rsidP="00361C89">
      <w:r w:rsidRPr="00FC75EF">
        <w:t xml:space="preserve">The </w:t>
      </w:r>
      <w:r w:rsidRPr="00361C89">
        <w:t>co-primary efficacy endpoints were OS and PFS.</w:t>
      </w:r>
      <w:r w:rsidR="0046163D">
        <w:t xml:space="preserve"> </w:t>
      </w:r>
      <w:r w:rsidRPr="00361C89">
        <w:t>I</w:t>
      </w:r>
      <w:r w:rsidRPr="00FC75EF">
        <w:t>mplicit in the plan to address multiplicity of testing (</w:t>
      </w:r>
      <w:r w:rsidR="00536A35">
        <w:t xml:space="preserve">see </w:t>
      </w:r>
      <w:r w:rsidR="004971B4" w:rsidRPr="00E61B8C">
        <w:t>Attachment 2</w:t>
      </w:r>
      <w:r w:rsidR="00536A35">
        <w:t>, p</w:t>
      </w:r>
      <w:r w:rsidR="00E61B8C" w:rsidRPr="00E61B8C">
        <w:t>age 18</w:t>
      </w:r>
      <w:r w:rsidRPr="00E61B8C">
        <w:t>, Figure 3) was</w:t>
      </w:r>
      <w:r w:rsidRPr="00FC75EF">
        <w:t xml:space="preserve"> the primacy of the PD-L1 ‘strongly positive’ group.</w:t>
      </w:r>
      <w:r w:rsidR="0046163D">
        <w:t xml:space="preserve"> </w:t>
      </w:r>
      <w:r w:rsidRPr="00FC75EF">
        <w:t xml:space="preserve">ORR and </w:t>
      </w:r>
      <w:r w:rsidR="005B1C86">
        <w:t>duration of response</w:t>
      </w:r>
      <w:r w:rsidR="005B1C86" w:rsidRPr="00FC75EF">
        <w:t xml:space="preserve"> </w:t>
      </w:r>
      <w:r w:rsidR="005B1C86">
        <w:t>(</w:t>
      </w:r>
      <w:proofErr w:type="spellStart"/>
      <w:r w:rsidRPr="00FC75EF">
        <w:t>DoR</w:t>
      </w:r>
      <w:proofErr w:type="spellEnd"/>
      <w:r w:rsidR="005B1C86">
        <w:t>)</w:t>
      </w:r>
      <w:r w:rsidRPr="00FC75EF">
        <w:t xml:space="preserve"> were secondary endpoints.</w:t>
      </w:r>
      <w:r w:rsidR="0046163D">
        <w:t xml:space="preserve"> </w:t>
      </w:r>
      <w:r w:rsidR="005B1C86">
        <w:t>Patient reported</w:t>
      </w:r>
      <w:r w:rsidRPr="00FC75EF">
        <w:t xml:space="preserve"> outcomes (PROs) were studied, but compliance with reporting was an issue (</w:t>
      </w:r>
      <w:r w:rsidR="00536A35">
        <w:t xml:space="preserve">see </w:t>
      </w:r>
      <w:r w:rsidR="004971B4" w:rsidRPr="00E61B8C">
        <w:t>Attachment 2</w:t>
      </w:r>
      <w:r w:rsidR="00536A35">
        <w:t xml:space="preserve">, </w:t>
      </w:r>
      <w:r w:rsidRPr="00E61B8C">
        <w:t xml:space="preserve">pages </w:t>
      </w:r>
      <w:r w:rsidR="00E61B8C" w:rsidRPr="00E61B8C">
        <w:t>2</w:t>
      </w:r>
      <w:r w:rsidR="00E61B8C">
        <w:t>9</w:t>
      </w:r>
      <w:r w:rsidR="00536A35">
        <w:t xml:space="preserve"> and </w:t>
      </w:r>
      <w:r w:rsidR="00E61B8C">
        <w:t>30</w:t>
      </w:r>
      <w:r w:rsidRPr="00FC75EF">
        <w:t>).</w:t>
      </w:r>
    </w:p>
    <w:p w14:paraId="07F4C859" w14:textId="77777777" w:rsidR="00BD3646" w:rsidRPr="00FC75EF" w:rsidRDefault="004971B4" w:rsidP="00361C89">
      <w:r w:rsidRPr="005C47D6">
        <w:t xml:space="preserve">Attachment </w:t>
      </w:r>
      <w:r w:rsidR="005C47D6" w:rsidRPr="005C47D6">
        <w:t>2 Table 5</w:t>
      </w:r>
      <w:r w:rsidR="00BD3646" w:rsidRPr="005C47D6">
        <w:t xml:space="preserve"> set</w:t>
      </w:r>
      <w:r w:rsidR="005C47D6" w:rsidRPr="005C47D6">
        <w:t>s</w:t>
      </w:r>
      <w:r w:rsidR="00BD3646" w:rsidRPr="005C47D6">
        <w:t xml:space="preserve"> out baseline characteristics: 18% were never smokers; 91% had</w:t>
      </w:r>
      <w:r w:rsidR="00BD3646" w:rsidRPr="00FC75EF">
        <w:t xml:space="preserve"> metastatic disease; 15% had brain metastases; 21.5% had squamous histology and 70%</w:t>
      </w:r>
      <w:r w:rsidR="00C329E7">
        <w:t> </w:t>
      </w:r>
      <w:r w:rsidR="00BD3646" w:rsidRPr="00FC75EF">
        <w:t xml:space="preserve">non-squamous histology; 8.3% had </w:t>
      </w:r>
      <w:r w:rsidR="00BD3646" w:rsidRPr="00341EA0">
        <w:t>EGFR</w:t>
      </w:r>
      <w:r w:rsidR="00BD3646" w:rsidRPr="00FC75EF">
        <w:t xml:space="preserve"> mutant tumours (14% had prior EGFR TKI therapy); 0.8% had </w:t>
      </w:r>
      <w:r w:rsidR="00BD3646" w:rsidRPr="00341EA0">
        <w:t>ALK</w:t>
      </w:r>
      <w:r w:rsidR="00BD3646" w:rsidRPr="00FC75EF">
        <w:t xml:space="preserve"> translocated tumours (1.0% had prior ALK inhibitor therapy); 69% had prior </w:t>
      </w:r>
      <w:r w:rsidR="00985879">
        <w:t>first line</w:t>
      </w:r>
      <w:r w:rsidR="00BD3646" w:rsidRPr="00FC75EF">
        <w:t xml:space="preserve"> systemic therapy and 20% had prior 2L systemic therapy.</w:t>
      </w:r>
    </w:p>
    <w:p w14:paraId="07F4C85A" w14:textId="77777777" w:rsidR="006D23BD" w:rsidRPr="00FC75EF" w:rsidRDefault="006D23BD" w:rsidP="006D23BD">
      <w:pPr>
        <w:pStyle w:val="Heading6"/>
      </w:pPr>
      <w:r w:rsidRPr="00FC75EF">
        <w:t>Efficacy outcomes</w:t>
      </w:r>
    </w:p>
    <w:p w14:paraId="07F4C85B" w14:textId="77777777" w:rsidR="006D23BD" w:rsidRPr="00FC75EF" w:rsidRDefault="006D23BD" w:rsidP="006D23BD">
      <w:r w:rsidRPr="00FC75EF">
        <w:t>In the ‘strongly positive’ subgroup:</w:t>
      </w:r>
    </w:p>
    <w:p w14:paraId="07F4C85C" w14:textId="503779DF" w:rsidR="006D23BD" w:rsidRPr="005C47D6" w:rsidRDefault="006D23BD" w:rsidP="00341EA0">
      <w:pPr>
        <w:pStyle w:val="ListBullet2"/>
      </w:pPr>
      <w:r w:rsidRPr="005B1C86">
        <w:t>Overall survival</w:t>
      </w:r>
      <w:r w:rsidRPr="00FC75EF">
        <w:t xml:space="preserve"> was superior for pembrolizumab, with HR relative to do</w:t>
      </w:r>
      <w:r w:rsidR="005B1C86">
        <w:t>cetaxel being 0.54 (95%</w:t>
      </w:r>
      <w:r w:rsidR="00536A35">
        <w:t> </w:t>
      </w:r>
      <w:r w:rsidR="005B1C86">
        <w:t>CI</w:t>
      </w:r>
      <w:r w:rsidR="00536A35">
        <w:t> </w:t>
      </w:r>
      <w:r w:rsidR="005B1C86">
        <w:t xml:space="preserve">0.38 to </w:t>
      </w:r>
      <w:r w:rsidRPr="00FC75EF">
        <w:t xml:space="preserve">0.77) for 2 </w:t>
      </w:r>
      <w:r w:rsidR="005B1C86">
        <w:t xml:space="preserve">mg/kg Q3W and 0.50 (95% CI 0.36 to </w:t>
      </w:r>
      <w:r w:rsidRPr="00FC75EF">
        <w:t>0.70) for 10 mg/kg Q3W.</w:t>
      </w:r>
      <w:r w:rsidR="0046163D">
        <w:t xml:space="preserve"> </w:t>
      </w:r>
      <w:r w:rsidRPr="00FC75EF">
        <w:t>Median OS was 8.2 months f</w:t>
      </w:r>
      <w:r w:rsidR="005B1C86">
        <w:t>or docetaxel, 14.9 months for 2 </w:t>
      </w:r>
      <w:r w:rsidRPr="00FC75EF">
        <w:t>mg/kg Q3W and 17.3 months for 10 mg/kg Q3W.</w:t>
      </w:r>
      <w:r w:rsidR="0046163D">
        <w:t xml:space="preserve"> </w:t>
      </w:r>
      <w:r w:rsidRPr="00FC75EF">
        <w:t>A K</w:t>
      </w:r>
      <w:r w:rsidR="00867C91">
        <w:t>aplan-</w:t>
      </w:r>
      <w:r w:rsidRPr="00FC75EF">
        <w:t>M</w:t>
      </w:r>
      <w:r w:rsidR="00867C91">
        <w:t>eier</w:t>
      </w:r>
      <w:r w:rsidRPr="00FC75EF">
        <w:t xml:space="preserve"> curve is </w:t>
      </w:r>
      <w:r w:rsidR="00867C91">
        <w:t>presented (see Attachment 2, Figure 4).</w:t>
      </w:r>
    </w:p>
    <w:p w14:paraId="07F4C85D" w14:textId="7928E3F6" w:rsidR="006D23BD" w:rsidRPr="00FC75EF" w:rsidRDefault="006D23BD" w:rsidP="00341EA0">
      <w:pPr>
        <w:pStyle w:val="ListBullet"/>
      </w:pPr>
      <w:r w:rsidRPr="005B1C86">
        <w:t xml:space="preserve">There was a similar HR (0.58 for the 2 mg/kg Q3W arm </w:t>
      </w:r>
      <w:r w:rsidR="0046163D" w:rsidRPr="005B1C86">
        <w:t>versus</w:t>
      </w:r>
      <w:r w:rsidRPr="005B1C86">
        <w:t xml:space="preserve"> docetaxel) when PFS was studied (</w:t>
      </w:r>
      <w:r w:rsidR="00867C91">
        <w:t xml:space="preserve">see </w:t>
      </w:r>
      <w:r w:rsidR="004971B4" w:rsidRPr="005B1C86">
        <w:t>Attachment 2</w:t>
      </w:r>
      <w:r w:rsidR="00867C91">
        <w:t xml:space="preserve">, </w:t>
      </w:r>
      <w:r w:rsidR="005C47D6" w:rsidRPr="005B1C86">
        <w:t>Figure 7</w:t>
      </w:r>
      <w:r w:rsidRPr="005B1C86">
        <w:t>); the median PFS was 4.1 months for docetaxel, 5.2 months for both pembrol</w:t>
      </w:r>
      <w:r w:rsidRPr="00FC75EF">
        <w:t>izumab arms.</w:t>
      </w:r>
    </w:p>
    <w:p w14:paraId="07F4C85E" w14:textId="62E477E0" w:rsidR="006D23BD" w:rsidRPr="00FC75EF" w:rsidRDefault="006D23BD" w:rsidP="00341EA0">
      <w:pPr>
        <w:pStyle w:val="ListBullet"/>
      </w:pPr>
      <w:r w:rsidRPr="005B1C86">
        <w:t>There was a large difference in ORR favouring pembrolizumab arms over docetaxel (</w:t>
      </w:r>
      <w:r w:rsidR="0046163D" w:rsidRPr="005B1C86">
        <w:t xml:space="preserve">approximately </w:t>
      </w:r>
      <w:r w:rsidRPr="005B1C86">
        <w:t xml:space="preserve">30% </w:t>
      </w:r>
      <w:r w:rsidR="0046163D" w:rsidRPr="005B1C86">
        <w:t>versus</w:t>
      </w:r>
      <w:r w:rsidRPr="005B1C86">
        <w:t xml:space="preserve"> 8</w:t>
      </w:r>
      <w:r w:rsidR="00867C91">
        <w:t>%</w:t>
      </w:r>
      <w:r w:rsidRPr="005B1C86">
        <w:t xml:space="preserve"> </w:t>
      </w:r>
      <w:r w:rsidR="005C47D6" w:rsidRPr="005B1C86">
        <w:t>(</w:t>
      </w:r>
      <w:r w:rsidR="00867C91">
        <w:t xml:space="preserve">see </w:t>
      </w:r>
      <w:r w:rsidR="004971B4" w:rsidRPr="005B1C86">
        <w:t>Attachment 2</w:t>
      </w:r>
      <w:r w:rsidR="00867C91">
        <w:t xml:space="preserve">, </w:t>
      </w:r>
      <w:r w:rsidR="005C47D6" w:rsidRPr="005B1C86">
        <w:t>Table 9)</w:t>
      </w:r>
      <w:r w:rsidRPr="005B1C86">
        <w:t>), and disease progression rate was in</w:t>
      </w:r>
      <w:r w:rsidR="005B1C86">
        <w:t xml:space="preserve"> the same range across arms (23 to </w:t>
      </w:r>
      <w:r w:rsidRPr="005B1C86">
        <w:t>30%).</w:t>
      </w:r>
      <w:r w:rsidR="0046163D" w:rsidRPr="005B1C86">
        <w:t xml:space="preserve"> </w:t>
      </w:r>
      <w:r w:rsidRPr="005B1C86">
        <w:t>Duration of response</w:t>
      </w:r>
      <w:r w:rsidR="00341EA0">
        <w:t xml:space="preserve"> (</w:t>
      </w:r>
      <w:proofErr w:type="spellStart"/>
      <w:r w:rsidR="00955CF8">
        <w:t>DoR</w:t>
      </w:r>
      <w:proofErr w:type="spellEnd"/>
      <w:r w:rsidR="00341EA0">
        <w:t>)</w:t>
      </w:r>
      <w:r w:rsidRPr="005B1C86">
        <w:t xml:space="preserve"> was clearly better in </w:t>
      </w:r>
      <w:proofErr w:type="spellStart"/>
      <w:r w:rsidRPr="005B1C86">
        <w:t>pemb</w:t>
      </w:r>
      <w:r w:rsidRPr="00FC75EF">
        <w:t>rolizumab</w:t>
      </w:r>
      <w:proofErr w:type="spellEnd"/>
      <w:r w:rsidRPr="00FC75EF">
        <w:t xml:space="preserve"> arms (median </w:t>
      </w:r>
      <w:proofErr w:type="spellStart"/>
      <w:r w:rsidRPr="00FC75EF">
        <w:t>DoR</w:t>
      </w:r>
      <w:proofErr w:type="spellEnd"/>
      <w:r w:rsidRPr="00FC75EF">
        <w:t xml:space="preserve"> not reached) than in the docetaxel arm (median </w:t>
      </w:r>
      <w:proofErr w:type="spellStart"/>
      <w:r w:rsidRPr="00FC75EF">
        <w:t>DoR</w:t>
      </w:r>
      <w:proofErr w:type="spellEnd"/>
      <w:r w:rsidRPr="00FC75EF">
        <w:t xml:space="preserve"> 8.1 months according to the IRC assessment using RECIST 1.1</w:t>
      </w:r>
      <w:r w:rsidR="00867C91">
        <w:t>).</w:t>
      </w:r>
      <w:r w:rsidR="00191F92">
        <w:rPr>
          <w:rStyle w:val="FootnoteReference"/>
        </w:rPr>
        <w:footnoteReference w:id="29"/>
      </w:r>
    </w:p>
    <w:p w14:paraId="07F4C85F" w14:textId="65225735" w:rsidR="006D23BD" w:rsidRPr="00FC75EF" w:rsidRDefault="006D23BD" w:rsidP="006D23BD">
      <w:r w:rsidRPr="00FC75EF">
        <w:t>All studied subgroups showed OS benefit for pembrolizumab over docetaxel (the two pembrolizumab arms were pooled).</w:t>
      </w:r>
      <w:r w:rsidR="0046163D">
        <w:t xml:space="preserve"> </w:t>
      </w:r>
      <w:r w:rsidRPr="00FC75EF">
        <w:t xml:space="preserve">There was little difference for ‘current/ex-smoker </w:t>
      </w:r>
      <w:r w:rsidR="0046163D">
        <w:t>versus</w:t>
      </w:r>
      <w:r w:rsidRPr="00FC75EF">
        <w:t xml:space="preserve"> never smoker’.</w:t>
      </w:r>
      <w:r w:rsidR="0046163D">
        <w:t xml:space="preserve"> </w:t>
      </w:r>
      <w:r w:rsidRPr="00FC75EF">
        <w:t xml:space="preserve">For squamous histology the HR for OS was 0.73; for </w:t>
      </w:r>
      <w:r w:rsidRPr="00FC75EF">
        <w:lastRenderedPageBreak/>
        <w:t>adenocarcinoma the HR for OS was 0.47.</w:t>
      </w:r>
      <w:r w:rsidR="0046163D">
        <w:t xml:space="preserve"> </w:t>
      </w:r>
      <w:r w:rsidRPr="00FC75EF">
        <w:t xml:space="preserve">For EGFR mutant, the HR for OS was 0.71, and for EGFR </w:t>
      </w:r>
      <w:r w:rsidR="005B1C86">
        <w:t>wild type (</w:t>
      </w:r>
      <w:r w:rsidRPr="00FC75EF">
        <w:t>WT</w:t>
      </w:r>
      <w:r w:rsidR="005B1C86">
        <w:t>)</w:t>
      </w:r>
      <w:r w:rsidRPr="00FC75EF">
        <w:t>, the HR for OS was 0.</w:t>
      </w:r>
      <w:r w:rsidRPr="00A54AE5">
        <w:t>54 (</w:t>
      </w:r>
      <w:r w:rsidR="00867C91">
        <w:t xml:space="preserve">see </w:t>
      </w:r>
      <w:r w:rsidR="004971B4" w:rsidRPr="00A54AE5">
        <w:t>Attachment 2</w:t>
      </w:r>
      <w:r w:rsidR="00A54AE5" w:rsidRPr="00A54AE5">
        <w:t>, Section</w:t>
      </w:r>
      <w:r w:rsidR="00A54AE5">
        <w:t xml:space="preserve"> 7.1.1.12</w:t>
      </w:r>
      <w:r w:rsidRPr="00FC75EF">
        <w:t>, where confidence intervals are also shown).</w:t>
      </w:r>
    </w:p>
    <w:p w14:paraId="07F4C860" w14:textId="540A8ED7" w:rsidR="006D23BD" w:rsidRDefault="006D23BD" w:rsidP="006D23BD">
      <w:r w:rsidRPr="00FC75EF">
        <w:t xml:space="preserve">In a further </w:t>
      </w:r>
      <w:r w:rsidRPr="00A54AE5">
        <w:t>analysis (</w:t>
      </w:r>
      <w:r w:rsidR="00867C91">
        <w:t xml:space="preserve">see </w:t>
      </w:r>
      <w:r w:rsidR="004971B4" w:rsidRPr="00A54AE5">
        <w:t>Attachment 2</w:t>
      </w:r>
      <w:r w:rsidR="00867C91">
        <w:t xml:space="preserve">, </w:t>
      </w:r>
      <w:r w:rsidR="00A54AE5" w:rsidRPr="00A54AE5">
        <w:t>Figure 5</w:t>
      </w:r>
      <w:r w:rsidRPr="00A54AE5">
        <w:t>) in the</w:t>
      </w:r>
      <w:r w:rsidRPr="00FC75EF">
        <w:t xml:space="preserve"> TPS </w:t>
      </w:r>
      <w:r w:rsidR="0046163D">
        <w:t xml:space="preserve">≥ </w:t>
      </w:r>
      <w:r w:rsidRPr="00FC75EF">
        <w:t>50% subgroup, an effect of histology was more apparent for OS (squamous histolo</w:t>
      </w:r>
      <w:r w:rsidR="005B1C86">
        <w:t>gy, HR 0.92; adenocarcinoma, HR </w:t>
      </w:r>
      <w:r w:rsidRPr="00FC75EF">
        <w:t>0.49).</w:t>
      </w:r>
      <w:r w:rsidR="0046163D">
        <w:t xml:space="preserve"> </w:t>
      </w:r>
      <w:r w:rsidRPr="00FC75EF">
        <w:t xml:space="preserve">In this analysis, the pembrolizumab arms were not pooled, </w:t>
      </w:r>
      <w:r w:rsidR="0046163D">
        <w:t>that is,</w:t>
      </w:r>
      <w:r w:rsidRPr="00FC75EF">
        <w:t xml:space="preserve"> HRs reflect the comparison between docetaxel and pembrolizumab 2 mg/kg Q3W (in the </w:t>
      </w:r>
      <w:r w:rsidR="005B1C86">
        <w:t>Intention to Treat (</w:t>
      </w:r>
      <w:r w:rsidRPr="00FC75EF">
        <w:t>ITT</w:t>
      </w:r>
      <w:r w:rsidR="005B1C86">
        <w:t>)</w:t>
      </w:r>
      <w:r w:rsidRPr="00FC75EF">
        <w:t xml:space="preserve"> cohort).</w:t>
      </w:r>
      <w:r w:rsidR="0046163D">
        <w:t xml:space="preserve"> </w:t>
      </w:r>
      <w:r w:rsidRPr="00FC75EF">
        <w:t xml:space="preserve">However, no effect of histology was seen in the TPS </w:t>
      </w:r>
      <w:r w:rsidR="008141D3">
        <w:t xml:space="preserve">1 </w:t>
      </w:r>
      <w:r w:rsidR="00867C91">
        <w:t>to</w:t>
      </w:r>
      <w:r w:rsidR="008141D3">
        <w:t xml:space="preserve"> 49% </w:t>
      </w:r>
      <w:r w:rsidRPr="00FC75EF">
        <w:t>group (</w:t>
      </w:r>
      <w:r w:rsidR="00867C91">
        <w:t xml:space="preserve">see </w:t>
      </w:r>
      <w:r w:rsidR="00A54AE5">
        <w:t xml:space="preserve">Figure </w:t>
      </w:r>
      <w:r w:rsidR="00931E21">
        <w:t>1</w:t>
      </w:r>
      <w:r w:rsidR="00225DC4">
        <w:t>, below</w:t>
      </w:r>
      <w:r w:rsidRPr="00FC75EF">
        <w:t>).</w:t>
      </w:r>
    </w:p>
    <w:p w14:paraId="07F4C861" w14:textId="7E3F465E" w:rsidR="00A54AE5" w:rsidRDefault="00A54AE5" w:rsidP="00A54AE5">
      <w:pPr>
        <w:pStyle w:val="FigureTitle"/>
      </w:pPr>
      <w:proofErr w:type="gramStart"/>
      <w:r>
        <w:t xml:space="preserve">Figure </w:t>
      </w:r>
      <w:r w:rsidR="00931E21">
        <w:t>1</w:t>
      </w:r>
      <w:r w:rsidR="00E9337D">
        <w:t>.</w:t>
      </w:r>
      <w:proofErr w:type="gramEnd"/>
      <w:r w:rsidR="00E9337D">
        <w:t xml:space="preserve"> </w:t>
      </w:r>
      <w:r>
        <w:t xml:space="preserve">Forest plot of OS </w:t>
      </w:r>
      <w:r w:rsidR="00BF18BC">
        <w:t>HR</w:t>
      </w:r>
      <w:r>
        <w:t xml:space="preserve"> by su</w:t>
      </w:r>
      <w:r w:rsidR="008A6823">
        <w:t>bgroup factors, pembrolizumab 2 </w:t>
      </w:r>
      <w:r>
        <w:t xml:space="preserve">mg/kg Q3W versus docetaxel TPS = </w:t>
      </w:r>
      <w:r w:rsidR="008141D3">
        <w:t xml:space="preserve">1 - 49% </w:t>
      </w:r>
      <w:r>
        <w:t>ITT</w:t>
      </w:r>
    </w:p>
    <w:p w14:paraId="07F4C862" w14:textId="77777777" w:rsidR="00A54AE5" w:rsidRPr="006D23BD" w:rsidRDefault="00A54AE5" w:rsidP="00BA16BD">
      <w:r>
        <w:rPr>
          <w:noProof/>
          <w:lang w:eastAsia="en-AU"/>
        </w:rPr>
        <w:drawing>
          <wp:inline distT="0" distB="0" distL="0" distR="0" wp14:anchorId="07F4C9DA" wp14:editId="051BAF09">
            <wp:extent cx="5400040" cy="4082729"/>
            <wp:effectExtent l="0" t="0" r="0" b="0"/>
            <wp:docPr id="16" name="Picture 16" descr="Figure 1: Forest plot of OS hazard ratio by subgroup factors, pembrolizumab 2 mg/kg Q3W versus docetaxel TPS = 1 - 49%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4082729"/>
                    </a:xfrm>
                    <a:prstGeom prst="rect">
                      <a:avLst/>
                    </a:prstGeom>
                  </pic:spPr>
                </pic:pic>
              </a:graphicData>
            </a:graphic>
          </wp:inline>
        </w:drawing>
      </w:r>
    </w:p>
    <w:p w14:paraId="07F4C863" w14:textId="5C7B7F8E" w:rsidR="006D23BD" w:rsidRPr="00FC75EF" w:rsidRDefault="006D23BD" w:rsidP="006D23BD">
      <w:r w:rsidRPr="006D23BD">
        <w:t xml:space="preserve">In the ‘weakly positive’ </w:t>
      </w:r>
      <w:r w:rsidRPr="008A6823">
        <w:t>subgroup (</w:t>
      </w:r>
      <w:r w:rsidR="00225DC4">
        <w:t xml:space="preserve">see </w:t>
      </w:r>
      <w:r w:rsidR="004971B4" w:rsidRPr="008A6823">
        <w:t>Attachment 2</w:t>
      </w:r>
      <w:r w:rsidR="00225DC4">
        <w:t xml:space="preserve">, </w:t>
      </w:r>
      <w:r w:rsidRPr="008A6823">
        <w:t>page 2</w:t>
      </w:r>
      <w:r w:rsidR="008A6823" w:rsidRPr="008A6823">
        <w:t>5</w:t>
      </w:r>
      <w:r w:rsidRPr="008A6823">
        <w:t>):</w:t>
      </w:r>
    </w:p>
    <w:p w14:paraId="07F4C864" w14:textId="77777777" w:rsidR="006D23BD" w:rsidRPr="005B1C86" w:rsidRDefault="006D23BD" w:rsidP="006D23BD">
      <w:pPr>
        <w:pStyle w:val="ListBullet"/>
      </w:pPr>
      <w:r w:rsidRPr="005B1C86">
        <w:t xml:space="preserve">The HR for OS relative to </w:t>
      </w:r>
      <w:r w:rsidR="008A6823" w:rsidRPr="005B1C86">
        <w:t xml:space="preserve">docetaxel was 0.79 (95% CI 0.61 to </w:t>
      </w:r>
      <w:r w:rsidRPr="005B1C86">
        <w:t xml:space="preserve">1.04) for 2 </w:t>
      </w:r>
      <w:r w:rsidR="008A6823" w:rsidRPr="005B1C86">
        <w:t xml:space="preserve">mg/kg Q3W and 0.71 (95% CI 0.53 to </w:t>
      </w:r>
      <w:r w:rsidRPr="005B1C86">
        <w:t>0.94) for 10 mg/kg Q3W.</w:t>
      </w:r>
      <w:r w:rsidR="0046163D" w:rsidRPr="005B1C86">
        <w:t xml:space="preserve"> </w:t>
      </w:r>
      <w:r w:rsidRPr="005B1C86">
        <w:t>Median OS was 8.6 months for docetaxel, 9.4 months for 2 mg/kg Q3W and 10.8 months for 10 mg/kg Q3W.</w:t>
      </w:r>
    </w:p>
    <w:p w14:paraId="07F4C865" w14:textId="77777777" w:rsidR="006D23BD" w:rsidRPr="005B1C86" w:rsidRDefault="006D23BD" w:rsidP="006D23BD">
      <w:pPr>
        <w:pStyle w:val="ListBullet"/>
      </w:pPr>
      <w:r w:rsidRPr="005B1C86">
        <w:t xml:space="preserve">There was no advantage in HR </w:t>
      </w:r>
      <w:r w:rsidR="0046163D" w:rsidRPr="005B1C86">
        <w:t>versus</w:t>
      </w:r>
      <w:r w:rsidRPr="005B1C86">
        <w:t xml:space="preserve"> docetaxel when PFS</w:t>
      </w:r>
      <w:r w:rsidR="005B1C86">
        <w:t xml:space="preserve"> was studied;</w:t>
      </w:r>
      <w:r w:rsidRPr="005B1C86">
        <w:t xml:space="preserve"> for 2 mg/kg Q3W, the HR was 1.07 (95% CI</w:t>
      </w:r>
      <w:r w:rsidR="0046163D" w:rsidRPr="005B1C86">
        <w:t xml:space="preserve"> </w:t>
      </w:r>
      <w:r w:rsidR="008A6823" w:rsidRPr="005B1C86">
        <w:t xml:space="preserve">0.85 to </w:t>
      </w:r>
      <w:r w:rsidRPr="005B1C86">
        <w:t>1.34), and for 10 mg/kg Q3</w:t>
      </w:r>
      <w:r w:rsidR="008A6823" w:rsidRPr="005B1C86">
        <w:t xml:space="preserve">W, the HR was 0.99 (95% CI 0.78 to </w:t>
      </w:r>
      <w:r w:rsidRPr="005B1C86">
        <w:t>1.25); median PFS was 3.9 months (docetaxel), 3.1 months (2 mg/kg Q3W) and 2.3 months (10 mg/kg Q3W).</w:t>
      </w:r>
    </w:p>
    <w:p w14:paraId="07F4C866" w14:textId="08D94AB9" w:rsidR="006D23BD" w:rsidRPr="005B1C86" w:rsidRDefault="006D23BD" w:rsidP="006D23BD">
      <w:pPr>
        <w:pStyle w:val="ListBullet"/>
      </w:pPr>
      <w:r w:rsidRPr="005B1C86">
        <w:t xml:space="preserve">There was no difference in ORR across arms (all </w:t>
      </w:r>
      <w:r w:rsidR="0046163D" w:rsidRPr="005B1C86">
        <w:t xml:space="preserve">approximately </w:t>
      </w:r>
      <w:r w:rsidRPr="005B1C86">
        <w:t>10%).</w:t>
      </w:r>
      <w:r w:rsidR="0046163D" w:rsidRPr="005B1C86">
        <w:t xml:space="preserve"> </w:t>
      </w:r>
      <w:r w:rsidRPr="005B1C86">
        <w:t>Duration of response was better in the two pembrolizumab arm</w:t>
      </w:r>
      <w:r w:rsidR="008A6823" w:rsidRPr="005B1C86">
        <w:t xml:space="preserve">s than for docetaxel (median 45 to </w:t>
      </w:r>
      <w:r w:rsidRPr="005B1C86">
        <w:t xml:space="preserve">46 weeks, </w:t>
      </w:r>
      <w:r w:rsidR="0046163D" w:rsidRPr="005B1C86">
        <w:t>versus</w:t>
      </w:r>
      <w:r w:rsidRPr="005B1C86">
        <w:t xml:space="preserve"> 26 weeks, based on IRC assessment using RECIST 1.1).</w:t>
      </w:r>
    </w:p>
    <w:p w14:paraId="07F4C867" w14:textId="0D5D7E46" w:rsidR="006D23BD" w:rsidRPr="00FC75EF" w:rsidRDefault="00F352A0" w:rsidP="006D23BD">
      <w:pPr>
        <w:pStyle w:val="ListBullet"/>
      </w:pPr>
      <w:r>
        <w:t xml:space="preserve">Proportion of patients with progressive disease as the best objective response </w:t>
      </w:r>
      <w:r w:rsidR="006D23BD" w:rsidRPr="005B1C86">
        <w:t>was 28</w:t>
      </w:r>
      <w:r w:rsidR="006D23BD" w:rsidRPr="00FC75EF">
        <w:t>% for docetaxel (similar</w:t>
      </w:r>
      <w:r w:rsidR="005B1C86">
        <w:t xml:space="preserve"> to the rate in the strongly PD</w:t>
      </w:r>
      <w:r w:rsidR="005B1C86">
        <w:noBreakHyphen/>
      </w:r>
      <w:r w:rsidR="006D23BD" w:rsidRPr="00FC75EF">
        <w:t xml:space="preserve">L1 positive subgroup) </w:t>
      </w:r>
      <w:r w:rsidR="0046163D">
        <w:t>versus</w:t>
      </w:r>
      <w:r w:rsidR="008A6823">
        <w:t xml:space="preserve"> 39 to </w:t>
      </w:r>
      <w:r w:rsidR="006D23BD" w:rsidRPr="00FC75EF">
        <w:t>41% for pembrolizumab arms.</w:t>
      </w:r>
      <w:r w:rsidR="0046163D">
        <w:t xml:space="preserve"> </w:t>
      </w:r>
      <w:r w:rsidR="006D23BD" w:rsidRPr="00FC75EF">
        <w:t xml:space="preserve">Outcomes in </w:t>
      </w:r>
      <w:r w:rsidR="00225DC4">
        <w:t xml:space="preserve">the </w:t>
      </w:r>
      <w:r w:rsidR="005B1C86">
        <w:t>KEYNOTE-001</w:t>
      </w:r>
      <w:r w:rsidR="00225DC4">
        <w:t xml:space="preserve"> trial</w:t>
      </w:r>
      <w:r w:rsidR="006D23BD" w:rsidRPr="00FC75EF">
        <w:t xml:space="preserve"> were similar </w:t>
      </w:r>
      <w:r w:rsidR="006D23BD" w:rsidRPr="00FC75EF">
        <w:lastRenderedPageBreak/>
        <w:t>to these outcomes in pembrolizumab arms.</w:t>
      </w:r>
      <w:r w:rsidR="0046163D">
        <w:t xml:space="preserve"> </w:t>
      </w:r>
      <w:r w:rsidR="006D23BD" w:rsidRPr="00FC75EF">
        <w:t>The PFS K</w:t>
      </w:r>
      <w:r w:rsidR="00225DC4">
        <w:t>aplan-</w:t>
      </w:r>
      <w:r w:rsidR="006D23BD" w:rsidRPr="00FC75EF">
        <w:t>M</w:t>
      </w:r>
      <w:r w:rsidR="00225DC4">
        <w:t>eier</w:t>
      </w:r>
      <w:r w:rsidR="006D23BD" w:rsidRPr="00FC75EF">
        <w:t xml:space="preserve"> </w:t>
      </w:r>
      <w:r w:rsidR="006D23BD" w:rsidRPr="008A6823">
        <w:t>curve (</w:t>
      </w:r>
      <w:r w:rsidR="00225DC4">
        <w:t xml:space="preserve">see </w:t>
      </w:r>
      <w:r w:rsidR="004971B4" w:rsidRPr="008A6823">
        <w:t>Attachment 2</w:t>
      </w:r>
      <w:r w:rsidR="008A6823">
        <w:t>,</w:t>
      </w:r>
      <w:r w:rsidR="006D23BD" w:rsidRPr="008A6823">
        <w:t xml:space="preserve"> </w:t>
      </w:r>
      <w:r w:rsidR="008A6823">
        <w:t>Figure 8</w:t>
      </w:r>
      <w:r w:rsidR="006D23BD" w:rsidRPr="00FC75EF">
        <w:t>) does not indicate acceleration in progression (</w:t>
      </w:r>
      <w:r w:rsidR="0046163D">
        <w:t>versus</w:t>
      </w:r>
      <w:r w:rsidR="006D23BD" w:rsidRPr="00FC75EF">
        <w:t xml:space="preserve"> docetaxel).</w:t>
      </w:r>
    </w:p>
    <w:p w14:paraId="07F4C868" w14:textId="56C20AC3" w:rsidR="006D23BD" w:rsidRPr="006D23BD" w:rsidRDefault="00225DC4" w:rsidP="006D23BD">
      <w:pPr>
        <w:pStyle w:val="Heading5"/>
      </w:pPr>
      <w:r>
        <w:t xml:space="preserve">The </w:t>
      </w:r>
      <w:r w:rsidR="005B1C86">
        <w:t>KEYNOTE-001</w:t>
      </w:r>
      <w:r>
        <w:t xml:space="preserve"> trial</w:t>
      </w:r>
    </w:p>
    <w:p w14:paraId="07F4C869" w14:textId="6C852AE3" w:rsidR="006D23BD" w:rsidRPr="008A6823" w:rsidRDefault="006D23BD" w:rsidP="006D23BD">
      <w:r w:rsidRPr="00FC75EF">
        <w:t xml:space="preserve">This supportive study investigated multiple cohorts, as described </w:t>
      </w:r>
      <w:r w:rsidRPr="008A6823">
        <w:t xml:space="preserve">from </w:t>
      </w:r>
      <w:r w:rsidR="004971B4" w:rsidRPr="008A6823">
        <w:t>Attachment 2</w:t>
      </w:r>
      <w:r w:rsidR="00225DC4">
        <w:t xml:space="preserve">, </w:t>
      </w:r>
      <w:r w:rsidR="008A6823" w:rsidRPr="008A6823">
        <w:t>Section 7.1.2</w:t>
      </w:r>
      <w:r w:rsidRPr="008A6823">
        <w:t>.</w:t>
      </w:r>
      <w:r w:rsidR="0046163D" w:rsidRPr="008A6823">
        <w:t xml:space="preserve"> </w:t>
      </w:r>
      <w:r w:rsidRPr="008A6823">
        <w:t>In</w:t>
      </w:r>
      <w:r w:rsidRPr="00FC75EF">
        <w:t xml:space="preserve"> </w:t>
      </w:r>
      <w:r w:rsidRPr="008A6823">
        <w:t xml:space="preserve">brief (refer also to </w:t>
      </w:r>
      <w:r w:rsidR="004971B4" w:rsidRPr="008A6823">
        <w:t>Attachment 2</w:t>
      </w:r>
      <w:r w:rsidR="00225DC4">
        <w:t>, Figure 9</w:t>
      </w:r>
      <w:r w:rsidRPr="008A6823">
        <w:t>):</w:t>
      </w:r>
    </w:p>
    <w:p w14:paraId="07F4C86A" w14:textId="2247E6EF" w:rsidR="006D23BD" w:rsidRPr="00FC75EF" w:rsidRDefault="006D23BD" w:rsidP="006D23BD">
      <w:pPr>
        <w:pStyle w:val="ListBullet"/>
      </w:pPr>
      <w:r w:rsidRPr="00FC75EF">
        <w:t>Part C studied 41 NSCLC patients who had disease progression after two lines of systemic therapy;</w:t>
      </w:r>
    </w:p>
    <w:p w14:paraId="07F4C86B" w14:textId="3B7316A5" w:rsidR="006D23BD" w:rsidRPr="00FC75EF" w:rsidRDefault="006D23BD" w:rsidP="006D23BD">
      <w:pPr>
        <w:pStyle w:val="ListBullet"/>
      </w:pPr>
      <w:r w:rsidRPr="00FC75EF">
        <w:t>Part F-1 studied 103 non-squamous NSCLC patients previously untreated for systemic disease and with PD-L1 positive tumours;</w:t>
      </w:r>
    </w:p>
    <w:p w14:paraId="07F4C86C" w14:textId="49389E25" w:rsidR="006D23BD" w:rsidRPr="00FC75EF" w:rsidRDefault="006D23BD" w:rsidP="006D23BD">
      <w:pPr>
        <w:pStyle w:val="ListBullet"/>
      </w:pPr>
      <w:r w:rsidRPr="00FC75EF">
        <w:t>Part F-2 studied 361 NSCLC patients who had disease progression after at least one line of systemic therapy (mostly with PD-L1 positive tumours)</w:t>
      </w:r>
      <w:r w:rsidR="00225DC4">
        <w:t>;</w:t>
      </w:r>
    </w:p>
    <w:p w14:paraId="07F4C86D" w14:textId="28F4C931" w:rsidR="006D23BD" w:rsidRPr="00FC75EF" w:rsidRDefault="006D23BD" w:rsidP="006D23BD">
      <w:pPr>
        <w:pStyle w:val="ListBullet"/>
      </w:pPr>
      <w:r w:rsidRPr="00FC75EF">
        <w:t>Part F-3 studied NSCLC patients who had disease progression after at least one line of systemic therapy and with PD-L1 positive tumours</w:t>
      </w:r>
      <w:r w:rsidR="00225DC4">
        <w:t>.</w:t>
      </w:r>
    </w:p>
    <w:p w14:paraId="07F4C86E" w14:textId="1C17C1FE" w:rsidR="006D23BD" w:rsidRPr="00FC75EF" w:rsidRDefault="006D23BD" w:rsidP="006D23BD">
      <w:r w:rsidRPr="00FC75EF">
        <w:t>Patients received pembrolizumab 10 mg/kg Q3W, 2 mg/kg Q3W or 10 mg/kg Q2W</w:t>
      </w:r>
      <w:r w:rsidR="00225DC4">
        <w:t>;</w:t>
      </w:r>
      <w:r w:rsidR="00191F92">
        <w:rPr>
          <w:rStyle w:val="FootnoteReference"/>
        </w:rPr>
        <w:footnoteReference w:id="30"/>
      </w:r>
      <w:r w:rsidRPr="00FC75EF">
        <w:t xml:space="preserve"> in some cohorts there was randomisation to different dose regimens.</w:t>
      </w:r>
    </w:p>
    <w:p w14:paraId="07F4C86F" w14:textId="5679EADD" w:rsidR="006D23BD" w:rsidRPr="00FC75EF" w:rsidRDefault="006D23BD" w:rsidP="006D23BD">
      <w:r w:rsidRPr="00FC75EF">
        <w:t xml:space="preserve">The main objective was to assess ORR in patients with </w:t>
      </w:r>
      <w:r w:rsidR="0046163D">
        <w:t xml:space="preserve">≥ </w:t>
      </w:r>
      <w:r w:rsidRPr="00FC75EF">
        <w:t>1 prior systemic therapy and with strongly positive PD-L1 tumour expression.</w:t>
      </w:r>
      <w:r w:rsidR="0046163D">
        <w:t xml:space="preserve"> </w:t>
      </w:r>
      <w:r w:rsidRPr="00FC75EF">
        <w:t xml:space="preserve">ORR outcomes were broadly similar to those in </w:t>
      </w:r>
      <w:r w:rsidR="00225DC4">
        <w:t xml:space="preserve">the </w:t>
      </w:r>
      <w:r w:rsidR="00691589">
        <w:t>KEYNOTE-010</w:t>
      </w:r>
      <w:r w:rsidR="00225DC4">
        <w:t xml:space="preserve"> trial</w:t>
      </w:r>
      <w:r w:rsidRPr="00FC75EF">
        <w:t>, in that patients with strongly positive tumours had a much better response rate than those with weakly positive tumours.</w:t>
      </w:r>
      <w:r w:rsidR="0046163D">
        <w:t xml:space="preserve"> </w:t>
      </w:r>
      <w:r w:rsidRPr="00FC75EF">
        <w:t xml:space="preserve">Table </w:t>
      </w:r>
      <w:r w:rsidR="00880EEA">
        <w:t>12</w:t>
      </w:r>
      <w:r w:rsidR="00225DC4">
        <w:t xml:space="preserve"> (shown below)</w:t>
      </w:r>
      <w:r w:rsidR="008A6823">
        <w:t xml:space="preserve"> is instructive.</w:t>
      </w:r>
    </w:p>
    <w:p w14:paraId="07F4C870" w14:textId="4CD59ADD" w:rsidR="006D23BD" w:rsidRDefault="008A6823" w:rsidP="00341EA0">
      <w:pPr>
        <w:pStyle w:val="TableTitle"/>
      </w:pPr>
      <w:proofErr w:type="gramStart"/>
      <w:r>
        <w:t xml:space="preserve">Table </w:t>
      </w:r>
      <w:r w:rsidR="00880EEA">
        <w:t>12</w:t>
      </w:r>
      <w:r>
        <w:t xml:space="preserve">: </w:t>
      </w:r>
      <w:r w:rsidR="006D23BD" w:rsidRPr="00FC75EF">
        <w:t>Summary of best overall response based on IRC assessment per RECIST</w:t>
      </w:r>
      <w:r w:rsidR="00225DC4">
        <w:t> </w:t>
      </w:r>
      <w:r w:rsidR="006D23BD" w:rsidRPr="00FC75EF">
        <w:t>1.1 with confirmation.</w:t>
      </w:r>
      <w:proofErr w:type="gramEnd"/>
      <w:r w:rsidR="006D23BD" w:rsidRPr="00FC75EF">
        <w:t xml:space="preserve"> Total combined efficacy population by PS category (full analysis set by IRC w</w:t>
      </w:r>
      <w:r>
        <w:t>ith evaluable PD-L1 expression)</w:t>
      </w:r>
    </w:p>
    <w:p w14:paraId="07F4C871" w14:textId="77777777" w:rsidR="006D23BD" w:rsidRPr="006D23BD" w:rsidRDefault="008A6823" w:rsidP="006D23BD">
      <w:r>
        <w:rPr>
          <w:noProof/>
          <w:lang w:eastAsia="en-AU"/>
        </w:rPr>
        <w:drawing>
          <wp:inline distT="0" distB="0" distL="0" distR="0" wp14:anchorId="07F4C9DC" wp14:editId="07F4C9DD">
            <wp:extent cx="5400040" cy="1576742"/>
            <wp:effectExtent l="0" t="0" r="0" b="4445"/>
            <wp:docPr id="17" name="Picture 17" descr="Table 12: Summary of best overall response based on IRC assessment per RECIST 1.1 with confirmation. Total combined efficacy population by PS category (full analysis set by IRC with evaluable PD-L1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576742"/>
                    </a:xfrm>
                    <a:prstGeom prst="rect">
                      <a:avLst/>
                    </a:prstGeom>
                  </pic:spPr>
                </pic:pic>
              </a:graphicData>
            </a:graphic>
          </wp:inline>
        </w:drawing>
      </w:r>
    </w:p>
    <w:p w14:paraId="07F4C872" w14:textId="39A2EAB9" w:rsidR="004327D7" w:rsidRPr="00FC75EF" w:rsidRDefault="004327D7" w:rsidP="004327D7">
      <w:r w:rsidRPr="00FC75EF">
        <w:t xml:space="preserve">There was a weak suggestion that in patients with lower levels of tumour PD-L1 expression, higher dosing produced slightly better </w:t>
      </w:r>
      <w:r w:rsidRPr="008A6823">
        <w:t>ORRs (</w:t>
      </w:r>
      <w:r w:rsidR="00225DC4">
        <w:t xml:space="preserve">see </w:t>
      </w:r>
      <w:r w:rsidR="004971B4" w:rsidRPr="008A6823">
        <w:t>Attachment 2</w:t>
      </w:r>
      <w:r w:rsidR="00225DC4">
        <w:t>,</w:t>
      </w:r>
      <w:r w:rsidR="004971B4" w:rsidRPr="008A6823">
        <w:t xml:space="preserve"> </w:t>
      </w:r>
      <w:r w:rsidRPr="008A6823">
        <w:t>Table 1</w:t>
      </w:r>
      <w:r w:rsidR="008A6823" w:rsidRPr="008A6823">
        <w:t>8</w:t>
      </w:r>
      <w:r w:rsidRPr="008A6823">
        <w:t>).</w:t>
      </w:r>
      <w:r w:rsidR="0046163D" w:rsidRPr="008A6823">
        <w:t xml:space="preserve"> </w:t>
      </w:r>
      <w:r w:rsidRPr="008A6823">
        <w:t>The</w:t>
      </w:r>
      <w:r w:rsidRPr="00FC75EF">
        <w:t xml:space="preserve">re was no suggestion of this in </w:t>
      </w:r>
      <w:r w:rsidR="00225DC4">
        <w:t xml:space="preserve">the </w:t>
      </w:r>
      <w:r w:rsidR="00691589">
        <w:t>KEYNOTE-010</w:t>
      </w:r>
      <w:r w:rsidR="00225DC4">
        <w:t xml:space="preserve"> trial</w:t>
      </w:r>
      <w:r w:rsidRPr="00FC75EF">
        <w:t xml:space="preserve">, based on </w:t>
      </w:r>
      <w:r w:rsidRPr="008A6823">
        <w:t>ORRs (</w:t>
      </w:r>
      <w:r w:rsidR="00225DC4">
        <w:t xml:space="preserve">see </w:t>
      </w:r>
      <w:r w:rsidR="004971B4" w:rsidRPr="008A6823">
        <w:t>Attachment</w:t>
      </w:r>
      <w:r w:rsidR="00225DC4">
        <w:t> </w:t>
      </w:r>
      <w:r w:rsidR="004971B4" w:rsidRPr="008A6823">
        <w:t>2</w:t>
      </w:r>
      <w:r w:rsidR="008A6823" w:rsidRPr="008A6823">
        <w:t>,</w:t>
      </w:r>
      <w:r w:rsidR="004971B4" w:rsidRPr="008A6823">
        <w:t xml:space="preserve"> </w:t>
      </w:r>
      <w:r w:rsidRPr="008A6823">
        <w:t xml:space="preserve">Table </w:t>
      </w:r>
      <w:r w:rsidR="008A6823" w:rsidRPr="008A6823">
        <w:t>11</w:t>
      </w:r>
      <w:r w:rsidRPr="008A6823">
        <w:t>).</w:t>
      </w:r>
    </w:p>
    <w:p w14:paraId="07F4C873" w14:textId="263BE69C" w:rsidR="004327D7" w:rsidRPr="00FC75EF" w:rsidRDefault="004327D7" w:rsidP="004327D7">
      <w:r w:rsidRPr="00FC75EF">
        <w:t xml:space="preserve">There was also a trend towards a higher </w:t>
      </w:r>
      <w:r w:rsidR="00F352A0">
        <w:t xml:space="preserve">proportion of patients with progressive disease as the best objective response </w:t>
      </w:r>
      <w:r w:rsidRPr="00FC75EF">
        <w:t>with decreasing expression of PD-</w:t>
      </w:r>
      <w:r w:rsidRPr="008A6823">
        <w:t xml:space="preserve">L1 </w:t>
      </w:r>
      <w:r w:rsidR="00CA54C4">
        <w:t xml:space="preserve">(see </w:t>
      </w:r>
      <w:r w:rsidRPr="008A6823">
        <w:t xml:space="preserve">Table </w:t>
      </w:r>
      <w:r w:rsidR="00880EEA">
        <w:t>12</w:t>
      </w:r>
      <w:r w:rsidRPr="008A6823">
        <w:t>, above</w:t>
      </w:r>
      <w:r w:rsidR="00CA54C4">
        <w:t>)</w:t>
      </w:r>
      <w:r w:rsidRPr="008A6823">
        <w:t xml:space="preserve"> with</w:t>
      </w:r>
      <w:r w:rsidRPr="00FC75EF">
        <w:t xml:space="preserve"> outcomes consistent with those in </w:t>
      </w:r>
      <w:r w:rsidR="00CA54C4">
        <w:t xml:space="preserve">the </w:t>
      </w:r>
      <w:r w:rsidR="005B1C86">
        <w:t>KEYNOTE</w:t>
      </w:r>
      <w:r w:rsidR="005B1C86">
        <w:noBreakHyphen/>
      </w:r>
      <w:r w:rsidR="00691589">
        <w:t>010</w:t>
      </w:r>
      <w:r w:rsidR="00CA54C4">
        <w:t xml:space="preserve"> trial</w:t>
      </w:r>
      <w:r w:rsidRPr="00FC75EF">
        <w:t xml:space="preserve">, </w:t>
      </w:r>
      <w:r w:rsidR="0046163D">
        <w:t>that is,</w:t>
      </w:r>
      <w:r w:rsidRPr="00FC75EF">
        <w:t xml:space="preserve"> disease prog</w:t>
      </w:r>
      <w:r w:rsidR="008A6823">
        <w:t xml:space="preserve">ression was seen in </w:t>
      </w:r>
      <w:r w:rsidR="00CA54C4">
        <w:t xml:space="preserve">the </w:t>
      </w:r>
      <w:r w:rsidR="005B1C86">
        <w:t>KEYNOTE-001</w:t>
      </w:r>
      <w:r w:rsidR="00CA54C4">
        <w:t xml:space="preserve"> trial</w:t>
      </w:r>
      <w:r w:rsidR="008A6823">
        <w:t xml:space="preserve"> in 26 to </w:t>
      </w:r>
      <w:r w:rsidRPr="00FC75EF">
        <w:t xml:space="preserve">32% of subjects with </w:t>
      </w:r>
      <w:r w:rsidR="00CA54C4">
        <w:t>≥</w:t>
      </w:r>
      <w:r w:rsidR="008A6823">
        <w:t xml:space="preserve"> 50%</w:t>
      </w:r>
      <w:r w:rsidRPr="00FC75EF">
        <w:t xml:space="preserve"> tumour </w:t>
      </w:r>
      <w:r w:rsidR="008A6823">
        <w:t xml:space="preserve">expression of PD-L1, but 36 to </w:t>
      </w:r>
      <w:r w:rsidRPr="00FC75EF">
        <w:t xml:space="preserve">41% of those with </w:t>
      </w:r>
      <w:r w:rsidR="008141D3">
        <w:t xml:space="preserve">1 </w:t>
      </w:r>
      <w:r w:rsidR="00CA54C4">
        <w:t xml:space="preserve">to </w:t>
      </w:r>
      <w:r w:rsidR="008141D3">
        <w:t xml:space="preserve">49% </w:t>
      </w:r>
      <w:r w:rsidRPr="00FC75EF">
        <w:t>expression.</w:t>
      </w:r>
    </w:p>
    <w:p w14:paraId="07F4C874" w14:textId="77777777" w:rsidR="004327D7" w:rsidRPr="00FC75EF" w:rsidRDefault="004327D7" w:rsidP="004327D7">
      <w:pPr>
        <w:pStyle w:val="Heading4"/>
      </w:pPr>
      <w:r w:rsidRPr="00FC75EF">
        <w:lastRenderedPageBreak/>
        <w:t>Safety</w:t>
      </w:r>
    </w:p>
    <w:p w14:paraId="07F4C875" w14:textId="2B1230EF" w:rsidR="004327D7" w:rsidRPr="00FC75EF" w:rsidRDefault="004327D7" w:rsidP="004327D7">
      <w:r w:rsidRPr="00FC75EF">
        <w:t xml:space="preserve">Exposure to pembrolizumab is described </w:t>
      </w:r>
      <w:r w:rsidR="008A6823">
        <w:t>in</w:t>
      </w:r>
      <w:r w:rsidRPr="008A6823">
        <w:t xml:space="preserve"> </w:t>
      </w:r>
      <w:r w:rsidR="004971B4" w:rsidRPr="008A6823">
        <w:t>Attachment 2</w:t>
      </w:r>
      <w:r w:rsidR="00CA54C4">
        <w:t xml:space="preserve">, </w:t>
      </w:r>
      <w:r w:rsidR="008A6823" w:rsidRPr="008A6823">
        <w:t>Section</w:t>
      </w:r>
      <w:r w:rsidR="008A6823">
        <w:t xml:space="preserve"> 8.3</w:t>
      </w:r>
      <w:r w:rsidRPr="00FC75EF">
        <w:t>.</w:t>
      </w:r>
      <w:r w:rsidR="0046163D">
        <w:t xml:space="preserve"> </w:t>
      </w:r>
      <w:r w:rsidRPr="00FC75EF">
        <w:t xml:space="preserve">In </w:t>
      </w:r>
      <w:r w:rsidR="00CA54C4">
        <w:t xml:space="preserve">the </w:t>
      </w:r>
      <w:r w:rsidR="00691589">
        <w:t>KEYNOTE</w:t>
      </w:r>
      <w:r w:rsidR="00435C52">
        <w:noBreakHyphen/>
      </w:r>
      <w:r w:rsidR="00691589">
        <w:t>010</w:t>
      </w:r>
      <w:r w:rsidR="00435C52">
        <w:t xml:space="preserve"> trial</w:t>
      </w:r>
      <w:r w:rsidRPr="00FC75EF">
        <w:t>, the median duration of treatment was much higher for pembrolizumab than for docetaxel.</w:t>
      </w:r>
    </w:p>
    <w:p w14:paraId="07F4C876" w14:textId="73EC0A1A" w:rsidR="004327D7" w:rsidRPr="00FC75EF" w:rsidRDefault="00263D09" w:rsidP="004327D7">
      <w:pPr>
        <w:pStyle w:val="Heading5"/>
      </w:pPr>
      <w:r>
        <w:t>The</w:t>
      </w:r>
      <w:r w:rsidRPr="00FC75EF">
        <w:t xml:space="preserve"> </w:t>
      </w:r>
      <w:r w:rsidR="00691589">
        <w:t>KEYNOTE-010</w:t>
      </w:r>
      <w:r>
        <w:t xml:space="preserve"> trial</w:t>
      </w:r>
    </w:p>
    <w:p w14:paraId="07F4C877" w14:textId="5A03582C" w:rsidR="004327D7" w:rsidRDefault="004327D7" w:rsidP="004327D7">
      <w:r w:rsidRPr="00FC75EF">
        <w:t>A su</w:t>
      </w:r>
      <w:r w:rsidR="008A6823">
        <w:t xml:space="preserve">mmary of </w:t>
      </w:r>
      <w:r w:rsidR="00435C52">
        <w:t xml:space="preserve">adverse events </w:t>
      </w:r>
      <w:r w:rsidR="008A6823">
        <w:t xml:space="preserve">by broad category </w:t>
      </w:r>
      <w:r w:rsidRPr="00FC75EF">
        <w:t xml:space="preserve">for all patients in the </w:t>
      </w:r>
      <w:r w:rsidR="002D1E8D">
        <w:t>all patients as treated</w:t>
      </w:r>
      <w:r w:rsidR="002D1E8D" w:rsidRPr="00FC75EF">
        <w:t xml:space="preserve"> </w:t>
      </w:r>
      <w:r w:rsidR="002D1E8D">
        <w:t>(</w:t>
      </w:r>
      <w:proofErr w:type="spellStart"/>
      <w:r w:rsidRPr="00FC75EF">
        <w:t>APaT</w:t>
      </w:r>
      <w:proofErr w:type="spellEnd"/>
      <w:r w:rsidR="002D1E8D">
        <w:t>)</w:t>
      </w:r>
      <w:r w:rsidRPr="00FC75EF">
        <w:t xml:space="preserve"> population, </w:t>
      </w:r>
      <w:r w:rsidR="0046163D">
        <w:t>that is,</w:t>
      </w:r>
      <w:r w:rsidRPr="00FC75EF">
        <w:t xml:space="preserve"> all randomised subjects who received at least one dose of drug (</w:t>
      </w:r>
      <w:r w:rsidR="0046163D">
        <w:t>that is,</w:t>
      </w:r>
      <w:r w:rsidRPr="00FC75EF">
        <w:t xml:space="preserve"> not </w:t>
      </w:r>
      <w:proofErr w:type="spellStart"/>
      <w:r w:rsidRPr="00FC75EF">
        <w:t>subgrouped</w:t>
      </w:r>
      <w:proofErr w:type="spellEnd"/>
      <w:r w:rsidRPr="00FC75EF">
        <w:t xml:space="preserve"> by PD-L1 status</w:t>
      </w:r>
      <w:r w:rsidRPr="008A6823">
        <w:t>)</w:t>
      </w:r>
      <w:r w:rsidR="00435C52">
        <w:t xml:space="preserve"> is shown in Table 13, below (copied from the CSR)</w:t>
      </w:r>
      <w:r w:rsidRPr="008A6823">
        <w:t>.</w:t>
      </w:r>
      <w:r w:rsidR="0046163D" w:rsidRPr="008A6823">
        <w:t xml:space="preserve"> </w:t>
      </w:r>
      <w:r w:rsidR="008A6823" w:rsidRPr="008A6823">
        <w:t>Note</w:t>
      </w:r>
      <w:r w:rsidRPr="008A6823">
        <w:t>, only 309</w:t>
      </w:r>
      <w:r w:rsidR="008141D3">
        <w:t xml:space="preserve"> out of </w:t>
      </w:r>
      <w:r w:rsidRPr="008A6823">
        <w:t xml:space="preserve">343 docetaxel subjects were in the </w:t>
      </w:r>
      <w:proofErr w:type="spellStart"/>
      <w:r w:rsidRPr="008A6823">
        <w:t>APaT</w:t>
      </w:r>
      <w:proofErr w:type="spellEnd"/>
      <w:r w:rsidRPr="008A6823">
        <w:t xml:space="preserve"> population, suggesting some patie</w:t>
      </w:r>
      <w:r w:rsidR="008A6823">
        <w:t xml:space="preserve">nts withdrew early in this open </w:t>
      </w:r>
      <w:r w:rsidRPr="008A6823">
        <w:t>label trial.</w:t>
      </w:r>
    </w:p>
    <w:p w14:paraId="07F4C878" w14:textId="3E4F3FF7" w:rsidR="008A6823" w:rsidRPr="008A6823" w:rsidRDefault="008A6823" w:rsidP="00341EA0">
      <w:pPr>
        <w:pStyle w:val="TableTitle"/>
      </w:pPr>
      <w:r>
        <w:t xml:space="preserve">Table </w:t>
      </w:r>
      <w:r w:rsidR="00880EEA">
        <w:t>13</w:t>
      </w:r>
      <w:r>
        <w:t xml:space="preserve">: </w:t>
      </w:r>
      <w:r w:rsidR="00691589">
        <w:t>KEYNOTE-010</w:t>
      </w:r>
      <w:r w:rsidR="00435C52">
        <w:t xml:space="preserve"> trial</w:t>
      </w:r>
      <w:r>
        <w:t xml:space="preserve">; </w:t>
      </w:r>
      <w:r w:rsidR="00435C52">
        <w:t>S</w:t>
      </w:r>
      <w:r w:rsidRPr="00FC75EF">
        <w:t xml:space="preserve">ummary of </w:t>
      </w:r>
      <w:r w:rsidR="00435C52">
        <w:t>adverse event</w:t>
      </w:r>
      <w:r w:rsidRPr="00FC75EF">
        <w:t>s by broad category</w:t>
      </w:r>
    </w:p>
    <w:p w14:paraId="07F4C879" w14:textId="77777777" w:rsidR="004327D7" w:rsidRDefault="004327D7" w:rsidP="004327D7">
      <w:r>
        <w:rPr>
          <w:noProof/>
          <w:lang w:eastAsia="en-AU"/>
        </w:rPr>
        <w:drawing>
          <wp:inline distT="0" distB="0" distL="0" distR="0" wp14:anchorId="07F4C9DE" wp14:editId="0659647E">
            <wp:extent cx="5157503" cy="1909267"/>
            <wp:effectExtent l="0" t="0" r="5080" b="0"/>
            <wp:docPr id="2" name="Picture 2" descr="Table 13: Study KEYNOTE-010; A summary of AEs by broad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165031" cy="1912054"/>
                    </a:xfrm>
                    <a:prstGeom prst="rect">
                      <a:avLst/>
                    </a:prstGeom>
                  </pic:spPr>
                </pic:pic>
              </a:graphicData>
            </a:graphic>
          </wp:inline>
        </w:drawing>
      </w:r>
    </w:p>
    <w:p w14:paraId="07F4C87A" w14:textId="01ECDAC5" w:rsidR="00DE5D95" w:rsidRDefault="00273833" w:rsidP="00273833">
      <w:r w:rsidRPr="00273833">
        <w:t xml:space="preserve">A summary of </w:t>
      </w:r>
      <w:r w:rsidR="00435C52">
        <w:t xml:space="preserve">the more </w:t>
      </w:r>
      <w:r w:rsidRPr="00273833">
        <w:t xml:space="preserve">common </w:t>
      </w:r>
      <w:r w:rsidR="00435C52">
        <w:t>adverse events</w:t>
      </w:r>
      <w:r w:rsidR="00435C52" w:rsidRPr="00273833">
        <w:t xml:space="preserve"> </w:t>
      </w:r>
      <w:r w:rsidRPr="00273833">
        <w:t xml:space="preserve">(copied from the </w:t>
      </w:r>
      <w:r w:rsidR="00691589">
        <w:t>KEYNOTE-010</w:t>
      </w:r>
      <w:r w:rsidRPr="00273833">
        <w:t xml:space="preserve"> </w:t>
      </w:r>
      <w:r w:rsidR="00435C52">
        <w:t xml:space="preserve">trial </w:t>
      </w:r>
      <w:r w:rsidRPr="00273833">
        <w:t xml:space="preserve">CSR) </w:t>
      </w:r>
      <w:r w:rsidR="00435C52">
        <w:t xml:space="preserve">is shown below in </w:t>
      </w:r>
      <w:r w:rsidR="00DE5D95">
        <w:t xml:space="preserve">Table </w:t>
      </w:r>
      <w:r w:rsidR="00880EEA">
        <w:t>14</w:t>
      </w:r>
      <w:r w:rsidRPr="00273833">
        <w:t>.</w:t>
      </w:r>
    </w:p>
    <w:p w14:paraId="07F4C87B" w14:textId="2311C7D1" w:rsidR="00DE5D95" w:rsidRDefault="00DE5D95" w:rsidP="00341EA0">
      <w:pPr>
        <w:pStyle w:val="TableTitle"/>
      </w:pPr>
      <w:proofErr w:type="gramStart"/>
      <w:r>
        <w:lastRenderedPageBreak/>
        <w:t xml:space="preserve">Table </w:t>
      </w:r>
      <w:r w:rsidR="00880EEA">
        <w:t>14</w:t>
      </w:r>
      <w:r w:rsidR="00435C52">
        <w:t>.</w:t>
      </w:r>
      <w:proofErr w:type="gramEnd"/>
      <w:r w:rsidRPr="00DE5D95">
        <w:t xml:space="preserve"> </w:t>
      </w:r>
      <w:r w:rsidR="00691589">
        <w:t>KEYNOTE-010</w:t>
      </w:r>
      <w:r w:rsidR="00435C52">
        <w:t xml:space="preserve"> trial</w:t>
      </w:r>
      <w:r w:rsidR="00CE318D">
        <w:t>;</w:t>
      </w:r>
      <w:r w:rsidRPr="00FC75EF">
        <w:t xml:space="preserve"> Adverse events (incidence ≥</w:t>
      </w:r>
      <w:r w:rsidR="00880EEA">
        <w:t xml:space="preserve"> </w:t>
      </w:r>
      <w:r w:rsidRPr="00FC75EF">
        <w:t>10% in one or more treatment groups</w:t>
      </w:r>
      <w:r w:rsidRPr="00880EEA">
        <w:t xml:space="preserve">), </w:t>
      </w:r>
      <w:proofErr w:type="spellStart"/>
      <w:r w:rsidRPr="00880EEA">
        <w:t>APaT</w:t>
      </w:r>
      <w:proofErr w:type="spellEnd"/>
      <w:r w:rsidRPr="00FC75EF">
        <w:t xml:space="preserve"> population (TPS ≥</w:t>
      </w:r>
      <w:r w:rsidR="00880EEA">
        <w:t xml:space="preserve"> </w:t>
      </w:r>
      <w:r w:rsidRPr="00FC75EF">
        <w:t>1%)</w:t>
      </w:r>
    </w:p>
    <w:p w14:paraId="07F4C87C" w14:textId="77777777" w:rsidR="00E85EB4" w:rsidRDefault="00E85EB4" w:rsidP="00BA16BD">
      <w:r>
        <w:rPr>
          <w:noProof/>
          <w:lang w:eastAsia="en-AU"/>
        </w:rPr>
        <w:drawing>
          <wp:inline distT="0" distB="0" distL="0" distR="0" wp14:anchorId="07F4C9E0" wp14:editId="61650509">
            <wp:extent cx="5157625" cy="4725619"/>
            <wp:effectExtent l="0" t="0" r="5080" b="0"/>
            <wp:docPr id="23" name="Picture 23" descr="Table 14: KEYNOTE-010; Adverse events (incidence ≥ 10% in one or more treatment groups), APaT population (TP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Lst>
                    </a:blip>
                    <a:stretch>
                      <a:fillRect/>
                    </a:stretch>
                  </pic:blipFill>
                  <pic:spPr>
                    <a:xfrm>
                      <a:off x="0" y="0"/>
                      <a:ext cx="5160393" cy="4728155"/>
                    </a:xfrm>
                    <a:prstGeom prst="rect">
                      <a:avLst/>
                    </a:prstGeom>
                  </pic:spPr>
                </pic:pic>
              </a:graphicData>
            </a:graphic>
          </wp:inline>
        </w:drawing>
      </w:r>
    </w:p>
    <w:p w14:paraId="07F4C87D" w14:textId="79DB4F15" w:rsidR="00273833" w:rsidRPr="00273833" w:rsidRDefault="00273833" w:rsidP="00273833">
      <w:r w:rsidRPr="00273833">
        <w:t xml:space="preserve">The two approaches (docetaxel </w:t>
      </w:r>
      <w:r w:rsidR="0046163D">
        <w:t>versus</w:t>
      </w:r>
      <w:r w:rsidRPr="00273833">
        <w:t xml:space="preserve"> pembrolizumab) have distinct safety profiles, consistent with the known safety profile of each drug.</w:t>
      </w:r>
      <w:r w:rsidR="0046163D">
        <w:t xml:space="preserve"> </w:t>
      </w:r>
      <w:r w:rsidRPr="00273833">
        <w:t>Incidences noted below should be interpreted in the context of a quite different duration of exposure for each arm.</w:t>
      </w:r>
      <w:r w:rsidR="0046163D">
        <w:t xml:space="preserve"> </w:t>
      </w:r>
      <w:r w:rsidRPr="00273833">
        <w:t>For simplicity, the 10 mg/kg pembrolizumab arm is not reported below.</w:t>
      </w:r>
      <w:r w:rsidR="0046163D">
        <w:t xml:space="preserve"> </w:t>
      </w:r>
      <w:r w:rsidRPr="00273833">
        <w:t xml:space="preserve">Many </w:t>
      </w:r>
      <w:r w:rsidR="00435C52">
        <w:t>adverse event</w:t>
      </w:r>
      <w:r w:rsidR="00435C52" w:rsidRPr="00273833">
        <w:t xml:space="preserve">s </w:t>
      </w:r>
      <w:r w:rsidRPr="00273833">
        <w:t xml:space="preserve">are from </w:t>
      </w:r>
      <w:r w:rsidR="00435C52">
        <w:t>a table</w:t>
      </w:r>
      <w:r w:rsidRPr="00273833">
        <w:t xml:space="preserve"> of the CSR and not included in </w:t>
      </w:r>
      <w:r w:rsidR="00E85EB4">
        <w:t xml:space="preserve">Table </w:t>
      </w:r>
      <w:r w:rsidR="00880EEA">
        <w:t>14 above</w:t>
      </w:r>
      <w:r w:rsidRPr="00273833">
        <w:t>.</w:t>
      </w:r>
    </w:p>
    <w:p w14:paraId="07F4C87E" w14:textId="6D75D562" w:rsidR="00273833" w:rsidRPr="00273833" w:rsidRDefault="00273833" w:rsidP="00273833">
      <w:pPr>
        <w:pStyle w:val="ListBullet"/>
      </w:pPr>
      <w:r w:rsidRPr="00273833">
        <w:t xml:space="preserve">Pneumonitis was reported in 4.4% (pembrolizumab) </w:t>
      </w:r>
      <w:r w:rsidR="0046163D">
        <w:t>versus</w:t>
      </w:r>
      <w:r w:rsidRPr="00273833">
        <w:t xml:space="preserve"> 1.3% (docetaxel).</w:t>
      </w:r>
      <w:r w:rsidR="0046163D">
        <w:t xml:space="preserve"> </w:t>
      </w:r>
      <w:r w:rsidRPr="00273833">
        <w:t xml:space="preserve">The </w:t>
      </w:r>
      <w:r w:rsidR="00435C52">
        <w:t>adverse event</w:t>
      </w:r>
      <w:r w:rsidR="00435C52" w:rsidRPr="00273833">
        <w:t xml:space="preserve"> </w:t>
      </w:r>
      <w:r w:rsidRPr="00273833">
        <w:t xml:space="preserve">of dyspnoea was not clearly imbalanced, but there were more reports of cough in the pembrolizumab arm (21.2% </w:t>
      </w:r>
      <w:r w:rsidR="0046163D">
        <w:t>versus</w:t>
      </w:r>
      <w:r w:rsidRPr="00273833">
        <w:t xml:space="preserve"> 13.6%).</w:t>
      </w:r>
      <w:r w:rsidR="0046163D">
        <w:t xml:space="preserve"> </w:t>
      </w:r>
      <w:r w:rsidR="00CE318D">
        <w:t>Chronic obstructive pulmonary disease</w:t>
      </w:r>
      <w:r w:rsidR="00CE318D" w:rsidRPr="00273833">
        <w:t xml:space="preserve"> </w:t>
      </w:r>
      <w:r w:rsidR="00CE318D">
        <w:t>(</w:t>
      </w:r>
      <w:r w:rsidRPr="00273833">
        <w:t>COPD</w:t>
      </w:r>
      <w:r w:rsidR="00CE318D">
        <w:t>)</w:t>
      </w:r>
      <w:r w:rsidRPr="00273833">
        <w:t xml:space="preserve"> was also imbalanced (2.7% </w:t>
      </w:r>
      <w:r w:rsidR="0046163D">
        <w:t>versus</w:t>
      </w:r>
      <w:r w:rsidRPr="00273833">
        <w:t xml:space="preserve"> 0.6%).</w:t>
      </w:r>
    </w:p>
    <w:p w14:paraId="07F4C87F" w14:textId="77777777" w:rsidR="00273833" w:rsidRPr="00273833" w:rsidRDefault="00273833" w:rsidP="00273833">
      <w:pPr>
        <w:pStyle w:val="ListBullet"/>
      </w:pPr>
      <w:r w:rsidRPr="00273833">
        <w:t xml:space="preserve">Colitis (including ischaemic colitis) was reported in 1.2% (pembrolizumab) </w:t>
      </w:r>
      <w:r w:rsidR="0046163D">
        <w:t>versus</w:t>
      </w:r>
      <w:r w:rsidRPr="00273833">
        <w:t xml:space="preserve"> 0.3% (docetaxel), but diarrhoea was reported in 15.6% </w:t>
      </w:r>
      <w:r w:rsidR="0046163D">
        <w:t>versus</w:t>
      </w:r>
      <w:r w:rsidRPr="00273833">
        <w:t xml:space="preserve"> 25.9% respectively.</w:t>
      </w:r>
    </w:p>
    <w:p w14:paraId="07F4C880" w14:textId="5C87FB13" w:rsidR="00273833" w:rsidRPr="00273833" w:rsidRDefault="00273833" w:rsidP="00341EA0">
      <w:pPr>
        <w:pStyle w:val="ListBullet"/>
      </w:pPr>
      <w:proofErr w:type="spellStart"/>
      <w:r w:rsidRPr="00273833">
        <w:t>Transaminitis</w:t>
      </w:r>
      <w:proofErr w:type="spellEnd"/>
      <w:r w:rsidRPr="00273833">
        <w:t xml:space="preserve"> (elevated </w:t>
      </w:r>
      <w:r w:rsidR="002D1E8D">
        <w:t>aspartate transaminase</w:t>
      </w:r>
      <w:r w:rsidR="002D1E8D" w:rsidRPr="00273833">
        <w:t xml:space="preserve"> </w:t>
      </w:r>
      <w:r w:rsidR="002D1E8D">
        <w:t>(</w:t>
      </w:r>
      <w:r w:rsidRPr="00273833">
        <w:t>AST</w:t>
      </w:r>
      <w:r w:rsidR="002D1E8D">
        <w:t>)</w:t>
      </w:r>
      <w:r w:rsidRPr="00273833">
        <w:t xml:space="preserve"> or </w:t>
      </w:r>
      <w:r w:rsidR="002D1E8D">
        <w:t>alanine transaminase</w:t>
      </w:r>
      <w:r w:rsidR="002D1E8D" w:rsidRPr="00273833">
        <w:t xml:space="preserve"> </w:t>
      </w:r>
      <w:r w:rsidR="002D1E8D">
        <w:t>(</w:t>
      </w:r>
      <w:r w:rsidRPr="00273833">
        <w:t>ALT</w:t>
      </w:r>
      <w:r w:rsidR="002D1E8D">
        <w:t>)</w:t>
      </w:r>
      <w:r w:rsidRPr="00273833">
        <w:t>) was more</w:t>
      </w:r>
      <w:r w:rsidR="00E85EB4">
        <w:t xml:space="preserve"> common with pembrolizumab (5.0 to </w:t>
      </w:r>
      <w:r w:rsidRPr="00273833">
        <w:t>7.1%) than docetaxel (1.3%).</w:t>
      </w:r>
      <w:r w:rsidR="0046163D">
        <w:t xml:space="preserve"> </w:t>
      </w:r>
      <w:r w:rsidRPr="00273833">
        <w:t xml:space="preserve">There were </w:t>
      </w:r>
      <w:r w:rsidR="00435C52">
        <w:t>adverse events</w:t>
      </w:r>
      <w:r w:rsidR="00435C52" w:rsidRPr="00273833">
        <w:t xml:space="preserve"> </w:t>
      </w:r>
      <w:r w:rsidRPr="00273833">
        <w:t>of autoimmune hepatitis, hepatic failure, hepatocellular injury and hepatotoxicity in pembrolizumab arms, but not in the docetaxel arm.</w:t>
      </w:r>
    </w:p>
    <w:p w14:paraId="07F4C881" w14:textId="77777777" w:rsidR="00273833" w:rsidRPr="00273833" w:rsidRDefault="00273833" w:rsidP="00341EA0">
      <w:pPr>
        <w:pStyle w:val="ListBullet"/>
      </w:pPr>
      <w:r w:rsidRPr="00273833">
        <w:t xml:space="preserve">Increased creatinine was more common with pembrolizumab (5.3% </w:t>
      </w:r>
      <w:r w:rsidR="0046163D">
        <w:t>versus</w:t>
      </w:r>
      <w:r w:rsidRPr="00273833">
        <w:t xml:space="preserve"> 1.3%).</w:t>
      </w:r>
      <w:r w:rsidR="0046163D">
        <w:t xml:space="preserve"> </w:t>
      </w:r>
      <w:r w:rsidRPr="00273833">
        <w:t xml:space="preserve">Acute kidney injury (1.5% </w:t>
      </w:r>
      <w:r w:rsidR="0046163D">
        <w:t>versus</w:t>
      </w:r>
      <w:r w:rsidRPr="00273833">
        <w:t xml:space="preserve"> 0.6%) and renal failure (0.9% </w:t>
      </w:r>
      <w:r w:rsidR="0046163D">
        <w:t>versus</w:t>
      </w:r>
      <w:r w:rsidRPr="00273833">
        <w:t xml:space="preserve"> 0%) were also imbalanced.</w:t>
      </w:r>
    </w:p>
    <w:p w14:paraId="07F4C882" w14:textId="77777777" w:rsidR="00273833" w:rsidRPr="00273833" w:rsidRDefault="00273833" w:rsidP="00341EA0">
      <w:pPr>
        <w:pStyle w:val="ListBullet"/>
      </w:pPr>
      <w:r w:rsidRPr="00273833">
        <w:t xml:space="preserve">Hypothyroidism (8.3% </w:t>
      </w:r>
      <w:r w:rsidR="0046163D">
        <w:t>versus</w:t>
      </w:r>
      <w:r w:rsidRPr="00273833">
        <w:t xml:space="preserve"> 0.3%) and hyperthyroidism (3.5% </w:t>
      </w:r>
      <w:r w:rsidR="0046163D">
        <w:t>versus</w:t>
      </w:r>
      <w:r w:rsidRPr="00273833">
        <w:t xml:space="preserve"> 1.0%) were reported more commonly with pembrolizumab.</w:t>
      </w:r>
    </w:p>
    <w:p w14:paraId="07F4C883" w14:textId="77777777" w:rsidR="00273833" w:rsidRPr="00273833" w:rsidRDefault="00273833" w:rsidP="00341EA0">
      <w:pPr>
        <w:pStyle w:val="ListBullet"/>
      </w:pPr>
      <w:r w:rsidRPr="00273833">
        <w:lastRenderedPageBreak/>
        <w:t xml:space="preserve">Adrenal insufficiency was reported in 0.6% (pembrolizumab) </w:t>
      </w:r>
      <w:r w:rsidR="0046163D">
        <w:t>versus</w:t>
      </w:r>
      <w:r w:rsidRPr="00273833">
        <w:t xml:space="preserve"> 0% (docetaxel).</w:t>
      </w:r>
    </w:p>
    <w:p w14:paraId="07F4C884" w14:textId="3592CB44" w:rsidR="00273833" w:rsidRPr="00273833" w:rsidRDefault="00273833" w:rsidP="00341EA0">
      <w:pPr>
        <w:pStyle w:val="ListBullet"/>
      </w:pPr>
      <w:r w:rsidRPr="00273833">
        <w:t>Hypopitui</w:t>
      </w:r>
      <w:r w:rsidR="00CE318D">
        <w:t xml:space="preserve">tarism (or the term </w:t>
      </w:r>
      <w:proofErr w:type="spellStart"/>
      <w:r w:rsidR="00CE318D">
        <w:t>hypothalamo</w:t>
      </w:r>
      <w:proofErr w:type="spellEnd"/>
      <w:r w:rsidR="00435C52">
        <w:t>-</w:t>
      </w:r>
      <w:r w:rsidRPr="00273833">
        <w:t>pituitary disorder) was reported in three patients receiving pembrolizumab across both arms, and in no docetaxel patients.</w:t>
      </w:r>
    </w:p>
    <w:p w14:paraId="07F4C885" w14:textId="77777777" w:rsidR="00273833" w:rsidRPr="00273833" w:rsidRDefault="00273833" w:rsidP="00341EA0">
      <w:pPr>
        <w:pStyle w:val="ListBullet"/>
      </w:pPr>
      <w:r w:rsidRPr="00273833">
        <w:t xml:space="preserve">Imbalances in myalgia (5.9% pembrolizumab </w:t>
      </w:r>
      <w:r w:rsidR="0046163D">
        <w:t>versus</w:t>
      </w:r>
      <w:r w:rsidRPr="00273833">
        <w:t xml:space="preserve"> 11% docetaxel) and musculoskeletal pain (3.2% </w:t>
      </w:r>
      <w:r w:rsidR="0046163D">
        <w:t>versus</w:t>
      </w:r>
      <w:r w:rsidRPr="00273833">
        <w:t xml:space="preserve"> 10%) trended in different directions.</w:t>
      </w:r>
    </w:p>
    <w:p w14:paraId="07F4C886" w14:textId="77777777" w:rsidR="00273833" w:rsidRPr="00273833" w:rsidRDefault="00273833" w:rsidP="00341EA0">
      <w:pPr>
        <w:pStyle w:val="ListBullet"/>
      </w:pPr>
      <w:r w:rsidRPr="00273833">
        <w:t xml:space="preserve">Pancreatitis (including acute pancreatitis) was reported in 0.9% </w:t>
      </w:r>
      <w:r w:rsidR="0046163D">
        <w:t>versus</w:t>
      </w:r>
      <w:r w:rsidRPr="00273833">
        <w:t xml:space="preserve"> 0%.</w:t>
      </w:r>
    </w:p>
    <w:p w14:paraId="07F4C887" w14:textId="1502C033" w:rsidR="00273833" w:rsidRPr="00273833" w:rsidRDefault="00273833" w:rsidP="00341EA0">
      <w:pPr>
        <w:pStyle w:val="ListBullet"/>
      </w:pPr>
      <w:r w:rsidRPr="00273833">
        <w:t xml:space="preserve">Rash, including maculopapular rash (14.2% </w:t>
      </w:r>
      <w:r w:rsidR="0046163D">
        <w:t>versus</w:t>
      </w:r>
      <w:r w:rsidRPr="00273833">
        <w:t xml:space="preserve"> 7.1%) and pruritus (9.4% </w:t>
      </w:r>
      <w:r w:rsidR="0046163D">
        <w:t>versus</w:t>
      </w:r>
      <w:r w:rsidRPr="00273833">
        <w:t xml:space="preserve"> 3.2%) were commoner with pembrolizumab but the </w:t>
      </w:r>
      <w:r w:rsidR="008E4FB8">
        <w:t>adverse event</w:t>
      </w:r>
      <w:r w:rsidRPr="00273833">
        <w:t xml:space="preserve"> of dry skin was not (2.9% </w:t>
      </w:r>
      <w:r w:rsidR="0046163D">
        <w:t>versus</w:t>
      </w:r>
      <w:r w:rsidRPr="00273833">
        <w:t xml:space="preserve"> 2.6%).</w:t>
      </w:r>
      <w:r w:rsidR="0046163D">
        <w:t xml:space="preserve"> </w:t>
      </w:r>
      <w:r w:rsidRPr="00273833">
        <w:t>There were no reports of serious skin reactions.</w:t>
      </w:r>
    </w:p>
    <w:p w14:paraId="07F4C888" w14:textId="721E7E3C" w:rsidR="00273833" w:rsidRPr="00273833" w:rsidRDefault="00273833" w:rsidP="00341EA0">
      <w:pPr>
        <w:pStyle w:val="ListBullet"/>
      </w:pPr>
      <w:r w:rsidRPr="00273833">
        <w:t>Anaemia/</w:t>
      </w:r>
      <w:proofErr w:type="spellStart"/>
      <w:r w:rsidRPr="00273833">
        <w:t>neutrop</w:t>
      </w:r>
      <w:r w:rsidR="008E4FB8">
        <w:t>a</w:t>
      </w:r>
      <w:r w:rsidRPr="00273833">
        <w:t>enia</w:t>
      </w:r>
      <w:proofErr w:type="spellEnd"/>
      <w:r w:rsidRPr="00273833">
        <w:t xml:space="preserve">/febrile </w:t>
      </w:r>
      <w:proofErr w:type="spellStart"/>
      <w:r w:rsidRPr="00273833">
        <w:t>neutrop</w:t>
      </w:r>
      <w:r w:rsidR="008E4FB8">
        <w:t>a</w:t>
      </w:r>
      <w:r w:rsidRPr="00273833">
        <w:t>enia</w:t>
      </w:r>
      <w:proofErr w:type="spellEnd"/>
      <w:r w:rsidRPr="00273833">
        <w:t>, fatigu</w:t>
      </w:r>
      <w:r w:rsidR="008E4FB8">
        <w:t>e</w:t>
      </w:r>
      <w:r w:rsidRPr="00273833">
        <w:t xml:space="preserve">/asthenia/malaise, </w:t>
      </w:r>
      <w:proofErr w:type="spellStart"/>
      <w:r w:rsidRPr="00273833">
        <w:t>dysgeusia</w:t>
      </w:r>
      <w:proofErr w:type="spellEnd"/>
      <w:r w:rsidRPr="00273833">
        <w:t>, alopecia, stomatitis, increased lacrimation and peripheral neuropathy were reported more commonly with docetaxel.</w:t>
      </w:r>
    </w:p>
    <w:p w14:paraId="07F4C889" w14:textId="77777777" w:rsidR="00273833" w:rsidRPr="00273833" w:rsidRDefault="00273833" w:rsidP="00341EA0">
      <w:pPr>
        <w:pStyle w:val="ListBullet"/>
      </w:pPr>
      <w:r w:rsidRPr="00273833">
        <w:t xml:space="preserve">Pyrexia was not increased with pembrolizumab </w:t>
      </w:r>
      <w:r w:rsidR="0046163D">
        <w:t>versus</w:t>
      </w:r>
      <w:r w:rsidRPr="00273833">
        <w:t xml:space="preserve"> docetaxel.</w:t>
      </w:r>
      <w:r w:rsidR="0046163D">
        <w:t xml:space="preserve"> </w:t>
      </w:r>
      <w:r w:rsidRPr="00273833">
        <w:t>Overall frequency of infection was similar across arms.</w:t>
      </w:r>
    </w:p>
    <w:p w14:paraId="07F4C88A" w14:textId="77777777" w:rsidR="00273833" w:rsidRPr="00273833" w:rsidRDefault="00CE318D" w:rsidP="00341EA0">
      <w:pPr>
        <w:pStyle w:val="ListBullet"/>
      </w:pPr>
      <w:r>
        <w:t xml:space="preserve">Haemoptysis was reported in 6 to </w:t>
      </w:r>
      <w:r w:rsidR="00273833" w:rsidRPr="00273833">
        <w:t>7% across arms.</w:t>
      </w:r>
    </w:p>
    <w:p w14:paraId="07F4C88B" w14:textId="77777777" w:rsidR="00273833" w:rsidRPr="00273833" w:rsidRDefault="00273833" w:rsidP="00341EA0">
      <w:pPr>
        <w:pStyle w:val="ListBullet"/>
      </w:pPr>
      <w:r w:rsidRPr="00273833">
        <w:t xml:space="preserve">Hyponatraemia was more common in the pembrolizumab arm (3.8% </w:t>
      </w:r>
      <w:r w:rsidR="0046163D">
        <w:t>versus</w:t>
      </w:r>
      <w:r w:rsidRPr="00273833">
        <w:t xml:space="preserve"> 1.0%).</w:t>
      </w:r>
    </w:p>
    <w:p w14:paraId="07F4C88C" w14:textId="77777777" w:rsidR="00273833" w:rsidRPr="00273833" w:rsidRDefault="00273833" w:rsidP="00341EA0">
      <w:pPr>
        <w:pStyle w:val="ListBullet"/>
      </w:pPr>
      <w:r w:rsidRPr="00273833">
        <w:t xml:space="preserve">Decreased weight was more common in the pembrolizumab arm (8.0% </w:t>
      </w:r>
      <w:r w:rsidR="0046163D">
        <w:t>versus</w:t>
      </w:r>
      <w:r w:rsidRPr="00273833">
        <w:t xml:space="preserve"> 2.9%).</w:t>
      </w:r>
    </w:p>
    <w:p w14:paraId="07F4C88D" w14:textId="47AA2A0E" w:rsidR="00273833" w:rsidRPr="00E85EB4" w:rsidRDefault="00273833" w:rsidP="00DD519D">
      <w:pPr>
        <w:pStyle w:val="Comment"/>
      </w:pPr>
      <w:r w:rsidRPr="00DD519D">
        <w:rPr>
          <w:b/>
        </w:rPr>
        <w:t>Question for sponsor</w:t>
      </w:r>
      <w:r w:rsidR="00E85EB4" w:rsidRPr="00DD519D">
        <w:rPr>
          <w:b/>
        </w:rPr>
        <w:t>:</w:t>
      </w:r>
      <w:r w:rsidR="00E85EB4">
        <w:rPr>
          <w:i/>
        </w:rPr>
        <w:t xml:space="preserve"> </w:t>
      </w:r>
      <w:r w:rsidRPr="00273833">
        <w:t xml:space="preserve">With reference to </w:t>
      </w:r>
      <w:r w:rsidR="008E4FB8">
        <w:t xml:space="preserve">the </w:t>
      </w:r>
      <w:r w:rsidR="00691589">
        <w:t>KEYNOTE-010</w:t>
      </w:r>
      <w:r w:rsidR="008E4FB8">
        <w:t xml:space="preserve"> trial</w:t>
      </w:r>
      <w:r w:rsidRPr="00273833">
        <w:t>, please explain the imbalance across arms in the AEs of ‘hyponatraemia’ and ‘decreased weight’.</w:t>
      </w:r>
    </w:p>
    <w:p w14:paraId="07F4C88E" w14:textId="3370C1C5" w:rsidR="00273833" w:rsidRPr="00FC75EF" w:rsidRDefault="00273833" w:rsidP="00273833">
      <w:r w:rsidRPr="00FC75EF">
        <w:t xml:space="preserve">Modestly lower frequencies of some categories of </w:t>
      </w:r>
      <w:r w:rsidR="008E4FB8">
        <w:t>adverse event</w:t>
      </w:r>
      <w:r w:rsidR="008E4FB8" w:rsidRPr="00FC75EF">
        <w:t xml:space="preserve"> </w:t>
      </w:r>
      <w:r w:rsidRPr="00FC75EF">
        <w:t>(</w:t>
      </w:r>
      <w:r w:rsidR="0046163D">
        <w:t>for example</w:t>
      </w:r>
      <w:r w:rsidRPr="00FC75EF">
        <w:t xml:space="preserve"> serious </w:t>
      </w:r>
      <w:r w:rsidR="008E4FB8">
        <w:t>adverse events</w:t>
      </w:r>
      <w:r w:rsidRPr="00FC75EF">
        <w:t xml:space="preserve">) were observed in the </w:t>
      </w:r>
      <w:r w:rsidR="008141D3">
        <w:t xml:space="preserve">1 </w:t>
      </w:r>
      <w:r w:rsidR="008E4FB8">
        <w:t>to</w:t>
      </w:r>
      <w:r w:rsidR="008141D3">
        <w:t xml:space="preserve"> 49% </w:t>
      </w:r>
      <w:r w:rsidRPr="00FC75EF">
        <w:t xml:space="preserve">PD-L1 expression subgroup of the pembrolizumab 2 mg/kg Q3W </w:t>
      </w:r>
      <w:r w:rsidRPr="00452C37">
        <w:t>arm (</w:t>
      </w:r>
      <w:r w:rsidR="00452C37" w:rsidRPr="00452C37">
        <w:t>Attachment 2</w:t>
      </w:r>
      <w:r w:rsidR="00452C37">
        <w:t>,</w:t>
      </w:r>
      <w:r w:rsidRPr="00452C37">
        <w:t xml:space="preserve"> Table </w:t>
      </w:r>
      <w:r w:rsidR="00452C37" w:rsidRPr="00452C37">
        <w:t>31</w:t>
      </w:r>
      <w:r w:rsidRPr="00FC75EF">
        <w:t xml:space="preserve">) than the </w:t>
      </w:r>
      <w:r w:rsidR="00E85EB4">
        <w:t xml:space="preserve">&gt; </w:t>
      </w:r>
      <w:r w:rsidR="00AD4677">
        <w:t>50%</w:t>
      </w:r>
      <w:r w:rsidRPr="00FC75EF">
        <w:t xml:space="preserve"> PD-L1 expression subgroup; although the </w:t>
      </w:r>
      <w:r w:rsidR="008E4FB8">
        <w:t xml:space="preserve">1 to </w:t>
      </w:r>
      <w:r w:rsidR="008141D3">
        <w:t xml:space="preserve">49% </w:t>
      </w:r>
      <w:r w:rsidRPr="00FC75EF">
        <w:t xml:space="preserve">PD-L1 expression subgroup had overall less exposure to study drug than the </w:t>
      </w:r>
      <w:r w:rsidR="008E4FB8">
        <w:t>≥</w:t>
      </w:r>
      <w:r w:rsidR="00452C37">
        <w:t> </w:t>
      </w:r>
      <w:r w:rsidRPr="00FC75EF">
        <w:t xml:space="preserve">50% PD-L1 expression subgroup (exposure is </w:t>
      </w:r>
      <w:r w:rsidRPr="00452C37">
        <w:t xml:space="preserve">described </w:t>
      </w:r>
      <w:r w:rsidR="00452C37" w:rsidRPr="00452C37">
        <w:t>in</w:t>
      </w:r>
      <w:r w:rsidRPr="00452C37">
        <w:t xml:space="preserve"> </w:t>
      </w:r>
      <w:r w:rsidR="004971B4" w:rsidRPr="00452C37">
        <w:t>Attachment 2</w:t>
      </w:r>
      <w:r w:rsidR="00452C37" w:rsidRPr="00452C37">
        <w:t>,</w:t>
      </w:r>
      <w:r w:rsidR="004971B4" w:rsidRPr="00452C37">
        <w:t xml:space="preserve"> </w:t>
      </w:r>
      <w:r w:rsidR="00452C37" w:rsidRPr="00452C37">
        <w:t>Sec</w:t>
      </w:r>
      <w:r w:rsidR="00452C37">
        <w:t>tion 8.3</w:t>
      </w:r>
      <w:r w:rsidRPr="00FC75EF">
        <w:t>).</w:t>
      </w:r>
    </w:p>
    <w:p w14:paraId="07F4C88F" w14:textId="17CF20EB" w:rsidR="00273833" w:rsidRPr="00FC75EF" w:rsidRDefault="00273833" w:rsidP="00273833">
      <w:r w:rsidRPr="00FC75EF">
        <w:t xml:space="preserve">The sponsor provided an integrated summary of safety, </w:t>
      </w:r>
      <w:r w:rsidR="00EE600B">
        <w:t xml:space="preserve">including </w:t>
      </w:r>
      <w:r w:rsidRPr="00FC75EF">
        <w:t>2</w:t>
      </w:r>
      <w:r w:rsidR="00452C37">
        <w:t>,</w:t>
      </w:r>
      <w:r w:rsidRPr="00FC75EF">
        <w:t xml:space="preserve">799 </w:t>
      </w:r>
      <w:r w:rsidRPr="00452C37">
        <w:t xml:space="preserve">patients in melanoma and NSCLC </w:t>
      </w:r>
      <w:r w:rsidR="008E4FB8">
        <w:t>S</w:t>
      </w:r>
      <w:r w:rsidRPr="00452C37">
        <w:t xml:space="preserve">tudies </w:t>
      </w:r>
      <w:r w:rsidR="00452C37" w:rsidRPr="00452C37">
        <w:t>PN</w:t>
      </w:r>
      <w:r w:rsidRPr="00452C37">
        <w:t xml:space="preserve">001, </w:t>
      </w:r>
      <w:r w:rsidR="00452C37" w:rsidRPr="00452C37">
        <w:t>PN</w:t>
      </w:r>
      <w:r w:rsidRPr="00452C37">
        <w:t xml:space="preserve">002, </w:t>
      </w:r>
      <w:r w:rsidR="00452C37" w:rsidRPr="00452C37">
        <w:t>PN</w:t>
      </w:r>
      <w:r w:rsidRPr="00452C37">
        <w:t xml:space="preserve">006 and </w:t>
      </w:r>
      <w:r w:rsidR="00452C37" w:rsidRPr="00452C37">
        <w:t>PN</w:t>
      </w:r>
      <w:r w:rsidRPr="00452C37">
        <w:t>010 (</w:t>
      </w:r>
      <w:r w:rsidR="008E4FB8">
        <w:t xml:space="preserve">see </w:t>
      </w:r>
      <w:r w:rsidR="004971B4" w:rsidRPr="00452C37">
        <w:t>Attachment 2</w:t>
      </w:r>
      <w:r w:rsidR="00452C37">
        <w:t>,</w:t>
      </w:r>
      <w:r w:rsidR="004971B4" w:rsidRPr="00452C37">
        <w:t xml:space="preserve"> </w:t>
      </w:r>
      <w:r w:rsidR="00452C37" w:rsidRPr="00452C37">
        <w:t>Section 8.5</w:t>
      </w:r>
      <w:r w:rsidRPr="00452C37">
        <w:t>).</w:t>
      </w:r>
    </w:p>
    <w:p w14:paraId="07F4C890" w14:textId="77777777" w:rsidR="00273833" w:rsidRPr="00FC75EF" w:rsidRDefault="00273833" w:rsidP="00273833">
      <w:r w:rsidRPr="00FC75EF">
        <w:t>The evaluator noted some areas where the PI could be improved but overall the pattern of toxicity for pembrolizumab was in keeping with its known safety profile.</w:t>
      </w:r>
    </w:p>
    <w:p w14:paraId="07F4C891" w14:textId="77777777" w:rsidR="00273833" w:rsidRPr="00FC75EF" w:rsidRDefault="00273833" w:rsidP="00273833">
      <w:pPr>
        <w:pStyle w:val="Heading6"/>
      </w:pPr>
      <w:r w:rsidRPr="00FC75EF">
        <w:t>Immunogenicity</w:t>
      </w:r>
    </w:p>
    <w:p w14:paraId="07F4C892" w14:textId="3F69406E" w:rsidR="00273833" w:rsidRPr="00FC75EF" w:rsidRDefault="00273833" w:rsidP="00273833">
      <w:r w:rsidRPr="00FC75EF">
        <w:t xml:space="preserve">Data concerning </w:t>
      </w:r>
      <w:r w:rsidRPr="00EB2CF3">
        <w:t>im</w:t>
      </w:r>
      <w:r w:rsidR="00EB2CF3" w:rsidRPr="00EB2CF3">
        <w:t xml:space="preserve">munogenicity are described in </w:t>
      </w:r>
      <w:r w:rsidR="004971B4" w:rsidRPr="00EB2CF3">
        <w:t xml:space="preserve">Attachment 2 </w:t>
      </w:r>
      <w:r w:rsidR="00CE318D">
        <w:t>(</w:t>
      </w:r>
      <w:r w:rsidR="00EB2CF3" w:rsidRPr="00EB2CF3">
        <w:t>Section 8.6.5</w:t>
      </w:r>
      <w:r w:rsidR="00CE318D">
        <w:t>)</w:t>
      </w:r>
      <w:r w:rsidRPr="00EB2CF3">
        <w:t>;</w:t>
      </w:r>
      <w:r w:rsidR="00452C37" w:rsidRPr="00EB2CF3">
        <w:t xml:space="preserve"> 19</w:t>
      </w:r>
      <w:r w:rsidR="008141D3">
        <w:t xml:space="preserve"> out of </w:t>
      </w:r>
      <w:r w:rsidR="00452C37" w:rsidRPr="00EB2CF3">
        <w:t>1</w:t>
      </w:r>
      <w:r w:rsidR="00CE318D">
        <w:t>,</w:t>
      </w:r>
      <w:r w:rsidR="00452C37" w:rsidRPr="00EB2CF3">
        <w:t>087</w:t>
      </w:r>
      <w:r w:rsidR="00452C37">
        <w:t xml:space="preserve"> subjects had treatment </w:t>
      </w:r>
      <w:r w:rsidRPr="00FC75EF">
        <w:t>emergent ADAs and 16</w:t>
      </w:r>
      <w:r w:rsidR="008141D3">
        <w:t xml:space="preserve"> out of </w:t>
      </w:r>
      <w:r w:rsidRPr="00FC75EF">
        <w:t>19 subj</w:t>
      </w:r>
      <w:r w:rsidR="00452C37">
        <w:t>ects had NSCLC</w:t>
      </w:r>
      <w:r w:rsidR="008E4FB8">
        <w:t>,</w:t>
      </w:r>
      <w:r w:rsidRPr="00FC75EF">
        <w:t xml:space="preserve"> </w:t>
      </w:r>
      <w:r w:rsidR="0046163D">
        <w:t xml:space="preserve">that </w:t>
      </w:r>
      <w:r w:rsidR="00EB2CF3">
        <w:t>is</w:t>
      </w:r>
      <w:r w:rsidR="008E4FB8">
        <w:t>,</w:t>
      </w:r>
      <w:r w:rsidRPr="00FC75EF">
        <w:t xml:space="preserve"> ADAs appear more common in NSCLC than melanoma patients.</w:t>
      </w:r>
      <w:r w:rsidR="0046163D">
        <w:t xml:space="preserve"> </w:t>
      </w:r>
      <w:r w:rsidRPr="00FC75EF">
        <w:t>However, no functional effects of these ADAs were seen.</w:t>
      </w:r>
      <w:r w:rsidR="0046163D">
        <w:t xml:space="preserve"> </w:t>
      </w:r>
      <w:r w:rsidRPr="00FC75EF">
        <w:t xml:space="preserve">Analysis was hamstrung by pembrolizumab interference with the antibody assays, meaning results were inconclusive for many </w:t>
      </w:r>
      <w:r w:rsidRPr="00EB2CF3">
        <w:t>subjects (</w:t>
      </w:r>
      <w:r w:rsidR="008E4FB8">
        <w:t xml:space="preserve">see </w:t>
      </w:r>
      <w:r w:rsidR="004971B4" w:rsidRPr="00EB2CF3">
        <w:t xml:space="preserve">Attachment 2 </w:t>
      </w:r>
      <w:r w:rsidR="00EB2CF3" w:rsidRPr="00EB2CF3">
        <w:t>Table 34</w:t>
      </w:r>
      <w:r w:rsidRPr="00EB2CF3">
        <w:t>).</w:t>
      </w:r>
    </w:p>
    <w:p w14:paraId="07F4C893" w14:textId="030B9193" w:rsidR="004327D7" w:rsidRDefault="00273833" w:rsidP="00273833">
      <w:pPr>
        <w:pStyle w:val="Heading3"/>
      </w:pPr>
      <w:bookmarkStart w:id="159" w:name="_Toc513458946"/>
      <w:r>
        <w:t xml:space="preserve">Clinical </w:t>
      </w:r>
      <w:r w:rsidR="00EB2CF3">
        <w:t>e</w:t>
      </w:r>
      <w:r>
        <w:t xml:space="preserve">valuation </w:t>
      </w:r>
      <w:r w:rsidR="008E4FB8">
        <w:t xml:space="preserve">for </w:t>
      </w:r>
      <w:r>
        <w:t>Submission PM-2016-02325-1-4</w:t>
      </w:r>
      <w:bookmarkEnd w:id="159"/>
    </w:p>
    <w:p w14:paraId="07F4C894" w14:textId="4769E958" w:rsidR="00EB2CF3" w:rsidRPr="00EB2CF3" w:rsidRDefault="00EB2CF3" w:rsidP="00EB2CF3">
      <w:r>
        <w:t>For the presentation of the clinical evaluation for the first line treatment of NSCLC</w:t>
      </w:r>
      <w:r w:rsidR="008E4FB8">
        <w:t>,</w:t>
      </w:r>
      <w:r>
        <w:t xml:space="preserve"> Submission PM-2016-02325-1-4</w:t>
      </w:r>
      <w:r w:rsidR="008E4FB8">
        <w:t>,</w:t>
      </w:r>
      <w:r>
        <w:t xml:space="preserve"> please see Attachment 3.</w:t>
      </w:r>
    </w:p>
    <w:p w14:paraId="07F4C895" w14:textId="77777777" w:rsidR="00273833" w:rsidRDefault="00273833" w:rsidP="00273833">
      <w:pPr>
        <w:pStyle w:val="Heading4"/>
      </w:pPr>
      <w:r w:rsidRPr="007B6132">
        <w:t>Clin</w:t>
      </w:r>
      <w:r>
        <w:t>ical evaluator’s recommendation</w:t>
      </w:r>
    </w:p>
    <w:p w14:paraId="07F4C896" w14:textId="3C4D6B9E" w:rsidR="00273833" w:rsidRPr="00FC75EF" w:rsidRDefault="00273833" w:rsidP="00273833">
      <w:r w:rsidRPr="00FC75EF">
        <w:t xml:space="preserve">The </w:t>
      </w:r>
      <w:r w:rsidR="008E4FB8">
        <w:t>c</w:t>
      </w:r>
      <w:r w:rsidR="008E4FB8" w:rsidRPr="00FC75EF">
        <w:t xml:space="preserve">linical </w:t>
      </w:r>
      <w:r w:rsidR="008E4FB8">
        <w:t>e</w:t>
      </w:r>
      <w:r w:rsidRPr="00FC75EF">
        <w:t>valuator recommended approval of a modified indication:</w:t>
      </w:r>
    </w:p>
    <w:p w14:paraId="07F4C897" w14:textId="4E10560B" w:rsidR="00273833" w:rsidRPr="00FC75EF" w:rsidRDefault="008E4FB8" w:rsidP="00273833">
      <w:pPr>
        <w:ind w:left="720"/>
        <w:rPr>
          <w:i/>
          <w:lang w:val="en-US"/>
        </w:rPr>
      </w:pPr>
      <w:r>
        <w:rPr>
          <w:i/>
          <w:lang w:val="en-US"/>
        </w:rPr>
        <w:lastRenderedPageBreak/>
        <w:t>‘</w:t>
      </w:r>
      <w:r w:rsidR="00C329E7">
        <w:rPr>
          <w:i/>
          <w:lang w:val="en-US"/>
        </w:rPr>
        <w:t>Keytruda</w:t>
      </w:r>
      <w:r w:rsidR="00273833" w:rsidRPr="00FC75EF">
        <w:rPr>
          <w:i/>
          <w:lang w:val="en-US"/>
        </w:rPr>
        <w:t xml:space="preserve"> is indicated for the treatment of patients with previously untreated metastatic non-small cell lung carcinoma (NSCLC) whose tumours express PD-</w:t>
      </w:r>
      <w:r w:rsidR="00273833" w:rsidRPr="00452C37">
        <w:rPr>
          <w:i/>
          <w:lang w:val="en-US"/>
        </w:rPr>
        <w:t xml:space="preserve">L1 in </w:t>
      </w:r>
      <w:r w:rsidR="00452C37">
        <w:rPr>
          <w:i/>
          <w:lang w:val="en-US"/>
        </w:rPr>
        <w:t>≥ </w:t>
      </w:r>
      <w:r w:rsidR="00273833" w:rsidRPr="00452C37">
        <w:rPr>
          <w:i/>
          <w:lang w:val="en-US"/>
        </w:rPr>
        <w:t>50% of neoplastic cells</w:t>
      </w:r>
      <w:r w:rsidR="00273833" w:rsidRPr="00FC75EF">
        <w:rPr>
          <w:i/>
          <w:lang w:val="en-US"/>
        </w:rPr>
        <w:t xml:space="preserve"> as determined by a validated test and do not </w:t>
      </w:r>
      <w:r w:rsidR="00452C37" w:rsidRPr="00FC75EF">
        <w:rPr>
          <w:i/>
          <w:lang w:val="en-US"/>
        </w:rPr>
        <w:t>harbor</w:t>
      </w:r>
      <w:r w:rsidR="00273833" w:rsidRPr="00FC75EF">
        <w:rPr>
          <w:i/>
          <w:lang w:val="en-US"/>
        </w:rPr>
        <w:t xml:space="preserve"> a </w:t>
      </w:r>
      <w:r w:rsidR="00A70986">
        <w:rPr>
          <w:i/>
          <w:lang w:val="en-US"/>
        </w:rPr>
        <w:t>sensitizing</w:t>
      </w:r>
      <w:r w:rsidR="00273833" w:rsidRPr="00FC75EF">
        <w:rPr>
          <w:i/>
          <w:lang w:val="en-US"/>
        </w:rPr>
        <w:t xml:space="preserve"> EGFR mutation or ALK translocation [see CLINICAL TRIALS].</w:t>
      </w:r>
      <w:r>
        <w:rPr>
          <w:i/>
          <w:lang w:val="en-US"/>
        </w:rPr>
        <w:t>’</w:t>
      </w:r>
    </w:p>
    <w:p w14:paraId="07F4C898" w14:textId="57010B74" w:rsidR="00273833" w:rsidRPr="00FC75EF" w:rsidRDefault="00273833" w:rsidP="00273833">
      <w:r>
        <w:t>S</w:t>
      </w:r>
      <w:r w:rsidR="00EB2CF3">
        <w:t>ee Attachment 3;</w:t>
      </w:r>
      <w:r w:rsidRPr="00FC75EF">
        <w:t xml:space="preserve"> </w:t>
      </w:r>
      <w:r w:rsidR="00EB2CF3" w:rsidRPr="00EB2CF3">
        <w:t>Section 7.2.1.2</w:t>
      </w:r>
      <w:r w:rsidRPr="00EB2CF3">
        <w:t>.</w:t>
      </w:r>
    </w:p>
    <w:p w14:paraId="07F4C899" w14:textId="77777777" w:rsidR="00273833" w:rsidRPr="00273833" w:rsidRDefault="00273833" w:rsidP="00273833">
      <w:pPr>
        <w:pStyle w:val="Heading4"/>
      </w:pPr>
      <w:r w:rsidRPr="00273833">
        <w:t>Pharmacology</w:t>
      </w:r>
    </w:p>
    <w:p w14:paraId="07F4C89A" w14:textId="6CFB548D" w:rsidR="00273833" w:rsidRPr="00FC75EF" w:rsidRDefault="00273833" w:rsidP="00273833">
      <w:r>
        <w:t>P</w:t>
      </w:r>
      <w:r w:rsidR="00E12A52">
        <w:t>harmacokinetic</w:t>
      </w:r>
      <w:r w:rsidRPr="00FC75EF">
        <w:t xml:space="preserve"> issues are </w:t>
      </w:r>
      <w:r>
        <w:t>noted</w:t>
      </w:r>
      <w:r w:rsidRPr="00FC75EF">
        <w:t xml:space="preserve"> on </w:t>
      </w:r>
      <w:r w:rsidR="00EB2CF3">
        <w:t>Attachment 3; Section 4</w:t>
      </w:r>
      <w:r w:rsidRPr="00FC75EF">
        <w:t>.</w:t>
      </w:r>
      <w:r w:rsidR="0046163D">
        <w:t xml:space="preserve"> </w:t>
      </w:r>
      <w:r w:rsidRPr="00FC75EF">
        <w:t>There was</w:t>
      </w:r>
      <w:r w:rsidR="00EB2CF3">
        <w:t xml:space="preserve"> sparse </w:t>
      </w:r>
      <w:r w:rsidR="009152D8">
        <w:t xml:space="preserve">pharmacokinetic </w:t>
      </w:r>
      <w:r w:rsidR="00EB2CF3">
        <w:t xml:space="preserve">sampling in </w:t>
      </w:r>
      <w:r w:rsidR="009152D8">
        <w:t xml:space="preserve">the </w:t>
      </w:r>
      <w:r w:rsidR="00EB2CF3">
        <w:t xml:space="preserve">pivotal </w:t>
      </w:r>
      <w:r w:rsidR="00691589">
        <w:t>KEYNOTE-024</w:t>
      </w:r>
      <w:r w:rsidR="009152D8">
        <w:t xml:space="preserve"> trial</w:t>
      </w:r>
      <w:r w:rsidRPr="00FC75EF">
        <w:t xml:space="preserve">; data were </w:t>
      </w:r>
      <w:r>
        <w:t>added to</w:t>
      </w:r>
      <w:r w:rsidRPr="00FC75EF">
        <w:t xml:space="preserve"> a previously developed population </w:t>
      </w:r>
      <w:r w:rsidR="009152D8">
        <w:t>pharmacokinetics</w:t>
      </w:r>
      <w:r w:rsidR="009152D8" w:rsidRPr="00FC75EF">
        <w:t xml:space="preserve"> </w:t>
      </w:r>
      <w:r w:rsidRPr="00FC75EF">
        <w:t>model.</w:t>
      </w:r>
      <w:r w:rsidR="0046163D">
        <w:t xml:space="preserve"> </w:t>
      </w:r>
      <w:r w:rsidRPr="00FC75EF">
        <w:t>Simulation suggested</w:t>
      </w:r>
      <w:r w:rsidR="00CE318D">
        <w:t xml:space="preserve"> the</w:t>
      </w:r>
      <w:r w:rsidRPr="00FC75EF">
        <w:t xml:space="preserve"> pharmacokinetics in NSCLC </w:t>
      </w:r>
      <w:proofErr w:type="gramStart"/>
      <w:r w:rsidRPr="00FC75EF">
        <w:t>are</w:t>
      </w:r>
      <w:proofErr w:type="gramEnd"/>
      <w:r w:rsidRPr="00FC75EF">
        <w:t xml:space="preserve"> similar to </w:t>
      </w:r>
      <w:r w:rsidR="009152D8">
        <w:t>the pharmacokinetics</w:t>
      </w:r>
      <w:r w:rsidR="009152D8" w:rsidRPr="00FC75EF">
        <w:t xml:space="preserve"> </w:t>
      </w:r>
      <w:r w:rsidRPr="00FC75EF">
        <w:t>in melanoma.</w:t>
      </w:r>
    </w:p>
    <w:p w14:paraId="07F4C89B" w14:textId="7D5B2ED0" w:rsidR="00273833" w:rsidRDefault="00273833" w:rsidP="00273833">
      <w:r w:rsidRPr="00FC75EF">
        <w:t xml:space="preserve">The rationale for using a fixed 200 mg Q3W dose in </w:t>
      </w:r>
      <w:r w:rsidR="009152D8">
        <w:t xml:space="preserve">the </w:t>
      </w:r>
      <w:r w:rsidR="00691589">
        <w:t>KEYNOTE-024</w:t>
      </w:r>
      <w:r w:rsidR="009152D8">
        <w:t xml:space="preserve"> trial</w:t>
      </w:r>
      <w:r w:rsidRPr="00FC75EF">
        <w:t xml:space="preserve"> is noted </w:t>
      </w:r>
      <w:r w:rsidR="009152D8">
        <w:t>in</w:t>
      </w:r>
      <w:r w:rsidR="009152D8" w:rsidRPr="00FC75EF">
        <w:t xml:space="preserve"> </w:t>
      </w:r>
      <w:r w:rsidR="00EB2CF3">
        <w:t>Attachment 3</w:t>
      </w:r>
      <w:r w:rsidR="009152D8">
        <w:t xml:space="preserve">, </w:t>
      </w:r>
      <w:r w:rsidRPr="00FC75EF">
        <w:t>Section 6.</w:t>
      </w:r>
      <w:r w:rsidR="0046163D">
        <w:t xml:space="preserve"> </w:t>
      </w:r>
      <w:r w:rsidRPr="00FC75EF">
        <w:t>A 200 mg flat dose will increase systemic exposure relative to 2</w:t>
      </w:r>
      <w:r w:rsidR="009152D8">
        <w:t> </w:t>
      </w:r>
      <w:r w:rsidRPr="00FC75EF">
        <w:t xml:space="preserve">mg/kg dosing, for the majority of subjects (see </w:t>
      </w:r>
      <w:r w:rsidR="0075689E">
        <w:t xml:space="preserve">Table </w:t>
      </w:r>
      <w:r w:rsidR="00880EEA">
        <w:t>15</w:t>
      </w:r>
      <w:r w:rsidR="009152D8">
        <w:t>, below</w:t>
      </w:r>
      <w:r w:rsidRPr="00FC75EF">
        <w:t xml:space="preserve">); on the other hand, dosing with 10 mg/kg Q3W and Q2W regimens has been studied with no signal of a major increase in toxicity, and </w:t>
      </w:r>
      <w:r w:rsidR="009152D8">
        <w:t xml:space="preserve">the </w:t>
      </w:r>
      <w:r w:rsidR="00691589">
        <w:t>KEYNOTE-024</w:t>
      </w:r>
      <w:r w:rsidR="009152D8">
        <w:t xml:space="preserve"> trial</w:t>
      </w:r>
      <w:r w:rsidRPr="00FC75EF">
        <w:t xml:space="preserve"> used 200 mg flat dosing, with no suggestion of increased toxicity.</w:t>
      </w:r>
    </w:p>
    <w:p w14:paraId="07F4C89C" w14:textId="4AF5BB73" w:rsidR="0075689E" w:rsidRDefault="0075689E" w:rsidP="00751C8B">
      <w:pPr>
        <w:pStyle w:val="Tabletitle0"/>
      </w:pPr>
      <w:r>
        <w:t xml:space="preserve">Table </w:t>
      </w:r>
      <w:r w:rsidR="00880EEA">
        <w:t>15</w:t>
      </w:r>
      <w:r>
        <w:t xml:space="preserve">: Median (90% prediction interval) </w:t>
      </w:r>
      <w:r w:rsidR="009152D8">
        <w:t>e</w:t>
      </w:r>
      <w:r>
        <w:t xml:space="preserve">xposure </w:t>
      </w:r>
      <w:r w:rsidR="009152D8">
        <w:t>p</w:t>
      </w:r>
      <w:r>
        <w:t>arameters of pembrolizumab at steady st</w:t>
      </w:r>
      <w:r w:rsidR="00441A46">
        <w:t>ate of regimens of 2 mg/kg Q3W,</w:t>
      </w:r>
      <w:r>
        <w:t xml:space="preserve"> 200 mg Q3W</w:t>
      </w:r>
      <w:r w:rsidR="00441A46">
        <w:t>, 10</w:t>
      </w:r>
      <w:r w:rsidR="009152D8">
        <w:t> </w:t>
      </w:r>
      <w:r w:rsidR="00441A46">
        <w:t>mg/kg Q3W and 10 mg/kg Q2W</w:t>
      </w:r>
    </w:p>
    <w:p w14:paraId="07F4C89D" w14:textId="77777777" w:rsidR="00441A46" w:rsidRPr="00441A46" w:rsidRDefault="00441A46" w:rsidP="00441A46">
      <w:r>
        <w:rPr>
          <w:noProof/>
          <w:lang w:eastAsia="en-AU"/>
        </w:rPr>
        <w:drawing>
          <wp:inline distT="0" distB="0" distL="0" distR="0" wp14:anchorId="07F4C9E2" wp14:editId="07F4C9E3">
            <wp:extent cx="5400040" cy="1843283"/>
            <wp:effectExtent l="0" t="0" r="0" b="5080"/>
            <wp:docPr id="1" name="Picture 1" descr="Table 15: Median (90% prediction interval) Exposure Parameters of pembrolizumab at steady state of regimens of 2 mg/kg Q3W, 200 mg Q3W, 10 mg/kg Q3W and 10 mg/kg Q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843283"/>
                    </a:xfrm>
                    <a:prstGeom prst="rect">
                      <a:avLst/>
                    </a:prstGeom>
                  </pic:spPr>
                </pic:pic>
              </a:graphicData>
            </a:graphic>
          </wp:inline>
        </w:drawing>
      </w:r>
    </w:p>
    <w:p w14:paraId="07F4C89E" w14:textId="77777777" w:rsidR="00273833" w:rsidRPr="00FC75EF" w:rsidRDefault="00273833" w:rsidP="00273833">
      <w:pPr>
        <w:pStyle w:val="Heading4"/>
      </w:pPr>
      <w:r w:rsidRPr="00FC75EF">
        <w:t>Efficacy</w:t>
      </w:r>
    </w:p>
    <w:p w14:paraId="07F4C89F" w14:textId="1B9DAA99" w:rsidR="00273833" w:rsidRPr="00FC75EF" w:rsidRDefault="009152D8" w:rsidP="00273833">
      <w:pPr>
        <w:pStyle w:val="Heading5"/>
      </w:pPr>
      <w:r>
        <w:t xml:space="preserve">The </w:t>
      </w:r>
      <w:r w:rsidR="00691589">
        <w:t>KEYNOTE-024</w:t>
      </w:r>
      <w:r>
        <w:t xml:space="preserve"> trial</w:t>
      </w:r>
    </w:p>
    <w:p w14:paraId="07F4C8A0" w14:textId="77777777" w:rsidR="00273833" w:rsidRPr="00FC75EF" w:rsidRDefault="00273833" w:rsidP="00273833">
      <w:r w:rsidRPr="00FC75EF">
        <w:t xml:space="preserve">This is evaluated </w:t>
      </w:r>
      <w:r w:rsidR="00441A46">
        <w:t>in</w:t>
      </w:r>
      <w:r w:rsidRPr="00FC75EF">
        <w:t xml:space="preserve"> </w:t>
      </w:r>
      <w:r w:rsidR="00EB2CF3">
        <w:t>Attachment 3</w:t>
      </w:r>
      <w:r w:rsidR="00CE318D">
        <w:t xml:space="preserve">, </w:t>
      </w:r>
      <w:r w:rsidR="00441A46">
        <w:t>Section 7</w:t>
      </w:r>
      <w:r w:rsidRPr="00FC75EF">
        <w:t>.</w:t>
      </w:r>
    </w:p>
    <w:p w14:paraId="07F4C8A1" w14:textId="5B045F17" w:rsidR="00273833" w:rsidRPr="00FC75EF" w:rsidRDefault="00273833" w:rsidP="00273833">
      <w:r w:rsidRPr="00FC75EF">
        <w:t xml:space="preserve">A </w:t>
      </w:r>
      <w:r w:rsidR="009152D8">
        <w:t>CSR</w:t>
      </w:r>
      <w:r w:rsidR="00441A46">
        <w:t xml:space="preserve"> dated 11 July 2016 </w:t>
      </w:r>
      <w:r w:rsidR="00CE318D">
        <w:t>was considered</w:t>
      </w:r>
      <w:r w:rsidRPr="00FC75EF">
        <w:t xml:space="preserve"> w</w:t>
      </w:r>
      <w:r w:rsidR="00CE318D">
        <w:t>hich used a database lock of 3 </w:t>
      </w:r>
      <w:r w:rsidR="00EB2CF3">
        <w:t xml:space="preserve">June </w:t>
      </w:r>
      <w:r w:rsidRPr="00FC75EF">
        <w:t>2016.</w:t>
      </w:r>
      <w:r w:rsidR="0046163D">
        <w:t xml:space="preserve"> </w:t>
      </w:r>
      <w:r w:rsidRPr="00FC75EF">
        <w:t xml:space="preserve">The study was stopped at that date per external Data Monitoring Committee’s recommendation </w:t>
      </w:r>
      <w:r w:rsidR="009152D8">
        <w:t>‘</w:t>
      </w:r>
      <w:r w:rsidRPr="00FC75EF">
        <w:t>based on the totality of data</w:t>
      </w:r>
      <w:r w:rsidR="009152D8">
        <w:t>’</w:t>
      </w:r>
      <w:r w:rsidRPr="00FC75EF">
        <w:t>.</w:t>
      </w:r>
    </w:p>
    <w:p w14:paraId="07F4C8A2" w14:textId="70FA2CF5" w:rsidR="00441A46" w:rsidRDefault="00441A46" w:rsidP="00273833">
      <w:r>
        <w:t>The s</w:t>
      </w:r>
      <w:r w:rsidR="00EB2CF3">
        <w:t xml:space="preserve">tudy assessed </w:t>
      </w:r>
      <w:r w:rsidR="00273833" w:rsidRPr="00FC75EF">
        <w:t>305 subjects with previously untreated, Stage IV</w:t>
      </w:r>
      <w:r w:rsidR="00273833" w:rsidRPr="00CE318D">
        <w:t>, PD-L1 strong</w:t>
      </w:r>
      <w:r w:rsidR="00273833" w:rsidRPr="00FC75EF">
        <w:t xml:space="preserve"> (TPS</w:t>
      </w:r>
      <w:r w:rsidR="009152D8">
        <w:t> </w:t>
      </w:r>
      <w:r w:rsidR="0046163D">
        <w:t>≥</w:t>
      </w:r>
      <w:r w:rsidR="009152D8">
        <w:t> </w:t>
      </w:r>
      <w:r w:rsidR="00273833" w:rsidRPr="00FC75EF">
        <w:t xml:space="preserve">50%) NSCLC were randomised 1:1 to pembrolizumab (200 mg Q3W) or standard of care </w:t>
      </w:r>
      <w:r w:rsidR="00EB2CF3">
        <w:t xml:space="preserve">(SOC) </w:t>
      </w:r>
      <w:r w:rsidR="0046163D">
        <w:t>platinum based</w:t>
      </w:r>
      <w:r w:rsidR="00273833" w:rsidRPr="00FC75EF">
        <w:t xml:space="preserve"> chemotherapy.</w:t>
      </w:r>
      <w:r w:rsidR="0046163D">
        <w:t xml:space="preserve"> </w:t>
      </w:r>
      <w:r w:rsidR="00273833" w:rsidRPr="00FC75EF">
        <w:t>Five SOC approaches were allowed</w:t>
      </w:r>
      <w:r>
        <w:t>:</w:t>
      </w:r>
    </w:p>
    <w:p w14:paraId="07F4C8A3" w14:textId="7B8D7EA0" w:rsidR="00441A46" w:rsidRPr="00441A46" w:rsidRDefault="00441A46" w:rsidP="00441A46">
      <w:pPr>
        <w:pStyle w:val="ListBullet"/>
      </w:pPr>
      <w:r w:rsidRPr="00441A46">
        <w:t>Pemetrexed 500 mg/m</w:t>
      </w:r>
      <w:r w:rsidRPr="00441A46">
        <w:rPr>
          <w:vertAlign w:val="superscript"/>
        </w:rPr>
        <w:t>2</w:t>
      </w:r>
      <w:r w:rsidRPr="00441A46">
        <w:t xml:space="preserve"> Q3W and carboplatin </w:t>
      </w:r>
      <w:r w:rsidR="002D1E8D">
        <w:t>area under the curve</w:t>
      </w:r>
      <w:r w:rsidR="002D1E8D" w:rsidRPr="00441A46">
        <w:t xml:space="preserve"> </w:t>
      </w:r>
      <w:r w:rsidR="002D1E8D">
        <w:t>(</w:t>
      </w:r>
      <w:r w:rsidRPr="00441A46">
        <w:t>AUC</w:t>
      </w:r>
      <w:r w:rsidR="002D1E8D">
        <w:t>)</w:t>
      </w:r>
      <w:r w:rsidRPr="00441A46">
        <w:t xml:space="preserve"> 5 </w:t>
      </w:r>
      <w:r w:rsidR="002D1E8D">
        <w:t>to 6 </w:t>
      </w:r>
      <w:r w:rsidRPr="00441A46">
        <w:t>mg/mL/min Q3W on Day 1 for 4 to 6 cycles foll</w:t>
      </w:r>
      <w:r w:rsidR="002D1E8D">
        <w:t>owed by optional pemetrexed 500 </w:t>
      </w:r>
      <w:r w:rsidRPr="00441A46">
        <w:t>mg/m</w:t>
      </w:r>
      <w:r w:rsidRPr="00441A46">
        <w:rPr>
          <w:vertAlign w:val="superscript"/>
        </w:rPr>
        <w:t>2</w:t>
      </w:r>
      <w:r w:rsidRPr="00441A46">
        <w:t xml:space="preserve"> Q3W (this arm was permitted for non-squamous histologies only)</w:t>
      </w:r>
      <w:r w:rsidR="00EB3B3E">
        <w:t>:</w:t>
      </w:r>
    </w:p>
    <w:p w14:paraId="07F4C8A4" w14:textId="500C2FC6" w:rsidR="00441A46" w:rsidRPr="00441A46" w:rsidRDefault="00441A46" w:rsidP="00441A46">
      <w:pPr>
        <w:pStyle w:val="ListBullet2"/>
      </w:pPr>
      <w:r w:rsidRPr="00441A46">
        <w:t xml:space="preserve">66 </w:t>
      </w:r>
      <w:r w:rsidR="00CE318D">
        <w:t>Non-</w:t>
      </w:r>
      <w:r w:rsidR="00CE318D" w:rsidRPr="00CE318D">
        <w:t>squamous (</w:t>
      </w:r>
      <w:r w:rsidRPr="00CE318D">
        <w:t>NSQ</w:t>
      </w:r>
      <w:r w:rsidR="00CE318D" w:rsidRPr="00CE318D">
        <w:t>)</w:t>
      </w:r>
      <w:r w:rsidRPr="00CE318D">
        <w:t xml:space="preserve"> subjects treated</w:t>
      </w:r>
      <w:r w:rsidRPr="00441A46">
        <w:t xml:space="preserve"> with pemetrexed and carboplatin; 28 of these 66 subjects also received pemetrexed maintenance</w:t>
      </w:r>
      <w:r w:rsidR="009152D8">
        <w:t>.</w:t>
      </w:r>
    </w:p>
    <w:p w14:paraId="07F4C8A5" w14:textId="5B8CC68B" w:rsidR="00441A46" w:rsidRPr="00441A46" w:rsidRDefault="00441A46" w:rsidP="00441A46">
      <w:pPr>
        <w:pStyle w:val="ListBullet"/>
      </w:pPr>
      <w:r w:rsidRPr="00441A46">
        <w:lastRenderedPageBreak/>
        <w:t>Pemetrexed 500 mg/m</w:t>
      </w:r>
      <w:r w:rsidRPr="00441A46">
        <w:rPr>
          <w:vertAlign w:val="superscript"/>
        </w:rPr>
        <w:t>2</w:t>
      </w:r>
      <w:r w:rsidRPr="00441A46">
        <w:t xml:space="preserve"> Q3W and cisplatin 75 mg/m</w:t>
      </w:r>
      <w:r w:rsidRPr="00441A46">
        <w:rPr>
          <w:vertAlign w:val="superscript"/>
        </w:rPr>
        <w:t>2</w:t>
      </w:r>
      <w:r w:rsidRPr="00441A46">
        <w:t xml:space="preserve"> Q3W on Day 1 for 4 to 6 cycles followed by optional pemetrexed 500 mg/m</w:t>
      </w:r>
      <w:r w:rsidRPr="00441A46">
        <w:rPr>
          <w:vertAlign w:val="superscript"/>
        </w:rPr>
        <w:t>2</w:t>
      </w:r>
      <w:r w:rsidRPr="00441A46">
        <w:t xml:space="preserve"> Q3W (this arm was permitted for non</w:t>
      </w:r>
      <w:r w:rsidR="00EB3B3E">
        <w:noBreakHyphen/>
      </w:r>
      <w:r w:rsidRPr="00441A46">
        <w:t>squamous histologies only)</w:t>
      </w:r>
      <w:r w:rsidR="00EB3B3E">
        <w:t>:</w:t>
      </w:r>
    </w:p>
    <w:p w14:paraId="07F4C8A6" w14:textId="28C3C285" w:rsidR="00441A46" w:rsidRPr="00441A46" w:rsidRDefault="00441A46" w:rsidP="00441A46">
      <w:pPr>
        <w:pStyle w:val="ListBullet2"/>
      </w:pPr>
      <w:r w:rsidRPr="00441A46">
        <w:t>36 NSQ subjects treated with pemetrexed and cisplatin; 18 of these 36 subjects also received pemetrexed maintenance</w:t>
      </w:r>
      <w:r w:rsidR="00EB3B3E">
        <w:t>.</w:t>
      </w:r>
    </w:p>
    <w:p w14:paraId="07F4C8A7" w14:textId="71F02E01" w:rsidR="00441A46" w:rsidRPr="00441A46" w:rsidRDefault="00441A46" w:rsidP="00441A46">
      <w:pPr>
        <w:pStyle w:val="ListBullet"/>
      </w:pPr>
      <w:r w:rsidRPr="00441A46">
        <w:t>Gemcitabine 1250 mg/m</w:t>
      </w:r>
      <w:r w:rsidRPr="00441A46">
        <w:rPr>
          <w:vertAlign w:val="superscript"/>
        </w:rPr>
        <w:t>2</w:t>
      </w:r>
      <w:r w:rsidRPr="00441A46">
        <w:t xml:space="preserve"> at Days 1 and 8 and cisplatin 75 mg/m</w:t>
      </w:r>
      <w:r w:rsidRPr="00441A46">
        <w:rPr>
          <w:vertAlign w:val="superscript"/>
        </w:rPr>
        <w:t>2</w:t>
      </w:r>
      <w:r w:rsidRPr="00441A46">
        <w:t xml:space="preserve"> Q3W on Day 1 for 4 to 6 cycles</w:t>
      </w:r>
      <w:r w:rsidR="00EB3B3E">
        <w:t>:</w:t>
      </w:r>
    </w:p>
    <w:p w14:paraId="07F4C8A8" w14:textId="152F1D08" w:rsidR="00441A46" w:rsidRPr="00441A46" w:rsidRDefault="00441A46" w:rsidP="00441A46">
      <w:pPr>
        <w:pStyle w:val="ListBullet2"/>
      </w:pPr>
      <w:r w:rsidRPr="00441A46">
        <w:t>4 NSQ subjects treated</w:t>
      </w:r>
      <w:r w:rsidR="00EB3B3E">
        <w:t>.</w:t>
      </w:r>
    </w:p>
    <w:p w14:paraId="07F4C8A9" w14:textId="4B797753" w:rsidR="00441A46" w:rsidRPr="00441A46" w:rsidRDefault="00441A46" w:rsidP="00441A46">
      <w:pPr>
        <w:pStyle w:val="ListBullet2"/>
      </w:pPr>
      <w:r w:rsidRPr="00441A46">
        <w:t xml:space="preserve">7 </w:t>
      </w:r>
      <w:r w:rsidR="00CE318D">
        <w:t>squamous (</w:t>
      </w:r>
      <w:r w:rsidRPr="00441A46">
        <w:t>SQ</w:t>
      </w:r>
      <w:r w:rsidR="00CE318D">
        <w:t>)</w:t>
      </w:r>
      <w:r w:rsidRPr="00441A46">
        <w:t xml:space="preserve"> subjects treated</w:t>
      </w:r>
      <w:r w:rsidR="00EB3B3E">
        <w:t>.</w:t>
      </w:r>
    </w:p>
    <w:p w14:paraId="07F4C8AA" w14:textId="0DE38691" w:rsidR="00441A46" w:rsidRPr="00441A46" w:rsidRDefault="00441A46" w:rsidP="00441A46">
      <w:pPr>
        <w:pStyle w:val="ListBullet"/>
      </w:pPr>
      <w:r w:rsidRPr="00441A46">
        <w:t>Gemcitabine 1</w:t>
      </w:r>
      <w:r w:rsidR="00CE318D">
        <w:t>,</w:t>
      </w:r>
      <w:r w:rsidRPr="00441A46">
        <w:t>250 mg/m</w:t>
      </w:r>
      <w:r w:rsidRPr="00441A46">
        <w:rPr>
          <w:vertAlign w:val="superscript"/>
        </w:rPr>
        <w:t>2</w:t>
      </w:r>
      <w:r w:rsidRPr="00441A46">
        <w:t xml:space="preserve"> at Days 1 and 8 and carboplatin AUC 5 to 6 mg/mL/min Q3W on Day 1 for 4 to 6 cycles</w:t>
      </w:r>
      <w:r w:rsidR="00EB3B3E">
        <w:t>:</w:t>
      </w:r>
    </w:p>
    <w:p w14:paraId="07F4C8AB" w14:textId="35B2B465" w:rsidR="00441A46" w:rsidRPr="00441A46" w:rsidRDefault="00441A46" w:rsidP="00441A46">
      <w:pPr>
        <w:pStyle w:val="ListBullet2"/>
      </w:pPr>
      <w:r w:rsidRPr="00441A46">
        <w:t>5 NSQ subjects treated</w:t>
      </w:r>
      <w:r w:rsidR="00C64588">
        <w:t>.</w:t>
      </w:r>
    </w:p>
    <w:p w14:paraId="07F4C8AC" w14:textId="23BF4B41" w:rsidR="00441A46" w:rsidRPr="00441A46" w:rsidRDefault="00441A46" w:rsidP="00441A46">
      <w:pPr>
        <w:pStyle w:val="ListBullet2"/>
      </w:pPr>
      <w:r w:rsidRPr="00441A46">
        <w:t>15 SQ subjects treated</w:t>
      </w:r>
      <w:r w:rsidR="00C64588">
        <w:t>.</w:t>
      </w:r>
    </w:p>
    <w:p w14:paraId="07F4C8AD" w14:textId="7CB6B7CE" w:rsidR="00441A46" w:rsidRPr="00441A46" w:rsidRDefault="00441A46" w:rsidP="00441A46">
      <w:pPr>
        <w:pStyle w:val="ListBullet"/>
      </w:pPr>
      <w:r w:rsidRPr="00441A46">
        <w:t>Paclitaxel 200 mg/m</w:t>
      </w:r>
      <w:r w:rsidRPr="00441A46">
        <w:rPr>
          <w:vertAlign w:val="superscript"/>
        </w:rPr>
        <w:t>2</w:t>
      </w:r>
      <w:r w:rsidRPr="00441A46">
        <w:t xml:space="preserve"> Q3W and carboplatin AUC 5 to 6 mg/mL/min Q3W on Day 1 for 4 to 6 cycles followed by optional pemetrexed maintenance (pemetrexed maintenance was permitted for non-squamous histologies only)</w:t>
      </w:r>
      <w:r w:rsidR="00C64588">
        <w:t>:</w:t>
      </w:r>
    </w:p>
    <w:p w14:paraId="07F4C8AE" w14:textId="08B646B6" w:rsidR="00441A46" w:rsidRPr="00441A46" w:rsidRDefault="00441A46" w:rsidP="00441A46">
      <w:pPr>
        <w:pStyle w:val="ListBullet2"/>
      </w:pPr>
      <w:r w:rsidRPr="00441A46">
        <w:t>12 NSQ subjects treated with paclitaxel and carboplatin, none of these 12 subjects received pemetrexed maintenance</w:t>
      </w:r>
      <w:r w:rsidR="00C64588">
        <w:t>.</w:t>
      </w:r>
    </w:p>
    <w:p w14:paraId="07F4C8AF" w14:textId="53C364BF" w:rsidR="00441A46" w:rsidRPr="00441A46" w:rsidRDefault="00441A46" w:rsidP="00441A46">
      <w:pPr>
        <w:pStyle w:val="ListBullet2"/>
      </w:pPr>
      <w:r w:rsidRPr="00441A46">
        <w:t>5 SQ subjects treated</w:t>
      </w:r>
      <w:r w:rsidR="00C64588">
        <w:t>.</w:t>
      </w:r>
    </w:p>
    <w:p w14:paraId="07F4C8B0" w14:textId="26E119DE" w:rsidR="00273833" w:rsidRPr="00FC75EF" w:rsidRDefault="00273833" w:rsidP="00273833">
      <w:r w:rsidRPr="00FC75EF">
        <w:t xml:space="preserve">Subjects were not allowed to have tumours with </w:t>
      </w:r>
      <w:r w:rsidRPr="00DD519D">
        <w:rPr>
          <w:i/>
        </w:rPr>
        <w:t>EGFR</w:t>
      </w:r>
      <w:r w:rsidRPr="00C64588">
        <w:t xml:space="preserve"> or </w:t>
      </w:r>
      <w:r w:rsidRPr="00DD519D">
        <w:rPr>
          <w:i/>
        </w:rPr>
        <w:t>ALK</w:t>
      </w:r>
      <w:r w:rsidRPr="00AF5BA9">
        <w:rPr>
          <w:i/>
        </w:rPr>
        <w:t xml:space="preserve"> </w:t>
      </w:r>
      <w:r w:rsidRPr="00EB2CF3">
        <w:t>aberrations</w:t>
      </w:r>
      <w:r w:rsidRPr="00FC75EF">
        <w:t>.</w:t>
      </w:r>
      <w:r w:rsidR="0046163D">
        <w:t xml:space="preserve"> </w:t>
      </w:r>
      <w:r w:rsidRPr="00FC75EF">
        <w:t xml:space="preserve">Randomisation was </w:t>
      </w:r>
      <w:r w:rsidRPr="00CE318D">
        <w:t xml:space="preserve">stratified by </w:t>
      </w:r>
      <w:r w:rsidR="00CE318D" w:rsidRPr="00CE318D">
        <w:t>Eastern Cooperative Oncology Group</w:t>
      </w:r>
      <w:r w:rsidR="00CE318D" w:rsidRPr="00FC75EF">
        <w:t xml:space="preserve"> </w:t>
      </w:r>
      <w:r w:rsidR="00CE318D">
        <w:t>(</w:t>
      </w:r>
      <w:r w:rsidRPr="00FC75EF">
        <w:t>ECOG</w:t>
      </w:r>
      <w:r w:rsidR="00CE318D">
        <w:t>)</w:t>
      </w:r>
      <w:r w:rsidRPr="00FC75EF">
        <w:t xml:space="preserve"> score (0 </w:t>
      </w:r>
      <w:r w:rsidR="0046163D">
        <w:t>versus</w:t>
      </w:r>
      <w:r w:rsidRPr="00FC75EF">
        <w:t xml:space="preserve"> 1), histology (SQ </w:t>
      </w:r>
      <w:r w:rsidR="0046163D">
        <w:t>versus</w:t>
      </w:r>
      <w:r w:rsidRPr="00FC75EF">
        <w:t xml:space="preserve"> </w:t>
      </w:r>
      <w:r w:rsidR="00CE318D">
        <w:t>N</w:t>
      </w:r>
      <w:r w:rsidRPr="00FC75EF">
        <w:t xml:space="preserve">SQ) and geographic region (East Asian </w:t>
      </w:r>
      <w:r w:rsidR="0046163D">
        <w:t>versus</w:t>
      </w:r>
      <w:r w:rsidRPr="00FC75EF">
        <w:t xml:space="preserve"> other).</w:t>
      </w:r>
      <w:r w:rsidR="0046163D">
        <w:t xml:space="preserve"> </w:t>
      </w:r>
      <w:r w:rsidRPr="00FC75EF">
        <w:t>Control arm subjects with progressive disease were allowed to cross over.</w:t>
      </w:r>
      <w:r w:rsidR="0046163D">
        <w:t xml:space="preserve"> </w:t>
      </w:r>
      <w:r w:rsidRPr="00FC75EF">
        <w:t>Pembrolizumab was continued until progressive disease or unacceptable toxicity or until a total of 35 doses had been received.</w:t>
      </w:r>
    </w:p>
    <w:p w14:paraId="07F4C8B1" w14:textId="7E9A4D31" w:rsidR="00273833" w:rsidRPr="00FC75EF" w:rsidRDefault="00273833" w:rsidP="00273833">
      <w:r w:rsidRPr="00FC75EF">
        <w:t xml:space="preserve">Inclusion and exclusion criteria are detailed </w:t>
      </w:r>
      <w:r w:rsidR="00441A46">
        <w:t>in Attachment 3</w:t>
      </w:r>
      <w:r w:rsidR="00CE318D">
        <w:t xml:space="preserve">, </w:t>
      </w:r>
      <w:r w:rsidR="00441A46">
        <w:t>Section 7.2.1.2</w:t>
      </w:r>
      <w:r w:rsidRPr="00FC75EF">
        <w:t>.</w:t>
      </w:r>
      <w:r w:rsidR="0046163D">
        <w:t xml:space="preserve"> </w:t>
      </w:r>
      <w:r w:rsidRPr="00FC75EF">
        <w:t>Only patients with</w:t>
      </w:r>
      <w:r w:rsidR="00EB2CF3">
        <w:t xml:space="preserve"> Stage IV disease were included</w:t>
      </w:r>
      <w:r w:rsidRPr="00FC75EF">
        <w:t xml:space="preserve"> and only patients who had not received systemic chemotherapy for their metastatic disease.</w:t>
      </w:r>
      <w:r w:rsidR="0046163D">
        <w:t xml:space="preserve"> </w:t>
      </w:r>
      <w:r w:rsidRPr="00FC75EF">
        <w:t>The biopsy to assess PD-L1 was taken at the time of (or after) diagnosis of metastatic disease, from a non-irradiated site.</w:t>
      </w:r>
      <w:r w:rsidR="0046163D">
        <w:t xml:space="preserve"> </w:t>
      </w:r>
      <w:r w:rsidRPr="00FC75EF">
        <w:t>If patients had untreated CNS metastases, they were excluded; but patients with treated and stable/asymptomatic lesions could enrol.</w:t>
      </w:r>
    </w:p>
    <w:p w14:paraId="07F4C8B2" w14:textId="77777777" w:rsidR="00273833" w:rsidRPr="00FC75EF" w:rsidRDefault="00273833" w:rsidP="00273833">
      <w:r w:rsidRPr="00FC75EF">
        <w:t xml:space="preserve">Interim analysis 2 (IA2) was carried out after 189 PFS events were observed by the blinded independent central radiologist </w:t>
      </w:r>
      <w:r w:rsidR="002D1E8D">
        <w:t>(</w:t>
      </w:r>
      <w:r w:rsidR="002D1E8D" w:rsidRPr="00FC75EF">
        <w:t>BICR</w:t>
      </w:r>
      <w:r w:rsidR="002D1E8D">
        <w:t>)</w:t>
      </w:r>
      <w:r w:rsidR="002D1E8D" w:rsidRPr="00FC75EF">
        <w:t xml:space="preserve"> </w:t>
      </w:r>
      <w:r w:rsidR="002D1E8D">
        <w:t>review</w:t>
      </w:r>
      <w:r w:rsidRPr="00FC75EF">
        <w:t xml:space="preserve"> and 108 OS events had occurred.</w:t>
      </w:r>
      <w:r w:rsidR="0046163D">
        <w:t xml:space="preserve"> </w:t>
      </w:r>
      <w:r w:rsidRPr="00FC75EF">
        <w:t xml:space="preserve">These numbers were reached </w:t>
      </w:r>
      <w:r w:rsidR="0046163D">
        <w:t xml:space="preserve">approximately </w:t>
      </w:r>
      <w:r w:rsidRPr="00FC75EF">
        <w:t>20 months after study start.</w:t>
      </w:r>
    </w:p>
    <w:p w14:paraId="07F4C8B3" w14:textId="77777777" w:rsidR="00273833" w:rsidRPr="00FC75EF" w:rsidRDefault="00273833" w:rsidP="00273833">
      <w:r w:rsidRPr="00FC75EF">
        <w:t>The primary objective was to compare PFS per RECIST 1.1 as assessed by BICR review.</w:t>
      </w:r>
    </w:p>
    <w:p w14:paraId="07F4C8B4" w14:textId="00905D98" w:rsidR="00273833" w:rsidRPr="00FC75EF" w:rsidRDefault="00441A46" w:rsidP="00273833">
      <w:r>
        <w:t xml:space="preserve">In the study </w:t>
      </w:r>
      <w:r w:rsidR="00273833" w:rsidRPr="00FC75EF">
        <w:t>61.3% of subjects were male; 82.3% were White; 86.9% were non-East Asian.</w:t>
      </w:r>
      <w:r w:rsidR="0046163D">
        <w:t xml:space="preserve"> </w:t>
      </w:r>
      <w:r w:rsidR="00273833" w:rsidRPr="00FC75EF">
        <w:t>82% had Stage IV, non-squamous NSCLC; &lt;</w:t>
      </w:r>
      <w:r w:rsidR="00CE318D">
        <w:t xml:space="preserve"> </w:t>
      </w:r>
      <w:r w:rsidR="00273833" w:rsidRPr="00FC75EF">
        <w:t>3% had prior neo-adjuvant or adjuvant chemotherapy.</w:t>
      </w:r>
      <w:r w:rsidR="0046163D">
        <w:t xml:space="preserve"> </w:t>
      </w:r>
      <w:r w:rsidR="00273833" w:rsidRPr="00FC75EF">
        <w:t xml:space="preserve">65% had ECOG </w:t>
      </w:r>
      <w:r w:rsidR="00865982">
        <w:t xml:space="preserve">PS of </w:t>
      </w:r>
      <w:r w:rsidR="00273833" w:rsidRPr="00FC75EF">
        <w:t xml:space="preserve">1 at </w:t>
      </w:r>
      <w:r w:rsidR="00E00D0D">
        <w:t>B</w:t>
      </w:r>
      <w:r w:rsidR="00273833" w:rsidRPr="00FC75EF">
        <w:t>aseline.</w:t>
      </w:r>
      <w:r w:rsidR="0046163D">
        <w:t xml:space="preserve"> </w:t>
      </w:r>
      <w:r w:rsidR="00273833" w:rsidRPr="00FC75EF">
        <w:t>More ‘never smokers’ were randomised to the SOC arm (12.6%) than the pembrolizumab arm (3.2%).</w:t>
      </w:r>
      <w:r w:rsidR="0046163D">
        <w:t xml:space="preserve"> </w:t>
      </w:r>
      <w:r w:rsidR="00273833" w:rsidRPr="00FC75EF">
        <w:t xml:space="preserve">More subjects with baseline brain </w:t>
      </w:r>
      <w:r w:rsidRPr="00FC75EF">
        <w:t>metastases</w:t>
      </w:r>
      <w:r w:rsidR="00273833" w:rsidRPr="00FC75EF">
        <w:t xml:space="preserve"> were randomised to the pembrolizumab arm (11.7%) than the SOC arm (6.6%).</w:t>
      </w:r>
    </w:p>
    <w:p w14:paraId="07F4C8B5" w14:textId="21DF5E4A" w:rsidR="00273833" w:rsidRDefault="00273833" w:rsidP="00273833">
      <w:r w:rsidRPr="00FC75EF">
        <w:t>1</w:t>
      </w:r>
      <w:r w:rsidR="00441A46">
        <w:t>,</w:t>
      </w:r>
      <w:r w:rsidRPr="00FC75EF">
        <w:t xml:space="preserve">934 patients were screened to arrive at the 305 patients who were </w:t>
      </w:r>
      <w:r w:rsidR="00DA415D">
        <w:t xml:space="preserve">then </w:t>
      </w:r>
      <w:r w:rsidRPr="00FC75EF">
        <w:t>randomised</w:t>
      </w:r>
      <w:r w:rsidR="00965935">
        <w:t xml:space="preserve">, the major reason for screen failure was not having </w:t>
      </w:r>
      <w:r w:rsidR="005F05CE">
        <w:t>tumours</w:t>
      </w:r>
      <w:r w:rsidR="00965935">
        <w:t xml:space="preserve"> expressing PD-L1 ≥</w:t>
      </w:r>
      <w:r w:rsidR="005F05CE">
        <w:t xml:space="preserve"> </w:t>
      </w:r>
      <w:r w:rsidR="00965935">
        <w:t>50% (see T</w:t>
      </w:r>
      <w:r w:rsidR="00965935" w:rsidRPr="00FC75EF">
        <w:t xml:space="preserve">able </w:t>
      </w:r>
      <w:r w:rsidR="00965935">
        <w:t xml:space="preserve">16 </w:t>
      </w:r>
      <w:r w:rsidR="00965935" w:rsidRPr="00FC75EF">
        <w:t>of PD-L1 di</w:t>
      </w:r>
      <w:r w:rsidR="00965935">
        <w:t>stribution in screened subjects</w:t>
      </w:r>
      <w:r w:rsidR="00E00D0D">
        <w:t>, below</w:t>
      </w:r>
      <w:r w:rsidR="00965935">
        <w:t xml:space="preserve">). </w:t>
      </w:r>
      <w:r w:rsidRPr="00441A46">
        <w:t>The sponsor has been asked to provide a breakdown of reasons for screen failure.</w:t>
      </w:r>
    </w:p>
    <w:p w14:paraId="07F4C8B6" w14:textId="791A1F6B" w:rsidR="00441A46" w:rsidRDefault="00FE76F8" w:rsidP="00E51EEF">
      <w:pPr>
        <w:pStyle w:val="Tabletitle0"/>
      </w:pPr>
      <w:r>
        <w:lastRenderedPageBreak/>
        <w:t xml:space="preserve">Table </w:t>
      </w:r>
      <w:r w:rsidR="00880EEA">
        <w:t>16</w:t>
      </w:r>
      <w:r w:rsidR="00E51EEF">
        <w:t>:</w:t>
      </w:r>
      <w:r>
        <w:t xml:space="preserve"> </w:t>
      </w:r>
      <w:r w:rsidR="00880EEA">
        <w:t>KEYNOTE-</w:t>
      </w:r>
      <w:r>
        <w:t xml:space="preserve">024 </w:t>
      </w:r>
      <w:r w:rsidR="00E9337D">
        <w:t xml:space="preserve">trial; </w:t>
      </w:r>
      <w:r>
        <w:t xml:space="preserve">PD-L1 </w:t>
      </w:r>
      <w:r w:rsidR="00E9337D">
        <w:t>d</w:t>
      </w:r>
      <w:r>
        <w:t xml:space="preserve">istribution in </w:t>
      </w:r>
      <w:r w:rsidR="00E9337D">
        <w:t>s</w:t>
      </w:r>
      <w:r>
        <w:t xml:space="preserve">creened </w:t>
      </w:r>
      <w:r w:rsidR="00E9337D">
        <w:t>s</w:t>
      </w:r>
      <w:r>
        <w:t>ubjects</w:t>
      </w:r>
    </w:p>
    <w:p w14:paraId="07F4C8B7" w14:textId="77777777" w:rsidR="00273833" w:rsidRDefault="00FE76F8" w:rsidP="00BA16BD">
      <w:r>
        <w:rPr>
          <w:noProof/>
          <w:lang w:eastAsia="en-AU"/>
        </w:rPr>
        <w:drawing>
          <wp:inline distT="0" distB="0" distL="0" distR="0" wp14:anchorId="07F4C9E4" wp14:editId="07F4C9E5">
            <wp:extent cx="5400040" cy="811737"/>
            <wp:effectExtent l="0" t="0" r="0" b="7620"/>
            <wp:docPr id="18" name="Picture 18" descr="Table 16: Study KEYNOTE-024 PD-L1 Distribution in Screen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811737"/>
                    </a:xfrm>
                    <a:prstGeom prst="rect">
                      <a:avLst/>
                    </a:prstGeom>
                  </pic:spPr>
                </pic:pic>
              </a:graphicData>
            </a:graphic>
          </wp:inline>
        </w:drawing>
      </w:r>
    </w:p>
    <w:p w14:paraId="07F4C8B8" w14:textId="77777777" w:rsidR="00273833" w:rsidRPr="00FC75EF" w:rsidRDefault="00273833" w:rsidP="00273833">
      <w:r w:rsidRPr="00FC75EF">
        <w:t xml:space="preserve">Thus only 29% of subjects had tumours strongly expressing PD-L1; and of the 29%, only </w:t>
      </w:r>
      <w:r w:rsidR="0046163D">
        <w:t xml:space="preserve">approximately </w:t>
      </w:r>
      <w:r w:rsidRPr="00FC75EF">
        <w:t>60% of that subset adhered to other inclusion / exclusion criteria.</w:t>
      </w:r>
    </w:p>
    <w:p w14:paraId="07F4C8B9" w14:textId="36E6DAB5" w:rsidR="00273833" w:rsidRPr="00E51EEF" w:rsidRDefault="00273833" w:rsidP="00E51EEF">
      <w:pPr>
        <w:pStyle w:val="Comment"/>
      </w:pPr>
      <w:proofErr w:type="gramStart"/>
      <w:r w:rsidRPr="00E51EEF">
        <w:rPr>
          <w:b/>
        </w:rPr>
        <w:t>Question for sponsor</w:t>
      </w:r>
      <w:r w:rsidR="00FE76F8" w:rsidRPr="00E51EEF">
        <w:rPr>
          <w:b/>
        </w:rPr>
        <w:t>:</w:t>
      </w:r>
      <w:r w:rsidR="00FE76F8" w:rsidRPr="00E51EEF">
        <w:t xml:space="preserve"> </w:t>
      </w:r>
      <w:r w:rsidR="00E00D0D">
        <w:t>(</w:t>
      </w:r>
      <w:r w:rsidRPr="00E00D0D">
        <w:t xml:space="preserve">Refer to </w:t>
      </w:r>
      <w:r w:rsidR="00FE76F8" w:rsidRPr="00E00D0D">
        <w:t>Attachment 3</w:t>
      </w:r>
      <w:r w:rsidR="00E00D0D">
        <w:t xml:space="preserve">, </w:t>
      </w:r>
      <w:r w:rsidRPr="00E00D0D">
        <w:t>Section 7.2.1.10</w:t>
      </w:r>
      <w:r w:rsidR="00E00D0D">
        <w:t>)</w:t>
      </w:r>
      <w:r w:rsidR="0046163D" w:rsidRPr="00E00D0D">
        <w:t xml:space="preserve"> </w:t>
      </w:r>
      <w:r w:rsidRPr="00E00D0D">
        <w:t>Please comment on the distribution of major protocol deviations across arms, and whether any imbalances could have biased study outcomes.</w:t>
      </w:r>
      <w:proofErr w:type="gramEnd"/>
    </w:p>
    <w:p w14:paraId="07F4C8BA" w14:textId="77777777" w:rsidR="00273833" w:rsidRPr="00FC75EF" w:rsidRDefault="00273833" w:rsidP="00273833">
      <w:pPr>
        <w:pStyle w:val="Heading6"/>
      </w:pPr>
      <w:r w:rsidRPr="00FC75EF">
        <w:t>Efficacy outcomes</w:t>
      </w:r>
    </w:p>
    <w:p w14:paraId="07F4C8BB" w14:textId="1653E918" w:rsidR="00273833" w:rsidRDefault="00273833" w:rsidP="00273833">
      <w:r w:rsidRPr="00FC75EF">
        <w:t>The H</w:t>
      </w:r>
      <w:r w:rsidR="00CE318D">
        <w:t xml:space="preserve">R for PFS was 0.50 (95% CI 0.37 to </w:t>
      </w:r>
      <w:r w:rsidRPr="00FC75EF">
        <w:t xml:space="preserve">0.68) favouring pembrolizumab, with a median PFS of 10.3 months </w:t>
      </w:r>
      <w:r w:rsidR="0046163D">
        <w:t>versus</w:t>
      </w:r>
      <w:r w:rsidRPr="00FC75EF">
        <w:t xml:space="preserve"> 6.0 months.</w:t>
      </w:r>
      <w:r w:rsidR="0046163D">
        <w:t xml:space="preserve"> </w:t>
      </w:r>
      <w:r w:rsidR="00FE76F8">
        <w:t>The PFS curve</w:t>
      </w:r>
      <w:r w:rsidR="00E00D0D">
        <w:t xml:space="preserve"> is shown below </w:t>
      </w:r>
      <w:r w:rsidR="00E9337D">
        <w:t>in</w:t>
      </w:r>
      <w:r w:rsidR="00E00D0D">
        <w:t xml:space="preserve"> Figure 2.</w:t>
      </w:r>
    </w:p>
    <w:p w14:paraId="07F4C8BC" w14:textId="02DEDE63" w:rsidR="00FE76F8" w:rsidRDefault="00FE76F8" w:rsidP="00FE76F8">
      <w:pPr>
        <w:pStyle w:val="FigureTitle"/>
      </w:pPr>
      <w:r>
        <w:t xml:space="preserve">Figure </w:t>
      </w:r>
      <w:r w:rsidR="00E00D0D">
        <w:t>2</w:t>
      </w:r>
      <w:r w:rsidR="00E51EEF">
        <w:t>:</w:t>
      </w:r>
      <w:r w:rsidRPr="00FE76F8">
        <w:t xml:space="preserve"> </w:t>
      </w:r>
      <w:r>
        <w:t xml:space="preserve">Kaplan-Meier of </w:t>
      </w:r>
      <w:r w:rsidR="00E00D0D">
        <w:t>PFS</w:t>
      </w:r>
      <w:r>
        <w:t xml:space="preserve"> </w:t>
      </w:r>
      <w:r w:rsidR="00E00D0D">
        <w:t>b</w:t>
      </w:r>
      <w:r>
        <w:t xml:space="preserve">ased on BICR </w:t>
      </w:r>
      <w:r w:rsidR="00E00D0D">
        <w:t>a</w:t>
      </w:r>
      <w:r>
        <w:t xml:space="preserve">ssessment per RECIST 1.1 (Primary </w:t>
      </w:r>
      <w:r w:rsidR="00E00D0D">
        <w:t>c</w:t>
      </w:r>
      <w:r>
        <w:t xml:space="preserve">ensoring </w:t>
      </w:r>
      <w:r w:rsidR="00E00D0D">
        <w:t>r</w:t>
      </w:r>
      <w:r>
        <w:t>ule</w:t>
      </w:r>
      <w:r w:rsidR="00E00D0D">
        <w:t xml:space="preserve">; </w:t>
      </w:r>
      <w:r>
        <w:t>ITT Population)</w:t>
      </w:r>
    </w:p>
    <w:p w14:paraId="07F4C8BD" w14:textId="77777777" w:rsidR="00273833" w:rsidRDefault="00FE76F8" w:rsidP="00BA16BD">
      <w:r>
        <w:rPr>
          <w:noProof/>
          <w:lang w:eastAsia="en-AU"/>
        </w:rPr>
        <w:drawing>
          <wp:inline distT="0" distB="0" distL="0" distR="0" wp14:anchorId="07F4C9E6" wp14:editId="7E962F73">
            <wp:extent cx="4528783" cy="3281916"/>
            <wp:effectExtent l="0" t="0" r="5715" b="0"/>
            <wp:docPr id="19" name="Picture 19" descr="Figure 2: Kaplan-Meier of PFS based on BICR assessment per RECIST 1.1 (Primary censoring rul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41366" cy="3291034"/>
                    </a:xfrm>
                    <a:prstGeom prst="rect">
                      <a:avLst/>
                    </a:prstGeom>
                  </pic:spPr>
                </pic:pic>
              </a:graphicData>
            </a:graphic>
          </wp:inline>
        </w:drawing>
      </w:r>
    </w:p>
    <w:p w14:paraId="07F4C8BE" w14:textId="4BA274CE" w:rsidR="00273833" w:rsidRPr="00FC75EF" w:rsidRDefault="00273833" w:rsidP="00273833">
      <w:r w:rsidRPr="00FC75EF">
        <w:t>In subgroup analysis, all analysed subgroups benefited from pembrolizumab relative to SOC.</w:t>
      </w:r>
      <w:r w:rsidR="0046163D">
        <w:t xml:space="preserve"> </w:t>
      </w:r>
      <w:r w:rsidRPr="00FC75EF">
        <w:t xml:space="preserve">The PFS benefit was more pronounced in males (HR 0.39) than females (HR 0.75); there was a similar pattern in subgroup analysis of OS (these trends were not seen in </w:t>
      </w:r>
      <w:r w:rsidR="00981F29">
        <w:t xml:space="preserve">the </w:t>
      </w:r>
      <w:r w:rsidR="00691589">
        <w:t>KEYNOTE-010</w:t>
      </w:r>
      <w:r w:rsidR="00981F29">
        <w:t xml:space="preserve"> trial</w:t>
      </w:r>
      <w:r w:rsidRPr="00FC75EF">
        <w:t>).</w:t>
      </w:r>
      <w:r w:rsidR="0046163D">
        <w:t xml:space="preserve"> </w:t>
      </w:r>
      <w:r w:rsidRPr="00FC75EF">
        <w:t>For patients with squamous histology, the PFS HR was 0.35.</w:t>
      </w:r>
      <w:r w:rsidR="0046163D">
        <w:t xml:space="preserve"> </w:t>
      </w:r>
      <w:r w:rsidRPr="00FC75EF">
        <w:t xml:space="preserve">There was some variation according to which SOC was used: the HR for PFS was 0.63 in the ‘platinum/pemetrexed’ subset, </w:t>
      </w:r>
      <w:r w:rsidR="0046163D">
        <w:t>versus</w:t>
      </w:r>
      <w:r w:rsidRPr="00FC75EF">
        <w:t xml:space="preserve"> HR 0.29 in the ‘other platinum doublets’ subset (a trend seen in the OS analysis as well).</w:t>
      </w:r>
    </w:p>
    <w:p w14:paraId="07F4C8BF" w14:textId="56B76B7B" w:rsidR="00273833" w:rsidRDefault="00273833" w:rsidP="00273833">
      <w:r w:rsidRPr="00FC75EF">
        <w:t>The HR for OS was 0.60 (95% CI 0.41</w:t>
      </w:r>
      <w:r w:rsidR="00865982">
        <w:t xml:space="preserve"> to </w:t>
      </w:r>
      <w:r w:rsidRPr="00FC75EF">
        <w:t>0.89) favouring pembrolizumab, with median OS not reached in either arm.</w:t>
      </w:r>
      <w:r w:rsidR="0046163D">
        <w:t xml:space="preserve"> </w:t>
      </w:r>
      <w:r w:rsidRPr="00FC75EF">
        <w:t>Altogether 108</w:t>
      </w:r>
      <w:r w:rsidR="008141D3">
        <w:t xml:space="preserve"> out of </w:t>
      </w:r>
      <w:r w:rsidRPr="00FC75EF">
        <w:t>305 subjects had died.</w:t>
      </w:r>
      <w:r w:rsidR="0046163D">
        <w:t xml:space="preserve"> </w:t>
      </w:r>
      <w:r w:rsidRPr="00FC75EF">
        <w:t xml:space="preserve">The OS curve </w:t>
      </w:r>
      <w:r w:rsidR="00A24417">
        <w:t xml:space="preserve">is shown </w:t>
      </w:r>
      <w:r w:rsidR="00981F29">
        <w:t>in Figure 3, below.</w:t>
      </w:r>
    </w:p>
    <w:p w14:paraId="07F4C8C0" w14:textId="23578E4A" w:rsidR="00A24417" w:rsidRDefault="00A24417" w:rsidP="00A24417">
      <w:pPr>
        <w:pStyle w:val="FigureTitle"/>
      </w:pPr>
      <w:r>
        <w:lastRenderedPageBreak/>
        <w:t xml:space="preserve">Figure </w:t>
      </w:r>
      <w:r w:rsidR="00981F29">
        <w:t>3</w:t>
      </w:r>
      <w:r w:rsidR="00E51EEF">
        <w:t>:</w:t>
      </w:r>
      <w:r>
        <w:t xml:space="preserve"> </w:t>
      </w:r>
      <w:r w:rsidR="00691589">
        <w:t>KEYNOTE-024</w:t>
      </w:r>
      <w:r w:rsidR="00981F29">
        <w:t xml:space="preserve"> trial</w:t>
      </w:r>
      <w:r>
        <w:t>;</w:t>
      </w:r>
      <w:r w:rsidRPr="00A24417">
        <w:t xml:space="preserve"> </w:t>
      </w:r>
      <w:r>
        <w:t xml:space="preserve">Kaplan-Meier of </w:t>
      </w:r>
      <w:r w:rsidR="00981F29">
        <w:t>OS</w:t>
      </w:r>
      <w:r>
        <w:t xml:space="preserve"> (ITT Population)</w:t>
      </w:r>
    </w:p>
    <w:p w14:paraId="07F4C8C1" w14:textId="77777777" w:rsidR="00273833" w:rsidRDefault="00A24417" w:rsidP="00BA16BD">
      <w:r>
        <w:rPr>
          <w:noProof/>
          <w:lang w:eastAsia="en-AU"/>
        </w:rPr>
        <w:drawing>
          <wp:inline distT="0" distB="0" distL="0" distR="0" wp14:anchorId="07F4C9E8" wp14:editId="4731C912">
            <wp:extent cx="4720764" cy="3522921"/>
            <wp:effectExtent l="0" t="0" r="3810" b="1905"/>
            <wp:docPr id="20" name="Picture 20" descr="Figure 3: KEYNOTE-024 trial; Kaplan-Meier of O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19629" cy="3522074"/>
                    </a:xfrm>
                    <a:prstGeom prst="rect">
                      <a:avLst/>
                    </a:prstGeom>
                  </pic:spPr>
                </pic:pic>
              </a:graphicData>
            </a:graphic>
          </wp:inline>
        </w:drawing>
      </w:r>
    </w:p>
    <w:p w14:paraId="07F4C8C2" w14:textId="05B616BC" w:rsidR="001322AC" w:rsidRPr="00FC75EF" w:rsidRDefault="001322AC" w:rsidP="001322AC">
      <w:r w:rsidRPr="00FC75EF">
        <w:t>In the SOC arm, 44% of patients</w:t>
      </w:r>
      <w:r w:rsidR="00BB18B2">
        <w:t xml:space="preserve"> in the ITT population</w:t>
      </w:r>
      <w:r w:rsidRPr="00FC75EF">
        <w:t xml:space="preserve"> had crossed over to pembrolizumab.</w:t>
      </w:r>
      <w:r w:rsidR="0046163D">
        <w:t xml:space="preserve"> </w:t>
      </w:r>
      <w:r w:rsidRPr="00FC75EF">
        <w:t xml:space="preserve">Subgroup analysis of OS is presented </w:t>
      </w:r>
      <w:r w:rsidR="00A24417">
        <w:t>in Attachment 3</w:t>
      </w:r>
      <w:r w:rsidR="00981F29">
        <w:t xml:space="preserve">, </w:t>
      </w:r>
      <w:r w:rsidR="001661F0">
        <w:t>Figure 8</w:t>
      </w:r>
      <w:r w:rsidRPr="00FC75EF">
        <w:t>.</w:t>
      </w:r>
    </w:p>
    <w:p w14:paraId="07F4C8C3" w14:textId="66140AA9" w:rsidR="001322AC" w:rsidRDefault="001322AC" w:rsidP="001322AC">
      <w:r w:rsidRPr="00FC75EF">
        <w:t>ORR for pembrolizumab was 44.8%, 27.8% for SOC.</w:t>
      </w:r>
      <w:r w:rsidR="0046163D">
        <w:t xml:space="preserve"> </w:t>
      </w:r>
      <w:r w:rsidRPr="00FC75EF">
        <w:t>Median time to response was 2.2</w:t>
      </w:r>
      <w:r w:rsidR="00981F29">
        <w:t> </w:t>
      </w:r>
      <w:r w:rsidRPr="00FC75EF">
        <w:t>months in each arm.</w:t>
      </w:r>
      <w:r w:rsidR="0046163D">
        <w:t xml:space="preserve"> </w:t>
      </w:r>
      <w:r w:rsidRPr="00FC75EF">
        <w:t xml:space="preserve">Median </w:t>
      </w:r>
      <w:proofErr w:type="spellStart"/>
      <w:r w:rsidR="00562B08">
        <w:t>DoR</w:t>
      </w:r>
      <w:proofErr w:type="spellEnd"/>
      <w:r w:rsidRPr="00FC75EF">
        <w:t xml:space="preserve"> was not reached for pembrolizumab and was 6.3</w:t>
      </w:r>
      <w:r w:rsidR="00AB274A">
        <w:t> </w:t>
      </w:r>
      <w:r w:rsidRPr="00FC75EF">
        <w:t xml:space="preserve">months for SOC; the survival curve for </w:t>
      </w:r>
      <w:proofErr w:type="spellStart"/>
      <w:r w:rsidRPr="00FC75EF">
        <w:t>DoR</w:t>
      </w:r>
      <w:proofErr w:type="spellEnd"/>
      <w:r w:rsidRPr="00FC75EF">
        <w:t xml:space="preserve"> </w:t>
      </w:r>
      <w:r w:rsidR="001661F0">
        <w:t xml:space="preserve">is shown in Figure </w:t>
      </w:r>
      <w:r w:rsidR="00981F29">
        <w:t>4, below.</w:t>
      </w:r>
    </w:p>
    <w:p w14:paraId="07F4C8C4" w14:textId="4E776A16" w:rsidR="001661F0" w:rsidRDefault="001661F0" w:rsidP="001661F0">
      <w:pPr>
        <w:pStyle w:val="FigureTitle"/>
      </w:pPr>
      <w:r>
        <w:lastRenderedPageBreak/>
        <w:t xml:space="preserve">Figure </w:t>
      </w:r>
      <w:r w:rsidR="00981F29">
        <w:t>4</w:t>
      </w:r>
      <w:r w:rsidR="00E51EEF">
        <w:t>:</w:t>
      </w:r>
      <w:r w:rsidR="00981F29">
        <w:t xml:space="preserve"> </w:t>
      </w:r>
      <w:r w:rsidR="00691589">
        <w:t>KEYNOTE-024</w:t>
      </w:r>
      <w:r w:rsidR="00981F29">
        <w:t xml:space="preserve"> trial</w:t>
      </w:r>
      <w:r>
        <w:t xml:space="preserve">; Summary of </w:t>
      </w:r>
      <w:proofErr w:type="spellStart"/>
      <w:r w:rsidR="00981F29">
        <w:t>DoR</w:t>
      </w:r>
      <w:proofErr w:type="spellEnd"/>
      <w:r>
        <w:t xml:space="preserve"> for Subjects with </w:t>
      </w:r>
      <w:r w:rsidR="00981F29">
        <w:t>o</w:t>
      </w:r>
      <w:r>
        <w:t xml:space="preserve">bjective </w:t>
      </w:r>
      <w:r w:rsidR="00981F29">
        <w:t>r</w:t>
      </w:r>
      <w:r>
        <w:t xml:space="preserve">esponse </w:t>
      </w:r>
      <w:r w:rsidR="00981F29">
        <w:t>b</w:t>
      </w:r>
      <w:r>
        <w:t xml:space="preserve">ased on BICR </w:t>
      </w:r>
      <w:r w:rsidR="00981F29">
        <w:t>a</w:t>
      </w:r>
      <w:r>
        <w:t>ssessment (ITT Population)</w:t>
      </w:r>
    </w:p>
    <w:p w14:paraId="07F4C8C5" w14:textId="77777777" w:rsidR="004327D7" w:rsidRDefault="001661F0" w:rsidP="00BA16BD">
      <w:r>
        <w:rPr>
          <w:noProof/>
          <w:lang w:eastAsia="en-AU"/>
        </w:rPr>
        <w:drawing>
          <wp:inline distT="0" distB="0" distL="0" distR="0" wp14:anchorId="07F4C9EA" wp14:editId="5AC341E7">
            <wp:extent cx="5400040" cy="3895413"/>
            <wp:effectExtent l="0" t="0" r="0" b="0"/>
            <wp:docPr id="24" name="Picture 24" descr="Figure 4: KEYNOTE-024 trial; Summary of DoR for Subjects with objective response based on BICR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895413"/>
                    </a:xfrm>
                    <a:prstGeom prst="rect">
                      <a:avLst/>
                    </a:prstGeom>
                  </pic:spPr>
                </pic:pic>
              </a:graphicData>
            </a:graphic>
          </wp:inline>
        </w:drawing>
      </w:r>
    </w:p>
    <w:p w14:paraId="07F4C8C6" w14:textId="7D099434" w:rsidR="001322AC" w:rsidRPr="00FC75EF" w:rsidRDefault="00981F29" w:rsidP="001322AC">
      <w:r>
        <w:t>4%</w:t>
      </w:r>
      <w:r w:rsidR="001322AC" w:rsidRPr="00FC75EF">
        <w:t xml:space="preserve"> (pembrolizumab) </w:t>
      </w:r>
      <w:r w:rsidR="0046163D">
        <w:t>versus</w:t>
      </w:r>
      <w:r w:rsidR="001322AC" w:rsidRPr="00FC75EF">
        <w:t xml:space="preserve"> 1% (SOC) had a complete response.</w:t>
      </w:r>
      <w:r w:rsidR="0046163D">
        <w:t xml:space="preserve"> </w:t>
      </w:r>
      <w:r>
        <w:t>The p</w:t>
      </w:r>
      <w:r w:rsidR="00F352A0">
        <w:t xml:space="preserve">roportion of patients with progressive disease as the best objective response </w:t>
      </w:r>
      <w:r w:rsidR="001322AC" w:rsidRPr="00FC75EF">
        <w:t xml:space="preserve">was reported in 22.1% (pembrolizumab) </w:t>
      </w:r>
      <w:r w:rsidR="0046163D">
        <w:t>versus</w:t>
      </w:r>
      <w:r w:rsidR="001322AC" w:rsidRPr="00FC75EF">
        <w:t xml:space="preserve"> 18.5% (SOC).</w:t>
      </w:r>
    </w:p>
    <w:p w14:paraId="07F4C8C7" w14:textId="1306B616" w:rsidR="001322AC" w:rsidRPr="00FC75EF" w:rsidRDefault="001322AC" w:rsidP="001322AC">
      <w:r w:rsidRPr="00FC75EF">
        <w:t xml:space="preserve">There was </w:t>
      </w:r>
      <w:r w:rsidR="001661F0">
        <w:t xml:space="preserve">a suggestion of improved health </w:t>
      </w:r>
      <w:r w:rsidRPr="00FC75EF">
        <w:t>related quality of life with pembrolizumab relative to SOC.</w:t>
      </w:r>
      <w:r w:rsidR="0046163D">
        <w:t xml:space="preserve"> </w:t>
      </w:r>
      <w:r w:rsidRPr="00FC75EF">
        <w:t xml:space="preserve">Compliance at </w:t>
      </w:r>
      <w:r w:rsidR="00BF10BB">
        <w:t>W</w:t>
      </w:r>
      <w:r w:rsidRPr="00FC75EF">
        <w:t xml:space="preserve">eek 15 was 84.5% (pembrolizumab) </w:t>
      </w:r>
      <w:r w:rsidR="0046163D">
        <w:t>versus</w:t>
      </w:r>
      <w:r w:rsidRPr="00FC75EF">
        <w:t xml:space="preserve"> 78.6% (SOC), considered acceptable by the clinical evaluator.</w:t>
      </w:r>
      <w:r w:rsidR="0046163D">
        <w:t xml:space="preserve"> </w:t>
      </w:r>
      <w:r w:rsidRPr="00FC75EF">
        <w:t>The difference in L</w:t>
      </w:r>
      <w:r w:rsidR="00BF10BB">
        <w:t xml:space="preserve">east </w:t>
      </w:r>
      <w:r w:rsidRPr="00FC75EF">
        <w:t>S</w:t>
      </w:r>
      <w:r w:rsidR="00BF10BB">
        <w:t>quares</w:t>
      </w:r>
      <w:r w:rsidRPr="00FC75EF">
        <w:t xml:space="preserve"> mean ‘change from </w:t>
      </w:r>
      <w:r w:rsidR="00BF10BB">
        <w:t>B</w:t>
      </w:r>
      <w:r w:rsidRPr="00FC75EF">
        <w:t xml:space="preserve">aseline at </w:t>
      </w:r>
      <w:r w:rsidR="00BF10BB">
        <w:t>W</w:t>
      </w:r>
      <w:r w:rsidRPr="00FC75EF">
        <w:t>eek 15’ in the EORTC QLQ-C30</w:t>
      </w:r>
      <w:r w:rsidR="00865982">
        <w:t xml:space="preserve"> </w:t>
      </w:r>
      <w:r w:rsidRPr="00FC75EF">
        <w:t>global health sta</w:t>
      </w:r>
      <w:r w:rsidR="001661F0">
        <w:t xml:space="preserve">tus measure was 7.8 (95% CI 2.8 to </w:t>
      </w:r>
      <w:r w:rsidRPr="00FC75EF">
        <w:t>12.8);</w:t>
      </w:r>
      <w:r w:rsidR="00BF10BB">
        <w:rPr>
          <w:rStyle w:val="FootnoteReference"/>
        </w:rPr>
        <w:footnoteReference w:id="31"/>
      </w:r>
      <w:r w:rsidR="00BF10BB" w:rsidRPr="00FC75EF">
        <w:t xml:space="preserve"> </w:t>
      </w:r>
      <w:r w:rsidRPr="00FC75EF">
        <w:t>reported values of minimally important differences range from 5 to 10.</w:t>
      </w:r>
      <w:r w:rsidR="0046163D">
        <w:t xml:space="preserve"> </w:t>
      </w:r>
      <w:r w:rsidRPr="00FC75EF">
        <w:t xml:space="preserve">In the specific areas of time to deterioration in cough/chest pain/dyspnoea, there was a consistent suggestion that pembrolizumab prolonged the time to deterioration </w:t>
      </w:r>
      <w:r w:rsidRPr="00F84469">
        <w:t>(</w:t>
      </w:r>
      <w:r w:rsidR="00BF10BB">
        <w:t xml:space="preserve">see </w:t>
      </w:r>
      <w:r w:rsidR="00F84469" w:rsidRPr="00F84469">
        <w:t>Attachment 3</w:t>
      </w:r>
      <w:r w:rsidR="00BF10BB">
        <w:t xml:space="preserve">, </w:t>
      </w:r>
      <w:r w:rsidRPr="00F84469">
        <w:t>page</w:t>
      </w:r>
      <w:r w:rsidR="00F84469" w:rsidRPr="00F84469">
        <w:t>s</w:t>
      </w:r>
      <w:r w:rsidRPr="00F84469">
        <w:t xml:space="preserve"> </w:t>
      </w:r>
      <w:r w:rsidR="00F84469" w:rsidRPr="00F84469">
        <w:t>33</w:t>
      </w:r>
      <w:r w:rsidR="00BF10BB">
        <w:t xml:space="preserve"> and </w:t>
      </w:r>
      <w:r w:rsidR="00F84469" w:rsidRPr="00F84469">
        <w:t>34</w:t>
      </w:r>
      <w:r w:rsidRPr="00F84469">
        <w:t>).</w:t>
      </w:r>
      <w:r w:rsidR="0046163D" w:rsidRPr="00F84469">
        <w:t xml:space="preserve"> </w:t>
      </w:r>
      <w:r w:rsidRPr="00F84469">
        <w:t>Overall</w:t>
      </w:r>
      <w:r w:rsidRPr="00FC75EF">
        <w:t>, the evaluator described improvements in quality of life/symptom measures as of borderline clinical significance (</w:t>
      </w:r>
      <w:r w:rsidR="00BF10BB">
        <w:t xml:space="preserve">see </w:t>
      </w:r>
      <w:r w:rsidR="00F84469">
        <w:t>Attachment 3</w:t>
      </w:r>
      <w:r w:rsidR="00BF10BB">
        <w:t xml:space="preserve">, </w:t>
      </w:r>
      <w:r w:rsidR="00F84469">
        <w:t>Section 9.1</w:t>
      </w:r>
      <w:r w:rsidRPr="00FC75EF">
        <w:t>).</w:t>
      </w:r>
    </w:p>
    <w:p w14:paraId="07F4C8C8" w14:textId="038430A7" w:rsidR="001322AC" w:rsidRPr="00FC75EF" w:rsidRDefault="001322AC" w:rsidP="001322AC">
      <w:r w:rsidRPr="00FC75EF">
        <w:t>There was no strong signal that efficacy was impaired in very heavy subjects (although few subjects weighing &gt;</w:t>
      </w:r>
      <w:r w:rsidR="00F84469">
        <w:t xml:space="preserve"> </w:t>
      </w:r>
      <w:r w:rsidRPr="00FC75EF">
        <w:t xml:space="preserve">100 kg enrolled into </w:t>
      </w:r>
      <w:r w:rsidR="00BF10BB">
        <w:t xml:space="preserve">the </w:t>
      </w:r>
      <w:r w:rsidR="00691589">
        <w:t>KEYNOTE-024</w:t>
      </w:r>
      <w:r w:rsidR="00BF10BB">
        <w:t xml:space="preserve"> trial</w:t>
      </w:r>
      <w:r w:rsidRPr="00FC75EF">
        <w:t>)</w:t>
      </w:r>
      <w:r w:rsidR="001661F0">
        <w:t>.</w:t>
      </w:r>
    </w:p>
    <w:p w14:paraId="07F4C8C9" w14:textId="77777777" w:rsidR="001322AC" w:rsidRPr="00FC75EF" w:rsidRDefault="001322AC" w:rsidP="001322AC">
      <w:pPr>
        <w:pStyle w:val="Heading6"/>
      </w:pPr>
      <w:r w:rsidRPr="00FC75EF">
        <w:t>Exposure-response analysis</w:t>
      </w:r>
    </w:p>
    <w:p w14:paraId="07F4C8CA" w14:textId="3D432C1A" w:rsidR="001322AC" w:rsidRPr="00FC75EF" w:rsidRDefault="001322AC" w:rsidP="001322AC">
      <w:r w:rsidRPr="00FC75EF">
        <w:t xml:space="preserve">The clinical evaluator also considered a pooled analysis of the relationship between systemic exposure to pembrolizumab and </w:t>
      </w:r>
      <w:proofErr w:type="gramStart"/>
      <w:r w:rsidRPr="00FC75EF">
        <w:t>efficacy in NSCLC (</w:t>
      </w:r>
      <w:r w:rsidR="00BF10BB">
        <w:t>see</w:t>
      </w:r>
      <w:proofErr w:type="gramEnd"/>
      <w:r w:rsidR="00BF10BB">
        <w:t xml:space="preserve"> </w:t>
      </w:r>
      <w:r w:rsidR="00C20264">
        <w:t>Attachment 3</w:t>
      </w:r>
      <w:r w:rsidR="00BF10BB">
        <w:t xml:space="preserve">, </w:t>
      </w:r>
      <w:r w:rsidR="00C20264">
        <w:t>Section</w:t>
      </w:r>
      <w:r w:rsidR="00BF10BB">
        <w:t> </w:t>
      </w:r>
      <w:r w:rsidR="00C20264">
        <w:t>4</w:t>
      </w:r>
      <w:r w:rsidR="00C20264" w:rsidRPr="00C20264">
        <w:t>.1.2</w:t>
      </w:r>
      <w:r w:rsidRPr="00C20264">
        <w:t>).</w:t>
      </w:r>
    </w:p>
    <w:p w14:paraId="07F4C8CB" w14:textId="77777777" w:rsidR="001322AC" w:rsidRPr="00FC75EF" w:rsidRDefault="001322AC" w:rsidP="001322AC">
      <w:pPr>
        <w:pStyle w:val="Heading4"/>
      </w:pPr>
      <w:r w:rsidRPr="00FC75EF">
        <w:lastRenderedPageBreak/>
        <w:t>Safety</w:t>
      </w:r>
    </w:p>
    <w:p w14:paraId="07F4C8CC" w14:textId="58E622D8" w:rsidR="001322AC" w:rsidRPr="00FC75EF" w:rsidRDefault="00BF10BB" w:rsidP="001322AC">
      <w:pPr>
        <w:pStyle w:val="Heading5"/>
      </w:pPr>
      <w:r>
        <w:t xml:space="preserve">The </w:t>
      </w:r>
      <w:r w:rsidR="00691589">
        <w:t>KEYNOTE-024</w:t>
      </w:r>
      <w:r>
        <w:t xml:space="preserve"> trial</w:t>
      </w:r>
    </w:p>
    <w:p w14:paraId="07F4C8CD" w14:textId="0BDA115D" w:rsidR="001322AC" w:rsidRPr="00FC75EF" w:rsidRDefault="001322AC" w:rsidP="001322AC">
      <w:r w:rsidRPr="00FC75EF">
        <w:t xml:space="preserve">Mean duration of exposure was 206 days for </w:t>
      </w:r>
      <w:proofErr w:type="gramStart"/>
      <w:r w:rsidRPr="00FC75EF">
        <w:t>pembrolizumab,</w:t>
      </w:r>
      <w:proofErr w:type="gramEnd"/>
      <w:r w:rsidRPr="00FC75EF">
        <w:t xml:space="preserve"> 121 days for SOC (</w:t>
      </w:r>
      <w:r w:rsidR="00356DE6">
        <w:t xml:space="preserve">see </w:t>
      </w:r>
      <w:r w:rsidR="00C20264">
        <w:t>Attachment 3</w:t>
      </w:r>
      <w:r w:rsidR="00356DE6">
        <w:t>,</w:t>
      </w:r>
      <w:r w:rsidR="00C20264">
        <w:t xml:space="preserve"> Section 8.2</w:t>
      </w:r>
      <w:r w:rsidRPr="00FC75EF">
        <w:t>).</w:t>
      </w:r>
      <w:r w:rsidR="0046163D">
        <w:t xml:space="preserve"> </w:t>
      </w:r>
      <w:r w:rsidR="00C20264">
        <w:t xml:space="preserve">Some 23 out of </w:t>
      </w:r>
      <w:r w:rsidRPr="00FC75EF">
        <w:t>154 patients in the pembrolizumab arm were exposed for &gt;</w:t>
      </w:r>
      <w:r w:rsidR="00C20264">
        <w:t xml:space="preserve"> </w:t>
      </w:r>
      <w:r w:rsidRPr="00FC75EF">
        <w:t xml:space="preserve">12 </w:t>
      </w:r>
      <w:r w:rsidR="001224B4" w:rsidRPr="00FC75EF">
        <w:t>months;</w:t>
      </w:r>
      <w:r w:rsidRPr="00FC75EF">
        <w:t xml:space="preserve"> </w:t>
      </w:r>
      <w:r w:rsidR="0046163D">
        <w:t>versus</w:t>
      </w:r>
      <w:r w:rsidR="00C20264">
        <w:t xml:space="preserve"> 5 out of </w:t>
      </w:r>
      <w:r w:rsidRPr="00FC75EF">
        <w:t>150 in the SOC arm (SOC protocols only sometimes used maintenance pemetrexed).</w:t>
      </w:r>
      <w:r w:rsidR="0046163D">
        <w:t xml:space="preserve"> </w:t>
      </w:r>
      <w:r w:rsidRPr="00FC75EF">
        <w:t>No subject in the pembrolizumab arm had received 35 doses/24 months of treatment.</w:t>
      </w:r>
    </w:p>
    <w:p w14:paraId="07F4C8CE" w14:textId="3FDC2CAF" w:rsidR="001322AC" w:rsidRPr="00FC75EF" w:rsidRDefault="001224B4" w:rsidP="001322AC">
      <w:r>
        <w:t>Drug related</w:t>
      </w:r>
      <w:r w:rsidR="001322AC" w:rsidRPr="00FC75EF">
        <w:t xml:space="preserve"> </w:t>
      </w:r>
      <w:r w:rsidR="00356DE6">
        <w:t>adverse event</w:t>
      </w:r>
      <w:r w:rsidR="00356DE6" w:rsidRPr="00FC75EF">
        <w:t xml:space="preserve">s </w:t>
      </w:r>
      <w:r w:rsidR="001322AC" w:rsidRPr="00FC75EF">
        <w:t xml:space="preserve">were reported in 73.4% (pembrolizumab) </w:t>
      </w:r>
      <w:r w:rsidR="0046163D">
        <w:t>versus</w:t>
      </w:r>
      <w:r>
        <w:t xml:space="preserve"> 90% (SOC), and </w:t>
      </w:r>
      <w:r w:rsidR="00356DE6">
        <w:t>Grade </w:t>
      </w:r>
      <w:r w:rsidR="001322AC" w:rsidRPr="00FC75EF">
        <w:t>3</w:t>
      </w:r>
      <w:r w:rsidR="00356DE6">
        <w:t xml:space="preserve"> to </w:t>
      </w:r>
      <w:r w:rsidR="001322AC" w:rsidRPr="00FC75EF">
        <w:t xml:space="preserve">5 drug </w:t>
      </w:r>
      <w:r w:rsidR="001322AC" w:rsidRPr="001224B4">
        <w:t xml:space="preserve">related </w:t>
      </w:r>
      <w:r w:rsidR="00356DE6">
        <w:t>adverse events</w:t>
      </w:r>
      <w:r w:rsidR="00356DE6" w:rsidRPr="001224B4">
        <w:t xml:space="preserve"> </w:t>
      </w:r>
      <w:r w:rsidR="001322AC" w:rsidRPr="001224B4">
        <w:t xml:space="preserve">in 26.6% </w:t>
      </w:r>
      <w:r w:rsidR="0046163D" w:rsidRPr="001224B4">
        <w:t>versus</w:t>
      </w:r>
      <w:r w:rsidR="001322AC" w:rsidRPr="001224B4">
        <w:t xml:space="preserve"> 53.3%.</w:t>
      </w:r>
      <w:r w:rsidR="0046163D" w:rsidRPr="001224B4">
        <w:t xml:space="preserve"> </w:t>
      </w:r>
      <w:r w:rsidR="001322AC" w:rsidRPr="001224B4">
        <w:t xml:space="preserve">Serious </w:t>
      </w:r>
      <w:r w:rsidR="00356DE6">
        <w:t>adverse events</w:t>
      </w:r>
      <w:r w:rsidR="00356DE6" w:rsidRPr="001224B4">
        <w:t xml:space="preserve"> </w:t>
      </w:r>
      <w:r w:rsidR="001322AC" w:rsidRPr="001224B4">
        <w:t>were reported in 44% across arms (</w:t>
      </w:r>
      <w:r w:rsidR="00C20264" w:rsidRPr="001224B4">
        <w:t>Attachment 3</w:t>
      </w:r>
      <w:r w:rsidR="00356DE6">
        <w:t xml:space="preserve">, </w:t>
      </w:r>
      <w:r w:rsidRPr="001224B4">
        <w:t>Table 16</w:t>
      </w:r>
      <w:r w:rsidR="001322AC" w:rsidRPr="001224B4">
        <w:t>) an</w:t>
      </w:r>
      <w:r w:rsidR="001322AC" w:rsidRPr="00FC75EF">
        <w:t xml:space="preserve">d serious related </w:t>
      </w:r>
      <w:r w:rsidR="00D948A4">
        <w:t>adverse event</w:t>
      </w:r>
      <w:r w:rsidR="00D948A4" w:rsidRPr="00FC75EF">
        <w:t xml:space="preserve">s </w:t>
      </w:r>
      <w:r w:rsidR="001322AC" w:rsidRPr="00FC75EF">
        <w:t>in 21% across arms.</w:t>
      </w:r>
      <w:r w:rsidR="0046163D">
        <w:t xml:space="preserve"> </w:t>
      </w:r>
      <w:r w:rsidR="001322AC" w:rsidRPr="00FC75EF">
        <w:t xml:space="preserve">Deaths due to </w:t>
      </w:r>
      <w:r>
        <w:t>drug related</w:t>
      </w:r>
      <w:r w:rsidR="001322AC" w:rsidRPr="00FC75EF">
        <w:t xml:space="preserve"> </w:t>
      </w:r>
      <w:r w:rsidR="00D948A4">
        <w:t>adverse event</w:t>
      </w:r>
      <w:r w:rsidR="00D948A4" w:rsidRPr="00FC75EF">
        <w:t xml:space="preserve">s </w:t>
      </w:r>
      <w:r w:rsidR="001322AC" w:rsidRPr="00FC75EF">
        <w:t xml:space="preserve">were reported in 0.6% </w:t>
      </w:r>
      <w:r w:rsidR="0046163D">
        <w:t>versus</w:t>
      </w:r>
      <w:r w:rsidR="001322AC" w:rsidRPr="00FC75EF">
        <w:t xml:space="preserve"> 2.0%.</w:t>
      </w:r>
      <w:r w:rsidR="0046163D">
        <w:t xml:space="preserve"> </w:t>
      </w:r>
      <w:r w:rsidR="001322AC" w:rsidRPr="00FC75EF">
        <w:t xml:space="preserve">Discontinuations due to AEs were reported in 9.1% </w:t>
      </w:r>
      <w:r w:rsidR="0046163D">
        <w:t>versus</w:t>
      </w:r>
      <w:r w:rsidR="001322AC" w:rsidRPr="00FC75EF">
        <w:t xml:space="preserve"> 14%.</w:t>
      </w:r>
    </w:p>
    <w:p w14:paraId="07F4C8CF" w14:textId="4685B631" w:rsidR="001322AC" w:rsidRDefault="00D948A4" w:rsidP="001322AC">
      <w:r>
        <w:t>More c</w:t>
      </w:r>
      <w:r w:rsidR="001322AC" w:rsidRPr="00FC75EF">
        <w:t xml:space="preserve">ommon </w:t>
      </w:r>
      <w:r>
        <w:t>adverse event</w:t>
      </w:r>
      <w:r w:rsidR="001322AC" w:rsidRPr="00FC75EF">
        <w:t>s are shown</w:t>
      </w:r>
      <w:r>
        <w:t xml:space="preserve"> below</w:t>
      </w:r>
      <w:r w:rsidR="001322AC" w:rsidRPr="00FC75EF">
        <w:t xml:space="preserve"> in </w:t>
      </w:r>
      <w:r w:rsidR="001224B4">
        <w:t xml:space="preserve">Table </w:t>
      </w:r>
      <w:r w:rsidR="00880EEA">
        <w:t>17</w:t>
      </w:r>
      <w:r w:rsidR="001322AC" w:rsidRPr="00FC75EF">
        <w:t xml:space="preserve"> (a longer list is provided </w:t>
      </w:r>
      <w:r>
        <w:t>in</w:t>
      </w:r>
      <w:r w:rsidRPr="00FC75EF">
        <w:t xml:space="preserve"> </w:t>
      </w:r>
      <w:r w:rsidR="00C20264">
        <w:t>Attachment</w:t>
      </w:r>
      <w:r>
        <w:t> </w:t>
      </w:r>
      <w:r w:rsidR="00C20264">
        <w:t>3</w:t>
      </w:r>
      <w:r>
        <w:t>,</w:t>
      </w:r>
      <w:r w:rsidR="00C20264">
        <w:t xml:space="preserve"> </w:t>
      </w:r>
      <w:r w:rsidR="001224B4">
        <w:t>Table 14</w:t>
      </w:r>
      <w:r w:rsidR="001322AC" w:rsidRPr="00FC75EF">
        <w:t>).</w:t>
      </w:r>
      <w:r w:rsidR="0046163D">
        <w:t xml:space="preserve"> </w:t>
      </w:r>
      <w:r w:rsidR="001322AC" w:rsidRPr="00FC75EF">
        <w:t xml:space="preserve">The two approaches have distinct safety profiles, consistent with the known safety profile of each approach, as reported </w:t>
      </w:r>
      <w:r>
        <w:t>in</w:t>
      </w:r>
      <w:r w:rsidRPr="00FC75EF">
        <w:t xml:space="preserve"> </w:t>
      </w:r>
      <w:r w:rsidR="00C20264">
        <w:t>Attachment 3</w:t>
      </w:r>
      <w:r>
        <w:t>,</w:t>
      </w:r>
      <w:r w:rsidR="00C20264">
        <w:t xml:space="preserve"> </w:t>
      </w:r>
      <w:r w:rsidR="007A5E8E">
        <w:t>Section 8.3.1</w:t>
      </w:r>
      <w:r w:rsidR="001322AC" w:rsidRPr="00FC75EF">
        <w:t>.</w:t>
      </w:r>
      <w:r w:rsidR="0046163D">
        <w:t xml:space="preserve"> </w:t>
      </w:r>
      <w:r w:rsidR="001322AC" w:rsidRPr="00FC75EF">
        <w:t>The incidences below should be interpreted in the context of a quite different duration of exposure for each arm.</w:t>
      </w:r>
    </w:p>
    <w:p w14:paraId="07F4C8D0" w14:textId="316CADF5" w:rsidR="001224B4" w:rsidRDefault="001224B4" w:rsidP="0018349E">
      <w:pPr>
        <w:pStyle w:val="Tabletitle0"/>
      </w:pPr>
      <w:r>
        <w:lastRenderedPageBreak/>
        <w:t xml:space="preserve">Table </w:t>
      </w:r>
      <w:r w:rsidR="00880EEA">
        <w:t>17</w:t>
      </w:r>
      <w:r w:rsidR="00E51EEF">
        <w:t>:</w:t>
      </w:r>
      <w:r>
        <w:t xml:space="preserve"> </w:t>
      </w:r>
      <w:r w:rsidR="00691589">
        <w:t>KEYNOTE-024</w:t>
      </w:r>
      <w:r w:rsidR="00D948A4">
        <w:t xml:space="preserve"> trial;</w:t>
      </w:r>
      <w:r>
        <w:t xml:space="preserve"> </w:t>
      </w:r>
      <w:r w:rsidR="00D948A4">
        <w:t xml:space="preserve">More </w:t>
      </w:r>
      <w:r>
        <w:t>common AEs</w:t>
      </w:r>
    </w:p>
    <w:p w14:paraId="07F4C8D1" w14:textId="77777777" w:rsidR="001224B4" w:rsidRPr="001224B4" w:rsidRDefault="001224B4" w:rsidP="001224B4">
      <w:r>
        <w:rPr>
          <w:noProof/>
          <w:lang w:eastAsia="en-AU"/>
        </w:rPr>
        <w:drawing>
          <wp:inline distT="0" distB="0" distL="0" distR="0" wp14:anchorId="07F4C9EC" wp14:editId="07F4C9ED">
            <wp:extent cx="5400040" cy="5756478"/>
            <wp:effectExtent l="0" t="0" r="0" b="0"/>
            <wp:docPr id="3" name="Picture 3" descr="Table 17: Study KEYNOTE-024 – commoner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5756478"/>
                    </a:xfrm>
                    <a:prstGeom prst="rect">
                      <a:avLst/>
                    </a:prstGeom>
                  </pic:spPr>
                </pic:pic>
              </a:graphicData>
            </a:graphic>
          </wp:inline>
        </w:drawing>
      </w:r>
    </w:p>
    <w:p w14:paraId="07F4C8D2" w14:textId="79C39D08" w:rsidR="001322AC" w:rsidRPr="007A5E8E" w:rsidRDefault="001322AC" w:rsidP="001322AC">
      <w:pPr>
        <w:pStyle w:val="ListBullet"/>
      </w:pPr>
      <w:r w:rsidRPr="007A5E8E">
        <w:t xml:space="preserve">Pneumonitis (including </w:t>
      </w:r>
      <w:r w:rsidR="007757DB">
        <w:t>interstitial lung disease</w:t>
      </w:r>
      <w:r w:rsidRPr="007A5E8E">
        <w:t xml:space="preserve">) was reported in 5.8% (pembrolizumab) </w:t>
      </w:r>
      <w:r w:rsidR="0046163D" w:rsidRPr="007A5E8E">
        <w:t>versus</w:t>
      </w:r>
      <w:r w:rsidRPr="007A5E8E">
        <w:t xml:space="preserve"> 0.7% (SOC) and there was a similar imbalance for the </w:t>
      </w:r>
      <w:r w:rsidR="007757DB">
        <w:t>adverse event</w:t>
      </w:r>
      <w:r w:rsidR="007757DB" w:rsidRPr="007A5E8E">
        <w:t xml:space="preserve"> </w:t>
      </w:r>
      <w:r w:rsidR="007757DB">
        <w:t>of COPD</w:t>
      </w:r>
      <w:r w:rsidRPr="007A5E8E">
        <w:t>.</w:t>
      </w:r>
      <w:r w:rsidR="0046163D" w:rsidRPr="007A5E8E">
        <w:t xml:space="preserve"> </w:t>
      </w:r>
      <w:r w:rsidRPr="007A5E8E">
        <w:t xml:space="preserve">This was also seen in </w:t>
      </w:r>
      <w:r w:rsidR="007757DB">
        <w:t xml:space="preserve">the </w:t>
      </w:r>
      <w:r w:rsidR="00691589">
        <w:t>KEYNOTE-010</w:t>
      </w:r>
      <w:r w:rsidR="007757DB">
        <w:t xml:space="preserve"> trial</w:t>
      </w:r>
      <w:r w:rsidRPr="007A5E8E">
        <w:t>.</w:t>
      </w:r>
      <w:r w:rsidR="0046163D" w:rsidRPr="007A5E8E">
        <w:t xml:space="preserve"> </w:t>
      </w:r>
      <w:r w:rsidRPr="007A5E8E">
        <w:t xml:space="preserve">Dyspnoea was modestly imbalanced (22.1% </w:t>
      </w:r>
      <w:r w:rsidR="0046163D" w:rsidRPr="007A5E8E">
        <w:t>versus</w:t>
      </w:r>
      <w:r w:rsidRPr="007A5E8E">
        <w:t xml:space="preserve"> 16%).</w:t>
      </w:r>
    </w:p>
    <w:p w14:paraId="07F4C8D3" w14:textId="77777777" w:rsidR="001322AC" w:rsidRPr="00FC75EF" w:rsidRDefault="001322AC" w:rsidP="00986585">
      <w:pPr>
        <w:pStyle w:val="Comment"/>
      </w:pPr>
      <w:r w:rsidRPr="00986585">
        <w:rPr>
          <w:b/>
        </w:rPr>
        <w:t>Question for sponsor</w:t>
      </w:r>
      <w:r w:rsidR="007A5E8E" w:rsidRPr="007A5E8E">
        <w:t xml:space="preserve">: </w:t>
      </w:r>
      <w:r w:rsidRPr="007A5E8E">
        <w:t>Is</w:t>
      </w:r>
      <w:r w:rsidRPr="00FC75EF">
        <w:t xml:space="preserve"> pembrolizumab known to exacerbate COPD? Could reports of COPD be misdiagnosed cases of pneumonitis?</w:t>
      </w:r>
    </w:p>
    <w:p w14:paraId="07F4C8D4" w14:textId="77777777" w:rsidR="001322AC" w:rsidRPr="007A5E8E" w:rsidRDefault="001322AC" w:rsidP="007A5E8E">
      <w:pPr>
        <w:pStyle w:val="ListBullet"/>
      </w:pPr>
      <w:r w:rsidRPr="007A5E8E">
        <w:t xml:space="preserve">Colitis (including enterocolitis) was reported in 1.9% (pembrolizumab) </w:t>
      </w:r>
      <w:r w:rsidR="0046163D" w:rsidRPr="007A5E8E">
        <w:t>versus</w:t>
      </w:r>
      <w:r w:rsidRPr="007A5E8E">
        <w:t xml:space="preserve"> 0% (SOC), while diarrhoea was reported in 20.8% </w:t>
      </w:r>
      <w:r w:rsidR="0046163D" w:rsidRPr="007A5E8E">
        <w:t>versus</w:t>
      </w:r>
      <w:r w:rsidRPr="007A5E8E">
        <w:t xml:space="preserve"> 22% respectively.</w:t>
      </w:r>
    </w:p>
    <w:p w14:paraId="07F4C8D5" w14:textId="3BDA9AA0" w:rsidR="001322AC" w:rsidRPr="00FC75EF" w:rsidRDefault="001322AC" w:rsidP="007A5E8E">
      <w:pPr>
        <w:pStyle w:val="ListBullet"/>
      </w:pPr>
      <w:proofErr w:type="spellStart"/>
      <w:r w:rsidRPr="007A5E8E">
        <w:t>Transaminitis</w:t>
      </w:r>
      <w:proofErr w:type="spellEnd"/>
      <w:r w:rsidRPr="007A5E8E">
        <w:t xml:space="preserve"> was more</w:t>
      </w:r>
      <w:r w:rsidR="007A5E8E" w:rsidRPr="007A5E8E">
        <w:t xml:space="preserve"> common with pembrolizumab (8.4 to 11%) than SOC (4.7 to </w:t>
      </w:r>
      <w:r w:rsidRPr="007A5E8E">
        <w:t>7.3%); see</w:t>
      </w:r>
      <w:r w:rsidRPr="00FC75EF">
        <w:t xml:space="preserve"> </w:t>
      </w:r>
      <w:r w:rsidR="006C444C">
        <w:t>Attachment 3; Table 19</w:t>
      </w:r>
      <w:r w:rsidRPr="00FC75EF">
        <w:t>.</w:t>
      </w:r>
      <w:r w:rsidR="0046163D">
        <w:t xml:space="preserve"> </w:t>
      </w:r>
      <w:r w:rsidRPr="00FC75EF">
        <w:t xml:space="preserve">The sponsor has been asked to detail cases meeting </w:t>
      </w:r>
      <w:proofErr w:type="spellStart"/>
      <w:r w:rsidRPr="00FC75EF">
        <w:t>Hy’s</w:t>
      </w:r>
      <w:proofErr w:type="spellEnd"/>
      <w:r w:rsidRPr="00FC75EF">
        <w:t xml:space="preserve"> Law criteria (</w:t>
      </w:r>
      <w:r w:rsidR="0046163D">
        <w:t>that is</w:t>
      </w:r>
      <w:proofErr w:type="gramStart"/>
      <w:r w:rsidR="0046163D">
        <w:t>,</w:t>
      </w:r>
      <w:proofErr w:type="gramEnd"/>
      <w:r w:rsidR="006C444C">
        <w:t xml:space="preserve"> suggestive of drug </w:t>
      </w:r>
      <w:r w:rsidRPr="00FC75EF">
        <w:t xml:space="preserve">induced liver injury; </w:t>
      </w:r>
      <w:r w:rsidR="007757DB">
        <w:t xml:space="preserve">see </w:t>
      </w:r>
      <w:r w:rsidR="006C444C">
        <w:t>Attachment </w:t>
      </w:r>
      <w:r w:rsidR="00C20264">
        <w:t>3</w:t>
      </w:r>
      <w:r w:rsidR="007757DB">
        <w:t>,</w:t>
      </w:r>
      <w:r w:rsidR="00C20264">
        <w:t xml:space="preserve"> </w:t>
      </w:r>
      <w:r w:rsidR="006C444C">
        <w:t>Section 8.4.1</w:t>
      </w:r>
      <w:r w:rsidRPr="00FC75EF">
        <w:t>).</w:t>
      </w:r>
    </w:p>
    <w:p w14:paraId="07F4C8D6" w14:textId="77777777" w:rsidR="001322AC" w:rsidRPr="006C444C" w:rsidRDefault="001322AC" w:rsidP="007A5E8E">
      <w:pPr>
        <w:pStyle w:val="ListBullet"/>
      </w:pPr>
      <w:r w:rsidRPr="006C444C">
        <w:t xml:space="preserve">Blood creatinine increased was more common with </w:t>
      </w:r>
      <w:r w:rsidR="0046163D" w:rsidRPr="006C444C">
        <w:t>platinum based</w:t>
      </w:r>
      <w:r w:rsidRPr="006C444C">
        <w:t xml:space="preserve"> doublet therapy (6.5% </w:t>
      </w:r>
      <w:r w:rsidR="0046163D" w:rsidRPr="006C444C">
        <w:t>versus</w:t>
      </w:r>
      <w:r w:rsidRPr="006C444C">
        <w:t xml:space="preserve"> 13.3%) and there were very few reports of renal failure or nephritis.</w:t>
      </w:r>
    </w:p>
    <w:p w14:paraId="07F4C8D7" w14:textId="20E4873B" w:rsidR="001322AC" w:rsidRPr="006C444C" w:rsidRDefault="001322AC" w:rsidP="007A5E8E">
      <w:pPr>
        <w:pStyle w:val="ListBullet"/>
      </w:pPr>
      <w:r w:rsidRPr="006C444C">
        <w:lastRenderedPageBreak/>
        <w:t xml:space="preserve">Hypothyroidism (9.1% </w:t>
      </w:r>
      <w:r w:rsidR="0046163D" w:rsidRPr="006C444C">
        <w:t>versus</w:t>
      </w:r>
      <w:r w:rsidRPr="006C444C">
        <w:t xml:space="preserve"> 1.3%), TSH increased (3.9% </w:t>
      </w:r>
      <w:r w:rsidR="0046163D" w:rsidRPr="006C444C">
        <w:t>versus</w:t>
      </w:r>
      <w:r w:rsidR="00CE318D">
        <w:t xml:space="preserve"> 0%)</w:t>
      </w:r>
      <w:r w:rsidRPr="006C444C">
        <w:t xml:space="preserve"> hyperthyroidism (7.8% </w:t>
      </w:r>
      <w:r w:rsidR="0046163D" w:rsidRPr="006C444C">
        <w:t>versus</w:t>
      </w:r>
      <w:r w:rsidRPr="006C444C">
        <w:t xml:space="preserve"> 1.3%) and thyroiditis (2.6% </w:t>
      </w:r>
      <w:r w:rsidR="0046163D" w:rsidRPr="006C444C">
        <w:t>versus</w:t>
      </w:r>
      <w:r w:rsidRPr="006C444C">
        <w:t xml:space="preserve"> 0%) were </w:t>
      </w:r>
      <w:r w:rsidR="007757DB">
        <w:t xml:space="preserve">more </w:t>
      </w:r>
      <w:r w:rsidRPr="006C444C">
        <w:t>common with pembrolizumab.</w:t>
      </w:r>
      <w:r w:rsidR="0046163D" w:rsidRPr="006C444C">
        <w:t xml:space="preserve"> </w:t>
      </w:r>
      <w:r w:rsidRPr="006C444C">
        <w:t xml:space="preserve">There was a report of </w:t>
      </w:r>
      <w:proofErr w:type="spellStart"/>
      <w:r w:rsidRPr="006C444C">
        <w:t>hypophysitis</w:t>
      </w:r>
      <w:proofErr w:type="spellEnd"/>
      <w:r w:rsidRPr="006C444C">
        <w:t xml:space="preserve"> and two reports of diabetes mellitus for pembrolizumab.</w:t>
      </w:r>
      <w:r w:rsidR="0046163D" w:rsidRPr="006C444C">
        <w:t xml:space="preserve"> </w:t>
      </w:r>
      <w:r w:rsidRPr="006C444C">
        <w:t>There were no reports of adrenal insufficiency.</w:t>
      </w:r>
    </w:p>
    <w:p w14:paraId="07F4C8D8" w14:textId="7A24B886" w:rsidR="001322AC" w:rsidRPr="006C444C" w:rsidRDefault="001322AC" w:rsidP="007A5E8E">
      <w:pPr>
        <w:pStyle w:val="ListBullet"/>
      </w:pPr>
      <w:r w:rsidRPr="006C444C">
        <w:t xml:space="preserve">There was an imbalance in </w:t>
      </w:r>
      <w:r w:rsidR="007757DB">
        <w:t>adverse event</w:t>
      </w:r>
      <w:r w:rsidRPr="006C444C">
        <w:t xml:space="preserve">s such as myalgia (4.5% pembrolizumab </w:t>
      </w:r>
      <w:r w:rsidR="0046163D" w:rsidRPr="006C444C">
        <w:t>versus</w:t>
      </w:r>
      <w:r w:rsidRPr="006C444C">
        <w:t xml:space="preserve"> 1.3% SOC), muscle spasms (5.2% </w:t>
      </w:r>
      <w:r w:rsidR="0046163D" w:rsidRPr="006C444C">
        <w:t>versus</w:t>
      </w:r>
      <w:r w:rsidRPr="006C444C">
        <w:t xml:space="preserve"> 1.3%), musculoskeletal pain (7.1% </w:t>
      </w:r>
      <w:r w:rsidR="0046163D" w:rsidRPr="006C444C">
        <w:t>versus</w:t>
      </w:r>
      <w:r w:rsidRPr="006C444C">
        <w:t xml:space="preserve"> 5.3%) and arthralgia (15.6% </w:t>
      </w:r>
      <w:r w:rsidR="0046163D" w:rsidRPr="006C444C">
        <w:t>versus</w:t>
      </w:r>
      <w:r w:rsidRPr="006C444C">
        <w:t xml:space="preserve"> 10%).</w:t>
      </w:r>
    </w:p>
    <w:p w14:paraId="07F4C8D9" w14:textId="77777777" w:rsidR="001322AC" w:rsidRPr="006C444C" w:rsidRDefault="001322AC" w:rsidP="007A5E8E">
      <w:pPr>
        <w:pStyle w:val="ListBullet"/>
      </w:pPr>
      <w:r w:rsidRPr="006C444C">
        <w:t>There was one report of pancreatitis in the pembrolizumab arm.</w:t>
      </w:r>
    </w:p>
    <w:p w14:paraId="07F4C8DA" w14:textId="77777777" w:rsidR="001322AC" w:rsidRPr="006C444C" w:rsidRDefault="001322AC" w:rsidP="007A5E8E">
      <w:pPr>
        <w:pStyle w:val="ListBullet"/>
      </w:pPr>
      <w:r w:rsidRPr="006C444C">
        <w:t xml:space="preserve">Rash (14.3% </w:t>
      </w:r>
      <w:r w:rsidR="0046163D" w:rsidRPr="006C444C">
        <w:t>versus</w:t>
      </w:r>
      <w:r w:rsidRPr="006C444C">
        <w:t xml:space="preserve"> 4%), pruritus (14.9% </w:t>
      </w:r>
      <w:r w:rsidR="0046163D" w:rsidRPr="006C444C">
        <w:t>versus</w:t>
      </w:r>
      <w:r w:rsidRPr="006C444C">
        <w:t xml:space="preserve"> 3.3%) and dry skin (8.4% </w:t>
      </w:r>
      <w:r w:rsidR="0046163D" w:rsidRPr="006C444C">
        <w:t>versus</w:t>
      </w:r>
      <w:r w:rsidRPr="006C444C">
        <w:t xml:space="preserve"> 0.7%) were all commoner with pembrolizumab.</w:t>
      </w:r>
    </w:p>
    <w:p w14:paraId="07F4C8DB" w14:textId="77777777" w:rsidR="001322AC" w:rsidRPr="006C444C" w:rsidRDefault="001322AC" w:rsidP="007A5E8E">
      <w:pPr>
        <w:pStyle w:val="ListBullet"/>
      </w:pPr>
      <w:r w:rsidRPr="006C444C">
        <w:t xml:space="preserve">Nasopharyngitis was seen in 10.4% (pembrolizumab) </w:t>
      </w:r>
      <w:r w:rsidR="0046163D" w:rsidRPr="006C444C">
        <w:t>versus</w:t>
      </w:r>
      <w:r w:rsidRPr="006C444C">
        <w:t xml:space="preserve"> 1.3% (SOC).</w:t>
      </w:r>
    </w:p>
    <w:p w14:paraId="07F4C8DC" w14:textId="5375CB95" w:rsidR="001322AC" w:rsidRPr="006C444C" w:rsidRDefault="001322AC" w:rsidP="007A5E8E">
      <w:pPr>
        <w:pStyle w:val="ListBullet"/>
      </w:pPr>
      <w:r w:rsidRPr="006C444C">
        <w:t>Anaemia/</w:t>
      </w:r>
      <w:proofErr w:type="spellStart"/>
      <w:r w:rsidRPr="006C444C">
        <w:t>thrombocytop</w:t>
      </w:r>
      <w:r w:rsidR="007757DB">
        <w:t>a</w:t>
      </w:r>
      <w:r w:rsidRPr="006C444C">
        <w:t>enia</w:t>
      </w:r>
      <w:proofErr w:type="spellEnd"/>
      <w:r w:rsidRPr="006C444C">
        <w:t>/</w:t>
      </w:r>
      <w:proofErr w:type="spellStart"/>
      <w:r w:rsidRPr="006C444C">
        <w:t>neutrop</w:t>
      </w:r>
      <w:r w:rsidR="007757DB">
        <w:t>a</w:t>
      </w:r>
      <w:r w:rsidRPr="006C444C">
        <w:t>enia</w:t>
      </w:r>
      <w:proofErr w:type="spellEnd"/>
      <w:r w:rsidRPr="006C444C">
        <w:t>, nausea/vomiting/</w:t>
      </w:r>
      <w:proofErr w:type="spellStart"/>
      <w:r w:rsidRPr="006C444C">
        <w:t>dysgeusia</w:t>
      </w:r>
      <w:proofErr w:type="spellEnd"/>
      <w:r w:rsidRPr="006C444C">
        <w:t>, fatigue/asthenia/malaise, pneumonia, alopecia, stomatitis and peripheral neuropathy were commoner with SOC.</w:t>
      </w:r>
    </w:p>
    <w:p w14:paraId="07F4C8DD" w14:textId="2D8A7666" w:rsidR="00273833" w:rsidRPr="006C444C" w:rsidRDefault="001322AC" w:rsidP="007A5E8E">
      <w:pPr>
        <w:pStyle w:val="ListBullet"/>
      </w:pPr>
      <w:r w:rsidRPr="006C444C">
        <w:t xml:space="preserve">Haemoptysis was more common with pembrolizumab (7.1% </w:t>
      </w:r>
      <w:r w:rsidR="0046163D" w:rsidRPr="006C444C">
        <w:t>versus</w:t>
      </w:r>
      <w:r w:rsidRPr="006C444C">
        <w:t xml:space="preserve"> 3.3%), although this was not the case in </w:t>
      </w:r>
      <w:r w:rsidR="006E5742">
        <w:t xml:space="preserve">the </w:t>
      </w:r>
      <w:r w:rsidR="00691589">
        <w:t>KEYNOTE-010</w:t>
      </w:r>
      <w:r w:rsidRPr="006C444C">
        <w:t xml:space="preserve"> </w:t>
      </w:r>
      <w:r w:rsidR="006E5742">
        <w:t xml:space="preserve">trial </w:t>
      </w:r>
      <w:r w:rsidR="0046163D" w:rsidRPr="006C444C">
        <w:t>versus</w:t>
      </w:r>
      <w:r w:rsidRPr="006C444C">
        <w:t xml:space="preserve"> docetaxel.</w:t>
      </w:r>
    </w:p>
    <w:p w14:paraId="07F4C8DE" w14:textId="23E2EDAE" w:rsidR="001322AC" w:rsidRPr="006C444C" w:rsidRDefault="001322AC" w:rsidP="00986585">
      <w:pPr>
        <w:pStyle w:val="Comment"/>
      </w:pPr>
      <w:r w:rsidRPr="00986585">
        <w:rPr>
          <w:b/>
        </w:rPr>
        <w:t>Question for sponsor</w:t>
      </w:r>
      <w:r w:rsidR="006C444C" w:rsidRPr="00986585">
        <w:t>:</w:t>
      </w:r>
      <w:r w:rsidR="006C444C" w:rsidRPr="006C444C">
        <w:rPr>
          <w:i/>
        </w:rPr>
        <w:t xml:space="preserve"> </w:t>
      </w:r>
      <w:r w:rsidRPr="006C444C">
        <w:t xml:space="preserve">More patients on pembrolizumab than on SOC had </w:t>
      </w:r>
      <w:r w:rsidR="006E5742">
        <w:t>G</w:t>
      </w:r>
      <w:r w:rsidRPr="006C444C">
        <w:t>rade 2</w:t>
      </w:r>
      <w:r w:rsidR="006E5742">
        <w:t xml:space="preserve"> or </w:t>
      </w:r>
      <w:r w:rsidRPr="006C444C">
        <w:t xml:space="preserve">3 </w:t>
      </w:r>
      <w:r w:rsidR="00C37728">
        <w:t>activated partial thromboplastin time</w:t>
      </w:r>
      <w:r w:rsidR="00C37728" w:rsidRPr="006C444C">
        <w:t xml:space="preserve"> </w:t>
      </w:r>
      <w:r w:rsidR="00C37728">
        <w:t>(</w:t>
      </w:r>
      <w:proofErr w:type="spellStart"/>
      <w:r w:rsidR="00C37728">
        <w:t>a</w:t>
      </w:r>
      <w:r w:rsidRPr="006C444C">
        <w:t>PTT</w:t>
      </w:r>
      <w:proofErr w:type="spellEnd"/>
      <w:r w:rsidR="00C37728">
        <w:t>)</w:t>
      </w:r>
      <w:r w:rsidRPr="006C444C">
        <w:t xml:space="preserve"> increases.</w:t>
      </w:r>
      <w:r w:rsidR="0046163D" w:rsidRPr="006C444C">
        <w:t xml:space="preserve"> </w:t>
      </w:r>
      <w:r w:rsidRPr="006C444C">
        <w:t>Did these patients have existing co-morbidities or concomitant treatments to explain these increases?</w:t>
      </w:r>
      <w:r w:rsidR="0046163D" w:rsidRPr="006C444C">
        <w:t xml:space="preserve"> </w:t>
      </w:r>
      <w:r w:rsidRPr="006C444C">
        <w:t>Has this effect been seen in other studies of pembrolizumab?</w:t>
      </w:r>
    </w:p>
    <w:p w14:paraId="07F4C8DF" w14:textId="46470C42" w:rsidR="001322AC" w:rsidRPr="006C444C" w:rsidRDefault="001322AC" w:rsidP="001322AC">
      <w:r w:rsidRPr="006C444C">
        <w:t xml:space="preserve">The most </w:t>
      </w:r>
      <w:r w:rsidR="006C444C">
        <w:t xml:space="preserve">frequent serious, pembrolizumab </w:t>
      </w:r>
      <w:r w:rsidRPr="006C444C">
        <w:t>related AEs included pneumonitis (4.5%), diarrhoea (1.9%)/colitis (1.3%), diabetes mellitus (1.3%), ALT increased (1.3%) and lower respiratory tract infection (1.3%).</w:t>
      </w:r>
    </w:p>
    <w:p w14:paraId="07F4C8E0" w14:textId="024C533E" w:rsidR="001322AC" w:rsidRPr="006C444C" w:rsidRDefault="00CE318D" w:rsidP="001322AC">
      <w:r>
        <w:t xml:space="preserve">Immune </w:t>
      </w:r>
      <w:r w:rsidR="001322AC" w:rsidRPr="00FC75EF">
        <w:t xml:space="preserve">mediated </w:t>
      </w:r>
      <w:r w:rsidR="006E5742">
        <w:t>adverse events</w:t>
      </w:r>
      <w:r w:rsidR="001322AC" w:rsidRPr="00FC75EF">
        <w:t xml:space="preserve"> w</w:t>
      </w:r>
      <w:r w:rsidR="006C444C">
        <w:t xml:space="preserve">ere common with pembrolizumab; </w:t>
      </w:r>
      <w:r w:rsidR="001322AC" w:rsidRPr="00FC75EF">
        <w:t xml:space="preserve">29.2% reported </w:t>
      </w:r>
      <w:r w:rsidR="0046163D">
        <w:t>≥</w:t>
      </w:r>
      <w:r w:rsidR="006E5742">
        <w:t> </w:t>
      </w:r>
      <w:r w:rsidR="001322AC" w:rsidRPr="00FC75EF">
        <w:t xml:space="preserve">1 </w:t>
      </w:r>
      <w:r w:rsidR="006E5742">
        <w:t xml:space="preserve">adverse event </w:t>
      </w:r>
      <w:r w:rsidR="001322AC" w:rsidRPr="00FC75EF">
        <w:t>of special interest (AEOSI</w:t>
      </w:r>
      <w:r w:rsidR="006E5742">
        <w:t>) (see</w:t>
      </w:r>
      <w:r w:rsidR="001322AC" w:rsidRPr="00FC75EF">
        <w:t xml:space="preserve"> </w:t>
      </w:r>
      <w:r w:rsidR="00C20264">
        <w:t>Attachment 3</w:t>
      </w:r>
      <w:r w:rsidR="006E5742">
        <w:t>,</w:t>
      </w:r>
      <w:r w:rsidR="00C20264">
        <w:t xml:space="preserve"> </w:t>
      </w:r>
      <w:r w:rsidR="006C444C">
        <w:t>Section 8.3.5</w:t>
      </w:r>
      <w:r w:rsidR="001322AC" w:rsidRPr="006C444C">
        <w:t xml:space="preserve">): hypothyroidism (9.1%), hyperthyroidism (7.8%), pneumonitis (5.8%), infusion reactions (4.5%), skin reactions (3.9%), thyroiditis (2.6%), colitis (1.9%), myositis (1.9%), </w:t>
      </w:r>
      <w:proofErr w:type="spellStart"/>
      <w:r w:rsidR="001322AC" w:rsidRPr="006C444C">
        <w:t>hypophysitis</w:t>
      </w:r>
      <w:proofErr w:type="spellEnd"/>
      <w:r w:rsidR="001322AC" w:rsidRPr="006C444C">
        <w:t xml:space="preserve"> (0.6%), nephritis (0.6%), pancreatitis (0.6%) and T1DM (0.6%).</w:t>
      </w:r>
      <w:r w:rsidR="0046163D" w:rsidRPr="006C444C">
        <w:t xml:space="preserve"> </w:t>
      </w:r>
      <w:r w:rsidR="001322AC" w:rsidRPr="006C444C">
        <w:t>In 7</w:t>
      </w:r>
      <w:r w:rsidR="006E5742">
        <w:t xml:space="preserve"> patients</w:t>
      </w:r>
      <w:r w:rsidR="001322AC" w:rsidRPr="006C444C">
        <w:t>, hyperthyroidism preceded hypothyroidism.</w:t>
      </w:r>
      <w:r w:rsidR="0046163D" w:rsidRPr="006C444C">
        <w:t xml:space="preserve"> </w:t>
      </w:r>
      <w:r w:rsidR="001322AC" w:rsidRPr="006C444C">
        <w:t>There were no fatal AEOSIs.</w:t>
      </w:r>
    </w:p>
    <w:p w14:paraId="07F4C8E1" w14:textId="4522194F" w:rsidR="001322AC" w:rsidRPr="00FC75EF" w:rsidRDefault="001322AC" w:rsidP="001322AC">
      <w:r w:rsidRPr="00FC75EF">
        <w:t>The flat dose regimen did not lead to a higher incidence of AEOSIs in subjects with low bodyweight (</w:t>
      </w:r>
      <w:r w:rsidR="006E5742">
        <w:t xml:space="preserve">see </w:t>
      </w:r>
      <w:r w:rsidR="00C20264">
        <w:t>Attachment 3</w:t>
      </w:r>
      <w:r w:rsidR="006E5742">
        <w:t>,</w:t>
      </w:r>
      <w:r w:rsidR="00C20264">
        <w:t xml:space="preserve"> </w:t>
      </w:r>
      <w:r w:rsidR="006C444C">
        <w:t>Section 8.5.1</w:t>
      </w:r>
      <w:r w:rsidRPr="00FC75EF">
        <w:t>).</w:t>
      </w:r>
    </w:p>
    <w:p w14:paraId="07F4C8E2" w14:textId="4831D6D9" w:rsidR="001322AC" w:rsidRPr="00FC75EF" w:rsidRDefault="001322AC" w:rsidP="001322AC">
      <w:r w:rsidRPr="00FC75EF">
        <w:t>The clinical evaluator considered that overall, pembrolizumab has a more favourable safety profile than platinum doublet chemotherapy in this setting (</w:t>
      </w:r>
      <w:r w:rsidR="006E5742">
        <w:t xml:space="preserve">see </w:t>
      </w:r>
      <w:r w:rsidR="00C20264">
        <w:t>Attachment 3</w:t>
      </w:r>
      <w:r w:rsidR="006E5742">
        <w:t>,</w:t>
      </w:r>
      <w:r w:rsidR="00C20264">
        <w:t xml:space="preserve"> </w:t>
      </w:r>
      <w:r w:rsidR="006C444C">
        <w:t>Section 8.7</w:t>
      </w:r>
      <w:r w:rsidRPr="00FC75EF">
        <w:t>).</w:t>
      </w:r>
    </w:p>
    <w:p w14:paraId="07F4C8E3" w14:textId="77777777" w:rsidR="001322AC" w:rsidRPr="00FC75EF" w:rsidRDefault="001322AC" w:rsidP="001322AC">
      <w:pPr>
        <w:pStyle w:val="Heading6"/>
      </w:pPr>
      <w:r w:rsidRPr="00FC75EF">
        <w:t>Exposure-response analysis</w:t>
      </w:r>
    </w:p>
    <w:p w14:paraId="07F4C8E4" w14:textId="5CB18D44" w:rsidR="001322AC" w:rsidRPr="00FC75EF" w:rsidRDefault="001322AC" w:rsidP="001322AC">
      <w:r w:rsidRPr="00FC75EF">
        <w:t>The clinical evaluator also considered a pooled analysis of the relationship between systemic exposure to pembrolizum</w:t>
      </w:r>
      <w:r w:rsidR="00CE318D">
        <w:t xml:space="preserve">ab and the occurrence of immune </w:t>
      </w:r>
      <w:r w:rsidRPr="00FC75EF">
        <w:t xml:space="preserve">mediated </w:t>
      </w:r>
      <w:r w:rsidR="006E5742">
        <w:t>adverse event</w:t>
      </w:r>
      <w:r w:rsidRPr="00FC75EF">
        <w:t xml:space="preserve">s, from </w:t>
      </w:r>
      <w:r w:rsidR="00C20264">
        <w:t>Attachment 3</w:t>
      </w:r>
      <w:r w:rsidR="006E5742">
        <w:t>,</w:t>
      </w:r>
      <w:r w:rsidR="00C20264">
        <w:t xml:space="preserve"> </w:t>
      </w:r>
      <w:r w:rsidR="006C444C">
        <w:t>Section 4.1.3</w:t>
      </w:r>
      <w:r w:rsidRPr="00FC75EF">
        <w:t>.</w:t>
      </w:r>
      <w:r w:rsidR="0046163D">
        <w:t xml:space="preserve"> </w:t>
      </w:r>
      <w:r w:rsidR="00CE318D">
        <w:t xml:space="preserve">A flat exposure </w:t>
      </w:r>
      <w:r w:rsidRPr="00FC75EF">
        <w:t>response relationship was described.</w:t>
      </w:r>
    </w:p>
    <w:p w14:paraId="07F4C8E5" w14:textId="77777777" w:rsidR="001322AC" w:rsidRPr="00FC75EF" w:rsidRDefault="001322AC" w:rsidP="001322AC">
      <w:pPr>
        <w:pStyle w:val="Heading6"/>
      </w:pPr>
      <w:r w:rsidRPr="00FC75EF">
        <w:t>Immunogenicity</w:t>
      </w:r>
    </w:p>
    <w:p w14:paraId="07F4C8E6" w14:textId="5575D36E" w:rsidR="00273833" w:rsidRPr="004327D7" w:rsidRDefault="001322AC" w:rsidP="004327D7">
      <w:r w:rsidRPr="00FC75EF">
        <w:t xml:space="preserve">The evaluator considered an analysis of immunogenicity across pembrolizumab studies (from </w:t>
      </w:r>
      <w:r w:rsidR="00C20264">
        <w:t>Attachment 3</w:t>
      </w:r>
      <w:r w:rsidR="006E5742">
        <w:t>,</w:t>
      </w:r>
      <w:r w:rsidR="00C20264">
        <w:t xml:space="preserve"> </w:t>
      </w:r>
      <w:r w:rsidR="009F4469">
        <w:t>Section 8.4.8.1</w:t>
      </w:r>
      <w:r w:rsidRPr="00FC75EF">
        <w:t>).</w:t>
      </w:r>
      <w:r w:rsidR="0046163D">
        <w:t xml:space="preserve"> </w:t>
      </w:r>
      <w:r w:rsidRPr="00FC75EF">
        <w:t>In Submission PM-2015-04712-1-4 (</w:t>
      </w:r>
      <w:r w:rsidR="00537585">
        <w:t>second line</w:t>
      </w:r>
      <w:r w:rsidRPr="00FC75EF">
        <w:t xml:space="preserve"> </w:t>
      </w:r>
      <w:r w:rsidR="006E5742">
        <w:t xml:space="preserve">treatment for </w:t>
      </w:r>
      <w:r w:rsidRPr="00FC75EF">
        <w:t xml:space="preserve">NSCLC) a pooled analysis of </w:t>
      </w:r>
      <w:r w:rsidR="006E5742">
        <w:t>S</w:t>
      </w:r>
      <w:r w:rsidR="006E5742" w:rsidRPr="00FC75EF">
        <w:t xml:space="preserve">tudies </w:t>
      </w:r>
      <w:r w:rsidRPr="00FC75EF">
        <w:t>P001, 002, 006 and 010 was reviewed; in this Submission PM-2016-02325-1-4 (</w:t>
      </w:r>
      <w:r w:rsidR="00985879">
        <w:t>first line</w:t>
      </w:r>
      <w:r w:rsidR="006E5742">
        <w:t xml:space="preserve"> treatment of</w:t>
      </w:r>
      <w:r w:rsidRPr="00FC75EF">
        <w:t xml:space="preserve"> NSCLC) a pooled analysis of those studies and </w:t>
      </w:r>
      <w:r w:rsidR="006E5742">
        <w:t xml:space="preserve">Studies </w:t>
      </w:r>
      <w:r w:rsidRPr="00FC75EF">
        <w:t>P012, 024 and 055 was reviewed.</w:t>
      </w:r>
      <w:r w:rsidR="0046163D">
        <w:t xml:space="preserve"> </w:t>
      </w:r>
      <w:r w:rsidRPr="00FC75EF">
        <w:t xml:space="preserve">Conclusions were similar, though a higher incidence of ADAs was seen in </w:t>
      </w:r>
      <w:r w:rsidR="006E5742">
        <w:t xml:space="preserve">the </w:t>
      </w:r>
      <w:r w:rsidR="00691589">
        <w:t>KEYNOTE-024</w:t>
      </w:r>
      <w:r w:rsidR="006E5742">
        <w:t xml:space="preserve"> trial </w:t>
      </w:r>
      <w:r w:rsidRPr="00FC75EF">
        <w:t>(</w:t>
      </w:r>
      <w:r w:rsidR="006E5742">
        <w:t xml:space="preserve">see </w:t>
      </w:r>
      <w:r w:rsidR="00C20264">
        <w:t>Attachment 3</w:t>
      </w:r>
      <w:r w:rsidR="006E5742">
        <w:t>,</w:t>
      </w:r>
      <w:r w:rsidR="00C20264">
        <w:t xml:space="preserve"> </w:t>
      </w:r>
      <w:r w:rsidR="009F4469">
        <w:t>Table 23</w:t>
      </w:r>
      <w:r>
        <w:t>), again supporting the notion of higher rates in NSCLC.</w:t>
      </w:r>
    </w:p>
    <w:p w14:paraId="07F4C8E7" w14:textId="77777777" w:rsidR="008E7846" w:rsidRDefault="00386150" w:rsidP="007B6132">
      <w:pPr>
        <w:pStyle w:val="Heading3"/>
        <w:rPr>
          <w:lang w:eastAsia="en-AU"/>
        </w:rPr>
      </w:pPr>
      <w:bookmarkStart w:id="160" w:name="_Toc513458947"/>
      <w:r>
        <w:rPr>
          <w:lang w:eastAsia="en-AU"/>
        </w:rPr>
        <w:lastRenderedPageBreak/>
        <w:t>Risk m</w:t>
      </w:r>
      <w:r w:rsidR="008E7846">
        <w:rPr>
          <w:lang w:eastAsia="en-AU"/>
        </w:rPr>
        <w:t xml:space="preserve">anagement </w:t>
      </w:r>
      <w:r>
        <w:rPr>
          <w:lang w:eastAsia="en-AU"/>
        </w:rPr>
        <w:t>p</w:t>
      </w:r>
      <w:r w:rsidR="008E7846">
        <w:rPr>
          <w:lang w:eastAsia="en-AU"/>
        </w:rPr>
        <w:t>lan</w:t>
      </w:r>
      <w:bookmarkEnd w:id="157"/>
      <w:bookmarkEnd w:id="160"/>
    </w:p>
    <w:p w14:paraId="07F4C8E8" w14:textId="77777777" w:rsidR="001322AC" w:rsidRPr="00FC75EF" w:rsidRDefault="001322AC" w:rsidP="001322AC">
      <w:r w:rsidRPr="00FC75EF">
        <w:t>The RMP evaluator for Submission PM-2015-04712-1-4 considered a number of issues unresolved.</w:t>
      </w:r>
      <w:r w:rsidR="0046163D">
        <w:t xml:space="preserve"> </w:t>
      </w:r>
      <w:r w:rsidRPr="00FC75EF">
        <w:t>In summary, the evaluator recommended:</w:t>
      </w:r>
    </w:p>
    <w:p w14:paraId="07F4C8E9" w14:textId="369E2AE8" w:rsidR="001322AC" w:rsidRPr="00FC75EF" w:rsidRDefault="001322AC" w:rsidP="001322AC">
      <w:pPr>
        <w:pStyle w:val="ListBullet"/>
      </w:pPr>
      <w:r w:rsidRPr="00FC75EF">
        <w:t xml:space="preserve">Inclusion of ‘immune-mediated neurological adverse events’ as an ‘important identified risk’ in the </w:t>
      </w:r>
      <w:r w:rsidR="006E5742">
        <w:t>ASA</w:t>
      </w:r>
      <w:r w:rsidRPr="00FC75EF">
        <w:t xml:space="preserve"> to the EU</w:t>
      </w:r>
      <w:r w:rsidR="006E5742">
        <w:t>-</w:t>
      </w:r>
      <w:r w:rsidRPr="00FC75EF">
        <w:t>RMP.</w:t>
      </w:r>
    </w:p>
    <w:p w14:paraId="07F4C8EA" w14:textId="6CE0CECF" w:rsidR="001322AC" w:rsidRPr="00FC75EF" w:rsidRDefault="001322AC" w:rsidP="001322AC">
      <w:pPr>
        <w:pStyle w:val="ListBullet"/>
      </w:pPr>
      <w:r w:rsidRPr="00FC75EF">
        <w:t>Inclusion of ‘immune</w:t>
      </w:r>
      <w:r w:rsidR="006E5742">
        <w:t xml:space="preserve"> </w:t>
      </w:r>
      <w:r w:rsidRPr="00FC75EF">
        <w:t>mediated adverse cardiac reactions’ as an ‘important potential risk’</w:t>
      </w:r>
      <w:r w:rsidR="006E5742">
        <w:t>.</w:t>
      </w:r>
    </w:p>
    <w:p w14:paraId="07F4C8EB" w14:textId="77777777" w:rsidR="001322AC" w:rsidRPr="00FC75EF" w:rsidRDefault="001322AC" w:rsidP="001322AC">
      <w:pPr>
        <w:pStyle w:val="ListBullet"/>
      </w:pPr>
      <w:r w:rsidRPr="00FC75EF">
        <w:t>Proposal of a more robust system to demonstrate appropriate distribution of educational materials.</w:t>
      </w:r>
    </w:p>
    <w:p w14:paraId="07F4C8EC" w14:textId="595D553C" w:rsidR="001322AC" w:rsidRPr="00FC75EF" w:rsidRDefault="001322AC" w:rsidP="001322AC">
      <w:pPr>
        <w:rPr>
          <w:rFonts w:cs="Calibri"/>
        </w:rPr>
      </w:pPr>
      <w:r w:rsidRPr="00FC75EF">
        <w:rPr>
          <w:rFonts w:cs="Calibri"/>
        </w:rPr>
        <w:t xml:space="preserve">The RMP evaluator also considers that </w:t>
      </w:r>
      <w:r w:rsidR="006E5742">
        <w:rPr>
          <w:rFonts w:cs="Calibri"/>
        </w:rPr>
        <w:t>‘</w:t>
      </w:r>
      <w:r w:rsidRPr="00FC75EF">
        <w:t>the PI should be revised to include statements on the risk of myasthenic syndrome and myocarditis</w:t>
      </w:r>
      <w:r w:rsidR="006E5742">
        <w:rPr>
          <w:rFonts w:cs="Calibri"/>
        </w:rPr>
        <w:t>’.</w:t>
      </w:r>
    </w:p>
    <w:p w14:paraId="07F4C8ED" w14:textId="6C9BD4A8" w:rsidR="001322AC" w:rsidRPr="00FC75EF" w:rsidRDefault="001322AC" w:rsidP="001322AC">
      <w:r w:rsidRPr="00FC75EF">
        <w:t>The sponsor’s response t</w:t>
      </w:r>
      <w:r w:rsidR="009F4469">
        <w:t xml:space="preserve">o this </w:t>
      </w:r>
      <w:r w:rsidR="006E5742">
        <w:t>Second round</w:t>
      </w:r>
      <w:r w:rsidR="009F4469">
        <w:t xml:space="preserve"> report, dated 30 November</w:t>
      </w:r>
      <w:r w:rsidR="009F4469" w:rsidRPr="00FC75EF">
        <w:t xml:space="preserve"> </w:t>
      </w:r>
      <w:r w:rsidRPr="00FC75EF">
        <w:t>2016, is acknowledged.</w:t>
      </w:r>
    </w:p>
    <w:p w14:paraId="07F4C8EE" w14:textId="6E0C39EE" w:rsidR="001322AC" w:rsidRPr="00FC75EF" w:rsidRDefault="001322AC" w:rsidP="001322AC">
      <w:pPr>
        <w:pStyle w:val="Heading4"/>
      </w:pPr>
      <w:r w:rsidRPr="00FC75EF">
        <w:t>Recommended conditions of registration (Submission PM-2015-04712-1-4)</w:t>
      </w:r>
    </w:p>
    <w:p w14:paraId="07F4C8EF" w14:textId="414D5A9E" w:rsidR="001322AC" w:rsidRDefault="001322AC" w:rsidP="001322AC">
      <w:r w:rsidRPr="00FC75EF">
        <w:t xml:space="preserve">The Core-RMP version 10.0 (dated 20 September 2016; data lock point 27 June 2016) with </w:t>
      </w:r>
      <w:r w:rsidR="00457C5D">
        <w:t>ASA</w:t>
      </w:r>
      <w:r w:rsidRPr="00FC75EF">
        <w:t xml:space="preserve"> version 5.0 (dated 26 September 2016) to be revised to the satisfaction of the TGA, must be implemented (see outstanding issues above).</w:t>
      </w:r>
    </w:p>
    <w:p w14:paraId="07F4C8F0" w14:textId="4F9A44C7" w:rsidR="001322AC" w:rsidRPr="009F4469" w:rsidRDefault="001322AC" w:rsidP="001322AC">
      <w:r w:rsidRPr="009F4469">
        <w:t xml:space="preserve">Regarding the RMP attached to Submission PM-2016-02325-1-4, it is noted that the initial </w:t>
      </w:r>
      <w:r w:rsidR="00865982">
        <w:t>d</w:t>
      </w:r>
      <w:r w:rsidRPr="009F4469">
        <w:t>ossier for this submission included ASA v</w:t>
      </w:r>
      <w:r w:rsidR="00457C5D">
        <w:t xml:space="preserve">ersion </w:t>
      </w:r>
      <w:r w:rsidRPr="009F4469">
        <w:t>4.0 and Core-RMP v</w:t>
      </w:r>
      <w:r w:rsidR="00457C5D">
        <w:t xml:space="preserve">ersion </w:t>
      </w:r>
      <w:r w:rsidRPr="009F4469">
        <w:t xml:space="preserve">9.0, </w:t>
      </w:r>
      <w:r w:rsidR="0046163D" w:rsidRPr="009F4469">
        <w:t>that is,</w:t>
      </w:r>
      <w:r w:rsidRPr="009F4469">
        <w:t xml:space="preserve"> has been superseded by the above versions.</w:t>
      </w:r>
      <w:r w:rsidR="0046163D" w:rsidRPr="009F4469">
        <w:t xml:space="preserve"> </w:t>
      </w:r>
      <w:r w:rsidRPr="009F4469">
        <w:t xml:space="preserve">Further consultation with the RMP Evaluation area </w:t>
      </w:r>
      <w:r w:rsidR="009F4469">
        <w:t xml:space="preserve">was </w:t>
      </w:r>
      <w:r w:rsidRPr="009F4469">
        <w:t xml:space="preserve">required prior to a final decision regarding the </w:t>
      </w:r>
      <w:r w:rsidR="00985879" w:rsidRPr="009F4469">
        <w:t>first line</w:t>
      </w:r>
      <w:r w:rsidRPr="009F4469">
        <w:t xml:space="preserve"> NSCLC submission.</w:t>
      </w:r>
    </w:p>
    <w:p w14:paraId="07F4C8F1" w14:textId="77777777" w:rsidR="008E7846" w:rsidRDefault="00AA0ED0" w:rsidP="008E7846">
      <w:pPr>
        <w:pStyle w:val="Heading3"/>
      </w:pPr>
      <w:bookmarkStart w:id="161" w:name="_Toc247691531"/>
      <w:bookmarkStart w:id="162" w:name="_Toc314842515"/>
      <w:bookmarkStart w:id="163" w:name="_Toc513458948"/>
      <w:bookmarkStart w:id="164" w:name="_Toc196046505"/>
      <w:bookmarkStart w:id="165" w:name="_Toc196046949"/>
      <w:r>
        <w:t>Risk-benefit a</w:t>
      </w:r>
      <w:r w:rsidR="008E7846">
        <w:t>nalysis</w:t>
      </w:r>
      <w:bookmarkEnd w:id="161"/>
      <w:bookmarkEnd w:id="162"/>
      <w:bookmarkEnd w:id="163"/>
    </w:p>
    <w:p w14:paraId="07F4C8F2" w14:textId="3671724A" w:rsidR="001322AC" w:rsidRPr="00FC75EF" w:rsidRDefault="009F4469" w:rsidP="001322AC">
      <w:pPr>
        <w:pStyle w:val="Heading4"/>
      </w:pPr>
      <w:r>
        <w:t>Efficacy;</w:t>
      </w:r>
      <w:r w:rsidR="001322AC" w:rsidRPr="00FC75EF">
        <w:t xml:space="preserve"> standard of care in </w:t>
      </w:r>
      <w:r w:rsidR="00985879">
        <w:t>first line</w:t>
      </w:r>
      <w:r w:rsidR="007D6439">
        <w:t xml:space="preserve"> treatment of</w:t>
      </w:r>
      <w:r w:rsidR="001322AC" w:rsidRPr="00FC75EF">
        <w:t xml:space="preserve"> NSCLC</w:t>
      </w:r>
    </w:p>
    <w:p w14:paraId="07F4C8F3" w14:textId="0E1BE025" w:rsidR="001322AC" w:rsidRPr="00FC75EF" w:rsidRDefault="001322AC" w:rsidP="001322AC">
      <w:r w:rsidRPr="00FC75EF">
        <w:t>Bevacizumab (added to carboplatin and paclitaxel) is an option in frontline treatment of NSCLC (</w:t>
      </w:r>
      <w:r w:rsidR="00457C5D">
        <w:t xml:space="preserve">see </w:t>
      </w:r>
      <w:r w:rsidR="00C20264">
        <w:t>Attachment 3</w:t>
      </w:r>
      <w:r w:rsidR="00457C5D">
        <w:t>,</w:t>
      </w:r>
      <w:r w:rsidR="00C20264">
        <w:t xml:space="preserve"> </w:t>
      </w:r>
      <w:r w:rsidR="009F4469">
        <w:t>Section 7.2.1.2</w:t>
      </w:r>
      <w:r w:rsidRPr="00FC75EF">
        <w:t>).</w:t>
      </w:r>
      <w:r w:rsidR="0046163D">
        <w:t xml:space="preserve"> </w:t>
      </w:r>
      <w:r w:rsidRPr="00FC75EF">
        <w:t>The evaluator no</w:t>
      </w:r>
      <w:r w:rsidR="00CE318D">
        <w:t xml:space="preserve">tes that bevacizumab is not </w:t>
      </w:r>
      <w:r w:rsidR="00457C5D">
        <w:t>PBS</w:t>
      </w:r>
      <w:r w:rsidR="00CE318D">
        <w:t xml:space="preserve"> </w:t>
      </w:r>
      <w:r w:rsidRPr="00FC75EF">
        <w:t>subsidised and may not be widely used in this setting.</w:t>
      </w:r>
      <w:r w:rsidR="0046163D">
        <w:t xml:space="preserve"> </w:t>
      </w:r>
      <w:proofErr w:type="spellStart"/>
      <w:r w:rsidRPr="00FC75EF">
        <w:t>EviQ</w:t>
      </w:r>
      <w:proofErr w:type="spellEnd"/>
      <w:r w:rsidRPr="00FC75EF">
        <w:t xml:space="preserve"> does not list a chemotherapy protocol for NSCLC involving bevacizumab</w:t>
      </w:r>
      <w:r w:rsidR="00457C5D">
        <w:t>,</w:t>
      </w:r>
      <w:r w:rsidRPr="00FC75EF">
        <w:t xml:space="preserve"> supporting the view that this use is not established.</w:t>
      </w:r>
      <w:r w:rsidR="00457C5D">
        <w:rPr>
          <w:rStyle w:val="FootnoteReference"/>
        </w:rPr>
        <w:footnoteReference w:id="32"/>
      </w:r>
      <w:r w:rsidR="0046163D">
        <w:t xml:space="preserve"> </w:t>
      </w:r>
      <w:r w:rsidRPr="00FC75EF">
        <w:t xml:space="preserve">Choice of comparator in </w:t>
      </w:r>
      <w:r w:rsidR="00457C5D">
        <w:t xml:space="preserve">the </w:t>
      </w:r>
      <w:r w:rsidR="00E52E07">
        <w:t>KEYNOTE</w:t>
      </w:r>
      <w:r w:rsidR="00E52E07">
        <w:noBreakHyphen/>
      </w:r>
      <w:r w:rsidR="00691589">
        <w:t>024</w:t>
      </w:r>
      <w:r w:rsidRPr="00FC75EF">
        <w:t xml:space="preserve"> </w:t>
      </w:r>
      <w:r w:rsidR="00457C5D">
        <w:t xml:space="preserve">trial </w:t>
      </w:r>
      <w:r w:rsidRPr="00FC75EF">
        <w:t>is reasonable.</w:t>
      </w:r>
      <w:r w:rsidR="0046163D">
        <w:t xml:space="preserve"> </w:t>
      </w:r>
      <w:r w:rsidRPr="00FC75EF">
        <w:t xml:space="preserve">The magnitude of benefit offered by the use of pembrolizumab over standard of care in </w:t>
      </w:r>
      <w:r w:rsidR="00457C5D">
        <w:t xml:space="preserve">the </w:t>
      </w:r>
      <w:r w:rsidR="00691589">
        <w:t>KEYNOTE-024</w:t>
      </w:r>
      <w:r w:rsidR="00457C5D">
        <w:t xml:space="preserve"> trial</w:t>
      </w:r>
      <w:r w:rsidRPr="00FC75EF">
        <w:t xml:space="preserve"> was lar</w:t>
      </w:r>
      <w:r w:rsidR="009F4469">
        <w:t>ge</w:t>
      </w:r>
      <w:r w:rsidRPr="00FC75EF">
        <w:t>.</w:t>
      </w:r>
    </w:p>
    <w:p w14:paraId="07F4C8F4" w14:textId="77777777" w:rsidR="001322AC" w:rsidRPr="00FC75EF" w:rsidRDefault="009F4469" w:rsidP="001322AC">
      <w:pPr>
        <w:pStyle w:val="Heading4"/>
      </w:pPr>
      <w:r>
        <w:t>Efficacy;</w:t>
      </w:r>
      <w:r w:rsidR="001322AC" w:rsidRPr="00FC75EF">
        <w:t xml:space="preserve"> continuation of therapy</w:t>
      </w:r>
    </w:p>
    <w:p w14:paraId="07F4C8F5" w14:textId="5979A3E1" w:rsidR="001322AC" w:rsidRPr="00FC75EF" w:rsidRDefault="001322AC" w:rsidP="001322AC">
      <w:r w:rsidRPr="00FC75EF">
        <w:t xml:space="preserve">This issue is discussed </w:t>
      </w:r>
      <w:r w:rsidR="00066061">
        <w:t>in</w:t>
      </w:r>
      <w:r w:rsidRPr="00FC75EF">
        <w:t xml:space="preserve"> </w:t>
      </w:r>
      <w:r w:rsidR="00C20264">
        <w:t>Attachment 3</w:t>
      </w:r>
      <w:r w:rsidR="00457C5D">
        <w:t>,</w:t>
      </w:r>
      <w:r w:rsidR="00C20264">
        <w:t xml:space="preserve"> </w:t>
      </w:r>
      <w:r w:rsidR="00066061">
        <w:t>Section 7.3</w:t>
      </w:r>
      <w:r w:rsidRPr="00FC75EF">
        <w:t>.</w:t>
      </w:r>
      <w:r w:rsidR="0046163D">
        <w:t xml:space="preserve"> </w:t>
      </w:r>
      <w:r w:rsidRPr="00FC75EF">
        <w:t>The clinical evaluator points out that no data are available regarding the effects of treatment withdrawal after 35 doses.</w:t>
      </w:r>
      <w:r w:rsidR="0046163D">
        <w:t xml:space="preserve"> </w:t>
      </w:r>
      <w:r w:rsidRPr="00FC75EF">
        <w:t>The sponsor has been asked for further information in this regard.</w:t>
      </w:r>
      <w:r w:rsidR="0046163D">
        <w:t xml:space="preserve"> </w:t>
      </w:r>
      <w:r w:rsidRPr="00FC75EF">
        <w:t>The Delegate’s general view is that it would be reasonable to recommend continuing use until there is some assurance that stopping after 35 doses does not provoke relapse in responders, or progression in those with stable disease</w:t>
      </w:r>
      <w:r w:rsidRPr="00066061">
        <w:t>.</w:t>
      </w:r>
      <w:r w:rsidR="0046163D" w:rsidRPr="00066061">
        <w:t xml:space="preserve"> </w:t>
      </w:r>
      <w:r w:rsidR="00066061" w:rsidRPr="00066061">
        <w:t xml:space="preserve">Note; </w:t>
      </w:r>
      <w:r w:rsidRPr="00066061">
        <w:t xml:space="preserve">the same approach was laid out in the protocol for </w:t>
      </w:r>
      <w:r w:rsidR="00457C5D">
        <w:t xml:space="preserve">the </w:t>
      </w:r>
      <w:r w:rsidR="00691589">
        <w:t>KEYNOTE-010</w:t>
      </w:r>
      <w:r w:rsidR="00457C5D">
        <w:t xml:space="preserve"> trial</w:t>
      </w:r>
      <w:r w:rsidRPr="00066061">
        <w:t xml:space="preserve"> (</w:t>
      </w:r>
      <w:r w:rsidR="0046163D" w:rsidRPr="00066061">
        <w:t>that is,</w:t>
      </w:r>
      <w:r w:rsidRPr="00066061">
        <w:t xml:space="preserve"> subjects on pembrolizumab were considered </w:t>
      </w:r>
      <w:r w:rsidR="00457C5D">
        <w:t>‘</w:t>
      </w:r>
      <w:r w:rsidRPr="00066061">
        <w:t>completed</w:t>
      </w:r>
      <w:r w:rsidR="00457C5D">
        <w:t>’</w:t>
      </w:r>
      <w:r w:rsidRPr="00066061">
        <w:t xml:space="preserve"> when they had received 2 y</w:t>
      </w:r>
      <w:r w:rsidR="00066061" w:rsidRPr="00066061">
        <w:t>ears of uninterrupted treatment);</w:t>
      </w:r>
      <w:r w:rsidRPr="00066061">
        <w:t xml:space="preserve"> no subjects had reached</w:t>
      </w:r>
      <w:r w:rsidR="00066061" w:rsidRPr="00066061">
        <w:t xml:space="preserve"> that milestone at the data cut</w:t>
      </w:r>
      <w:r w:rsidR="00066061" w:rsidRPr="00066061">
        <w:noBreakHyphen/>
      </w:r>
      <w:r w:rsidRPr="00066061">
        <w:t xml:space="preserve">off, and the clinical evaluator of </w:t>
      </w:r>
      <w:r w:rsidR="00457C5D">
        <w:t xml:space="preserve">the </w:t>
      </w:r>
      <w:r w:rsidR="00691589">
        <w:t>KEYNOTE-010</w:t>
      </w:r>
      <w:r w:rsidR="00457C5D">
        <w:t xml:space="preserve"> trial</w:t>
      </w:r>
      <w:r w:rsidRPr="00066061">
        <w:t xml:space="preserve"> did not </w:t>
      </w:r>
      <w:r w:rsidRPr="00066061">
        <w:lastRenderedPageBreak/>
        <w:t>consider this a reason to discontinue at 2 y</w:t>
      </w:r>
      <w:r w:rsidR="00066061" w:rsidRPr="00066061">
        <w:t>ea</w:t>
      </w:r>
      <w:r w:rsidRPr="00066061">
        <w:t>rs.</w:t>
      </w:r>
      <w:r w:rsidR="0046163D" w:rsidRPr="00066061">
        <w:t xml:space="preserve"> </w:t>
      </w:r>
      <w:r w:rsidRPr="00066061">
        <w:t>For melanoma,</w:t>
      </w:r>
      <w:r w:rsidRPr="00FC75EF">
        <w:t xml:space="preserve"> the PI recommends treatment until disease progression or unacceptable toxicity.</w:t>
      </w:r>
    </w:p>
    <w:p w14:paraId="07F4C8F6" w14:textId="1034DE63" w:rsidR="001322AC" w:rsidRPr="00FC75EF" w:rsidRDefault="00066061" w:rsidP="001322AC">
      <w:pPr>
        <w:pStyle w:val="Heading4"/>
      </w:pPr>
      <w:r>
        <w:t>Efficacy;</w:t>
      </w:r>
      <w:r w:rsidR="001322AC" w:rsidRPr="00FC75EF">
        <w:t xml:space="preserve"> patients with TPS </w:t>
      </w:r>
      <w:r w:rsidR="008141D3">
        <w:t xml:space="preserve">1 </w:t>
      </w:r>
      <w:r w:rsidR="007D6439">
        <w:t>to</w:t>
      </w:r>
      <w:r w:rsidR="008141D3">
        <w:t xml:space="preserve"> 49% </w:t>
      </w:r>
      <w:r w:rsidR="001322AC" w:rsidRPr="00FC75EF">
        <w:t>tumour PD-L1 expression</w:t>
      </w:r>
      <w:r w:rsidR="007D6439">
        <w:t>,</w:t>
      </w:r>
      <w:r w:rsidR="001322AC" w:rsidRPr="00FC75EF">
        <w:t xml:space="preserve"> </w:t>
      </w:r>
      <w:r w:rsidR="00537585">
        <w:t>second line</w:t>
      </w:r>
      <w:r w:rsidR="001322AC" w:rsidRPr="00FC75EF">
        <w:t xml:space="preserve"> </w:t>
      </w:r>
      <w:r w:rsidR="007D6439">
        <w:t xml:space="preserve">treatment of </w:t>
      </w:r>
      <w:r w:rsidR="001322AC" w:rsidRPr="00FC75EF">
        <w:t>NSCLC</w:t>
      </w:r>
    </w:p>
    <w:p w14:paraId="07F4C8F7" w14:textId="77777777" w:rsidR="001322AC" w:rsidRPr="00FC75EF" w:rsidRDefault="001322AC" w:rsidP="001322AC">
      <w:r w:rsidRPr="00FC75EF">
        <w:t xml:space="preserve">The evaluator notes a negligible rise in median OS (0.8 months) for pembrolizumab </w:t>
      </w:r>
      <w:r w:rsidR="0046163D">
        <w:t>versus</w:t>
      </w:r>
      <w:r w:rsidRPr="00FC75EF">
        <w:t xml:space="preserve"> docetaxel in this group, and a fall in median PFS (1.3 months).</w:t>
      </w:r>
      <w:r w:rsidR="0046163D">
        <w:t xml:space="preserve"> </w:t>
      </w:r>
      <w:r w:rsidRPr="00FC75EF">
        <w:t>The sponsor argues that:</w:t>
      </w:r>
    </w:p>
    <w:p w14:paraId="07F4C8F8" w14:textId="708EB4AF" w:rsidR="001322AC" w:rsidRPr="00986585" w:rsidRDefault="007D6439" w:rsidP="001322AC">
      <w:pPr>
        <w:ind w:left="720"/>
        <w:rPr>
          <w:rFonts w:eastAsia="TimesNewRoman" w:cs="TimesNewRoman"/>
          <w:i/>
        </w:rPr>
      </w:pPr>
      <w:r w:rsidRPr="00986585">
        <w:rPr>
          <w:rFonts w:eastAsia="TimesNewRoman" w:cs="TimesNewRoman"/>
          <w:i/>
        </w:rPr>
        <w:t>‘</w:t>
      </w:r>
      <w:r w:rsidR="001322AC" w:rsidRPr="00986585">
        <w:rPr>
          <w:rFonts w:eastAsia="TimesNewRoman" w:cs="TimesNewRoman"/>
          <w:i/>
        </w:rPr>
        <w:t>The hazard ratio is a better assessment tool of efficacy than focusing on the median which is a point estimate because the hazard ratio provides a comparison at multiple time points all along the Kaplan-Meier curves.</w:t>
      </w:r>
      <w:r w:rsidRPr="00986585">
        <w:rPr>
          <w:rFonts w:eastAsia="TimesNewRoman" w:cs="TimesNewRoman"/>
          <w:i/>
        </w:rPr>
        <w:t>’</w:t>
      </w:r>
    </w:p>
    <w:p w14:paraId="07F4C8F9" w14:textId="7846000D" w:rsidR="001322AC" w:rsidRPr="00FC75EF" w:rsidRDefault="001322AC" w:rsidP="001322AC">
      <w:r w:rsidRPr="00FC75EF">
        <w:t xml:space="preserve">In </w:t>
      </w:r>
      <w:r w:rsidR="007D6439">
        <w:t xml:space="preserve">the </w:t>
      </w:r>
      <w:r w:rsidR="0046163D">
        <w:t>second line</w:t>
      </w:r>
      <w:r w:rsidRPr="00FC75EF">
        <w:t xml:space="preserve"> </w:t>
      </w:r>
      <w:r w:rsidR="007D6439">
        <w:t xml:space="preserve">treatment of </w:t>
      </w:r>
      <w:r w:rsidRPr="00FC75EF">
        <w:t xml:space="preserve">NSCLC, </w:t>
      </w:r>
      <w:r w:rsidR="007D6439">
        <w:t xml:space="preserve">the </w:t>
      </w:r>
      <w:r w:rsidRPr="00FC75EF">
        <w:t>benefit-risk balance is much more clear</w:t>
      </w:r>
      <w:r w:rsidR="00066061">
        <w:t xml:space="preserve"> </w:t>
      </w:r>
      <w:r w:rsidRPr="00FC75EF">
        <w:t xml:space="preserve">cut in subjects with TPS </w:t>
      </w:r>
      <w:r w:rsidRPr="00066061">
        <w:t>(</w:t>
      </w:r>
      <w:r w:rsidRPr="00066061">
        <w:rPr>
          <w:rFonts w:eastAsiaTheme="minorHAnsi" w:cs="Arial"/>
        </w:rPr>
        <w:t>percentage of viable tumour cells showing partial or complete membrane staining)</w:t>
      </w:r>
      <w:r w:rsidRPr="00FC75EF">
        <w:t xml:space="preserve"> </w:t>
      </w:r>
      <w:r w:rsidR="0046163D">
        <w:t xml:space="preserve">≥ </w:t>
      </w:r>
      <w:r w:rsidRPr="00FC75EF">
        <w:t xml:space="preserve">50%, </w:t>
      </w:r>
      <w:r w:rsidR="0046163D">
        <w:t>that is,</w:t>
      </w:r>
      <w:r w:rsidRPr="00FC75EF">
        <w:t xml:space="preserve"> strongly positive PD-L1 expression.</w:t>
      </w:r>
      <w:r w:rsidR="0046163D">
        <w:t xml:space="preserve"> </w:t>
      </w:r>
      <w:r w:rsidRPr="00FC75EF">
        <w:t xml:space="preserve">Efficacy relative to docetaxel (an acceptable standard of care) is less </w:t>
      </w:r>
      <w:r w:rsidR="009D5E20">
        <w:t>convincing in subjects with TPS 1 </w:t>
      </w:r>
      <w:r w:rsidR="007D6439">
        <w:t>to</w:t>
      </w:r>
      <w:r w:rsidR="009D5E20">
        <w:t> </w:t>
      </w:r>
      <w:r w:rsidR="00C329E7">
        <w:t>49%</w:t>
      </w:r>
      <w:r w:rsidR="009D5E20">
        <w:t xml:space="preserve">; </w:t>
      </w:r>
      <w:r w:rsidRPr="00FC75EF">
        <w:t xml:space="preserve">it could loosely be described as </w:t>
      </w:r>
      <w:r>
        <w:t>‘</w:t>
      </w:r>
      <w:r w:rsidRPr="00FC75EF">
        <w:t>unlikely to be worse than docetaxel</w:t>
      </w:r>
      <w:r>
        <w:t>’</w:t>
      </w:r>
      <w:r w:rsidRPr="00FC75EF">
        <w:t>, but there is no non-inferiority study.</w:t>
      </w:r>
      <w:r w:rsidR="0046163D">
        <w:t xml:space="preserve"> </w:t>
      </w:r>
      <w:r w:rsidRPr="00FC75EF">
        <w:t xml:space="preserve">There are some promising aspects of the efficacy data for pembrolizumab in this group with weaker PD-L1 expression: a trend towards better overall survival; and better </w:t>
      </w:r>
      <w:proofErr w:type="spellStart"/>
      <w:r w:rsidR="00AB274A">
        <w:t>DoR</w:t>
      </w:r>
      <w:proofErr w:type="spellEnd"/>
      <w:r w:rsidRPr="00FC75EF">
        <w:t xml:space="preserve"> in the minority (</w:t>
      </w:r>
      <w:r w:rsidR="0046163D">
        <w:t xml:space="preserve">approximately </w:t>
      </w:r>
      <w:r w:rsidRPr="00FC75EF">
        <w:t>10%) who respond.</w:t>
      </w:r>
      <w:r w:rsidR="0046163D">
        <w:t xml:space="preserve"> </w:t>
      </w:r>
      <w:r w:rsidRPr="00FC75EF">
        <w:t xml:space="preserve">This, in conjunction with excellent efficacy at higher levels of tumour PD-L1 expression, efficacy of nivolumab in </w:t>
      </w:r>
      <w:r w:rsidR="00537585">
        <w:t>second line</w:t>
      </w:r>
      <w:r w:rsidRPr="00FC75EF">
        <w:t xml:space="preserve"> NSCLC, and the distinct toxicity profile of pembrolizumab </w:t>
      </w:r>
      <w:r w:rsidR="0046163D">
        <w:t>versus</w:t>
      </w:r>
      <w:r w:rsidRPr="00FC75EF">
        <w:t xml:space="preserve"> docetaxel, gives </w:t>
      </w:r>
      <w:r>
        <w:t>some</w:t>
      </w:r>
      <w:r w:rsidRPr="00FC75EF">
        <w:t xml:space="preserve"> assurance of a positive benefit-risk balance for Keytruda in the TPS </w:t>
      </w:r>
      <w:r w:rsidR="008141D3">
        <w:t xml:space="preserve">1 </w:t>
      </w:r>
      <w:r w:rsidR="007D6439">
        <w:t>to</w:t>
      </w:r>
      <w:r w:rsidR="008141D3">
        <w:t xml:space="preserve"> 49% </w:t>
      </w:r>
      <w:r w:rsidR="009D5E20">
        <w:t>subgroup;</w:t>
      </w:r>
      <w:r w:rsidRPr="00FC75EF">
        <w:t xml:space="preserve"> although an imbalance in disease progression rates is noted.</w:t>
      </w:r>
    </w:p>
    <w:p w14:paraId="07F4C8FA" w14:textId="77777777" w:rsidR="001322AC" w:rsidRPr="00FC75EF" w:rsidRDefault="001322AC" w:rsidP="001322AC">
      <w:pPr>
        <w:rPr>
          <w:rFonts w:eastAsia="TimesNewRoman" w:cs="TimesNewRoman"/>
        </w:rPr>
      </w:pPr>
      <w:r w:rsidRPr="00FC75EF">
        <w:rPr>
          <w:rFonts w:eastAsia="TimesNewRoman" w:cs="TimesNewRoman"/>
        </w:rPr>
        <w:t>The sponsor also states, in regard to presentation of data in the PI about this group:</w:t>
      </w:r>
    </w:p>
    <w:p w14:paraId="07F4C8FB" w14:textId="5BE28A70" w:rsidR="001322AC" w:rsidRPr="00986585" w:rsidRDefault="007D6439" w:rsidP="001322AC">
      <w:pPr>
        <w:ind w:left="720"/>
        <w:rPr>
          <w:rFonts w:eastAsia="TimesNewRoman" w:cs="TimesNewRoman"/>
          <w:i/>
        </w:rPr>
      </w:pPr>
      <w:r w:rsidRPr="00986585">
        <w:rPr>
          <w:rFonts w:eastAsia="TimesNewRoman" w:cs="TimesNewRoman"/>
          <w:i/>
        </w:rPr>
        <w:t>‘</w:t>
      </w:r>
      <w:r w:rsidR="001322AC" w:rsidRPr="00986585">
        <w:rPr>
          <w:rFonts w:eastAsia="TimesNewRoman" w:cs="TimesNewRoman"/>
          <w:i/>
        </w:rPr>
        <w:t xml:space="preserve">The </w:t>
      </w:r>
      <w:r w:rsidR="00E52E07" w:rsidRPr="00986585">
        <w:rPr>
          <w:i/>
        </w:rPr>
        <w:t>market authorisation holder</w:t>
      </w:r>
      <w:r w:rsidR="00E52E07" w:rsidRPr="00986585">
        <w:rPr>
          <w:rFonts w:eastAsia="TimesNewRoman" w:cs="TimesNewRoman"/>
          <w:i/>
        </w:rPr>
        <w:t xml:space="preserve"> (</w:t>
      </w:r>
      <w:r w:rsidR="001322AC" w:rsidRPr="00986585">
        <w:rPr>
          <w:rFonts w:eastAsia="TimesNewRoman" w:cs="TimesNewRoman"/>
          <w:i/>
        </w:rPr>
        <w:t>MAH</w:t>
      </w:r>
      <w:r w:rsidR="00E52E07" w:rsidRPr="00986585">
        <w:rPr>
          <w:rFonts w:eastAsia="TimesNewRoman" w:cs="TimesNewRoman"/>
          <w:i/>
        </w:rPr>
        <w:t>)</w:t>
      </w:r>
      <w:r w:rsidR="001322AC" w:rsidRPr="00986585">
        <w:rPr>
          <w:rFonts w:eastAsia="TimesNewRoman" w:cs="TimesNewRoman"/>
          <w:i/>
        </w:rPr>
        <w:t xml:space="preserve"> believes in presenting data corresponding to the study’s design in a product label, and not focusing on exploratory analyses</w:t>
      </w:r>
      <w:r w:rsidRPr="00986585">
        <w:rPr>
          <w:rFonts w:eastAsia="TimesNewRoman" w:cs="TimesNewRoman"/>
          <w:i/>
        </w:rPr>
        <w:t>’.</w:t>
      </w:r>
    </w:p>
    <w:p w14:paraId="07F4C8FC" w14:textId="77777777" w:rsidR="001322AC" w:rsidRPr="00FC75EF" w:rsidRDefault="001322AC" w:rsidP="001322AC">
      <w:pPr>
        <w:pStyle w:val="Heading5"/>
      </w:pPr>
      <w:r w:rsidRPr="00FC75EF">
        <w:t>Biomarker assay</w:t>
      </w:r>
    </w:p>
    <w:p w14:paraId="07F4C8FD" w14:textId="1CE5D84F" w:rsidR="001322AC" w:rsidRPr="00FC75EF" w:rsidRDefault="001322AC" w:rsidP="001322AC">
      <w:r w:rsidRPr="00FC75EF">
        <w:t xml:space="preserve">One </w:t>
      </w:r>
      <w:r w:rsidR="009D5E20">
        <w:t xml:space="preserve">clinical </w:t>
      </w:r>
      <w:r w:rsidRPr="00FC75EF">
        <w:t xml:space="preserve">evaluator raised concerns about diagnostic test characteristics of the assay for PD-L1 </w:t>
      </w:r>
      <w:r w:rsidRPr="009D5E20">
        <w:t>expression (</w:t>
      </w:r>
      <w:r w:rsidR="007D6439">
        <w:t xml:space="preserve">see </w:t>
      </w:r>
      <w:r w:rsidR="004971B4" w:rsidRPr="009D5E20">
        <w:t>Attachment 2</w:t>
      </w:r>
      <w:r w:rsidR="007D6439">
        <w:t>;</w:t>
      </w:r>
      <w:r w:rsidR="004971B4" w:rsidRPr="009D5E20">
        <w:t xml:space="preserve"> </w:t>
      </w:r>
      <w:r w:rsidR="009D5E20" w:rsidRPr="009D5E20">
        <w:t>Section</w:t>
      </w:r>
      <w:r w:rsidR="009D5E20">
        <w:t xml:space="preserve"> 12</w:t>
      </w:r>
      <w:r w:rsidR="007D6439">
        <w:t>,</w:t>
      </w:r>
      <w:r w:rsidR="009D5E20">
        <w:t xml:space="preserve"> Question 3</w:t>
      </w:r>
      <w:r w:rsidRPr="00FC75EF">
        <w:t>).</w:t>
      </w:r>
    </w:p>
    <w:p w14:paraId="07F4C8FE" w14:textId="38A81E93" w:rsidR="001322AC" w:rsidRDefault="001322AC" w:rsidP="001322AC">
      <w:r w:rsidRPr="00FC75EF">
        <w:t>Correspondence</w:t>
      </w:r>
      <w:r w:rsidR="009D5E20">
        <w:t xml:space="preserve"> dated 15 November</w:t>
      </w:r>
      <w:r w:rsidR="009D5E20" w:rsidRPr="00FC75EF">
        <w:t xml:space="preserve"> </w:t>
      </w:r>
      <w:r w:rsidRPr="00FC75EF">
        <w:t xml:space="preserve">2016 from the sponsor is </w:t>
      </w:r>
      <w:r w:rsidRPr="009D5E20">
        <w:t>acknowledged.</w:t>
      </w:r>
      <w:r w:rsidR="0046163D" w:rsidRPr="009D5E20">
        <w:t xml:space="preserve"> </w:t>
      </w:r>
      <w:r w:rsidRPr="009D5E20">
        <w:t xml:space="preserve">The DAKO PD-L1 IHC 22C3 </w:t>
      </w:r>
      <w:proofErr w:type="spellStart"/>
      <w:r w:rsidRPr="009D5E20">
        <w:t>pharmDx</w:t>
      </w:r>
      <w:proofErr w:type="spellEnd"/>
      <w:r w:rsidRPr="009D5E20">
        <w:t xml:space="preserve"> instructions</w:t>
      </w:r>
      <w:r>
        <w:t xml:space="preserve"> for use</w:t>
      </w:r>
      <w:r w:rsidRPr="00FC75EF">
        <w:t xml:space="preserve"> </w:t>
      </w:r>
      <w:r>
        <w:t>(IFU) were</w:t>
      </w:r>
      <w:r w:rsidRPr="00FC75EF">
        <w:t xml:space="preserve"> provided for review.</w:t>
      </w:r>
      <w:r w:rsidR="0046163D">
        <w:t xml:space="preserve"> </w:t>
      </w:r>
      <w:r w:rsidRPr="00FC75EF">
        <w:t xml:space="preserve">The DAKO assay is specific for NSCLC tissue, and allows assessment </w:t>
      </w:r>
      <w:r>
        <w:t>for</w:t>
      </w:r>
      <w:r w:rsidRPr="00FC75EF">
        <w:t xml:space="preserve"> positivity at the TPS </w:t>
      </w:r>
      <w:r w:rsidR="0046163D">
        <w:t xml:space="preserve">≥ </w:t>
      </w:r>
      <w:r w:rsidRPr="00FC75EF">
        <w:t>1% threshold.</w:t>
      </w:r>
      <w:r w:rsidR="0046163D">
        <w:t xml:space="preserve"> </w:t>
      </w:r>
      <w:r w:rsidRPr="00FC75EF">
        <w:t>The clinical performance of the assay was ass</w:t>
      </w:r>
      <w:r w:rsidR="009D5E20">
        <w:t xml:space="preserve">essed using patients from </w:t>
      </w:r>
      <w:r w:rsidR="007D6439">
        <w:t>the </w:t>
      </w:r>
      <w:r w:rsidR="00691589">
        <w:t>KEYNOTE-010</w:t>
      </w:r>
      <w:r w:rsidR="007D6439">
        <w:t xml:space="preserve"> trial</w:t>
      </w:r>
      <w:r w:rsidRPr="00FC75EF">
        <w:t>.</w:t>
      </w:r>
      <w:r w:rsidR="0046163D">
        <w:t xml:space="preserve"> </w:t>
      </w:r>
      <w:r w:rsidRPr="00FC75EF">
        <w:t xml:space="preserve">For inclusion in </w:t>
      </w:r>
      <w:r w:rsidR="007D6439">
        <w:t xml:space="preserve">the </w:t>
      </w:r>
      <w:r w:rsidR="00691589">
        <w:t>KEYNOTE-010</w:t>
      </w:r>
      <w:r w:rsidR="007D6439">
        <w:t xml:space="preserve"> trial</w:t>
      </w:r>
      <w:r w:rsidRPr="00FC75EF">
        <w:t>, tumour PD-L1 positivity based on a Clinical Trial Assay (CTA) was required.</w:t>
      </w:r>
      <w:r w:rsidR="0046163D">
        <w:t xml:space="preserve"> </w:t>
      </w:r>
      <w:r w:rsidRPr="00FC75EF">
        <w:t xml:space="preserve">The DAKO assay </w:t>
      </w:r>
      <w:r>
        <w:t>IFU</w:t>
      </w:r>
      <w:r w:rsidR="009D5E20">
        <w:t xml:space="preserve"> notes the following as shown</w:t>
      </w:r>
      <w:r w:rsidR="007D6439">
        <w:t xml:space="preserve"> below</w:t>
      </w:r>
      <w:r w:rsidR="009D5E20">
        <w:t xml:space="preserve"> in Table </w:t>
      </w:r>
      <w:r w:rsidR="00880EEA">
        <w:t>18</w:t>
      </w:r>
      <w:r w:rsidR="009D5E20">
        <w:t>.</w:t>
      </w:r>
    </w:p>
    <w:p w14:paraId="07F4C8FF" w14:textId="24A9B902" w:rsidR="009D5E20" w:rsidRPr="00FC75EF" w:rsidRDefault="009D5E20" w:rsidP="009D5E20">
      <w:pPr>
        <w:pStyle w:val="Tabletitle0"/>
      </w:pPr>
      <w:r>
        <w:t xml:space="preserve">Table </w:t>
      </w:r>
      <w:r w:rsidR="00880EEA">
        <w:t>18</w:t>
      </w:r>
      <w:r>
        <w:t xml:space="preserve">: DAKO </w:t>
      </w:r>
      <w:r w:rsidR="00880EEA">
        <w:t>assay instruction for use notes</w:t>
      </w:r>
    </w:p>
    <w:p w14:paraId="07F4C900" w14:textId="77777777" w:rsidR="008361C7" w:rsidRDefault="001322AC" w:rsidP="008361C7">
      <w:r>
        <w:rPr>
          <w:noProof/>
          <w:lang w:eastAsia="en-AU"/>
        </w:rPr>
        <w:drawing>
          <wp:inline distT="0" distB="0" distL="0" distR="0" wp14:anchorId="07F4C9EE" wp14:editId="26494293">
            <wp:extent cx="5470987" cy="520022"/>
            <wp:effectExtent l="0" t="0" r="0" b="0"/>
            <wp:docPr id="8" name="Picture 8" descr="Table 18: DAKO assay instruction for us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7076"/>
                    <a:stretch/>
                  </pic:blipFill>
                  <pic:spPr bwMode="auto">
                    <a:xfrm>
                      <a:off x="0" y="0"/>
                      <a:ext cx="5626986" cy="534850"/>
                    </a:xfrm>
                    <a:prstGeom prst="rect">
                      <a:avLst/>
                    </a:prstGeom>
                    <a:ln>
                      <a:noFill/>
                    </a:ln>
                    <a:extLst>
                      <a:ext uri="{53640926-AAD7-44D8-BBD7-CCE9431645EC}">
                        <a14:shadowObscured xmlns:a14="http://schemas.microsoft.com/office/drawing/2010/main"/>
                      </a:ext>
                    </a:extLst>
                  </pic:spPr>
                </pic:pic>
              </a:graphicData>
            </a:graphic>
          </wp:inline>
        </w:drawing>
      </w:r>
    </w:p>
    <w:p w14:paraId="07F4C901" w14:textId="44193FF4" w:rsidR="001322AC" w:rsidRDefault="001322AC" w:rsidP="001322AC">
      <w:r w:rsidRPr="00FC75EF">
        <w:t xml:space="preserve">The DAKO assay </w:t>
      </w:r>
      <w:r>
        <w:t>IFU</w:t>
      </w:r>
      <w:r w:rsidRPr="00FC75EF">
        <w:t xml:space="preserve"> reworks outcomes from </w:t>
      </w:r>
      <w:r w:rsidR="007D6439">
        <w:t xml:space="preserve">the </w:t>
      </w:r>
      <w:r w:rsidR="00691589">
        <w:t>KEYNOTE-010</w:t>
      </w:r>
      <w:r w:rsidR="007D6439">
        <w:t xml:space="preserve"> trial</w:t>
      </w:r>
      <w:r w:rsidRPr="00FC75EF">
        <w:t xml:space="preserve"> (see </w:t>
      </w:r>
      <w:r w:rsidR="009D5E20">
        <w:t xml:space="preserve">Table </w:t>
      </w:r>
      <w:r w:rsidR="007D6439">
        <w:t>19, below</w:t>
      </w:r>
      <w:r w:rsidRPr="00FC75EF">
        <w:t>).</w:t>
      </w:r>
      <w:r w:rsidR="0046163D">
        <w:t xml:space="preserve"> </w:t>
      </w:r>
      <w:r w:rsidRPr="00FC75EF">
        <w:t xml:space="preserve">The re-worked outcomes of </w:t>
      </w:r>
      <w:r w:rsidR="007D6439">
        <w:t xml:space="preserve">the </w:t>
      </w:r>
      <w:r w:rsidR="00691589">
        <w:t>KEYNOTE-010</w:t>
      </w:r>
      <w:r w:rsidRPr="00FC75EF">
        <w:t xml:space="preserve"> </w:t>
      </w:r>
      <w:r w:rsidR="007D6439">
        <w:t xml:space="preserve">trial </w:t>
      </w:r>
      <w:r w:rsidRPr="00FC75EF">
        <w:t xml:space="preserve">based on the subset of </w:t>
      </w:r>
      <w:r w:rsidR="0046163D">
        <w:t xml:space="preserve">n = </w:t>
      </w:r>
      <w:r w:rsidRPr="00FC75EF">
        <w:t xml:space="preserve">529 patients whose tumour tissue was retrospectively tested with the DAKO assay were </w:t>
      </w:r>
      <w:r w:rsidRPr="00E52E07">
        <w:t>more favourable</w:t>
      </w:r>
      <w:r w:rsidRPr="00FC75EF">
        <w:t xml:space="preserve"> than outcomes based on the complete dataset (</w:t>
      </w:r>
      <w:r w:rsidR="0046163D">
        <w:t xml:space="preserve">n = </w:t>
      </w:r>
      <w:r w:rsidRPr="00FC75EF">
        <w:t>1034) and the Clinical Trial Assay</w:t>
      </w:r>
      <w:r w:rsidR="002D1E8D">
        <w:t xml:space="preserve"> </w:t>
      </w:r>
      <w:r w:rsidR="00E52E07">
        <w:t>(CTA)</w:t>
      </w:r>
      <w:r w:rsidRPr="00FC75EF">
        <w:t>.</w:t>
      </w:r>
      <w:r w:rsidR="0046163D">
        <w:t xml:space="preserve"> </w:t>
      </w:r>
      <w:r w:rsidRPr="00FC75EF">
        <w:t>Of note, only 413 specimens (of the 529 declared positive by the CTA) were declared to be positive using the DAKO assay.</w:t>
      </w:r>
      <w:r w:rsidR="0046163D">
        <w:t xml:space="preserve"> </w:t>
      </w:r>
      <w:r w:rsidRPr="00FC75EF">
        <w:t>Also, 163</w:t>
      </w:r>
      <w:r w:rsidR="008141D3">
        <w:t xml:space="preserve"> out of </w:t>
      </w:r>
      <w:r w:rsidRPr="00FC75EF">
        <w:t xml:space="preserve">413 specimens had TPS </w:t>
      </w:r>
      <w:r w:rsidR="0046163D">
        <w:t>≥</w:t>
      </w:r>
      <w:r w:rsidR="005066B2">
        <w:t> </w:t>
      </w:r>
      <w:r w:rsidRPr="00FC75EF">
        <w:t>50% (</w:t>
      </w:r>
      <w:r w:rsidR="0046163D">
        <w:t>that is,</w:t>
      </w:r>
      <w:r w:rsidRPr="00FC75EF">
        <w:t xml:space="preserve"> 39.5%, </w:t>
      </w:r>
      <w:r w:rsidR="0046163D">
        <w:t>versus</w:t>
      </w:r>
      <w:r w:rsidRPr="00FC75EF">
        <w:t xml:space="preserve"> 42.8% across the </w:t>
      </w:r>
      <w:r w:rsidR="0046163D">
        <w:t xml:space="preserve">n = </w:t>
      </w:r>
      <w:r w:rsidRPr="00FC75EF">
        <w:t>1</w:t>
      </w:r>
      <w:r w:rsidR="002931B0">
        <w:t>,</w:t>
      </w:r>
      <w:r w:rsidRPr="00FC75EF">
        <w:t>034 pa</w:t>
      </w:r>
      <w:r w:rsidR="002931B0">
        <w:t xml:space="preserve">tients in </w:t>
      </w:r>
      <w:r w:rsidR="005066B2">
        <w:t xml:space="preserve">the </w:t>
      </w:r>
      <w:r w:rsidR="00691589">
        <w:t>KEYNOTE-010</w:t>
      </w:r>
      <w:r w:rsidR="002931B0">
        <w:t xml:space="preserve"> </w:t>
      </w:r>
      <w:r w:rsidR="005066B2">
        <w:t xml:space="preserve">trial </w:t>
      </w:r>
      <w:r w:rsidR="002931B0">
        <w:t>using the CTA);</w:t>
      </w:r>
      <w:r w:rsidRPr="00FC75EF">
        <w:t xml:space="preserve"> however, based on results in the above table, it seems only 73.2% of </w:t>
      </w:r>
      <w:r w:rsidR="005066B2">
        <w:t xml:space="preserve">strongly positive </w:t>
      </w:r>
      <w:r w:rsidRPr="00FC75EF">
        <w:t xml:space="preserve">CTA specimens were </w:t>
      </w:r>
      <w:r w:rsidR="005066B2">
        <w:t xml:space="preserve">strongly </w:t>
      </w:r>
      <w:r w:rsidRPr="00FC75EF">
        <w:t>DAKO</w:t>
      </w:r>
      <w:r w:rsidR="005066B2">
        <w:rPr>
          <w:vertAlign w:val="superscript"/>
        </w:rPr>
        <w:t xml:space="preserve"> </w:t>
      </w:r>
      <w:r w:rsidR="005066B2">
        <w:t>positive.</w:t>
      </w:r>
    </w:p>
    <w:p w14:paraId="07F4C902" w14:textId="36BE0DB2" w:rsidR="002931B0" w:rsidRPr="00FC75EF" w:rsidRDefault="009D5E20" w:rsidP="002931B0">
      <w:pPr>
        <w:pStyle w:val="Tabletitle0"/>
      </w:pPr>
      <w:r>
        <w:lastRenderedPageBreak/>
        <w:t xml:space="preserve">Table </w:t>
      </w:r>
      <w:r w:rsidR="00880EEA">
        <w:t>19</w:t>
      </w:r>
      <w:r w:rsidR="00986585">
        <w:t>:</w:t>
      </w:r>
      <w:r w:rsidR="002931B0" w:rsidRPr="00FC75EF">
        <w:t xml:space="preserve"> </w:t>
      </w:r>
      <w:r w:rsidR="00170F49">
        <w:t>DAKO PD-L1 IHC 22C3</w:t>
      </w:r>
      <w:r w:rsidR="002931B0" w:rsidRPr="00FC75EF">
        <w:t xml:space="preserve">pharmDx </w:t>
      </w:r>
      <w:r w:rsidR="005066B2">
        <w:t>IFU; R</w:t>
      </w:r>
      <w:r w:rsidR="002931B0">
        <w:t xml:space="preserve">esponse to Keytruda in previously treated NSCLC patients; overall clinical study and PD-L1 IHC 22C3 </w:t>
      </w:r>
      <w:proofErr w:type="spellStart"/>
      <w:r w:rsidR="002931B0">
        <w:t>pharmDx</w:t>
      </w:r>
      <w:proofErr w:type="spellEnd"/>
      <w:r w:rsidR="002931B0">
        <w:t xml:space="preserve"> positive patients; PD-L1 TPS ≥ 1% and TPS ≥ 50%</w:t>
      </w:r>
    </w:p>
    <w:p w14:paraId="07F4C903" w14:textId="77777777" w:rsidR="009D5E20" w:rsidRPr="00FC75EF" w:rsidRDefault="002931B0" w:rsidP="001322AC">
      <w:r>
        <w:rPr>
          <w:noProof/>
          <w:lang w:eastAsia="en-AU"/>
        </w:rPr>
        <w:drawing>
          <wp:inline distT="0" distB="0" distL="0" distR="0" wp14:anchorId="07F4C9F0" wp14:editId="07F4C9F1">
            <wp:extent cx="5400040" cy="6307547"/>
            <wp:effectExtent l="0" t="0" r="0" b="0"/>
            <wp:docPr id="4" name="Picture 4" descr="Table 19: DAKO PD-L1 IHC 22C3pharmDx instructions for use – Table 3; Response to Keytruda in previously treated NSCLC patients; overall clinical study and PD-L1 IHC 22C3 pharmDx positive patients; PD-L1 TPS ≥ 1% and TPS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6307547"/>
                    </a:xfrm>
                    <a:prstGeom prst="rect">
                      <a:avLst/>
                    </a:prstGeom>
                  </pic:spPr>
                </pic:pic>
              </a:graphicData>
            </a:graphic>
          </wp:inline>
        </w:drawing>
      </w:r>
    </w:p>
    <w:p w14:paraId="07F4C904" w14:textId="77777777" w:rsidR="001322AC" w:rsidRPr="00FC75EF" w:rsidRDefault="001322AC" w:rsidP="001322AC">
      <w:r w:rsidRPr="00FC75EF">
        <w:t xml:space="preserve">These better </w:t>
      </w:r>
      <w:r w:rsidRPr="002931B0">
        <w:t>results might be due</w:t>
      </w:r>
      <w:r w:rsidRPr="00FC75EF">
        <w:t xml:space="preserve"> to the DAKO assay truly excluding false positives that occurred with the CTA, or due to the DAKO assay falsely excluding true positives (but at lower levels of PD-L1 staining).</w:t>
      </w:r>
      <w:r w:rsidR="0046163D">
        <w:t xml:space="preserve"> </w:t>
      </w:r>
      <w:r w:rsidRPr="00FC75EF">
        <w:t>Each scenario might lead to better outcomes, assuming better efficacy of pembrolizumab against tumours with more PD-L1 expression.</w:t>
      </w:r>
    </w:p>
    <w:p w14:paraId="07F4C905" w14:textId="342048CC" w:rsidR="001322AC" w:rsidRPr="00FC75EF" w:rsidRDefault="001322AC" w:rsidP="001322AC">
      <w:r w:rsidRPr="00FC75EF">
        <w:t>The moderately better outcomes might also be because the subset (529</w:t>
      </w:r>
      <w:r w:rsidR="008141D3">
        <w:t xml:space="preserve"> out of </w:t>
      </w:r>
      <w:r w:rsidRPr="00FC75EF">
        <w:t>1034) was not representative of the full dataset (</w:t>
      </w:r>
      <w:r w:rsidR="0046163D">
        <w:t>for example</w:t>
      </w:r>
      <w:r w:rsidRPr="00FC75EF">
        <w:t xml:space="preserve"> ORRs in the docetaxel arm were slightly worse in the DAKO subset, and this should not really be </w:t>
      </w:r>
      <w:r w:rsidR="003E1951" w:rsidRPr="00FC75EF">
        <w:t>influence</w:t>
      </w:r>
      <w:r w:rsidR="003E1951">
        <w:t>d</w:t>
      </w:r>
      <w:r w:rsidR="003E1951" w:rsidRPr="00FC75EF">
        <w:t xml:space="preserve"> </w:t>
      </w:r>
      <w:r w:rsidRPr="00FC75EF">
        <w:t xml:space="preserve">by PD-L1 positivity; but other outcomes gave conflicting signals; see </w:t>
      </w:r>
      <w:r w:rsidR="002931B0">
        <w:t xml:space="preserve">Table </w:t>
      </w:r>
      <w:r w:rsidR="00880EEA">
        <w:t>19</w:t>
      </w:r>
      <w:r w:rsidR="005066B2">
        <w:t xml:space="preserve"> above</w:t>
      </w:r>
      <w:r w:rsidRPr="00FC75EF">
        <w:t>).</w:t>
      </w:r>
    </w:p>
    <w:p w14:paraId="07F4C906" w14:textId="429BE682" w:rsidR="001322AC" w:rsidRPr="00FC75EF" w:rsidRDefault="001322AC" w:rsidP="001322AC">
      <w:r w:rsidRPr="00FC75EF">
        <w:t>Access is to the DAKO assay not the CTA, and results seem better for patients judged to have PD-L1 positive NSCLC according to the DAKO assay.</w:t>
      </w:r>
      <w:r w:rsidR="0046163D">
        <w:t xml:space="preserve"> </w:t>
      </w:r>
      <w:r w:rsidRPr="00FC75EF">
        <w:t xml:space="preserve">It is possible an even smaller fraction of NSCLC patients will be deemed ‘positive’ for tumour PD-L1 expression, using </w:t>
      </w:r>
      <w:r w:rsidRPr="00FC75EF">
        <w:lastRenderedPageBreak/>
        <w:t xml:space="preserve">this assay (compared to the situation in </w:t>
      </w:r>
      <w:r w:rsidR="005066B2">
        <w:t xml:space="preserve">the </w:t>
      </w:r>
      <w:r w:rsidR="00691589">
        <w:t>KEYNOTE-010</w:t>
      </w:r>
      <w:r w:rsidR="005066B2">
        <w:t xml:space="preserve"> trial</w:t>
      </w:r>
      <w:r w:rsidRPr="00FC75EF">
        <w:t>).</w:t>
      </w:r>
      <w:r w:rsidR="0046163D">
        <w:t xml:space="preserve"> </w:t>
      </w:r>
      <w:r w:rsidRPr="00FC75EF">
        <w:t>The clinical evaluator notes that if the DAKO assay produces false negative results, some patients (</w:t>
      </w:r>
      <w:r w:rsidR="0046163D">
        <w:t>for example</w:t>
      </w:r>
      <w:r w:rsidRPr="00FC75EF">
        <w:t xml:space="preserve"> with true but low levels of tumour staining) may be denied a potentially beneficial treatment.</w:t>
      </w:r>
    </w:p>
    <w:p w14:paraId="07F4C907" w14:textId="061CF611" w:rsidR="001322AC" w:rsidRPr="00FC75EF" w:rsidRDefault="001322AC" w:rsidP="001322AC">
      <w:r w:rsidRPr="00FC75EF">
        <w:t>On the other hand, the DAKO assay may produce false positive outcomes, in which case patients may be treated without benefit.</w:t>
      </w:r>
      <w:r w:rsidR="0046163D">
        <w:t xml:space="preserve"> </w:t>
      </w:r>
      <w:r w:rsidRPr="00FC75EF">
        <w:t>The extent to which false positives may occur is not known.</w:t>
      </w:r>
      <w:r w:rsidR="0046163D">
        <w:t xml:space="preserve"> </w:t>
      </w:r>
      <w:r>
        <w:t>Further</w:t>
      </w:r>
      <w:r w:rsidRPr="00FC75EF">
        <w:t xml:space="preserve">, clinical outcomes in patients with DAKO </w:t>
      </w:r>
      <w:r w:rsidR="005066B2">
        <w:t xml:space="preserve">positive, </w:t>
      </w:r>
      <w:r w:rsidRPr="00FC75EF">
        <w:t xml:space="preserve">CTA </w:t>
      </w:r>
      <w:r w:rsidR="005066B2">
        <w:t xml:space="preserve">negative </w:t>
      </w:r>
      <w:r w:rsidRPr="00FC75EF">
        <w:t>tumours are not calculable.</w:t>
      </w:r>
      <w:r w:rsidR="0046163D">
        <w:t xml:space="preserve"> </w:t>
      </w:r>
      <w:r>
        <w:t>‘</w:t>
      </w:r>
      <w:r w:rsidRPr="00FC75EF">
        <w:t>Robustness</w:t>
      </w:r>
      <w:r>
        <w:t>’</w:t>
      </w:r>
      <w:r w:rsidRPr="00FC75EF">
        <w:t xml:space="preserve"> analyses were conducted but these do not negate the basic concern that in </w:t>
      </w:r>
      <w:r w:rsidR="005066B2">
        <w:t>the</w:t>
      </w:r>
      <w:r w:rsidR="00691589">
        <w:t>KEYNOTE-010</w:t>
      </w:r>
      <w:r w:rsidR="005066B2">
        <w:t xml:space="preserve"> trial</w:t>
      </w:r>
      <w:r w:rsidRPr="00FC75EF">
        <w:t>, patients were excluded if CTA staining was negative.</w:t>
      </w:r>
      <w:r w:rsidR="0046163D">
        <w:t xml:space="preserve"> </w:t>
      </w:r>
      <w:r w:rsidRPr="00FC75EF">
        <w:t xml:space="preserve">The DAKO assay </w:t>
      </w:r>
      <w:r>
        <w:t>IFU</w:t>
      </w:r>
      <w:r w:rsidRPr="00FC75EF">
        <w:t xml:space="preserve"> states:</w:t>
      </w:r>
    </w:p>
    <w:p w14:paraId="07F4C908" w14:textId="277BDD9D" w:rsidR="001322AC" w:rsidRPr="00986585" w:rsidRDefault="005066B2" w:rsidP="00A01D75">
      <w:pPr>
        <w:ind w:left="720"/>
        <w:rPr>
          <w:i/>
        </w:rPr>
      </w:pPr>
      <w:r w:rsidRPr="00986585">
        <w:rPr>
          <w:rFonts w:eastAsiaTheme="minorHAnsi" w:cs="Arial"/>
          <w:i/>
        </w:rPr>
        <w:t>‘</w:t>
      </w:r>
      <w:r w:rsidR="001322AC" w:rsidRPr="00986585">
        <w:rPr>
          <w:rFonts w:eastAsiaTheme="minorHAnsi" w:cs="Arial"/>
          <w:i/>
        </w:rPr>
        <w:t xml:space="preserve">Additional robustness analyses were conducted to consider the potential impact of missing data arising from patients with a positive PDL1 IHC 22C3 </w:t>
      </w:r>
      <w:proofErr w:type="spellStart"/>
      <w:r w:rsidR="001322AC" w:rsidRPr="00986585">
        <w:rPr>
          <w:rFonts w:eastAsiaTheme="minorHAnsi" w:cs="Arial"/>
          <w:i/>
        </w:rPr>
        <w:t>pharmDx</w:t>
      </w:r>
      <w:proofErr w:type="spellEnd"/>
      <w:r w:rsidR="001322AC" w:rsidRPr="00986585">
        <w:rPr>
          <w:rFonts w:eastAsiaTheme="minorHAnsi" w:cs="Arial"/>
          <w:i/>
        </w:rPr>
        <w:t xml:space="preserve"> test result, but who may have been negative by the CTA. Patients with such test results are part of the intended use/ intent to diagnose (ITD)/ population of the PD-L1 IHC 22C3 </w:t>
      </w:r>
      <w:proofErr w:type="spellStart"/>
      <w:r w:rsidR="001322AC" w:rsidRPr="00986585">
        <w:rPr>
          <w:rFonts w:eastAsiaTheme="minorHAnsi" w:cs="Arial"/>
          <w:i/>
        </w:rPr>
        <w:t>pharmDx</w:t>
      </w:r>
      <w:proofErr w:type="spellEnd"/>
      <w:r w:rsidR="001322AC" w:rsidRPr="00986585">
        <w:rPr>
          <w:rFonts w:eastAsiaTheme="minorHAnsi" w:cs="Arial"/>
          <w:i/>
        </w:rPr>
        <w:t>; however, they were excluded from the clinical trial due to negative results upon CTA screening. To account for these missing data, a sensitivity analysis was conducted to understand the plausible range for the hazard ratio (HR) estimated based on the PD</w:t>
      </w:r>
      <w:r w:rsidR="00170F49" w:rsidRPr="00986585">
        <w:rPr>
          <w:rFonts w:eastAsiaTheme="minorHAnsi" w:cs="Arial"/>
          <w:i/>
        </w:rPr>
        <w:t xml:space="preserve">-L1 IHC 22C3 </w:t>
      </w:r>
      <w:proofErr w:type="spellStart"/>
      <w:r w:rsidR="00170F49" w:rsidRPr="00986585">
        <w:rPr>
          <w:rFonts w:eastAsiaTheme="minorHAnsi" w:cs="Arial"/>
          <w:i/>
        </w:rPr>
        <w:t>pharmDx</w:t>
      </w:r>
      <w:proofErr w:type="spellEnd"/>
      <w:r w:rsidR="00170F49" w:rsidRPr="00986585">
        <w:rPr>
          <w:rFonts w:eastAsiaTheme="minorHAnsi" w:cs="Arial"/>
          <w:i/>
        </w:rPr>
        <w:t xml:space="preserve"> in the TPS </w:t>
      </w:r>
      <w:r w:rsidR="00170F49" w:rsidRPr="00986585">
        <w:rPr>
          <w:rFonts w:eastAsia="SymbolMT" w:cs="SymbolMT"/>
          <w:i/>
        </w:rPr>
        <w:t>≥ </w:t>
      </w:r>
      <w:r w:rsidR="001322AC" w:rsidRPr="00986585">
        <w:rPr>
          <w:rFonts w:eastAsiaTheme="minorHAnsi" w:cs="Arial"/>
          <w:i/>
        </w:rPr>
        <w:t xml:space="preserve">1% and TPS </w:t>
      </w:r>
      <w:r w:rsidR="0046163D" w:rsidRPr="00986585">
        <w:rPr>
          <w:rFonts w:eastAsia="SymbolMT" w:cs="SymbolMT"/>
          <w:i/>
        </w:rPr>
        <w:t>≥</w:t>
      </w:r>
      <w:r w:rsidR="00170F49" w:rsidRPr="00986585">
        <w:rPr>
          <w:rFonts w:eastAsia="SymbolMT" w:cs="SymbolMT"/>
          <w:i/>
        </w:rPr>
        <w:t xml:space="preserve"> </w:t>
      </w:r>
      <w:r w:rsidR="001322AC" w:rsidRPr="00986585">
        <w:rPr>
          <w:rFonts w:eastAsiaTheme="minorHAnsi" w:cs="Arial"/>
          <w:i/>
        </w:rPr>
        <w:t>50% subpopulations under an ITD framework to verify the consistency with the observed HR based on enrolment with the CTA. The HR sensitivity analysis results showed that the HR estimates are robust to any assumed attenuation of the treatment effect under the ITD framework</w:t>
      </w:r>
      <w:r w:rsidRPr="00986585">
        <w:rPr>
          <w:rFonts w:eastAsiaTheme="minorHAnsi" w:cs="Arial"/>
          <w:i/>
        </w:rPr>
        <w:t>’.</w:t>
      </w:r>
    </w:p>
    <w:p w14:paraId="07F4C909" w14:textId="4782D4BF" w:rsidR="001322AC" w:rsidRPr="00170F49" w:rsidRDefault="001322AC" w:rsidP="00986585">
      <w:pPr>
        <w:pStyle w:val="Comment"/>
      </w:pPr>
      <w:r w:rsidRPr="00986585">
        <w:rPr>
          <w:b/>
        </w:rPr>
        <w:t>Question for sponsor</w:t>
      </w:r>
      <w:r w:rsidR="00170F49" w:rsidRPr="00986585">
        <w:rPr>
          <w:b/>
        </w:rPr>
        <w:t>:</w:t>
      </w:r>
      <w:r w:rsidR="00170F49">
        <w:t xml:space="preserve"> </w:t>
      </w:r>
      <w:r w:rsidRPr="00170F49">
        <w:t xml:space="preserve">It is acknowledged the DAKO PD-L1 IHC 22C3 </w:t>
      </w:r>
      <w:proofErr w:type="spellStart"/>
      <w:r w:rsidRPr="00170F49">
        <w:t>pharmDx</w:t>
      </w:r>
      <w:proofErr w:type="spellEnd"/>
      <w:r w:rsidRPr="00170F49">
        <w:t xml:space="preserve"> assay has a different sponsor.</w:t>
      </w:r>
      <w:r w:rsidR="0046163D" w:rsidRPr="00170F49">
        <w:t xml:space="preserve"> </w:t>
      </w:r>
      <w:r w:rsidRPr="00170F49">
        <w:t xml:space="preserve">However, does </w:t>
      </w:r>
      <w:r w:rsidR="005066B2">
        <w:t>th</w:t>
      </w:r>
      <w:r w:rsidR="00ED57CB">
        <w:t xml:space="preserve">e </w:t>
      </w:r>
      <w:r w:rsidR="005066B2">
        <w:t>sponsor</w:t>
      </w:r>
      <w:r w:rsidR="005066B2" w:rsidRPr="00170F49">
        <w:t xml:space="preserve"> </w:t>
      </w:r>
      <w:r w:rsidRPr="00170F49">
        <w:t>know whether, in the bridging study, archived tissue declared PD-L1 negative by the CTA was retrospectively tested using the DAKO assay?</w:t>
      </w:r>
      <w:r w:rsidR="0046163D" w:rsidRPr="00170F49">
        <w:t xml:space="preserve"> </w:t>
      </w:r>
      <w:r w:rsidRPr="00170F49">
        <w:t>If this testing was done, is it possible to calculate measures of diagnostic accuracy relative to the CTA?</w:t>
      </w:r>
      <w:r w:rsidR="0046163D" w:rsidRPr="00170F49">
        <w:t xml:space="preserve"> </w:t>
      </w:r>
      <w:r w:rsidRPr="00170F49">
        <w:t>In particular, is there an estimate of the DAKO assay’s rate of ‘false’ positivity relative to the CTA?</w:t>
      </w:r>
      <w:r w:rsidR="0046163D" w:rsidRPr="00170F49">
        <w:t xml:space="preserve"> </w:t>
      </w:r>
      <w:r w:rsidRPr="00170F49">
        <w:t xml:space="preserve">While clinical outcomes in the DAKO </w:t>
      </w:r>
      <w:r w:rsidR="005066B2">
        <w:t xml:space="preserve">positive, </w:t>
      </w:r>
      <w:r w:rsidRPr="00170F49">
        <w:t xml:space="preserve">CTA </w:t>
      </w:r>
      <w:r w:rsidR="005066B2">
        <w:t xml:space="preserve">negative </w:t>
      </w:r>
      <w:r w:rsidRPr="00170F49">
        <w:t>group may not be calculable, it is still important to gauge the potential size of this group.</w:t>
      </w:r>
    </w:p>
    <w:p w14:paraId="07F4C90A" w14:textId="09C346F6" w:rsidR="001322AC" w:rsidRPr="00FC75EF" w:rsidRDefault="001322AC" w:rsidP="001322AC">
      <w:r w:rsidRPr="00FC75EF">
        <w:t xml:space="preserve">In </w:t>
      </w:r>
      <w:r w:rsidR="005066B2">
        <w:t xml:space="preserve">the </w:t>
      </w:r>
      <w:r w:rsidR="00691589">
        <w:t>KEYNOTE-024</w:t>
      </w:r>
      <w:r w:rsidR="005066B2">
        <w:t xml:space="preserve"> trial</w:t>
      </w:r>
      <w:r w:rsidRPr="00FC75EF">
        <w:t xml:space="preserve">, it </w:t>
      </w:r>
      <w:r w:rsidR="00170F49">
        <w:t>appears the DAKO PD-L1 IHC 22C3</w:t>
      </w:r>
      <w:r w:rsidRPr="00FC75EF">
        <w:t>pharmDx kit was used (</w:t>
      </w:r>
      <w:r w:rsidR="005066B2">
        <w:t xml:space="preserve">see </w:t>
      </w:r>
      <w:r w:rsidR="00170F49">
        <w:t xml:space="preserve">Attachment </w:t>
      </w:r>
      <w:r w:rsidR="00170F49" w:rsidRPr="00170F49">
        <w:t>3</w:t>
      </w:r>
      <w:r w:rsidR="005066B2">
        <w:t>,</w:t>
      </w:r>
      <w:r w:rsidRPr="00170F49">
        <w:t xml:space="preserve"> </w:t>
      </w:r>
      <w:r w:rsidR="00170F49" w:rsidRPr="00170F49">
        <w:t>Section 7.2.1.2</w:t>
      </w:r>
      <w:r w:rsidRPr="00170F49">
        <w:t>).</w:t>
      </w:r>
    </w:p>
    <w:p w14:paraId="07F4C90B" w14:textId="542BE85E" w:rsidR="001322AC" w:rsidRPr="00170F49" w:rsidRDefault="001322AC" w:rsidP="00986585">
      <w:pPr>
        <w:pStyle w:val="Comment"/>
      </w:pPr>
      <w:r w:rsidRPr="00986585">
        <w:rPr>
          <w:b/>
        </w:rPr>
        <w:t>Question for sponsor</w:t>
      </w:r>
      <w:r w:rsidR="00170F49" w:rsidRPr="00986585">
        <w:rPr>
          <w:b/>
        </w:rPr>
        <w:t>:</w:t>
      </w:r>
      <w:r w:rsidR="00170F49">
        <w:t xml:space="preserve"> </w:t>
      </w:r>
      <w:r w:rsidRPr="00170F49">
        <w:t xml:space="preserve">Was the PD-L1 IHC assay in </w:t>
      </w:r>
      <w:r w:rsidR="00ED57CB">
        <w:t xml:space="preserve">the </w:t>
      </w:r>
      <w:r w:rsidR="00691589">
        <w:t>KEYNOTE-024</w:t>
      </w:r>
      <w:r w:rsidR="00ED57CB">
        <w:t xml:space="preserve"> trial</w:t>
      </w:r>
      <w:r w:rsidRPr="00170F49">
        <w:t xml:space="preserve"> the same as the DAKO kit registered for use in Australia?</w:t>
      </w:r>
      <w:r w:rsidR="0046163D" w:rsidRPr="00170F49">
        <w:t xml:space="preserve"> </w:t>
      </w:r>
      <w:r w:rsidRPr="00170F49">
        <w:t xml:space="preserve">If not, has there been a bridging study analogous to the one conducted for </w:t>
      </w:r>
      <w:r w:rsidR="00ED57CB">
        <w:t xml:space="preserve">the </w:t>
      </w:r>
      <w:r w:rsidR="00691589">
        <w:t>KEYNOTE-010</w:t>
      </w:r>
      <w:r w:rsidR="00ED57CB">
        <w:t xml:space="preserve"> trial</w:t>
      </w:r>
      <w:r w:rsidRPr="00170F49">
        <w:t>?</w:t>
      </w:r>
    </w:p>
    <w:p w14:paraId="07F4C90C" w14:textId="77777777" w:rsidR="001322AC" w:rsidRPr="00FC75EF" w:rsidRDefault="001322AC" w:rsidP="00A01D75">
      <w:pPr>
        <w:pStyle w:val="Heading4"/>
      </w:pPr>
      <w:r w:rsidRPr="00FC75EF">
        <w:t>Overall risk-benefit, and indication</w:t>
      </w:r>
    </w:p>
    <w:p w14:paraId="07F4C90D" w14:textId="2385FF5F" w:rsidR="001322AC" w:rsidRPr="00FC75EF" w:rsidRDefault="001322AC" w:rsidP="001322AC">
      <w:r w:rsidRPr="00FC75EF">
        <w:t>In the first</w:t>
      </w:r>
      <w:r w:rsidR="00ED57CB">
        <w:t xml:space="preserve"> </w:t>
      </w:r>
      <w:r w:rsidRPr="00FC75EF">
        <w:t xml:space="preserve">line setting, the benefit-risk balance is clear in subjects with TPS </w:t>
      </w:r>
      <w:r w:rsidR="0046163D">
        <w:t xml:space="preserve">≥ </w:t>
      </w:r>
      <w:r w:rsidRPr="00FC75EF">
        <w:t>50%, with much improved survival, the suggestion of improved quality of life, and a distinct and on balance superior toxicity profile relative to standard of care.</w:t>
      </w:r>
    </w:p>
    <w:p w14:paraId="07F4C90E" w14:textId="77777777" w:rsidR="001322AC" w:rsidRPr="00FC75EF" w:rsidRDefault="00A01D75" w:rsidP="001322AC">
      <w:r>
        <w:rPr>
          <w:rFonts w:cs="Calibri"/>
        </w:rPr>
        <w:t>The Delegate agrees</w:t>
      </w:r>
      <w:r w:rsidR="001322AC" w:rsidRPr="00FC75EF">
        <w:rPr>
          <w:rFonts w:cs="Calibri"/>
        </w:rPr>
        <w:t xml:space="preserve"> with the clinical evaluator that it would be hasty to extrapolate use to </w:t>
      </w:r>
      <w:r w:rsidR="00985879">
        <w:rPr>
          <w:rFonts w:cs="Calibri"/>
        </w:rPr>
        <w:t>first line</w:t>
      </w:r>
      <w:r w:rsidR="001322AC" w:rsidRPr="00FC75EF">
        <w:rPr>
          <w:rFonts w:cs="Calibri"/>
        </w:rPr>
        <w:t xml:space="preserve"> NSCLC patients with weaker tumour PD-L1 expression.</w:t>
      </w:r>
      <w:r w:rsidR="0046163D">
        <w:rPr>
          <w:rFonts w:cs="Calibri"/>
        </w:rPr>
        <w:t xml:space="preserve"> </w:t>
      </w:r>
      <w:r w:rsidR="001322AC" w:rsidRPr="00FC75EF">
        <w:rPr>
          <w:rFonts w:cs="Calibri"/>
        </w:rPr>
        <w:t xml:space="preserve">Efficacy of pembrolizumab is known to vary with PD-L1 tumour expression; the </w:t>
      </w:r>
      <w:proofErr w:type="spellStart"/>
      <w:r w:rsidR="001322AC" w:rsidRPr="00FC75EF">
        <w:rPr>
          <w:rFonts w:cs="Calibri"/>
        </w:rPr>
        <w:t>nivolumab</w:t>
      </w:r>
      <w:proofErr w:type="spellEnd"/>
      <w:r w:rsidR="001322AC" w:rsidRPr="00FC75EF">
        <w:rPr>
          <w:rFonts w:cs="Calibri"/>
        </w:rPr>
        <w:t xml:space="preserve"> trial </w:t>
      </w:r>
      <w:r w:rsidR="00170F49">
        <w:rPr>
          <w:rFonts w:cs="Calibri"/>
        </w:rPr>
        <w:t xml:space="preserve">Study </w:t>
      </w:r>
      <w:proofErr w:type="spellStart"/>
      <w:r w:rsidR="001322AC" w:rsidRPr="00FC75EF">
        <w:rPr>
          <w:rFonts w:cs="Calibri"/>
        </w:rPr>
        <w:t>CheckMate</w:t>
      </w:r>
      <w:proofErr w:type="spellEnd"/>
      <w:r w:rsidR="001322AC" w:rsidRPr="00FC75EF">
        <w:rPr>
          <w:rFonts w:cs="Calibri"/>
        </w:rPr>
        <w:t xml:space="preserve"> 026 in previously untreated patients failed to show benefit against </w:t>
      </w:r>
      <w:r w:rsidR="0046163D">
        <w:rPr>
          <w:rFonts w:cs="Calibri"/>
        </w:rPr>
        <w:t>platinum based</w:t>
      </w:r>
      <w:r w:rsidR="001322AC" w:rsidRPr="00FC75EF">
        <w:rPr>
          <w:rFonts w:cs="Calibri"/>
        </w:rPr>
        <w:t xml:space="preserve"> doublet therapy; </w:t>
      </w:r>
      <w:r w:rsidR="001322AC">
        <w:rPr>
          <w:rFonts w:cs="Calibri"/>
        </w:rPr>
        <w:t xml:space="preserve">and </w:t>
      </w:r>
      <w:r w:rsidR="001322AC" w:rsidRPr="00FC75EF">
        <w:rPr>
          <w:rFonts w:cs="Calibri"/>
        </w:rPr>
        <w:t>there is a trial underway of pembrolizumab exploring benefit in patients with weakly positive tumours (</w:t>
      </w:r>
      <w:r w:rsidR="00170F49">
        <w:rPr>
          <w:rFonts w:cs="Calibri"/>
        </w:rPr>
        <w:t xml:space="preserve">Study </w:t>
      </w:r>
      <w:r w:rsidR="001322AC" w:rsidRPr="00FC75EF">
        <w:rPr>
          <w:rFonts w:cs="Calibri"/>
        </w:rPr>
        <w:t>KN042).</w:t>
      </w:r>
      <w:r w:rsidR="0046163D">
        <w:rPr>
          <w:rFonts w:cs="Calibri"/>
        </w:rPr>
        <w:t xml:space="preserve"> </w:t>
      </w:r>
      <w:r w:rsidR="001322AC" w:rsidRPr="00FC75EF">
        <w:rPr>
          <w:rFonts w:cs="Calibri"/>
        </w:rPr>
        <w:t>The sponsor has already modified its proposed indication.</w:t>
      </w:r>
    </w:p>
    <w:p w14:paraId="07F4C90F" w14:textId="66A2A0BC" w:rsidR="001322AC" w:rsidRPr="00FC75EF" w:rsidRDefault="001322AC" w:rsidP="001322AC">
      <w:pPr>
        <w:rPr>
          <w:rFonts w:cs="Calibri"/>
        </w:rPr>
      </w:pPr>
      <w:r w:rsidRPr="00FC75EF">
        <w:rPr>
          <w:rFonts w:cs="Calibri"/>
        </w:rPr>
        <w:t xml:space="preserve">The benefit-risk balance is also considered positive for the </w:t>
      </w:r>
      <w:r w:rsidR="0046163D">
        <w:rPr>
          <w:rFonts w:cs="Calibri"/>
        </w:rPr>
        <w:t>second line</w:t>
      </w:r>
      <w:r w:rsidRPr="00FC75EF">
        <w:rPr>
          <w:rFonts w:cs="Calibri"/>
        </w:rPr>
        <w:t xml:space="preserve"> indication, but the ACM’s advice has been requested about benefit-risk balance in the ‘weakly positive’ s</w:t>
      </w:r>
      <w:r w:rsidR="00A01D75">
        <w:rPr>
          <w:rFonts w:cs="Calibri"/>
        </w:rPr>
        <w:t xml:space="preserve">ubgroup (TPS </w:t>
      </w:r>
      <w:r w:rsidR="00C329E7">
        <w:rPr>
          <w:rFonts w:cs="Calibri"/>
        </w:rPr>
        <w:t xml:space="preserve">1 </w:t>
      </w:r>
      <w:r w:rsidR="00ED57CB">
        <w:rPr>
          <w:rFonts w:cs="Calibri"/>
        </w:rPr>
        <w:t>to</w:t>
      </w:r>
      <w:r w:rsidR="00C329E7">
        <w:rPr>
          <w:rFonts w:cs="Calibri"/>
        </w:rPr>
        <w:t xml:space="preserve"> 49%</w:t>
      </w:r>
      <w:r w:rsidR="00A01D75">
        <w:rPr>
          <w:rFonts w:cs="Calibri"/>
        </w:rPr>
        <w:t>; see above).</w:t>
      </w:r>
    </w:p>
    <w:p w14:paraId="07F4C910" w14:textId="193AA57F" w:rsidR="001322AC" w:rsidRPr="00FC75EF" w:rsidRDefault="001322AC" w:rsidP="001322AC">
      <w:pPr>
        <w:rPr>
          <w:rFonts w:cs="Calibri"/>
        </w:rPr>
      </w:pPr>
      <w:r w:rsidRPr="00FC75EF">
        <w:rPr>
          <w:rFonts w:cs="Calibri"/>
        </w:rPr>
        <w:lastRenderedPageBreak/>
        <w:t xml:space="preserve">In the </w:t>
      </w:r>
      <w:r w:rsidR="00985879">
        <w:rPr>
          <w:rFonts w:cs="Calibri"/>
        </w:rPr>
        <w:t>first line</w:t>
      </w:r>
      <w:r w:rsidRPr="00FC75EF">
        <w:rPr>
          <w:rFonts w:cs="Calibri"/>
        </w:rPr>
        <w:t xml:space="preserve"> NSCLC setting, the </w:t>
      </w:r>
      <w:r w:rsidRPr="00E52E07">
        <w:rPr>
          <w:rFonts w:cs="Calibri"/>
        </w:rPr>
        <w:t>sponsor proposes use in metastatic disease (not advanced disease); in</w:t>
      </w:r>
      <w:r w:rsidR="00170F49" w:rsidRPr="00E52E07">
        <w:rPr>
          <w:rFonts w:cs="Calibri"/>
        </w:rPr>
        <w:t xml:space="preserve"> </w:t>
      </w:r>
      <w:r w:rsidR="00ED57CB">
        <w:rPr>
          <w:rFonts w:cs="Calibri"/>
        </w:rPr>
        <w:t>the</w:t>
      </w:r>
      <w:r w:rsidR="00ED57CB" w:rsidRPr="00E52E07">
        <w:rPr>
          <w:rFonts w:cs="Calibri"/>
        </w:rPr>
        <w:t xml:space="preserve"> </w:t>
      </w:r>
      <w:r w:rsidR="00691589" w:rsidRPr="00E52E07">
        <w:rPr>
          <w:rFonts w:cs="Calibri"/>
        </w:rPr>
        <w:t>KEYNOTE-024</w:t>
      </w:r>
      <w:r w:rsidR="00ED57CB">
        <w:rPr>
          <w:rFonts w:cs="Calibri"/>
        </w:rPr>
        <w:t xml:space="preserve"> trial</w:t>
      </w:r>
      <w:r w:rsidRPr="00E52E07">
        <w:rPr>
          <w:rFonts w:cs="Calibri"/>
        </w:rPr>
        <w:t>, only patients with Stage IV disease were included.</w:t>
      </w:r>
      <w:r w:rsidR="0046163D" w:rsidRPr="00E52E07">
        <w:rPr>
          <w:rFonts w:cs="Calibri"/>
        </w:rPr>
        <w:t xml:space="preserve"> </w:t>
      </w:r>
      <w:r w:rsidRPr="00E52E07">
        <w:rPr>
          <w:rFonts w:cs="Calibri"/>
        </w:rPr>
        <w:t xml:space="preserve">In the </w:t>
      </w:r>
      <w:r w:rsidR="00537585" w:rsidRPr="00E52E07">
        <w:rPr>
          <w:rFonts w:cs="Calibri"/>
        </w:rPr>
        <w:t>second line</w:t>
      </w:r>
      <w:r w:rsidRPr="00E52E07">
        <w:rPr>
          <w:rFonts w:cs="Calibri"/>
        </w:rPr>
        <w:t xml:space="preserve"> NSCLC setting, the sponsor proposes use in advanced disease; in</w:t>
      </w:r>
      <w:r w:rsidR="00170F49" w:rsidRPr="00E52E07">
        <w:rPr>
          <w:rFonts w:cs="Calibri"/>
        </w:rPr>
        <w:t xml:space="preserve"> </w:t>
      </w:r>
      <w:r w:rsidR="00ED57CB">
        <w:rPr>
          <w:rFonts w:cs="Calibri"/>
        </w:rPr>
        <w:t xml:space="preserve">the </w:t>
      </w:r>
      <w:r w:rsidR="00691589" w:rsidRPr="00E52E07">
        <w:rPr>
          <w:rFonts w:cs="Calibri"/>
        </w:rPr>
        <w:t>KEYNOTE-010</w:t>
      </w:r>
      <w:r w:rsidR="00ED57CB">
        <w:rPr>
          <w:rFonts w:cs="Calibri"/>
        </w:rPr>
        <w:t xml:space="preserve"> trial</w:t>
      </w:r>
      <w:r w:rsidRPr="00E52E07">
        <w:rPr>
          <w:rFonts w:cs="Calibri"/>
        </w:rPr>
        <w:t>, 91% had metastatic disease.</w:t>
      </w:r>
      <w:r w:rsidR="0046163D" w:rsidRPr="00E52E07">
        <w:rPr>
          <w:rFonts w:cs="Calibri"/>
        </w:rPr>
        <w:t xml:space="preserve"> </w:t>
      </w:r>
      <w:r w:rsidRPr="00E52E07">
        <w:rPr>
          <w:rFonts w:cs="Calibri"/>
        </w:rPr>
        <w:t>The sponsor’s</w:t>
      </w:r>
      <w:r w:rsidRPr="00FC75EF">
        <w:rPr>
          <w:rFonts w:cs="Calibri"/>
        </w:rPr>
        <w:t xml:space="preserve"> approach appears reasonable, although approval in the US is for metastatic disease only.</w:t>
      </w:r>
    </w:p>
    <w:p w14:paraId="07F4C911" w14:textId="7F44FAD9" w:rsidR="001322AC" w:rsidRPr="00FC75EF" w:rsidRDefault="001322AC" w:rsidP="001322AC">
      <w:pPr>
        <w:rPr>
          <w:rFonts w:eastAsiaTheme="minorHAnsi" w:cs="ArialMT"/>
        </w:rPr>
      </w:pPr>
      <w:r w:rsidRPr="00FC75EF">
        <w:rPr>
          <w:rFonts w:cs="Calibri"/>
        </w:rPr>
        <w:t xml:space="preserve">For </w:t>
      </w:r>
      <w:r w:rsidR="0046163D">
        <w:rPr>
          <w:rFonts w:cs="Calibri"/>
        </w:rPr>
        <w:t>second line</w:t>
      </w:r>
      <w:r w:rsidRPr="00FC75EF">
        <w:rPr>
          <w:rFonts w:cs="Calibri"/>
        </w:rPr>
        <w:t xml:space="preserve"> use, the sponsor’s wording (</w:t>
      </w:r>
      <w:r w:rsidR="00ED57CB">
        <w:rPr>
          <w:rFonts w:cs="Calibri"/>
        </w:rPr>
        <w:t>‘</w:t>
      </w:r>
      <w:r w:rsidRPr="00FC75EF">
        <w:rPr>
          <w:rFonts w:eastAsiaTheme="minorHAnsi" w:cs="ArialMT"/>
          <w:i/>
        </w:rPr>
        <w:t>who have received platinum</w:t>
      </w:r>
      <w:r w:rsidR="00170F49">
        <w:rPr>
          <w:rFonts w:eastAsiaTheme="minorHAnsi" w:cs="ArialMT"/>
          <w:i/>
        </w:rPr>
        <w:t xml:space="preserve"> </w:t>
      </w:r>
      <w:r w:rsidRPr="00FC75EF">
        <w:rPr>
          <w:rFonts w:eastAsiaTheme="minorHAnsi" w:cs="ArialMT"/>
          <w:i/>
        </w:rPr>
        <w:t>containing chemotherapy</w:t>
      </w:r>
      <w:r w:rsidR="00ED57CB">
        <w:rPr>
          <w:rFonts w:eastAsiaTheme="minorHAnsi" w:cs="ArialMT"/>
          <w:i/>
        </w:rPr>
        <w:t>’</w:t>
      </w:r>
      <w:r w:rsidRPr="00FC75EF">
        <w:rPr>
          <w:rFonts w:eastAsiaTheme="minorHAnsi" w:cs="ArialMT"/>
        </w:rPr>
        <w:t>) is looser than the wording in the US PI (</w:t>
      </w:r>
      <w:r w:rsidR="00ED57CB">
        <w:rPr>
          <w:rFonts w:eastAsiaTheme="minorHAnsi" w:cs="ArialMT"/>
        </w:rPr>
        <w:t>‘</w:t>
      </w:r>
      <w:r w:rsidRPr="00FC75EF">
        <w:rPr>
          <w:rFonts w:eastAsiaTheme="minorHAnsi" w:cs="Arial"/>
          <w:i/>
          <w:color w:val="000000"/>
        </w:rPr>
        <w:t>with disease progression on or after platinum</w:t>
      </w:r>
      <w:r w:rsidR="00170F49">
        <w:rPr>
          <w:rFonts w:eastAsiaTheme="minorHAnsi" w:cs="Arial"/>
          <w:i/>
          <w:color w:val="000000"/>
        </w:rPr>
        <w:t xml:space="preserve"> </w:t>
      </w:r>
      <w:r w:rsidRPr="00FC75EF">
        <w:rPr>
          <w:rFonts w:eastAsiaTheme="minorHAnsi" w:cs="Arial"/>
          <w:i/>
          <w:color w:val="000000"/>
        </w:rPr>
        <w:t>containing chemotherapy</w:t>
      </w:r>
      <w:r w:rsidR="00ED57CB">
        <w:rPr>
          <w:rFonts w:eastAsiaTheme="minorHAnsi" w:cs="Arial"/>
          <w:color w:val="000000"/>
        </w:rPr>
        <w:t>’</w:t>
      </w:r>
      <w:r w:rsidRPr="00FC75EF">
        <w:rPr>
          <w:rFonts w:eastAsiaTheme="minorHAnsi" w:cs="ArialMT"/>
        </w:rPr>
        <w:t>) and might open up use to patients who have not received a reasonable course of platinum</w:t>
      </w:r>
      <w:r w:rsidR="00170F49">
        <w:rPr>
          <w:rFonts w:eastAsiaTheme="minorHAnsi" w:cs="ArialMT"/>
        </w:rPr>
        <w:t xml:space="preserve"> </w:t>
      </w:r>
      <w:r w:rsidRPr="00FC75EF">
        <w:rPr>
          <w:rFonts w:eastAsiaTheme="minorHAnsi" w:cs="ArialMT"/>
        </w:rPr>
        <w:t>containing chemotherapy, or to patients with stable disease (or even responders) after platinum</w:t>
      </w:r>
      <w:r w:rsidR="00170F49">
        <w:rPr>
          <w:rFonts w:eastAsiaTheme="minorHAnsi" w:cs="ArialMT"/>
        </w:rPr>
        <w:t xml:space="preserve"> </w:t>
      </w:r>
      <w:r w:rsidRPr="00FC75EF">
        <w:rPr>
          <w:rFonts w:eastAsiaTheme="minorHAnsi" w:cs="ArialMT"/>
        </w:rPr>
        <w:t>containing chemotherapy.</w:t>
      </w:r>
    </w:p>
    <w:p w14:paraId="07F4C912" w14:textId="77777777" w:rsidR="00170F49" w:rsidRDefault="001322AC" w:rsidP="001322AC">
      <w:r w:rsidRPr="00FC75EF">
        <w:t xml:space="preserve">For </w:t>
      </w:r>
      <w:r w:rsidR="0046163D">
        <w:t>second line</w:t>
      </w:r>
      <w:r w:rsidRPr="00FC75EF">
        <w:t xml:space="preserve"> use,</w:t>
      </w:r>
      <w:r w:rsidR="00170F49">
        <w:t xml:space="preserve"> the proposed indication notes:</w:t>
      </w:r>
    </w:p>
    <w:p w14:paraId="07F4C913" w14:textId="1AB115CC" w:rsidR="001322AC" w:rsidRPr="00170F49" w:rsidRDefault="00ED57CB" w:rsidP="00170F49">
      <w:pPr>
        <w:ind w:left="720"/>
        <w:rPr>
          <w:i/>
        </w:rPr>
      </w:pPr>
      <w:r>
        <w:t>‘</w:t>
      </w:r>
      <w:proofErr w:type="gramStart"/>
      <w:r w:rsidR="001322AC" w:rsidRPr="00170F49">
        <w:rPr>
          <w:i/>
        </w:rPr>
        <w:t>patients</w:t>
      </w:r>
      <w:proofErr w:type="gramEnd"/>
      <w:r w:rsidR="001322AC" w:rsidRPr="00170F49">
        <w:rPr>
          <w:i/>
        </w:rPr>
        <w:t xml:space="preserve"> with EGFR or ALK genomic tumour aberrations should also have received approved therapy for these aberrations prior to receiving </w:t>
      </w:r>
      <w:r w:rsidR="00C329E7" w:rsidRPr="00170F49">
        <w:rPr>
          <w:i/>
        </w:rPr>
        <w:t>Keytruda</w:t>
      </w:r>
      <w:r w:rsidR="001322AC" w:rsidRPr="00170F49">
        <w:rPr>
          <w:i/>
        </w:rPr>
        <w:t xml:space="preserve"> [see CLINICAL TRIALS]</w:t>
      </w:r>
      <w:r w:rsidR="001322AC" w:rsidRPr="00FC75EF">
        <w:t>.</w:t>
      </w:r>
      <w:r>
        <w:t>’</w:t>
      </w:r>
    </w:p>
    <w:p w14:paraId="07F4C914" w14:textId="2BCA21FC" w:rsidR="001322AC" w:rsidRPr="00FC75EF" w:rsidRDefault="001322AC" w:rsidP="001322AC">
      <w:r w:rsidRPr="00FC75EF">
        <w:t>The relevant inc</w:t>
      </w:r>
      <w:r w:rsidR="00170F49">
        <w:t xml:space="preserve">lusion criteria in the pivotal </w:t>
      </w:r>
      <w:r w:rsidR="00691589">
        <w:t>KEYNOTE-010</w:t>
      </w:r>
      <w:r w:rsidRPr="00FC75EF">
        <w:t xml:space="preserve"> </w:t>
      </w:r>
      <w:r w:rsidR="00986585">
        <w:t xml:space="preserve">trial </w:t>
      </w:r>
      <w:r w:rsidRPr="00FC75EF">
        <w:t>were</w:t>
      </w:r>
      <w:r w:rsidR="00170F49">
        <w:t>:</w:t>
      </w:r>
    </w:p>
    <w:p w14:paraId="07F4C915" w14:textId="395AC9DD" w:rsidR="0046163D" w:rsidRDefault="001322AC" w:rsidP="00A01D75">
      <w:pPr>
        <w:pStyle w:val="ListBullet"/>
      </w:pPr>
      <w:r w:rsidRPr="00FC75EF">
        <w:t xml:space="preserve">Subjects with an </w:t>
      </w:r>
      <w:r w:rsidRPr="00986585">
        <w:t>EGFR</w:t>
      </w:r>
      <w:r w:rsidRPr="00FC75EF">
        <w:t xml:space="preserve"> </w:t>
      </w:r>
      <w:r w:rsidR="00A70986">
        <w:t>sensitizing</w:t>
      </w:r>
      <w:r w:rsidRPr="00FC75EF">
        <w:t xml:space="preserve"> mutation must also be able to demonstrate progression of disease on the EGFR TKI (</w:t>
      </w:r>
      <w:proofErr w:type="gramStart"/>
      <w:r w:rsidRPr="00FC75EF">
        <w:t>either</w:t>
      </w:r>
      <w:r w:rsidR="00170F49">
        <w:t>;</w:t>
      </w:r>
      <w:proofErr w:type="gramEnd"/>
      <w:r w:rsidRPr="00FC75EF">
        <w:t xml:space="preserve"> erlotinib, gefitinib, or afatinib) in a similar manner</w:t>
      </w:r>
      <w:r w:rsidR="00170F49">
        <w:t xml:space="preserve"> to that above for the platinum </w:t>
      </w:r>
      <w:r w:rsidRPr="00FC75EF">
        <w:t>containing doublet</w:t>
      </w:r>
      <w:r w:rsidR="0046163D">
        <w:t>.</w:t>
      </w:r>
    </w:p>
    <w:p w14:paraId="07F4C916" w14:textId="77777777" w:rsidR="001322AC" w:rsidRPr="00FC75EF" w:rsidRDefault="001322AC" w:rsidP="00A01D75">
      <w:pPr>
        <w:pStyle w:val="ListBullet"/>
      </w:pPr>
      <w:r w:rsidRPr="00FC75EF">
        <w:t xml:space="preserve">Subjects with an </w:t>
      </w:r>
      <w:r w:rsidRPr="00B23686">
        <w:t>ALK</w:t>
      </w:r>
      <w:r w:rsidRPr="00FC75EF">
        <w:t xml:space="preserve"> translocation must also be able to demonstrate progression of disease on crizotinib in a similar manner to that above for the platinum containing doublet.</w:t>
      </w:r>
    </w:p>
    <w:p w14:paraId="07F4C917" w14:textId="3A447596" w:rsidR="001322AC" w:rsidRPr="00FC75EF" w:rsidRDefault="001322AC" w:rsidP="001322AC">
      <w:r w:rsidRPr="00FC75EF">
        <w:t xml:space="preserve">The proposed wording </w:t>
      </w:r>
      <w:r w:rsidRPr="00803D07">
        <w:t>might</w:t>
      </w:r>
      <w:r w:rsidRPr="00ED57CB">
        <w:t xml:space="preserve"> </w:t>
      </w:r>
      <w:r w:rsidRPr="00FC75EF">
        <w:t xml:space="preserve">be interpreted as requiring, for </w:t>
      </w:r>
      <w:r w:rsidRPr="00803D07">
        <w:t>ALK</w:t>
      </w:r>
      <w:r w:rsidRPr="00FC75EF">
        <w:t xml:space="preserve"> mutant tumours, use of </w:t>
      </w:r>
      <w:proofErr w:type="spellStart"/>
      <w:r w:rsidRPr="00FC75EF">
        <w:t>crizotinib</w:t>
      </w:r>
      <w:proofErr w:type="spellEnd"/>
      <w:r w:rsidRPr="00FC75EF">
        <w:t xml:space="preserve"> and then </w:t>
      </w:r>
      <w:proofErr w:type="spellStart"/>
      <w:r w:rsidRPr="00FC75EF">
        <w:t>ceritinib</w:t>
      </w:r>
      <w:proofErr w:type="spellEnd"/>
      <w:r w:rsidRPr="00FC75EF">
        <w:t xml:space="preserve"> (for example); and for EGFR mutant tumours, use of a </w:t>
      </w:r>
      <w:r w:rsidR="00985879">
        <w:t>first line</w:t>
      </w:r>
      <w:r w:rsidRPr="00FC75EF">
        <w:t xml:space="preserve"> targeted therapy then, potentially, </w:t>
      </w:r>
      <w:proofErr w:type="spellStart"/>
      <w:r w:rsidRPr="00FC75EF">
        <w:t>osimertinib</w:t>
      </w:r>
      <w:proofErr w:type="spellEnd"/>
      <w:r w:rsidRPr="00FC75EF">
        <w:t xml:space="preserve"> if resistance occurs due to development of a T790M mutation.</w:t>
      </w:r>
      <w:r w:rsidR="0046163D">
        <w:t xml:space="preserve"> </w:t>
      </w:r>
      <w:r w:rsidRPr="00FC75EF">
        <w:t xml:space="preserve">Sequential use of targeted therapies may not have been the norm in </w:t>
      </w:r>
      <w:r w:rsidR="00ED57CB">
        <w:t xml:space="preserve">the </w:t>
      </w:r>
      <w:r w:rsidR="00691589">
        <w:t>KEYNOTE-010</w:t>
      </w:r>
      <w:r w:rsidR="00ED57CB">
        <w:t xml:space="preserve"> trial</w:t>
      </w:r>
      <w:r w:rsidRPr="00FC75EF">
        <w:t>.</w:t>
      </w:r>
    </w:p>
    <w:p w14:paraId="07F4C918" w14:textId="378C5D58" w:rsidR="001322AC" w:rsidRPr="00FC75EF" w:rsidRDefault="001322AC" w:rsidP="001322AC">
      <w:r w:rsidRPr="00FC75EF">
        <w:t xml:space="preserve">In the Summary of Clinical Efficacy for the </w:t>
      </w:r>
      <w:r w:rsidR="00537585">
        <w:t>second line</w:t>
      </w:r>
      <w:r w:rsidRPr="00FC75EF">
        <w:t xml:space="preserve"> NSCLC submission</w:t>
      </w:r>
      <w:r w:rsidRPr="00E52E07">
        <w:t>, Table 2.7.3-nsclc: 27 suggests</w:t>
      </w:r>
      <w:r w:rsidR="00C230E1" w:rsidRPr="00E52E07">
        <w:t xml:space="preserve"> (reproduced here as Table </w:t>
      </w:r>
      <w:r w:rsidR="00880EEA">
        <w:t>20</w:t>
      </w:r>
      <w:r w:rsidR="00C230E1" w:rsidRPr="00E52E07">
        <w:t>)</w:t>
      </w:r>
      <w:r w:rsidRPr="00E52E07">
        <w:t>:</w:t>
      </w:r>
    </w:p>
    <w:p w14:paraId="07F4C919" w14:textId="6FCFC39C" w:rsidR="001322AC" w:rsidRPr="00FC75EF" w:rsidRDefault="001322AC" w:rsidP="00A01D75">
      <w:pPr>
        <w:pStyle w:val="ListBullet"/>
      </w:pPr>
      <w:r w:rsidRPr="00FC75EF">
        <w:t xml:space="preserve">response was attained in EGFR mutant disease in patients with TPS </w:t>
      </w:r>
      <w:r w:rsidR="0046163D">
        <w:t xml:space="preserve">≥ </w:t>
      </w:r>
      <w:r w:rsidRPr="00FC75EF">
        <w:t>1% in 11.9% (5</w:t>
      </w:r>
      <w:r w:rsidR="00ED57CB">
        <w:t> </w:t>
      </w:r>
      <w:r w:rsidR="008141D3">
        <w:t xml:space="preserve">out of </w:t>
      </w:r>
      <w:r w:rsidRPr="00FC75EF">
        <w:t>42)</w:t>
      </w:r>
      <w:r w:rsidR="00ED57CB">
        <w:t>;</w:t>
      </w:r>
      <w:r w:rsidRPr="00FC75EF">
        <w:t xml:space="preserve"> and</w:t>
      </w:r>
    </w:p>
    <w:p w14:paraId="07F4C91A" w14:textId="77777777" w:rsidR="001322AC" w:rsidRDefault="001322AC" w:rsidP="00A01D75">
      <w:pPr>
        <w:pStyle w:val="ListBullet"/>
      </w:pPr>
      <w:proofErr w:type="gramStart"/>
      <w:r w:rsidRPr="00FC75EF">
        <w:t>response</w:t>
      </w:r>
      <w:proofErr w:type="gramEnd"/>
      <w:r w:rsidRPr="00FC75EF">
        <w:t xml:space="preserve"> was attained in ALK mutant disease in patients with TPS </w:t>
      </w:r>
      <w:r w:rsidR="0046163D">
        <w:t xml:space="preserve">≥ </w:t>
      </w:r>
      <w:r w:rsidRPr="00FC75EF">
        <w:t xml:space="preserve">1% </w:t>
      </w:r>
      <w:r>
        <w:t>in</w:t>
      </w:r>
      <w:r w:rsidRPr="00FC75EF">
        <w:t xml:space="preserve"> 0% (0</w:t>
      </w:r>
      <w:r w:rsidR="008141D3">
        <w:t xml:space="preserve"> out of </w:t>
      </w:r>
      <w:r w:rsidRPr="00FC75EF">
        <w:t>7).</w:t>
      </w:r>
    </w:p>
    <w:p w14:paraId="07F4C91B" w14:textId="322BDE5F" w:rsidR="00C230E1" w:rsidRDefault="000F74B7" w:rsidP="00C230E1">
      <w:pPr>
        <w:pStyle w:val="Tabletitle0"/>
      </w:pPr>
      <w:r>
        <w:lastRenderedPageBreak/>
        <w:t xml:space="preserve">Table </w:t>
      </w:r>
      <w:r w:rsidR="00880EEA">
        <w:t>20</w:t>
      </w:r>
      <w:r>
        <w:t xml:space="preserve">: </w:t>
      </w:r>
      <w:r w:rsidR="00C230E1" w:rsidRPr="00C230E1">
        <w:t xml:space="preserve">Summary of </w:t>
      </w:r>
      <w:r w:rsidR="00ED57CB">
        <w:t>B</w:t>
      </w:r>
      <w:r w:rsidR="00C230E1" w:rsidRPr="00C230E1">
        <w:t xml:space="preserve">est Overall Response (BOR) </w:t>
      </w:r>
      <w:r w:rsidR="00ED57CB">
        <w:t>b</w:t>
      </w:r>
      <w:r w:rsidR="00C230E1" w:rsidRPr="00C230E1">
        <w:t xml:space="preserve">ased on IRC </w:t>
      </w:r>
      <w:r w:rsidR="00ED57CB">
        <w:t>a</w:t>
      </w:r>
      <w:r w:rsidR="00C230E1" w:rsidRPr="00C230E1">
        <w:t xml:space="preserve">ssessment per RECIST 1.1 </w:t>
      </w:r>
      <w:r w:rsidR="00ED57CB" w:rsidRPr="00C230E1">
        <w:t>with confirmation by subgroups</w:t>
      </w:r>
      <w:r w:rsidR="00ED57CB">
        <w:t xml:space="preserve"> </w:t>
      </w:r>
      <w:r w:rsidR="00ED57CB" w:rsidRPr="00C230E1">
        <w:t xml:space="preserve">total previously-treated efficacy population by </w:t>
      </w:r>
      <w:r w:rsidR="00C230E1" w:rsidRPr="00C230E1">
        <w:t>PD-L1 (</w:t>
      </w:r>
      <w:r w:rsidR="00ED57CB">
        <w:t>i</w:t>
      </w:r>
      <w:r w:rsidR="00C230E1" w:rsidRPr="00C230E1">
        <w:t xml:space="preserve">rrespective of </w:t>
      </w:r>
      <w:r w:rsidR="00ED57CB">
        <w:t>s</w:t>
      </w:r>
      <w:r w:rsidR="00C230E1" w:rsidRPr="00C230E1">
        <w:t xml:space="preserve">tability </w:t>
      </w:r>
      <w:r w:rsidR="00ED57CB">
        <w:t>w</w:t>
      </w:r>
      <w:r w:rsidR="00C230E1" w:rsidRPr="00C230E1">
        <w:t>indow)</w:t>
      </w:r>
      <w:r w:rsidR="00C230E1">
        <w:t xml:space="preserve"> </w:t>
      </w:r>
      <w:r w:rsidR="00C230E1" w:rsidRPr="00C230E1">
        <w:t xml:space="preserve">(All </w:t>
      </w:r>
      <w:r w:rsidR="00ED57CB">
        <w:t>s</w:t>
      </w:r>
      <w:r w:rsidR="00C230E1" w:rsidRPr="00C230E1">
        <w:t xml:space="preserve">ubjects as </w:t>
      </w:r>
      <w:r w:rsidR="00ED57CB">
        <w:t>t</w:t>
      </w:r>
      <w:r w:rsidR="00C230E1" w:rsidRPr="00C230E1">
        <w:t>reated)</w:t>
      </w:r>
    </w:p>
    <w:p w14:paraId="07F4C91C" w14:textId="77777777" w:rsidR="00C230E1" w:rsidRPr="00C230E1" w:rsidRDefault="00C230E1" w:rsidP="00C230E1">
      <w:r>
        <w:rPr>
          <w:noProof/>
          <w:lang w:eastAsia="en-AU"/>
        </w:rPr>
        <w:drawing>
          <wp:inline distT="0" distB="0" distL="0" distR="0" wp14:anchorId="07F4C9F2" wp14:editId="7FD7DB8F">
            <wp:extent cx="5193162" cy="5544922"/>
            <wp:effectExtent l="0" t="0" r="7620" b="0"/>
            <wp:docPr id="26" name="Picture 26" descr="Table 20: Summary of Best Overall Response (BOR) Based on IRC Assessment per RECIST 1.1 With Confirmation by Subgroups Total Previously-Treated Efficacy Population by PD-L1 (Irrespective of Stability Window) (All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94531" cy="5546384"/>
                    </a:xfrm>
                    <a:prstGeom prst="rect">
                      <a:avLst/>
                    </a:prstGeom>
                  </pic:spPr>
                </pic:pic>
              </a:graphicData>
            </a:graphic>
          </wp:inline>
        </w:drawing>
      </w:r>
    </w:p>
    <w:p w14:paraId="07F4C91D" w14:textId="6AFEEC30" w:rsidR="001322AC" w:rsidRPr="00C230E1" w:rsidRDefault="001322AC" w:rsidP="00B23686">
      <w:pPr>
        <w:pStyle w:val="Comment"/>
        <w:rPr>
          <w:highlight w:val="yellow"/>
        </w:rPr>
      </w:pPr>
      <w:r w:rsidRPr="00B23686">
        <w:rPr>
          <w:b/>
        </w:rPr>
        <w:t>Question for the sponsor</w:t>
      </w:r>
      <w:r w:rsidR="00C230E1" w:rsidRPr="00B23686">
        <w:rPr>
          <w:b/>
        </w:rPr>
        <w:t>:</w:t>
      </w:r>
      <w:r w:rsidR="00C230E1" w:rsidRPr="00E52E07">
        <w:t xml:space="preserve"> </w:t>
      </w:r>
      <w:r w:rsidRPr="00E52E07">
        <w:t>Please comment on PFS and OS outcomes in patients in</w:t>
      </w:r>
      <w:r w:rsidRPr="00C230E1">
        <w:t xml:space="preserve"> </w:t>
      </w:r>
      <w:r w:rsidR="00ED57CB">
        <w:t xml:space="preserve">the </w:t>
      </w:r>
      <w:r w:rsidR="00691589">
        <w:t>KEYNOTE-010</w:t>
      </w:r>
      <w:r w:rsidRPr="00C230E1">
        <w:t xml:space="preserve"> and </w:t>
      </w:r>
      <w:r w:rsidR="005B1C86">
        <w:t>KEYNOTE-001</w:t>
      </w:r>
      <w:r w:rsidRPr="00C230E1">
        <w:t xml:space="preserve"> </w:t>
      </w:r>
      <w:r w:rsidR="00ED57CB">
        <w:t xml:space="preserve">trials </w:t>
      </w:r>
      <w:r w:rsidRPr="00C230E1">
        <w:t xml:space="preserve">with TPS </w:t>
      </w:r>
      <w:r w:rsidR="0046163D" w:rsidRPr="00C230E1">
        <w:t xml:space="preserve">≥ </w:t>
      </w:r>
      <w:r w:rsidRPr="00C230E1">
        <w:t xml:space="preserve">1% with (a) EGFR </w:t>
      </w:r>
      <w:r w:rsidR="00A70986">
        <w:t>sensitizing</w:t>
      </w:r>
      <w:r w:rsidRPr="00C230E1">
        <w:t xml:space="preserve"> mutations, and (b) ALK translocations.</w:t>
      </w:r>
    </w:p>
    <w:p w14:paraId="07F4C91E" w14:textId="77777777" w:rsidR="00D97998" w:rsidRPr="00FC75EF" w:rsidRDefault="00D97998" w:rsidP="00D97998">
      <w:pPr>
        <w:pStyle w:val="Heading4"/>
      </w:pPr>
      <w:r w:rsidRPr="00FC75EF">
        <w:t>Questions for sponsor</w:t>
      </w:r>
    </w:p>
    <w:p w14:paraId="07F4C91F" w14:textId="57FEBD19" w:rsidR="00D97998" w:rsidRPr="00A954B6" w:rsidRDefault="00D97998" w:rsidP="00CB0ECA">
      <w:pPr>
        <w:pStyle w:val="Numberbullet0"/>
        <w:numPr>
          <w:ilvl w:val="0"/>
          <w:numId w:val="8"/>
        </w:numPr>
      </w:pPr>
      <w:r w:rsidRPr="00A954B6">
        <w:t xml:space="preserve">With reference to </w:t>
      </w:r>
      <w:r w:rsidR="00ED57CB">
        <w:t xml:space="preserve">the </w:t>
      </w:r>
      <w:r w:rsidR="00691589">
        <w:t>KEYNOTE-010</w:t>
      </w:r>
      <w:r w:rsidR="00ED57CB">
        <w:t xml:space="preserve"> trial</w:t>
      </w:r>
      <w:r w:rsidRPr="00A954B6">
        <w:t xml:space="preserve">, please explain the imbalance </w:t>
      </w:r>
      <w:r>
        <w:t xml:space="preserve">across arms </w:t>
      </w:r>
      <w:r w:rsidRPr="00A954B6">
        <w:t xml:space="preserve">in the </w:t>
      </w:r>
      <w:r w:rsidR="00ED57CB">
        <w:t>adverse event</w:t>
      </w:r>
      <w:r w:rsidR="00ED57CB" w:rsidRPr="00A954B6">
        <w:t xml:space="preserve">s </w:t>
      </w:r>
      <w:r w:rsidRPr="00A954B6">
        <w:t>of ‘hyponatraemia’ and ‘decreased weight’.</w:t>
      </w:r>
    </w:p>
    <w:p w14:paraId="07F4C920" w14:textId="5F9CB3DD" w:rsidR="00D97998" w:rsidRPr="00FC75EF" w:rsidRDefault="00D97998" w:rsidP="00CB0ECA">
      <w:pPr>
        <w:pStyle w:val="Numberbullet0"/>
        <w:numPr>
          <w:ilvl w:val="0"/>
          <w:numId w:val="8"/>
        </w:numPr>
      </w:pPr>
      <w:r w:rsidRPr="00FC75EF">
        <w:t>With reference to Submission PM-2016-02325-1-4</w:t>
      </w:r>
      <w:r w:rsidR="00ED57CB">
        <w:t xml:space="preserve"> (</w:t>
      </w:r>
      <w:r w:rsidRPr="00FC75EF">
        <w:t xml:space="preserve">refer to </w:t>
      </w:r>
      <w:r w:rsidR="00E52E07">
        <w:t>Attachment 3</w:t>
      </w:r>
      <w:r w:rsidRPr="00FC75EF">
        <w:t>, Section</w:t>
      </w:r>
      <w:r w:rsidR="00ED57CB">
        <w:t> </w:t>
      </w:r>
      <w:r w:rsidRPr="00FC75EF">
        <w:t>7.2.1.10</w:t>
      </w:r>
      <w:r w:rsidR="00ED57CB">
        <w:t>)</w:t>
      </w:r>
      <w:r w:rsidR="00CD6971">
        <w:t>,</w:t>
      </w:r>
      <w:r w:rsidR="0046163D">
        <w:t xml:space="preserve"> </w:t>
      </w:r>
      <w:r w:rsidR="00CD6971">
        <w:t>p</w:t>
      </w:r>
      <w:r w:rsidRPr="00FC75EF">
        <w:t>lease comment on the distribution of major protocol deviations across arms, and whether any imbalances could have biased study outcomes.</w:t>
      </w:r>
    </w:p>
    <w:p w14:paraId="07F4C921" w14:textId="77777777" w:rsidR="00D97998" w:rsidRPr="00FC75EF" w:rsidRDefault="00D97998" w:rsidP="00CB0ECA">
      <w:pPr>
        <w:pStyle w:val="Numberbullet0"/>
        <w:numPr>
          <w:ilvl w:val="0"/>
          <w:numId w:val="8"/>
        </w:numPr>
      </w:pPr>
      <w:r w:rsidRPr="00FC75EF">
        <w:t>Is pembrolizumab known to exacerbate COPD? Could reports of COPD be misdiagnosed cases of pneumonitis?</w:t>
      </w:r>
    </w:p>
    <w:p w14:paraId="07F4C922" w14:textId="33922805" w:rsidR="00D97998" w:rsidRPr="00FC75EF" w:rsidRDefault="00D97998" w:rsidP="00CB0ECA">
      <w:pPr>
        <w:pStyle w:val="Numberbullet0"/>
        <w:numPr>
          <w:ilvl w:val="0"/>
          <w:numId w:val="8"/>
        </w:numPr>
      </w:pPr>
      <w:r w:rsidRPr="00FC75EF">
        <w:t xml:space="preserve">With reference to </w:t>
      </w:r>
      <w:r w:rsidR="00CD6971">
        <w:t xml:space="preserve">the </w:t>
      </w:r>
      <w:r w:rsidR="00691589">
        <w:t>KEYNOTE-024</w:t>
      </w:r>
      <w:r w:rsidR="00CD6971">
        <w:t xml:space="preserve"> trial</w:t>
      </w:r>
      <w:r w:rsidRPr="00FC75EF">
        <w:t xml:space="preserve">, more patients on pembrolizumab than on SOC had </w:t>
      </w:r>
      <w:r w:rsidR="00CD6971">
        <w:t>G</w:t>
      </w:r>
      <w:r w:rsidRPr="00FC75EF">
        <w:t>rade 2</w:t>
      </w:r>
      <w:r w:rsidR="00CD6971">
        <w:t xml:space="preserve"> or </w:t>
      </w:r>
      <w:r w:rsidRPr="00FC75EF">
        <w:t xml:space="preserve">3 </w:t>
      </w:r>
      <w:proofErr w:type="spellStart"/>
      <w:r w:rsidR="002D1E8D" w:rsidRPr="00B23686">
        <w:t>a</w:t>
      </w:r>
      <w:r w:rsidRPr="00B23686">
        <w:t>PTT</w:t>
      </w:r>
      <w:proofErr w:type="spellEnd"/>
      <w:r w:rsidRPr="00B23686">
        <w:t xml:space="preserve"> increases</w:t>
      </w:r>
      <w:r w:rsidRPr="00FC75EF">
        <w:t>.</w:t>
      </w:r>
      <w:r w:rsidR="0046163D">
        <w:t xml:space="preserve"> </w:t>
      </w:r>
      <w:r w:rsidRPr="00FC75EF">
        <w:t xml:space="preserve">Did these patients have existing </w:t>
      </w:r>
      <w:r w:rsidRPr="00FC75EF">
        <w:lastRenderedPageBreak/>
        <w:t>co</w:t>
      </w:r>
      <w:r w:rsidR="00280A23">
        <w:noBreakHyphen/>
      </w:r>
      <w:r w:rsidRPr="00FC75EF">
        <w:t>morbidities or concomitant treatments to explain these increases?</w:t>
      </w:r>
      <w:r w:rsidR="0046163D">
        <w:t xml:space="preserve"> </w:t>
      </w:r>
      <w:r w:rsidRPr="00FC75EF">
        <w:t>Has this effect been seen in other studies of pembrolizumab?</w:t>
      </w:r>
    </w:p>
    <w:p w14:paraId="07F4C923" w14:textId="14BE746D" w:rsidR="00D97998" w:rsidRPr="00FC75EF" w:rsidRDefault="00D97998" w:rsidP="00CB0ECA">
      <w:pPr>
        <w:pStyle w:val="Numberbullet0"/>
        <w:numPr>
          <w:ilvl w:val="0"/>
          <w:numId w:val="8"/>
        </w:numPr>
      </w:pPr>
      <w:r w:rsidRPr="00FC75EF">
        <w:t xml:space="preserve">Was the PD-L1 IHC assay in </w:t>
      </w:r>
      <w:r w:rsidR="00280A23">
        <w:t xml:space="preserve">the </w:t>
      </w:r>
      <w:r w:rsidR="00691589">
        <w:t>KEYNOTE-024</w:t>
      </w:r>
      <w:r w:rsidR="00280A23">
        <w:t xml:space="preserve"> trial</w:t>
      </w:r>
      <w:r w:rsidRPr="00FC75EF">
        <w:t xml:space="preserve"> the same as the DAKO kit registered for use in Australia?</w:t>
      </w:r>
      <w:r w:rsidR="0046163D">
        <w:t xml:space="preserve"> </w:t>
      </w:r>
      <w:r w:rsidRPr="00FC75EF">
        <w:t xml:space="preserve">If not, has there been a bridging study analogous to the one conducted for </w:t>
      </w:r>
      <w:r w:rsidR="00280A23">
        <w:t xml:space="preserve">the </w:t>
      </w:r>
      <w:r w:rsidR="00691589">
        <w:t>KEYNOTE-010</w:t>
      </w:r>
      <w:r w:rsidR="00280A23">
        <w:t xml:space="preserve"> trial</w:t>
      </w:r>
      <w:r w:rsidRPr="00FC75EF">
        <w:t>?</w:t>
      </w:r>
    </w:p>
    <w:p w14:paraId="07F4C924" w14:textId="38973B9D" w:rsidR="00D97998" w:rsidRPr="00D97998" w:rsidRDefault="00D97998" w:rsidP="00CB0ECA">
      <w:pPr>
        <w:pStyle w:val="Numberbullet0"/>
        <w:numPr>
          <w:ilvl w:val="0"/>
          <w:numId w:val="8"/>
        </w:numPr>
        <w:rPr>
          <w:rFonts w:cs="Calibri"/>
        </w:rPr>
      </w:pPr>
      <w:r w:rsidRPr="00D97998">
        <w:rPr>
          <w:rFonts w:cs="Calibri"/>
        </w:rPr>
        <w:t xml:space="preserve">Please comment on PFS and OS outcomes in patients in </w:t>
      </w:r>
      <w:r w:rsidR="00280A23">
        <w:rPr>
          <w:rFonts w:cs="Calibri"/>
        </w:rPr>
        <w:t xml:space="preserve">the </w:t>
      </w:r>
      <w:r w:rsidR="00691589">
        <w:rPr>
          <w:rFonts w:cs="Calibri"/>
        </w:rPr>
        <w:t>KEYNOTE-010</w:t>
      </w:r>
      <w:r w:rsidRPr="00D97998">
        <w:rPr>
          <w:rFonts w:cs="Calibri"/>
        </w:rPr>
        <w:t xml:space="preserve"> and </w:t>
      </w:r>
      <w:r w:rsidR="005B1C86">
        <w:rPr>
          <w:rFonts w:cs="Calibri"/>
        </w:rPr>
        <w:t>KEYNOTE-001</w:t>
      </w:r>
      <w:r w:rsidR="00280A23">
        <w:rPr>
          <w:rFonts w:cs="Calibri"/>
        </w:rPr>
        <w:t xml:space="preserve"> trials</w:t>
      </w:r>
      <w:r w:rsidRPr="00D97998">
        <w:rPr>
          <w:rFonts w:cs="Calibri"/>
        </w:rPr>
        <w:t xml:space="preserve"> with TPS </w:t>
      </w:r>
      <w:r w:rsidR="0046163D">
        <w:t xml:space="preserve">≥ </w:t>
      </w:r>
      <w:r w:rsidRPr="00FC75EF">
        <w:t>1% with (a) EGFR sensitising mutations, and (b) ALK translocations</w:t>
      </w:r>
      <w:r w:rsidRPr="00D97998">
        <w:rPr>
          <w:rFonts w:cs="Calibri"/>
        </w:rPr>
        <w:t>.</w:t>
      </w:r>
    </w:p>
    <w:p w14:paraId="07F4C925" w14:textId="76C3C39F" w:rsidR="00D97998" w:rsidRDefault="00D97998" w:rsidP="00D97998">
      <w:pPr>
        <w:rPr>
          <w:rFonts w:cs="Calibri"/>
          <w:i/>
        </w:rPr>
      </w:pPr>
      <w:r w:rsidRPr="00A954B6">
        <w:rPr>
          <w:rFonts w:cs="Calibri"/>
          <w:i/>
        </w:rPr>
        <w:t xml:space="preserve">In recent correspondence, the sponsor </w:t>
      </w:r>
      <w:r w:rsidR="00C230E1">
        <w:rPr>
          <w:rFonts w:cs="Calibri"/>
          <w:i/>
        </w:rPr>
        <w:t>was</w:t>
      </w:r>
      <w:r w:rsidRPr="00A954B6">
        <w:rPr>
          <w:rFonts w:cs="Calibri"/>
          <w:i/>
        </w:rPr>
        <w:t xml:space="preserve"> also asked to provide a breakdown of reasons for screening failure in </w:t>
      </w:r>
      <w:r w:rsidR="00280A23">
        <w:rPr>
          <w:rFonts w:cs="Calibri"/>
          <w:i/>
        </w:rPr>
        <w:t xml:space="preserve">the </w:t>
      </w:r>
      <w:r w:rsidR="00691589">
        <w:rPr>
          <w:rFonts w:cs="Calibri"/>
          <w:i/>
        </w:rPr>
        <w:t>KEYNOTE-024</w:t>
      </w:r>
      <w:r w:rsidR="00280A23">
        <w:rPr>
          <w:rFonts w:cs="Calibri"/>
          <w:i/>
        </w:rPr>
        <w:t xml:space="preserve"> trial</w:t>
      </w:r>
      <w:r w:rsidRPr="00A954B6">
        <w:rPr>
          <w:rFonts w:cs="Calibri"/>
          <w:i/>
        </w:rPr>
        <w:t>.</w:t>
      </w:r>
    </w:p>
    <w:p w14:paraId="07F4C926" w14:textId="77777777" w:rsidR="001322AC" w:rsidRPr="00D97998" w:rsidRDefault="00C230E1" w:rsidP="008361C7">
      <w:pPr>
        <w:rPr>
          <w:rFonts w:cs="Calibri"/>
          <w:i/>
        </w:rPr>
      </w:pPr>
      <w:r>
        <w:rPr>
          <w:rFonts w:cs="Calibri"/>
          <w:i/>
        </w:rPr>
        <w:t>The sponsor was also requested to</w:t>
      </w:r>
      <w:r w:rsidR="00D97998">
        <w:rPr>
          <w:rFonts w:cs="Calibri"/>
          <w:i/>
        </w:rPr>
        <w:t xml:space="preserve"> respond </w:t>
      </w:r>
      <w:r>
        <w:rPr>
          <w:rFonts w:cs="Calibri"/>
          <w:i/>
        </w:rPr>
        <w:t>(in their response to req</w:t>
      </w:r>
      <w:r w:rsidR="007344B9">
        <w:rPr>
          <w:rFonts w:cs="Calibri"/>
          <w:i/>
        </w:rPr>
        <w:t>uest for AC</w:t>
      </w:r>
      <w:r>
        <w:rPr>
          <w:rFonts w:cs="Calibri"/>
          <w:i/>
        </w:rPr>
        <w:t xml:space="preserve">M advice) </w:t>
      </w:r>
      <w:r w:rsidR="00D97998">
        <w:rPr>
          <w:rFonts w:cs="Calibri"/>
          <w:i/>
        </w:rPr>
        <w:t>to questions asked by the clinical e</w:t>
      </w:r>
      <w:r>
        <w:rPr>
          <w:rFonts w:cs="Calibri"/>
          <w:i/>
        </w:rPr>
        <w:t>valuator for Submission PM-2016</w:t>
      </w:r>
      <w:r>
        <w:rPr>
          <w:rFonts w:cs="Calibri"/>
          <w:i/>
        </w:rPr>
        <w:noBreakHyphen/>
      </w:r>
      <w:r w:rsidR="00D97998">
        <w:rPr>
          <w:rFonts w:cs="Calibri"/>
          <w:i/>
        </w:rPr>
        <w:t>02325-1-4.</w:t>
      </w:r>
    </w:p>
    <w:p w14:paraId="07F4C927" w14:textId="77777777" w:rsidR="00D23139" w:rsidRDefault="00C230E1" w:rsidP="00D23139">
      <w:pPr>
        <w:pStyle w:val="Heading4"/>
      </w:pPr>
      <w:r>
        <w:t>Delegate’s considerations</w:t>
      </w:r>
    </w:p>
    <w:p w14:paraId="07F4C928" w14:textId="26BCC788" w:rsidR="001322AC" w:rsidRPr="00FC75EF" w:rsidRDefault="001322AC" w:rsidP="001322AC">
      <w:r w:rsidRPr="00FC75EF">
        <w:t xml:space="preserve">In </w:t>
      </w:r>
      <w:r w:rsidR="0046163D">
        <w:t>second line</w:t>
      </w:r>
      <w:r w:rsidRPr="00FC75EF">
        <w:t xml:space="preserve"> NSCLC, benefit-risk balance is much more clear-cut in subjects with TPS </w:t>
      </w:r>
      <w:r w:rsidRPr="000F74B7">
        <w:t>(</w:t>
      </w:r>
      <w:r w:rsidRPr="000F74B7">
        <w:rPr>
          <w:rFonts w:eastAsiaTheme="minorHAnsi" w:cs="Arial"/>
        </w:rPr>
        <w:t>percentage of viable tumour cells showing partial or complete membrane staining)</w:t>
      </w:r>
      <w:r w:rsidRPr="00FC75EF">
        <w:t xml:space="preserve"> </w:t>
      </w:r>
      <w:r w:rsidR="0046163D">
        <w:t>≥</w:t>
      </w:r>
      <w:r w:rsidR="00280A23">
        <w:t> </w:t>
      </w:r>
      <w:r w:rsidRPr="00FC75EF">
        <w:t xml:space="preserve">50%, </w:t>
      </w:r>
      <w:r w:rsidR="0046163D">
        <w:t>that is,</w:t>
      </w:r>
      <w:r w:rsidRPr="00FC75EF">
        <w:t xml:space="preserve"> strongly positive PD-L1 expression.</w:t>
      </w:r>
      <w:r w:rsidR="0046163D">
        <w:t xml:space="preserve"> </w:t>
      </w:r>
      <w:r w:rsidRPr="00FC75EF">
        <w:t xml:space="preserve">Efficacy relative to docetaxel (an acceptable standard of care) is less convincing in subjects with TPS </w:t>
      </w:r>
      <w:r w:rsidR="00C329E7">
        <w:t>1 to 49%</w:t>
      </w:r>
      <w:r w:rsidR="000F74B7">
        <w:t>;</w:t>
      </w:r>
      <w:r w:rsidRPr="00FC75EF">
        <w:t xml:space="preserve"> it could loosely be described as </w:t>
      </w:r>
      <w:r>
        <w:t>‘</w:t>
      </w:r>
      <w:r w:rsidRPr="00FC75EF">
        <w:t>unlikely to be worse than docetaxel</w:t>
      </w:r>
      <w:r>
        <w:t>’</w:t>
      </w:r>
      <w:r w:rsidRPr="00FC75EF">
        <w:t>, but there is no non-inferiority study.</w:t>
      </w:r>
      <w:r w:rsidR="0046163D">
        <w:t xml:space="preserve"> </w:t>
      </w:r>
      <w:r w:rsidRPr="00FC75EF">
        <w:t xml:space="preserve">There are some promising aspects of the efficacy data for pembrolizumab in this group with weaker PD-L1 expression: a trend towards better overall survival; and better </w:t>
      </w:r>
      <w:proofErr w:type="spellStart"/>
      <w:r w:rsidR="00AB274A">
        <w:t>DoR</w:t>
      </w:r>
      <w:proofErr w:type="spellEnd"/>
      <w:r w:rsidRPr="00FC75EF">
        <w:t xml:space="preserve"> in the minority (</w:t>
      </w:r>
      <w:r w:rsidR="0046163D">
        <w:t xml:space="preserve">approximately </w:t>
      </w:r>
      <w:r w:rsidRPr="00FC75EF">
        <w:t>10%) who respond.</w:t>
      </w:r>
      <w:r w:rsidR="0046163D">
        <w:t xml:space="preserve"> </w:t>
      </w:r>
      <w:r w:rsidRPr="00FC75EF">
        <w:t xml:space="preserve">This, in conjunction with excellent efficacy at higher levels of tumour PD-L1 expression, efficacy of nivolumab in </w:t>
      </w:r>
      <w:r w:rsidR="00ED4E4E">
        <w:t>second line</w:t>
      </w:r>
      <w:r w:rsidRPr="00FC75EF">
        <w:t xml:space="preserve"> NSCLC, and the distinct toxicity profile of pembrolizumab </w:t>
      </w:r>
      <w:r w:rsidR="0046163D">
        <w:t>versus</w:t>
      </w:r>
      <w:r w:rsidRPr="00FC75EF">
        <w:t xml:space="preserve"> docetaxel, gives </w:t>
      </w:r>
      <w:r>
        <w:t>some</w:t>
      </w:r>
      <w:r w:rsidRPr="00FC75EF">
        <w:t xml:space="preserve"> assurance of a positive benefit-risk balance for Keytruda in the TPS </w:t>
      </w:r>
      <w:r w:rsidR="008141D3">
        <w:t xml:space="preserve">1 </w:t>
      </w:r>
      <w:r w:rsidR="00280A23">
        <w:t>to</w:t>
      </w:r>
      <w:r w:rsidR="008141D3">
        <w:t xml:space="preserve"> 49% </w:t>
      </w:r>
      <w:r w:rsidR="00E52E07">
        <w:t>subgroup;</w:t>
      </w:r>
      <w:r w:rsidRPr="00FC75EF">
        <w:t xml:space="preserve"> although an imbalance in disease progression rates is noted.</w:t>
      </w:r>
    </w:p>
    <w:p w14:paraId="07F4C929" w14:textId="77777777" w:rsidR="001322AC" w:rsidRPr="001322AC" w:rsidRDefault="001322AC" w:rsidP="001322AC">
      <w:r w:rsidRPr="00FC75EF">
        <w:t>In the first</w:t>
      </w:r>
      <w:r w:rsidR="000F74B7">
        <w:t xml:space="preserve"> </w:t>
      </w:r>
      <w:r w:rsidRPr="00FC75EF">
        <w:t>line setting, the benefit-risk balance is also c</w:t>
      </w:r>
      <w:r w:rsidR="000F74B7">
        <w:t>lear-cut in subjects with a TPS ≥ </w:t>
      </w:r>
      <w:r w:rsidRPr="00FC75EF">
        <w:t>50%, with much improved survival, and the suggestion of improved quality of life, with a distinct and on balance superior toxicity profile relative to standard of care.</w:t>
      </w:r>
    </w:p>
    <w:p w14:paraId="07F4C92A" w14:textId="77777777" w:rsidR="00D23139" w:rsidRDefault="00D23139" w:rsidP="00D23139">
      <w:pPr>
        <w:pStyle w:val="Heading4"/>
      </w:pPr>
      <w:r w:rsidRPr="00D23139">
        <w:t>Proposed action</w:t>
      </w:r>
    </w:p>
    <w:p w14:paraId="07F4C92B" w14:textId="77777777" w:rsidR="00A01D75" w:rsidRPr="00FC75EF" w:rsidRDefault="00A01D75" w:rsidP="00A01D75">
      <w:r>
        <w:t>The Delegate’s</w:t>
      </w:r>
      <w:r w:rsidRPr="00FC75EF">
        <w:t xml:space="preserve"> preliminary view is that the submissions are approvable, subject to agreement about an acceptable </w:t>
      </w:r>
      <w:r w:rsidR="00E52E07">
        <w:t>PI</w:t>
      </w:r>
      <w:r w:rsidR="007344B9">
        <w:t xml:space="preserve"> document and advice from ACM.</w:t>
      </w:r>
    </w:p>
    <w:p w14:paraId="07F4C92C" w14:textId="61D5E469" w:rsidR="00A01D75" w:rsidRPr="00A01D75" w:rsidRDefault="00A01D75" w:rsidP="00A01D75">
      <w:r w:rsidRPr="007344B9">
        <w:t xml:space="preserve">Please also note that the sponsor </w:t>
      </w:r>
      <w:r w:rsidR="007344B9">
        <w:t>was</w:t>
      </w:r>
      <w:r w:rsidRPr="007344B9">
        <w:t xml:space="preserve"> asked additional questions (</w:t>
      </w:r>
      <w:r w:rsidR="00D97998" w:rsidRPr="007344B9">
        <w:t xml:space="preserve">see </w:t>
      </w:r>
      <w:r w:rsidR="00280A23">
        <w:t xml:space="preserve">‘Questions for sponsor’ </w:t>
      </w:r>
      <w:r w:rsidR="00D97998" w:rsidRPr="007344B9">
        <w:t>above</w:t>
      </w:r>
      <w:r w:rsidRPr="007344B9">
        <w:t>).</w:t>
      </w:r>
    </w:p>
    <w:p w14:paraId="07F4C92D" w14:textId="333F857F" w:rsidR="00D23139" w:rsidRDefault="00D23139" w:rsidP="00D23139">
      <w:pPr>
        <w:pStyle w:val="Heading4"/>
      </w:pPr>
      <w:r w:rsidRPr="00D23139">
        <w:t>Request for ACM advice</w:t>
      </w:r>
    </w:p>
    <w:p w14:paraId="07F4C92E" w14:textId="77777777" w:rsidR="008361C7" w:rsidRPr="00FC75EF" w:rsidRDefault="008361C7" w:rsidP="008361C7">
      <w:r w:rsidRPr="00FC75EF">
        <w:t xml:space="preserve">The committee </w:t>
      </w:r>
      <w:r w:rsidR="007344B9">
        <w:t>was</w:t>
      </w:r>
      <w:r w:rsidRPr="00FC75EF">
        <w:t xml:space="preserve"> requested to provide advice on the following specific issues:</w:t>
      </w:r>
    </w:p>
    <w:p w14:paraId="07F4C92F" w14:textId="26F131DB" w:rsidR="008361C7" w:rsidRPr="00FC75EF" w:rsidRDefault="008361C7" w:rsidP="00CB0ECA">
      <w:pPr>
        <w:pStyle w:val="Numberbullet0"/>
        <w:numPr>
          <w:ilvl w:val="0"/>
          <w:numId w:val="7"/>
        </w:numPr>
      </w:pPr>
      <w:r w:rsidRPr="00FC75EF">
        <w:t>The clinical evaluator for Submission PM-2016-02325-1-4 (</w:t>
      </w:r>
      <w:r w:rsidR="00985879">
        <w:t>first line</w:t>
      </w:r>
      <w:r w:rsidRPr="00FC75EF">
        <w:t xml:space="preserve"> </w:t>
      </w:r>
      <w:r w:rsidR="00280A23">
        <w:t xml:space="preserve">treatment of </w:t>
      </w:r>
      <w:r w:rsidRPr="00FC75EF">
        <w:t>NSCLC) suggests that the PI recommend a maximum duration of therapy of 35</w:t>
      </w:r>
      <w:r w:rsidR="00280A23">
        <w:t> </w:t>
      </w:r>
      <w:r w:rsidRPr="00FC75EF">
        <w:t xml:space="preserve">treatments (24 months) for </w:t>
      </w:r>
      <w:r w:rsidR="00985879">
        <w:t>first line</w:t>
      </w:r>
      <w:r w:rsidR="00280A23">
        <w:t xml:space="preserve"> treatment of</w:t>
      </w:r>
      <w:r w:rsidRPr="00FC75EF">
        <w:t xml:space="preserve"> NSCLC.</w:t>
      </w:r>
      <w:r w:rsidR="0046163D">
        <w:t xml:space="preserve"> </w:t>
      </w:r>
      <w:r w:rsidRPr="00FC75EF">
        <w:t xml:space="preserve">No subjects in </w:t>
      </w:r>
      <w:r w:rsidR="00280A23">
        <w:t xml:space="preserve">the </w:t>
      </w:r>
      <w:r w:rsidR="00691589">
        <w:t>KEYNOTE-024</w:t>
      </w:r>
      <w:r w:rsidRPr="00FC75EF">
        <w:t xml:space="preserve"> </w:t>
      </w:r>
      <w:r w:rsidR="00280A23">
        <w:t xml:space="preserve">trial </w:t>
      </w:r>
      <w:r w:rsidRPr="00FC75EF">
        <w:t>reached 24 months in the analysis provided.</w:t>
      </w:r>
      <w:r w:rsidR="0046163D">
        <w:t xml:space="preserve"> </w:t>
      </w:r>
      <w:r w:rsidRPr="00FC75EF">
        <w:t>There are no data to inform the decision to stop at 24 months.</w:t>
      </w:r>
      <w:r w:rsidR="0046163D">
        <w:t xml:space="preserve"> </w:t>
      </w:r>
      <w:r w:rsidRPr="00FC75EF">
        <w:t>What should the PI recommend in this regard?</w:t>
      </w:r>
    </w:p>
    <w:p w14:paraId="07F4C930" w14:textId="69309145" w:rsidR="008361C7" w:rsidRPr="00FC75EF" w:rsidRDefault="008361C7" w:rsidP="00CB0ECA">
      <w:pPr>
        <w:pStyle w:val="Numberbullet0"/>
        <w:numPr>
          <w:ilvl w:val="0"/>
          <w:numId w:val="7"/>
        </w:numPr>
      </w:pPr>
      <w:r w:rsidRPr="00FC75EF">
        <w:t xml:space="preserve">Does the ACM consider that the benefit-risk balance is positive in patients with NSCLC who have received </w:t>
      </w:r>
      <w:r w:rsidR="005B1C86">
        <w:t>platinum containing</w:t>
      </w:r>
      <w:r w:rsidRPr="00FC75EF">
        <w:t xml:space="preserve"> chemotherapy and whose tumours </w:t>
      </w:r>
      <w:r w:rsidRPr="00E52E07">
        <w:t>are weakly positive</w:t>
      </w:r>
      <w:r w:rsidRPr="00FC75EF">
        <w:t xml:space="preserve"> for PD-L1?</w:t>
      </w:r>
      <w:r w:rsidR="0046163D">
        <w:t xml:space="preserve"> </w:t>
      </w:r>
      <w:r w:rsidRPr="00FC75EF">
        <w:t xml:space="preserve">Is there any concern regarding the imbalance in disease progression rates in this group, seen in </w:t>
      </w:r>
      <w:r w:rsidR="00280A23">
        <w:t xml:space="preserve">the </w:t>
      </w:r>
      <w:r w:rsidR="00691589">
        <w:t>KEYNOTE-010</w:t>
      </w:r>
      <w:r w:rsidR="00280A23">
        <w:t xml:space="preserve"> trial</w:t>
      </w:r>
      <w:r w:rsidRPr="00FC75EF">
        <w:t>?</w:t>
      </w:r>
    </w:p>
    <w:p w14:paraId="07F4C931" w14:textId="6E08B2B9" w:rsidR="008361C7" w:rsidRPr="00D97998" w:rsidRDefault="008361C7" w:rsidP="00CB0ECA">
      <w:pPr>
        <w:pStyle w:val="Numberbullet0"/>
        <w:numPr>
          <w:ilvl w:val="0"/>
          <w:numId w:val="7"/>
        </w:numPr>
        <w:rPr>
          <w:rFonts w:eastAsia="TimesNewRoman" w:cs="TimesNewRoman"/>
        </w:rPr>
      </w:pPr>
      <w:r w:rsidRPr="00D97998">
        <w:rPr>
          <w:rFonts w:eastAsia="TimesNewRoman" w:cs="TimesNewRoman"/>
        </w:rPr>
        <w:lastRenderedPageBreak/>
        <w:t xml:space="preserve">The </w:t>
      </w:r>
      <w:r w:rsidR="00280A23">
        <w:rPr>
          <w:rFonts w:eastAsia="TimesNewRoman" w:cs="TimesNewRoman"/>
        </w:rPr>
        <w:t>c</w:t>
      </w:r>
      <w:r w:rsidR="00280A23" w:rsidRPr="00D97998">
        <w:rPr>
          <w:rFonts w:eastAsia="TimesNewRoman" w:cs="TimesNewRoman"/>
        </w:rPr>
        <w:t xml:space="preserve">linical </w:t>
      </w:r>
      <w:r w:rsidR="00280A23">
        <w:rPr>
          <w:rFonts w:eastAsia="TimesNewRoman" w:cs="TimesNewRoman"/>
        </w:rPr>
        <w:t>e</w:t>
      </w:r>
      <w:r w:rsidR="00280A23" w:rsidRPr="00D97998">
        <w:rPr>
          <w:rFonts w:eastAsia="TimesNewRoman" w:cs="TimesNewRoman"/>
        </w:rPr>
        <w:t xml:space="preserve">valuator </w:t>
      </w:r>
      <w:r w:rsidRPr="00D97998">
        <w:rPr>
          <w:rFonts w:eastAsia="TimesNewRoman" w:cs="TimesNewRoman"/>
        </w:rPr>
        <w:t xml:space="preserve">and Delegate agree that the PI should present efficacy outcomes for </w:t>
      </w:r>
      <w:r w:rsidR="00ED4E4E">
        <w:rPr>
          <w:rFonts w:eastAsia="TimesNewRoman" w:cs="TimesNewRoman"/>
        </w:rPr>
        <w:t>second line</w:t>
      </w:r>
      <w:r w:rsidRPr="00D97998">
        <w:rPr>
          <w:rFonts w:eastAsia="TimesNewRoman" w:cs="TimesNewRoman"/>
        </w:rPr>
        <w:t xml:space="preserve"> </w:t>
      </w:r>
      <w:r w:rsidR="00280A23">
        <w:rPr>
          <w:rFonts w:eastAsia="TimesNewRoman" w:cs="TimesNewRoman"/>
        </w:rPr>
        <w:t xml:space="preserve">treatment of </w:t>
      </w:r>
      <w:r w:rsidRPr="00D97998">
        <w:rPr>
          <w:rFonts w:eastAsia="TimesNewRoman" w:cs="TimesNewRoman"/>
        </w:rPr>
        <w:t xml:space="preserve">NSCLC patients with PD-L1 expression </w:t>
      </w:r>
      <w:r w:rsidR="00F22BA5">
        <w:rPr>
          <w:rFonts w:eastAsia="TimesNewRoman" w:cs="TimesNewRoman"/>
        </w:rPr>
        <w:t xml:space="preserve">of </w:t>
      </w:r>
      <w:r w:rsidR="008141D3">
        <w:rPr>
          <w:rFonts w:eastAsia="TimesNewRoman" w:cs="TimesNewRoman"/>
        </w:rPr>
        <w:t xml:space="preserve">1 </w:t>
      </w:r>
      <w:r w:rsidR="00F22BA5">
        <w:rPr>
          <w:rFonts w:eastAsia="TimesNewRoman" w:cs="TimesNewRoman"/>
        </w:rPr>
        <w:t>to</w:t>
      </w:r>
      <w:r w:rsidR="008141D3">
        <w:rPr>
          <w:rFonts w:eastAsia="TimesNewRoman" w:cs="TimesNewRoman"/>
        </w:rPr>
        <w:t xml:space="preserve"> 49% </w:t>
      </w:r>
      <w:r w:rsidRPr="00D97998">
        <w:rPr>
          <w:rFonts w:eastAsia="TimesNewRoman" w:cs="TimesNewRoman"/>
        </w:rPr>
        <w:t xml:space="preserve">and </w:t>
      </w:r>
      <w:r w:rsidR="007344B9">
        <w:rPr>
          <w:rFonts w:eastAsia="TimesNewRoman" w:cs="TimesNewRoman"/>
        </w:rPr>
        <w:t>≥ </w:t>
      </w:r>
      <w:r w:rsidRPr="00D97998">
        <w:rPr>
          <w:rFonts w:eastAsia="TimesNewRoman" w:cs="TimesNewRoman"/>
        </w:rPr>
        <w:t>50% separately.</w:t>
      </w:r>
      <w:r w:rsidR="0046163D">
        <w:rPr>
          <w:rFonts w:eastAsia="TimesNewRoman" w:cs="TimesNewRoman"/>
        </w:rPr>
        <w:t xml:space="preserve"> </w:t>
      </w:r>
      <w:r w:rsidRPr="00D97998">
        <w:rPr>
          <w:rFonts w:eastAsia="TimesNewRoman" w:cs="TimesNewRoman"/>
        </w:rPr>
        <w:t xml:space="preserve">The sponsor argues that, in keeping with the study design, data should be presented for </w:t>
      </w:r>
      <w:r w:rsidR="00ED4E4E">
        <w:rPr>
          <w:rFonts w:eastAsia="TimesNewRoman" w:cs="TimesNewRoman"/>
        </w:rPr>
        <w:t>second line</w:t>
      </w:r>
      <w:r w:rsidR="00F22BA5">
        <w:rPr>
          <w:rFonts w:eastAsia="TimesNewRoman" w:cs="TimesNewRoman"/>
        </w:rPr>
        <w:t xml:space="preserve"> treated</w:t>
      </w:r>
      <w:r w:rsidRPr="00D97998">
        <w:rPr>
          <w:rFonts w:eastAsia="TimesNewRoman" w:cs="TimesNewRoman"/>
        </w:rPr>
        <w:t xml:space="preserve"> NSCLC patients with PD-L1 expression </w:t>
      </w:r>
      <w:r w:rsidR="0046163D">
        <w:rPr>
          <w:rFonts w:eastAsia="TimesNewRoman" w:cs="TimesNewRoman"/>
        </w:rPr>
        <w:t xml:space="preserve">≥ </w:t>
      </w:r>
      <w:r w:rsidRPr="00D97998">
        <w:rPr>
          <w:rFonts w:eastAsia="TimesNewRoman" w:cs="TimesNewRoman"/>
        </w:rPr>
        <w:t>1% (</w:t>
      </w:r>
      <w:r w:rsidR="0046163D">
        <w:rPr>
          <w:rFonts w:eastAsia="TimesNewRoman" w:cs="TimesNewRoman"/>
        </w:rPr>
        <w:t>that is,</w:t>
      </w:r>
      <w:r w:rsidRPr="00D97998">
        <w:rPr>
          <w:rFonts w:eastAsia="TimesNewRoman" w:cs="TimesNewRoman"/>
        </w:rPr>
        <w:t xml:space="preserve"> including both TPS </w:t>
      </w:r>
      <w:r w:rsidR="008141D3">
        <w:rPr>
          <w:rFonts w:eastAsia="TimesNewRoman" w:cs="TimesNewRoman"/>
        </w:rPr>
        <w:t xml:space="preserve">1 </w:t>
      </w:r>
      <w:r w:rsidR="00F22BA5">
        <w:rPr>
          <w:rFonts w:eastAsia="TimesNewRoman" w:cs="TimesNewRoman"/>
        </w:rPr>
        <w:t>to</w:t>
      </w:r>
      <w:r w:rsidR="008141D3">
        <w:rPr>
          <w:rFonts w:eastAsia="TimesNewRoman" w:cs="TimesNewRoman"/>
        </w:rPr>
        <w:t xml:space="preserve"> 49% </w:t>
      </w:r>
      <w:r w:rsidRPr="00D97998">
        <w:rPr>
          <w:rFonts w:eastAsia="TimesNewRoman" w:cs="TimesNewRoman"/>
        </w:rPr>
        <w:t xml:space="preserve">and TPS </w:t>
      </w:r>
      <w:r w:rsidR="0046163D">
        <w:rPr>
          <w:rFonts w:eastAsia="TimesNewRoman" w:cs="TimesNewRoman"/>
        </w:rPr>
        <w:t xml:space="preserve">≥ </w:t>
      </w:r>
      <w:r w:rsidRPr="00D97998">
        <w:rPr>
          <w:rFonts w:eastAsia="TimesNewRoman" w:cs="TimesNewRoman"/>
        </w:rPr>
        <w:t xml:space="preserve">50%) and </w:t>
      </w:r>
      <w:r w:rsidR="0046163D">
        <w:rPr>
          <w:rFonts w:eastAsia="TimesNewRoman" w:cs="TimesNewRoman"/>
        </w:rPr>
        <w:t xml:space="preserve">≥ </w:t>
      </w:r>
      <w:r w:rsidRPr="00D97998">
        <w:rPr>
          <w:rFonts w:eastAsia="TimesNewRoman" w:cs="TimesNewRoman"/>
        </w:rPr>
        <w:t>50% separately.</w:t>
      </w:r>
      <w:r w:rsidR="0046163D">
        <w:rPr>
          <w:rFonts w:eastAsia="TimesNewRoman" w:cs="TimesNewRoman"/>
        </w:rPr>
        <w:t xml:space="preserve"> </w:t>
      </w:r>
      <w:r w:rsidRPr="00D97998">
        <w:rPr>
          <w:rFonts w:eastAsia="TimesNewRoman" w:cs="TimesNewRoman"/>
        </w:rPr>
        <w:t>What is the preferable approach for clinicians and consumers to communication of efficacy outcomes in the PI?</w:t>
      </w:r>
    </w:p>
    <w:p w14:paraId="07F4C932" w14:textId="1ED5B059" w:rsidR="008361C7" w:rsidRPr="00FC75EF" w:rsidRDefault="008361C7" w:rsidP="00CB0ECA">
      <w:pPr>
        <w:pStyle w:val="Numberbullet0"/>
        <w:numPr>
          <w:ilvl w:val="0"/>
          <w:numId w:val="7"/>
        </w:numPr>
      </w:pPr>
      <w:r w:rsidRPr="00FC75EF">
        <w:t>Are there any concerns about the generali</w:t>
      </w:r>
      <w:r w:rsidR="00F22BA5">
        <w:t>s</w:t>
      </w:r>
      <w:r w:rsidRPr="00FC75EF">
        <w:t xml:space="preserve">ability of </w:t>
      </w:r>
      <w:r w:rsidR="007344B9">
        <w:t xml:space="preserve">outcomes from </w:t>
      </w:r>
      <w:r w:rsidR="00F22BA5">
        <w:t xml:space="preserve">the </w:t>
      </w:r>
      <w:r w:rsidR="00691589">
        <w:t>KEYNOTE</w:t>
      </w:r>
      <w:r w:rsidR="00ED1195">
        <w:noBreakHyphen/>
      </w:r>
      <w:r w:rsidR="00691589">
        <w:t>010</w:t>
      </w:r>
      <w:r w:rsidR="00ED1195">
        <w:t xml:space="preserve"> trial</w:t>
      </w:r>
      <w:r w:rsidR="007344B9">
        <w:t xml:space="preserve"> to the real </w:t>
      </w:r>
      <w:r w:rsidRPr="00FC75EF">
        <w:t xml:space="preserve">world situation, given </w:t>
      </w:r>
      <w:r w:rsidR="007344B9">
        <w:t xml:space="preserve">real </w:t>
      </w:r>
      <w:r>
        <w:t xml:space="preserve">world </w:t>
      </w:r>
      <w:r w:rsidRPr="00FC75EF">
        <w:t>use of a different assay?</w:t>
      </w:r>
    </w:p>
    <w:p w14:paraId="07F4C933" w14:textId="77777777" w:rsidR="008361C7" w:rsidRPr="00FC75EF" w:rsidRDefault="008361C7" w:rsidP="00CB0ECA">
      <w:pPr>
        <w:pStyle w:val="Numberbullet0"/>
        <w:numPr>
          <w:ilvl w:val="0"/>
          <w:numId w:val="7"/>
        </w:numPr>
      </w:pPr>
      <w:r w:rsidRPr="00FC75EF">
        <w:t>Does the ACM consider that NSCLC indications should be limited to metastatic disease?</w:t>
      </w:r>
    </w:p>
    <w:p w14:paraId="07F4C934" w14:textId="77777777" w:rsidR="008361C7" w:rsidRPr="00FC75EF" w:rsidRDefault="008361C7" w:rsidP="00CB0ECA">
      <w:pPr>
        <w:pStyle w:val="Numberbullet0"/>
        <w:numPr>
          <w:ilvl w:val="0"/>
          <w:numId w:val="7"/>
        </w:numPr>
      </w:pPr>
      <w:r w:rsidRPr="00D97998">
        <w:rPr>
          <w:rFonts w:eastAsiaTheme="minorHAnsi" w:cs="ArialMT"/>
        </w:rPr>
        <w:t xml:space="preserve">Does the ACM consider that the </w:t>
      </w:r>
      <w:r w:rsidR="00ED4E4E">
        <w:rPr>
          <w:rFonts w:eastAsiaTheme="minorHAnsi" w:cs="ArialMT"/>
        </w:rPr>
        <w:t>second line</w:t>
      </w:r>
      <w:r w:rsidRPr="00D97998">
        <w:rPr>
          <w:rFonts w:eastAsiaTheme="minorHAnsi" w:cs="ArialMT"/>
        </w:rPr>
        <w:t xml:space="preserve"> indication should require patients to have </w:t>
      </w:r>
      <w:r w:rsidR="007344B9">
        <w:rPr>
          <w:rFonts w:eastAsiaTheme="minorHAnsi" w:cs="ArialMT"/>
        </w:rPr>
        <w:t xml:space="preserve">progressed on or after platinum </w:t>
      </w:r>
      <w:r w:rsidRPr="00D97998">
        <w:rPr>
          <w:rFonts w:eastAsiaTheme="minorHAnsi" w:cs="ArialMT"/>
        </w:rPr>
        <w:t>containing chemotherapy?</w:t>
      </w:r>
    </w:p>
    <w:p w14:paraId="07F4C935" w14:textId="1B325A6A" w:rsidR="008361C7" w:rsidRPr="00FC75EF" w:rsidRDefault="008361C7" w:rsidP="00CB0ECA">
      <w:pPr>
        <w:pStyle w:val="Numberbullet0"/>
        <w:numPr>
          <w:ilvl w:val="0"/>
          <w:numId w:val="7"/>
        </w:numPr>
      </w:pPr>
      <w:r w:rsidRPr="00FC75EF">
        <w:t xml:space="preserve">Given the apparently low ORRs in </w:t>
      </w:r>
      <w:r w:rsidR="00ED4E4E">
        <w:t>second line</w:t>
      </w:r>
      <w:r w:rsidRPr="00FC75EF">
        <w:t xml:space="preserve"> patients with EGFR sensitising mutations or ALK translocation, is the sponsor’s proposed </w:t>
      </w:r>
      <w:r>
        <w:t>indication wording</w:t>
      </w:r>
      <w:r w:rsidRPr="00FC75EF">
        <w:t xml:space="preserve"> (</w:t>
      </w:r>
      <w:r w:rsidR="00ED1195">
        <w:t>‘</w:t>
      </w:r>
      <w:r w:rsidRPr="00FC75EF">
        <w:t xml:space="preserve">patients with EGFR or ALK genomic tumour aberrations should also have received approved therapy for these aberrations prior to receiving </w:t>
      </w:r>
      <w:r w:rsidR="00C329E7">
        <w:t>Keytruda</w:t>
      </w:r>
      <w:r w:rsidRPr="00FC75EF">
        <w:t xml:space="preserve"> [see CLINICAL TRIALS]</w:t>
      </w:r>
      <w:r w:rsidR="00ED1195">
        <w:t>’</w:t>
      </w:r>
      <w:r w:rsidRPr="00FC75EF">
        <w:t>) acceptable?</w:t>
      </w:r>
    </w:p>
    <w:p w14:paraId="07F4C936" w14:textId="77777777" w:rsidR="008361C7" w:rsidRDefault="008361C7" w:rsidP="00CB0ECA">
      <w:pPr>
        <w:pStyle w:val="Numberbullet0"/>
        <w:numPr>
          <w:ilvl w:val="0"/>
          <w:numId w:val="7"/>
        </w:numPr>
      </w:pPr>
      <w:r w:rsidRPr="00FC75EF">
        <w:t xml:space="preserve">Is there sufficient evidence </w:t>
      </w:r>
      <w:r>
        <w:t xml:space="preserve">of causality </w:t>
      </w:r>
      <w:r w:rsidRPr="00FC75EF">
        <w:t>to support a Precaution for myasthenic syndrome, and to include myasthenic syndrome as an important identified risk in the RMP?</w:t>
      </w:r>
    </w:p>
    <w:p w14:paraId="07F4C937" w14:textId="77777777" w:rsidR="008361C7" w:rsidRPr="00FC75EF" w:rsidRDefault="008361C7" w:rsidP="00CB0ECA">
      <w:pPr>
        <w:pStyle w:val="Numberbullet0"/>
        <w:numPr>
          <w:ilvl w:val="0"/>
          <w:numId w:val="7"/>
        </w:numPr>
      </w:pPr>
      <w:r w:rsidRPr="00FC75EF">
        <w:t xml:space="preserve">Is there sufficient evidence </w:t>
      </w:r>
      <w:r>
        <w:t xml:space="preserve">of causality </w:t>
      </w:r>
      <w:r w:rsidRPr="00FC75EF">
        <w:t xml:space="preserve">to support a Precaution for </w:t>
      </w:r>
      <w:r>
        <w:t>myocarditis</w:t>
      </w:r>
      <w:r w:rsidRPr="00FC75EF">
        <w:t xml:space="preserve">, and to include </w:t>
      </w:r>
      <w:r>
        <w:t>myocarditis</w:t>
      </w:r>
      <w:r w:rsidRPr="00FC75EF">
        <w:t xml:space="preserve"> as an important identified risk in the RMP?</w:t>
      </w:r>
    </w:p>
    <w:p w14:paraId="07F4C938" w14:textId="77777777" w:rsidR="008361C7" w:rsidRPr="008361C7" w:rsidRDefault="008361C7" w:rsidP="008361C7">
      <w:r w:rsidRPr="00FC75EF">
        <w:t>The committee is also requested to provide advice on any other issues that it thinks may be relevant to a decision on whether or not to approve this application.</w:t>
      </w:r>
    </w:p>
    <w:p w14:paraId="07F4C939" w14:textId="77777777" w:rsidR="00D23139" w:rsidRDefault="00D23139" w:rsidP="00D23139">
      <w:pPr>
        <w:pStyle w:val="Heading4"/>
      </w:pPr>
      <w:r w:rsidRPr="00D23139">
        <w:t xml:space="preserve">Response from </w:t>
      </w:r>
      <w:r w:rsidR="007344B9">
        <w:t>sponsor</w:t>
      </w:r>
    </w:p>
    <w:p w14:paraId="07F4C93A" w14:textId="77777777" w:rsidR="00D97998" w:rsidRDefault="00D97998" w:rsidP="00D97998">
      <w:pPr>
        <w:pStyle w:val="Heading5"/>
      </w:pPr>
      <w:r>
        <w:t>Response from sponsor to Delegate’s questions for sponsor</w:t>
      </w:r>
    </w:p>
    <w:p w14:paraId="07F4C93B" w14:textId="75C35AA3" w:rsidR="00D97998" w:rsidRPr="00803D07" w:rsidRDefault="00D97998" w:rsidP="00CB0ECA">
      <w:pPr>
        <w:pStyle w:val="Numberbullet0"/>
        <w:numPr>
          <w:ilvl w:val="0"/>
          <w:numId w:val="9"/>
        </w:numPr>
        <w:rPr>
          <w:i/>
        </w:rPr>
      </w:pPr>
      <w:r w:rsidRPr="00B23686">
        <w:rPr>
          <w:i/>
        </w:rPr>
        <w:t xml:space="preserve">With reference to </w:t>
      </w:r>
      <w:r w:rsidR="00A60FAD">
        <w:rPr>
          <w:i/>
        </w:rPr>
        <w:t xml:space="preserve">the </w:t>
      </w:r>
      <w:r w:rsidR="00691589" w:rsidRPr="00B23686">
        <w:rPr>
          <w:i/>
        </w:rPr>
        <w:t>KEYNOTE-010</w:t>
      </w:r>
      <w:r w:rsidR="00A60FAD">
        <w:rPr>
          <w:i/>
        </w:rPr>
        <w:t xml:space="preserve"> trial</w:t>
      </w:r>
      <w:r w:rsidRPr="00B23686">
        <w:rPr>
          <w:i/>
        </w:rPr>
        <w:t xml:space="preserve">, please explain the imbalance across arms in the </w:t>
      </w:r>
      <w:r w:rsidR="00A60FAD">
        <w:rPr>
          <w:i/>
        </w:rPr>
        <w:t>adverse event</w:t>
      </w:r>
      <w:r w:rsidRPr="00B23686">
        <w:rPr>
          <w:i/>
        </w:rPr>
        <w:t xml:space="preserve">s of ‘hyponatraemia’ </w:t>
      </w:r>
      <w:r w:rsidRPr="00803D07">
        <w:rPr>
          <w:i/>
        </w:rPr>
        <w:t>and ‘decreased weight’.</w:t>
      </w:r>
    </w:p>
    <w:p w14:paraId="07F4C93D" w14:textId="34002BAE" w:rsidR="00D97998" w:rsidRDefault="00D97998" w:rsidP="00D97998">
      <w:r w:rsidRPr="00D97998">
        <w:t>Mechanistically, hyponatremia is expected to occur with pembrolizumab only in the context</w:t>
      </w:r>
      <w:r>
        <w:t xml:space="preserve"> </w:t>
      </w:r>
      <w:r w:rsidR="007344B9">
        <w:t xml:space="preserve">of immune </w:t>
      </w:r>
      <w:r w:rsidRPr="00D97998">
        <w:t xml:space="preserve">mediated endocrine abnormalities, such as adrenal insufficiency or </w:t>
      </w:r>
      <w:proofErr w:type="spellStart"/>
      <w:r w:rsidRPr="00D97998">
        <w:t>hypophysitis</w:t>
      </w:r>
      <w:proofErr w:type="spellEnd"/>
      <w:r w:rsidRPr="00D97998">
        <w:t>.</w:t>
      </w:r>
      <w:r>
        <w:t xml:space="preserve"> </w:t>
      </w:r>
      <w:r w:rsidRPr="00D97998">
        <w:t>The events of hyponatraemia occurred more frequently than th</w:t>
      </w:r>
      <w:r>
        <w:t xml:space="preserve">e reported incidence of adrenal </w:t>
      </w:r>
      <w:r w:rsidRPr="00D97998">
        <w:t>insufficiency (0.6% for pembrolizumab 2 mg/kg and 0.9%</w:t>
      </w:r>
      <w:r>
        <w:t xml:space="preserve"> for pembrolizumab 10 mg/kg) or </w:t>
      </w:r>
      <w:proofErr w:type="spellStart"/>
      <w:r w:rsidRPr="00D97998">
        <w:t>hypophysitis</w:t>
      </w:r>
      <w:proofErr w:type="spellEnd"/>
      <w:r w:rsidRPr="00D97998">
        <w:t xml:space="preserve"> (0.3% </w:t>
      </w:r>
      <w:proofErr w:type="spellStart"/>
      <w:r w:rsidRPr="00D97998">
        <w:t>pembrolizumab</w:t>
      </w:r>
      <w:proofErr w:type="spellEnd"/>
      <w:r w:rsidRPr="00D97998">
        <w:t xml:space="preserve"> 2 mg/kg and 10</w:t>
      </w:r>
      <w:r>
        <w:t xml:space="preserve"> mg/kg each) in </w:t>
      </w:r>
      <w:r w:rsidR="00A60FAD">
        <w:t xml:space="preserve">the </w:t>
      </w:r>
      <w:r>
        <w:t>KEYNOTE-010</w:t>
      </w:r>
      <w:r w:rsidR="00A60FAD">
        <w:t xml:space="preserve"> trial</w:t>
      </w:r>
      <w:r>
        <w:t xml:space="preserve">. In </w:t>
      </w:r>
      <w:r w:rsidR="00A60FAD">
        <w:t xml:space="preserve">the </w:t>
      </w:r>
      <w:r w:rsidRPr="00D97998">
        <w:t>KEYNOTE-010</w:t>
      </w:r>
      <w:r w:rsidR="00A60FAD">
        <w:t xml:space="preserve"> trial</w:t>
      </w:r>
      <w:r w:rsidRPr="00D97998">
        <w:t>, hyponatraemia was observed more frequ</w:t>
      </w:r>
      <w:r>
        <w:t xml:space="preserve">ently in the pembrolizumab arms </w:t>
      </w:r>
      <w:r w:rsidRPr="00D97998">
        <w:t>(docetaxel 1.0%, pembrolizumab 2 mg/kg 3.8%, pembrol</w:t>
      </w:r>
      <w:r>
        <w:t>izumab 10 mg/kg 4.1</w:t>
      </w:r>
      <w:r w:rsidRPr="00880EEA">
        <w:t xml:space="preserve">%; </w:t>
      </w:r>
      <w:r w:rsidR="00A60FAD">
        <w:t xml:space="preserve">(see </w:t>
      </w:r>
      <w:r w:rsidRPr="00880EEA">
        <w:t xml:space="preserve">Table </w:t>
      </w:r>
      <w:r w:rsidR="00880EEA" w:rsidRPr="00880EEA">
        <w:t>2</w:t>
      </w:r>
      <w:r w:rsidRPr="00880EEA">
        <w:t>1</w:t>
      </w:r>
      <w:r w:rsidR="00A60FAD">
        <w:t>, below</w:t>
      </w:r>
      <w:r w:rsidRPr="00880EEA">
        <w:t>)</w:t>
      </w:r>
      <w:r w:rsidR="00A60FAD">
        <w:t>)</w:t>
      </w:r>
      <w:r w:rsidRPr="00880EEA">
        <w:t xml:space="preserve">. However, patients treated with </w:t>
      </w:r>
      <w:r w:rsidR="007344B9" w:rsidRPr="00880EEA">
        <w:t>pembrolizumab</w:t>
      </w:r>
      <w:r w:rsidRPr="00880EEA">
        <w:t xml:space="preserve"> had approximately double the exposure as those treated with docetaxel, and the exposure-adjusted incidence of hyponat</w:t>
      </w:r>
      <w:r w:rsidR="00E33D27">
        <w:t>r</w:t>
      </w:r>
      <w:r w:rsidRPr="00880EEA">
        <w:t xml:space="preserve">aemia reflected this as seen in Table </w:t>
      </w:r>
      <w:r w:rsidR="00880EEA" w:rsidRPr="00880EEA">
        <w:t>2</w:t>
      </w:r>
      <w:r w:rsidRPr="00880EEA">
        <w:t>2</w:t>
      </w:r>
      <w:r w:rsidR="00E33D27">
        <w:t xml:space="preserve"> (also below,</w:t>
      </w:r>
      <w:r w:rsidRPr="00880EEA">
        <w:t xml:space="preserve"> 0.4 events/100 person-months docetaxel, 0.7 events/100 person</w:t>
      </w:r>
      <w:r w:rsidR="00E33D27">
        <w:t xml:space="preserve"> </w:t>
      </w:r>
      <w:r w:rsidRPr="00880EEA">
        <w:t>months pembrolizumab</w:t>
      </w:r>
      <w:r w:rsidRPr="00D97998">
        <w:t xml:space="preserve"> 2 mg/kg, and 1.0 events/100</w:t>
      </w:r>
      <w:r w:rsidR="007344B9">
        <w:t xml:space="preserve"> person </w:t>
      </w:r>
      <w:r>
        <w:t>months pembrolizumab 10</w:t>
      </w:r>
      <w:r w:rsidR="00E33D27">
        <w:t> </w:t>
      </w:r>
      <w:r w:rsidRPr="00D97998">
        <w:t>mg/kg). Importantly, while more cases of hyponatraem</w:t>
      </w:r>
      <w:r>
        <w:t xml:space="preserve">ia were reported in </w:t>
      </w:r>
      <w:r w:rsidR="00E33D27">
        <w:t xml:space="preserve">the </w:t>
      </w:r>
      <w:r>
        <w:t>KEYNOTE-010</w:t>
      </w:r>
      <w:r w:rsidR="00E33D27">
        <w:t xml:space="preserve"> trial</w:t>
      </w:r>
      <w:r>
        <w:t xml:space="preserve"> </w:t>
      </w:r>
      <w:r w:rsidRPr="00D97998">
        <w:t>on the pembrolizumab arms than the docetaxel arm, th</w:t>
      </w:r>
      <w:r>
        <w:t xml:space="preserve">e frequency was similar between </w:t>
      </w:r>
      <w:r w:rsidRPr="00D97998">
        <w:t xml:space="preserve">pembrolizumab and chemotherapy in </w:t>
      </w:r>
      <w:r w:rsidR="00E33D27">
        <w:t xml:space="preserve">the </w:t>
      </w:r>
      <w:r w:rsidRPr="00D97998">
        <w:t>KEYNOTE-02</w:t>
      </w:r>
      <w:r>
        <w:t>4</w:t>
      </w:r>
      <w:r w:rsidR="00E33D27">
        <w:t xml:space="preserve"> trial</w:t>
      </w:r>
      <w:r>
        <w:t xml:space="preserve">. Hyponatraemia in </w:t>
      </w:r>
      <w:r w:rsidR="00E33D27">
        <w:t xml:space="preserve">the </w:t>
      </w:r>
      <w:r>
        <w:t>KEYNOTE-024</w:t>
      </w:r>
      <w:r w:rsidR="00E33D27">
        <w:t xml:space="preserve"> trial</w:t>
      </w:r>
      <w:r>
        <w:t xml:space="preserve"> </w:t>
      </w:r>
      <w:r w:rsidRPr="00D97998">
        <w:t>occurred in 7.1% of the pembrolizumab arm and 8.0% of th</w:t>
      </w:r>
      <w:r>
        <w:t>e platinum</w:t>
      </w:r>
      <w:r w:rsidR="00E33D27">
        <w:t xml:space="preserve"> </w:t>
      </w:r>
      <w:r>
        <w:t xml:space="preserve">doublet control arm. </w:t>
      </w:r>
      <w:r w:rsidRPr="00D97998">
        <w:t xml:space="preserve">In the NSCLC portion of </w:t>
      </w:r>
      <w:r w:rsidR="00E33D27">
        <w:t xml:space="preserve">the </w:t>
      </w:r>
      <w:r w:rsidRPr="00D97998">
        <w:t>KEYNOTE-001</w:t>
      </w:r>
      <w:r w:rsidR="00E33D27">
        <w:t xml:space="preserve"> trial</w:t>
      </w:r>
      <w:r w:rsidRPr="00D97998">
        <w:t>, the frequ</w:t>
      </w:r>
      <w:r>
        <w:t xml:space="preserve">ency of hyponatraemia was 5.6%. </w:t>
      </w:r>
      <w:r w:rsidRPr="00D97998">
        <w:t xml:space="preserve">Therefore, the </w:t>
      </w:r>
      <w:r w:rsidR="007344B9">
        <w:t>sponsor</w:t>
      </w:r>
      <w:r w:rsidRPr="00D97998">
        <w:t xml:space="preserve"> considers the </w:t>
      </w:r>
      <w:r w:rsidRPr="00D97998">
        <w:lastRenderedPageBreak/>
        <w:t>imbalance across th</w:t>
      </w:r>
      <w:r>
        <w:t xml:space="preserve">e arms of </w:t>
      </w:r>
      <w:r w:rsidR="00E33D27">
        <w:t xml:space="preserve">the </w:t>
      </w:r>
      <w:r>
        <w:t>KEYNOTE-010</w:t>
      </w:r>
      <w:r w:rsidR="00E33D27">
        <w:t xml:space="preserve"> trial</w:t>
      </w:r>
      <w:r>
        <w:t xml:space="preserve"> regarding </w:t>
      </w:r>
      <w:r w:rsidRPr="00D97998">
        <w:t>the incidence of hyponatraemia to be due to random variati</w:t>
      </w:r>
      <w:r>
        <w:t xml:space="preserve">on and differences in exposure, </w:t>
      </w:r>
      <w:r w:rsidRPr="00D97998">
        <w:t>and not related to pembrolizumab.</w:t>
      </w:r>
    </w:p>
    <w:p w14:paraId="07F4C93E" w14:textId="141902FB" w:rsidR="00D97998" w:rsidRPr="00D97998" w:rsidRDefault="00D97998" w:rsidP="00D97998">
      <w:r w:rsidRPr="00D97998">
        <w:t xml:space="preserve">In </w:t>
      </w:r>
      <w:r w:rsidR="00E33D27">
        <w:t xml:space="preserve">the </w:t>
      </w:r>
      <w:r w:rsidRPr="00D97998">
        <w:t>KEYNOTE-010</w:t>
      </w:r>
      <w:r w:rsidR="00E33D27">
        <w:t xml:space="preserve"> trial</w:t>
      </w:r>
      <w:r w:rsidRPr="00D97998">
        <w:t>, weight decreased was observed more frequently in the pembrolizumab</w:t>
      </w:r>
      <w:r>
        <w:t xml:space="preserve"> </w:t>
      </w:r>
      <w:r w:rsidRPr="00D97998">
        <w:t>arms (docetaxel 2.9%, pembrolizumab 2 mg/kg 8.0</w:t>
      </w:r>
      <w:r>
        <w:t>%, pembrolizumab 10</w:t>
      </w:r>
      <w:r w:rsidR="00E33D27">
        <w:t> </w:t>
      </w:r>
      <w:r>
        <w:t xml:space="preserve">mg/kg 9.0%; </w:t>
      </w:r>
      <w:r w:rsidR="00E33D27">
        <w:t xml:space="preserve">see </w:t>
      </w:r>
      <w:r w:rsidRPr="00880EEA">
        <w:t xml:space="preserve">Table </w:t>
      </w:r>
      <w:r w:rsidR="00880EEA" w:rsidRPr="00880EEA">
        <w:t>2</w:t>
      </w:r>
      <w:r w:rsidRPr="00880EEA">
        <w:t>1). A decreased appetite could account for this observation, although when looking</w:t>
      </w:r>
      <w:r>
        <w:t xml:space="preserve"> at </w:t>
      </w:r>
      <w:r w:rsidRPr="00D97998">
        <w:t xml:space="preserve">an exposure adjusted analysis, the docetaxel arm, which </w:t>
      </w:r>
      <w:r>
        <w:t xml:space="preserve">had a shorter exposure than the </w:t>
      </w:r>
      <w:r w:rsidRPr="00D97998">
        <w:t>pembrolizumab arms to the assigned treatment, had a higher i</w:t>
      </w:r>
      <w:r>
        <w:t xml:space="preserve">ncidence of decreased appetite, </w:t>
      </w:r>
      <w:r w:rsidRPr="00D97998">
        <w:t xml:space="preserve">but a lower incidence of weight decreased, and the </w:t>
      </w:r>
      <w:r>
        <w:t xml:space="preserve">pembrolizumab arms had a longer </w:t>
      </w:r>
      <w:r w:rsidRPr="00D97998">
        <w:t xml:space="preserve">exposure to pembrolizumab but a lower incidence of </w:t>
      </w:r>
      <w:r>
        <w:t xml:space="preserve">decreased appetite and a higher </w:t>
      </w:r>
      <w:r w:rsidRPr="00D97998">
        <w:t xml:space="preserve">incidence of weight </w:t>
      </w:r>
      <w:r w:rsidRPr="00880EEA">
        <w:t>decreased (</w:t>
      </w:r>
      <w:r w:rsidR="00E33D27">
        <w:t xml:space="preserve">see </w:t>
      </w:r>
      <w:r w:rsidRPr="00880EEA">
        <w:t xml:space="preserve">Table </w:t>
      </w:r>
      <w:r w:rsidR="00880EEA" w:rsidRPr="00880EEA">
        <w:t>2</w:t>
      </w:r>
      <w:r w:rsidRPr="00880EEA">
        <w:t>2</w:t>
      </w:r>
      <w:r w:rsidR="00E33D27">
        <w:t>,</w:t>
      </w:r>
      <w:r w:rsidRPr="00880EEA">
        <w:t xml:space="preserve"> be</w:t>
      </w:r>
      <w:r w:rsidRPr="00D97998">
        <w:t>low). However, th</w:t>
      </w:r>
      <w:r>
        <w:t xml:space="preserve">e incidence of weight decreased </w:t>
      </w:r>
      <w:r w:rsidRPr="00D97998">
        <w:t>was always less than decreased appetite.</w:t>
      </w:r>
    </w:p>
    <w:p w14:paraId="07F4C93F" w14:textId="1E941EBE" w:rsidR="00D97998" w:rsidRPr="00393AAC" w:rsidRDefault="00D97998" w:rsidP="00393AAC">
      <w:r w:rsidRPr="00D97998">
        <w:t xml:space="preserve">In contrast, in </w:t>
      </w:r>
      <w:r w:rsidR="00E33D27">
        <w:t xml:space="preserve">the </w:t>
      </w:r>
      <w:r w:rsidRPr="00D97998">
        <w:t>KEYNOTE-024</w:t>
      </w:r>
      <w:r w:rsidR="00E33D27">
        <w:t xml:space="preserve"> trial</w:t>
      </w:r>
      <w:r w:rsidRPr="00D97998">
        <w:t>, weight decreased was sim</w:t>
      </w:r>
      <w:r>
        <w:t xml:space="preserve">ilar between the </w:t>
      </w:r>
      <w:r w:rsidR="00E33D27">
        <w:t xml:space="preserve">2 </w:t>
      </w:r>
      <w:r>
        <w:t xml:space="preserve">arms (8.4% </w:t>
      </w:r>
      <w:r w:rsidRPr="00D97998">
        <w:t>pemb</w:t>
      </w:r>
      <w:r w:rsidR="007344B9">
        <w:t xml:space="preserve">rolizumab, 7.3% in the platinum </w:t>
      </w:r>
      <w:r w:rsidRPr="00D97998">
        <w:t>doublet chemoth</w:t>
      </w:r>
      <w:r>
        <w:t xml:space="preserve">erapy). Similar to </w:t>
      </w:r>
      <w:r w:rsidR="00E33D27">
        <w:t xml:space="preserve">the </w:t>
      </w:r>
      <w:r>
        <w:t>KEYNOTE-010</w:t>
      </w:r>
      <w:r w:rsidR="00E33D27">
        <w:t xml:space="preserve"> trial</w:t>
      </w:r>
      <w:r>
        <w:t xml:space="preserve">, </w:t>
      </w:r>
      <w:r w:rsidRPr="00D97998">
        <w:t xml:space="preserve">in </w:t>
      </w:r>
      <w:r w:rsidR="00E33D27">
        <w:t xml:space="preserve">the </w:t>
      </w:r>
      <w:r w:rsidRPr="00D97998">
        <w:t>KEYNOTE-024</w:t>
      </w:r>
      <w:r w:rsidR="00E33D27">
        <w:t xml:space="preserve"> trial</w:t>
      </w:r>
      <w:r w:rsidRPr="00D97998">
        <w:t xml:space="preserve"> decreased appetite was greater in the con</w:t>
      </w:r>
      <w:r>
        <w:t xml:space="preserve">trol arm (32.7%) than the </w:t>
      </w:r>
      <w:r w:rsidRPr="00D97998">
        <w:t xml:space="preserve">pembrolizumab arm (20.1%). Therefore, the </w:t>
      </w:r>
      <w:r w:rsidR="007344B9">
        <w:t>sponsor</w:t>
      </w:r>
      <w:r w:rsidRPr="00D97998">
        <w:t xml:space="preserve"> considers the imbalance across the</w:t>
      </w:r>
      <w:r w:rsidR="00393AAC">
        <w:t xml:space="preserve"> </w:t>
      </w:r>
      <w:r w:rsidRPr="00393AAC">
        <w:t xml:space="preserve">arms of </w:t>
      </w:r>
      <w:r w:rsidR="00E33D27">
        <w:t xml:space="preserve">the </w:t>
      </w:r>
      <w:r w:rsidRPr="00393AAC">
        <w:t>KEYNOTE-010</w:t>
      </w:r>
      <w:r w:rsidR="00E33D27">
        <w:t xml:space="preserve"> trial</w:t>
      </w:r>
      <w:r w:rsidRPr="00393AAC">
        <w:t xml:space="preserve"> regarding the incidence of weight decrease to be to random</w:t>
      </w:r>
      <w:r w:rsidR="00393AAC">
        <w:t xml:space="preserve"> </w:t>
      </w:r>
      <w:r w:rsidRPr="00393AAC">
        <w:t>variation and not related to pembrolizumab.</w:t>
      </w:r>
    </w:p>
    <w:p w14:paraId="07F4C940" w14:textId="5D2DF669" w:rsidR="00D97998" w:rsidRPr="00393AAC" w:rsidRDefault="00393AAC" w:rsidP="00B23686">
      <w:pPr>
        <w:pStyle w:val="Tabletitle0"/>
      </w:pPr>
      <w:r w:rsidRPr="00393AAC">
        <w:t xml:space="preserve">Table </w:t>
      </w:r>
      <w:r w:rsidR="00880EEA">
        <w:t>2</w:t>
      </w:r>
      <w:r w:rsidRPr="00393AAC">
        <w:t>1:</w:t>
      </w:r>
      <w:r>
        <w:t xml:space="preserve"> </w:t>
      </w:r>
      <w:r w:rsidRPr="00393AAC">
        <w:t xml:space="preserve">Select </w:t>
      </w:r>
      <w:r w:rsidR="00E33D27">
        <w:t>a</w:t>
      </w:r>
      <w:r w:rsidRPr="00393AAC">
        <w:t xml:space="preserve">dverse </w:t>
      </w:r>
      <w:r w:rsidR="00E33D27">
        <w:t>e</w:t>
      </w:r>
      <w:r w:rsidRPr="00393AAC">
        <w:t xml:space="preserve">vents and </w:t>
      </w:r>
      <w:r w:rsidR="00E33D27">
        <w:t>a</w:t>
      </w:r>
      <w:r w:rsidRPr="00393AAC">
        <w:t xml:space="preserve">dverse </w:t>
      </w:r>
      <w:r w:rsidR="00E33D27">
        <w:t>e</w:t>
      </w:r>
      <w:r w:rsidRPr="00393AAC">
        <w:t xml:space="preserve">vents of </w:t>
      </w:r>
      <w:r w:rsidR="00E33D27">
        <w:t>s</w:t>
      </w:r>
      <w:r w:rsidRPr="00393AAC">
        <w:t>pec</w:t>
      </w:r>
      <w:r>
        <w:t xml:space="preserve">ial </w:t>
      </w:r>
      <w:r w:rsidR="00E33D27">
        <w:t>i</w:t>
      </w:r>
      <w:r>
        <w:t xml:space="preserve">nterest by </w:t>
      </w:r>
      <w:r w:rsidR="00E33D27">
        <w:t>m</w:t>
      </w:r>
      <w:r>
        <w:t xml:space="preserve">aximum </w:t>
      </w:r>
      <w:r w:rsidR="00E33D27">
        <w:t>t</w:t>
      </w:r>
      <w:r w:rsidRPr="00393AAC">
        <w:t xml:space="preserve">oxicity </w:t>
      </w:r>
      <w:r w:rsidR="00E33D27">
        <w:t>g</w:t>
      </w:r>
      <w:r w:rsidRPr="00393AAC">
        <w:t>rade</w:t>
      </w:r>
      <w:r w:rsidR="00E33D27">
        <w:t xml:space="preserve">; </w:t>
      </w:r>
      <w:r w:rsidRPr="00393AAC">
        <w:t>KEYNOTE-010</w:t>
      </w:r>
      <w:r w:rsidR="00E33D27">
        <w:t xml:space="preserve"> trial</w:t>
      </w:r>
      <w:r w:rsidRPr="00393AAC">
        <w:t xml:space="preserve">, </w:t>
      </w:r>
      <w:proofErr w:type="spellStart"/>
      <w:r w:rsidRPr="00393AAC">
        <w:t>APaT</w:t>
      </w:r>
      <w:proofErr w:type="spellEnd"/>
      <w:r w:rsidRPr="00393AAC">
        <w:t xml:space="preserve"> (TPS</w:t>
      </w:r>
      <w:r w:rsidR="00C37728">
        <w:t xml:space="preserve"> </w:t>
      </w:r>
      <w:r w:rsidR="0046163D">
        <w:t xml:space="preserve">≥ </w:t>
      </w:r>
      <w:r w:rsidRPr="00393AAC">
        <w:t>1%)</w:t>
      </w:r>
    </w:p>
    <w:p w14:paraId="07F4C941" w14:textId="77777777" w:rsidR="00D97998" w:rsidRDefault="00393AAC" w:rsidP="00D97998">
      <w:r>
        <w:rPr>
          <w:noProof/>
          <w:lang w:eastAsia="en-AU"/>
        </w:rPr>
        <w:drawing>
          <wp:inline distT="0" distB="0" distL="0" distR="0" wp14:anchorId="07F4C9F4" wp14:editId="07F4C9F5">
            <wp:extent cx="4462272" cy="4053707"/>
            <wp:effectExtent l="0" t="0" r="0" b="4445"/>
            <wp:docPr id="9" name="Picture 9" descr="Table 21: Select Adverse Events and Adverse Events of Special Interest (AEOSI) by Maximum Toxicity Grade, KEYNOTE-010, APaT (TP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63448" cy="4054775"/>
                    </a:xfrm>
                    <a:prstGeom prst="rect">
                      <a:avLst/>
                    </a:prstGeom>
                  </pic:spPr>
                </pic:pic>
              </a:graphicData>
            </a:graphic>
          </wp:inline>
        </w:drawing>
      </w:r>
    </w:p>
    <w:p w14:paraId="07F4C942" w14:textId="540491B8" w:rsidR="00D97998" w:rsidRPr="00393AAC" w:rsidRDefault="00393AAC" w:rsidP="00B23686">
      <w:pPr>
        <w:pStyle w:val="Tabletitle0"/>
      </w:pPr>
      <w:r w:rsidRPr="00393AAC">
        <w:lastRenderedPageBreak/>
        <w:t xml:space="preserve">Table </w:t>
      </w:r>
      <w:r w:rsidR="00880EEA">
        <w:t>2</w:t>
      </w:r>
      <w:r w:rsidRPr="00393AAC">
        <w:t>2:</w:t>
      </w:r>
      <w:r>
        <w:t xml:space="preserve"> </w:t>
      </w:r>
      <w:r w:rsidRPr="00393AAC">
        <w:t xml:space="preserve">Selected </w:t>
      </w:r>
      <w:r w:rsidR="00E33D27">
        <w:t>e</w:t>
      </w:r>
      <w:r>
        <w:t>xposure-</w:t>
      </w:r>
      <w:r w:rsidR="00E33D27">
        <w:t>a</w:t>
      </w:r>
      <w:r>
        <w:t xml:space="preserve">djusted </w:t>
      </w:r>
      <w:r w:rsidR="00E33D27">
        <w:t>a</w:t>
      </w:r>
      <w:r>
        <w:t xml:space="preserve">dverse </w:t>
      </w:r>
      <w:r w:rsidR="00E33D27">
        <w:t xml:space="preserve">events </w:t>
      </w:r>
      <w:r w:rsidRPr="00393AAC">
        <w:t>(</w:t>
      </w:r>
      <w:r w:rsidR="00E33D27">
        <w:t>i</w:t>
      </w:r>
      <w:r w:rsidRPr="00393AAC">
        <w:t xml:space="preserve">ncluding </w:t>
      </w:r>
      <w:r w:rsidR="00E33D27">
        <w:t xml:space="preserve">multiple occurrences of events) subjects from the </w:t>
      </w:r>
      <w:r w:rsidR="00691589">
        <w:t>KEYNOTE-010</w:t>
      </w:r>
      <w:r w:rsidR="00E33D27">
        <w:t xml:space="preserve"> trial</w:t>
      </w:r>
      <w:r>
        <w:t xml:space="preserve"> </w:t>
      </w:r>
      <w:r w:rsidRPr="00393AAC">
        <w:t>(</w:t>
      </w:r>
      <w:r w:rsidR="002D1E8D">
        <w:t>All subjects as treated</w:t>
      </w:r>
      <w:r w:rsidR="002D1E8D" w:rsidRPr="00393AAC">
        <w:t xml:space="preserve"> </w:t>
      </w:r>
      <w:r w:rsidR="00E33D27">
        <w:t>p</w:t>
      </w:r>
      <w:r w:rsidRPr="00393AAC">
        <w:t>opulation)</w:t>
      </w:r>
    </w:p>
    <w:p w14:paraId="07F4C943" w14:textId="77777777" w:rsidR="00D97998" w:rsidRDefault="00393AAC" w:rsidP="00D97998">
      <w:r>
        <w:rPr>
          <w:noProof/>
          <w:lang w:eastAsia="en-AU"/>
        </w:rPr>
        <w:drawing>
          <wp:inline distT="0" distB="0" distL="0" distR="0" wp14:anchorId="07F4C9F6" wp14:editId="07F4C9F7">
            <wp:extent cx="5098694" cy="2860390"/>
            <wp:effectExtent l="0" t="0" r="6985" b="0"/>
            <wp:docPr id="10" name="Picture 10" descr="Table 22: Selected Exposure-Adjusted Adverse Events (Including Multiple Occurrences of Events) Subjects from KEYNOTE-010 (AS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00298" cy="2861290"/>
                    </a:xfrm>
                    <a:prstGeom prst="rect">
                      <a:avLst/>
                    </a:prstGeom>
                  </pic:spPr>
                </pic:pic>
              </a:graphicData>
            </a:graphic>
          </wp:inline>
        </w:drawing>
      </w:r>
    </w:p>
    <w:p w14:paraId="07F4C944" w14:textId="0F863F6F" w:rsidR="00D97998" w:rsidRPr="00B23686" w:rsidRDefault="00D97998" w:rsidP="00CB0ECA">
      <w:pPr>
        <w:pStyle w:val="Numberbullet0"/>
        <w:numPr>
          <w:ilvl w:val="0"/>
          <w:numId w:val="9"/>
        </w:numPr>
        <w:rPr>
          <w:i/>
        </w:rPr>
      </w:pPr>
      <w:r w:rsidRPr="00B23686">
        <w:rPr>
          <w:i/>
        </w:rPr>
        <w:t>With reference to Submission PM-2016-02325-1-4</w:t>
      </w:r>
      <w:r w:rsidR="00E33D27">
        <w:rPr>
          <w:i/>
        </w:rPr>
        <w:t xml:space="preserve"> (</w:t>
      </w:r>
      <w:r w:rsidRPr="00B23686">
        <w:rPr>
          <w:i/>
        </w:rPr>
        <w:t xml:space="preserve">refer to </w:t>
      </w:r>
      <w:r w:rsidR="007344B9" w:rsidRPr="00B23686">
        <w:rPr>
          <w:i/>
        </w:rPr>
        <w:t>Attachment 3</w:t>
      </w:r>
      <w:r w:rsidRPr="00B23686">
        <w:rPr>
          <w:i/>
        </w:rPr>
        <w:t>, Section 7.2.1.10</w:t>
      </w:r>
      <w:r w:rsidR="00E33D27">
        <w:rPr>
          <w:i/>
        </w:rPr>
        <w:t>) p</w:t>
      </w:r>
      <w:r w:rsidRPr="00B23686">
        <w:rPr>
          <w:i/>
        </w:rPr>
        <w:t>lease comment on the distribution of major protocol deviations across arms, and whether any imbalances could have biased study outcomes.</w:t>
      </w:r>
    </w:p>
    <w:p w14:paraId="07F4C946" w14:textId="57DE1915" w:rsidR="00393AAC" w:rsidRPr="00880EEA" w:rsidRDefault="00F840F1" w:rsidP="00F840F1">
      <w:r w:rsidRPr="00F840F1">
        <w:t xml:space="preserve">The </w:t>
      </w:r>
      <w:r w:rsidR="007344B9">
        <w:t>market authorisation holder (</w:t>
      </w:r>
      <w:r w:rsidRPr="00F840F1">
        <w:t>MAH</w:t>
      </w:r>
      <w:r w:rsidR="007344B9">
        <w:t>)</w:t>
      </w:r>
      <w:r w:rsidRPr="00F840F1">
        <w:t xml:space="preserve"> refers the reviewers </w:t>
      </w:r>
      <w:r w:rsidR="000F74B7">
        <w:t>(</w:t>
      </w:r>
      <w:r w:rsidRPr="00F840F1">
        <w:t xml:space="preserve">to </w:t>
      </w:r>
      <w:r w:rsidR="00E33D27">
        <w:t xml:space="preserve">an appendix </w:t>
      </w:r>
      <w:proofErr w:type="gramStart"/>
      <w:r w:rsidR="00E33D27">
        <w:t>of  the</w:t>
      </w:r>
      <w:proofErr w:type="gramEnd"/>
      <w:r w:rsidR="00E33D27">
        <w:t xml:space="preserve"> CSR [not reproduced] </w:t>
      </w:r>
      <w:r w:rsidRPr="00F840F1">
        <w:t xml:space="preserve">which includes a detailed listing of major protocol deviations for each subject. </w:t>
      </w:r>
      <w:r w:rsidR="00E33D27">
        <w:t xml:space="preserve">A table </w:t>
      </w:r>
      <w:r w:rsidR="00AE636C">
        <w:t>[not reproduced]</w:t>
      </w:r>
      <w:r w:rsidRPr="00F840F1">
        <w:t xml:space="preserve"> in the CSR lists the few clinically important deviations, however no subjects were excluded from the efficacy analyses. In addition</w:t>
      </w:r>
      <w:r w:rsidRPr="00880EEA">
        <w:t xml:space="preserve">, Table </w:t>
      </w:r>
      <w:r w:rsidR="00880EEA" w:rsidRPr="00880EEA">
        <w:t>23</w:t>
      </w:r>
      <w:r w:rsidRPr="00F840F1">
        <w:t xml:space="preserve"> below, provides an overview of the major protocol deviations for </w:t>
      </w:r>
      <w:r w:rsidR="00AE636C">
        <w:t xml:space="preserve">the </w:t>
      </w:r>
      <w:r w:rsidRPr="00F840F1">
        <w:t xml:space="preserve">KEYNOTE-024 </w:t>
      </w:r>
      <w:r w:rsidR="00AE636C">
        <w:t xml:space="preserve">trial </w:t>
      </w:r>
      <w:r w:rsidRPr="00F840F1">
        <w:t xml:space="preserve">by deviation category and the number and </w:t>
      </w:r>
      <w:r w:rsidRPr="00880EEA">
        <w:t>percentage that occurred by arm.</w:t>
      </w:r>
    </w:p>
    <w:p w14:paraId="07F4C947" w14:textId="132E08F6" w:rsidR="00393AAC" w:rsidRPr="00F840F1" w:rsidRDefault="00F840F1" w:rsidP="00B23686">
      <w:pPr>
        <w:pStyle w:val="Tabletitle0"/>
      </w:pPr>
      <w:r w:rsidRPr="00880EEA">
        <w:t xml:space="preserve">Table </w:t>
      </w:r>
      <w:r w:rsidR="00880EEA">
        <w:t>23:</w:t>
      </w:r>
      <w:r>
        <w:t xml:space="preserve"> </w:t>
      </w:r>
      <w:r w:rsidR="000F74B7">
        <w:t>KEYNOTE-024;</w:t>
      </w:r>
      <w:r w:rsidRPr="00F840F1">
        <w:t xml:space="preserve"> Overview of major protocol</w:t>
      </w:r>
      <w:r>
        <w:t xml:space="preserve"> </w:t>
      </w:r>
      <w:r w:rsidRPr="00F840F1">
        <w:t>deviations</w:t>
      </w:r>
    </w:p>
    <w:p w14:paraId="07F4C948" w14:textId="77777777" w:rsidR="00393AAC" w:rsidRPr="00393AAC" w:rsidRDefault="00F840F1" w:rsidP="00393AAC">
      <w:r>
        <w:rPr>
          <w:noProof/>
          <w:lang w:eastAsia="en-AU"/>
        </w:rPr>
        <w:drawing>
          <wp:inline distT="0" distB="0" distL="0" distR="0" wp14:anchorId="07F4C9F8" wp14:editId="07F4C9F9">
            <wp:extent cx="5089347" cy="2209190"/>
            <wp:effectExtent l="0" t="0" r="0" b="635"/>
            <wp:docPr id="11" name="Picture 11" descr="Table 23: KEYNOTE-024; Overview of major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96287" cy="2212202"/>
                    </a:xfrm>
                    <a:prstGeom prst="rect">
                      <a:avLst/>
                    </a:prstGeom>
                  </pic:spPr>
                </pic:pic>
              </a:graphicData>
            </a:graphic>
          </wp:inline>
        </w:drawing>
      </w:r>
    </w:p>
    <w:p w14:paraId="07F4C949" w14:textId="77777777" w:rsidR="00D97998" w:rsidRPr="00B23686" w:rsidRDefault="00D97998" w:rsidP="007344B9">
      <w:pPr>
        <w:pStyle w:val="Numberbullet0"/>
        <w:keepNext/>
        <w:numPr>
          <w:ilvl w:val="0"/>
          <w:numId w:val="9"/>
        </w:numPr>
        <w:rPr>
          <w:i/>
        </w:rPr>
      </w:pPr>
      <w:r w:rsidRPr="00B23686">
        <w:rPr>
          <w:i/>
        </w:rPr>
        <w:t>Is pembrolizumab known to exacerbate COPD? Could reports of COPD be misdiagnosed cases of pneumonitis?</w:t>
      </w:r>
    </w:p>
    <w:p w14:paraId="07F4C94B" w14:textId="138EB85E" w:rsidR="00F840F1" w:rsidRPr="00F840F1" w:rsidRDefault="00F840F1" w:rsidP="00F840F1">
      <w:r w:rsidRPr="00F840F1">
        <w:t>Pembrolizumab is not known to exacerbate COPD. There is not a mechanistic reason by</w:t>
      </w:r>
      <w:r>
        <w:t xml:space="preserve"> </w:t>
      </w:r>
      <w:r w:rsidRPr="00F840F1">
        <w:t>which pembrolizumab should exacerbate COPD. Chronic b</w:t>
      </w:r>
      <w:r>
        <w:t xml:space="preserve">ronchitis and emphysema are two </w:t>
      </w:r>
      <w:r w:rsidRPr="00F840F1">
        <w:t>conditions that also represent subtypes of chronic obstructi</w:t>
      </w:r>
      <w:r>
        <w:t xml:space="preserve">ve pulmonary disease (COPD). In </w:t>
      </w:r>
      <w:r w:rsidR="00AE636C">
        <w:t xml:space="preserve">the </w:t>
      </w:r>
      <w:r w:rsidRPr="00F840F1">
        <w:t xml:space="preserve">KEYNOTE-010 </w:t>
      </w:r>
      <w:r w:rsidR="00AE636C">
        <w:t xml:space="preserve">trial </w:t>
      </w:r>
      <w:r w:rsidRPr="00F840F1">
        <w:t xml:space="preserve">the rates of COPD were 2.7% for </w:t>
      </w:r>
      <w:r>
        <w:t xml:space="preserve">pembrolizumab 2 mg/kg, 1.7% for </w:t>
      </w:r>
      <w:r w:rsidRPr="00F840F1">
        <w:t xml:space="preserve">pembrolizumab 10 mg/kg, and 0.6% for docetaxel; rates of chronic </w:t>
      </w:r>
      <w:r w:rsidRPr="00F840F1">
        <w:lastRenderedPageBreak/>
        <w:t xml:space="preserve">bronchitis were 0.0% </w:t>
      </w:r>
      <w:r>
        <w:t xml:space="preserve">for </w:t>
      </w:r>
      <w:r w:rsidRPr="00F840F1">
        <w:t>pembrolizumab 2 mg/kg, 0.3% for pembrolizumab 10 mg/</w:t>
      </w:r>
      <w:r>
        <w:t xml:space="preserve">kg, and 0.3% for docetaxel; and </w:t>
      </w:r>
      <w:r w:rsidRPr="00F840F1">
        <w:t>rates of emphysema were 0.0% across both pembr</w:t>
      </w:r>
      <w:r>
        <w:t xml:space="preserve">olizumab and docetaxel arms. In </w:t>
      </w:r>
      <w:r w:rsidRPr="00F840F1">
        <w:t>KEYNOTE-024 the rate of COPD in the pembrolizumab a</w:t>
      </w:r>
      <w:r>
        <w:t xml:space="preserve">rm was 5.7% and the control arm </w:t>
      </w:r>
      <w:r w:rsidRPr="00F840F1">
        <w:t>was 0.7%; chronic bronchitis was 0.0% in both arms;</w:t>
      </w:r>
      <w:r>
        <w:t xml:space="preserve"> and emphysema was 0.0% in both </w:t>
      </w:r>
      <w:r w:rsidRPr="00F840F1">
        <w:t>arms. Pre</w:t>
      </w:r>
      <w:r w:rsidR="007344B9">
        <w:t>-</w:t>
      </w:r>
      <w:r w:rsidRPr="00F840F1">
        <w:t>existing COPD, including chronic bronc</w:t>
      </w:r>
      <w:r>
        <w:t xml:space="preserve">hitis or emphysema, in subjects </w:t>
      </w:r>
      <w:r w:rsidRPr="00F840F1">
        <w:t>randomi</w:t>
      </w:r>
      <w:r w:rsidR="00EB1053">
        <w:t>s</w:t>
      </w:r>
      <w:r w:rsidRPr="00F840F1">
        <w:t xml:space="preserve">ed to pembrolizumab in </w:t>
      </w:r>
      <w:r w:rsidR="00AE636C">
        <w:t xml:space="preserve">the </w:t>
      </w:r>
      <w:r w:rsidRPr="00F840F1">
        <w:t xml:space="preserve">KEYNOTE-010 </w:t>
      </w:r>
      <w:r w:rsidR="00AE636C">
        <w:t xml:space="preserve">trial </w:t>
      </w:r>
      <w:r w:rsidRPr="00F840F1">
        <w:t>w</w:t>
      </w:r>
      <w:r>
        <w:t xml:space="preserve">as 16.5% and in </w:t>
      </w:r>
      <w:r w:rsidR="00AE636C">
        <w:t xml:space="preserve">the </w:t>
      </w:r>
      <w:r>
        <w:t xml:space="preserve">KEYNOTE-024 </w:t>
      </w:r>
      <w:r w:rsidR="00AE636C">
        <w:t xml:space="preserve">trial </w:t>
      </w:r>
      <w:r>
        <w:t xml:space="preserve">was </w:t>
      </w:r>
      <w:r w:rsidRPr="00F840F1">
        <w:t xml:space="preserve">29.9%. </w:t>
      </w:r>
      <w:r w:rsidR="007344B9" w:rsidRPr="00F840F1">
        <w:t>Pre-existing</w:t>
      </w:r>
      <w:r w:rsidRPr="00F840F1">
        <w:t xml:space="preserve"> COPD amongst the subjects in the contro</w:t>
      </w:r>
      <w:r>
        <w:t xml:space="preserve">l arms of these studies was 19% </w:t>
      </w:r>
      <w:r w:rsidRPr="00F840F1">
        <w:t xml:space="preserve">for KEYNOTE-010 and 29% for </w:t>
      </w:r>
      <w:r w:rsidR="00AE636C">
        <w:t xml:space="preserve">the </w:t>
      </w:r>
      <w:r w:rsidRPr="00F840F1">
        <w:t>KEYNOTE-024</w:t>
      </w:r>
      <w:r w:rsidR="00AE636C">
        <w:t xml:space="preserve"> trial</w:t>
      </w:r>
      <w:r w:rsidRPr="00F840F1">
        <w:t>, comparab</w:t>
      </w:r>
      <w:r>
        <w:t xml:space="preserve">le to the pembrolizumab arms in </w:t>
      </w:r>
      <w:r w:rsidRPr="00F840F1">
        <w:t xml:space="preserve">the respective studies. </w:t>
      </w:r>
      <w:proofErr w:type="spellStart"/>
      <w:r w:rsidRPr="00195AC5">
        <w:t>Seemungal</w:t>
      </w:r>
      <w:proofErr w:type="spellEnd"/>
      <w:r w:rsidRPr="00195AC5">
        <w:t xml:space="preserve"> et al.</w:t>
      </w:r>
      <w:r w:rsidRPr="00931E21">
        <w:t xml:space="preserve"> noted in </w:t>
      </w:r>
      <w:r w:rsidRPr="00195AC5">
        <w:t>The International Journal of COPD on the 27 May 2009</w:t>
      </w:r>
      <w:r w:rsidR="00AE636C">
        <w:t>;</w:t>
      </w:r>
      <w:r w:rsidR="00931E21" w:rsidRPr="00195AC5">
        <w:rPr>
          <w:rStyle w:val="FootnoteReference"/>
        </w:rPr>
        <w:footnoteReference w:id="33"/>
      </w:r>
      <w:r w:rsidRPr="00F840F1">
        <w:t xml:space="preserve"> that patients with COPD may expect 0.5 to</w:t>
      </w:r>
      <w:r>
        <w:t xml:space="preserve"> 3.5 exacerbations per year. Of </w:t>
      </w:r>
      <w:r w:rsidRPr="00F840F1">
        <w:t>those with a medical history of COPD and treated with</w:t>
      </w:r>
      <w:r>
        <w:t xml:space="preserve"> pembrolizumab, 9% of them from </w:t>
      </w:r>
      <w:r w:rsidRPr="00F840F1">
        <w:t xml:space="preserve">KEYNOTE-010 and 17% of them from </w:t>
      </w:r>
      <w:r w:rsidR="00AE636C">
        <w:t xml:space="preserve">the </w:t>
      </w:r>
      <w:r w:rsidRPr="00F840F1">
        <w:t>KEYNOTE-</w:t>
      </w:r>
      <w:r>
        <w:t>024</w:t>
      </w:r>
      <w:r w:rsidR="00AE636C">
        <w:t xml:space="preserve"> trial</w:t>
      </w:r>
      <w:r>
        <w:t xml:space="preserve"> developed an </w:t>
      </w:r>
      <w:r w:rsidR="00AE636C">
        <w:t xml:space="preserve">adverse event </w:t>
      </w:r>
      <w:r>
        <w:t xml:space="preserve">of COPD. Of </w:t>
      </w:r>
      <w:r w:rsidRPr="00F840F1">
        <w:t>those with a medical history of COPD and treated wit</w:t>
      </w:r>
      <w:r>
        <w:t xml:space="preserve">h chemotherapy, 5% of them from </w:t>
      </w:r>
      <w:r w:rsidRPr="00F840F1">
        <w:t>KEYNOTE-010 and 2% of them from</w:t>
      </w:r>
      <w:r w:rsidR="00AE636C">
        <w:t xml:space="preserve"> the</w:t>
      </w:r>
      <w:r w:rsidRPr="00F840F1">
        <w:t xml:space="preserve"> KEYNOTE-024 </w:t>
      </w:r>
      <w:r w:rsidR="00AE636C">
        <w:t xml:space="preserve">trial </w:t>
      </w:r>
      <w:r w:rsidRPr="00F840F1">
        <w:t>de</w:t>
      </w:r>
      <w:r>
        <w:t xml:space="preserve">veloped an </w:t>
      </w:r>
      <w:r w:rsidR="00AE636C">
        <w:t xml:space="preserve">adverse event </w:t>
      </w:r>
      <w:r>
        <w:t xml:space="preserve">of COPD. The rate </w:t>
      </w:r>
      <w:r w:rsidRPr="00F840F1">
        <w:t xml:space="preserve">of an </w:t>
      </w:r>
      <w:r w:rsidR="00AE636C">
        <w:t>adverse event</w:t>
      </w:r>
      <w:r w:rsidR="00AE636C" w:rsidRPr="00F840F1">
        <w:t xml:space="preserve"> </w:t>
      </w:r>
      <w:r w:rsidRPr="00F840F1">
        <w:t>of COPD developing in subjects with a medical history of COPD who are receiving</w:t>
      </w:r>
      <w:r>
        <w:t xml:space="preserve"> </w:t>
      </w:r>
      <w:r w:rsidRPr="00F840F1">
        <w:t>pembrolizumab in KEYNOTE-010 is likely due to chance and not indicative of a causal</w:t>
      </w:r>
      <w:r>
        <w:t xml:space="preserve"> </w:t>
      </w:r>
      <w:r w:rsidRPr="00F840F1">
        <w:t xml:space="preserve">relationship of exacerbation by pembrolizumab. While </w:t>
      </w:r>
      <w:r>
        <w:t xml:space="preserve">the percentage of subjects from </w:t>
      </w:r>
      <w:r w:rsidR="00AE636C">
        <w:t xml:space="preserve">the </w:t>
      </w:r>
      <w:r w:rsidRPr="00F840F1">
        <w:t xml:space="preserve">KEYNOTE-024 </w:t>
      </w:r>
      <w:r w:rsidR="00AE636C">
        <w:t xml:space="preserve">trial </w:t>
      </w:r>
      <w:r w:rsidRPr="00F840F1">
        <w:t>may seem high, it is because of the small nu</w:t>
      </w:r>
      <w:r>
        <w:t xml:space="preserve">mber of subjects. </w:t>
      </w:r>
      <w:proofErr w:type="gramStart"/>
      <w:r>
        <w:t>Note</w:t>
      </w:r>
      <w:r w:rsidR="00AE636C">
        <w:t xml:space="preserve"> </w:t>
      </w:r>
      <w:r>
        <w:t xml:space="preserve">that the </w:t>
      </w:r>
      <w:r w:rsidRPr="00F840F1">
        <w:t>incidence of COPD in the control arm may seem lo</w:t>
      </w:r>
      <w:r>
        <w:t xml:space="preserve">wer because corticosteroids are </w:t>
      </w:r>
      <w:r w:rsidRPr="00F840F1">
        <w:t>administered regularly as premedication every 3</w:t>
      </w:r>
      <w:r w:rsidR="00AE636C">
        <w:t> </w:t>
      </w:r>
      <w:r w:rsidRPr="00F840F1">
        <w:t>weeks for re</w:t>
      </w:r>
      <w:r>
        <w:t xml:space="preserve">ceipt of the treatment, whereas </w:t>
      </w:r>
      <w:r w:rsidRPr="00F840F1">
        <w:t>for the pembrolizumab corticosteroids were avoi</w:t>
      </w:r>
      <w:r>
        <w:t>ded, except to manage toxicity.</w:t>
      </w:r>
      <w:proofErr w:type="gramEnd"/>
      <w:r>
        <w:t xml:space="preserve"> </w:t>
      </w:r>
      <w:r w:rsidRPr="00F840F1">
        <w:t>Corticosteroids are often used to treat COPD exacerbat</w:t>
      </w:r>
      <w:r>
        <w:t xml:space="preserve">ions. The rates of COPD amongst </w:t>
      </w:r>
      <w:r w:rsidRPr="00F840F1">
        <w:t>those with a prior history of COPD when exposed to pembr</w:t>
      </w:r>
      <w:r>
        <w:t xml:space="preserve">olizumab seemed consistent with </w:t>
      </w:r>
      <w:r w:rsidRPr="00F840F1">
        <w:t xml:space="preserve">that exposed to chemotherapy, especially considering the </w:t>
      </w:r>
      <w:r>
        <w:t xml:space="preserve">frequency of COPD exacerbations </w:t>
      </w:r>
      <w:r w:rsidRPr="00F840F1">
        <w:t>in an individual subject based on natural history of the disease.</w:t>
      </w:r>
    </w:p>
    <w:p w14:paraId="07F4C94C" w14:textId="2289EE7B" w:rsidR="00F840F1" w:rsidRPr="00F840F1" w:rsidRDefault="00F840F1" w:rsidP="00F840F1">
      <w:r w:rsidRPr="00F840F1">
        <w:t>The seeming increased incidence of COPD amongst subjects exposed to pembrolizumab may</w:t>
      </w:r>
      <w:r>
        <w:t xml:space="preserve"> </w:t>
      </w:r>
      <w:r w:rsidRPr="00F840F1">
        <w:t>also be contributed to by the duration of exposure to pem</w:t>
      </w:r>
      <w:r>
        <w:t xml:space="preserve">brolizumab relative to control. </w:t>
      </w:r>
      <w:r w:rsidRPr="00F840F1">
        <w:t>Despite a near doubling of the exposure to pembrolizumab compa</w:t>
      </w:r>
      <w:r>
        <w:t xml:space="preserve">red to docetaxel, the </w:t>
      </w:r>
      <w:r w:rsidR="007344B9">
        <w:t xml:space="preserve">exposure </w:t>
      </w:r>
      <w:r w:rsidRPr="00F840F1">
        <w:t xml:space="preserve">adjusted incidence of </w:t>
      </w:r>
      <w:r w:rsidR="00AE636C">
        <w:t xml:space="preserve">COPD </w:t>
      </w:r>
      <w:r>
        <w:t xml:space="preserve">was double or less in </w:t>
      </w:r>
      <w:r w:rsidR="00AE636C">
        <w:t xml:space="preserve">the </w:t>
      </w:r>
      <w:r w:rsidRPr="00F840F1">
        <w:t>KEYNOTE-010</w:t>
      </w:r>
      <w:r w:rsidR="00AE636C">
        <w:t xml:space="preserve"> trial</w:t>
      </w:r>
      <w:r w:rsidRPr="00F840F1">
        <w:t xml:space="preserve"> (docetaxel 0.3 events/100 person mo</w:t>
      </w:r>
      <w:r>
        <w:t xml:space="preserve">nths, pembrolizumab 2 mg/kg 0.6 </w:t>
      </w:r>
      <w:r w:rsidR="007344B9">
        <w:t xml:space="preserve">events/100 person </w:t>
      </w:r>
      <w:r w:rsidRPr="00F840F1">
        <w:t>months, pembrolizumab 10 mg/kg, 0.4 events/100</w:t>
      </w:r>
      <w:r w:rsidR="007344B9">
        <w:t xml:space="preserve"> person </w:t>
      </w:r>
      <w:r>
        <w:t xml:space="preserve">months), </w:t>
      </w:r>
      <w:r w:rsidRPr="00F840F1">
        <w:t xml:space="preserve">suggesting that pembrolizumab exposure may not be a risk </w:t>
      </w:r>
      <w:r>
        <w:t xml:space="preserve">factor for COPD. Despite a near </w:t>
      </w:r>
      <w:r w:rsidRPr="00F840F1">
        <w:t>1.5</w:t>
      </w:r>
      <w:r w:rsidR="007344B9">
        <w:t xml:space="preserve"> </w:t>
      </w:r>
      <w:r w:rsidRPr="00F840F1">
        <w:t>x exposure to pembrolizumab compared to docetaxel, the</w:t>
      </w:r>
      <w:r w:rsidR="007344B9">
        <w:t xml:space="preserve"> exposure </w:t>
      </w:r>
      <w:r>
        <w:t xml:space="preserve">adjusted incidence of </w:t>
      </w:r>
      <w:r w:rsidR="007344B9" w:rsidRPr="00F840F1">
        <w:t>COPD</w:t>
      </w:r>
      <w:r w:rsidRPr="00F840F1">
        <w:t xml:space="preserve"> was triple in </w:t>
      </w:r>
      <w:r w:rsidR="00AE636C">
        <w:t xml:space="preserve">the </w:t>
      </w:r>
      <w:r w:rsidRPr="00F840F1">
        <w:t>KEYNOTE-010</w:t>
      </w:r>
      <w:r w:rsidR="00AE636C">
        <w:t xml:space="preserve"> trial</w:t>
      </w:r>
      <w:r w:rsidRPr="00F840F1">
        <w:t xml:space="preserve"> (docetaxel 0.3</w:t>
      </w:r>
      <w:r>
        <w:t xml:space="preserve"> </w:t>
      </w:r>
      <w:r w:rsidRPr="00F840F1">
        <w:t xml:space="preserve">events/100 person months, pembrolizumab 0.9 events/100 </w:t>
      </w:r>
      <w:r w:rsidR="000F74B7">
        <w:t xml:space="preserve">person </w:t>
      </w:r>
      <w:r>
        <w:t xml:space="preserve">months), but the numbers </w:t>
      </w:r>
      <w:r w:rsidRPr="00F840F1">
        <w:t>of subjects in each arm of KEYNOTE-024 and the i</w:t>
      </w:r>
      <w:r>
        <w:t xml:space="preserve">ncidence of COPD are small. The </w:t>
      </w:r>
      <w:r w:rsidRPr="00F840F1">
        <w:t>clinical trial program does not present convincing evidence that pembrol</w:t>
      </w:r>
      <w:r>
        <w:t xml:space="preserve">izumab exacerbates </w:t>
      </w:r>
      <w:r w:rsidRPr="00F840F1">
        <w:t>COPD.</w:t>
      </w:r>
    </w:p>
    <w:p w14:paraId="07F4C94D" w14:textId="274D7269" w:rsidR="00F840F1" w:rsidRPr="00F840F1" w:rsidRDefault="00F840F1" w:rsidP="00F840F1">
      <w:r w:rsidRPr="00F840F1">
        <w:t xml:space="preserve">Review of the </w:t>
      </w:r>
      <w:r w:rsidR="00191F92">
        <w:t>serious adverse events</w:t>
      </w:r>
      <w:r w:rsidR="00191F92" w:rsidRPr="00F840F1">
        <w:t xml:space="preserve"> </w:t>
      </w:r>
      <w:r w:rsidRPr="00F840F1">
        <w:t>of COPD from</w:t>
      </w:r>
      <w:r w:rsidR="00AE636C">
        <w:t xml:space="preserve"> the</w:t>
      </w:r>
      <w:r w:rsidRPr="00F840F1">
        <w:t xml:space="preserve"> KEYNOTE-010 and </w:t>
      </w:r>
      <w:r w:rsidR="007344B9">
        <w:t>KEYNOTE</w:t>
      </w:r>
      <w:r>
        <w:t xml:space="preserve">-024 </w:t>
      </w:r>
      <w:r w:rsidR="00AE636C">
        <w:t xml:space="preserve">trials </w:t>
      </w:r>
      <w:r>
        <w:t xml:space="preserve">did not identify potential </w:t>
      </w:r>
      <w:r w:rsidRPr="00F840F1">
        <w:t>confusion with pneumonitis. No subject in</w:t>
      </w:r>
      <w:r w:rsidR="00AE636C">
        <w:t xml:space="preserve"> </w:t>
      </w:r>
      <w:r w:rsidRPr="00F840F1">
        <w:t>KEYN</w:t>
      </w:r>
      <w:r>
        <w:t xml:space="preserve">OTE-024 and only one subject in </w:t>
      </w:r>
      <w:r w:rsidR="00AE636C">
        <w:t xml:space="preserve">the </w:t>
      </w:r>
      <w:r w:rsidRPr="00F840F1">
        <w:t xml:space="preserve">KEYNOTE-010 </w:t>
      </w:r>
      <w:r w:rsidR="00AE636C">
        <w:t xml:space="preserve">trial </w:t>
      </w:r>
      <w:r w:rsidRPr="00F840F1">
        <w:t xml:space="preserve">experienced an </w:t>
      </w:r>
      <w:r w:rsidR="00AE636C">
        <w:t>adverse event</w:t>
      </w:r>
      <w:r w:rsidR="00AE636C" w:rsidRPr="00F840F1">
        <w:t xml:space="preserve"> </w:t>
      </w:r>
      <w:r w:rsidRPr="00F840F1">
        <w:t>of COPD and pneumonitis, further underscori</w:t>
      </w:r>
      <w:r>
        <w:t xml:space="preserve">ng the </w:t>
      </w:r>
      <w:r w:rsidRPr="00F840F1">
        <w:t xml:space="preserve">difference between these </w:t>
      </w:r>
      <w:r w:rsidR="00224FD7">
        <w:t xml:space="preserve">two </w:t>
      </w:r>
      <w:r w:rsidR="00AE636C">
        <w:t>adverse events</w:t>
      </w:r>
      <w:r w:rsidRPr="00F840F1">
        <w:t>. It is unlikely th</w:t>
      </w:r>
      <w:r>
        <w:t xml:space="preserve">at a COPD exacerbation would be </w:t>
      </w:r>
      <w:r w:rsidRPr="00F840F1">
        <w:t>misdiagnosed as pneumonitis as the use of diagnostic imagi</w:t>
      </w:r>
      <w:r>
        <w:t xml:space="preserve">ng in the normal course of care </w:t>
      </w:r>
      <w:r w:rsidRPr="00F840F1">
        <w:t xml:space="preserve">would show non-specific or minimal radiographic changes in the patient with </w:t>
      </w:r>
      <w:r>
        <w:t xml:space="preserve">a COPD </w:t>
      </w:r>
      <w:r w:rsidRPr="00F840F1">
        <w:t>exacerbation, while ground glass opacities are key findin</w:t>
      </w:r>
      <w:r>
        <w:t xml:space="preserve">gs when diagnosing pneumonitis. </w:t>
      </w:r>
      <w:r w:rsidRPr="00F840F1">
        <w:t>When patients who present with symptoms of COPD or pne</w:t>
      </w:r>
      <w:r>
        <w:t xml:space="preserve">umonitis, as long as imaging is </w:t>
      </w:r>
      <w:r w:rsidRPr="00F840F1">
        <w:t>performed, physicians should be able to distinguish between the diagnoses.</w:t>
      </w:r>
    </w:p>
    <w:p w14:paraId="07F4C94E" w14:textId="4749D3A3" w:rsidR="00D97998" w:rsidRPr="00224FD7" w:rsidRDefault="00D97998" w:rsidP="00CB0ECA">
      <w:pPr>
        <w:pStyle w:val="Numberbullet0"/>
        <w:numPr>
          <w:ilvl w:val="0"/>
          <w:numId w:val="9"/>
        </w:numPr>
        <w:rPr>
          <w:i/>
        </w:rPr>
      </w:pPr>
      <w:r w:rsidRPr="00224FD7">
        <w:rPr>
          <w:i/>
        </w:rPr>
        <w:lastRenderedPageBreak/>
        <w:t xml:space="preserve">With reference to </w:t>
      </w:r>
      <w:r w:rsidR="00AE636C">
        <w:rPr>
          <w:i/>
        </w:rPr>
        <w:t xml:space="preserve">the </w:t>
      </w:r>
      <w:r w:rsidR="00691589" w:rsidRPr="00224FD7">
        <w:rPr>
          <w:i/>
        </w:rPr>
        <w:t>KEYNOTE-024</w:t>
      </w:r>
      <w:r w:rsidR="00AE636C">
        <w:rPr>
          <w:i/>
        </w:rPr>
        <w:t xml:space="preserve"> trial</w:t>
      </w:r>
      <w:r w:rsidRPr="00224FD7">
        <w:rPr>
          <w:i/>
        </w:rPr>
        <w:t xml:space="preserve">, more patients on pembrolizumab than on SOC had </w:t>
      </w:r>
      <w:r w:rsidR="00AE636C">
        <w:rPr>
          <w:i/>
        </w:rPr>
        <w:t>G</w:t>
      </w:r>
      <w:r w:rsidR="00AE636C" w:rsidRPr="00224FD7">
        <w:rPr>
          <w:i/>
        </w:rPr>
        <w:t xml:space="preserve">rade </w:t>
      </w:r>
      <w:r w:rsidRPr="00224FD7">
        <w:rPr>
          <w:i/>
        </w:rPr>
        <w:t>2</w:t>
      </w:r>
      <w:r w:rsidR="00AE636C">
        <w:rPr>
          <w:i/>
        </w:rPr>
        <w:t xml:space="preserve"> or </w:t>
      </w:r>
      <w:r w:rsidRPr="00224FD7">
        <w:rPr>
          <w:i/>
        </w:rPr>
        <w:t xml:space="preserve">3 </w:t>
      </w:r>
      <w:proofErr w:type="spellStart"/>
      <w:r w:rsidR="00C37728" w:rsidRPr="00224FD7">
        <w:rPr>
          <w:i/>
        </w:rPr>
        <w:t>a</w:t>
      </w:r>
      <w:r w:rsidRPr="00224FD7">
        <w:rPr>
          <w:i/>
        </w:rPr>
        <w:t>PTT</w:t>
      </w:r>
      <w:proofErr w:type="spellEnd"/>
      <w:r w:rsidRPr="00224FD7">
        <w:rPr>
          <w:i/>
        </w:rPr>
        <w:t xml:space="preserve"> increases.</w:t>
      </w:r>
      <w:r w:rsidR="0046163D" w:rsidRPr="00224FD7">
        <w:rPr>
          <w:i/>
        </w:rPr>
        <w:t xml:space="preserve"> </w:t>
      </w:r>
      <w:r w:rsidRPr="00224FD7">
        <w:rPr>
          <w:i/>
        </w:rPr>
        <w:t>Did these patients have existing co-morbidities or concomitant treatments to explain these increases?</w:t>
      </w:r>
      <w:r w:rsidR="0046163D" w:rsidRPr="00224FD7">
        <w:rPr>
          <w:i/>
        </w:rPr>
        <w:t xml:space="preserve"> </w:t>
      </w:r>
      <w:r w:rsidRPr="00224FD7">
        <w:rPr>
          <w:i/>
        </w:rPr>
        <w:t>Has this effect been seen in other studies of pembrolizumab?</w:t>
      </w:r>
    </w:p>
    <w:p w14:paraId="07F4C950" w14:textId="6AC09922" w:rsidR="00F840F1" w:rsidRPr="00F840F1" w:rsidRDefault="00C37728" w:rsidP="00F840F1">
      <w:r>
        <w:t xml:space="preserve">In </w:t>
      </w:r>
      <w:r w:rsidR="00AE636C">
        <w:t xml:space="preserve">the </w:t>
      </w:r>
      <w:r>
        <w:t>KEYNOTE-</w:t>
      </w:r>
      <w:r w:rsidR="00F840F1" w:rsidRPr="00F840F1">
        <w:t>024</w:t>
      </w:r>
      <w:r w:rsidR="00AE636C">
        <w:t xml:space="preserve"> trial</w:t>
      </w:r>
      <w:r w:rsidR="00F840F1" w:rsidRPr="00F840F1">
        <w:t xml:space="preserve">, </w:t>
      </w:r>
      <w:r w:rsidR="00733A13">
        <w:t>3</w:t>
      </w:r>
      <w:r w:rsidR="00733A13" w:rsidRPr="00F840F1">
        <w:t xml:space="preserve"> </w:t>
      </w:r>
      <w:r w:rsidR="00F840F1" w:rsidRPr="00F840F1">
        <w:t xml:space="preserve">subjects </w:t>
      </w:r>
      <w:r w:rsidR="00733A13" w:rsidRPr="00F840F1">
        <w:t>randomi</w:t>
      </w:r>
      <w:r w:rsidR="00733A13">
        <w:t>s</w:t>
      </w:r>
      <w:r w:rsidR="00733A13" w:rsidRPr="00F840F1">
        <w:t xml:space="preserve">ed </w:t>
      </w:r>
      <w:r w:rsidR="00F840F1" w:rsidRPr="00F840F1">
        <w:t xml:space="preserve">to pembrolizumab experienced </w:t>
      </w:r>
      <w:r w:rsidR="00733A13">
        <w:t>G</w:t>
      </w:r>
      <w:r w:rsidR="00733A13" w:rsidRPr="00F840F1">
        <w:t xml:space="preserve">rade </w:t>
      </w:r>
      <w:r w:rsidR="00F840F1" w:rsidRPr="00F840F1">
        <w:t>2</w:t>
      </w:r>
      <w:r w:rsidR="00733A13">
        <w:t xml:space="preserve"> or </w:t>
      </w:r>
      <w:r w:rsidR="00F840F1" w:rsidRPr="00F840F1">
        <w:t xml:space="preserve">3 </w:t>
      </w:r>
      <w:proofErr w:type="spellStart"/>
      <w:r>
        <w:t>a</w:t>
      </w:r>
      <w:r w:rsidR="00F840F1" w:rsidRPr="00F840F1">
        <w:t>PTT</w:t>
      </w:r>
      <w:proofErr w:type="spellEnd"/>
      <w:r w:rsidR="00F840F1">
        <w:t xml:space="preserve"> </w:t>
      </w:r>
      <w:r w:rsidR="00F840F1" w:rsidRPr="00F840F1">
        <w:t>elevations while receiving pembrolizumab therapy:</w:t>
      </w:r>
    </w:p>
    <w:p w14:paraId="07F4C951" w14:textId="79BFA71B" w:rsidR="00F840F1" w:rsidRPr="00F840F1" w:rsidRDefault="00F840F1" w:rsidP="007344B9">
      <w:pPr>
        <w:pStyle w:val="ListBullet"/>
      </w:pPr>
      <w:r w:rsidRPr="00F840F1">
        <w:t xml:space="preserve">Subject </w:t>
      </w:r>
      <w:r w:rsidR="007344B9">
        <w:t>[information redacted]</w:t>
      </w:r>
      <w:r w:rsidRPr="00F840F1">
        <w:t xml:space="preserve"> had a single episode of </w:t>
      </w:r>
      <w:proofErr w:type="spellStart"/>
      <w:r w:rsidR="00C37728">
        <w:t>a</w:t>
      </w:r>
      <w:r w:rsidRPr="00F840F1">
        <w:t>PTT</w:t>
      </w:r>
      <w:proofErr w:type="spellEnd"/>
      <w:r w:rsidRPr="00F840F1">
        <w:t xml:space="preserve"> elevation </w:t>
      </w:r>
      <w:r>
        <w:t xml:space="preserve">occurring </w:t>
      </w:r>
      <w:r w:rsidR="00733A13">
        <w:t>on C</w:t>
      </w:r>
      <w:r>
        <w:t xml:space="preserve">ycle 12. The subject </w:t>
      </w:r>
      <w:r w:rsidRPr="00F840F1">
        <w:t>did not experience any clinical sequelae nor had any</w:t>
      </w:r>
      <w:r>
        <w:t xml:space="preserve"> medical history or medications </w:t>
      </w:r>
      <w:r w:rsidRPr="00F840F1">
        <w:t>that could have caused this transient inc</w:t>
      </w:r>
      <w:r>
        <w:t xml:space="preserve">rease. No action was taken with </w:t>
      </w:r>
      <w:r w:rsidRPr="00F840F1">
        <w:t>pembrolizumab for this episode.</w:t>
      </w:r>
    </w:p>
    <w:p w14:paraId="07F4C952" w14:textId="487ABD61" w:rsidR="00F840F1" w:rsidRPr="00F840F1" w:rsidRDefault="00F840F1" w:rsidP="007344B9">
      <w:pPr>
        <w:pStyle w:val="ListBullet"/>
      </w:pPr>
      <w:r w:rsidRPr="00F840F1">
        <w:t xml:space="preserve">Subject </w:t>
      </w:r>
      <w:r w:rsidR="007344B9">
        <w:t>[information redacted]</w:t>
      </w:r>
      <w:r w:rsidRPr="00F840F1">
        <w:t>, similarly, experienced a single epi</w:t>
      </w:r>
      <w:r>
        <w:t xml:space="preserve">sode of </w:t>
      </w:r>
      <w:proofErr w:type="spellStart"/>
      <w:r w:rsidR="00C37728">
        <w:t>a</w:t>
      </w:r>
      <w:r>
        <w:t>PTT</w:t>
      </w:r>
      <w:proofErr w:type="spellEnd"/>
      <w:r>
        <w:t xml:space="preserve"> elevation occurring</w:t>
      </w:r>
      <w:r w:rsidR="00733A13">
        <w:t xml:space="preserve"> on</w:t>
      </w:r>
      <w:r>
        <w:t xml:space="preserve"> </w:t>
      </w:r>
      <w:r w:rsidR="00733A13">
        <w:t>C</w:t>
      </w:r>
      <w:r w:rsidRPr="00F840F1">
        <w:t>ycle 8. The subject did not experience any clinic</w:t>
      </w:r>
      <w:r>
        <w:t xml:space="preserve">al sequelae nor had any medical </w:t>
      </w:r>
      <w:r w:rsidRPr="00F840F1">
        <w:t>history or medications that could have caused this tr</w:t>
      </w:r>
      <w:r>
        <w:t xml:space="preserve">ansient increase. No action was </w:t>
      </w:r>
      <w:r w:rsidRPr="00F840F1">
        <w:t>taken with pembrolizumab for this episode.</w:t>
      </w:r>
    </w:p>
    <w:p w14:paraId="07F4C953" w14:textId="77777777" w:rsidR="00F840F1" w:rsidRPr="00F840F1" w:rsidRDefault="00F840F1" w:rsidP="007344B9">
      <w:pPr>
        <w:pStyle w:val="ListBullet"/>
      </w:pPr>
      <w:r w:rsidRPr="00F840F1">
        <w:t xml:space="preserve">Subject </w:t>
      </w:r>
      <w:r w:rsidR="007344B9">
        <w:t>[information redacted]</w:t>
      </w:r>
      <w:r w:rsidRPr="00F840F1">
        <w:t xml:space="preserve"> had prolonged elevations of their</w:t>
      </w:r>
      <w:r>
        <w:t xml:space="preserve"> </w:t>
      </w:r>
      <w:proofErr w:type="spellStart"/>
      <w:r w:rsidR="00C37728">
        <w:t>a</w:t>
      </w:r>
      <w:r>
        <w:t>PTT</w:t>
      </w:r>
      <w:proofErr w:type="spellEnd"/>
      <w:r>
        <w:t xml:space="preserve"> due to initiation of </w:t>
      </w:r>
      <w:r w:rsidRPr="00F840F1">
        <w:t>anticoagulation therapy for their known pulmonar</w:t>
      </w:r>
      <w:r>
        <w:t xml:space="preserve">y embolism. The subject did not </w:t>
      </w:r>
      <w:r w:rsidRPr="00F840F1">
        <w:t xml:space="preserve">experience any clinical sequelae as a result of this </w:t>
      </w:r>
      <w:proofErr w:type="spellStart"/>
      <w:r w:rsidR="00C37728">
        <w:t>a</w:t>
      </w:r>
      <w:r w:rsidRPr="00F840F1">
        <w:t>PTT</w:t>
      </w:r>
      <w:proofErr w:type="spellEnd"/>
      <w:r w:rsidRPr="00F840F1">
        <w:t xml:space="preserve"> increase.</w:t>
      </w:r>
    </w:p>
    <w:p w14:paraId="07F4C954" w14:textId="335CC7E5" w:rsidR="00F840F1" w:rsidRPr="00F840F1" w:rsidRDefault="00C37728" w:rsidP="00F840F1">
      <w:r>
        <w:t xml:space="preserve">In </w:t>
      </w:r>
      <w:r w:rsidR="00733A13">
        <w:t xml:space="preserve">the </w:t>
      </w:r>
      <w:r>
        <w:t>KEYNOTE-</w:t>
      </w:r>
      <w:r w:rsidR="00F840F1" w:rsidRPr="00F840F1">
        <w:t>024</w:t>
      </w:r>
      <w:r w:rsidR="00733A13">
        <w:t xml:space="preserve"> trial</w:t>
      </w:r>
      <w:r w:rsidR="00F840F1" w:rsidRPr="00F840F1">
        <w:t xml:space="preserve">, one subject </w:t>
      </w:r>
      <w:r w:rsidR="00733A13" w:rsidRPr="00F840F1">
        <w:t>randomi</w:t>
      </w:r>
      <w:r w:rsidR="00733A13">
        <w:t>s</w:t>
      </w:r>
      <w:r w:rsidR="00733A13" w:rsidRPr="00F840F1">
        <w:t xml:space="preserve">ed </w:t>
      </w:r>
      <w:r w:rsidR="00F840F1" w:rsidRPr="00F840F1">
        <w:t xml:space="preserve">to SOC experience a </w:t>
      </w:r>
      <w:r w:rsidR="00733A13">
        <w:t>G</w:t>
      </w:r>
      <w:r w:rsidR="00733A13" w:rsidRPr="00F840F1">
        <w:t xml:space="preserve">rade </w:t>
      </w:r>
      <w:r w:rsidR="00F840F1" w:rsidRPr="00F840F1">
        <w:t>2</w:t>
      </w:r>
      <w:r w:rsidR="00733A13">
        <w:t xml:space="preserve"> or </w:t>
      </w:r>
      <w:r w:rsidR="00F840F1" w:rsidRPr="00F840F1">
        <w:t xml:space="preserve">3 </w:t>
      </w:r>
      <w:proofErr w:type="spellStart"/>
      <w:r>
        <w:t>a</w:t>
      </w:r>
      <w:r w:rsidR="00F840F1" w:rsidRPr="00F840F1">
        <w:t>PTT</w:t>
      </w:r>
      <w:proofErr w:type="spellEnd"/>
      <w:r w:rsidR="00F840F1" w:rsidRPr="00F840F1">
        <w:t xml:space="preserve"> </w:t>
      </w:r>
      <w:proofErr w:type="gramStart"/>
      <w:r w:rsidR="00F840F1" w:rsidRPr="00F840F1">
        <w:t>elevation</w:t>
      </w:r>
      <w:proofErr w:type="gramEnd"/>
      <w:r w:rsidR="00F840F1" w:rsidRPr="00F840F1">
        <w:t>.</w:t>
      </w:r>
    </w:p>
    <w:p w14:paraId="07F4C955" w14:textId="132F881E" w:rsidR="00F840F1" w:rsidRPr="00F840F1" w:rsidRDefault="00F840F1" w:rsidP="00F840F1">
      <w:r w:rsidRPr="00F840F1">
        <w:t xml:space="preserve">In </w:t>
      </w:r>
      <w:r w:rsidR="00733A13">
        <w:t xml:space="preserve">the </w:t>
      </w:r>
      <w:r w:rsidRPr="00F840F1">
        <w:t>KEYNOTE</w:t>
      </w:r>
      <w:r w:rsidR="00C37728">
        <w:t>-</w:t>
      </w:r>
      <w:r w:rsidRPr="00F840F1">
        <w:t>010</w:t>
      </w:r>
      <w:r w:rsidR="00733A13">
        <w:t xml:space="preserve"> </w:t>
      </w:r>
      <w:proofErr w:type="gramStart"/>
      <w:r w:rsidR="00733A13">
        <w:t xml:space="preserve">trial </w:t>
      </w:r>
      <w:r w:rsidRPr="00F840F1">
        <w:t>,</w:t>
      </w:r>
      <w:proofErr w:type="gramEnd"/>
      <w:r w:rsidRPr="00F840F1">
        <w:t xml:space="preserve"> only one subject </w:t>
      </w:r>
      <w:r w:rsidR="00733A13" w:rsidRPr="00F840F1">
        <w:t>randomi</w:t>
      </w:r>
      <w:r w:rsidR="00733A13">
        <w:t>s</w:t>
      </w:r>
      <w:r w:rsidR="00733A13" w:rsidRPr="00F840F1">
        <w:t xml:space="preserve">ed </w:t>
      </w:r>
      <w:r w:rsidRPr="00F840F1">
        <w:t>to pembro</w:t>
      </w:r>
      <w:r w:rsidR="00C37728">
        <w:t xml:space="preserve">lizumab experienced a </w:t>
      </w:r>
      <w:r w:rsidR="00733A13">
        <w:t>Grade </w:t>
      </w:r>
      <w:r w:rsidR="00C37728">
        <w:t>2</w:t>
      </w:r>
      <w:r w:rsidR="00733A13">
        <w:t xml:space="preserve"> or </w:t>
      </w:r>
      <w:r>
        <w:t xml:space="preserve">3 </w:t>
      </w:r>
      <w:proofErr w:type="spellStart"/>
      <w:r w:rsidR="00C37728">
        <w:t>a</w:t>
      </w:r>
      <w:r w:rsidRPr="00F840F1">
        <w:t>PTT</w:t>
      </w:r>
      <w:proofErr w:type="spellEnd"/>
      <w:r w:rsidRPr="00F840F1">
        <w:t xml:space="preserve"> elevation while on therapy. No subjects </w:t>
      </w:r>
      <w:r w:rsidR="00733A13" w:rsidRPr="00F840F1">
        <w:t>randomi</w:t>
      </w:r>
      <w:r w:rsidR="00733A13">
        <w:t>s</w:t>
      </w:r>
      <w:r w:rsidR="00733A13" w:rsidRPr="00F840F1">
        <w:t xml:space="preserve">ed </w:t>
      </w:r>
      <w:r w:rsidRPr="00F840F1">
        <w:t>to SOC experienced the same.</w:t>
      </w:r>
    </w:p>
    <w:p w14:paraId="07F4C956" w14:textId="1A4ACD61" w:rsidR="00F840F1" w:rsidRPr="00F840F1" w:rsidRDefault="00F840F1" w:rsidP="00F840F1">
      <w:r w:rsidRPr="00F840F1">
        <w:t>The above data indicate that the PTT</w:t>
      </w:r>
      <w:r w:rsidR="00C37728">
        <w:t xml:space="preserve"> elevations observed in </w:t>
      </w:r>
      <w:r w:rsidR="00733A13">
        <w:t xml:space="preserve">the </w:t>
      </w:r>
      <w:r w:rsidR="00C37728">
        <w:t>KEYNOTE-</w:t>
      </w:r>
      <w:r w:rsidRPr="00F840F1">
        <w:t xml:space="preserve">024 </w:t>
      </w:r>
      <w:r w:rsidR="00733A13">
        <w:t xml:space="preserve">trial </w:t>
      </w:r>
      <w:r w:rsidRPr="00F840F1">
        <w:t xml:space="preserve">are likely </w:t>
      </w:r>
      <w:proofErr w:type="gramStart"/>
      <w:r w:rsidRPr="00F840F1">
        <w:t>not</w:t>
      </w:r>
      <w:r>
        <w:t xml:space="preserve"> </w:t>
      </w:r>
      <w:r w:rsidRPr="00F840F1">
        <w:t>clinically meaningful nor</w:t>
      </w:r>
      <w:proofErr w:type="gramEnd"/>
      <w:r w:rsidRPr="00F840F1">
        <w:t xml:space="preserve"> attributable to pembrolizumab.</w:t>
      </w:r>
    </w:p>
    <w:p w14:paraId="07F4C957" w14:textId="2185B221" w:rsidR="00E910C4" w:rsidRPr="00224FD7" w:rsidRDefault="000F74B7" w:rsidP="00224FD7">
      <w:pPr>
        <w:ind w:left="720"/>
        <w:rPr>
          <w:i/>
        </w:rPr>
      </w:pPr>
      <w:r w:rsidRPr="00224FD7">
        <w:rPr>
          <w:i/>
        </w:rPr>
        <w:t xml:space="preserve">Additional question: </w:t>
      </w:r>
      <w:r w:rsidR="00E910C4" w:rsidRPr="00224FD7">
        <w:rPr>
          <w:i/>
        </w:rPr>
        <w:t>It is ackno</w:t>
      </w:r>
      <w:r w:rsidR="007344B9" w:rsidRPr="00224FD7">
        <w:rPr>
          <w:i/>
        </w:rPr>
        <w:t>wledged the DAKO PD-L1 IHC 22C3</w:t>
      </w:r>
      <w:r w:rsidR="00E910C4" w:rsidRPr="00224FD7">
        <w:rPr>
          <w:i/>
        </w:rPr>
        <w:t xml:space="preserve">pharmDx assay has a different sponsor. However, does </w:t>
      </w:r>
      <w:r w:rsidR="00733A13">
        <w:rPr>
          <w:i/>
        </w:rPr>
        <w:t>the sponsor</w:t>
      </w:r>
      <w:r w:rsidR="00733A13" w:rsidRPr="00224FD7">
        <w:rPr>
          <w:i/>
        </w:rPr>
        <w:t xml:space="preserve"> </w:t>
      </w:r>
      <w:r w:rsidR="00E910C4" w:rsidRPr="00224FD7">
        <w:rPr>
          <w:i/>
        </w:rPr>
        <w:t xml:space="preserve">know whether, in the bridging study, archived tissue declared PD-L1 negative by the CTA was retrospectively tested using the DAKO assay? If this testing was done, is it possible to calculate measures of diagnostic accuracy relative to the CTA? In particular, is there an estimate of the DAKO assay’s rate of ‘false’ positivity relative to the CTA? While clinical outcomes in the </w:t>
      </w:r>
      <w:proofErr w:type="spellStart"/>
      <w:r w:rsidR="00E910C4" w:rsidRPr="00224FD7">
        <w:rPr>
          <w:i/>
        </w:rPr>
        <w:t>DAKO+ve</w:t>
      </w:r>
      <w:proofErr w:type="spellEnd"/>
      <w:r w:rsidR="00E910C4" w:rsidRPr="00224FD7">
        <w:rPr>
          <w:i/>
        </w:rPr>
        <w:t xml:space="preserve"> CTA-</w:t>
      </w:r>
      <w:proofErr w:type="spellStart"/>
      <w:r w:rsidR="00E910C4" w:rsidRPr="00224FD7">
        <w:rPr>
          <w:i/>
        </w:rPr>
        <w:t>ve</w:t>
      </w:r>
      <w:proofErr w:type="spellEnd"/>
      <w:r w:rsidR="00E910C4" w:rsidRPr="00224FD7">
        <w:rPr>
          <w:i/>
        </w:rPr>
        <w:t xml:space="preserve"> group may not be calculable, it is still important to gauge th</w:t>
      </w:r>
      <w:r w:rsidRPr="00224FD7">
        <w:rPr>
          <w:i/>
        </w:rPr>
        <w:t>e potential size of this group.</w:t>
      </w:r>
    </w:p>
    <w:p w14:paraId="07F4C959" w14:textId="3E1E8391" w:rsidR="00E910C4" w:rsidRPr="00E910C4" w:rsidRDefault="00E910C4" w:rsidP="00E910C4">
      <w:r w:rsidRPr="00E910C4">
        <w:t>The bridging study was conducted in a manner tha</w:t>
      </w:r>
      <w:r w:rsidR="007344B9">
        <w:t>t attempted to get the PDL1 IHC </w:t>
      </w:r>
      <w:r w:rsidRPr="00E910C4">
        <w:t xml:space="preserve">22C3pharmDx testing conducted on all screened patients and the </w:t>
      </w:r>
      <w:r>
        <w:t xml:space="preserve">agreement estimates reported </w:t>
      </w:r>
      <w:r w:rsidRPr="00182C39">
        <w:t xml:space="preserve">in </w:t>
      </w:r>
      <w:r w:rsidR="00733A13">
        <w:t>the t</w:t>
      </w:r>
      <w:r w:rsidRPr="00224FD7">
        <w:t>able cited in the Delegate</w:t>
      </w:r>
      <w:r w:rsidR="00182C39">
        <w:t>’s</w:t>
      </w:r>
      <w:r w:rsidRPr="00224FD7">
        <w:t xml:space="preserve"> </w:t>
      </w:r>
      <w:r w:rsidR="00931E21" w:rsidRPr="00224FD7">
        <w:t>o</w:t>
      </w:r>
      <w:r w:rsidRPr="00224FD7">
        <w:t>verview</w:t>
      </w:r>
      <w:r w:rsidR="00182C39" w:rsidRPr="00224FD7">
        <w:t xml:space="preserve"> (</w:t>
      </w:r>
      <w:r w:rsidR="00733A13">
        <w:t xml:space="preserve">see </w:t>
      </w:r>
      <w:r w:rsidR="00182C39" w:rsidRPr="00224FD7">
        <w:t>Table 18 above)</w:t>
      </w:r>
      <w:r w:rsidRPr="00224FD7">
        <w:t xml:space="preserve"> </w:t>
      </w:r>
      <w:r w:rsidRPr="00E910C4">
        <w:t>are in thi</w:t>
      </w:r>
      <w:r>
        <w:t xml:space="preserve">s population. As such, Clinical </w:t>
      </w:r>
      <w:r w:rsidRPr="00E910C4">
        <w:t>T</w:t>
      </w:r>
      <w:r w:rsidR="000F74B7">
        <w:t>rial Assay (CTA)</w:t>
      </w:r>
      <w:r w:rsidRPr="00E910C4">
        <w:t xml:space="preserve"> PD-L1 negative samples were </w:t>
      </w:r>
      <w:r>
        <w:t>retested with the PDL1 IHC 22C</w:t>
      </w:r>
      <w:r w:rsidR="007344B9">
        <w:t>3</w:t>
      </w:r>
      <w:r w:rsidRPr="00E910C4">
        <w:t>pharmDx</w:t>
      </w:r>
      <w:r w:rsidR="00733A13">
        <w:t>.</w:t>
      </w:r>
      <w:r w:rsidR="00733A13">
        <w:rPr>
          <w:rStyle w:val="FootnoteReference"/>
        </w:rPr>
        <w:footnoteReference w:id="34"/>
      </w:r>
      <w:r w:rsidRPr="00E910C4">
        <w:t xml:space="preserve"> Of the 311 samples that were CTA P</w:t>
      </w:r>
      <w:r>
        <w:t>D-L1 negative (TPS</w:t>
      </w:r>
      <w:r w:rsidR="007344B9">
        <w:t> </w:t>
      </w:r>
      <w:r>
        <w:t>&lt;</w:t>
      </w:r>
      <w:r w:rsidR="000F74B7">
        <w:t xml:space="preserve"> </w:t>
      </w:r>
      <w:r>
        <w:t xml:space="preserve">1%), 17 were </w:t>
      </w:r>
      <w:r w:rsidRPr="00E910C4">
        <w:t>determined to be PDL1 IHC 22C3 PD-L1 positive (TPS</w:t>
      </w:r>
      <w:r w:rsidR="007344B9">
        <w:t xml:space="preserve"> </w:t>
      </w:r>
      <w:r w:rsidR="0046163D">
        <w:t xml:space="preserve">≥ </w:t>
      </w:r>
      <w:r w:rsidRPr="00E910C4">
        <w:t>1</w:t>
      </w:r>
      <w:r>
        <w:t xml:space="preserve">%). </w:t>
      </w:r>
      <w:r w:rsidRPr="00E910C4">
        <w:t>294</w:t>
      </w:r>
      <w:r w:rsidR="00733A13">
        <w:t> </w:t>
      </w:r>
      <w:r w:rsidRPr="00E910C4">
        <w:t>specimens were PD-L1 negative (TPS</w:t>
      </w:r>
      <w:r w:rsidR="007344B9">
        <w:t xml:space="preserve"> </w:t>
      </w:r>
      <w:r w:rsidRPr="00E910C4">
        <w:t>&lt;</w:t>
      </w:r>
      <w:r w:rsidR="000F74B7">
        <w:t xml:space="preserve"> </w:t>
      </w:r>
      <w:r w:rsidRPr="00E910C4">
        <w:t>1%) by bot</w:t>
      </w:r>
      <w:r w:rsidR="007344B9">
        <w:t>h the CTA and the PDL1 IHC 22C3</w:t>
      </w:r>
      <w:r w:rsidRPr="00E910C4">
        <w:t xml:space="preserve">pharmDx. The negative percent agreement </w:t>
      </w:r>
      <w:r>
        <w:t xml:space="preserve">was 94.5% between the two assay </w:t>
      </w:r>
      <w:r w:rsidRPr="00E910C4">
        <w:t>versions. Reliable estimates of false positivity are not possi</w:t>
      </w:r>
      <w:r>
        <w:t xml:space="preserve">ble since there is no true gold </w:t>
      </w:r>
      <w:r w:rsidRPr="00E910C4">
        <w:t>standard te</w:t>
      </w:r>
      <w:r w:rsidR="007344B9">
        <w:t>st to compare the PDL1 IHC 22C3</w:t>
      </w:r>
      <w:r w:rsidRPr="00E910C4">
        <w:t>pharmDx results to.</w:t>
      </w:r>
    </w:p>
    <w:p w14:paraId="07F4C95A" w14:textId="0DAF5A48" w:rsidR="00E910C4" w:rsidRPr="00224FD7" w:rsidRDefault="00E910C4" w:rsidP="00CB0ECA">
      <w:pPr>
        <w:pStyle w:val="Numberbullet0"/>
        <w:numPr>
          <w:ilvl w:val="0"/>
          <w:numId w:val="7"/>
        </w:numPr>
        <w:rPr>
          <w:i/>
        </w:rPr>
      </w:pPr>
      <w:r w:rsidRPr="00224FD7">
        <w:rPr>
          <w:i/>
        </w:rPr>
        <w:t xml:space="preserve">Was the PD-L1 IHC assay in </w:t>
      </w:r>
      <w:r w:rsidR="00733A13">
        <w:rPr>
          <w:i/>
        </w:rPr>
        <w:t xml:space="preserve">the </w:t>
      </w:r>
      <w:r w:rsidR="00691589" w:rsidRPr="00224FD7">
        <w:rPr>
          <w:i/>
        </w:rPr>
        <w:t>KEYNOTE-024</w:t>
      </w:r>
      <w:r w:rsidRPr="00224FD7">
        <w:rPr>
          <w:i/>
        </w:rPr>
        <w:t xml:space="preserve"> </w:t>
      </w:r>
      <w:r w:rsidR="00733A13">
        <w:rPr>
          <w:i/>
        </w:rPr>
        <w:t xml:space="preserve">trial </w:t>
      </w:r>
      <w:r w:rsidRPr="00224FD7">
        <w:rPr>
          <w:i/>
        </w:rPr>
        <w:t>the same as the DAKO kit registered for use in Australia?</w:t>
      </w:r>
      <w:r w:rsidR="0046163D" w:rsidRPr="00224FD7">
        <w:rPr>
          <w:i/>
        </w:rPr>
        <w:t xml:space="preserve"> </w:t>
      </w:r>
      <w:r w:rsidRPr="00224FD7">
        <w:rPr>
          <w:i/>
        </w:rPr>
        <w:t xml:space="preserve">If not, has there been a bridging study analogous to the one conducted for </w:t>
      </w:r>
      <w:r w:rsidR="00733A13">
        <w:rPr>
          <w:i/>
        </w:rPr>
        <w:t xml:space="preserve">the </w:t>
      </w:r>
      <w:r w:rsidR="00691589" w:rsidRPr="00224FD7">
        <w:rPr>
          <w:i/>
        </w:rPr>
        <w:t>KEYNOTE-010</w:t>
      </w:r>
      <w:r w:rsidR="00733A13">
        <w:rPr>
          <w:i/>
        </w:rPr>
        <w:t xml:space="preserve"> trial</w:t>
      </w:r>
      <w:r w:rsidRPr="00224FD7">
        <w:rPr>
          <w:i/>
        </w:rPr>
        <w:t>?</w:t>
      </w:r>
    </w:p>
    <w:p w14:paraId="07F4C95C" w14:textId="4B91720C" w:rsidR="00E910C4" w:rsidRPr="00733A13" w:rsidRDefault="00E910C4" w:rsidP="00733A13">
      <w:r w:rsidRPr="00733A13">
        <w:lastRenderedPageBreak/>
        <w:t>Yes</w:t>
      </w:r>
      <w:r w:rsidR="00733A13" w:rsidRPr="00733A13">
        <w:t xml:space="preserve"> [these were the same]</w:t>
      </w:r>
      <w:r w:rsidRPr="00733A13">
        <w:t>.</w:t>
      </w:r>
    </w:p>
    <w:p w14:paraId="07F4C95D" w14:textId="144FD1A3" w:rsidR="00D97998" w:rsidRPr="00224FD7" w:rsidRDefault="00D97998" w:rsidP="00CB0ECA">
      <w:pPr>
        <w:pStyle w:val="Numberbullet0"/>
        <w:numPr>
          <w:ilvl w:val="0"/>
          <w:numId w:val="9"/>
        </w:numPr>
        <w:rPr>
          <w:i/>
        </w:rPr>
      </w:pPr>
      <w:r w:rsidRPr="00224FD7">
        <w:rPr>
          <w:i/>
        </w:rPr>
        <w:t xml:space="preserve">Please comment on PFS and OS outcomes in patients in </w:t>
      </w:r>
      <w:r w:rsidR="00733A13">
        <w:rPr>
          <w:i/>
        </w:rPr>
        <w:t xml:space="preserve">the </w:t>
      </w:r>
      <w:r w:rsidR="00691589" w:rsidRPr="00224FD7">
        <w:rPr>
          <w:i/>
        </w:rPr>
        <w:t>KEYNOTE-010</w:t>
      </w:r>
      <w:r w:rsidRPr="00224FD7">
        <w:rPr>
          <w:i/>
        </w:rPr>
        <w:t xml:space="preserve"> and </w:t>
      </w:r>
      <w:r w:rsidR="005B1C86" w:rsidRPr="00224FD7">
        <w:rPr>
          <w:i/>
        </w:rPr>
        <w:t>KEYNOTE-001</w:t>
      </w:r>
      <w:r w:rsidRPr="00224FD7">
        <w:rPr>
          <w:i/>
        </w:rPr>
        <w:t xml:space="preserve"> </w:t>
      </w:r>
      <w:r w:rsidR="00AD080D">
        <w:rPr>
          <w:i/>
        </w:rPr>
        <w:t xml:space="preserve">trials </w:t>
      </w:r>
      <w:r w:rsidRPr="00224FD7">
        <w:rPr>
          <w:i/>
        </w:rPr>
        <w:t xml:space="preserve">with TPS </w:t>
      </w:r>
      <w:r w:rsidR="0046163D" w:rsidRPr="00224FD7">
        <w:rPr>
          <w:i/>
        </w:rPr>
        <w:t xml:space="preserve">≥ </w:t>
      </w:r>
      <w:r w:rsidRPr="00224FD7">
        <w:rPr>
          <w:i/>
        </w:rPr>
        <w:t>1% with (a) EGFR sensitising mutations, and (b) ALK translocations.</w:t>
      </w:r>
    </w:p>
    <w:p w14:paraId="07F4C960" w14:textId="01EF15B3" w:rsidR="00E910C4" w:rsidRPr="00E910C4" w:rsidRDefault="00AD080D" w:rsidP="00E910C4">
      <w:r w:rsidRPr="00803D07">
        <w:rPr>
          <w:i/>
        </w:rPr>
        <w:t>EGFR:</w:t>
      </w:r>
      <w:r>
        <w:t xml:space="preserve"> </w:t>
      </w:r>
      <w:r w:rsidR="00E910C4" w:rsidRPr="00E910C4">
        <w:t xml:space="preserve">The </w:t>
      </w:r>
      <w:r w:rsidR="007344B9">
        <w:t>sponsor</w:t>
      </w:r>
      <w:r w:rsidR="00E910C4" w:rsidRPr="00E910C4">
        <w:t xml:space="preserve"> does not know which </w:t>
      </w:r>
      <w:r w:rsidR="00E910C4" w:rsidRPr="00224FD7">
        <w:t>EGFR</w:t>
      </w:r>
      <w:r w:rsidR="00E910C4" w:rsidRPr="00AD080D">
        <w:t xml:space="preserve"> mutations were </w:t>
      </w:r>
      <w:r w:rsidRPr="00AD080D">
        <w:t>sensiti</w:t>
      </w:r>
      <w:r>
        <w:t>s</w:t>
      </w:r>
      <w:r w:rsidRPr="00AD080D">
        <w:t xml:space="preserve">ing </w:t>
      </w:r>
      <w:r w:rsidR="00E910C4" w:rsidRPr="00AD080D">
        <w:t xml:space="preserve">among those subjects in </w:t>
      </w:r>
      <w:r>
        <w:t xml:space="preserve">the </w:t>
      </w:r>
      <w:r w:rsidR="00E910C4" w:rsidRPr="00AD080D">
        <w:t xml:space="preserve">KEYNOTE-010 </w:t>
      </w:r>
      <w:r>
        <w:t xml:space="preserve">trial </w:t>
      </w:r>
      <w:r w:rsidR="00E910C4" w:rsidRPr="00AD080D">
        <w:t xml:space="preserve">who had an </w:t>
      </w:r>
      <w:r w:rsidR="00E910C4" w:rsidRPr="00224FD7">
        <w:t>EGFR</w:t>
      </w:r>
      <w:r w:rsidR="00E910C4" w:rsidRPr="00E910C4">
        <w:t xml:space="preserve"> mutation. However, </w:t>
      </w:r>
      <w:r w:rsidR="00E910C4">
        <w:t xml:space="preserve">the data among subjects with an </w:t>
      </w:r>
      <w:r w:rsidR="00E910C4" w:rsidRPr="00224FD7">
        <w:t>EGFR</w:t>
      </w:r>
      <w:r w:rsidR="00E910C4" w:rsidRPr="00E910C4">
        <w:t xml:space="preserve"> mutation in </w:t>
      </w:r>
      <w:r>
        <w:t xml:space="preserve">the </w:t>
      </w:r>
      <w:r w:rsidR="00E910C4" w:rsidRPr="00E910C4">
        <w:t xml:space="preserve">KEYNOTE-010 </w:t>
      </w:r>
      <w:r>
        <w:t xml:space="preserve">trial </w:t>
      </w:r>
      <w:r w:rsidR="00E910C4" w:rsidRPr="00E910C4">
        <w:t>for OS among subjects</w:t>
      </w:r>
      <w:r w:rsidR="00E910C4">
        <w:t xml:space="preserve"> whose </w:t>
      </w:r>
      <w:r w:rsidR="007344B9">
        <w:t>tumours</w:t>
      </w:r>
      <w:r w:rsidR="00E910C4">
        <w:t xml:space="preserve"> at </w:t>
      </w:r>
      <w:r>
        <w:t>B</w:t>
      </w:r>
      <w:r w:rsidR="00E910C4">
        <w:t xml:space="preserve">aseline had a </w:t>
      </w:r>
      <w:r w:rsidR="00E910C4" w:rsidRPr="00E910C4">
        <w:t>TPS</w:t>
      </w:r>
      <w:r w:rsidR="007344B9">
        <w:t xml:space="preserve"> </w:t>
      </w:r>
      <w:r w:rsidR="0046163D">
        <w:t xml:space="preserve">≥ </w:t>
      </w:r>
      <w:r w:rsidR="00E910C4" w:rsidRPr="00E910C4">
        <w:t xml:space="preserve">1% include a </w:t>
      </w:r>
      <w:r w:rsidR="00436A0E">
        <w:t>HR</w:t>
      </w:r>
      <w:r w:rsidR="00E910C4" w:rsidRPr="00E910C4">
        <w:t xml:space="preserve"> of 0.88 (95% </w:t>
      </w:r>
      <w:r w:rsidR="00A35844">
        <w:t>CI</w:t>
      </w:r>
      <w:r w:rsidR="00E910C4">
        <w:t xml:space="preserve"> 0.45, 1.70) with 46</w:t>
      </w:r>
      <w:r w:rsidR="00A35844">
        <w:t> </w:t>
      </w:r>
      <w:r w:rsidR="00E910C4">
        <w:t xml:space="preserve">events </w:t>
      </w:r>
      <w:r w:rsidR="00E910C4" w:rsidRPr="00E910C4">
        <w:t xml:space="preserve">among 86 subjects. PFS amongst the same patient </w:t>
      </w:r>
      <w:r w:rsidR="00E910C4">
        <w:t xml:space="preserve">population in </w:t>
      </w:r>
      <w:r>
        <w:t xml:space="preserve">the </w:t>
      </w:r>
      <w:r w:rsidR="00E910C4">
        <w:t>KEYNOTE</w:t>
      </w:r>
      <w:r w:rsidR="00A35844">
        <w:noBreakHyphen/>
      </w:r>
      <w:r w:rsidR="00E910C4">
        <w:t xml:space="preserve">010 </w:t>
      </w:r>
      <w:r>
        <w:t xml:space="preserve">trial </w:t>
      </w:r>
      <w:r w:rsidR="00E910C4">
        <w:t xml:space="preserve">had a </w:t>
      </w:r>
      <w:r>
        <w:t>HR</w:t>
      </w:r>
      <w:r w:rsidR="00E910C4" w:rsidRPr="00E910C4">
        <w:t xml:space="preserve"> of 1.79 (95% CI 0.94, 3.42) with 70 events am</w:t>
      </w:r>
      <w:r w:rsidR="00E910C4">
        <w:t>ong 86</w:t>
      </w:r>
      <w:r w:rsidR="00880587">
        <w:t> </w:t>
      </w:r>
      <w:r w:rsidR="00E910C4">
        <w:t xml:space="preserve">subjects. Data from both </w:t>
      </w:r>
      <w:r w:rsidR="00E910C4" w:rsidRPr="00E910C4">
        <w:t>arms of pembrolizumab have been pooled because of the small</w:t>
      </w:r>
      <w:r w:rsidR="00E910C4">
        <w:t xml:space="preserve"> subpopulations that result and </w:t>
      </w:r>
      <w:r w:rsidR="00E910C4" w:rsidRPr="00E910C4">
        <w:t>there is not a treatment difference based on dose of p</w:t>
      </w:r>
      <w:r w:rsidR="00E910C4">
        <w:t xml:space="preserve">embrolizumab. The primary study </w:t>
      </w:r>
      <w:r w:rsidR="00E910C4" w:rsidRPr="00E910C4">
        <w:t xml:space="preserve">result amongst all subjects whose </w:t>
      </w:r>
      <w:r w:rsidR="007344B9" w:rsidRPr="00E910C4">
        <w:t>tumours</w:t>
      </w:r>
      <w:r w:rsidR="00E910C4" w:rsidRPr="00E910C4">
        <w:t xml:space="preserve"> had a TPS</w:t>
      </w:r>
      <w:r w:rsidR="007344B9">
        <w:t xml:space="preserve"> </w:t>
      </w:r>
      <w:r w:rsidR="0046163D">
        <w:t xml:space="preserve">≥ </w:t>
      </w:r>
      <w:r w:rsidR="00E910C4" w:rsidRPr="00E910C4">
        <w:t xml:space="preserve">1% at </w:t>
      </w:r>
      <w:r>
        <w:t>B</w:t>
      </w:r>
      <w:r w:rsidR="00E910C4">
        <w:t xml:space="preserve">aseline was a </w:t>
      </w:r>
      <w:r w:rsidR="00092E68">
        <w:t>HR</w:t>
      </w:r>
      <w:r w:rsidR="00E910C4">
        <w:t xml:space="preserve"> for </w:t>
      </w:r>
      <w:r w:rsidR="00E910C4" w:rsidRPr="00E910C4">
        <w:t xml:space="preserve">OS of 0.71 (95% CI 0.58, 0.88; </w:t>
      </w:r>
      <w:r w:rsidR="008141D3">
        <w:t>p</w:t>
      </w:r>
      <w:r>
        <w:t>-</w:t>
      </w:r>
      <w:r w:rsidR="008141D3">
        <w:t>value</w:t>
      </w:r>
      <w:r>
        <w:t xml:space="preserve"> </w:t>
      </w:r>
      <w:r w:rsidR="00E910C4" w:rsidRPr="00E910C4">
        <w:t>0.00076) f</w:t>
      </w:r>
      <w:r w:rsidR="007344B9">
        <w:t>or pembrolizumab 2 </w:t>
      </w:r>
      <w:r w:rsidR="00E910C4">
        <w:t xml:space="preserve">mg/kg versus </w:t>
      </w:r>
      <w:r w:rsidR="00E910C4" w:rsidRPr="00E910C4">
        <w:t>docetaxel 75 mg/</w:t>
      </w:r>
      <w:r w:rsidR="00441A46" w:rsidRPr="00441A46">
        <w:t>m</w:t>
      </w:r>
      <w:r w:rsidR="00441A46" w:rsidRPr="00441A46">
        <w:rPr>
          <w:vertAlign w:val="superscript"/>
        </w:rPr>
        <w:t>2</w:t>
      </w:r>
      <w:r w:rsidR="00E910C4" w:rsidRPr="00E910C4">
        <w:t>. The OS hazard ratio</w:t>
      </w:r>
      <w:r w:rsidR="007344B9">
        <w:t xml:space="preserve"> was 0.61 (95%</w:t>
      </w:r>
      <w:r w:rsidR="00A65EFD">
        <w:t> </w:t>
      </w:r>
      <w:r w:rsidR="007344B9">
        <w:t xml:space="preserve">CI 0.49, 0.75; </w:t>
      </w:r>
      <w:r w:rsidR="008141D3">
        <w:t>p</w:t>
      </w:r>
      <w:r>
        <w:t>-</w:t>
      </w:r>
      <w:r w:rsidR="008141D3">
        <w:t>value</w:t>
      </w:r>
      <w:r w:rsidR="00E910C4" w:rsidRPr="00E910C4">
        <w:t xml:space="preserve"> &lt;</w:t>
      </w:r>
      <w:r w:rsidR="007344B9">
        <w:t xml:space="preserve"> </w:t>
      </w:r>
      <w:r w:rsidR="00E910C4" w:rsidRPr="00E910C4">
        <w:t>0.00001)</w:t>
      </w:r>
      <w:r w:rsidR="00E910C4">
        <w:t xml:space="preserve"> </w:t>
      </w:r>
      <w:r w:rsidR="00E910C4" w:rsidRPr="00E910C4">
        <w:t>for pembrolizumab 10 mg/kg versus docetaxel 75</w:t>
      </w:r>
      <w:r w:rsidR="00A65EFD">
        <w:t> </w:t>
      </w:r>
      <w:r w:rsidR="00E910C4" w:rsidRPr="00E910C4">
        <w:t>mg/</w:t>
      </w:r>
      <w:r w:rsidR="00441A46" w:rsidRPr="00441A46">
        <w:t>m</w:t>
      </w:r>
      <w:r w:rsidR="00441A46" w:rsidRPr="00441A46">
        <w:rPr>
          <w:vertAlign w:val="superscript"/>
        </w:rPr>
        <w:t>2</w:t>
      </w:r>
      <w:r w:rsidR="00E910C4" w:rsidRPr="00E910C4">
        <w:t>. The primary study result amongst</w:t>
      </w:r>
      <w:r w:rsidR="00E910C4">
        <w:t xml:space="preserve"> </w:t>
      </w:r>
      <w:r w:rsidR="00E910C4" w:rsidRPr="00E910C4">
        <w:t xml:space="preserve">all subjects whose </w:t>
      </w:r>
      <w:r w:rsidR="007344B9" w:rsidRPr="00E910C4">
        <w:t>tumours</w:t>
      </w:r>
      <w:r w:rsidR="00E910C4" w:rsidRPr="00E910C4">
        <w:t xml:space="preserve"> had a TPS</w:t>
      </w:r>
      <w:r w:rsidR="007344B9">
        <w:t xml:space="preserve"> </w:t>
      </w:r>
      <w:r w:rsidR="0046163D">
        <w:t xml:space="preserve">≥ </w:t>
      </w:r>
      <w:r w:rsidR="00E910C4" w:rsidRPr="00E910C4">
        <w:t xml:space="preserve">1% at </w:t>
      </w:r>
      <w:r w:rsidR="00C97EE1">
        <w:t>B</w:t>
      </w:r>
      <w:r w:rsidR="00C97EE1" w:rsidRPr="00E910C4">
        <w:t xml:space="preserve">aseline </w:t>
      </w:r>
      <w:r w:rsidR="00E910C4" w:rsidRPr="00E910C4">
        <w:t>was a hazard ratio for PFS of 0.88 (95%</w:t>
      </w:r>
      <w:r w:rsidR="00E910C4">
        <w:t xml:space="preserve"> </w:t>
      </w:r>
      <w:r w:rsidR="00E910C4" w:rsidRPr="00E910C4">
        <w:t xml:space="preserve">CI 0.73, 1.04; </w:t>
      </w:r>
      <w:r w:rsidR="008141D3">
        <w:t>p</w:t>
      </w:r>
      <w:r>
        <w:t>-</w:t>
      </w:r>
      <w:r w:rsidR="008141D3">
        <w:t>value</w:t>
      </w:r>
      <w:r w:rsidR="00E910C4" w:rsidRPr="00E910C4">
        <w:t xml:space="preserve"> 0.06758) for pembrolizumab 2 mg/kg versus docetaxel 75 mg/</w:t>
      </w:r>
      <w:r w:rsidR="00441A46" w:rsidRPr="00441A46">
        <w:t>m</w:t>
      </w:r>
      <w:r w:rsidR="00441A46" w:rsidRPr="00441A46">
        <w:rPr>
          <w:vertAlign w:val="superscript"/>
        </w:rPr>
        <w:t>2</w:t>
      </w:r>
      <w:r w:rsidR="00E910C4">
        <w:t xml:space="preserve">. The </w:t>
      </w:r>
      <w:r w:rsidR="00E910C4" w:rsidRPr="00E910C4">
        <w:t>PFS hazard ratio was 0.79 (95%</w:t>
      </w:r>
      <w:r w:rsidR="00C97EE1">
        <w:t> </w:t>
      </w:r>
      <w:r w:rsidR="00E910C4" w:rsidRPr="00E910C4">
        <w:t xml:space="preserve">CI 0.66, 0.94; </w:t>
      </w:r>
      <w:r w:rsidR="008141D3">
        <w:t>p</w:t>
      </w:r>
      <w:r>
        <w:t>-</w:t>
      </w:r>
      <w:r w:rsidR="008141D3">
        <w:t>value</w:t>
      </w:r>
      <w:r w:rsidR="00E910C4">
        <w:t xml:space="preserve"> 0.00462) for pembrolizumab 10 </w:t>
      </w:r>
      <w:r w:rsidR="00E910C4" w:rsidRPr="00E910C4">
        <w:t>mg/kg versus docetaxel 75</w:t>
      </w:r>
      <w:r w:rsidR="00C97EE1">
        <w:t> </w:t>
      </w:r>
      <w:r w:rsidR="00E910C4" w:rsidRPr="00E910C4">
        <w:t>mg/</w:t>
      </w:r>
      <w:r w:rsidR="00441A46" w:rsidRPr="00441A46">
        <w:t>m</w:t>
      </w:r>
      <w:r w:rsidR="00441A46" w:rsidRPr="00441A46">
        <w:rPr>
          <w:vertAlign w:val="superscript"/>
        </w:rPr>
        <w:t>2</w:t>
      </w:r>
      <w:r w:rsidR="00E910C4" w:rsidRPr="00E910C4">
        <w:t>. The primary study resul</w:t>
      </w:r>
      <w:r w:rsidR="00E910C4">
        <w:t xml:space="preserve">ts demonstrated superior OS and </w:t>
      </w:r>
      <w:r w:rsidR="00E910C4" w:rsidRPr="00E910C4">
        <w:t>PFS for pembrolizumab versus docetaxel relative to those subjects with an EGFR mutation.</w:t>
      </w:r>
    </w:p>
    <w:p w14:paraId="07F4C962" w14:textId="240EE9F9" w:rsidR="00E910C4" w:rsidRPr="00E910C4" w:rsidRDefault="00E910C4" w:rsidP="00E910C4">
      <w:r w:rsidRPr="00AF5BA9">
        <w:rPr>
          <w:i/>
        </w:rPr>
        <w:t>ALK</w:t>
      </w:r>
      <w:r w:rsidR="00AD080D">
        <w:rPr>
          <w:i/>
        </w:rPr>
        <w:t>:</w:t>
      </w:r>
      <w:r w:rsidR="00AD080D">
        <w:t xml:space="preserve"> </w:t>
      </w:r>
      <w:r w:rsidRPr="00E910C4">
        <w:t xml:space="preserve">Because only </w:t>
      </w:r>
      <w:r w:rsidR="00AD080D">
        <w:t>8</w:t>
      </w:r>
      <w:r w:rsidR="00AD080D" w:rsidRPr="00E910C4">
        <w:t xml:space="preserve"> </w:t>
      </w:r>
      <w:r w:rsidRPr="00E910C4">
        <w:t xml:space="preserve">subjects had an </w:t>
      </w:r>
      <w:r w:rsidRPr="00AF5BA9">
        <w:rPr>
          <w:i/>
        </w:rPr>
        <w:t xml:space="preserve">ALK </w:t>
      </w:r>
      <w:r w:rsidRPr="00E910C4">
        <w:t>gene rearrangem</w:t>
      </w:r>
      <w:r>
        <w:t xml:space="preserve">ent in </w:t>
      </w:r>
      <w:r w:rsidR="00AD080D">
        <w:t xml:space="preserve">the </w:t>
      </w:r>
      <w:r>
        <w:t>KEYNOTE-010</w:t>
      </w:r>
      <w:r w:rsidR="00AD080D">
        <w:t xml:space="preserve"> trial</w:t>
      </w:r>
      <w:r>
        <w:t xml:space="preserve">, conclusions </w:t>
      </w:r>
      <w:r w:rsidRPr="00E910C4">
        <w:t xml:space="preserve">will be difficult to draw. The outcome for PFS and OS are presented in </w:t>
      </w:r>
      <w:r w:rsidR="00880EEA" w:rsidRPr="00880EEA">
        <w:t>Table 24</w:t>
      </w:r>
      <w:r w:rsidR="00AD080D">
        <w:t xml:space="preserve">, </w:t>
      </w:r>
      <w:r w:rsidRPr="00E910C4">
        <w:t>below.</w:t>
      </w:r>
    </w:p>
    <w:p w14:paraId="07F4C963" w14:textId="738842E7" w:rsidR="00E910C4" w:rsidRDefault="00E910C4" w:rsidP="00224FD7">
      <w:pPr>
        <w:pStyle w:val="Tabletitle0"/>
      </w:pPr>
      <w:r w:rsidRPr="00880EEA">
        <w:t xml:space="preserve">Table </w:t>
      </w:r>
      <w:r w:rsidR="00880EEA" w:rsidRPr="00880EEA">
        <w:t>24</w:t>
      </w:r>
      <w:r w:rsidRPr="00880EEA">
        <w:t xml:space="preserve">: </w:t>
      </w:r>
      <w:r w:rsidR="000F74B7" w:rsidRPr="00880EEA">
        <w:t>KEYNOTE</w:t>
      </w:r>
      <w:r w:rsidR="000F74B7">
        <w:t>-010</w:t>
      </w:r>
      <w:r w:rsidR="00AD080D">
        <w:t xml:space="preserve"> trial</w:t>
      </w:r>
      <w:r w:rsidR="000F74B7">
        <w:t xml:space="preserve">; </w:t>
      </w:r>
      <w:r w:rsidRPr="00E910C4">
        <w:t>PFS and OS</w:t>
      </w:r>
    </w:p>
    <w:p w14:paraId="07F4C964" w14:textId="77777777" w:rsidR="00E910C4" w:rsidRPr="00E910C4" w:rsidRDefault="00880EEA" w:rsidP="00224FD7">
      <w:pPr>
        <w:pStyle w:val="TableTitle"/>
        <w:keepNext w:val="0"/>
      </w:pPr>
      <w:r>
        <w:rPr>
          <w:noProof/>
          <w:lang w:eastAsia="en-AU"/>
        </w:rPr>
        <w:drawing>
          <wp:inline distT="0" distB="0" distL="0" distR="0" wp14:anchorId="07F4C9FA" wp14:editId="07F4C9FB">
            <wp:extent cx="4771834" cy="3145536"/>
            <wp:effectExtent l="0" t="0" r="0" b="0"/>
            <wp:docPr id="7" name="Picture 7" descr="Table 24: KEYNOTE-010; PFS and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73092" cy="3146365"/>
                    </a:xfrm>
                    <a:prstGeom prst="rect">
                      <a:avLst/>
                    </a:prstGeom>
                  </pic:spPr>
                </pic:pic>
              </a:graphicData>
            </a:graphic>
          </wp:inline>
        </w:drawing>
      </w:r>
    </w:p>
    <w:p w14:paraId="07F4C965" w14:textId="112F21A4" w:rsidR="00E910C4" w:rsidRPr="00224FD7" w:rsidRDefault="000F74B7" w:rsidP="0009301B">
      <w:pPr>
        <w:rPr>
          <w:i/>
        </w:rPr>
      </w:pPr>
      <w:r w:rsidRPr="00224FD7">
        <w:rPr>
          <w:i/>
        </w:rPr>
        <w:t xml:space="preserve">Additional question: </w:t>
      </w:r>
      <w:r w:rsidR="00E910C4" w:rsidRPr="00224FD7">
        <w:rPr>
          <w:i/>
        </w:rPr>
        <w:t xml:space="preserve">In recent correspondence, the sponsor has also been asked to provide a breakdown of reasons for screening failure in </w:t>
      </w:r>
      <w:r w:rsidR="00AD080D">
        <w:rPr>
          <w:i/>
        </w:rPr>
        <w:t xml:space="preserve">the </w:t>
      </w:r>
      <w:r w:rsidR="00691589" w:rsidRPr="00224FD7">
        <w:rPr>
          <w:i/>
        </w:rPr>
        <w:t>KEYNOTE-024</w:t>
      </w:r>
      <w:r w:rsidR="00AD080D">
        <w:rPr>
          <w:i/>
        </w:rPr>
        <w:t xml:space="preserve"> trial</w:t>
      </w:r>
      <w:r w:rsidR="00E910C4" w:rsidRPr="00224FD7">
        <w:rPr>
          <w:i/>
        </w:rPr>
        <w:t>.</w:t>
      </w:r>
    </w:p>
    <w:p w14:paraId="07F4C967" w14:textId="0B8E88BC" w:rsidR="00E910C4" w:rsidRPr="00E910C4" w:rsidRDefault="00E910C4" w:rsidP="00E910C4">
      <w:r w:rsidRPr="00E910C4">
        <w:t>In total, 1</w:t>
      </w:r>
      <w:r w:rsidR="007344B9">
        <w:t>,</w:t>
      </w:r>
      <w:r w:rsidRPr="00E910C4">
        <w:t>629 subjects</w:t>
      </w:r>
      <w:r w:rsidR="00C37728">
        <w:t xml:space="preserve"> were not randomi</w:t>
      </w:r>
      <w:r w:rsidR="00AD080D">
        <w:t>s</w:t>
      </w:r>
      <w:r w:rsidR="00C37728">
        <w:t xml:space="preserve">ed to </w:t>
      </w:r>
      <w:r w:rsidR="00AD080D">
        <w:t xml:space="preserve">the </w:t>
      </w:r>
      <w:r w:rsidR="00C37728">
        <w:t>KEYNOTE-</w:t>
      </w:r>
      <w:r w:rsidRPr="00E910C4">
        <w:t>024</w:t>
      </w:r>
      <w:r w:rsidR="00AD080D">
        <w:t xml:space="preserve"> trial</w:t>
      </w:r>
      <w:r w:rsidRPr="00E910C4">
        <w:t>, of which 1</w:t>
      </w:r>
      <w:r w:rsidR="007344B9">
        <w:t>,</w:t>
      </w:r>
      <w:r w:rsidRPr="00E910C4">
        <w:t>628 did not meet</w:t>
      </w:r>
      <w:r>
        <w:t xml:space="preserve"> </w:t>
      </w:r>
      <w:r w:rsidRPr="00E910C4">
        <w:t>the inclusion or exclusion criteria outlined be</w:t>
      </w:r>
      <w:r>
        <w:t>low. Please note that while 108</w:t>
      </w:r>
      <w:r w:rsidR="00AD080D">
        <w:t> </w:t>
      </w:r>
      <w:r w:rsidRPr="00E910C4">
        <w:t>subjects have more than one criteria entered, the subject is c</w:t>
      </w:r>
      <w:r>
        <w:t xml:space="preserve">ounted only once in the overall </w:t>
      </w:r>
      <w:r w:rsidRPr="00E910C4">
        <w:t>total.</w:t>
      </w:r>
    </w:p>
    <w:p w14:paraId="07F4C968" w14:textId="77777777" w:rsidR="00E910C4" w:rsidRPr="00EF715C" w:rsidRDefault="00E910C4" w:rsidP="00EF715C">
      <w:pPr>
        <w:rPr>
          <w:i/>
        </w:rPr>
      </w:pPr>
      <w:r w:rsidRPr="00EF715C">
        <w:rPr>
          <w:i/>
        </w:rPr>
        <w:lastRenderedPageBreak/>
        <w:t>Inclusion Criteria</w:t>
      </w:r>
      <w:r w:rsidR="007344B9">
        <w:rPr>
          <w:i/>
        </w:rPr>
        <w:t>:</w:t>
      </w:r>
    </w:p>
    <w:p w14:paraId="07F4C969" w14:textId="71C6EE08" w:rsidR="00E910C4" w:rsidRPr="00EF715C" w:rsidRDefault="00E910C4" w:rsidP="00EF715C">
      <w:pPr>
        <w:pStyle w:val="ListBullet"/>
      </w:pPr>
      <w:r w:rsidRPr="00EF715C">
        <w:t xml:space="preserve">Have a PD-L1 strong </w:t>
      </w:r>
      <w:r w:rsidR="00EF715C" w:rsidRPr="00EF715C">
        <w:t>tumour</w:t>
      </w:r>
      <w:r w:rsidRPr="00EF715C">
        <w:t xml:space="preserve"> as determined by IHC at a central laboratory.</w:t>
      </w:r>
      <w:r w:rsidR="00EF715C">
        <w:t xml:space="preserve"> (n = 1</w:t>
      </w:r>
      <w:r w:rsidR="007344B9">
        <w:t>,</w:t>
      </w:r>
      <w:r w:rsidR="00EF715C">
        <w:t>084)</w:t>
      </w:r>
      <w:r w:rsidR="00AD080D">
        <w:t>.</w:t>
      </w:r>
    </w:p>
    <w:p w14:paraId="07F4C96A" w14:textId="76204E97" w:rsidR="00EF715C" w:rsidRPr="00EF715C" w:rsidRDefault="00EF715C" w:rsidP="00EF715C">
      <w:pPr>
        <w:pStyle w:val="ListBullet"/>
      </w:pPr>
      <w:r w:rsidRPr="00EF715C">
        <w:t xml:space="preserve">Tumour harboured an </w:t>
      </w:r>
      <w:r w:rsidRPr="0009301B">
        <w:t>EGFR</w:t>
      </w:r>
      <w:r w:rsidRPr="00AD080D">
        <w:t xml:space="preserve"> sensiti</w:t>
      </w:r>
      <w:r w:rsidR="00AD080D">
        <w:t>s</w:t>
      </w:r>
      <w:r w:rsidRPr="00AD080D">
        <w:t xml:space="preserve">ing mutation and/or </w:t>
      </w:r>
      <w:r w:rsidRPr="0009301B">
        <w:t>ALK</w:t>
      </w:r>
      <w:r w:rsidRPr="00AD080D">
        <w:t xml:space="preserve"> translocation (</w:t>
      </w:r>
      <w:r>
        <w:t>n = 139)</w:t>
      </w:r>
      <w:r w:rsidR="00AD080D">
        <w:t>.</w:t>
      </w:r>
    </w:p>
    <w:p w14:paraId="07F4C96B" w14:textId="5073DCD5" w:rsidR="00EF715C" w:rsidRDefault="00EF715C" w:rsidP="00EF715C">
      <w:pPr>
        <w:pStyle w:val="ListBullet"/>
      </w:pPr>
      <w:r w:rsidRPr="00EF715C">
        <w:t xml:space="preserve">Have provided a formalin fixed </w:t>
      </w:r>
      <w:r w:rsidR="007344B9" w:rsidRPr="00EF715C">
        <w:t>tumour</w:t>
      </w:r>
      <w:r w:rsidRPr="00EF715C">
        <w:t xml:space="preserve"> tissue sample from a biopsy of a </w:t>
      </w:r>
      <w:r w:rsidR="007344B9" w:rsidRPr="00EF715C">
        <w:t>tum</w:t>
      </w:r>
      <w:r w:rsidR="007344B9">
        <w:t>our</w:t>
      </w:r>
      <w:r>
        <w:t xml:space="preserve"> lesion either at the time of </w:t>
      </w:r>
      <w:r w:rsidRPr="00EF715C">
        <w:t>or after the diagnosis of metastatic disease has been made AND from a si</w:t>
      </w:r>
      <w:r>
        <w:t xml:space="preserve">te not previously irradiated to </w:t>
      </w:r>
      <w:r w:rsidRPr="00EF715C">
        <w:t>assess for PD-L1 status. Biopsies obtained PRIOR to the adminis</w:t>
      </w:r>
      <w:r>
        <w:t xml:space="preserve">tration of any systemic therapy </w:t>
      </w:r>
      <w:r w:rsidRPr="00EF715C">
        <w:t xml:space="preserve">administered for the treatment of a subject’s </w:t>
      </w:r>
      <w:r w:rsidR="007344B9" w:rsidRPr="00EF715C">
        <w:t>tumour</w:t>
      </w:r>
      <w:r w:rsidRPr="00EF715C">
        <w:t xml:space="preserve"> (such as neoadju</w:t>
      </w:r>
      <w:r>
        <w:t xml:space="preserve">vant/adjuvant therapy) will not </w:t>
      </w:r>
      <w:r w:rsidRPr="00EF715C">
        <w:t>permitted for analysis. The tissue sample must be received</w:t>
      </w:r>
      <w:r>
        <w:t xml:space="preserve"> by the central vendor prior to </w:t>
      </w:r>
      <w:r w:rsidRPr="00EF715C">
        <w:t>randomi</w:t>
      </w:r>
      <w:r w:rsidR="00EB1053">
        <w:t>s</w:t>
      </w:r>
      <w:r w:rsidRPr="00EF715C">
        <w:t>ation. Fine needle aspirates, Endobronchial Ultrasoun</w:t>
      </w:r>
      <w:r>
        <w:t xml:space="preserve">d (EBUS) or cell blocks are not </w:t>
      </w:r>
      <w:r w:rsidRPr="00EF715C">
        <w:t>acceptable. Needle or excisional biopsies,</w:t>
      </w:r>
      <w:r w:rsidR="007344B9">
        <w:t xml:space="preserve"> or resected tissue is required (n = </w:t>
      </w:r>
      <w:r>
        <w:t>163)</w:t>
      </w:r>
      <w:r w:rsidR="007344B9">
        <w:t>.</w:t>
      </w:r>
    </w:p>
    <w:p w14:paraId="07F4C96C" w14:textId="7936B4C9" w:rsidR="00EF715C" w:rsidRPr="00EF715C" w:rsidRDefault="00EF715C" w:rsidP="00EF715C">
      <w:pPr>
        <w:pStyle w:val="ListBullet"/>
      </w:pPr>
      <w:r w:rsidRPr="00EF715C">
        <w:t xml:space="preserve">Have a histologically or cytologically confirmed diagnosis of NSCLC, is </w:t>
      </w:r>
      <w:r w:rsidR="00471034">
        <w:t>S</w:t>
      </w:r>
      <w:r w:rsidR="00471034" w:rsidRPr="00EF715C">
        <w:t xml:space="preserve">tage </w:t>
      </w:r>
      <w:r w:rsidRPr="00EF715C">
        <w:t>IV, does not have an</w:t>
      </w:r>
      <w:r>
        <w:t xml:space="preserve"> </w:t>
      </w:r>
      <w:r w:rsidRPr="00EF715C">
        <w:t xml:space="preserve">EGFR </w:t>
      </w:r>
      <w:r w:rsidR="00AD080D" w:rsidRPr="00EF715C">
        <w:t>sensiti</w:t>
      </w:r>
      <w:r w:rsidR="00AD080D">
        <w:t>s</w:t>
      </w:r>
      <w:r w:rsidR="00AD080D" w:rsidRPr="00EF715C">
        <w:t xml:space="preserve">ing </w:t>
      </w:r>
      <w:r w:rsidRPr="00EF715C">
        <w:t xml:space="preserve">(activating) mutation or ALK translocation, and </w:t>
      </w:r>
      <w:r>
        <w:t xml:space="preserve">has not received prior systemic </w:t>
      </w:r>
      <w:r w:rsidRPr="00EF715C">
        <w:t>chemotherapy treat</w:t>
      </w:r>
      <w:r w:rsidR="007344B9">
        <w:t>ment for their metastatic NSCLC</w:t>
      </w:r>
      <w:r>
        <w:t xml:space="preserve"> (n = 80)</w:t>
      </w:r>
      <w:r w:rsidR="007344B9">
        <w:t>.</w:t>
      </w:r>
    </w:p>
    <w:p w14:paraId="07F4C96D" w14:textId="77777777" w:rsidR="00EF715C" w:rsidRDefault="00EF715C" w:rsidP="00EF715C">
      <w:pPr>
        <w:pStyle w:val="ListBullet"/>
      </w:pPr>
      <w:r>
        <w:t>Have a performance status of 0 or 1 on the Eastern Cooperative Oncology Group (ECOG) Performance Status (n = 54)</w:t>
      </w:r>
      <w:r w:rsidR="007344B9">
        <w:t>.</w:t>
      </w:r>
    </w:p>
    <w:p w14:paraId="07F4C96E" w14:textId="77777777" w:rsidR="00EF715C" w:rsidRDefault="00EF715C" w:rsidP="00EF715C">
      <w:pPr>
        <w:pStyle w:val="ListBullet"/>
      </w:pPr>
      <w:r>
        <w:t>Subject withdrew consent for participation in the trial (n = 31)</w:t>
      </w:r>
      <w:r w:rsidR="007344B9">
        <w:t>.</w:t>
      </w:r>
    </w:p>
    <w:p w14:paraId="07F4C96F" w14:textId="77777777" w:rsidR="00EF715C" w:rsidRDefault="00EF715C" w:rsidP="00EF715C">
      <w:pPr>
        <w:pStyle w:val="ListBullet"/>
      </w:pPr>
      <w:r w:rsidRPr="00EF715C">
        <w:t>Have a life expectancy of at least 3 months</w:t>
      </w:r>
      <w:r>
        <w:t xml:space="preserve"> (n = 16)</w:t>
      </w:r>
      <w:r w:rsidR="007344B9">
        <w:t>.</w:t>
      </w:r>
    </w:p>
    <w:p w14:paraId="07F4C970" w14:textId="77777777" w:rsidR="00EF715C" w:rsidRDefault="00EF715C" w:rsidP="00EF715C">
      <w:pPr>
        <w:pStyle w:val="ListBullet"/>
      </w:pPr>
      <w:r w:rsidRPr="00EF715C">
        <w:t>Subject has no history of prior malignancy, with the exception of basal cell carcinoma of the skin,</w:t>
      </w:r>
      <w:r>
        <w:t xml:space="preserve"> </w:t>
      </w:r>
      <w:r w:rsidRPr="00EF715C">
        <w:t>superficial bladder cancer, squamous cell carcinoma of the skin, in situ cervical c</w:t>
      </w:r>
      <w:r>
        <w:t xml:space="preserve">ancer, or has </w:t>
      </w:r>
      <w:r w:rsidRPr="00EF715C">
        <w:t>undergone potentially curative therapy with no evidence of that disea</w:t>
      </w:r>
      <w:r>
        <w:t xml:space="preserve">se recurrence for 5 years since </w:t>
      </w:r>
      <w:r w:rsidR="007344B9">
        <w:t>initiation of that therapy</w:t>
      </w:r>
      <w:r>
        <w:t xml:space="preserve"> (n = 10)</w:t>
      </w:r>
      <w:r w:rsidR="007344B9">
        <w:t>.</w:t>
      </w:r>
    </w:p>
    <w:p w14:paraId="07F4C971" w14:textId="77777777" w:rsidR="00EF715C" w:rsidRPr="00EF715C" w:rsidRDefault="00EF715C" w:rsidP="00EF715C">
      <w:pPr>
        <w:pStyle w:val="ListBullet"/>
      </w:pPr>
      <w:r w:rsidRPr="00EF715C">
        <w:t>Have measurable disease based on RECIS</w:t>
      </w:r>
      <w:r w:rsidR="007344B9">
        <w:t>T 1.1 as determined by the site</w:t>
      </w:r>
      <w:r>
        <w:t xml:space="preserve"> (n = 3)</w:t>
      </w:r>
      <w:r w:rsidR="007344B9">
        <w:t>.</w:t>
      </w:r>
    </w:p>
    <w:p w14:paraId="07F4C972" w14:textId="77777777" w:rsidR="00EF715C" w:rsidRPr="00D076B6" w:rsidRDefault="00D456AC" w:rsidP="00D076B6">
      <w:pPr>
        <w:rPr>
          <w:i/>
        </w:rPr>
      </w:pPr>
      <w:r w:rsidRPr="00D076B6">
        <w:rPr>
          <w:i/>
        </w:rPr>
        <w:t>Exclusion Criteria</w:t>
      </w:r>
      <w:r w:rsidR="007344B9">
        <w:rPr>
          <w:i/>
        </w:rPr>
        <w:t>:</w:t>
      </w:r>
    </w:p>
    <w:p w14:paraId="07F4C973" w14:textId="77777777" w:rsidR="00D456AC" w:rsidRDefault="00D456AC" w:rsidP="00D076B6">
      <w:pPr>
        <w:pStyle w:val="ListBullet"/>
      </w:pPr>
      <w:r w:rsidRPr="00D456AC">
        <w:t>Has untreated central nervous system (CNS) metastases and/or carcinomatous meningitis identified either</w:t>
      </w:r>
      <w:r>
        <w:t xml:space="preserve"> </w:t>
      </w:r>
      <w:r w:rsidRPr="00D456AC">
        <w:t>on the baseline brain imaging obtained during the screening period OR identified prior to signing t</w:t>
      </w:r>
      <w:r>
        <w:t xml:space="preserve">he </w:t>
      </w:r>
      <w:r w:rsidRPr="00D456AC">
        <w:t>ICF. Subjects whose brain metastases have been treated may</w:t>
      </w:r>
      <w:r>
        <w:t xml:space="preserve"> participate provided they show </w:t>
      </w:r>
      <w:r w:rsidRPr="00D456AC">
        <w:t xml:space="preserve">radiographic stability (defined as 2 brain images, both of which are </w:t>
      </w:r>
      <w:r>
        <w:t xml:space="preserve">obtained after treatment to the </w:t>
      </w:r>
      <w:r w:rsidRPr="00D456AC">
        <w:t xml:space="preserve">brain metastases. In addition, any neurologic symptoms that developed </w:t>
      </w:r>
      <w:r>
        <w:t xml:space="preserve">either as a result of the brain </w:t>
      </w:r>
      <w:r w:rsidRPr="00D456AC">
        <w:t>metastases or their treatment must have returned to baseline or resolve</w:t>
      </w:r>
      <w:r>
        <w:t xml:space="preserve">d. Any steroids administered as </w:t>
      </w:r>
      <w:r w:rsidRPr="00D456AC">
        <w:t>part of this therapy must be completed at least three</w:t>
      </w:r>
      <w:r w:rsidR="007344B9">
        <w:t xml:space="preserve"> days prior to study medication</w:t>
      </w:r>
      <w:r>
        <w:t xml:space="preserve"> (n = 73)</w:t>
      </w:r>
      <w:r w:rsidR="007344B9">
        <w:t>.</w:t>
      </w:r>
    </w:p>
    <w:p w14:paraId="07F4C974" w14:textId="77777777" w:rsidR="00D456AC" w:rsidRPr="00D456AC" w:rsidRDefault="00D456AC" w:rsidP="00D076B6">
      <w:pPr>
        <w:pStyle w:val="ListBullet"/>
      </w:pPr>
      <w:r w:rsidRPr="00D456AC">
        <w:t>Has a history or current evidence of any condition, therapy, or laboratory abnormality that might</w:t>
      </w:r>
      <w:r>
        <w:t xml:space="preserve"> </w:t>
      </w:r>
      <w:r w:rsidRPr="00D456AC">
        <w:t>confound the results of the trial, interfere with the subject’s participati</w:t>
      </w:r>
      <w:r>
        <w:t xml:space="preserve">on for the full duration of the </w:t>
      </w:r>
      <w:r w:rsidRPr="00D456AC">
        <w:t>trial, or is not in the best interest of the subject to participate, in the opini</w:t>
      </w:r>
      <w:r w:rsidR="007344B9">
        <w:t>on of the treating Investigator.</w:t>
      </w:r>
      <w:r>
        <w:t xml:space="preserve"> (n = 17)</w:t>
      </w:r>
      <w:r w:rsidR="007344B9">
        <w:t>.</w:t>
      </w:r>
    </w:p>
    <w:p w14:paraId="07F4C975" w14:textId="77777777" w:rsidR="00D456AC" w:rsidRPr="00D456AC" w:rsidRDefault="00D456AC" w:rsidP="00D076B6">
      <w:pPr>
        <w:pStyle w:val="ListBullet"/>
      </w:pPr>
      <w:r w:rsidRPr="00D456AC">
        <w:t>Active autoimmune disease that has required systemic treatment in past 2 years (</w:t>
      </w:r>
      <w:r w:rsidR="0046163D">
        <w:t>that is,</w:t>
      </w:r>
      <w:r w:rsidRPr="00D456AC">
        <w:t xml:space="preserve"> with use of disease</w:t>
      </w:r>
      <w:r>
        <w:t xml:space="preserve"> </w:t>
      </w:r>
      <w:r w:rsidRPr="00D456AC">
        <w:t>modifying agents, corticosteroids or immunosuppressive drugs). Replac</w:t>
      </w:r>
      <w:r>
        <w:t>ement therapy (</w:t>
      </w:r>
      <w:r w:rsidR="0046163D">
        <w:t>that is,</w:t>
      </w:r>
      <w:r>
        <w:t xml:space="preserve"> thyroxine, </w:t>
      </w:r>
      <w:r w:rsidRPr="00D456AC">
        <w:t>insulin, or physiologic corticosteroid replacement therapy for adrenal or pi</w:t>
      </w:r>
      <w:r>
        <w:t xml:space="preserve">tuitary insufficiency, etc.) is </w:t>
      </w:r>
      <w:r w:rsidRPr="00D456AC">
        <w:t>not consider</w:t>
      </w:r>
      <w:r w:rsidR="007344B9">
        <w:t>ed a form of systemic treatment</w:t>
      </w:r>
      <w:r>
        <w:t xml:space="preserve"> (n = 13)</w:t>
      </w:r>
      <w:r w:rsidR="007344B9">
        <w:t>.</w:t>
      </w:r>
    </w:p>
    <w:p w14:paraId="07F4C976" w14:textId="77777777" w:rsidR="00D456AC" w:rsidRPr="00D456AC" w:rsidRDefault="00D456AC" w:rsidP="00D076B6">
      <w:pPr>
        <w:pStyle w:val="ListBullet"/>
      </w:pPr>
      <w:r w:rsidRPr="00D456AC">
        <w:t>Is receiving systemic steroid therapy &gt; 3 days prior to the first dose of trial treatment or receiving any</w:t>
      </w:r>
      <w:r>
        <w:t xml:space="preserve"> </w:t>
      </w:r>
      <w:r w:rsidRPr="00D456AC">
        <w:t xml:space="preserve">other form of immunosuppressive medication (corticosteroid use on </w:t>
      </w:r>
      <w:r>
        <w:t xml:space="preserve">study for management of ECIs is </w:t>
      </w:r>
      <w:r w:rsidRPr="00D456AC">
        <w:t>allowed or as a pre-medication for the control chemotherapies is allow</w:t>
      </w:r>
      <w:r>
        <w:t xml:space="preserve">ed). Subjects who are receiving </w:t>
      </w:r>
      <w:r w:rsidRPr="00D456AC">
        <w:t xml:space="preserve">daily steroid replacement </w:t>
      </w:r>
      <w:r w:rsidRPr="00D456AC">
        <w:lastRenderedPageBreak/>
        <w:t>therapy serve as an exception to this rule. Dai</w:t>
      </w:r>
      <w:r w:rsidR="007344B9">
        <w:t xml:space="preserve">ly prednisone at doses of 5 to </w:t>
      </w:r>
      <w:r>
        <w:t xml:space="preserve">7.5 </w:t>
      </w:r>
      <w:r w:rsidRPr="00D456AC">
        <w:t>mg is an example of replacement therapy. Equivalent hydrocortis</w:t>
      </w:r>
      <w:r>
        <w:t xml:space="preserve">one doses are also permitted if </w:t>
      </w:r>
      <w:r w:rsidRPr="00D456AC">
        <w:t>admini</w:t>
      </w:r>
      <w:r w:rsidR="007344B9">
        <w:t>stered as a replacement therapy</w:t>
      </w:r>
      <w:r>
        <w:t xml:space="preserve"> (n = 7)</w:t>
      </w:r>
      <w:r w:rsidR="007344B9">
        <w:t>.</w:t>
      </w:r>
    </w:p>
    <w:p w14:paraId="07F4C977" w14:textId="42C289D1" w:rsidR="00D456AC" w:rsidRPr="00D456AC" w:rsidRDefault="00D456AC" w:rsidP="00D076B6">
      <w:pPr>
        <w:pStyle w:val="ListBullet"/>
      </w:pPr>
      <w:r w:rsidRPr="00D456AC">
        <w:t xml:space="preserve">Is expected to require any other form of systemic or </w:t>
      </w:r>
      <w:r w:rsidR="00AD080D" w:rsidRPr="00D456AC">
        <w:t>locali</w:t>
      </w:r>
      <w:r w:rsidR="00AD080D">
        <w:t>s</w:t>
      </w:r>
      <w:r w:rsidR="00AD080D" w:rsidRPr="00D456AC">
        <w:t xml:space="preserve">ed </w:t>
      </w:r>
      <w:r w:rsidRPr="00D456AC">
        <w:t>antineoplastic therapy while on trial</w:t>
      </w:r>
      <w:r>
        <w:t xml:space="preserve"> </w:t>
      </w:r>
      <w:r w:rsidRPr="00D456AC">
        <w:t>(including maintenance therapy with another agent for NSCLC, rad</w:t>
      </w:r>
      <w:r>
        <w:t xml:space="preserve">iation therapy, and/or surgical </w:t>
      </w:r>
      <w:r w:rsidR="007344B9">
        <w:t>resection)</w:t>
      </w:r>
      <w:r>
        <w:t xml:space="preserve"> (n = 8)</w:t>
      </w:r>
      <w:r w:rsidR="007344B9">
        <w:t>.</w:t>
      </w:r>
    </w:p>
    <w:p w14:paraId="07F4C978" w14:textId="3C2DE813" w:rsidR="00D456AC" w:rsidRPr="00D456AC" w:rsidRDefault="00D456AC" w:rsidP="00D076B6">
      <w:pPr>
        <w:pStyle w:val="ListBullet"/>
      </w:pPr>
      <w:r w:rsidRPr="00D456AC">
        <w:t xml:space="preserve">Has received systemic therapy for the treatment of their </w:t>
      </w:r>
      <w:r w:rsidR="00AD080D">
        <w:t>S</w:t>
      </w:r>
      <w:r w:rsidR="00AD080D" w:rsidRPr="00D456AC">
        <w:t xml:space="preserve">tage </w:t>
      </w:r>
      <w:r w:rsidRPr="00D456AC">
        <w:t>IV NSCLC. Completion of treatment with</w:t>
      </w:r>
      <w:r>
        <w:t xml:space="preserve"> </w:t>
      </w:r>
      <w:r w:rsidRPr="00D456AC">
        <w:t>chemotherapy and/or radiation as part of neoadjuvant/adjuvant therap</w:t>
      </w:r>
      <w:r>
        <w:t xml:space="preserve">y is allowed as long as therapy </w:t>
      </w:r>
      <w:r w:rsidRPr="00D456AC">
        <w:t xml:space="preserve">was completed at least 6 months prior to the </w:t>
      </w:r>
      <w:r w:rsidR="007344B9">
        <w:t>diagnosis of metastatic disease</w:t>
      </w:r>
      <w:r>
        <w:t xml:space="preserve"> (n = 4)</w:t>
      </w:r>
      <w:r w:rsidR="007344B9">
        <w:t>.</w:t>
      </w:r>
    </w:p>
    <w:p w14:paraId="07F4C979" w14:textId="77777777" w:rsidR="00D456AC" w:rsidRPr="00D456AC" w:rsidRDefault="00D456AC" w:rsidP="00D076B6">
      <w:pPr>
        <w:pStyle w:val="ListBullet"/>
      </w:pPr>
      <w:r w:rsidRPr="00D456AC">
        <w:t>Has known active Hepatitis B, Hepatitis C or tuberculosis. Active Hepatitis B is defined as a known</w:t>
      </w:r>
      <w:r>
        <w:t xml:space="preserve"> </w:t>
      </w:r>
      <w:r w:rsidRPr="00D456AC">
        <w:t xml:space="preserve">positive </w:t>
      </w:r>
      <w:proofErr w:type="spellStart"/>
      <w:r w:rsidRPr="00D456AC">
        <w:t>HBsAg</w:t>
      </w:r>
      <w:proofErr w:type="spellEnd"/>
      <w:r w:rsidRPr="00D456AC">
        <w:t xml:space="preserve"> result. Active Hepatitis C is defined by a known pos</w:t>
      </w:r>
      <w:r>
        <w:t xml:space="preserve">itive Hep C Ab result and known </w:t>
      </w:r>
      <w:r w:rsidRPr="00D456AC">
        <w:t>quantitative HCV RNA results greater than the lower l</w:t>
      </w:r>
      <w:r w:rsidR="007344B9">
        <w:t xml:space="preserve">imits of detection of the assay </w:t>
      </w:r>
      <w:r>
        <w:t>(n = 4)</w:t>
      </w:r>
      <w:r w:rsidR="007344B9">
        <w:t>.</w:t>
      </w:r>
    </w:p>
    <w:p w14:paraId="07F4C97A" w14:textId="7BEB35FB" w:rsidR="00D456AC" w:rsidRPr="00D456AC" w:rsidRDefault="00D456AC" w:rsidP="00D076B6">
      <w:pPr>
        <w:pStyle w:val="ListBullet"/>
      </w:pPr>
      <w:r w:rsidRPr="00D456AC">
        <w:t>Has received prior therapy with an anti-PD-1, anti-PD-L1, anti-PD-L2, anti-CD137, or anti-</w:t>
      </w:r>
      <w:r w:rsidR="00AD080D">
        <w:t>c</w:t>
      </w:r>
      <w:r w:rsidR="00AD080D" w:rsidRPr="00D456AC">
        <w:t xml:space="preserve">ytotoxic </w:t>
      </w:r>
      <w:r w:rsidRPr="00D456AC">
        <w:t>T</w:t>
      </w:r>
      <w:r w:rsidR="00AD080D">
        <w:t xml:space="preserve"> </w:t>
      </w:r>
      <w:r w:rsidRPr="00D456AC">
        <w:t>lymphocyte</w:t>
      </w:r>
      <w:r>
        <w:t xml:space="preserve"> </w:t>
      </w:r>
      <w:r w:rsidRPr="00D456AC">
        <w:t>associated antigen-4 (CTLA-4) antibody (including ipil</w:t>
      </w:r>
      <w:r>
        <w:t xml:space="preserve">imumab or any other antibody or </w:t>
      </w:r>
      <w:r w:rsidRPr="00D456AC">
        <w:t>drug specifically targeting T</w:t>
      </w:r>
      <w:r w:rsidR="00CE1B59">
        <w:t xml:space="preserve"> </w:t>
      </w:r>
      <w:r w:rsidRPr="00D456AC">
        <w:t>cell co-stimulation or ch</w:t>
      </w:r>
      <w:r w:rsidR="007344B9">
        <w:t>eckpoint pathways)</w:t>
      </w:r>
      <w:r>
        <w:t xml:space="preserve"> (n = 4)</w:t>
      </w:r>
      <w:r w:rsidR="007344B9">
        <w:t>.</w:t>
      </w:r>
    </w:p>
    <w:p w14:paraId="07F4C97B" w14:textId="77777777" w:rsidR="00D456AC" w:rsidRDefault="00D456AC" w:rsidP="00D076B6">
      <w:pPr>
        <w:pStyle w:val="ListBullet"/>
      </w:pPr>
      <w:r w:rsidRPr="00D456AC">
        <w:t>Has received prior systemic cytotoxic chemotherapy, biological therapy, OR major surgery within 3</w:t>
      </w:r>
      <w:r>
        <w:t xml:space="preserve"> </w:t>
      </w:r>
      <w:r w:rsidRPr="00D456AC">
        <w:t>weeks of the first dose of trial treatment; received thoracic radiat</w:t>
      </w:r>
      <w:r>
        <w:t xml:space="preserve">ion therapy of &gt; 30 </w:t>
      </w:r>
      <w:proofErr w:type="spellStart"/>
      <w:r>
        <w:t>Gy</w:t>
      </w:r>
      <w:proofErr w:type="spellEnd"/>
      <w:r>
        <w:t xml:space="preserve"> within 6 </w:t>
      </w:r>
      <w:r w:rsidRPr="00D456AC">
        <w:t>months of the first dose of trial treatment.</w:t>
      </w:r>
      <w:r>
        <w:t>(n = 3)</w:t>
      </w:r>
      <w:r w:rsidR="007344B9">
        <w:t>.</w:t>
      </w:r>
    </w:p>
    <w:p w14:paraId="07F4C97C" w14:textId="77777777" w:rsidR="00D456AC" w:rsidRDefault="00D456AC" w:rsidP="00D076B6">
      <w:pPr>
        <w:pStyle w:val="ListBullet"/>
      </w:pPr>
      <w:r w:rsidRPr="00D456AC">
        <w:t>Is currently participating or has participated in a study of an investigational agent or using an</w:t>
      </w:r>
      <w:r>
        <w:t xml:space="preserve"> </w:t>
      </w:r>
      <w:r w:rsidRPr="00D456AC">
        <w:t>investigational device within 30 days of th</w:t>
      </w:r>
      <w:r w:rsidR="007344B9">
        <w:t>e first dose of trial treatment (n = </w:t>
      </w:r>
      <w:r>
        <w:t>1)</w:t>
      </w:r>
      <w:r w:rsidR="007344B9">
        <w:t>.</w:t>
      </w:r>
    </w:p>
    <w:p w14:paraId="07F4C97D" w14:textId="77777777" w:rsidR="00D456AC" w:rsidRPr="00D456AC" w:rsidRDefault="00D456AC" w:rsidP="00D076B6">
      <w:pPr>
        <w:pStyle w:val="ListBullet"/>
      </w:pPr>
      <w:r w:rsidRPr="00D456AC">
        <w:t>Has had an allogeneic tissue/solid organ transplant</w:t>
      </w:r>
      <w:r>
        <w:t xml:space="preserve"> (n = 1)</w:t>
      </w:r>
      <w:r w:rsidR="007344B9">
        <w:t>.</w:t>
      </w:r>
    </w:p>
    <w:p w14:paraId="07F4C97E" w14:textId="77777777" w:rsidR="00D456AC" w:rsidRPr="00D456AC" w:rsidRDefault="00D456AC" w:rsidP="00D076B6">
      <w:pPr>
        <w:pStyle w:val="ListBullet"/>
      </w:pPr>
      <w:r w:rsidRPr="00D456AC">
        <w:t>Has received or will receive a live vaccine within 30 days prior to the first administration of study</w:t>
      </w:r>
      <w:r>
        <w:t xml:space="preserve"> </w:t>
      </w:r>
      <w:r w:rsidR="007344B9">
        <w:t xml:space="preserve">medication </w:t>
      </w:r>
      <w:r>
        <w:t>(n = 1)</w:t>
      </w:r>
      <w:r w:rsidR="007344B9">
        <w:t>.</w:t>
      </w:r>
    </w:p>
    <w:p w14:paraId="07F4C97F" w14:textId="794773FD" w:rsidR="00D456AC" w:rsidRPr="00D456AC" w:rsidRDefault="00D456AC" w:rsidP="00D076B6">
      <w:pPr>
        <w:pStyle w:val="ListBullet"/>
      </w:pPr>
      <w:r w:rsidRPr="00D456AC">
        <w:t xml:space="preserve">Has interstitial lung disease (ILD) </w:t>
      </w:r>
      <w:r w:rsidR="00AD080D">
        <w:t>or</w:t>
      </w:r>
      <w:r w:rsidRPr="00D456AC">
        <w:t xml:space="preserve"> has had a history of pneumonitis that has required oral or IV</w:t>
      </w:r>
      <w:r>
        <w:t xml:space="preserve"> </w:t>
      </w:r>
      <w:r w:rsidR="007344B9">
        <w:t xml:space="preserve">steroids </w:t>
      </w:r>
      <w:r>
        <w:t>(n = 2)</w:t>
      </w:r>
      <w:r w:rsidR="007344B9">
        <w:t>.</w:t>
      </w:r>
    </w:p>
    <w:p w14:paraId="07F4C980" w14:textId="77777777" w:rsidR="00D456AC" w:rsidRDefault="00D456AC" w:rsidP="00D076B6">
      <w:pPr>
        <w:pStyle w:val="ListBullet"/>
      </w:pPr>
      <w:r w:rsidRPr="00D456AC">
        <w:t>Has known history of Human Immunodeficiency Virus (HIV) (HIV 1/2 antibodies).</w:t>
      </w:r>
    </w:p>
    <w:p w14:paraId="07F4C981" w14:textId="77777777" w:rsidR="00D456AC" w:rsidRPr="00D456AC" w:rsidRDefault="00D456AC" w:rsidP="00D076B6">
      <w:pPr>
        <w:pStyle w:val="ListBullet"/>
      </w:pPr>
      <w:r w:rsidRPr="00D456AC">
        <w:t>Has known psychiatric or substance abuse disorders that would interfere with cooperation with the</w:t>
      </w:r>
      <w:r>
        <w:t xml:space="preserve"> </w:t>
      </w:r>
      <w:r w:rsidR="007344B9">
        <w:t>requirements of the trial</w:t>
      </w:r>
      <w:r>
        <w:t xml:space="preserve"> (n = 1)</w:t>
      </w:r>
      <w:r w:rsidR="007344B9">
        <w:t>.</w:t>
      </w:r>
    </w:p>
    <w:p w14:paraId="07F4C982" w14:textId="77777777" w:rsidR="00D456AC" w:rsidRPr="00D456AC" w:rsidRDefault="00D456AC" w:rsidP="00D076B6">
      <w:pPr>
        <w:pStyle w:val="ListBullet"/>
      </w:pPr>
      <w:r w:rsidRPr="00D456AC">
        <w:t>Is, at the time of signing informed consent, a regular user (including recreational use) of any illicit</w:t>
      </w:r>
      <w:r>
        <w:t xml:space="preserve"> </w:t>
      </w:r>
      <w:r w:rsidRPr="00D456AC">
        <w:t>drugs or had a recent history (within the last year) of subs</w:t>
      </w:r>
      <w:r w:rsidR="007344B9">
        <w:t>tance abuse (including alcohol)</w:t>
      </w:r>
      <w:r>
        <w:t xml:space="preserve"> (n = 1)</w:t>
      </w:r>
      <w:r w:rsidR="007344B9">
        <w:t>.</w:t>
      </w:r>
    </w:p>
    <w:p w14:paraId="07F4C983" w14:textId="77777777" w:rsidR="00D456AC" w:rsidRPr="00D456AC" w:rsidRDefault="00D076B6" w:rsidP="00D076B6">
      <w:pPr>
        <w:pStyle w:val="Heading5"/>
      </w:pPr>
      <w:r>
        <w:t>Response from sponsor to Delegate’s questions for ACM</w:t>
      </w:r>
    </w:p>
    <w:p w14:paraId="07F4C984" w14:textId="4539AFD7" w:rsidR="00D076B6" w:rsidRPr="0009301B" w:rsidRDefault="00D076B6" w:rsidP="00CB0ECA">
      <w:pPr>
        <w:pStyle w:val="Numberbullet0"/>
        <w:numPr>
          <w:ilvl w:val="0"/>
          <w:numId w:val="10"/>
        </w:numPr>
        <w:rPr>
          <w:i/>
        </w:rPr>
      </w:pPr>
      <w:r w:rsidRPr="0009301B">
        <w:rPr>
          <w:i/>
        </w:rPr>
        <w:t>The clinical evaluator for Submission PM-2016-02325-1-4 (</w:t>
      </w:r>
      <w:r w:rsidR="00985879" w:rsidRPr="0009301B">
        <w:rPr>
          <w:i/>
        </w:rPr>
        <w:t>first line</w:t>
      </w:r>
      <w:r w:rsidRPr="0009301B">
        <w:rPr>
          <w:i/>
        </w:rPr>
        <w:t xml:space="preserve"> </w:t>
      </w:r>
      <w:r w:rsidR="00066777">
        <w:rPr>
          <w:i/>
        </w:rPr>
        <w:t xml:space="preserve">treatment of </w:t>
      </w:r>
      <w:r w:rsidRPr="0009301B">
        <w:rPr>
          <w:i/>
        </w:rPr>
        <w:t>NSCLC) suggests that the PI recommend a maximum duration of therapy of 35</w:t>
      </w:r>
      <w:r w:rsidR="00066777">
        <w:rPr>
          <w:i/>
        </w:rPr>
        <w:t> </w:t>
      </w:r>
      <w:r w:rsidRPr="0009301B">
        <w:rPr>
          <w:i/>
        </w:rPr>
        <w:t xml:space="preserve">treatments (24 months) for </w:t>
      </w:r>
      <w:r w:rsidR="00985879" w:rsidRPr="0009301B">
        <w:rPr>
          <w:i/>
        </w:rPr>
        <w:t>first line</w:t>
      </w:r>
      <w:r w:rsidRPr="0009301B">
        <w:rPr>
          <w:i/>
        </w:rPr>
        <w:t xml:space="preserve"> NSCLC.</w:t>
      </w:r>
      <w:r w:rsidR="0046163D" w:rsidRPr="0009301B">
        <w:rPr>
          <w:i/>
        </w:rPr>
        <w:t xml:space="preserve"> </w:t>
      </w:r>
      <w:r w:rsidRPr="0009301B">
        <w:rPr>
          <w:i/>
        </w:rPr>
        <w:t xml:space="preserve">No subjects in </w:t>
      </w:r>
      <w:r w:rsidR="00066777">
        <w:rPr>
          <w:i/>
        </w:rPr>
        <w:t xml:space="preserve">the </w:t>
      </w:r>
      <w:r w:rsidR="00691589" w:rsidRPr="0009301B">
        <w:rPr>
          <w:i/>
        </w:rPr>
        <w:t>KEYNOTE-024</w:t>
      </w:r>
      <w:r w:rsidRPr="0009301B">
        <w:rPr>
          <w:i/>
        </w:rPr>
        <w:t xml:space="preserve"> </w:t>
      </w:r>
      <w:r w:rsidR="00066777">
        <w:rPr>
          <w:i/>
        </w:rPr>
        <w:t xml:space="preserve">trial </w:t>
      </w:r>
      <w:r w:rsidRPr="0009301B">
        <w:rPr>
          <w:i/>
        </w:rPr>
        <w:t>reached 24 months in the analysis provided.</w:t>
      </w:r>
      <w:r w:rsidR="0046163D" w:rsidRPr="0009301B">
        <w:rPr>
          <w:i/>
        </w:rPr>
        <w:t xml:space="preserve"> </w:t>
      </w:r>
      <w:r w:rsidRPr="0009301B">
        <w:rPr>
          <w:i/>
        </w:rPr>
        <w:t>There are no data to inform the decision to stop at 24 months.</w:t>
      </w:r>
      <w:r w:rsidR="0046163D" w:rsidRPr="0009301B">
        <w:rPr>
          <w:i/>
        </w:rPr>
        <w:t xml:space="preserve"> </w:t>
      </w:r>
      <w:r w:rsidRPr="0009301B">
        <w:rPr>
          <w:i/>
        </w:rPr>
        <w:t>What should the PI recommend in this regard?</w:t>
      </w:r>
    </w:p>
    <w:p w14:paraId="07F4C986" w14:textId="77777777" w:rsidR="00D076B6" w:rsidRPr="00D076B6" w:rsidRDefault="00D076B6" w:rsidP="00D076B6">
      <w:r w:rsidRPr="00D076B6">
        <w:t xml:space="preserve">Consistent with the design of, </w:t>
      </w:r>
      <w:r w:rsidR="00C37728">
        <w:t>the sponsor</w:t>
      </w:r>
      <w:r w:rsidRPr="00D076B6">
        <w:t xml:space="preserve"> concurs that the duration of treatment be limited</w:t>
      </w:r>
      <w:r>
        <w:t xml:space="preserve"> </w:t>
      </w:r>
      <w:r w:rsidRPr="00D076B6">
        <w:t xml:space="preserve">to 35 treatments (24 months). Please refer to the </w:t>
      </w:r>
      <w:r w:rsidR="007344B9">
        <w:t>sponsor</w:t>
      </w:r>
      <w:r w:rsidRPr="00D076B6">
        <w:t>’s proposed wording in the draft PI.</w:t>
      </w:r>
    </w:p>
    <w:p w14:paraId="07F4C987" w14:textId="00B44A25" w:rsidR="00D076B6" w:rsidRPr="0009301B" w:rsidRDefault="00D076B6" w:rsidP="00CB0ECA">
      <w:pPr>
        <w:pStyle w:val="Numberbullet0"/>
        <w:numPr>
          <w:ilvl w:val="0"/>
          <w:numId w:val="10"/>
        </w:numPr>
        <w:rPr>
          <w:i/>
        </w:rPr>
      </w:pPr>
      <w:r w:rsidRPr="00803D07">
        <w:rPr>
          <w:i/>
        </w:rPr>
        <w:t xml:space="preserve">Does the ACM consider that the benefit-risk balance is positive in patients with NSCLC who have received </w:t>
      </w:r>
      <w:r w:rsidR="005B1C86" w:rsidRPr="00803D07">
        <w:rPr>
          <w:i/>
        </w:rPr>
        <w:t>platinum containing</w:t>
      </w:r>
      <w:r w:rsidRPr="00803D07">
        <w:rPr>
          <w:i/>
        </w:rPr>
        <w:t xml:space="preserve"> chemotherapy and whose tumours are weakly </w:t>
      </w:r>
      <w:r w:rsidRPr="0009301B">
        <w:rPr>
          <w:i/>
        </w:rPr>
        <w:lastRenderedPageBreak/>
        <w:t>positive for PD-L1?</w:t>
      </w:r>
      <w:r w:rsidR="0046163D" w:rsidRPr="0009301B">
        <w:rPr>
          <w:i/>
        </w:rPr>
        <w:t xml:space="preserve"> </w:t>
      </w:r>
      <w:r w:rsidRPr="0009301B">
        <w:rPr>
          <w:i/>
        </w:rPr>
        <w:t xml:space="preserve">Is there any concern regarding the imbalance in disease progression rates in this group, seen in </w:t>
      </w:r>
      <w:r w:rsidR="00066777">
        <w:rPr>
          <w:i/>
        </w:rPr>
        <w:t xml:space="preserve">the </w:t>
      </w:r>
      <w:r w:rsidR="00691589" w:rsidRPr="0009301B">
        <w:rPr>
          <w:i/>
        </w:rPr>
        <w:t>KEYNOTE-010</w:t>
      </w:r>
      <w:r w:rsidR="00066777">
        <w:rPr>
          <w:i/>
        </w:rPr>
        <w:t xml:space="preserve"> trial</w:t>
      </w:r>
      <w:r w:rsidRPr="0009301B">
        <w:rPr>
          <w:i/>
        </w:rPr>
        <w:t>?</w:t>
      </w:r>
    </w:p>
    <w:p w14:paraId="07F4C989" w14:textId="1BE93F90" w:rsidR="00D076B6" w:rsidRPr="00D076B6" w:rsidRDefault="00D076B6" w:rsidP="00D076B6">
      <w:r w:rsidRPr="00D076B6">
        <w:t xml:space="preserve">The </w:t>
      </w:r>
      <w:r w:rsidR="007344B9">
        <w:t>sponsor</w:t>
      </w:r>
      <w:r w:rsidRPr="00D076B6">
        <w:t xml:space="preserve"> appreciates the Delegate’s position in the overview and would like to again</w:t>
      </w:r>
      <w:r>
        <w:t xml:space="preserve"> </w:t>
      </w:r>
      <w:r w:rsidRPr="00D076B6">
        <w:t>refer to the previous responses (consolidated</w:t>
      </w:r>
      <w:r>
        <w:t xml:space="preserve"> </w:t>
      </w:r>
      <w:r w:rsidRPr="00C37728">
        <w:t xml:space="preserve">response and </w:t>
      </w:r>
      <w:r w:rsidR="00066777">
        <w:t xml:space="preserve">the </w:t>
      </w:r>
      <w:r w:rsidR="00691589" w:rsidRPr="00C37728">
        <w:t>KEYNOTE-010</w:t>
      </w:r>
      <w:r w:rsidRPr="00C37728">
        <w:t xml:space="preserve"> </w:t>
      </w:r>
      <w:r w:rsidR="00066777">
        <w:t xml:space="preserve">trial </w:t>
      </w:r>
      <w:r w:rsidRPr="00C37728">
        <w:t xml:space="preserve">CER </w:t>
      </w:r>
      <w:r w:rsidR="00066777">
        <w:t>Second round</w:t>
      </w:r>
      <w:r>
        <w:t xml:space="preserve"> </w:t>
      </w:r>
      <w:r w:rsidRPr="00D076B6">
        <w:t xml:space="preserve">response) as the </w:t>
      </w:r>
      <w:r w:rsidR="007344B9">
        <w:t>sponsor</w:t>
      </w:r>
      <w:r w:rsidRPr="00D076B6">
        <w:t xml:space="preserve">’s position has not changed. The final analysis of the data in </w:t>
      </w:r>
      <w:r w:rsidR="00066777">
        <w:t xml:space="preserve">the </w:t>
      </w:r>
      <w:r w:rsidR="00691589" w:rsidRPr="00C37728">
        <w:t>KEYNOTE-010</w:t>
      </w:r>
      <w:r w:rsidR="00066777">
        <w:t xml:space="preserve"> trial</w:t>
      </w:r>
      <w:r w:rsidRPr="00C37728">
        <w:t xml:space="preserve"> demonstrated</w:t>
      </w:r>
      <w:r w:rsidRPr="00D076B6">
        <w:t xml:space="preserve"> clinically meaningful and statistically significant improvement in OS for both</w:t>
      </w:r>
      <w:r>
        <w:t xml:space="preserve"> </w:t>
      </w:r>
      <w:r w:rsidRPr="00D076B6">
        <w:t>the TPS</w:t>
      </w:r>
      <w:r w:rsidR="000F74B7">
        <w:t xml:space="preserve"> </w:t>
      </w:r>
      <w:r w:rsidR="0046163D">
        <w:t xml:space="preserve">≥ </w:t>
      </w:r>
      <w:r w:rsidRPr="00D076B6">
        <w:t>50% stratum and the overall population (T</w:t>
      </w:r>
      <w:r>
        <w:t>PS</w:t>
      </w:r>
      <w:r w:rsidR="000F74B7">
        <w:t xml:space="preserve"> </w:t>
      </w:r>
      <w:r w:rsidR="0046163D">
        <w:t xml:space="preserve">≥ </w:t>
      </w:r>
      <w:r>
        <w:t xml:space="preserve">1%). While the study met its </w:t>
      </w:r>
      <w:r w:rsidRPr="00D076B6">
        <w:t>primary endpoint for OS, the study was not designe</w:t>
      </w:r>
      <w:r>
        <w:t xml:space="preserve">d to demonstrate superiority of </w:t>
      </w:r>
      <w:r w:rsidRPr="00D076B6">
        <w:t>pembrolizumab in the TPS</w:t>
      </w:r>
      <w:r w:rsidR="000F74B7">
        <w:t xml:space="preserve"> </w:t>
      </w:r>
      <w:r w:rsidRPr="00D076B6">
        <w:t>=</w:t>
      </w:r>
      <w:r w:rsidR="000F74B7">
        <w:t xml:space="preserve"> </w:t>
      </w:r>
      <w:r w:rsidR="008141D3">
        <w:t xml:space="preserve">1 - 49% </w:t>
      </w:r>
      <w:r w:rsidRPr="00D076B6">
        <w:t>stratum. These analys</w:t>
      </w:r>
      <w:r>
        <w:t xml:space="preserve">es were not prespecified in the </w:t>
      </w:r>
      <w:r w:rsidRPr="00D076B6">
        <w:t>protocol. Nevertheless, data for the comparison of pembrol</w:t>
      </w:r>
      <w:r>
        <w:t xml:space="preserve">izumab 2 mg/kg versus docetaxel </w:t>
      </w:r>
      <w:r w:rsidRPr="00D076B6">
        <w:t>75 mg/</w:t>
      </w:r>
      <w:r w:rsidR="00441A46" w:rsidRPr="00441A46">
        <w:t>m</w:t>
      </w:r>
      <w:r w:rsidR="00441A46" w:rsidRPr="00441A46">
        <w:rPr>
          <w:vertAlign w:val="superscript"/>
        </w:rPr>
        <w:t>2</w:t>
      </w:r>
      <w:r w:rsidRPr="00D076B6">
        <w:t xml:space="preserve"> and pembrolizumab 10 mg/kg versus docetaxel 75 mg/</w:t>
      </w:r>
      <w:r w:rsidR="00441A46" w:rsidRPr="00441A46">
        <w:t>m</w:t>
      </w:r>
      <w:r w:rsidR="00441A46" w:rsidRPr="00441A46">
        <w:rPr>
          <w:vertAlign w:val="superscript"/>
        </w:rPr>
        <w:t>2</w:t>
      </w:r>
      <w:r w:rsidRPr="00D076B6">
        <w:t xml:space="preserve"> </w:t>
      </w:r>
      <w:r>
        <w:t xml:space="preserve">in that stratum were HR </w:t>
      </w:r>
      <w:r w:rsidRPr="00D076B6">
        <w:t>0.79, 95% CI: 0.61, 1.04 and HR 0.71, 95% CI: 0.53, 0.94, res</w:t>
      </w:r>
      <w:r>
        <w:t xml:space="preserve">pectively. Because there is not </w:t>
      </w:r>
      <w:r w:rsidRPr="00D076B6">
        <w:t xml:space="preserve">a dose dependency for efficacy in the doses tested </w:t>
      </w:r>
      <w:r w:rsidRPr="00C37728">
        <w:t>in KEYNOTE-010, the</w:t>
      </w:r>
      <w:r>
        <w:t xml:space="preserve"> pembrolizumab </w:t>
      </w:r>
      <w:r w:rsidRPr="00D076B6">
        <w:t xml:space="preserve">arms may be pooled and a </w:t>
      </w:r>
      <w:r w:rsidR="002D18E6">
        <w:t>HR</w:t>
      </w:r>
      <w:r w:rsidRPr="00D076B6">
        <w:t xml:space="preserve"> of 0.76, 95% CI:</w:t>
      </w:r>
      <w:r>
        <w:t xml:space="preserve"> 0.60, 0.96 was observed in the </w:t>
      </w:r>
      <w:r w:rsidRPr="00D076B6">
        <w:t>TPS</w:t>
      </w:r>
      <w:r w:rsidR="000F74B7">
        <w:t xml:space="preserve"> </w:t>
      </w:r>
      <w:r w:rsidRPr="00D076B6">
        <w:t>=</w:t>
      </w:r>
      <w:r w:rsidR="000F74B7">
        <w:t xml:space="preserve"> </w:t>
      </w:r>
      <w:r w:rsidR="008141D3">
        <w:t xml:space="preserve">1 - 49% </w:t>
      </w:r>
      <w:r w:rsidRPr="00D076B6">
        <w:t>stratum. There is an intrinsic survival benefit t</w:t>
      </w:r>
      <w:r>
        <w:t xml:space="preserve">o patients whose </w:t>
      </w:r>
      <w:r w:rsidR="000F74B7">
        <w:t>tumours</w:t>
      </w:r>
      <w:r>
        <w:t xml:space="preserve"> express </w:t>
      </w:r>
      <w:r w:rsidRPr="00D076B6">
        <w:t xml:space="preserve">PD-L1 with a TPS of </w:t>
      </w:r>
      <w:r w:rsidR="008141D3">
        <w:t xml:space="preserve">1 </w:t>
      </w:r>
      <w:r w:rsidR="00066777">
        <w:t>to</w:t>
      </w:r>
      <w:r w:rsidR="008141D3">
        <w:t xml:space="preserve"> 49% </w:t>
      </w:r>
      <w:r w:rsidRPr="00D076B6">
        <w:t>and are treated with pembrol</w:t>
      </w:r>
      <w:r>
        <w:t xml:space="preserve">izumab. This benefit of overall </w:t>
      </w:r>
      <w:r w:rsidRPr="00D076B6">
        <w:t>survival outweighs the</w:t>
      </w:r>
      <w:r w:rsidR="000F74B7">
        <w:t xml:space="preserve"> lack of benefit in progression </w:t>
      </w:r>
      <w:r w:rsidRPr="00D076B6">
        <w:t>free survival relative to docet</w:t>
      </w:r>
      <w:r>
        <w:t xml:space="preserve">axel for </w:t>
      </w:r>
      <w:r w:rsidRPr="00D076B6">
        <w:t xml:space="preserve">the larger group of patients whose </w:t>
      </w:r>
      <w:r w:rsidR="000F74B7" w:rsidRPr="00D076B6">
        <w:t>tumours</w:t>
      </w:r>
      <w:r w:rsidRPr="00D076B6">
        <w:t xml:space="preserve"> have a TPS of 1% or</w:t>
      </w:r>
      <w:r>
        <w:t xml:space="preserve"> greater. As the safety profile </w:t>
      </w:r>
      <w:r w:rsidRPr="00D076B6">
        <w:t>of pembrolizumab was consistent across all PD-L1 strata, and i</w:t>
      </w:r>
      <w:r>
        <w:t xml:space="preserve">t is less toxic than docetaxel, </w:t>
      </w:r>
      <w:r w:rsidRPr="00D076B6">
        <w:t>pembrolizumab provides patients with a positive benefit-risk</w:t>
      </w:r>
      <w:r>
        <w:t xml:space="preserve"> balance when the </w:t>
      </w:r>
      <w:r w:rsidR="000F74B7">
        <w:t>tumour’s</w:t>
      </w:r>
      <w:r>
        <w:t xml:space="preserve"> </w:t>
      </w:r>
      <w:r w:rsidRPr="00D076B6">
        <w:t>baseline PD-L1 expression is a TPS</w:t>
      </w:r>
      <w:r w:rsidR="000F74B7">
        <w:t xml:space="preserve"> </w:t>
      </w:r>
      <w:r w:rsidR="0046163D">
        <w:t xml:space="preserve">≥ </w:t>
      </w:r>
      <w:r w:rsidRPr="00D076B6">
        <w:t>1%.</w:t>
      </w:r>
    </w:p>
    <w:p w14:paraId="07F4C98A" w14:textId="5B8726E9" w:rsidR="00D076B6" w:rsidRPr="00E2009C" w:rsidRDefault="00D076B6" w:rsidP="00CB0ECA">
      <w:pPr>
        <w:pStyle w:val="Numberbullet0"/>
        <w:numPr>
          <w:ilvl w:val="0"/>
          <w:numId w:val="10"/>
        </w:numPr>
        <w:rPr>
          <w:rFonts w:eastAsia="TimesNewRoman" w:cs="TimesNewRoman"/>
          <w:i/>
        </w:rPr>
      </w:pPr>
      <w:r w:rsidRPr="00E2009C">
        <w:rPr>
          <w:rFonts w:eastAsia="TimesNewRoman" w:cs="TimesNewRoman"/>
          <w:i/>
        </w:rPr>
        <w:t xml:space="preserve">The </w:t>
      </w:r>
      <w:r w:rsidR="00C37728" w:rsidRPr="00E2009C">
        <w:rPr>
          <w:rFonts w:eastAsia="TimesNewRoman" w:cs="TimesNewRoman"/>
          <w:i/>
        </w:rPr>
        <w:t xml:space="preserve">clinical evaluator </w:t>
      </w:r>
      <w:r w:rsidRPr="00E2009C">
        <w:rPr>
          <w:rFonts w:eastAsia="TimesNewRoman" w:cs="TimesNewRoman"/>
          <w:i/>
        </w:rPr>
        <w:t xml:space="preserve">and Delegate agree that the PI should present efficacy outcomes for </w:t>
      </w:r>
      <w:r w:rsidR="00ED4E4E" w:rsidRPr="00E2009C">
        <w:rPr>
          <w:rFonts w:eastAsia="TimesNewRoman" w:cs="TimesNewRoman"/>
          <w:i/>
        </w:rPr>
        <w:t>second line</w:t>
      </w:r>
      <w:r w:rsidRPr="00E2009C">
        <w:rPr>
          <w:rFonts w:eastAsia="TimesNewRoman" w:cs="TimesNewRoman"/>
          <w:i/>
        </w:rPr>
        <w:t xml:space="preserve"> NSCLC patients with PD-L1 expression </w:t>
      </w:r>
      <w:r w:rsidR="008141D3" w:rsidRPr="00E2009C">
        <w:rPr>
          <w:rFonts w:eastAsia="TimesNewRoman" w:cs="TimesNewRoman"/>
          <w:i/>
        </w:rPr>
        <w:t xml:space="preserve">1 </w:t>
      </w:r>
      <w:r w:rsidR="00066777">
        <w:rPr>
          <w:rFonts w:eastAsia="TimesNewRoman" w:cs="TimesNewRoman"/>
          <w:i/>
        </w:rPr>
        <w:t>to</w:t>
      </w:r>
      <w:r w:rsidR="008141D3" w:rsidRPr="00E2009C">
        <w:rPr>
          <w:rFonts w:eastAsia="TimesNewRoman" w:cs="TimesNewRoman"/>
          <w:i/>
        </w:rPr>
        <w:t xml:space="preserve"> 49% </w:t>
      </w:r>
      <w:r w:rsidRPr="00E2009C">
        <w:rPr>
          <w:rFonts w:eastAsia="TimesNewRoman" w:cs="TimesNewRoman"/>
          <w:i/>
        </w:rPr>
        <w:t xml:space="preserve">and </w:t>
      </w:r>
      <w:r w:rsidR="00C37728" w:rsidRPr="00E2009C">
        <w:rPr>
          <w:rFonts w:eastAsia="TimesNewRoman" w:cs="TimesNewRoman"/>
          <w:i/>
        </w:rPr>
        <w:t>≥ </w:t>
      </w:r>
      <w:r w:rsidRPr="00E2009C">
        <w:rPr>
          <w:rFonts w:eastAsia="TimesNewRoman" w:cs="TimesNewRoman"/>
          <w:i/>
        </w:rPr>
        <w:t>50% separately.</w:t>
      </w:r>
      <w:r w:rsidR="0046163D" w:rsidRPr="00E2009C">
        <w:rPr>
          <w:rFonts w:eastAsia="TimesNewRoman" w:cs="TimesNewRoman"/>
          <w:i/>
        </w:rPr>
        <w:t xml:space="preserve"> </w:t>
      </w:r>
      <w:r w:rsidRPr="00E2009C">
        <w:rPr>
          <w:rFonts w:eastAsia="TimesNewRoman" w:cs="TimesNewRoman"/>
          <w:i/>
        </w:rPr>
        <w:t xml:space="preserve">The sponsor argues that, in keeping with the study design, data should be presented for </w:t>
      </w:r>
      <w:r w:rsidR="00ED4E4E" w:rsidRPr="00E2009C">
        <w:rPr>
          <w:rFonts w:eastAsia="TimesNewRoman" w:cs="TimesNewRoman"/>
          <w:i/>
        </w:rPr>
        <w:t>second line</w:t>
      </w:r>
      <w:r w:rsidRPr="00E2009C">
        <w:rPr>
          <w:rFonts w:eastAsia="TimesNewRoman" w:cs="TimesNewRoman"/>
          <w:i/>
        </w:rPr>
        <w:t xml:space="preserve"> NSCLC patients with PD-L1 expression </w:t>
      </w:r>
      <w:r w:rsidR="00C37728" w:rsidRPr="00E2009C">
        <w:rPr>
          <w:rFonts w:eastAsia="TimesNewRoman" w:cs="TimesNewRoman"/>
          <w:i/>
        </w:rPr>
        <w:t>≥ </w:t>
      </w:r>
      <w:r w:rsidRPr="00E2009C">
        <w:rPr>
          <w:rFonts w:eastAsia="TimesNewRoman" w:cs="TimesNewRoman"/>
          <w:i/>
        </w:rPr>
        <w:t>1% (</w:t>
      </w:r>
      <w:r w:rsidR="0046163D" w:rsidRPr="00E2009C">
        <w:rPr>
          <w:rFonts w:eastAsia="TimesNewRoman" w:cs="TimesNewRoman"/>
          <w:i/>
        </w:rPr>
        <w:t>that is,</w:t>
      </w:r>
      <w:r w:rsidRPr="00E2009C">
        <w:rPr>
          <w:rFonts w:eastAsia="TimesNewRoman" w:cs="TimesNewRoman"/>
          <w:i/>
        </w:rPr>
        <w:t xml:space="preserve"> including both TPS </w:t>
      </w:r>
      <w:r w:rsidR="008141D3" w:rsidRPr="00E2009C">
        <w:rPr>
          <w:rFonts w:eastAsia="TimesNewRoman" w:cs="TimesNewRoman"/>
          <w:i/>
        </w:rPr>
        <w:t xml:space="preserve">1 </w:t>
      </w:r>
      <w:r w:rsidR="00066777">
        <w:rPr>
          <w:rFonts w:eastAsia="TimesNewRoman" w:cs="TimesNewRoman"/>
          <w:i/>
        </w:rPr>
        <w:t>to</w:t>
      </w:r>
      <w:r w:rsidR="008141D3" w:rsidRPr="00E2009C">
        <w:rPr>
          <w:rFonts w:eastAsia="TimesNewRoman" w:cs="TimesNewRoman"/>
          <w:i/>
        </w:rPr>
        <w:t xml:space="preserve"> 49% </w:t>
      </w:r>
      <w:r w:rsidRPr="00E2009C">
        <w:rPr>
          <w:rFonts w:eastAsia="TimesNewRoman" w:cs="TimesNewRoman"/>
          <w:i/>
        </w:rPr>
        <w:t xml:space="preserve">and TPS </w:t>
      </w:r>
      <w:r w:rsidR="0046163D" w:rsidRPr="00E2009C">
        <w:rPr>
          <w:rFonts w:eastAsia="TimesNewRoman" w:cs="TimesNewRoman"/>
          <w:i/>
        </w:rPr>
        <w:t xml:space="preserve">≥ </w:t>
      </w:r>
      <w:r w:rsidRPr="00E2009C">
        <w:rPr>
          <w:rFonts w:eastAsia="TimesNewRoman" w:cs="TimesNewRoman"/>
          <w:i/>
        </w:rPr>
        <w:t xml:space="preserve">50%) and </w:t>
      </w:r>
      <w:r w:rsidR="0046163D" w:rsidRPr="00E2009C">
        <w:rPr>
          <w:rFonts w:eastAsia="TimesNewRoman" w:cs="TimesNewRoman"/>
          <w:i/>
        </w:rPr>
        <w:t xml:space="preserve">≥ </w:t>
      </w:r>
      <w:r w:rsidRPr="00E2009C">
        <w:rPr>
          <w:rFonts w:eastAsia="TimesNewRoman" w:cs="TimesNewRoman"/>
          <w:i/>
        </w:rPr>
        <w:t>50% separately.</w:t>
      </w:r>
      <w:r w:rsidR="0046163D" w:rsidRPr="00E2009C">
        <w:rPr>
          <w:rFonts w:eastAsia="TimesNewRoman" w:cs="TimesNewRoman"/>
          <w:i/>
        </w:rPr>
        <w:t xml:space="preserve"> </w:t>
      </w:r>
      <w:r w:rsidRPr="00E2009C">
        <w:rPr>
          <w:rFonts w:eastAsia="TimesNewRoman" w:cs="TimesNewRoman"/>
          <w:i/>
        </w:rPr>
        <w:t>What is the preferable approach for clinicians and consumers to communication of efficacy outcomes in the PI?</w:t>
      </w:r>
    </w:p>
    <w:p w14:paraId="07F4C98C" w14:textId="5B856F77" w:rsidR="00D076B6" w:rsidRPr="00D076B6" w:rsidRDefault="00D076B6" w:rsidP="00D076B6">
      <w:r w:rsidRPr="00D076B6">
        <w:t>Pembrolizumab demonstrated a statistically significant and clinically meaningful</w:t>
      </w:r>
      <w:r>
        <w:t xml:space="preserve"> </w:t>
      </w:r>
      <w:r w:rsidRPr="00D076B6">
        <w:t xml:space="preserve">improvement in OS </w:t>
      </w:r>
      <w:r w:rsidRPr="00C37728">
        <w:t xml:space="preserve">in </w:t>
      </w:r>
      <w:r w:rsidR="00066777">
        <w:t xml:space="preserve">the </w:t>
      </w:r>
      <w:r w:rsidR="00691589" w:rsidRPr="00C37728">
        <w:t>KEYNOTE-010</w:t>
      </w:r>
      <w:r w:rsidRPr="00C37728">
        <w:t xml:space="preserve"> </w:t>
      </w:r>
      <w:r w:rsidR="00066777">
        <w:t xml:space="preserve">trial </w:t>
      </w:r>
      <w:r w:rsidRPr="00C37728">
        <w:t>for</w:t>
      </w:r>
      <w:r w:rsidRPr="00D076B6">
        <w:t xml:space="preserve"> subjects in the </w:t>
      </w:r>
      <w:r>
        <w:t>TPS</w:t>
      </w:r>
      <w:r w:rsidR="000F74B7">
        <w:t xml:space="preserve"> </w:t>
      </w:r>
      <w:r w:rsidR="0046163D">
        <w:t xml:space="preserve">≥ </w:t>
      </w:r>
      <w:r>
        <w:t xml:space="preserve">50% stratum and the overall </w:t>
      </w:r>
      <w:r w:rsidRPr="00D076B6">
        <w:t>population (TPS</w:t>
      </w:r>
      <w:r w:rsidR="000F74B7">
        <w:t xml:space="preserve"> </w:t>
      </w:r>
      <w:r w:rsidR="0046163D">
        <w:t xml:space="preserve">≥ </w:t>
      </w:r>
      <w:r w:rsidRPr="00D076B6">
        <w:t>1%). Post-hoc subgroup analysis revealed t</w:t>
      </w:r>
      <w:r>
        <w:t xml:space="preserve">hat OS was also improved in the </w:t>
      </w:r>
      <w:r w:rsidRPr="00D076B6">
        <w:t>TPS</w:t>
      </w:r>
      <w:r w:rsidR="000F74B7">
        <w:t xml:space="preserve"> </w:t>
      </w:r>
      <w:r w:rsidRPr="00D076B6">
        <w:t>=</w:t>
      </w:r>
      <w:r w:rsidR="000F74B7">
        <w:t xml:space="preserve"> </w:t>
      </w:r>
      <w:r w:rsidR="008141D3">
        <w:t xml:space="preserve">1 </w:t>
      </w:r>
      <w:r w:rsidR="00066777">
        <w:t>to</w:t>
      </w:r>
      <w:r w:rsidR="008141D3">
        <w:t xml:space="preserve"> 49% </w:t>
      </w:r>
      <w:r w:rsidRPr="00D076B6">
        <w:t xml:space="preserve">stratum with a </w:t>
      </w:r>
      <w:r w:rsidR="00263D09">
        <w:t>HR</w:t>
      </w:r>
      <w:r w:rsidRPr="00D076B6">
        <w:t xml:space="preserve"> of 0.76 (95% CI 0.</w:t>
      </w:r>
      <w:r>
        <w:t xml:space="preserve">60, 0.96). These data have been </w:t>
      </w:r>
      <w:r w:rsidRPr="00D076B6">
        <w:t xml:space="preserve">publically </w:t>
      </w:r>
      <w:r w:rsidRPr="00182C39">
        <w:t xml:space="preserve">presented at </w:t>
      </w:r>
      <w:r w:rsidRPr="00E2009C">
        <w:t>the American Society of Clinical Oncology in Chicago, Illinois, USA, in June of 2016</w:t>
      </w:r>
      <w:r w:rsidR="00D9610E">
        <w:t xml:space="preserve"> </w:t>
      </w:r>
      <w:r w:rsidR="00D9610E" w:rsidRPr="009964A1">
        <w:t xml:space="preserve">by E </w:t>
      </w:r>
      <w:proofErr w:type="spellStart"/>
      <w:r w:rsidR="00D9610E" w:rsidRPr="009964A1">
        <w:t>Garon</w:t>
      </w:r>
      <w:proofErr w:type="spellEnd"/>
      <w:r w:rsidR="00D9610E" w:rsidRPr="009964A1">
        <w:t>, et al</w:t>
      </w:r>
      <w:r w:rsidR="00D9610E">
        <w:t>.</w:t>
      </w:r>
      <w:r w:rsidR="00182C39" w:rsidRPr="00E2009C">
        <w:rPr>
          <w:rStyle w:val="FootnoteReference"/>
        </w:rPr>
        <w:footnoteReference w:id="35"/>
      </w:r>
      <w:r w:rsidR="00182C39" w:rsidRPr="00E2009C">
        <w:t>,</w:t>
      </w:r>
      <w:r w:rsidR="00182C39" w:rsidRPr="00E2009C">
        <w:rPr>
          <w:rStyle w:val="FootnoteReference"/>
        </w:rPr>
        <w:footnoteReference w:id="36"/>
      </w:r>
      <w:r w:rsidRPr="00182C39">
        <w:t xml:space="preserve"> </w:t>
      </w:r>
      <w:r w:rsidRPr="00D076B6">
        <w:t xml:space="preserve">The </w:t>
      </w:r>
      <w:r w:rsidR="00066777">
        <w:t>HR</w:t>
      </w:r>
      <w:r w:rsidRPr="00D076B6">
        <w:t xml:space="preserve"> is a bett</w:t>
      </w:r>
      <w:r>
        <w:t xml:space="preserve">er assessment of a longitudinal </w:t>
      </w:r>
      <w:r w:rsidRPr="00D076B6">
        <w:t>comparison because every point along the Kaplan-Meier cur</w:t>
      </w:r>
      <w:r>
        <w:t xml:space="preserve">ve is considered, as opposed to </w:t>
      </w:r>
      <w:r w:rsidRPr="00D076B6">
        <w:t>looking only at the median or a landmark time point, which will look only</w:t>
      </w:r>
      <w:r>
        <w:t xml:space="preserve"> at one point along </w:t>
      </w:r>
      <w:r w:rsidRPr="00D076B6">
        <w:t xml:space="preserve">the curves. The </w:t>
      </w:r>
      <w:r w:rsidR="007344B9">
        <w:t>sponsor</w:t>
      </w:r>
      <w:r w:rsidRPr="00D076B6">
        <w:t xml:space="preserve"> has focused the discussion on the</w:t>
      </w:r>
      <w:r>
        <w:t xml:space="preserve"> protocol specified analyses as </w:t>
      </w:r>
      <w:r w:rsidRPr="00D076B6">
        <w:t xml:space="preserve">these were the primary and secondary analyses for </w:t>
      </w:r>
      <w:r w:rsidR="00066777">
        <w:t xml:space="preserve">the </w:t>
      </w:r>
      <w:r w:rsidR="00691589" w:rsidRPr="00C37728">
        <w:t>KEYNOTE-010</w:t>
      </w:r>
      <w:r w:rsidR="00066777">
        <w:t xml:space="preserve"> trial</w:t>
      </w:r>
      <w:r w:rsidRPr="00C37728">
        <w:t>,</w:t>
      </w:r>
      <w:r>
        <w:t xml:space="preserve"> but provided data on post-hoc </w:t>
      </w:r>
      <w:r w:rsidRPr="00D076B6">
        <w:t>exploratory analyses for the TGA’s interest. Pembrolizumab’s</w:t>
      </w:r>
      <w:r>
        <w:t xml:space="preserve"> treatment effect is not being </w:t>
      </w:r>
      <w:r w:rsidRPr="00D076B6">
        <w:t xml:space="preserve">driven solely by high </w:t>
      </w:r>
      <w:r w:rsidR="000F74B7" w:rsidRPr="00D076B6">
        <w:t>expressers</w:t>
      </w:r>
      <w:r w:rsidRPr="00D076B6">
        <w:t xml:space="preserve"> of PD-L1, but pembrolizumab</w:t>
      </w:r>
      <w:r>
        <w:t xml:space="preserve"> provides a survival benefit to </w:t>
      </w:r>
      <w:r w:rsidRPr="00D076B6">
        <w:t xml:space="preserve">all patients whose </w:t>
      </w:r>
      <w:r w:rsidR="000F74B7" w:rsidRPr="00D076B6">
        <w:t>tumours</w:t>
      </w:r>
      <w:r w:rsidRPr="00D076B6">
        <w:t xml:space="preserve"> express PD-L1.</w:t>
      </w:r>
    </w:p>
    <w:p w14:paraId="07F4C98D" w14:textId="2497CBE3" w:rsidR="00D076B6" w:rsidRPr="00D076B6" w:rsidRDefault="00D076B6" w:rsidP="00D076B6">
      <w:r w:rsidRPr="00D076B6">
        <w:t>The United States FDA, European Medicine</w:t>
      </w:r>
      <w:r>
        <w:t xml:space="preserve"> Agency, Japanese PMDA </w:t>
      </w:r>
      <w:proofErr w:type="spellStart"/>
      <w:r>
        <w:t>Medsafe</w:t>
      </w:r>
      <w:proofErr w:type="spellEnd"/>
      <w:r>
        <w:t xml:space="preserve">, </w:t>
      </w:r>
      <w:proofErr w:type="spellStart"/>
      <w:r w:rsidRPr="00D076B6">
        <w:t>Swissmedic</w:t>
      </w:r>
      <w:proofErr w:type="spellEnd"/>
      <w:r w:rsidRPr="00D076B6">
        <w:t>, and Singapore’s Health Sciences A</w:t>
      </w:r>
      <w:r>
        <w:t xml:space="preserve">uthority have all accepted that </w:t>
      </w:r>
      <w:r w:rsidRPr="00D076B6">
        <w:t>pembrolizumab provides superior clinical benefit to pati</w:t>
      </w:r>
      <w:r>
        <w:t xml:space="preserve">ents, whose </w:t>
      </w:r>
      <w:r w:rsidR="000F74B7">
        <w:t>tumours</w:t>
      </w:r>
      <w:r>
        <w:t xml:space="preserve"> have a PD-L1 </w:t>
      </w:r>
      <w:r w:rsidRPr="00D076B6">
        <w:t>TPS</w:t>
      </w:r>
      <w:r w:rsidR="000F74B7">
        <w:t xml:space="preserve"> </w:t>
      </w:r>
      <w:r w:rsidR="0046163D">
        <w:t xml:space="preserve">≥ </w:t>
      </w:r>
      <w:r w:rsidRPr="00D076B6">
        <w:t>1%, who have developed disease progression af</w:t>
      </w:r>
      <w:r>
        <w:t xml:space="preserve">ter </w:t>
      </w:r>
      <w:r w:rsidR="0046163D">
        <w:t>platinum based</w:t>
      </w:r>
      <w:r>
        <w:t xml:space="preserve"> chemotherapy </w:t>
      </w:r>
      <w:r w:rsidRPr="00D076B6">
        <w:t>relative to single agent docetaxel, based on these data</w:t>
      </w:r>
      <w:r>
        <w:t xml:space="preserve"> </w:t>
      </w:r>
      <w:r w:rsidRPr="00C37728">
        <w:t xml:space="preserve">from </w:t>
      </w:r>
      <w:r w:rsidR="00066777">
        <w:t xml:space="preserve">the </w:t>
      </w:r>
      <w:r w:rsidR="00691589" w:rsidRPr="00C37728">
        <w:t>KEYNOTE-010</w:t>
      </w:r>
      <w:r w:rsidR="00066777">
        <w:t xml:space="preserve"> trial</w:t>
      </w:r>
      <w:r w:rsidRPr="00C37728">
        <w:t>,</w:t>
      </w:r>
      <w:r>
        <w:t xml:space="preserve"> and have approved </w:t>
      </w:r>
      <w:r w:rsidRPr="00D076B6">
        <w:t>pembrolizumab for the treatment of these patients since the a</w:t>
      </w:r>
      <w:r>
        <w:t xml:space="preserve">pplication to the TGA was </w:t>
      </w:r>
      <w:r>
        <w:lastRenderedPageBreak/>
        <w:t xml:space="preserve">first </w:t>
      </w:r>
      <w:r w:rsidRPr="00D076B6">
        <w:t>submitte</w:t>
      </w:r>
      <w:r w:rsidR="000F74B7">
        <w:t>d. Foreign product information wa</w:t>
      </w:r>
      <w:r w:rsidRPr="00D076B6">
        <w:t>s pr</w:t>
      </w:r>
      <w:r w:rsidR="000F74B7">
        <w:t>ovided in</w:t>
      </w:r>
      <w:r>
        <w:t xml:space="preserve"> this submission for </w:t>
      </w:r>
      <w:r w:rsidRPr="00D076B6">
        <w:t xml:space="preserve">comparison of approved </w:t>
      </w:r>
      <w:r w:rsidR="000F74B7" w:rsidRPr="00D076B6">
        <w:t>labelling</w:t>
      </w:r>
      <w:r w:rsidRPr="00D076B6">
        <w:t xml:space="preserve"> that consistently prese</w:t>
      </w:r>
      <w:r>
        <w:t xml:space="preserve">nts study data according to the </w:t>
      </w:r>
      <w:r w:rsidRPr="00D076B6">
        <w:t>prespecified patient populations of TPS</w:t>
      </w:r>
      <w:r w:rsidR="000F74B7">
        <w:t xml:space="preserve"> </w:t>
      </w:r>
      <w:r w:rsidR="0046163D">
        <w:t xml:space="preserve">≥ </w:t>
      </w:r>
      <w:r w:rsidRPr="00D076B6">
        <w:t>50% and TPS</w:t>
      </w:r>
      <w:r w:rsidR="000F74B7">
        <w:t xml:space="preserve"> </w:t>
      </w:r>
      <w:r w:rsidR="0046163D">
        <w:t xml:space="preserve">≥ </w:t>
      </w:r>
      <w:r w:rsidRPr="00D076B6">
        <w:t>1%.</w:t>
      </w:r>
    </w:p>
    <w:p w14:paraId="07F4C98E" w14:textId="24D456FA" w:rsidR="00D076B6" w:rsidRPr="00E2009C" w:rsidRDefault="00D076B6" w:rsidP="00CB0ECA">
      <w:pPr>
        <w:pStyle w:val="Numberbullet0"/>
        <w:numPr>
          <w:ilvl w:val="0"/>
          <w:numId w:val="10"/>
        </w:numPr>
        <w:rPr>
          <w:i/>
        </w:rPr>
      </w:pPr>
      <w:r w:rsidRPr="00E2009C">
        <w:rPr>
          <w:i/>
        </w:rPr>
        <w:t>Are there any concerns about the generali</w:t>
      </w:r>
      <w:r w:rsidR="00066777">
        <w:rPr>
          <w:i/>
        </w:rPr>
        <w:t>s</w:t>
      </w:r>
      <w:r w:rsidRPr="00E2009C">
        <w:rPr>
          <w:i/>
        </w:rPr>
        <w:t xml:space="preserve">ability of </w:t>
      </w:r>
      <w:r w:rsidR="000F74B7" w:rsidRPr="00E2009C">
        <w:rPr>
          <w:i/>
        </w:rPr>
        <w:t xml:space="preserve">outcomes from </w:t>
      </w:r>
      <w:r w:rsidR="00066777">
        <w:rPr>
          <w:i/>
        </w:rPr>
        <w:t xml:space="preserve">the </w:t>
      </w:r>
      <w:r w:rsidR="00691589" w:rsidRPr="00E2009C">
        <w:rPr>
          <w:i/>
        </w:rPr>
        <w:t>KEYNOTE</w:t>
      </w:r>
      <w:r w:rsidR="00691589" w:rsidRPr="00E2009C">
        <w:rPr>
          <w:i/>
        </w:rPr>
        <w:noBreakHyphen/>
        <w:t>010</w:t>
      </w:r>
      <w:r w:rsidR="000F74B7" w:rsidRPr="00E2009C">
        <w:rPr>
          <w:i/>
        </w:rPr>
        <w:t xml:space="preserve"> </w:t>
      </w:r>
      <w:r w:rsidR="00066777">
        <w:rPr>
          <w:i/>
        </w:rPr>
        <w:t xml:space="preserve">trial </w:t>
      </w:r>
      <w:r w:rsidR="000F74B7" w:rsidRPr="00E2009C">
        <w:rPr>
          <w:i/>
        </w:rPr>
        <w:t xml:space="preserve">to the real world situation, given real </w:t>
      </w:r>
      <w:r w:rsidRPr="00E2009C">
        <w:rPr>
          <w:i/>
        </w:rPr>
        <w:t>world use of a different assay?</w:t>
      </w:r>
    </w:p>
    <w:p w14:paraId="07F4C990" w14:textId="23432DCA" w:rsidR="00D076B6" w:rsidRPr="00D076B6" w:rsidRDefault="001C6CD7" w:rsidP="00D076B6">
      <w:r w:rsidRPr="001C6CD7">
        <w:t xml:space="preserve">The clinical trial assay (CTA) as well as the </w:t>
      </w:r>
      <w:r w:rsidR="000F74B7">
        <w:t>commercial ready PD-L1 IHC 22C3</w:t>
      </w:r>
      <w:r w:rsidRPr="001C6CD7">
        <w:t>pharmDx</w:t>
      </w:r>
      <w:r>
        <w:t xml:space="preserve"> </w:t>
      </w:r>
      <w:r w:rsidRPr="001C6CD7">
        <w:t xml:space="preserve">assay are both </w:t>
      </w:r>
      <w:proofErr w:type="spellStart"/>
      <w:r w:rsidRPr="001C6CD7">
        <w:t>Dako</w:t>
      </w:r>
      <w:proofErr w:type="spellEnd"/>
      <w:r w:rsidRPr="001C6CD7">
        <w:t xml:space="preserve"> (IVD manufacturer) assays, with the CTA being an earlier version of the</w:t>
      </w:r>
      <w:r>
        <w:t xml:space="preserve"> </w:t>
      </w:r>
      <w:r w:rsidR="000F74B7">
        <w:t>PD-L1 IHC 22C3</w:t>
      </w:r>
      <w:r w:rsidRPr="001C6CD7">
        <w:t>pharmDx. Both versions use the 22C3 pr</w:t>
      </w:r>
      <w:r>
        <w:t xml:space="preserve">imary antibody. The differences </w:t>
      </w:r>
      <w:r w:rsidRPr="001C6CD7">
        <w:t xml:space="preserve">between the CTA and PD-L1 IHC 22C3 </w:t>
      </w:r>
      <w:proofErr w:type="spellStart"/>
      <w:r w:rsidRPr="001C6CD7">
        <w:t>pharmDx</w:t>
      </w:r>
      <w:proofErr w:type="spellEnd"/>
      <w:r w:rsidRPr="001C6CD7">
        <w:t xml:space="preserve"> are minor, </w:t>
      </w:r>
      <w:r>
        <w:t xml:space="preserve">with the only changes being the </w:t>
      </w:r>
      <w:r w:rsidRPr="001C6CD7">
        <w:t>site of primary antibody and mouse linker production</w:t>
      </w:r>
      <w:r>
        <w:t xml:space="preserve">. The PD-L1 IHC 22C3 </w:t>
      </w:r>
      <w:proofErr w:type="spellStart"/>
      <w:r>
        <w:t>pharmDx</w:t>
      </w:r>
      <w:proofErr w:type="spellEnd"/>
      <w:r>
        <w:t xml:space="preserve"> is </w:t>
      </w:r>
      <w:r w:rsidRPr="001C6CD7">
        <w:t>approved in the US and in Japan as a companion diagnosti</w:t>
      </w:r>
      <w:r>
        <w:t xml:space="preserve">c to pembrolizumab and the same </w:t>
      </w:r>
      <w:r w:rsidR="00691589">
        <w:t>KEYNOTE-010</w:t>
      </w:r>
      <w:r w:rsidR="00066777">
        <w:t xml:space="preserve"> trial</w:t>
      </w:r>
      <w:r w:rsidRPr="001C6CD7">
        <w:t xml:space="preserve"> data as included in this submission were used as the as the basis for those approvals.</w:t>
      </w:r>
    </w:p>
    <w:p w14:paraId="07F4C991" w14:textId="77777777" w:rsidR="001C6CD7" w:rsidRPr="00E2009C" w:rsidRDefault="00D076B6" w:rsidP="00CB0ECA">
      <w:pPr>
        <w:pStyle w:val="Numberbullet0"/>
        <w:numPr>
          <w:ilvl w:val="0"/>
          <w:numId w:val="10"/>
        </w:numPr>
        <w:rPr>
          <w:i/>
        </w:rPr>
      </w:pPr>
      <w:r w:rsidRPr="00E2009C">
        <w:rPr>
          <w:i/>
        </w:rPr>
        <w:t>Does the ACM consider that NSCLC indications should be limited to metastatic disease?</w:t>
      </w:r>
    </w:p>
    <w:p w14:paraId="07F4C993" w14:textId="3701260A" w:rsidR="001C6CD7" w:rsidRPr="000F74B7" w:rsidRDefault="001C6CD7" w:rsidP="000F74B7">
      <w:r w:rsidRPr="000F74B7">
        <w:t xml:space="preserve">The </w:t>
      </w:r>
      <w:r w:rsidR="007344B9" w:rsidRPr="000F74B7">
        <w:t>sponsor</w:t>
      </w:r>
      <w:r w:rsidRPr="000F74B7">
        <w:t xml:space="preserve"> concurs with the Delegate’s position in the overview and would like to reiterate that </w:t>
      </w:r>
      <w:r w:rsidR="00066777">
        <w:t xml:space="preserve">the </w:t>
      </w:r>
      <w:r w:rsidR="00691589">
        <w:t>KEYNOTE-010</w:t>
      </w:r>
      <w:r w:rsidRPr="000F74B7">
        <w:t xml:space="preserve"> </w:t>
      </w:r>
      <w:r w:rsidR="00066777">
        <w:t xml:space="preserve">trial </w:t>
      </w:r>
      <w:r w:rsidRPr="000F74B7">
        <w:t>did include patients (8.3%) with Stage III (advanced) disease.</w:t>
      </w:r>
    </w:p>
    <w:p w14:paraId="07F4C994" w14:textId="77777777" w:rsidR="001C6CD7" w:rsidRPr="00E2009C" w:rsidRDefault="00D076B6" w:rsidP="00CB0ECA">
      <w:pPr>
        <w:pStyle w:val="Numberbullet0"/>
        <w:numPr>
          <w:ilvl w:val="0"/>
          <w:numId w:val="10"/>
        </w:numPr>
        <w:rPr>
          <w:i/>
        </w:rPr>
      </w:pPr>
      <w:r w:rsidRPr="00E2009C">
        <w:rPr>
          <w:rFonts w:eastAsiaTheme="minorHAnsi" w:cs="ArialMT"/>
          <w:i/>
        </w:rPr>
        <w:t xml:space="preserve">Does the ACM consider that the </w:t>
      </w:r>
      <w:r w:rsidR="00ED4E4E" w:rsidRPr="00E2009C">
        <w:rPr>
          <w:rFonts w:eastAsiaTheme="minorHAnsi" w:cs="ArialMT"/>
          <w:i/>
        </w:rPr>
        <w:t>second line</w:t>
      </w:r>
      <w:r w:rsidRPr="00E2009C">
        <w:rPr>
          <w:rFonts w:eastAsiaTheme="minorHAnsi" w:cs="ArialMT"/>
          <w:i/>
        </w:rPr>
        <w:t xml:space="preserve"> indication should require patients to have progressed on </w:t>
      </w:r>
      <w:r w:rsidR="000F74B7" w:rsidRPr="00E2009C">
        <w:rPr>
          <w:rFonts w:eastAsiaTheme="minorHAnsi" w:cs="ArialMT"/>
          <w:i/>
        </w:rPr>
        <w:t xml:space="preserve">or after platinum </w:t>
      </w:r>
      <w:r w:rsidRPr="00E2009C">
        <w:rPr>
          <w:rFonts w:eastAsiaTheme="minorHAnsi" w:cs="ArialMT"/>
          <w:i/>
        </w:rPr>
        <w:t>containing chemotherapy?</w:t>
      </w:r>
    </w:p>
    <w:p w14:paraId="07F4C996" w14:textId="47B4726B" w:rsidR="001C6CD7" w:rsidRPr="001C6CD7" w:rsidRDefault="00066777" w:rsidP="001C6CD7">
      <w:r w:rsidRPr="00E2009C">
        <w:t>[</w:t>
      </w:r>
      <w:r w:rsidR="001C6CD7">
        <w:t>The sponsor did not respond to this issue</w:t>
      </w:r>
      <w:r>
        <w:t>].</w:t>
      </w:r>
    </w:p>
    <w:p w14:paraId="07F4C997" w14:textId="50B7E386" w:rsidR="001C6CD7" w:rsidRPr="00E2009C" w:rsidRDefault="00D076B6" w:rsidP="001C6CD7">
      <w:pPr>
        <w:pStyle w:val="Numberbullet0"/>
        <w:numPr>
          <w:ilvl w:val="0"/>
          <w:numId w:val="10"/>
        </w:numPr>
        <w:rPr>
          <w:i/>
        </w:rPr>
      </w:pPr>
      <w:r w:rsidRPr="00E2009C">
        <w:rPr>
          <w:i/>
        </w:rPr>
        <w:t xml:space="preserve">Given the apparently low ORRs in </w:t>
      </w:r>
      <w:r w:rsidR="00ED4E4E" w:rsidRPr="00E2009C">
        <w:rPr>
          <w:i/>
        </w:rPr>
        <w:t>second line</w:t>
      </w:r>
      <w:r w:rsidRPr="00E2009C">
        <w:rPr>
          <w:i/>
        </w:rPr>
        <w:t xml:space="preserve"> patients with EGFR </w:t>
      </w:r>
      <w:r w:rsidR="00A70986">
        <w:rPr>
          <w:i/>
        </w:rPr>
        <w:t>sensitizing</w:t>
      </w:r>
      <w:r w:rsidRPr="00E2009C">
        <w:rPr>
          <w:i/>
        </w:rPr>
        <w:t xml:space="preserve"> mutations or ALK translocation, is the sponsor’s proposed indication wording (</w:t>
      </w:r>
      <w:r w:rsidR="00066777">
        <w:rPr>
          <w:i/>
        </w:rPr>
        <w:t>‘</w:t>
      </w:r>
      <w:r w:rsidRPr="00E2009C">
        <w:rPr>
          <w:i/>
        </w:rPr>
        <w:t xml:space="preserve">patients with EGFR or ALK genomic tumour aberrations should also have received approved therapy for these aberrations prior to receiving </w:t>
      </w:r>
      <w:r w:rsidR="00C329E7" w:rsidRPr="00E2009C">
        <w:rPr>
          <w:i/>
        </w:rPr>
        <w:t>Keytruda</w:t>
      </w:r>
      <w:r w:rsidRPr="00E2009C">
        <w:rPr>
          <w:i/>
        </w:rPr>
        <w:t xml:space="preserve"> [see CLINICAL TRIALS]</w:t>
      </w:r>
      <w:r w:rsidR="00066777">
        <w:rPr>
          <w:i/>
        </w:rPr>
        <w:t>’</w:t>
      </w:r>
      <w:r w:rsidRPr="00E2009C">
        <w:rPr>
          <w:i/>
        </w:rPr>
        <w:t>) acceptable?</w:t>
      </w:r>
    </w:p>
    <w:p w14:paraId="07F4C999" w14:textId="637B83E9" w:rsidR="001C6CD7" w:rsidRPr="001C6CD7" w:rsidRDefault="00066777" w:rsidP="001C6CD7">
      <w:r w:rsidRPr="00E2009C">
        <w:t xml:space="preserve">The </w:t>
      </w:r>
      <w:r w:rsidR="001C6CD7" w:rsidRPr="001C6CD7">
        <w:t xml:space="preserve">KEYNOTE-010 </w:t>
      </w:r>
      <w:r>
        <w:t xml:space="preserve">trial </w:t>
      </w:r>
      <w:r w:rsidR="001C6CD7" w:rsidRPr="001C6CD7">
        <w:t>was designed to test whether pembrolizumab monotherapy provided</w:t>
      </w:r>
      <w:r w:rsidR="001C6CD7">
        <w:t xml:space="preserve"> </w:t>
      </w:r>
      <w:r w:rsidR="001C6CD7" w:rsidRPr="001C6CD7">
        <w:t>superior PFS and OS to docetaxel for subjects with previo</w:t>
      </w:r>
      <w:r w:rsidR="001C6CD7">
        <w:t xml:space="preserve">usly treated NSCLC whose </w:t>
      </w:r>
      <w:r w:rsidR="000F74B7">
        <w:t>tumours</w:t>
      </w:r>
      <w:r w:rsidR="001C6CD7">
        <w:t xml:space="preserve"> </w:t>
      </w:r>
      <w:r w:rsidR="001C6CD7" w:rsidRPr="001C6CD7">
        <w:t>expressed PD-L1 at a TPS</w:t>
      </w:r>
      <w:r w:rsidR="000F74B7">
        <w:t xml:space="preserve"> </w:t>
      </w:r>
      <w:r w:rsidR="0046163D">
        <w:t xml:space="preserve">≥ </w:t>
      </w:r>
      <w:r w:rsidR="001C6CD7" w:rsidRPr="001C6CD7">
        <w:t>1%. All patients were required t</w:t>
      </w:r>
      <w:r w:rsidR="001C6CD7">
        <w:t xml:space="preserve">o have had standard of care for </w:t>
      </w:r>
      <w:r w:rsidR="001C6CD7" w:rsidRPr="001C6CD7">
        <w:t xml:space="preserve">their NSCLC prior to participating in this trial for </w:t>
      </w:r>
      <w:r w:rsidR="0046163D">
        <w:t>second line</w:t>
      </w:r>
      <w:r w:rsidR="001C6CD7">
        <w:t xml:space="preserve"> therapy and beyond. All </w:t>
      </w:r>
      <w:r w:rsidR="000F74B7">
        <w:t xml:space="preserve">subjects received platinum </w:t>
      </w:r>
      <w:r w:rsidR="001C6CD7" w:rsidRPr="001C6CD7">
        <w:t>containing doublet, the standard fir</w:t>
      </w:r>
      <w:r w:rsidR="000F74B7">
        <w:t xml:space="preserve">st </w:t>
      </w:r>
      <w:r w:rsidR="001C6CD7">
        <w:t xml:space="preserve">line therapy for patients at </w:t>
      </w:r>
      <w:r w:rsidR="001C6CD7" w:rsidRPr="001C6CD7">
        <w:t xml:space="preserve">that time. Additionally, those subjects with an </w:t>
      </w:r>
      <w:r w:rsidR="001C6CD7" w:rsidRPr="00E2009C">
        <w:t>EGFR</w:t>
      </w:r>
      <w:r w:rsidR="001C6CD7" w:rsidRPr="001C6CD7">
        <w:t xml:space="preserve"> </w:t>
      </w:r>
      <w:r w:rsidR="00702942" w:rsidRPr="001C6CD7">
        <w:t>s</w:t>
      </w:r>
      <w:r w:rsidR="00702942">
        <w:t xml:space="preserve">ensitising </w:t>
      </w:r>
      <w:r w:rsidR="001C6CD7">
        <w:t xml:space="preserve">mutation or </w:t>
      </w:r>
      <w:r w:rsidR="001C6CD7" w:rsidRPr="00E2009C">
        <w:t>ALK</w:t>
      </w:r>
      <w:r w:rsidR="001C6CD7" w:rsidRPr="00702942">
        <w:t xml:space="preserve"> </w:t>
      </w:r>
      <w:r w:rsidR="001C6CD7">
        <w:t xml:space="preserve">gene </w:t>
      </w:r>
      <w:r w:rsidR="001C6CD7" w:rsidRPr="001C6CD7">
        <w:t>rearrangement were required to have also received the appropr</w:t>
      </w:r>
      <w:r w:rsidR="001C6CD7">
        <w:t xml:space="preserve">iate tyrosine kinase inhibitor. </w:t>
      </w:r>
      <w:r w:rsidR="001C6CD7" w:rsidRPr="001C6CD7">
        <w:t>These eligibility criteria for the study form the basis for our</w:t>
      </w:r>
      <w:r w:rsidR="001C6CD7">
        <w:t xml:space="preserve"> proposed indication statement, </w:t>
      </w:r>
      <w:r w:rsidR="001C6CD7" w:rsidRPr="001C6CD7">
        <w:t>and have informed the indication statements for the major markets where pembrolizum</w:t>
      </w:r>
      <w:r w:rsidR="001C6CD7">
        <w:t xml:space="preserve">ab is </w:t>
      </w:r>
      <w:r w:rsidR="001C6CD7" w:rsidRPr="001C6CD7">
        <w:t>approved for PD-L1 positive NSCLC that has progressed fol</w:t>
      </w:r>
      <w:r w:rsidR="001C6CD7">
        <w:t xml:space="preserve">lowing prior therapy, including </w:t>
      </w:r>
      <w:r w:rsidR="001C6CD7" w:rsidRPr="001C6CD7">
        <w:t xml:space="preserve">those subjects whose tumours harbor an </w:t>
      </w:r>
      <w:r w:rsidR="001C6CD7" w:rsidRPr="00E2009C">
        <w:t>EGFR</w:t>
      </w:r>
      <w:r w:rsidR="001C6CD7" w:rsidRPr="00671CA6">
        <w:t xml:space="preserve"> </w:t>
      </w:r>
      <w:r w:rsidR="00671CA6" w:rsidRPr="001C6CD7">
        <w:t>sens</w:t>
      </w:r>
      <w:r w:rsidR="00671CA6">
        <w:t xml:space="preserve">itising </w:t>
      </w:r>
      <w:r w:rsidR="001C6CD7">
        <w:t xml:space="preserve">mutation or an </w:t>
      </w:r>
      <w:r w:rsidR="001C6CD7" w:rsidRPr="00E2009C">
        <w:t>ALK</w:t>
      </w:r>
      <w:r w:rsidR="001C6CD7" w:rsidRPr="00671CA6">
        <w:t xml:space="preserve"> </w:t>
      </w:r>
      <w:r w:rsidR="001C6CD7">
        <w:t xml:space="preserve">gene </w:t>
      </w:r>
      <w:r w:rsidR="001C6CD7" w:rsidRPr="001C6CD7">
        <w:t xml:space="preserve">rearrangement. Furthermore, the OS </w:t>
      </w:r>
      <w:r w:rsidR="00263D09">
        <w:t>HR</w:t>
      </w:r>
      <w:r w:rsidR="001C6CD7" w:rsidRPr="001C6CD7">
        <w:t xml:space="preserve"> for subjects with an </w:t>
      </w:r>
      <w:r w:rsidR="001C6CD7" w:rsidRPr="00E2009C">
        <w:t>EGFR</w:t>
      </w:r>
      <w:r w:rsidR="001C6CD7" w:rsidRPr="001C6CD7">
        <w:t xml:space="preserve"> mutatio</w:t>
      </w:r>
      <w:r w:rsidR="001C6CD7">
        <w:t xml:space="preserve">n was </w:t>
      </w:r>
      <w:r w:rsidR="001C6CD7" w:rsidRPr="001C6CD7">
        <w:t>0.88, still demonstrating benefit of pembrolizumab</w:t>
      </w:r>
      <w:r w:rsidR="001C6CD7">
        <w:t xml:space="preserve"> over docetaxel in </w:t>
      </w:r>
      <w:r w:rsidR="00671CA6">
        <w:t xml:space="preserve">the </w:t>
      </w:r>
      <w:r w:rsidR="001C6CD7">
        <w:t>KEYNOTE-010</w:t>
      </w:r>
      <w:r w:rsidR="00671CA6">
        <w:t xml:space="preserve"> trial</w:t>
      </w:r>
      <w:r w:rsidR="001C6CD7">
        <w:t xml:space="preserve">. </w:t>
      </w:r>
      <w:r w:rsidR="001C6CD7" w:rsidRPr="001C6CD7">
        <w:t xml:space="preserve">Although the data in subjects with </w:t>
      </w:r>
      <w:r w:rsidR="001C6CD7" w:rsidRPr="00671CA6">
        <w:t xml:space="preserve">an </w:t>
      </w:r>
      <w:r w:rsidR="001C6CD7" w:rsidRPr="00E2009C">
        <w:t>ALK</w:t>
      </w:r>
      <w:r w:rsidR="001C6CD7" w:rsidRPr="001C6CD7">
        <w:t xml:space="preserve"> gene rearrang</w:t>
      </w:r>
      <w:r w:rsidR="001C6CD7">
        <w:t>ement are li</w:t>
      </w:r>
      <w:r w:rsidR="00C37728">
        <w:t>mited from KEYNOTE-</w:t>
      </w:r>
      <w:r w:rsidR="001C6CD7" w:rsidRPr="001C6CD7">
        <w:t xml:space="preserve">010, several subjects treated with pembrolizumab had survival that surpassed the </w:t>
      </w:r>
      <w:r w:rsidR="001C6CD7">
        <w:t xml:space="preserve">expected 9 </w:t>
      </w:r>
      <w:r w:rsidR="001C6CD7" w:rsidRPr="001C6CD7">
        <w:t>month median. Therefore, it is appropriate to label pemb</w:t>
      </w:r>
      <w:r w:rsidR="001C6CD7">
        <w:t xml:space="preserve">rolizumab in previously treated </w:t>
      </w:r>
      <w:r w:rsidR="001C6CD7" w:rsidRPr="001C6CD7">
        <w:t xml:space="preserve">patients to include those with </w:t>
      </w:r>
      <w:r w:rsidR="001C6CD7" w:rsidRPr="00E2009C">
        <w:t>EGFR</w:t>
      </w:r>
      <w:r w:rsidR="001C6CD7" w:rsidRPr="00671CA6">
        <w:t xml:space="preserve"> </w:t>
      </w:r>
      <w:r w:rsidR="00671CA6" w:rsidRPr="00671CA6">
        <w:t>sensiti</w:t>
      </w:r>
      <w:r w:rsidR="00671CA6">
        <w:t>s</w:t>
      </w:r>
      <w:r w:rsidR="00671CA6" w:rsidRPr="00671CA6">
        <w:t xml:space="preserve">ing </w:t>
      </w:r>
      <w:r w:rsidR="001C6CD7" w:rsidRPr="00671CA6">
        <w:t xml:space="preserve">mutations and </w:t>
      </w:r>
      <w:r w:rsidR="001C6CD7" w:rsidRPr="00E2009C">
        <w:t>ALK</w:t>
      </w:r>
      <w:r w:rsidR="001C6CD7" w:rsidRPr="00671CA6">
        <w:t xml:space="preserve"> gene rea</w:t>
      </w:r>
      <w:r w:rsidR="001C6CD7" w:rsidRPr="001C6CD7">
        <w:t>rrangements.</w:t>
      </w:r>
    </w:p>
    <w:p w14:paraId="07F4C99A" w14:textId="77777777" w:rsidR="001C6CD7" w:rsidRPr="00E2009C" w:rsidRDefault="00D076B6" w:rsidP="00CB0ECA">
      <w:pPr>
        <w:pStyle w:val="Numberbullet0"/>
        <w:numPr>
          <w:ilvl w:val="0"/>
          <w:numId w:val="10"/>
        </w:numPr>
        <w:rPr>
          <w:i/>
        </w:rPr>
      </w:pPr>
      <w:r w:rsidRPr="00E2009C">
        <w:rPr>
          <w:i/>
        </w:rPr>
        <w:t>Is there sufficient evidence of causality to support a Precaution for myasthenic syndrome, and to include myasthenic syndrome as an important identified risk in the RMP?</w:t>
      </w:r>
    </w:p>
    <w:p w14:paraId="07F4C99C" w14:textId="39A06FB6" w:rsidR="001C6CD7" w:rsidRPr="001C6CD7" w:rsidRDefault="001C6CD7" w:rsidP="001C6CD7">
      <w:r w:rsidRPr="001C6CD7">
        <w:t xml:space="preserve">Please refer to the previous responses (consolidated response and RMP report </w:t>
      </w:r>
      <w:r w:rsidR="00671CA6">
        <w:t>Second round</w:t>
      </w:r>
      <w:r>
        <w:t xml:space="preserve"> </w:t>
      </w:r>
      <w:r w:rsidRPr="001C6CD7">
        <w:t xml:space="preserve">response) as the </w:t>
      </w:r>
      <w:r w:rsidR="007344B9">
        <w:t>sponsor</w:t>
      </w:r>
      <w:r w:rsidRPr="001C6CD7">
        <w:t>’s position has not changed. Myas</w:t>
      </w:r>
      <w:r>
        <w:t xml:space="preserve">thenic syndrome is currently an </w:t>
      </w:r>
      <w:r w:rsidRPr="001C6CD7">
        <w:t>important potential risk in the Core</w:t>
      </w:r>
      <w:r w:rsidR="00671CA6">
        <w:t>-</w:t>
      </w:r>
      <w:r w:rsidRPr="001C6CD7">
        <w:t>RMP for pembrolizumab</w:t>
      </w:r>
      <w:r>
        <w:t xml:space="preserve"> and the </w:t>
      </w:r>
      <w:r w:rsidR="007344B9">
        <w:t>sponsor</w:t>
      </w:r>
      <w:r>
        <w:t xml:space="preserve"> maintains that </w:t>
      </w:r>
      <w:r w:rsidRPr="001C6CD7">
        <w:t xml:space="preserve">there is insufficient evidence to consider it an important identified risk at </w:t>
      </w:r>
      <w:r w:rsidRPr="001C6CD7">
        <w:lastRenderedPageBreak/>
        <w:t>this time. The</w:t>
      </w:r>
      <w:r>
        <w:t xml:space="preserve"> </w:t>
      </w:r>
      <w:r w:rsidR="007344B9">
        <w:t>sponsor</w:t>
      </w:r>
      <w:r w:rsidRPr="001C6CD7">
        <w:t xml:space="preserve"> will continue to monitor cases of myasthenic syndrome for any changes in the</w:t>
      </w:r>
      <w:r>
        <w:t xml:space="preserve"> </w:t>
      </w:r>
      <w:r w:rsidR="00671CA6" w:rsidRPr="001C6CD7">
        <w:t>characteri</w:t>
      </w:r>
      <w:r w:rsidR="00671CA6">
        <w:t>s</w:t>
      </w:r>
      <w:r w:rsidR="00671CA6" w:rsidRPr="001C6CD7">
        <w:t xml:space="preserve">ation </w:t>
      </w:r>
      <w:r w:rsidRPr="001C6CD7">
        <w:t>of the risk.</w:t>
      </w:r>
    </w:p>
    <w:p w14:paraId="07F4C99D" w14:textId="77777777" w:rsidR="00D456AC" w:rsidRPr="00E2009C" w:rsidRDefault="00D076B6" w:rsidP="00CB0ECA">
      <w:pPr>
        <w:pStyle w:val="Numberbullet0"/>
        <w:numPr>
          <w:ilvl w:val="0"/>
          <w:numId w:val="10"/>
        </w:numPr>
        <w:rPr>
          <w:i/>
        </w:rPr>
      </w:pPr>
      <w:r w:rsidRPr="00E2009C">
        <w:rPr>
          <w:i/>
        </w:rPr>
        <w:t>Is there sufficient evidence of causality to support a Precaution for myocarditis, and to include myocarditis as an important identified risk in the RMP?</w:t>
      </w:r>
    </w:p>
    <w:p w14:paraId="07F4C99F" w14:textId="6245F0F2" w:rsidR="00D456AC" w:rsidRPr="001C6CD7" w:rsidRDefault="001C6CD7" w:rsidP="001C6CD7">
      <w:r w:rsidRPr="001C6CD7">
        <w:t xml:space="preserve">As part of ongoing safety surveillance, the </w:t>
      </w:r>
      <w:r w:rsidR="007344B9">
        <w:t>sponsor</w:t>
      </w:r>
      <w:r w:rsidRPr="001C6CD7">
        <w:t xml:space="preserve"> has reviewed updated data since the</w:t>
      </w:r>
      <w:r>
        <w:t xml:space="preserve"> </w:t>
      </w:r>
      <w:r w:rsidRPr="001C6CD7">
        <w:t>previous response (consolidated response and RMP rep</w:t>
      </w:r>
      <w:r>
        <w:t xml:space="preserve">ort </w:t>
      </w:r>
      <w:r w:rsidR="00671CA6">
        <w:t xml:space="preserve">second round </w:t>
      </w:r>
      <w:r>
        <w:t xml:space="preserve">response) regarding </w:t>
      </w:r>
      <w:r w:rsidRPr="001C6CD7">
        <w:t xml:space="preserve">myocarditis and pembrolizumab. The </w:t>
      </w:r>
      <w:r w:rsidR="007344B9">
        <w:t>sponsor</w:t>
      </w:r>
      <w:r w:rsidRPr="001C6CD7">
        <w:t xml:space="preserve"> has conclud</w:t>
      </w:r>
      <w:r>
        <w:t xml:space="preserve">ed that there is now sufficient </w:t>
      </w:r>
      <w:r w:rsidRPr="001C6CD7">
        <w:t>evidence of a causal association between myocarditis and pembroliz</w:t>
      </w:r>
      <w:r>
        <w:t xml:space="preserve">umab therapy warranting </w:t>
      </w:r>
      <w:r w:rsidRPr="001C6CD7">
        <w:t>the addition of myocarditis to the Warnings and Precauti</w:t>
      </w:r>
      <w:r>
        <w:t xml:space="preserve">ons section of the </w:t>
      </w:r>
      <w:r w:rsidR="00C37728">
        <w:t xml:space="preserve">Company core datasheet </w:t>
      </w:r>
      <w:r w:rsidR="00C37728" w:rsidRPr="00C37728">
        <w:t>(</w:t>
      </w:r>
      <w:r w:rsidRPr="00C37728">
        <w:t>CCDS</w:t>
      </w:r>
      <w:r w:rsidR="00C37728" w:rsidRPr="00C37728">
        <w:t>)</w:t>
      </w:r>
      <w:r w:rsidRPr="00C37728">
        <w:t xml:space="preserve"> and</w:t>
      </w:r>
      <w:r>
        <w:t xml:space="preserve"> the </w:t>
      </w:r>
      <w:r w:rsidRPr="001C6CD7">
        <w:t>addition to the Core</w:t>
      </w:r>
      <w:r w:rsidR="00671CA6">
        <w:t>-</w:t>
      </w:r>
      <w:r w:rsidRPr="001C6CD7">
        <w:t>RMP as an important identified risk.</w:t>
      </w:r>
    </w:p>
    <w:p w14:paraId="07F4C9A0" w14:textId="77777777" w:rsidR="008E7846" w:rsidRDefault="008E7846" w:rsidP="008E7846">
      <w:pPr>
        <w:pStyle w:val="Heading4"/>
      </w:pPr>
      <w:r>
        <w:t>Advisory Committee Considerations</w:t>
      </w:r>
    </w:p>
    <w:p w14:paraId="07F4C9A1" w14:textId="77777777" w:rsidR="008E7846" w:rsidRPr="00A848FA" w:rsidRDefault="00D23139" w:rsidP="008E7846">
      <w:pPr>
        <w:rPr>
          <w:bCs/>
        </w:rPr>
      </w:pPr>
      <w:r w:rsidRPr="00A848FA">
        <w:rPr>
          <w:bCs/>
        </w:rPr>
        <w:t>The Advisory Committee on Medicines (ACM), having considered the evaluations and the Delegate’s overview, as well as the sponsor’s response to these documents, advised the following:</w:t>
      </w:r>
    </w:p>
    <w:p w14:paraId="07F4C9A2" w14:textId="77777777" w:rsidR="00892FEB" w:rsidRPr="00A848FA" w:rsidRDefault="00892FEB" w:rsidP="00A848FA">
      <w:r w:rsidRPr="00A848FA">
        <w:t xml:space="preserve">The ACM, taking into account the submitted evidence of efficacy, safety and quality, considered </w:t>
      </w:r>
      <w:r w:rsidR="00C329E7">
        <w:t>Keytruda</w:t>
      </w:r>
      <w:r w:rsidRPr="00A848FA">
        <w:t xml:space="preserve"> concentrated injection containing 25 mg/1 mL and 50 mg powder for injection of pembrolizumab to have an overall positive benefit–risk profile for the indication.</w:t>
      </w:r>
    </w:p>
    <w:p w14:paraId="07F4C9A3" w14:textId="303969ED" w:rsidR="00892FEB" w:rsidRPr="00A848FA" w:rsidRDefault="00892FEB" w:rsidP="00A848FA">
      <w:r w:rsidRPr="00A848FA">
        <w:t>Submission PM-20</w:t>
      </w:r>
      <w:r w:rsidR="000F74B7">
        <w:t>16-02325-1-4 (first</w:t>
      </w:r>
      <w:r w:rsidR="00671CA6">
        <w:t xml:space="preserve"> </w:t>
      </w:r>
      <w:r w:rsidR="000F74B7">
        <w:t xml:space="preserve">line </w:t>
      </w:r>
      <w:r w:rsidR="00671CA6">
        <w:t xml:space="preserve">treatment of </w:t>
      </w:r>
      <w:r w:rsidR="000F74B7">
        <w:t>NSCLC):</w:t>
      </w:r>
    </w:p>
    <w:p w14:paraId="07F4C9A4" w14:textId="36C876B8" w:rsidR="0046163D" w:rsidRDefault="00671CA6" w:rsidP="00A848FA">
      <w:pPr>
        <w:ind w:left="720"/>
        <w:rPr>
          <w:i/>
        </w:rPr>
      </w:pPr>
      <w:r>
        <w:rPr>
          <w:i/>
        </w:rPr>
        <w:t>‘</w:t>
      </w:r>
      <w:r w:rsidR="00C329E7">
        <w:rPr>
          <w:i/>
        </w:rPr>
        <w:t>Keytruda</w:t>
      </w:r>
      <w:r w:rsidR="00892FEB" w:rsidRPr="00A848FA">
        <w:rPr>
          <w:i/>
        </w:rPr>
        <w:t xml:space="preserve"> is indicated for the first-line treatment of patients with metastatic non-small cell lung carcinoma (NSCLC) whose tumours express PD-L1 with a </w:t>
      </w:r>
      <w:r w:rsidR="0046163D">
        <w:rPr>
          <w:i/>
        </w:rPr>
        <w:t xml:space="preserve">≥ </w:t>
      </w:r>
      <w:r w:rsidR="00892FEB" w:rsidRPr="00A848FA">
        <w:rPr>
          <w:i/>
        </w:rPr>
        <w:t>50% tumour proportion score (TPS) as determined by a validated test, with no EGFR or ALK genomic tumour aberrations</w:t>
      </w:r>
      <w:r w:rsidR="0046163D">
        <w:rPr>
          <w:i/>
        </w:rPr>
        <w:t>.</w:t>
      </w:r>
      <w:r>
        <w:rPr>
          <w:i/>
        </w:rPr>
        <w:t>’</w:t>
      </w:r>
    </w:p>
    <w:p w14:paraId="07F4C9A5" w14:textId="437F304F" w:rsidR="00892FEB" w:rsidRPr="00A848FA" w:rsidRDefault="00892FEB" w:rsidP="00A848FA">
      <w:r w:rsidRPr="00A848FA">
        <w:t>Submission PM-2015-04712-1-4 (</w:t>
      </w:r>
      <w:r w:rsidR="0046163D">
        <w:t>second line</w:t>
      </w:r>
      <w:r w:rsidR="000F74B7">
        <w:t xml:space="preserve"> </w:t>
      </w:r>
      <w:r w:rsidR="00671CA6">
        <w:t xml:space="preserve">treatment of </w:t>
      </w:r>
      <w:r w:rsidR="000F74B7">
        <w:t>NSCLC):</w:t>
      </w:r>
    </w:p>
    <w:p w14:paraId="07F4C9A6" w14:textId="1C67963E" w:rsidR="00892FEB" w:rsidRPr="00A848FA" w:rsidRDefault="00671CA6" w:rsidP="00A848FA">
      <w:pPr>
        <w:ind w:left="720"/>
        <w:rPr>
          <w:i/>
        </w:rPr>
      </w:pPr>
      <w:r>
        <w:rPr>
          <w:i/>
        </w:rPr>
        <w:t>‘</w:t>
      </w:r>
      <w:r w:rsidR="00C329E7">
        <w:rPr>
          <w:i/>
        </w:rPr>
        <w:t>Keytruda</w:t>
      </w:r>
      <w:r w:rsidR="00892FEB" w:rsidRPr="00A848FA">
        <w:rPr>
          <w:i/>
        </w:rPr>
        <w:t xml:space="preserve"> is indicated for the treatment of patients with advanced NSCLC whose tumours express PD-L1 with a </w:t>
      </w:r>
      <w:r w:rsidR="0046163D">
        <w:rPr>
          <w:i/>
        </w:rPr>
        <w:t>≥</w:t>
      </w:r>
      <w:r w:rsidR="00170F49">
        <w:rPr>
          <w:i/>
        </w:rPr>
        <w:t xml:space="preserve"> </w:t>
      </w:r>
      <w:r w:rsidR="00892FEB" w:rsidRPr="00A848FA">
        <w:rPr>
          <w:i/>
        </w:rPr>
        <w:t xml:space="preserve">1% TPS as determined by a validated test and who have received </w:t>
      </w:r>
      <w:r w:rsidR="005B1C86">
        <w:rPr>
          <w:i/>
        </w:rPr>
        <w:t>platinum containing</w:t>
      </w:r>
      <w:r w:rsidR="00892FEB" w:rsidRPr="00A848FA">
        <w:rPr>
          <w:i/>
        </w:rPr>
        <w:t xml:space="preserve"> chemotherapy. Patients with EGFR or ALK genomic tumour aberrations should have received prior therapy for these aberrations prior to receiving </w:t>
      </w:r>
      <w:r w:rsidR="00C329E7">
        <w:rPr>
          <w:i/>
        </w:rPr>
        <w:t>Keytruda</w:t>
      </w:r>
      <w:r w:rsidR="00892FEB" w:rsidRPr="00A848FA">
        <w:rPr>
          <w:i/>
        </w:rPr>
        <w:t>.</w:t>
      </w:r>
      <w:r>
        <w:rPr>
          <w:i/>
        </w:rPr>
        <w:t>’</w:t>
      </w:r>
    </w:p>
    <w:p w14:paraId="07F4C9A7" w14:textId="77777777" w:rsidR="00892FEB" w:rsidRPr="00A848FA" w:rsidRDefault="00892FEB" w:rsidP="00A848FA">
      <w:pPr>
        <w:pStyle w:val="Heading5"/>
      </w:pPr>
      <w:r w:rsidRPr="00A848FA">
        <w:t>Proposed Product Information (PI)/Consumer Medici</w:t>
      </w:r>
      <w:r w:rsidR="00A848FA">
        <w:t>ne Information (CMI) amendments</w:t>
      </w:r>
    </w:p>
    <w:p w14:paraId="6E96CF04" w14:textId="77777777" w:rsidR="00BA16BD" w:rsidRDefault="00A848FA" w:rsidP="00A848FA">
      <w:r>
        <w:t>The ACM agreed with the D</w:t>
      </w:r>
      <w:r w:rsidR="00892FEB" w:rsidRPr="00A848FA">
        <w:t>elegate to the proposed amendments to the Product Information (PI) and Consumer Medicine Information (CMI) and specifically advised on the inclusion of the following:</w:t>
      </w:r>
    </w:p>
    <w:p w14:paraId="07F4C9A9" w14:textId="1F0DC6F8" w:rsidR="0046163D" w:rsidRDefault="00892FEB" w:rsidP="00A848FA">
      <w:pPr>
        <w:pStyle w:val="ListBullet"/>
      </w:pPr>
      <w:proofErr w:type="gramStart"/>
      <w:r w:rsidRPr="00A848FA">
        <w:t>statements</w:t>
      </w:r>
      <w:proofErr w:type="gramEnd"/>
      <w:r w:rsidRPr="00A848FA">
        <w:t xml:space="preserve"> in the PRECAUTIONS section of the PI and relevant sections of the CMI that myocarditis and myasthenic syndrome were possible adverse effects</w:t>
      </w:r>
      <w:r w:rsidR="0046163D">
        <w:t>.</w:t>
      </w:r>
    </w:p>
    <w:p w14:paraId="07F4C9AA" w14:textId="77777777" w:rsidR="0046163D" w:rsidRDefault="00892FEB" w:rsidP="00A848FA">
      <w:pPr>
        <w:pStyle w:val="ListBullet"/>
      </w:pPr>
      <w:r w:rsidRPr="00A848FA">
        <w:t xml:space="preserve">presentation of efficacy outcomes in Study </w:t>
      </w:r>
      <w:r w:rsidR="00691589" w:rsidRPr="00C37728">
        <w:t>KEYNOTE-010</w:t>
      </w:r>
      <w:r w:rsidRPr="00C37728">
        <w:t xml:space="preserve"> subgroup</w:t>
      </w:r>
      <w:r w:rsidRPr="00A848FA">
        <w:t xml:space="preserve"> analysis by PD-L1 status using ‘PD-L1 TPS 50%+’ and ‘PD-L1 TPS </w:t>
      </w:r>
      <w:r w:rsidR="00C37728">
        <w:t>1 -</w:t>
      </w:r>
      <w:r w:rsidR="00C329E7">
        <w:t xml:space="preserve"> 49%</w:t>
      </w:r>
      <w:r w:rsidRPr="00A848FA">
        <w:t>’ subgroups</w:t>
      </w:r>
      <w:r w:rsidR="0046163D">
        <w:t>.</w:t>
      </w:r>
    </w:p>
    <w:p w14:paraId="07F4C9AB" w14:textId="5CA83F9C" w:rsidR="00892FEB" w:rsidRPr="00A848FA" w:rsidRDefault="00A848FA" w:rsidP="00A848FA">
      <w:pPr>
        <w:pStyle w:val="Heading5"/>
      </w:pPr>
      <w:r>
        <w:t xml:space="preserve">Specific </w:t>
      </w:r>
      <w:r w:rsidR="00C473B1">
        <w:t>a</w:t>
      </w:r>
      <w:r>
        <w:t>dvice</w:t>
      </w:r>
    </w:p>
    <w:p w14:paraId="0B1A337B" w14:textId="77777777" w:rsidR="00BA16BD" w:rsidRDefault="00892FEB" w:rsidP="00A848FA">
      <w:r w:rsidRPr="00A848FA">
        <w:t>The ACM advised the following in response to the delegate’s specific questions on this submission:</w:t>
      </w:r>
    </w:p>
    <w:p w14:paraId="07F4C9AD" w14:textId="2A90ABC3" w:rsidR="00892FEB" w:rsidRPr="00A848FA" w:rsidRDefault="00892FEB" w:rsidP="00CB0ECA">
      <w:pPr>
        <w:pStyle w:val="Numberbullet0"/>
        <w:numPr>
          <w:ilvl w:val="0"/>
          <w:numId w:val="15"/>
        </w:numPr>
        <w:rPr>
          <w:i/>
        </w:rPr>
      </w:pPr>
      <w:r w:rsidRPr="00A848FA">
        <w:rPr>
          <w:i/>
        </w:rPr>
        <w:t>The clinical evaluator for Submission PM-2016-02325-1-4 (</w:t>
      </w:r>
      <w:r w:rsidR="00985879">
        <w:rPr>
          <w:i/>
        </w:rPr>
        <w:t>first line</w:t>
      </w:r>
      <w:r w:rsidRPr="00A848FA">
        <w:rPr>
          <w:i/>
        </w:rPr>
        <w:t xml:space="preserve"> </w:t>
      </w:r>
      <w:r w:rsidR="00671CA6">
        <w:rPr>
          <w:i/>
        </w:rPr>
        <w:t xml:space="preserve">treatment of </w:t>
      </w:r>
      <w:r w:rsidRPr="00A848FA">
        <w:rPr>
          <w:i/>
        </w:rPr>
        <w:t>NSCLC) suggests that the PI recommend a maximum duration of therapy of 35</w:t>
      </w:r>
      <w:r w:rsidR="00671CA6">
        <w:rPr>
          <w:i/>
        </w:rPr>
        <w:t> </w:t>
      </w:r>
      <w:r w:rsidRPr="00A848FA">
        <w:rPr>
          <w:i/>
        </w:rPr>
        <w:t xml:space="preserve">treatments (24 months) for </w:t>
      </w:r>
      <w:r w:rsidR="00985879">
        <w:rPr>
          <w:i/>
        </w:rPr>
        <w:t>first line</w:t>
      </w:r>
      <w:r w:rsidRPr="00A848FA">
        <w:rPr>
          <w:i/>
        </w:rPr>
        <w:t xml:space="preserve"> NSCLC. No subjects in</w:t>
      </w:r>
      <w:r w:rsidR="00671CA6">
        <w:rPr>
          <w:i/>
        </w:rPr>
        <w:t xml:space="preserve"> </w:t>
      </w:r>
      <w:r w:rsidR="00691589">
        <w:rPr>
          <w:i/>
        </w:rPr>
        <w:t>KEYNOTE-024</w:t>
      </w:r>
      <w:r w:rsidRPr="00A848FA">
        <w:rPr>
          <w:i/>
        </w:rPr>
        <w:t xml:space="preserve"> reached </w:t>
      </w:r>
      <w:r w:rsidRPr="00A848FA">
        <w:rPr>
          <w:i/>
        </w:rPr>
        <w:lastRenderedPageBreak/>
        <w:t>24 months in the analysis provided. There are no data to inform the decision to stop at 24 months. What should the PI recommend in this regard?</w:t>
      </w:r>
    </w:p>
    <w:p w14:paraId="07F4C9AE" w14:textId="1D5EB951" w:rsidR="0046163D" w:rsidRDefault="00892FEB" w:rsidP="00A848FA">
      <w:r w:rsidRPr="00A848FA">
        <w:t>The ACM advised that there was no valid scie</w:t>
      </w:r>
      <w:r w:rsidR="000F74B7">
        <w:t>ntific reason to define a cut</w:t>
      </w:r>
      <w:r w:rsidR="00671CA6">
        <w:t xml:space="preserve"> </w:t>
      </w:r>
      <w:r w:rsidRPr="00A848FA">
        <w:t>off duration (such as cumulative toxicity) with a small percentage of patients continuing to derive prolonged benefits. The ACM has noted that the FDA and EU have not specified limits for pembrolizumab in NSCLC</w:t>
      </w:r>
      <w:r w:rsidR="0046163D">
        <w:t>.</w:t>
      </w:r>
    </w:p>
    <w:p w14:paraId="07F4C9AF" w14:textId="214C7DE8" w:rsidR="00892FEB" w:rsidRPr="00A848FA" w:rsidRDefault="00892FEB" w:rsidP="00A848FA">
      <w:pPr>
        <w:pStyle w:val="Numberbullet0"/>
        <w:rPr>
          <w:i/>
        </w:rPr>
      </w:pPr>
      <w:r w:rsidRPr="00A848FA">
        <w:rPr>
          <w:i/>
        </w:rPr>
        <w:t xml:space="preserve">Does the ACM consider that the benefit-risk balance is positive in patients with NSCLC who have received </w:t>
      </w:r>
      <w:r w:rsidR="005B1C86">
        <w:rPr>
          <w:i/>
        </w:rPr>
        <w:t>platinum containing</w:t>
      </w:r>
      <w:r w:rsidRPr="00A848FA">
        <w:rPr>
          <w:i/>
        </w:rPr>
        <w:t xml:space="preserve"> chemotherapy and whose tumours are weakly positive for PD-L1? Is there any concern regarding the imbalance in disease progression rate</w:t>
      </w:r>
      <w:r w:rsidR="000F74B7">
        <w:rPr>
          <w:i/>
        </w:rPr>
        <w:t xml:space="preserve">s in this group, seen in </w:t>
      </w:r>
      <w:r w:rsidR="00691589">
        <w:rPr>
          <w:i/>
        </w:rPr>
        <w:t>KEYNOTE-010</w:t>
      </w:r>
      <w:r w:rsidR="000F74B7">
        <w:rPr>
          <w:i/>
        </w:rPr>
        <w:t>?</w:t>
      </w:r>
    </w:p>
    <w:p w14:paraId="07F4C9B0" w14:textId="3BE0CC63" w:rsidR="0046163D" w:rsidRDefault="00892FEB" w:rsidP="00A848FA">
      <w:r w:rsidRPr="00A848FA">
        <w:t xml:space="preserve">The ACM advised that the benefit-risk </w:t>
      </w:r>
      <w:r w:rsidRPr="00C37728">
        <w:t xml:space="preserve">balance in </w:t>
      </w:r>
      <w:r w:rsidR="00C37728">
        <w:t xml:space="preserve">Study </w:t>
      </w:r>
      <w:r w:rsidR="00691589" w:rsidRPr="00C37728">
        <w:t>KEYNOTE-010</w:t>
      </w:r>
      <w:r w:rsidRPr="00C37728">
        <w:t xml:space="preserve"> is</w:t>
      </w:r>
      <w:r w:rsidRPr="00A848FA">
        <w:t xml:space="preserve"> marginally better with respect to overall survival (OS) and had favourable toxicity equating to an overall net benefit. The ACM noted that in </w:t>
      </w:r>
      <w:r w:rsidR="00E06B28" w:rsidRPr="00C37728">
        <w:t>Study</w:t>
      </w:r>
      <w:r w:rsidRPr="00C37728">
        <w:t xml:space="preserve"> </w:t>
      </w:r>
      <w:r w:rsidR="00691589" w:rsidRPr="00C37728">
        <w:t>KEYNOTE-010</w:t>
      </w:r>
      <w:r w:rsidRPr="00C37728">
        <w:t xml:space="preserve"> over</w:t>
      </w:r>
      <w:r w:rsidRPr="00A848FA">
        <w:t xml:space="preserve"> duration of overall response is more favourable for pembrolizumab as compared</w:t>
      </w:r>
      <w:r w:rsidR="000F74B7">
        <w:t xml:space="preserve"> to docetaxel, regardless of PD–</w:t>
      </w:r>
      <w:r w:rsidRPr="00A848FA">
        <w:t>L1 expression</w:t>
      </w:r>
      <w:r w:rsidR="0046163D">
        <w:t>.</w:t>
      </w:r>
    </w:p>
    <w:p w14:paraId="07F4C9B1" w14:textId="307B5178" w:rsidR="00892FEB" w:rsidRPr="00A848FA" w:rsidRDefault="00892FEB" w:rsidP="00A848FA">
      <w:pPr>
        <w:pStyle w:val="Numberbullet0"/>
        <w:rPr>
          <w:i/>
        </w:rPr>
      </w:pPr>
      <w:r w:rsidRPr="00A848FA">
        <w:rPr>
          <w:i/>
        </w:rPr>
        <w:t xml:space="preserve">The </w:t>
      </w:r>
      <w:r w:rsidR="000F74B7" w:rsidRPr="00A848FA">
        <w:rPr>
          <w:i/>
        </w:rPr>
        <w:t xml:space="preserve">clinical evaluator </w:t>
      </w:r>
      <w:r w:rsidRPr="00A848FA">
        <w:rPr>
          <w:i/>
        </w:rPr>
        <w:t xml:space="preserve">and Delegate agree that the PI should present efficacy outcomes for </w:t>
      </w:r>
      <w:r w:rsidR="00ED4E4E">
        <w:rPr>
          <w:i/>
        </w:rPr>
        <w:t>second line</w:t>
      </w:r>
      <w:r w:rsidRPr="00A848FA">
        <w:rPr>
          <w:i/>
        </w:rPr>
        <w:t xml:space="preserve"> NSCLC patients with PD-L1 expression </w:t>
      </w:r>
      <w:r w:rsidR="008141D3">
        <w:rPr>
          <w:i/>
        </w:rPr>
        <w:t xml:space="preserve">1 </w:t>
      </w:r>
      <w:r w:rsidR="00671CA6">
        <w:rPr>
          <w:i/>
        </w:rPr>
        <w:t>to</w:t>
      </w:r>
      <w:r w:rsidR="008141D3">
        <w:rPr>
          <w:i/>
        </w:rPr>
        <w:t xml:space="preserve"> 49% </w:t>
      </w:r>
      <w:r w:rsidRPr="00A848FA">
        <w:rPr>
          <w:i/>
        </w:rPr>
        <w:t xml:space="preserve">and </w:t>
      </w:r>
      <w:r w:rsidR="0046163D">
        <w:rPr>
          <w:i/>
        </w:rPr>
        <w:t xml:space="preserve">≥ </w:t>
      </w:r>
      <w:r w:rsidRPr="00A848FA">
        <w:rPr>
          <w:i/>
        </w:rPr>
        <w:t xml:space="preserve">50% separately. The </w:t>
      </w:r>
      <w:r w:rsidR="007344B9">
        <w:rPr>
          <w:i/>
        </w:rPr>
        <w:t>sponsor</w:t>
      </w:r>
      <w:r w:rsidRPr="00A848FA">
        <w:rPr>
          <w:i/>
        </w:rPr>
        <w:t xml:space="preserve"> argues that, in keeping with the study design, data should be presented for </w:t>
      </w:r>
      <w:r w:rsidR="00ED4E4E">
        <w:rPr>
          <w:i/>
        </w:rPr>
        <w:t>second line</w:t>
      </w:r>
      <w:r w:rsidRPr="00A848FA">
        <w:rPr>
          <w:i/>
        </w:rPr>
        <w:t xml:space="preserve"> </w:t>
      </w:r>
      <w:r w:rsidR="00671CA6">
        <w:rPr>
          <w:i/>
        </w:rPr>
        <w:t xml:space="preserve">treated </w:t>
      </w:r>
      <w:r w:rsidRPr="00A848FA">
        <w:rPr>
          <w:i/>
        </w:rPr>
        <w:t xml:space="preserve">NSCLC patients with PD-L1 expression </w:t>
      </w:r>
      <w:r w:rsidR="0046163D">
        <w:rPr>
          <w:i/>
        </w:rPr>
        <w:t xml:space="preserve">≥ </w:t>
      </w:r>
      <w:r w:rsidRPr="00A848FA">
        <w:rPr>
          <w:i/>
        </w:rPr>
        <w:t>1% (</w:t>
      </w:r>
      <w:r w:rsidR="0046163D">
        <w:rPr>
          <w:i/>
        </w:rPr>
        <w:t>that is,</w:t>
      </w:r>
      <w:r w:rsidRPr="00A848FA">
        <w:rPr>
          <w:i/>
        </w:rPr>
        <w:t xml:space="preserve"> including both TPS </w:t>
      </w:r>
      <w:r w:rsidR="00C37728">
        <w:rPr>
          <w:i/>
        </w:rPr>
        <w:t>1</w:t>
      </w:r>
      <w:r w:rsidR="00671CA6">
        <w:rPr>
          <w:i/>
        </w:rPr>
        <w:t xml:space="preserve"> to</w:t>
      </w:r>
      <w:r w:rsidR="00C37728">
        <w:rPr>
          <w:i/>
        </w:rPr>
        <w:t> </w:t>
      </w:r>
      <w:r w:rsidR="008141D3">
        <w:rPr>
          <w:i/>
        </w:rPr>
        <w:t xml:space="preserve">49% </w:t>
      </w:r>
      <w:r w:rsidRPr="00A848FA">
        <w:rPr>
          <w:i/>
        </w:rPr>
        <w:t xml:space="preserve">and TPS </w:t>
      </w:r>
      <w:r w:rsidR="0046163D">
        <w:rPr>
          <w:i/>
        </w:rPr>
        <w:t xml:space="preserve">≥ </w:t>
      </w:r>
      <w:r w:rsidRPr="00A848FA">
        <w:rPr>
          <w:i/>
        </w:rPr>
        <w:t xml:space="preserve">50%) and </w:t>
      </w:r>
      <w:r w:rsidR="0046163D">
        <w:rPr>
          <w:i/>
        </w:rPr>
        <w:t xml:space="preserve">≥ </w:t>
      </w:r>
      <w:r w:rsidRPr="00A848FA">
        <w:rPr>
          <w:i/>
        </w:rPr>
        <w:t xml:space="preserve">50% separately. What is the preferable approach for clinicians and consumers to communication </w:t>
      </w:r>
      <w:r w:rsidR="000F74B7">
        <w:rPr>
          <w:i/>
        </w:rPr>
        <w:t>of efficacy outcomes in the PI?</w:t>
      </w:r>
    </w:p>
    <w:p w14:paraId="07F4C9B2" w14:textId="05F12849" w:rsidR="0046163D" w:rsidRDefault="00892FEB" w:rsidP="00A848FA">
      <w:r w:rsidRPr="00A848FA">
        <w:t xml:space="preserve">The ACM advised that the efficacy outcomes should be communicated based on </w:t>
      </w:r>
      <w:r w:rsidR="000F74B7">
        <w:t>PD–L1</w:t>
      </w:r>
      <w:r w:rsidRPr="00A848FA">
        <w:t xml:space="preserve"> status 1 </w:t>
      </w:r>
      <w:r w:rsidR="00671CA6">
        <w:t>to</w:t>
      </w:r>
      <w:r w:rsidRPr="00A848FA">
        <w:t xml:space="preserve"> 49% and &gt; 50% in the </w:t>
      </w:r>
      <w:r w:rsidR="00ED4E4E">
        <w:t>second line</w:t>
      </w:r>
      <w:r w:rsidRPr="00A848FA">
        <w:t xml:space="preserve"> setting. The relevant graphs should be added to the trail report in the PI</w:t>
      </w:r>
      <w:r w:rsidR="0046163D">
        <w:t>.</w:t>
      </w:r>
    </w:p>
    <w:p w14:paraId="07F4C9B3" w14:textId="663DE900" w:rsidR="00892FEB" w:rsidRPr="00A848FA" w:rsidRDefault="00892FEB" w:rsidP="00A848FA">
      <w:pPr>
        <w:pStyle w:val="Numberbullet0"/>
        <w:rPr>
          <w:i/>
        </w:rPr>
      </w:pPr>
      <w:r w:rsidRPr="00A848FA">
        <w:rPr>
          <w:i/>
        </w:rPr>
        <w:t>Are there any concerns about the generali</w:t>
      </w:r>
      <w:r w:rsidR="002E3BAB">
        <w:rPr>
          <w:i/>
        </w:rPr>
        <w:t>s</w:t>
      </w:r>
      <w:r w:rsidRPr="00A848FA">
        <w:rPr>
          <w:i/>
        </w:rPr>
        <w:t xml:space="preserve">ability of outcomes from </w:t>
      </w:r>
      <w:r w:rsidR="00691589">
        <w:rPr>
          <w:i/>
        </w:rPr>
        <w:t>KEYNOTE-010</w:t>
      </w:r>
      <w:r w:rsidRPr="00A848FA">
        <w:rPr>
          <w:i/>
        </w:rPr>
        <w:t xml:space="preserve"> to the real-world situation, given real-</w:t>
      </w:r>
      <w:r w:rsidR="000F74B7">
        <w:rPr>
          <w:i/>
        </w:rPr>
        <w:t>world use of a different assay?</w:t>
      </w:r>
    </w:p>
    <w:p w14:paraId="07F4C9B4" w14:textId="70209889" w:rsidR="0046163D" w:rsidRDefault="00892FEB" w:rsidP="00A848FA">
      <w:r w:rsidRPr="00A848FA">
        <w:t>The ACM noted that</w:t>
      </w:r>
      <w:r w:rsidR="000F74B7">
        <w:t xml:space="preserve"> the FDA approval for PD–</w:t>
      </w:r>
      <w:r w:rsidRPr="00A848FA">
        <w:t xml:space="preserve">L1 testing includes DA-L1 IHC 22C3 </w:t>
      </w:r>
      <w:proofErr w:type="spellStart"/>
      <w:r w:rsidRPr="00A848FA">
        <w:t>pharmDx</w:t>
      </w:r>
      <w:proofErr w:type="spellEnd"/>
      <w:r w:rsidRPr="00A848FA">
        <w:t xml:space="preserve"> and VENTANA PD-L1 (SP142). The ACM advised that pathologist accreditation is more important for reliability of result and </w:t>
      </w:r>
      <w:r w:rsidR="002E3BAB">
        <w:t xml:space="preserve">this </w:t>
      </w:r>
      <w:r w:rsidRPr="00A848FA">
        <w:t>should be emphasised</w:t>
      </w:r>
      <w:r w:rsidR="0046163D">
        <w:t>.</w:t>
      </w:r>
    </w:p>
    <w:p w14:paraId="317EF1DE" w14:textId="77777777" w:rsidR="00BA16BD" w:rsidRDefault="00892FEB" w:rsidP="00A848FA">
      <w:pPr>
        <w:pStyle w:val="Numberbullet0"/>
        <w:rPr>
          <w:i/>
        </w:rPr>
      </w:pPr>
      <w:r w:rsidRPr="00A848FA">
        <w:rPr>
          <w:i/>
        </w:rPr>
        <w:t>Does the ACM consider that NSCLC indications should be limited to metastatic disease?</w:t>
      </w:r>
    </w:p>
    <w:p w14:paraId="07F4C9B6" w14:textId="0735AEC8" w:rsidR="0046163D" w:rsidRDefault="00892FEB" w:rsidP="00A848FA">
      <w:r w:rsidRPr="00A848FA">
        <w:t>The ACM advised that the indication should be in keeping with the clinical evidence (</w:t>
      </w:r>
      <w:r w:rsidR="00E06B28">
        <w:t>Study</w:t>
      </w:r>
      <w:r w:rsidRPr="00A848FA">
        <w:t xml:space="preserve"> </w:t>
      </w:r>
      <w:r w:rsidR="00691589">
        <w:t>KEYNOTE-024</w:t>
      </w:r>
      <w:r w:rsidRPr="00A848FA">
        <w:t xml:space="preserve"> was limited to metastatic disease and in </w:t>
      </w:r>
      <w:r w:rsidR="00E06B28">
        <w:t>Study</w:t>
      </w:r>
      <w:r w:rsidRPr="00A848FA">
        <w:t xml:space="preserve"> </w:t>
      </w:r>
      <w:r w:rsidR="00691589">
        <w:t>KEYNOTE-010</w:t>
      </w:r>
      <w:r w:rsidRPr="00A848FA">
        <w:t>, 91% had metastatic disease)</w:t>
      </w:r>
      <w:r w:rsidR="0046163D">
        <w:t>.</w:t>
      </w:r>
    </w:p>
    <w:p w14:paraId="07F4C9B7" w14:textId="77777777" w:rsidR="00892FEB" w:rsidRPr="00A848FA" w:rsidRDefault="00892FEB" w:rsidP="00A848FA">
      <w:pPr>
        <w:pStyle w:val="Numberbullet0"/>
        <w:rPr>
          <w:i/>
        </w:rPr>
      </w:pPr>
      <w:r w:rsidRPr="00A848FA">
        <w:rPr>
          <w:i/>
        </w:rPr>
        <w:t xml:space="preserve">Does the ACM consider that the </w:t>
      </w:r>
      <w:r w:rsidR="00ED4E4E">
        <w:rPr>
          <w:i/>
        </w:rPr>
        <w:t>second line</w:t>
      </w:r>
      <w:r w:rsidRPr="00A848FA">
        <w:rPr>
          <w:i/>
        </w:rPr>
        <w:t xml:space="preserve"> indication should require patients to have progressed on or after </w:t>
      </w:r>
      <w:r w:rsidR="005B1C86">
        <w:rPr>
          <w:i/>
        </w:rPr>
        <w:t>platinum containing</w:t>
      </w:r>
      <w:r w:rsidR="000F74B7">
        <w:rPr>
          <w:i/>
        </w:rPr>
        <w:t xml:space="preserve"> chemotherapy?</w:t>
      </w:r>
    </w:p>
    <w:p w14:paraId="07F4C9B8" w14:textId="2035A734" w:rsidR="00892FEB" w:rsidRPr="00A848FA" w:rsidRDefault="00892FEB" w:rsidP="00A848FA">
      <w:r w:rsidRPr="00A848FA">
        <w:t xml:space="preserve">The ACM advised that platinum based chemotherapy remains standard of care for all patients with </w:t>
      </w:r>
      <w:r w:rsidR="00803D07">
        <w:t>S</w:t>
      </w:r>
      <w:r w:rsidRPr="00A848FA">
        <w:t xml:space="preserve">tage </w:t>
      </w:r>
      <w:r w:rsidR="00803D07">
        <w:t>I</w:t>
      </w:r>
      <w:r w:rsidRPr="00A848FA">
        <w:t xml:space="preserve">V NSCLC and hence appropriate for </w:t>
      </w:r>
      <w:r w:rsidR="00ED4E4E">
        <w:t>second line</w:t>
      </w:r>
      <w:r w:rsidRPr="00A848FA">
        <w:t xml:space="preserve"> indications. The ACM noted that it was important to apply inclusion criteria used in second line trials in patient selection for treatment, including efficacious treatment and select</w:t>
      </w:r>
      <w:r w:rsidR="00A848FA">
        <w:t>ion of fitter/younger patients.</w:t>
      </w:r>
    </w:p>
    <w:p w14:paraId="07F4C9B9" w14:textId="7CC86003" w:rsidR="00892FEB" w:rsidRPr="00A848FA" w:rsidRDefault="00892FEB" w:rsidP="00A848FA">
      <w:pPr>
        <w:pStyle w:val="Numberbullet0"/>
        <w:rPr>
          <w:i/>
        </w:rPr>
      </w:pPr>
      <w:r w:rsidRPr="00A848FA">
        <w:rPr>
          <w:i/>
        </w:rPr>
        <w:t xml:space="preserve">Given the apparently low ORRs in </w:t>
      </w:r>
      <w:r w:rsidR="00ED4E4E">
        <w:rPr>
          <w:i/>
        </w:rPr>
        <w:t>second line</w:t>
      </w:r>
      <w:r w:rsidRPr="00A848FA">
        <w:rPr>
          <w:i/>
        </w:rPr>
        <w:t xml:space="preserve"> patients with EGFR sensitising mutations or ALK translocation, is the </w:t>
      </w:r>
      <w:r w:rsidR="007344B9">
        <w:rPr>
          <w:i/>
        </w:rPr>
        <w:t>sponsor</w:t>
      </w:r>
      <w:r w:rsidRPr="00A848FA">
        <w:rPr>
          <w:i/>
        </w:rPr>
        <w:t>’s proposed indication wording (</w:t>
      </w:r>
      <w:r w:rsidR="002E3BAB">
        <w:rPr>
          <w:i/>
        </w:rPr>
        <w:t>‘</w:t>
      </w:r>
      <w:r w:rsidRPr="00A848FA">
        <w:rPr>
          <w:i/>
        </w:rPr>
        <w:t xml:space="preserve">patients with EGFR or ALK genomic tumour aberrations should also have received approved therapy for these aberrations prior to receiving </w:t>
      </w:r>
      <w:r w:rsidR="00C329E7">
        <w:rPr>
          <w:i/>
        </w:rPr>
        <w:t>Keytruda</w:t>
      </w:r>
      <w:r w:rsidRPr="00A848FA">
        <w:rPr>
          <w:i/>
        </w:rPr>
        <w:t xml:space="preserve"> [see</w:t>
      </w:r>
      <w:r w:rsidR="00C37728">
        <w:rPr>
          <w:i/>
        </w:rPr>
        <w:t xml:space="preserve"> CLINICAL TRIALS]</w:t>
      </w:r>
      <w:r w:rsidR="002E3BAB">
        <w:rPr>
          <w:i/>
        </w:rPr>
        <w:t>’</w:t>
      </w:r>
      <w:r w:rsidR="00C37728">
        <w:rPr>
          <w:i/>
        </w:rPr>
        <w:t>) acceptable?</w:t>
      </w:r>
    </w:p>
    <w:p w14:paraId="07F4C9BA" w14:textId="77777777" w:rsidR="0046163D" w:rsidRDefault="00892FEB" w:rsidP="00A848FA">
      <w:r w:rsidRPr="00A848FA">
        <w:t>The ACM supported the proposed indication statement, while acknowledging the level of evidence in this setting was more limited. However, the ACM advised that the statement could usefully be generalised to other actionable mutations such as ALK on the basis of genetic heterogeneity, also as second line</w:t>
      </w:r>
      <w:r w:rsidR="0046163D">
        <w:t>.</w:t>
      </w:r>
    </w:p>
    <w:p w14:paraId="07F4C9BB" w14:textId="77777777" w:rsidR="00892FEB" w:rsidRPr="00A848FA" w:rsidRDefault="00892FEB" w:rsidP="00A848FA">
      <w:pPr>
        <w:pStyle w:val="Numberbullet0"/>
        <w:rPr>
          <w:i/>
        </w:rPr>
      </w:pPr>
      <w:r w:rsidRPr="00A848FA">
        <w:rPr>
          <w:i/>
        </w:rPr>
        <w:lastRenderedPageBreak/>
        <w:t>Is there sufficient evidence of causality to support a Precaution for myasthenic syndrome, and to include myasthenic syndrome as an import</w:t>
      </w:r>
      <w:r w:rsidR="00C37728">
        <w:rPr>
          <w:i/>
        </w:rPr>
        <w:t>ant identified risk in the RMP?</w:t>
      </w:r>
    </w:p>
    <w:p w14:paraId="07F4C9BC" w14:textId="77777777" w:rsidR="0046163D" w:rsidRDefault="00892FEB" w:rsidP="00A848FA">
      <w:r w:rsidRPr="00A848FA">
        <w:t xml:space="preserve">The ACM advised that even though the data are inconclusive, there are </w:t>
      </w:r>
      <w:r w:rsidR="000F74B7" w:rsidRPr="00A848FA">
        <w:t>sufficient</w:t>
      </w:r>
      <w:r w:rsidRPr="00A848FA">
        <w:t xml:space="preserve"> data to establish that pembrolizumab can cause myasthenic syndrome as an adverse effect and that the PI should reflect this as a precaution</w:t>
      </w:r>
      <w:r w:rsidR="0046163D">
        <w:t>.</w:t>
      </w:r>
    </w:p>
    <w:p w14:paraId="07F4C9BD" w14:textId="77777777" w:rsidR="00892FEB" w:rsidRPr="00A848FA" w:rsidRDefault="00892FEB" w:rsidP="00A848FA">
      <w:pPr>
        <w:pStyle w:val="Numberbullet0"/>
        <w:rPr>
          <w:i/>
        </w:rPr>
      </w:pPr>
      <w:r w:rsidRPr="00A848FA">
        <w:rPr>
          <w:i/>
        </w:rPr>
        <w:t>Is there sufficient evidence of causality to support a Precaution for myocarditis, and to include myocarditis as an import</w:t>
      </w:r>
      <w:r w:rsidR="00C37728">
        <w:rPr>
          <w:i/>
        </w:rPr>
        <w:t>ant identified risk in the RMP?</w:t>
      </w:r>
    </w:p>
    <w:p w14:paraId="07F4C9BE" w14:textId="77777777" w:rsidR="00892FEB" w:rsidRPr="00A848FA" w:rsidRDefault="00892FEB" w:rsidP="00A848FA">
      <w:r w:rsidRPr="00A848FA">
        <w:t xml:space="preserve">The ACM advised that even though the data are inconclusive there are </w:t>
      </w:r>
      <w:r w:rsidR="00A848FA" w:rsidRPr="00A848FA">
        <w:t>sufficient</w:t>
      </w:r>
      <w:r w:rsidRPr="00A848FA">
        <w:t xml:space="preserve"> data to suggest that pembrolizumab can cause myocarditis syndrome and that the PI should reflect this as a PRECAUTION. The ACM noted that the </w:t>
      </w:r>
      <w:r w:rsidR="007344B9">
        <w:t>sponsor</w:t>
      </w:r>
      <w:r w:rsidRPr="00A848FA">
        <w:t xml:space="preserve"> had already agreed to inclusion of</w:t>
      </w:r>
      <w:r w:rsidR="00A848FA">
        <w:t xml:space="preserve"> this adverse effect in the PI.</w:t>
      </w:r>
    </w:p>
    <w:p w14:paraId="07F4C9BF" w14:textId="77777777" w:rsidR="00E13AF5" w:rsidRDefault="00892FEB" w:rsidP="00A848FA">
      <w:r w:rsidRPr="00A848FA">
        <w:t xml:space="preserve">The ACM advised that implementation by the </w:t>
      </w:r>
      <w:r w:rsidR="007344B9">
        <w:t>sponsor</w:t>
      </w:r>
      <w:r w:rsidRPr="00A848FA">
        <w:t xml:space="preserve"> of the recommendations outlined above to the satisfaction of the TGA, in addition to the evidence of efficacy and safety provided would support the safe and effective of this product.</w:t>
      </w:r>
    </w:p>
    <w:p w14:paraId="07F4C9C0" w14:textId="77777777" w:rsidR="008E7846" w:rsidRPr="002E238E" w:rsidRDefault="008E7846" w:rsidP="008E7846">
      <w:pPr>
        <w:pStyle w:val="Heading3"/>
      </w:pPr>
      <w:bookmarkStart w:id="166" w:name="_Toc247691532"/>
      <w:bookmarkStart w:id="167" w:name="_Toc314842516"/>
      <w:bookmarkStart w:id="168" w:name="_Toc513458949"/>
      <w:bookmarkEnd w:id="85"/>
      <w:bookmarkEnd w:id="164"/>
      <w:bookmarkEnd w:id="165"/>
      <w:r>
        <w:t>Outcome</w:t>
      </w:r>
      <w:bookmarkEnd w:id="166"/>
      <w:bookmarkEnd w:id="167"/>
      <w:bookmarkEnd w:id="168"/>
    </w:p>
    <w:p w14:paraId="07F4C9C1" w14:textId="77777777" w:rsidR="00D23139" w:rsidRPr="00D23139" w:rsidRDefault="00D23139" w:rsidP="00D23139">
      <w:bookmarkStart w:id="169" w:name="_Toc247691533"/>
      <w:bookmarkStart w:id="170" w:name="_Toc314842517"/>
      <w:r w:rsidRPr="00D23139">
        <w:t xml:space="preserve">Based on a review of quality, safety and efficacy, TGA approved the registration of </w:t>
      </w:r>
      <w:r w:rsidR="00A848FA">
        <w:t>Keytruda pembrolizumab (rch) 100</w:t>
      </w:r>
      <w:r w:rsidR="00AA5397">
        <w:t xml:space="preserve"> </w:t>
      </w:r>
      <w:r w:rsidR="00A848FA">
        <w:t>mg/4 mL concentrated injection vial and 50 mg powder for injection vial</w:t>
      </w:r>
      <w:r w:rsidRPr="00D23139">
        <w:t>, indicated for:</w:t>
      </w:r>
    </w:p>
    <w:p w14:paraId="07F4C9C2" w14:textId="77777777" w:rsidR="0046163D" w:rsidRDefault="00C329E7" w:rsidP="00E13AF5">
      <w:pPr>
        <w:ind w:left="720"/>
        <w:rPr>
          <w:i/>
        </w:rPr>
      </w:pPr>
      <w:r>
        <w:rPr>
          <w:i/>
        </w:rPr>
        <w:t>Keytruda</w:t>
      </w:r>
      <w:r w:rsidR="00E13AF5" w:rsidRPr="00A848FA">
        <w:rPr>
          <w:i/>
        </w:rPr>
        <w:t xml:space="preserve"> is indicated for the first-line treatment of patients with metastatic non-small cell lung carcinoma (NSCLC) whose tumours express PD-L1 with a </w:t>
      </w:r>
      <w:r w:rsidR="0046163D">
        <w:rPr>
          <w:i/>
        </w:rPr>
        <w:t xml:space="preserve">≥ </w:t>
      </w:r>
      <w:r w:rsidR="00E13AF5" w:rsidRPr="00A848FA">
        <w:rPr>
          <w:i/>
        </w:rPr>
        <w:t>50% tumour proportion score (TPS) as determined by a validated test, with no EGFR or ALK genomic tumour aberrations</w:t>
      </w:r>
      <w:r w:rsidR="0046163D">
        <w:rPr>
          <w:i/>
        </w:rPr>
        <w:t>.</w:t>
      </w:r>
    </w:p>
    <w:p w14:paraId="07F4C9C3" w14:textId="77777777" w:rsidR="00D23139" w:rsidRPr="00AA5397" w:rsidRDefault="00C329E7" w:rsidP="00AA5397">
      <w:pPr>
        <w:ind w:left="720"/>
        <w:rPr>
          <w:i/>
        </w:rPr>
      </w:pPr>
      <w:r>
        <w:rPr>
          <w:i/>
        </w:rPr>
        <w:t>Keytruda</w:t>
      </w:r>
      <w:r w:rsidR="00AA5397" w:rsidRPr="00A848FA">
        <w:rPr>
          <w:i/>
        </w:rPr>
        <w:t xml:space="preserve"> is indicated for the treatment of patients with advanced NSCLC whose tumours express PD-L1 with a </w:t>
      </w:r>
      <w:r w:rsidR="0046163D">
        <w:rPr>
          <w:i/>
        </w:rPr>
        <w:t>≥</w:t>
      </w:r>
      <w:r w:rsidR="00170F49">
        <w:rPr>
          <w:i/>
        </w:rPr>
        <w:t xml:space="preserve"> </w:t>
      </w:r>
      <w:r w:rsidR="00AA5397" w:rsidRPr="00A848FA">
        <w:rPr>
          <w:i/>
        </w:rPr>
        <w:t xml:space="preserve">1% TPS as determined by a validated test and who have received </w:t>
      </w:r>
      <w:r w:rsidR="005B1C86">
        <w:rPr>
          <w:i/>
        </w:rPr>
        <w:t>platinum containing</w:t>
      </w:r>
      <w:r w:rsidR="00AA5397" w:rsidRPr="00A848FA">
        <w:rPr>
          <w:i/>
        </w:rPr>
        <w:t xml:space="preserve"> chemotherapy. Patients with EGFR or ALK genomic tumour aberrations should have received prior therapy for these aberrations prior to receiving </w:t>
      </w:r>
      <w:r>
        <w:rPr>
          <w:i/>
        </w:rPr>
        <w:t>Keytruda</w:t>
      </w:r>
      <w:r w:rsidR="00AA5397" w:rsidRPr="00A848FA">
        <w:rPr>
          <w:i/>
        </w:rPr>
        <w:t>.</w:t>
      </w:r>
    </w:p>
    <w:p w14:paraId="07F4C9C4" w14:textId="77777777" w:rsidR="00D23139" w:rsidRPr="00D23139" w:rsidRDefault="00D23139" w:rsidP="00D23139">
      <w:pPr>
        <w:pStyle w:val="Heading4"/>
      </w:pPr>
      <w:r w:rsidRPr="00D23139">
        <w:t>Specific conditions of registration applying to these goods</w:t>
      </w:r>
    </w:p>
    <w:p w14:paraId="07F4C9C5" w14:textId="102A2FF9" w:rsidR="00D23139" w:rsidRPr="008819BE" w:rsidRDefault="008819BE" w:rsidP="008819BE">
      <w:r w:rsidRPr="008819BE">
        <w:t xml:space="preserve">The </w:t>
      </w:r>
      <w:r w:rsidR="00C329E7">
        <w:t>Keytruda</w:t>
      </w:r>
      <w:r w:rsidRPr="008819BE">
        <w:t xml:space="preserve"> pembrolizumab (rch) EU Risk Management Plan (RMP) version 10.0</w:t>
      </w:r>
      <w:r>
        <w:t xml:space="preserve"> </w:t>
      </w:r>
      <w:r w:rsidRPr="008819BE">
        <w:t>dated 20 September 2016, included with subm</w:t>
      </w:r>
      <w:r>
        <w:t xml:space="preserve">issions: (PM-2015-04712-1-4 and </w:t>
      </w:r>
      <w:r w:rsidRPr="008819BE">
        <w:t>PM</w:t>
      </w:r>
      <w:r w:rsidR="00EB1053">
        <w:noBreakHyphen/>
      </w:r>
      <w:r w:rsidRPr="008819BE">
        <w:t>2016</w:t>
      </w:r>
      <w:r w:rsidR="00EB1053">
        <w:noBreakHyphen/>
      </w:r>
      <w:r w:rsidRPr="008819BE">
        <w:t>02325-1-4), revised as specified by the Australian Specific Annex (ASA</w:t>
      </w:r>
      <w:r>
        <w:t xml:space="preserve">) </w:t>
      </w:r>
      <w:r w:rsidRPr="008819BE">
        <w:t>version 6.0 dated 17 January 2017, and any subseque</w:t>
      </w:r>
      <w:r>
        <w:t xml:space="preserve">nt revisions as agreed with the </w:t>
      </w:r>
      <w:r w:rsidRPr="008819BE">
        <w:t>TGA, will be implemented in Australia.</w:t>
      </w:r>
    </w:p>
    <w:p w14:paraId="07F4C9C6" w14:textId="77777777" w:rsidR="008E7846" w:rsidRDefault="00A80B5B" w:rsidP="00D23139">
      <w:pPr>
        <w:pStyle w:val="Heading2"/>
      </w:pPr>
      <w:bookmarkStart w:id="171" w:name="_Toc513458950"/>
      <w:proofErr w:type="gramStart"/>
      <w:r>
        <w:t>Attachment 1.</w:t>
      </w:r>
      <w:proofErr w:type="gramEnd"/>
      <w:r>
        <w:t xml:space="preserve"> </w:t>
      </w:r>
      <w:r w:rsidR="008E7846">
        <w:t xml:space="preserve">Product </w:t>
      </w:r>
      <w:r w:rsidR="00AA0ED0">
        <w:t>I</w:t>
      </w:r>
      <w:r w:rsidR="008E7846">
        <w:t>nformation</w:t>
      </w:r>
      <w:bookmarkEnd w:id="169"/>
      <w:bookmarkEnd w:id="170"/>
      <w:bookmarkEnd w:id="171"/>
    </w:p>
    <w:p w14:paraId="07F4C9C7" w14:textId="77777777" w:rsidR="00C80137" w:rsidRDefault="006136D7" w:rsidP="00C80137">
      <w:pPr>
        <w:rPr>
          <w:color w:val="000000"/>
          <w:lang w:eastAsia="en-AU"/>
        </w:rPr>
      </w:pPr>
      <w:r w:rsidRPr="002B3624">
        <w:t xml:space="preserve">The </w:t>
      </w:r>
      <w:r>
        <w:t>PI</w:t>
      </w:r>
      <w:r w:rsidRPr="002B3624">
        <w:t xml:space="preserve"> for </w:t>
      </w:r>
      <w:r w:rsidR="008819BE">
        <w:t xml:space="preserve">Keytruda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9" w:history="1">
        <w:r w:rsidR="007C6B9B" w:rsidRPr="007C6B9B">
          <w:rPr>
            <w:rStyle w:val="Hyperlink"/>
          </w:rPr>
          <w:t>https://www.tga.gov.au/product-information-pi</w:t>
        </w:r>
      </w:hyperlink>
      <w:r w:rsidR="008819BE">
        <w:t>&gt;.</w:t>
      </w:r>
    </w:p>
    <w:p w14:paraId="07F4C9C8" w14:textId="20401D4A" w:rsidR="00C80137" w:rsidRDefault="00C80137" w:rsidP="00C80137">
      <w:pPr>
        <w:pStyle w:val="Heading2"/>
        <w:rPr>
          <w:lang w:eastAsia="en-AU"/>
        </w:rPr>
      </w:pPr>
      <w:bookmarkStart w:id="172" w:name="_Toc513458951"/>
      <w:proofErr w:type="gramStart"/>
      <w:r>
        <w:rPr>
          <w:lang w:eastAsia="en-AU"/>
        </w:rPr>
        <w:lastRenderedPageBreak/>
        <w:t>Attachment 2.</w:t>
      </w:r>
      <w:proofErr w:type="gramEnd"/>
      <w:r w:rsidR="00A80B5B">
        <w:rPr>
          <w:lang w:eastAsia="en-AU"/>
        </w:rPr>
        <w:t xml:space="preserve"> </w:t>
      </w:r>
      <w:r>
        <w:rPr>
          <w:lang w:eastAsia="en-AU"/>
        </w:rPr>
        <w:t>Extract from the Clinical Evaluation Report</w:t>
      </w:r>
      <w:r w:rsidR="00182C39">
        <w:rPr>
          <w:lang w:eastAsia="en-AU"/>
        </w:rPr>
        <w:t xml:space="preserve"> (submission PM 2015-04712-1-4)</w:t>
      </w:r>
      <w:bookmarkEnd w:id="172"/>
    </w:p>
    <w:p w14:paraId="50687EC3" w14:textId="08385064" w:rsidR="00182C39" w:rsidRDefault="00182C39" w:rsidP="00182C39">
      <w:pPr>
        <w:pStyle w:val="Heading2"/>
        <w:rPr>
          <w:lang w:eastAsia="en-AU"/>
        </w:rPr>
      </w:pPr>
      <w:bookmarkStart w:id="173" w:name="_Toc513458952"/>
      <w:proofErr w:type="gramStart"/>
      <w:r>
        <w:rPr>
          <w:lang w:eastAsia="en-AU"/>
        </w:rPr>
        <w:t>Attachment 3.</w:t>
      </w:r>
      <w:proofErr w:type="gramEnd"/>
      <w:r>
        <w:rPr>
          <w:lang w:eastAsia="en-AU"/>
        </w:rPr>
        <w:t xml:space="preserve"> Extract from the Clinical Evaluation Report (submission PM-2016-02325-1-4)</w:t>
      </w:r>
      <w:bookmarkEnd w:id="173"/>
    </w:p>
    <w:p w14:paraId="114D6034" w14:textId="77777777" w:rsidR="00182C39" w:rsidRPr="00182C39" w:rsidRDefault="00182C39" w:rsidP="00803D07">
      <w:pPr>
        <w:rPr>
          <w:lang w:eastAsia="en-AU"/>
        </w:rPr>
      </w:pPr>
    </w:p>
    <w:p w14:paraId="07F4C9C9" w14:textId="77777777" w:rsidR="00291957" w:rsidRDefault="008E7846" w:rsidP="008819BE">
      <w:pPr>
        <w:autoSpaceDE w:val="0"/>
        <w:autoSpaceDN w:val="0"/>
        <w:adjustRightInd w:val="0"/>
        <w:spacing w:after="0"/>
        <w:rPr>
          <w:lang w:eastAsia="ja-JP"/>
        </w:rPr>
      </w:pPr>
      <w:r w:rsidRPr="00C80137">
        <w:rPr>
          <w:b/>
        </w:rPr>
        <w:br w:type="page"/>
      </w:r>
    </w:p>
    <w:p w14:paraId="07F4C9CA" w14:textId="77777777"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7F4C9CC" w14:textId="77777777" w:rsidTr="00A05FA4">
        <w:trPr>
          <w:trHeight w:hRule="exact" w:val="704"/>
        </w:trPr>
        <w:tc>
          <w:tcPr>
            <w:tcW w:w="9175" w:type="dxa"/>
          </w:tcPr>
          <w:p w14:paraId="07F4C9CB" w14:textId="77777777" w:rsidR="001C32CD" w:rsidRPr="00487162" w:rsidRDefault="001C32CD" w:rsidP="00A05FA4">
            <w:pPr>
              <w:pStyle w:val="TGASignoff"/>
            </w:pPr>
            <w:r w:rsidRPr="00487162">
              <w:lastRenderedPageBreak/>
              <w:t>Therapeutic Goods Administration</w:t>
            </w:r>
          </w:p>
        </w:tc>
      </w:tr>
      <w:tr w:rsidR="001C32CD" w:rsidRPr="004C239D" w14:paraId="07F4C9D0" w14:textId="77777777" w:rsidTr="00A05FA4">
        <w:trPr>
          <w:trHeight w:val="1221"/>
        </w:trPr>
        <w:tc>
          <w:tcPr>
            <w:tcW w:w="9175" w:type="dxa"/>
            <w:tcMar>
              <w:top w:w="28" w:type="dxa"/>
            </w:tcMar>
          </w:tcPr>
          <w:p w14:paraId="07F4C9CD" w14:textId="77777777" w:rsidR="001C32CD" w:rsidRPr="00487162" w:rsidRDefault="001C32CD" w:rsidP="00A05FA4">
            <w:pPr>
              <w:pStyle w:val="Address"/>
            </w:pPr>
            <w:r w:rsidRPr="00487162">
              <w:t>PO Box 100 Woden ACT 2606 Australia</w:t>
            </w:r>
          </w:p>
          <w:p w14:paraId="07F4C9CE" w14:textId="77777777" w:rsidR="001C32CD" w:rsidRPr="00487162" w:rsidRDefault="001C32CD" w:rsidP="00A05FA4">
            <w:pPr>
              <w:pStyle w:val="Address"/>
            </w:pPr>
            <w:r w:rsidRPr="00487162">
              <w:t xml:space="preserve">Email: </w:t>
            </w:r>
            <w:hyperlink r:id="rId44" w:history="1">
              <w:r w:rsidRPr="004C239D">
                <w:rPr>
                  <w:rStyle w:val="Hyperlink"/>
                </w:rPr>
                <w:t>info@tga.gov.au</w:t>
              </w:r>
            </w:hyperlink>
            <w:r w:rsidR="0046163D">
              <w:t xml:space="preserve"> </w:t>
            </w:r>
            <w:r w:rsidRPr="00487162">
              <w:t>Phone: 1800 020 653</w:t>
            </w:r>
            <w:r w:rsidR="0046163D">
              <w:t xml:space="preserve"> </w:t>
            </w:r>
            <w:r w:rsidRPr="00487162">
              <w:t>Fax: 02 6232 8605</w:t>
            </w:r>
          </w:p>
          <w:p w14:paraId="07F4C9CF" w14:textId="77777777" w:rsidR="001C32CD" w:rsidRPr="004C239D" w:rsidRDefault="00F0667C"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07F4C9D1"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8418B9" w15:done="0"/>
  <w15:commentEx w15:paraId="4683CFA3" w15:done="0"/>
  <w15:commentEx w15:paraId="44F34657" w15:done="0"/>
  <w15:commentEx w15:paraId="1B27669F" w15:done="0"/>
  <w15:commentEx w15:paraId="0F37B2C8" w15:done="0"/>
  <w15:commentEx w15:paraId="21F840E3" w15:done="0"/>
  <w15:commentEx w15:paraId="1002850C" w15:done="0"/>
  <w15:commentEx w15:paraId="201DEC6D" w15:done="0"/>
  <w15:commentEx w15:paraId="47456000" w15:done="0"/>
  <w15:commentEx w15:paraId="33B7849E" w15:done="0"/>
  <w15:commentEx w15:paraId="41EFA498" w15:done="0"/>
  <w15:commentEx w15:paraId="63330A96" w15:done="0"/>
  <w15:commentEx w15:paraId="58731CF8" w15:done="0"/>
  <w15:commentEx w15:paraId="5770E905" w15:done="0"/>
  <w15:commentEx w15:paraId="18CF632B" w15:done="0"/>
  <w15:commentEx w15:paraId="2BC325F9" w15:done="0"/>
  <w15:commentEx w15:paraId="1B9FDA31" w15:done="0"/>
  <w15:commentEx w15:paraId="56955731" w15:done="0"/>
  <w15:commentEx w15:paraId="5E022E4E" w15:done="0"/>
  <w15:commentEx w15:paraId="5B31EF20" w15:done="0"/>
  <w15:commentEx w15:paraId="26B29971" w15:done="0"/>
  <w15:commentEx w15:paraId="02053F05" w15:done="0"/>
  <w15:commentEx w15:paraId="0E65DD0C" w15:done="0"/>
  <w15:commentEx w15:paraId="43C50D75" w15:done="0"/>
  <w15:commentEx w15:paraId="7273B3D0" w15:done="0"/>
  <w15:commentEx w15:paraId="036DD2C0" w15:done="0"/>
  <w15:commentEx w15:paraId="7BFB2535" w15:done="0"/>
  <w15:commentEx w15:paraId="284731E2" w15:done="0"/>
  <w15:commentEx w15:paraId="2D19D205" w15:done="0"/>
  <w15:commentEx w15:paraId="44EF887B" w15:done="0"/>
  <w15:commentEx w15:paraId="12168C6B" w15:done="0"/>
  <w15:commentEx w15:paraId="4472E5C7" w15:done="0"/>
  <w15:commentEx w15:paraId="7582304A" w15:done="0"/>
  <w15:commentEx w15:paraId="3B7B9782" w15:done="0"/>
  <w15:commentEx w15:paraId="0B7C4188" w15:done="0"/>
  <w15:commentEx w15:paraId="7B7F05D4" w15:done="0"/>
  <w15:commentEx w15:paraId="6E3AB971" w15:done="0"/>
  <w15:commentEx w15:paraId="2D03FB04" w15:done="0"/>
  <w15:commentEx w15:paraId="7291CC21" w15:done="0"/>
  <w15:commentEx w15:paraId="6EC54423" w15:done="0"/>
  <w15:commentEx w15:paraId="56223AF6" w15:done="0"/>
  <w15:commentEx w15:paraId="032D6B0B" w15:done="0"/>
  <w15:commentEx w15:paraId="76231B4F" w15:done="0"/>
  <w15:commentEx w15:paraId="064D4443" w15:done="0"/>
  <w15:commentEx w15:paraId="1F9312D7" w15:done="0"/>
  <w15:commentEx w15:paraId="226EED6A" w15:done="0"/>
  <w15:commentEx w15:paraId="3194ED1D" w15:done="0"/>
  <w15:commentEx w15:paraId="71FC637C" w15:done="0"/>
  <w15:commentEx w15:paraId="6674D5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E3BA8" w14:textId="77777777" w:rsidR="00BA16BD" w:rsidRDefault="00BA16BD" w:rsidP="00C40A36">
      <w:pPr>
        <w:spacing w:after="0"/>
      </w:pPr>
      <w:r>
        <w:separator/>
      </w:r>
    </w:p>
  </w:endnote>
  <w:endnote w:type="continuationSeparator" w:id="0">
    <w:p w14:paraId="7982CF18" w14:textId="77777777" w:rsidR="00BA16BD" w:rsidRDefault="00BA16B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panose1 w:val="00000000000000000000"/>
    <w:charset w:val="00"/>
    <w:family w:val="roman"/>
    <w:notTrueType/>
    <w:pitch w:val="default"/>
    <w:sig w:usb0="00000003" w:usb1="00000000" w:usb2="00000000" w:usb3="00000000" w:csb0="00000001" w:csb1="00000000"/>
  </w:font>
  <w:font w:name="SymbolMT">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A16BD" w:rsidRPr="00487162" w14:paraId="07F4CA03" w14:textId="77777777" w:rsidTr="00DB750B">
      <w:trPr>
        <w:trHeight w:val="269"/>
      </w:trPr>
      <w:tc>
        <w:tcPr>
          <w:tcW w:w="7371" w:type="dxa"/>
          <w:tcMar>
            <w:top w:w="142" w:type="dxa"/>
            <w:bottom w:w="0" w:type="dxa"/>
          </w:tcMar>
        </w:tcPr>
        <w:p w14:paraId="07F4CA01" w14:textId="6C2381DA" w:rsidR="00BA16BD" w:rsidRPr="00487162" w:rsidRDefault="00BA16BD" w:rsidP="005720A2">
          <w:pPr>
            <w:pStyle w:val="Footer"/>
          </w:pPr>
          <w:r w:rsidRPr="00487162">
            <w:t>AusPA</w:t>
          </w:r>
          <w:r>
            <w:t xml:space="preserve">R - </w:t>
          </w:r>
          <w:r w:rsidRPr="0046205E">
            <w:t xml:space="preserve">Keytruda - Pembrolizumab - Merck Sharp &amp; Dohme Australia Pty Ltd - PM-2015-04712-1-4 and PM-2016-02325-1-4 </w:t>
          </w:r>
          <w:r>
            <w:t>FINAL 7 May 2018</w:t>
          </w:r>
        </w:p>
      </w:tc>
      <w:tc>
        <w:tcPr>
          <w:tcW w:w="1490" w:type="dxa"/>
          <w:tcMar>
            <w:top w:w="142" w:type="dxa"/>
            <w:bottom w:w="0" w:type="dxa"/>
          </w:tcMar>
        </w:tcPr>
        <w:p w14:paraId="07F4CA02" w14:textId="77777777" w:rsidR="00BA16BD" w:rsidRPr="00487162" w:rsidRDefault="00BA16BD" w:rsidP="00DB750B">
          <w:pPr>
            <w:pStyle w:val="Footer"/>
            <w:jc w:val="right"/>
          </w:pPr>
          <w:r w:rsidRPr="00487162">
            <w:t xml:space="preserve">Page </w:t>
          </w:r>
          <w:r>
            <w:fldChar w:fldCharType="begin"/>
          </w:r>
          <w:r>
            <w:instrText xml:space="preserve"> PAGE  \* Arabic </w:instrText>
          </w:r>
          <w:r>
            <w:fldChar w:fldCharType="separate"/>
          </w:r>
          <w:r w:rsidR="00F0667C">
            <w:rPr>
              <w:noProof/>
            </w:rPr>
            <w:t>8</w:t>
          </w:r>
          <w:r>
            <w:fldChar w:fldCharType="end"/>
          </w:r>
          <w:r w:rsidRPr="00487162">
            <w:t xml:space="preserve"> of </w:t>
          </w:r>
          <w:r w:rsidR="00F0667C">
            <w:fldChar w:fldCharType="begin"/>
          </w:r>
          <w:r w:rsidR="00F0667C">
            <w:instrText xml:space="preserve"> NUMPAGES  \* Arabic </w:instrText>
          </w:r>
          <w:r w:rsidR="00F0667C">
            <w:fldChar w:fldCharType="separate"/>
          </w:r>
          <w:r w:rsidR="00F0667C">
            <w:rPr>
              <w:noProof/>
            </w:rPr>
            <w:t>74</w:t>
          </w:r>
          <w:r w:rsidR="00F0667C">
            <w:rPr>
              <w:noProof/>
            </w:rPr>
            <w:fldChar w:fldCharType="end"/>
          </w:r>
        </w:p>
      </w:tc>
    </w:tr>
  </w:tbl>
  <w:p w14:paraId="07F4CA04" w14:textId="77777777" w:rsidR="00BA16BD" w:rsidRDefault="00BA16BD"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A16BD" w:rsidRPr="00487162" w14:paraId="07F4CA0D" w14:textId="77777777" w:rsidTr="00E45619">
      <w:trPr>
        <w:trHeight w:val="269"/>
      </w:trPr>
      <w:tc>
        <w:tcPr>
          <w:tcW w:w="4519" w:type="dxa"/>
          <w:tcBorders>
            <w:top w:val="single" w:sz="4" w:space="0" w:color="auto"/>
          </w:tcBorders>
          <w:tcMar>
            <w:top w:w="142" w:type="dxa"/>
            <w:bottom w:w="0" w:type="dxa"/>
          </w:tcMar>
        </w:tcPr>
        <w:p w14:paraId="07F4CA0A" w14:textId="77777777" w:rsidR="00BA16BD" w:rsidRPr="00487162" w:rsidRDefault="00BA16BD" w:rsidP="00FE1DEE">
          <w:pPr>
            <w:pStyle w:val="Footer"/>
          </w:pPr>
          <w:r w:rsidRPr="00487162">
            <w:t>Document title, Part #, Section # - Section title</w:t>
          </w:r>
        </w:p>
        <w:p w14:paraId="07F4CA0B" w14:textId="77777777" w:rsidR="00BA16BD" w:rsidRPr="00487162" w:rsidRDefault="00BA16BD" w:rsidP="00FE1DEE">
          <w:pPr>
            <w:pStyle w:val="Footer"/>
          </w:pPr>
          <w:r w:rsidRPr="00487162">
            <w:t>V1.0 October 2010</w:t>
          </w:r>
        </w:p>
      </w:tc>
      <w:tc>
        <w:tcPr>
          <w:tcW w:w="4342" w:type="dxa"/>
          <w:tcBorders>
            <w:top w:val="single" w:sz="4" w:space="0" w:color="auto"/>
          </w:tcBorders>
          <w:tcMar>
            <w:top w:w="142" w:type="dxa"/>
            <w:bottom w:w="0" w:type="dxa"/>
          </w:tcMar>
        </w:tcPr>
        <w:p w14:paraId="07F4CA0C" w14:textId="77777777" w:rsidR="00BA16BD" w:rsidRPr="00487162" w:rsidRDefault="00BA16B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0667C">
            <w:fldChar w:fldCharType="begin"/>
          </w:r>
          <w:r w:rsidR="00F0667C">
            <w:instrText xml:space="preserve"> NUMPAGES  </w:instrText>
          </w:r>
          <w:r w:rsidR="00F0667C">
            <w:fldChar w:fldCharType="separate"/>
          </w:r>
          <w:r>
            <w:rPr>
              <w:noProof/>
            </w:rPr>
            <w:t>4</w:t>
          </w:r>
          <w:r w:rsidR="00F0667C">
            <w:rPr>
              <w:noProof/>
            </w:rPr>
            <w:fldChar w:fldCharType="end"/>
          </w:r>
        </w:p>
      </w:tc>
    </w:tr>
  </w:tbl>
  <w:p w14:paraId="07F4CA0E" w14:textId="77777777" w:rsidR="00BA16BD" w:rsidRDefault="00BA16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11" w14:textId="77777777" w:rsidR="00BA16BD" w:rsidRPr="001C32CD" w:rsidRDefault="00BA16BD"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A16BD" w14:paraId="07F4CA1F" w14:textId="77777777" w:rsidTr="0010601F">
      <w:trPr>
        <w:trHeight w:val="108"/>
      </w:trPr>
      <w:tc>
        <w:tcPr>
          <w:tcW w:w="8875" w:type="dxa"/>
          <w:gridSpan w:val="2"/>
          <w:tcBorders>
            <w:bottom w:val="single" w:sz="4" w:space="0" w:color="auto"/>
          </w:tcBorders>
          <w:tcMar>
            <w:right w:w="284" w:type="dxa"/>
          </w:tcMar>
        </w:tcPr>
        <w:p w14:paraId="07F4CA14" w14:textId="77777777" w:rsidR="00BA16BD" w:rsidRDefault="00BA16BD" w:rsidP="006E08B3">
          <w:pPr>
            <w:pStyle w:val="Heading3"/>
          </w:pPr>
          <w:r>
            <w:t>Copyright</w:t>
          </w:r>
        </w:p>
        <w:p w14:paraId="07F4CA15" w14:textId="77777777" w:rsidR="00BA16BD" w:rsidRDefault="00BA16BD" w:rsidP="006E08B3">
          <w:r>
            <w:rPr>
              <w:rFonts w:cs="Arial"/>
            </w:rPr>
            <w:t>©</w:t>
          </w:r>
          <w:r>
            <w:t xml:space="preserve"> Commonwealth of Australia [add year]</w:t>
          </w:r>
        </w:p>
        <w:p w14:paraId="07F4CA16" w14:textId="77777777" w:rsidR="00BA16BD" w:rsidRDefault="00BA16BD" w:rsidP="006E08B3"/>
        <w:p w14:paraId="07F4CA17" w14:textId="77777777" w:rsidR="00BA16BD" w:rsidRDefault="00BA16B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7F4CA18" w14:textId="77777777" w:rsidR="00BA16BD" w:rsidRDefault="00BA16BD" w:rsidP="006E08B3"/>
        <w:p w14:paraId="07F4CA19" w14:textId="77777777" w:rsidR="00BA16BD" w:rsidRDefault="00BA16BD" w:rsidP="006E08B3">
          <w:pPr>
            <w:pStyle w:val="Heading3"/>
          </w:pPr>
          <w:r>
            <w:t>Confidentiality</w:t>
          </w:r>
        </w:p>
        <w:p w14:paraId="07F4CA1A" w14:textId="77777777" w:rsidR="00BA16BD" w:rsidRDefault="00BA16B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7F4CA1B" w14:textId="77777777" w:rsidR="00BA16BD" w:rsidRDefault="00BA16BD" w:rsidP="006E08B3"/>
        <w:p w14:paraId="07F4CA1C" w14:textId="77777777" w:rsidR="00BA16BD" w:rsidRDefault="00BA16BD" w:rsidP="006E08B3">
          <w:r>
            <w:t>For submission made by individuals, all personal details, other than your name, will be removed from your submission before it is published on the TGA’s Internet site.</w:t>
          </w:r>
        </w:p>
        <w:p w14:paraId="07F4CA1D" w14:textId="77777777" w:rsidR="00BA16BD" w:rsidRDefault="00BA16BD" w:rsidP="006E08B3"/>
        <w:p w14:paraId="07F4CA1E" w14:textId="77777777" w:rsidR="00BA16BD" w:rsidRDefault="00BA16B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A16BD" w14:paraId="07F4CA23" w14:textId="77777777" w:rsidTr="0010601F">
      <w:trPr>
        <w:trHeight w:val="417"/>
      </w:trPr>
      <w:tc>
        <w:tcPr>
          <w:tcW w:w="4519" w:type="dxa"/>
          <w:tcBorders>
            <w:top w:val="single" w:sz="4" w:space="0" w:color="auto"/>
          </w:tcBorders>
          <w:tcMar>
            <w:top w:w="142" w:type="dxa"/>
            <w:bottom w:w="0" w:type="dxa"/>
          </w:tcMar>
        </w:tcPr>
        <w:p w14:paraId="07F4CA20" w14:textId="77777777" w:rsidR="00BA16BD" w:rsidRDefault="00BA16BD" w:rsidP="006E08B3">
          <w:r>
            <w:t>Document title, Part #, Section # - Section title</w:t>
          </w:r>
        </w:p>
        <w:p w14:paraId="07F4CA21" w14:textId="77777777" w:rsidR="00BA16BD" w:rsidRDefault="00BA16BD" w:rsidP="006E08B3">
          <w:r>
            <w:t>V1.0 October 2010</w:t>
          </w:r>
        </w:p>
      </w:tc>
      <w:tc>
        <w:tcPr>
          <w:tcW w:w="4356" w:type="dxa"/>
          <w:tcBorders>
            <w:top w:val="single" w:sz="4" w:space="0" w:color="auto"/>
          </w:tcBorders>
          <w:tcMar>
            <w:top w:w="142" w:type="dxa"/>
            <w:bottom w:w="0" w:type="dxa"/>
          </w:tcMar>
        </w:tcPr>
        <w:p w14:paraId="07F4CA22" w14:textId="77777777" w:rsidR="00BA16BD" w:rsidRDefault="00BA16B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0667C">
            <w:fldChar w:fldCharType="begin"/>
          </w:r>
          <w:r w:rsidR="00F0667C">
            <w:instrText xml:space="preserve"> NUMPAGES  \* Arabic </w:instrText>
          </w:r>
          <w:r w:rsidR="00F0667C">
            <w:fldChar w:fldCharType="separate"/>
          </w:r>
          <w:r>
            <w:rPr>
              <w:noProof/>
            </w:rPr>
            <w:t>4</w:t>
          </w:r>
          <w:r w:rsidR="00F0667C">
            <w:rPr>
              <w:noProof/>
            </w:rPr>
            <w:fldChar w:fldCharType="end"/>
          </w:r>
          <w:r>
            <w:t xml:space="preserve"> </w:t>
          </w:r>
        </w:p>
      </w:tc>
    </w:tr>
  </w:tbl>
  <w:p w14:paraId="07F4CA24" w14:textId="77777777" w:rsidR="00BA16BD" w:rsidRDefault="00BA16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35142" w14:textId="77777777" w:rsidR="00BA16BD" w:rsidRDefault="00BA16BD" w:rsidP="00C40A36">
      <w:pPr>
        <w:spacing w:after="0"/>
      </w:pPr>
      <w:r>
        <w:separator/>
      </w:r>
    </w:p>
  </w:footnote>
  <w:footnote w:type="continuationSeparator" w:id="0">
    <w:p w14:paraId="2887E2F5" w14:textId="77777777" w:rsidR="00BA16BD" w:rsidRDefault="00BA16BD" w:rsidP="00C40A36">
      <w:pPr>
        <w:spacing w:after="0"/>
      </w:pPr>
      <w:r>
        <w:continuationSeparator/>
      </w:r>
    </w:p>
  </w:footnote>
  <w:footnote w:id="1">
    <w:p w14:paraId="07F4CA29" w14:textId="0030F51A" w:rsidR="00BA16BD" w:rsidRPr="004572B1" w:rsidRDefault="00BA16BD">
      <w:pPr>
        <w:pStyle w:val="FootnoteText"/>
        <w:rPr>
          <w:lang w:val="en-US"/>
        </w:rPr>
      </w:pPr>
      <w:r>
        <w:rPr>
          <w:rStyle w:val="FootnoteReference"/>
        </w:rPr>
        <w:footnoteRef/>
      </w:r>
      <w:r>
        <w:t xml:space="preserve"> </w:t>
      </w:r>
      <w:r>
        <w:rPr>
          <w:lang w:val="en-US"/>
        </w:rPr>
        <w:t>ROS1 is a receptor tyrosine kinase encoded by the gene ROS1.</w:t>
      </w:r>
    </w:p>
  </w:footnote>
  <w:footnote w:id="2">
    <w:p w14:paraId="07F4CA2A" w14:textId="77777777" w:rsidR="00BA16BD" w:rsidRPr="003329F0" w:rsidRDefault="00BA16BD">
      <w:pPr>
        <w:pStyle w:val="FootnoteText"/>
        <w:rPr>
          <w:lang w:val="en-US"/>
        </w:rPr>
      </w:pPr>
      <w:r>
        <w:rPr>
          <w:rStyle w:val="FootnoteReference"/>
        </w:rPr>
        <w:footnoteRef/>
      </w:r>
      <w:r>
        <w:t xml:space="preserve"> </w:t>
      </w:r>
      <w:proofErr w:type="gramStart"/>
      <w:r>
        <w:t>Kerr, K and Nicolson, M. Non-small cell lung cancer, PD-L1, and the pathologist.</w:t>
      </w:r>
      <w:proofErr w:type="gramEnd"/>
      <w:r>
        <w:t xml:space="preserve"> </w:t>
      </w:r>
      <w:proofErr w:type="gramStart"/>
      <w:r w:rsidRPr="00D65920">
        <w:rPr>
          <w:i/>
        </w:rPr>
        <w:t>Archives of Pathology and Laboratory Medicine</w:t>
      </w:r>
      <w:r>
        <w:t>.</w:t>
      </w:r>
      <w:proofErr w:type="gramEnd"/>
      <w:r>
        <w:t xml:space="preserve"> 2016; 140: 249-254</w:t>
      </w:r>
    </w:p>
  </w:footnote>
  <w:footnote w:id="3">
    <w:p w14:paraId="07F4CA2B" w14:textId="77777777" w:rsidR="00BA16BD" w:rsidRPr="003329F0" w:rsidRDefault="00BA16BD">
      <w:pPr>
        <w:pStyle w:val="FootnoteText"/>
      </w:pPr>
      <w:r>
        <w:rPr>
          <w:rStyle w:val="FootnoteReference"/>
        </w:rPr>
        <w:footnoteRef/>
      </w:r>
      <w:r>
        <w:t xml:space="preserve"> </w:t>
      </w:r>
      <w:proofErr w:type="gramStart"/>
      <w:r>
        <w:t>McLaughlin, J et al. Quantitative assessment of the heterogeneity of PD-L1 expression in non-small cell lung cancer</w:t>
      </w:r>
      <w:r w:rsidRPr="00D65920">
        <w:rPr>
          <w:i/>
        </w:rPr>
        <w:t>.</w:t>
      </w:r>
      <w:proofErr w:type="gramEnd"/>
      <w:r w:rsidRPr="00D65920">
        <w:rPr>
          <w:i/>
        </w:rPr>
        <w:t xml:space="preserve"> JAMA oncology</w:t>
      </w:r>
      <w:r>
        <w:t xml:space="preserve"> 2016; 2: 46-54</w:t>
      </w:r>
    </w:p>
  </w:footnote>
  <w:footnote w:id="4">
    <w:p w14:paraId="07F4CA2C" w14:textId="77777777" w:rsidR="00BA16BD" w:rsidRPr="003329F0" w:rsidRDefault="00BA16BD" w:rsidP="003329F0">
      <w:pPr>
        <w:spacing w:before="0" w:after="0" w:line="240" w:lineRule="auto"/>
        <w:rPr>
          <w:sz w:val="18"/>
          <w:szCs w:val="20"/>
        </w:rPr>
      </w:pPr>
      <w:r w:rsidRPr="003329F0">
        <w:rPr>
          <w:sz w:val="18"/>
          <w:szCs w:val="20"/>
          <w:vertAlign w:val="superscript"/>
        </w:rPr>
        <w:footnoteRef/>
      </w:r>
      <w:r w:rsidRPr="003329F0">
        <w:rPr>
          <w:sz w:val="18"/>
          <w:szCs w:val="20"/>
        </w:rPr>
        <w:t xml:space="preserve"> Kerr K, et al. Programmed Death-Ligand 1 immunohistochemistry in lung cance</w:t>
      </w:r>
      <w:r>
        <w:rPr>
          <w:sz w:val="18"/>
          <w:szCs w:val="20"/>
        </w:rPr>
        <w:t xml:space="preserve">r: in what state is this art? </w:t>
      </w:r>
      <w:proofErr w:type="gramStart"/>
      <w:r w:rsidRPr="00D65920">
        <w:rPr>
          <w:i/>
          <w:sz w:val="18"/>
          <w:szCs w:val="20"/>
        </w:rPr>
        <w:t>J </w:t>
      </w:r>
      <w:proofErr w:type="spellStart"/>
      <w:r w:rsidRPr="00D65920">
        <w:rPr>
          <w:i/>
          <w:sz w:val="18"/>
          <w:szCs w:val="20"/>
        </w:rPr>
        <w:t>Thorac</w:t>
      </w:r>
      <w:proofErr w:type="spellEnd"/>
      <w:r w:rsidRPr="00D65920">
        <w:rPr>
          <w:i/>
          <w:sz w:val="18"/>
          <w:szCs w:val="20"/>
        </w:rPr>
        <w:t xml:space="preserve"> </w:t>
      </w:r>
      <w:proofErr w:type="spellStart"/>
      <w:r w:rsidRPr="00D65920">
        <w:rPr>
          <w:i/>
          <w:sz w:val="18"/>
          <w:szCs w:val="20"/>
        </w:rPr>
        <w:t>Oncol</w:t>
      </w:r>
      <w:proofErr w:type="spellEnd"/>
      <w:r>
        <w:rPr>
          <w:sz w:val="18"/>
          <w:szCs w:val="20"/>
        </w:rPr>
        <w:t>.</w:t>
      </w:r>
      <w:proofErr w:type="gramEnd"/>
      <w:r>
        <w:rPr>
          <w:sz w:val="18"/>
          <w:szCs w:val="20"/>
        </w:rPr>
        <w:t xml:space="preserve"> </w:t>
      </w:r>
      <w:proofErr w:type="gramStart"/>
      <w:r>
        <w:rPr>
          <w:sz w:val="18"/>
          <w:szCs w:val="20"/>
        </w:rPr>
        <w:t>2015; 10</w:t>
      </w:r>
      <w:r w:rsidRPr="003329F0">
        <w:rPr>
          <w:sz w:val="18"/>
          <w:szCs w:val="20"/>
        </w:rPr>
        <w:t>:</w:t>
      </w:r>
      <w:r>
        <w:rPr>
          <w:sz w:val="18"/>
          <w:szCs w:val="20"/>
        </w:rPr>
        <w:t xml:space="preserve"> </w:t>
      </w:r>
      <w:r w:rsidRPr="003329F0">
        <w:rPr>
          <w:sz w:val="18"/>
          <w:szCs w:val="20"/>
        </w:rPr>
        <w:t>985–989.</w:t>
      </w:r>
      <w:proofErr w:type="gramEnd"/>
    </w:p>
  </w:footnote>
  <w:footnote w:id="5">
    <w:p w14:paraId="07F4CA2D" w14:textId="77777777" w:rsidR="00BA16BD" w:rsidRPr="003329F0" w:rsidRDefault="00BA16BD">
      <w:pPr>
        <w:pStyle w:val="FootnoteText"/>
      </w:pPr>
      <w:r w:rsidRPr="003329F0">
        <w:rPr>
          <w:vertAlign w:val="superscript"/>
        </w:rPr>
        <w:footnoteRef/>
      </w:r>
      <w:r>
        <w:t xml:space="preserve"> </w:t>
      </w:r>
      <w:proofErr w:type="spellStart"/>
      <w:r>
        <w:t>Herbst</w:t>
      </w:r>
      <w:proofErr w:type="spellEnd"/>
      <w:r>
        <w:t xml:space="preserve"> R, et al. Predictive correlates of response to the anti-PD-L1 antibody MPDL3280A in cancer patients. </w:t>
      </w:r>
      <w:proofErr w:type="gramStart"/>
      <w:r w:rsidRPr="00D65920">
        <w:rPr>
          <w:i/>
        </w:rPr>
        <w:t>Nature.</w:t>
      </w:r>
      <w:proofErr w:type="gramEnd"/>
      <w:r>
        <w:t xml:space="preserve"> </w:t>
      </w:r>
      <w:proofErr w:type="gramStart"/>
      <w:r>
        <w:t>2014; 515: 563–567.</w:t>
      </w:r>
      <w:proofErr w:type="gramEnd"/>
    </w:p>
  </w:footnote>
  <w:footnote w:id="6">
    <w:p w14:paraId="07F4CA2E" w14:textId="77777777" w:rsidR="00BA16BD" w:rsidRPr="003329F0" w:rsidRDefault="00BA16BD">
      <w:pPr>
        <w:pStyle w:val="FootnoteText"/>
      </w:pPr>
      <w:r w:rsidRPr="003329F0">
        <w:rPr>
          <w:vertAlign w:val="superscript"/>
        </w:rPr>
        <w:footnoteRef/>
      </w:r>
      <w:r w:rsidRPr="003329F0">
        <w:rPr>
          <w:vertAlign w:val="superscript"/>
        </w:rPr>
        <w:t xml:space="preserve"> </w:t>
      </w:r>
      <w:proofErr w:type="gramStart"/>
      <w:r w:rsidRPr="003329F0">
        <w:t>European Medicines Agency.</w:t>
      </w:r>
      <w:proofErr w:type="gramEnd"/>
      <w:r w:rsidRPr="003329F0">
        <w:t xml:space="preserve"> </w:t>
      </w:r>
      <w:proofErr w:type="gramStart"/>
      <w:r w:rsidRPr="003329F0">
        <w:t>Guideline on the evaluation of anticancer medicinal products in man.</w:t>
      </w:r>
      <w:proofErr w:type="gramEnd"/>
      <w:r w:rsidRPr="003329F0">
        <w:t xml:space="preserve"> EMA/CHMP/205/95/Rev.4; (2012).</w:t>
      </w:r>
    </w:p>
  </w:footnote>
  <w:footnote w:id="7">
    <w:p w14:paraId="07F4CA2F" w14:textId="77777777" w:rsidR="00BA16BD" w:rsidRPr="008819BE" w:rsidRDefault="00BA16BD">
      <w:pPr>
        <w:pStyle w:val="FootnoteText"/>
        <w:rPr>
          <w:lang w:val="en-US"/>
        </w:rPr>
      </w:pPr>
      <w:r>
        <w:rPr>
          <w:rStyle w:val="FootnoteReference"/>
        </w:rPr>
        <w:footnoteRef/>
      </w:r>
      <w:r>
        <w:t xml:space="preserve"> </w:t>
      </w:r>
      <w:r w:rsidRPr="003329F0">
        <w:rPr>
          <w:rStyle w:val="EndnoteReference"/>
          <w:vertAlign w:val="baseline"/>
        </w:rPr>
        <w:t>European Medicines Agency. Appendix 1 to the guideline on the evaluation of anticancer medicinal products in man. Methodological consideration for using progression-free survival (PFS) or disease-free survival (DFS) in confirmatory trials. EMA/CHMP/27994/2008/Rev.1; (2012).</w:t>
      </w:r>
    </w:p>
  </w:footnote>
  <w:footnote w:id="8">
    <w:p w14:paraId="07F4CA30" w14:textId="77777777" w:rsidR="00BA16BD" w:rsidRPr="008819BE" w:rsidRDefault="00BA16BD">
      <w:pPr>
        <w:pStyle w:val="FootnoteText"/>
        <w:rPr>
          <w:lang w:val="en-US"/>
        </w:rPr>
      </w:pPr>
      <w:r>
        <w:rPr>
          <w:rStyle w:val="FootnoteReference"/>
        </w:rPr>
        <w:footnoteRef/>
      </w:r>
      <w:r>
        <w:t xml:space="preserve"> </w:t>
      </w:r>
      <w:r w:rsidRPr="003329F0">
        <w:rPr>
          <w:rStyle w:val="EndnoteReference"/>
          <w:vertAlign w:val="baseline"/>
        </w:rPr>
        <w:t xml:space="preserve">European Medicines Agency. Appendix 4 to the guideline on the evaluation of anticancer medicinal products in man. Condition Specific Guidance. EMA/CHMP/703715/2012; (2013). </w:t>
      </w:r>
    </w:p>
  </w:footnote>
  <w:footnote w:id="9">
    <w:p w14:paraId="07F4CA31" w14:textId="77777777" w:rsidR="00BA16BD" w:rsidRPr="003329F0" w:rsidRDefault="00BA16BD">
      <w:pPr>
        <w:pStyle w:val="FootnoteText"/>
        <w:rPr>
          <w:lang w:val="en-US"/>
        </w:rPr>
      </w:pPr>
      <w:r>
        <w:rPr>
          <w:rStyle w:val="FootnoteReference"/>
        </w:rPr>
        <w:footnoteRef/>
      </w:r>
      <w:r>
        <w:t xml:space="preserve"> </w:t>
      </w:r>
      <w:r w:rsidRPr="003329F0">
        <w:rPr>
          <w:rStyle w:val="EndnoteReference"/>
          <w:vertAlign w:val="baseline"/>
        </w:rPr>
        <w:t>European Medicines Agency.</w:t>
      </w:r>
      <w:r>
        <w:rPr>
          <w:rStyle w:val="EndnoteReference"/>
          <w:vertAlign w:val="baseline"/>
        </w:rPr>
        <w:t xml:space="preserve"> </w:t>
      </w:r>
      <w:r w:rsidRPr="003329F0">
        <w:rPr>
          <w:rStyle w:val="EndnoteReference"/>
          <w:vertAlign w:val="baseline"/>
        </w:rPr>
        <w:t>Points to consider on application with 1. Meta-analyses; 2. One pivotal study; CPMP/EWP/2330/99 (2001).</w:t>
      </w:r>
    </w:p>
  </w:footnote>
  <w:footnote w:id="10">
    <w:p w14:paraId="07F4CA32" w14:textId="77777777" w:rsidR="00BA16BD" w:rsidRPr="00642AF1" w:rsidRDefault="00BA16BD" w:rsidP="00642AF1">
      <w:pPr>
        <w:pStyle w:val="FootnoteText"/>
      </w:pPr>
      <w:r w:rsidRPr="00642AF1">
        <w:rPr>
          <w:rStyle w:val="FootnoteReference"/>
        </w:rPr>
        <w:footnoteRef/>
      </w:r>
      <w:r w:rsidRPr="00642AF1">
        <w:rPr>
          <w:vertAlign w:val="superscript"/>
        </w:rPr>
        <w:t xml:space="preserve"> </w:t>
      </w:r>
      <w:r w:rsidRPr="00642AF1">
        <w:t xml:space="preserve">National Cancer Institute. </w:t>
      </w:r>
      <w:proofErr w:type="gramStart"/>
      <w:r w:rsidRPr="00642AF1">
        <w:t>Non-Small Cell Lung Cancer Treatment (PDQ)–Health Professional Version.</w:t>
      </w:r>
      <w:proofErr w:type="gramEnd"/>
      <w:r w:rsidRPr="00642AF1">
        <w:t xml:space="preserve"> 2016. Available from: https://www.cancer.gov/types/lung/hp/non-small-cell-lung-treatment-pdq</w:t>
      </w:r>
      <w:r w:rsidRPr="00642AF1">
        <w:rPr>
          <w:rStyle w:val="Hyperlink"/>
          <w:color w:val="auto"/>
          <w:u w:val="none"/>
        </w:rPr>
        <w:t xml:space="preserve"> (accessed December 2016)</w:t>
      </w:r>
    </w:p>
  </w:footnote>
  <w:footnote w:id="11">
    <w:p w14:paraId="07F4CA33" w14:textId="77777777" w:rsidR="00BA16BD" w:rsidRPr="00642AF1" w:rsidRDefault="00BA16BD">
      <w:pPr>
        <w:pStyle w:val="FootnoteText"/>
        <w:rPr>
          <w:lang w:val="en-US"/>
        </w:rPr>
      </w:pPr>
      <w:r>
        <w:rPr>
          <w:rStyle w:val="FootnoteReference"/>
        </w:rPr>
        <w:footnoteRef/>
      </w:r>
      <w:r>
        <w:t xml:space="preserve"> </w:t>
      </w:r>
      <w:r>
        <w:rPr>
          <w:lang w:eastAsia="ja-JP"/>
        </w:rPr>
        <w:t xml:space="preserve">Cancer Institute NSW. </w:t>
      </w:r>
      <w:proofErr w:type="spellStart"/>
      <w:proofErr w:type="gramStart"/>
      <w:r>
        <w:rPr>
          <w:lang w:eastAsia="ja-JP"/>
        </w:rPr>
        <w:t>eviQ</w:t>
      </w:r>
      <w:proofErr w:type="spellEnd"/>
      <w:proofErr w:type="gramEnd"/>
      <w:r>
        <w:rPr>
          <w:lang w:eastAsia="ja-JP"/>
        </w:rPr>
        <w:t xml:space="preserve"> Cancer Treatments Online. </w:t>
      </w:r>
      <w:proofErr w:type="gramStart"/>
      <w:r>
        <w:rPr>
          <w:lang w:eastAsia="ja-JP"/>
        </w:rPr>
        <w:t>Respiratory (lung) homepage.</w:t>
      </w:r>
      <w:proofErr w:type="gramEnd"/>
      <w:r>
        <w:rPr>
          <w:lang w:eastAsia="ja-JP"/>
        </w:rPr>
        <w:t xml:space="preserve"> </w:t>
      </w:r>
      <w:proofErr w:type="gramStart"/>
      <w:r>
        <w:rPr>
          <w:lang w:eastAsia="ja-JP"/>
        </w:rPr>
        <w:t>Chemotherapy protocols.</w:t>
      </w:r>
      <w:proofErr w:type="gramEnd"/>
      <w:r>
        <w:rPr>
          <w:lang w:eastAsia="ja-JP"/>
        </w:rPr>
        <w:t xml:space="preserve"> 2016. Available from: </w:t>
      </w:r>
      <w:r w:rsidRPr="00317530">
        <w:rPr>
          <w:rStyle w:val="Hyperlink"/>
          <w:color w:val="auto"/>
          <w:u w:val="none"/>
        </w:rPr>
        <w:t>https://www.eviq.org.au/</w:t>
      </w:r>
      <w:r>
        <w:rPr>
          <w:rStyle w:val="Hyperlink"/>
          <w:color w:val="auto"/>
          <w:u w:val="none"/>
        </w:rPr>
        <w:t xml:space="preserve"> </w:t>
      </w:r>
      <w:r>
        <w:t>(Accessed December 2016)</w:t>
      </w:r>
    </w:p>
  </w:footnote>
  <w:footnote w:id="12">
    <w:p w14:paraId="07F4CA34" w14:textId="77777777" w:rsidR="00BA16BD" w:rsidRPr="00642AF1" w:rsidRDefault="00BA16BD">
      <w:pPr>
        <w:pStyle w:val="FootnoteText"/>
        <w:rPr>
          <w:lang w:val="en-US"/>
        </w:rPr>
      </w:pPr>
      <w:r>
        <w:rPr>
          <w:rStyle w:val="FootnoteReference"/>
        </w:rPr>
        <w:footnoteRef/>
      </w:r>
      <w:r>
        <w:t xml:space="preserve"> </w:t>
      </w:r>
      <w:r w:rsidRPr="000941D5">
        <w:t xml:space="preserve">National Comprehensive Care Network (NCCN) Clinical Practice Guidelines in Oncology. </w:t>
      </w:r>
      <w:proofErr w:type="gramStart"/>
      <w:r w:rsidRPr="000941D5">
        <w:t>Non-Small Cell Lung Cancer.</w:t>
      </w:r>
      <w:proofErr w:type="gramEnd"/>
      <w:r w:rsidRPr="000941D5">
        <w:t xml:space="preserve"> </w:t>
      </w:r>
      <w:proofErr w:type="gramStart"/>
      <w:r w:rsidRPr="000941D5">
        <w:t>Version 2.2017.</w:t>
      </w:r>
      <w:proofErr w:type="gramEnd"/>
      <w:r w:rsidRPr="000941D5">
        <w:t xml:space="preserve"> 2016. Available from: </w:t>
      </w:r>
      <w:r w:rsidRPr="00317530">
        <w:t>https://www.nccn.org/professionals/physician_gls/f_guidelines.asp#site</w:t>
      </w:r>
      <w:r w:rsidRPr="00317530">
        <w:rPr>
          <w:rStyle w:val="Hyperlink"/>
          <w:color w:val="auto"/>
          <w:u w:val="none"/>
        </w:rPr>
        <w:t xml:space="preserve"> (accessed December 2016)</w:t>
      </w:r>
    </w:p>
  </w:footnote>
  <w:footnote w:id="13">
    <w:p w14:paraId="07F4CA35" w14:textId="77777777" w:rsidR="00BA16BD" w:rsidRPr="00642AF1" w:rsidRDefault="00BA16BD">
      <w:pPr>
        <w:pStyle w:val="FootnoteText"/>
        <w:rPr>
          <w:lang w:val="en-US"/>
        </w:rPr>
      </w:pPr>
      <w:r>
        <w:rPr>
          <w:rStyle w:val="FootnoteReference"/>
        </w:rPr>
        <w:footnoteRef/>
      </w:r>
      <w:r>
        <w:t xml:space="preserve"> </w:t>
      </w:r>
      <w:proofErr w:type="spellStart"/>
      <w:r w:rsidRPr="00642AF1">
        <w:rPr>
          <w:rStyle w:val="EndnoteReference"/>
          <w:vertAlign w:val="baseline"/>
        </w:rPr>
        <w:t>Novello</w:t>
      </w:r>
      <w:proofErr w:type="spellEnd"/>
      <w:r w:rsidRPr="00642AF1">
        <w:rPr>
          <w:rStyle w:val="EndnoteReference"/>
          <w:vertAlign w:val="baseline"/>
        </w:rPr>
        <w:t xml:space="preserve"> S, et al. Metastatic non-small-cell lung cancer: ESMO Clinical Practice Guidelines for diagnosis, treatment and follow-up. Annals of Oncology. 2016; 27 (Supplement 5): v1–v27</w:t>
      </w:r>
    </w:p>
  </w:footnote>
  <w:footnote w:id="14">
    <w:p w14:paraId="07F4CA36" w14:textId="77777777" w:rsidR="00BA16BD" w:rsidRPr="00642AF1" w:rsidRDefault="00BA16BD">
      <w:pPr>
        <w:pStyle w:val="FootnoteText"/>
        <w:rPr>
          <w:lang w:val="en-US"/>
        </w:rPr>
      </w:pPr>
      <w:r>
        <w:rPr>
          <w:rStyle w:val="FootnoteReference"/>
        </w:rPr>
        <w:footnoteRef/>
      </w:r>
      <w:r>
        <w:t xml:space="preserve"> </w:t>
      </w:r>
      <w:r>
        <w:rPr>
          <w:lang w:eastAsia="ja-JP"/>
        </w:rPr>
        <w:t xml:space="preserve">Cancer Institute NSW. </w:t>
      </w:r>
      <w:proofErr w:type="spellStart"/>
      <w:proofErr w:type="gramStart"/>
      <w:r>
        <w:rPr>
          <w:lang w:eastAsia="ja-JP"/>
        </w:rPr>
        <w:t>eviQ</w:t>
      </w:r>
      <w:proofErr w:type="spellEnd"/>
      <w:proofErr w:type="gramEnd"/>
      <w:r>
        <w:rPr>
          <w:lang w:eastAsia="ja-JP"/>
        </w:rPr>
        <w:t xml:space="preserve"> Cancer Treatments Online. </w:t>
      </w:r>
      <w:proofErr w:type="gramStart"/>
      <w:r>
        <w:rPr>
          <w:lang w:eastAsia="ja-JP"/>
        </w:rPr>
        <w:t>Respiratory (lung) homepage.</w:t>
      </w:r>
      <w:proofErr w:type="gramEnd"/>
      <w:r>
        <w:rPr>
          <w:lang w:eastAsia="ja-JP"/>
        </w:rPr>
        <w:t xml:space="preserve"> </w:t>
      </w:r>
      <w:proofErr w:type="gramStart"/>
      <w:r>
        <w:rPr>
          <w:lang w:eastAsia="ja-JP"/>
        </w:rPr>
        <w:t>Chemotherapy protocols.</w:t>
      </w:r>
      <w:proofErr w:type="gramEnd"/>
      <w:r>
        <w:rPr>
          <w:lang w:eastAsia="ja-JP"/>
        </w:rPr>
        <w:t xml:space="preserve"> 2016. Available from: </w:t>
      </w:r>
      <w:r w:rsidRPr="00317530">
        <w:rPr>
          <w:rStyle w:val="Hyperlink"/>
          <w:color w:val="auto"/>
          <w:u w:val="none"/>
        </w:rPr>
        <w:t>https://www.eviq.org.au/</w:t>
      </w:r>
      <w:r>
        <w:rPr>
          <w:rStyle w:val="Hyperlink"/>
          <w:color w:val="auto"/>
          <w:u w:val="none"/>
        </w:rPr>
        <w:t xml:space="preserve"> </w:t>
      </w:r>
      <w:r>
        <w:t>(Accessed December 2016)</w:t>
      </w:r>
    </w:p>
  </w:footnote>
  <w:footnote w:id="15">
    <w:p w14:paraId="07F4CA37" w14:textId="6B20B640" w:rsidR="00BA16BD" w:rsidRPr="00642AF1" w:rsidRDefault="00BA16BD">
      <w:pPr>
        <w:pStyle w:val="FootnoteText"/>
        <w:rPr>
          <w:lang w:val="en-US"/>
        </w:rPr>
      </w:pPr>
      <w:r>
        <w:rPr>
          <w:rStyle w:val="FootnoteReference"/>
        </w:rPr>
        <w:footnoteRef/>
      </w:r>
      <w:r>
        <w:t xml:space="preserve"> </w:t>
      </w:r>
      <w:r>
        <w:rPr>
          <w:lang w:eastAsia="ja-JP"/>
        </w:rPr>
        <w:t xml:space="preserve">Johnson B. Divide and Conquer to Treat Lung Cancer. </w:t>
      </w:r>
      <w:r w:rsidRPr="003F23D1">
        <w:rPr>
          <w:i/>
          <w:lang w:eastAsia="ja-JP"/>
        </w:rPr>
        <w:t>N Engl J Med</w:t>
      </w:r>
      <w:r w:rsidRPr="005C66A1">
        <w:rPr>
          <w:lang w:eastAsia="ja-JP"/>
        </w:rPr>
        <w:t xml:space="preserve"> 2016; 375:1892-1893</w:t>
      </w:r>
    </w:p>
  </w:footnote>
  <w:footnote w:id="16">
    <w:p w14:paraId="07F4CA38" w14:textId="60FCAE55" w:rsidR="00BA16BD" w:rsidRPr="00642AF1" w:rsidRDefault="00BA16BD">
      <w:pPr>
        <w:pStyle w:val="FootnoteText"/>
        <w:rPr>
          <w:lang w:val="en-US"/>
        </w:rPr>
      </w:pPr>
      <w:r>
        <w:rPr>
          <w:rStyle w:val="FootnoteReference"/>
        </w:rPr>
        <w:footnoteRef/>
      </w:r>
      <w:r>
        <w:t xml:space="preserve"> </w:t>
      </w:r>
      <w:r>
        <w:rPr>
          <w:lang w:eastAsia="ja-JP"/>
        </w:rPr>
        <w:t xml:space="preserve">Hirsch F et al. </w:t>
      </w:r>
      <w:proofErr w:type="gramStart"/>
      <w:r>
        <w:rPr>
          <w:lang w:eastAsia="ja-JP"/>
        </w:rPr>
        <w:t>New and emerging targeted treatments in advanced non-small-cell lung cancer.</w:t>
      </w:r>
      <w:proofErr w:type="gramEnd"/>
      <w:r>
        <w:rPr>
          <w:lang w:eastAsia="ja-JP"/>
        </w:rPr>
        <w:t xml:space="preserve"> </w:t>
      </w:r>
      <w:r w:rsidRPr="000D7219">
        <w:rPr>
          <w:i/>
          <w:lang w:eastAsia="ja-JP"/>
        </w:rPr>
        <w:t>Lancet</w:t>
      </w:r>
      <w:r w:rsidRPr="000D7219">
        <w:rPr>
          <w:lang w:eastAsia="ja-JP"/>
        </w:rPr>
        <w:t xml:space="preserve"> 2016; 388: 1012–24</w:t>
      </w:r>
      <w:r>
        <w:rPr>
          <w:lang w:eastAsia="ja-JP"/>
        </w:rPr>
        <w:t>.</w:t>
      </w:r>
    </w:p>
  </w:footnote>
  <w:footnote w:id="17">
    <w:p w14:paraId="07F4CA39" w14:textId="58B8E119" w:rsidR="00BA16BD" w:rsidRPr="002B3D27" w:rsidRDefault="00BA16BD">
      <w:pPr>
        <w:pStyle w:val="FootnoteText"/>
        <w:rPr>
          <w:lang w:val="en-US"/>
        </w:rPr>
      </w:pPr>
      <w:r>
        <w:rPr>
          <w:rStyle w:val="FootnoteReference"/>
        </w:rPr>
        <w:footnoteRef/>
      </w:r>
      <w:r>
        <w:t xml:space="preserve"> </w:t>
      </w:r>
      <w:proofErr w:type="spellStart"/>
      <w:proofErr w:type="gramStart"/>
      <w:r w:rsidRPr="002A2B37">
        <w:rPr>
          <w:lang w:eastAsia="ja-JP"/>
        </w:rPr>
        <w:t>Boussiotis</w:t>
      </w:r>
      <w:proofErr w:type="spellEnd"/>
      <w:r w:rsidRPr="002A2B37">
        <w:rPr>
          <w:lang w:eastAsia="ja-JP"/>
        </w:rPr>
        <w:t xml:space="preserve"> V. Molecular and Biochemical Aspects of the PD-1 Checkpoint Pathway.</w:t>
      </w:r>
      <w:proofErr w:type="gramEnd"/>
      <w:r w:rsidRPr="002A2B37">
        <w:rPr>
          <w:lang w:eastAsia="ja-JP"/>
        </w:rPr>
        <w:t xml:space="preserve"> </w:t>
      </w:r>
      <w:r w:rsidRPr="003F23D1">
        <w:rPr>
          <w:i/>
          <w:lang w:eastAsia="ja-JP"/>
        </w:rPr>
        <w:t>N Engl J Med</w:t>
      </w:r>
      <w:r w:rsidRPr="002A2B37">
        <w:rPr>
          <w:lang w:eastAsia="ja-JP"/>
        </w:rPr>
        <w:t xml:space="preserve"> 2016; 375:1767-78</w:t>
      </w:r>
    </w:p>
  </w:footnote>
  <w:footnote w:id="18">
    <w:p w14:paraId="07F4CA3A" w14:textId="77777777" w:rsidR="00BA16BD" w:rsidRPr="002B3D27" w:rsidRDefault="00BA16BD">
      <w:pPr>
        <w:pStyle w:val="FootnoteText"/>
        <w:rPr>
          <w:lang w:val="en-US"/>
        </w:rPr>
      </w:pPr>
      <w:r>
        <w:rPr>
          <w:rStyle w:val="FootnoteReference"/>
        </w:rPr>
        <w:footnoteRef/>
      </w:r>
      <w:r>
        <w:t xml:space="preserve"> </w:t>
      </w:r>
      <w:r w:rsidRPr="00E92D8F">
        <w:rPr>
          <w:lang w:eastAsia="ja-JP"/>
        </w:rPr>
        <w:t xml:space="preserve">Chen DS, </w:t>
      </w:r>
      <w:r>
        <w:rPr>
          <w:lang w:eastAsia="ja-JP"/>
        </w:rPr>
        <w:t>et al.</w:t>
      </w:r>
      <w:r w:rsidRPr="00E92D8F">
        <w:rPr>
          <w:lang w:eastAsia="ja-JP"/>
        </w:rPr>
        <w:t xml:space="preserve"> Molecular Pathways</w:t>
      </w:r>
      <w:r>
        <w:rPr>
          <w:lang w:eastAsia="ja-JP"/>
        </w:rPr>
        <w:t>: Next-Generation Immunotherapy -</w:t>
      </w:r>
      <w:r w:rsidRPr="00E92D8F">
        <w:rPr>
          <w:lang w:eastAsia="ja-JP"/>
        </w:rPr>
        <w:t xml:space="preserve"> Inhibiting Programmed Death-Ligand 1 and Programmed Death-1. </w:t>
      </w:r>
      <w:r w:rsidRPr="003F23D1">
        <w:rPr>
          <w:i/>
          <w:lang w:eastAsia="ja-JP"/>
        </w:rPr>
        <w:t>Clin Cancer Res.</w:t>
      </w:r>
      <w:r>
        <w:rPr>
          <w:lang w:eastAsia="ja-JP"/>
        </w:rPr>
        <w:t xml:space="preserve"> 2012; 18</w:t>
      </w:r>
      <w:r w:rsidRPr="00E92D8F">
        <w:rPr>
          <w:lang w:eastAsia="ja-JP"/>
        </w:rPr>
        <w:t>: 6580-6587</w:t>
      </w:r>
    </w:p>
  </w:footnote>
  <w:footnote w:id="19">
    <w:p w14:paraId="07F4CA3B" w14:textId="77777777" w:rsidR="00BA16BD" w:rsidRPr="002B3D27" w:rsidRDefault="00BA16BD">
      <w:pPr>
        <w:pStyle w:val="FootnoteText"/>
        <w:rPr>
          <w:lang w:val="en-US"/>
        </w:rPr>
      </w:pPr>
      <w:r>
        <w:rPr>
          <w:rStyle w:val="FootnoteReference"/>
        </w:rPr>
        <w:footnoteRef/>
      </w:r>
      <w:r>
        <w:t xml:space="preserve"> </w:t>
      </w:r>
      <w:proofErr w:type="gramStart"/>
      <w:r w:rsidRPr="008F020D">
        <w:t>Therapeutic Goods Administration.</w:t>
      </w:r>
      <w:proofErr w:type="gramEnd"/>
      <w:r w:rsidRPr="008F020D">
        <w:t xml:space="preserve"> Australian Public Assessment Report for nivolumab. August 2016. Available from: </w:t>
      </w:r>
      <w:r w:rsidRPr="00317530">
        <w:t>https://www.tga.gov.au/auspar/auspar-nivolumab</w:t>
      </w:r>
      <w:r>
        <w:t>. (Accessed December 2016)</w:t>
      </w:r>
    </w:p>
  </w:footnote>
  <w:footnote w:id="20">
    <w:p w14:paraId="07F4CA3C" w14:textId="3FA40500" w:rsidR="00BA16BD" w:rsidRPr="00126748" w:rsidRDefault="00BA16BD" w:rsidP="002B3D27">
      <w:pPr>
        <w:pStyle w:val="FootnoteText"/>
        <w:rPr>
          <w:lang w:val="en-US"/>
        </w:rPr>
      </w:pPr>
      <w:r>
        <w:rPr>
          <w:rStyle w:val="FootnoteReference"/>
        </w:rPr>
        <w:footnoteRef/>
      </w:r>
      <w:r>
        <w:t xml:space="preserve"> </w:t>
      </w:r>
      <w:r>
        <w:rPr>
          <w:lang w:val="en-US"/>
        </w:rPr>
        <w:t>PM-2016-01163-1-4 was approved on 20 March 2017.</w:t>
      </w:r>
    </w:p>
  </w:footnote>
  <w:footnote w:id="21">
    <w:p w14:paraId="3F4F959B" w14:textId="77777777" w:rsidR="00BA16BD" w:rsidRPr="002D1E8D" w:rsidRDefault="00BA16BD" w:rsidP="00F842DE">
      <w:pPr>
        <w:pStyle w:val="FootnoteText"/>
        <w:rPr>
          <w:lang w:val="en-US"/>
        </w:rPr>
      </w:pPr>
      <w:r>
        <w:rPr>
          <w:rStyle w:val="FootnoteReference"/>
        </w:rPr>
        <w:footnoteRef/>
      </w:r>
      <w:r>
        <w:t xml:space="preserve"> ECOG PS = Eastern Cooperative Oncology Group Performance Score</w:t>
      </w:r>
    </w:p>
  </w:footnote>
  <w:footnote w:id="22">
    <w:p w14:paraId="07F4CA3E" w14:textId="77777777" w:rsidR="00BA16BD" w:rsidRDefault="00BA16BD" w:rsidP="00C87CF9">
      <w:pPr>
        <w:pStyle w:val="FootnoteText"/>
      </w:pPr>
      <w:r>
        <w:rPr>
          <w:rStyle w:val="FootnoteReference"/>
        </w:rPr>
        <w:footnoteRef/>
      </w:r>
      <w:r>
        <w:t xml:space="preserve"> </w:t>
      </w:r>
      <w:r>
        <w:rPr>
          <w:lang w:val="en-US"/>
        </w:rPr>
        <w:t>Routine pharmacovigilance practices involve the following activities:</w:t>
      </w:r>
    </w:p>
    <w:p w14:paraId="07F4CA3F" w14:textId="77777777" w:rsidR="00BA16BD" w:rsidRDefault="00BA16BD" w:rsidP="00C87CF9">
      <w:pPr>
        <w:pStyle w:val="FootnoteText"/>
        <w:numPr>
          <w:ilvl w:val="0"/>
          <w:numId w:val="23"/>
        </w:numPr>
        <w:rPr>
          <w:rFonts w:eastAsia="Times New Roman"/>
        </w:rPr>
      </w:pPr>
      <w:r>
        <w:rPr>
          <w:rFonts w:eastAsia="Times New Roman"/>
          <w:lang w:val="en-US"/>
        </w:rPr>
        <w:t>All suspected adverse reactions that are reported to the personnel of the company are collected and collated in an accessible manner;</w:t>
      </w:r>
    </w:p>
    <w:p w14:paraId="07F4CA40" w14:textId="77777777" w:rsidR="00BA16BD" w:rsidRDefault="00BA16BD" w:rsidP="00C87CF9">
      <w:pPr>
        <w:pStyle w:val="FootnoteText"/>
        <w:numPr>
          <w:ilvl w:val="0"/>
          <w:numId w:val="23"/>
        </w:numPr>
        <w:rPr>
          <w:rFonts w:eastAsia="Times New Roman"/>
        </w:rPr>
      </w:pPr>
      <w:r>
        <w:rPr>
          <w:rFonts w:eastAsia="Times New Roman"/>
          <w:lang w:val="en-US"/>
        </w:rPr>
        <w:t>Reporting to regulatory authorities;</w:t>
      </w:r>
    </w:p>
    <w:p w14:paraId="07F4CA41" w14:textId="77777777" w:rsidR="00BA16BD" w:rsidRDefault="00BA16BD" w:rsidP="00C87CF9">
      <w:pPr>
        <w:pStyle w:val="FootnoteText"/>
        <w:numPr>
          <w:ilvl w:val="0"/>
          <w:numId w:val="23"/>
        </w:numPr>
        <w:rPr>
          <w:rFonts w:eastAsia="Times New Roman"/>
        </w:rPr>
      </w:pPr>
      <w:r>
        <w:rPr>
          <w:rFonts w:eastAsia="Times New Roman"/>
          <w:lang w:val="en-US"/>
        </w:rPr>
        <w:t>Continuous monitoring of the safety profiles of approved products including signal detection and updating of labeling;</w:t>
      </w:r>
    </w:p>
    <w:p w14:paraId="07F4CA42" w14:textId="77777777" w:rsidR="00BA16BD" w:rsidRDefault="00BA16BD" w:rsidP="00C87CF9">
      <w:pPr>
        <w:pStyle w:val="FootnoteText"/>
        <w:numPr>
          <w:ilvl w:val="0"/>
          <w:numId w:val="23"/>
        </w:numPr>
        <w:rPr>
          <w:rFonts w:eastAsia="Times New Roman"/>
        </w:rPr>
      </w:pPr>
      <w:r>
        <w:rPr>
          <w:rFonts w:eastAsia="Times New Roman"/>
          <w:lang w:val="en-US"/>
        </w:rPr>
        <w:t>Submission of PSURs;</w:t>
      </w:r>
    </w:p>
    <w:p w14:paraId="07F4CA44" w14:textId="00DD3E9D" w:rsidR="00BA16BD" w:rsidRPr="004B35E3" w:rsidRDefault="00BA16BD" w:rsidP="00E0770A">
      <w:pPr>
        <w:pStyle w:val="FootnoteText"/>
        <w:numPr>
          <w:ilvl w:val="0"/>
          <w:numId w:val="23"/>
        </w:numPr>
        <w:rPr>
          <w:lang w:val="en-US"/>
        </w:rPr>
      </w:pPr>
      <w:r>
        <w:rPr>
          <w:rFonts w:eastAsia="Times New Roman"/>
          <w:lang w:val="en-US"/>
        </w:rPr>
        <w:t>Meeting other local regulatory agency requirements.</w:t>
      </w:r>
    </w:p>
  </w:footnote>
  <w:footnote w:id="23">
    <w:p w14:paraId="07F4CA45" w14:textId="77777777" w:rsidR="00BA16BD" w:rsidRPr="00C87CF9" w:rsidRDefault="00BA16BD">
      <w:pPr>
        <w:pStyle w:val="FootnoteText"/>
      </w:pPr>
      <w:r>
        <w:rPr>
          <w:rStyle w:val="FootnoteReference"/>
        </w:rPr>
        <w:footnoteRef/>
      </w:r>
      <w:r>
        <w:t xml:space="preserve"> Routine risk minimisation activities may be limited to ensuring that suitable warnings are included in the product information or by careful use of labelling and packaging.</w:t>
      </w:r>
    </w:p>
  </w:footnote>
  <w:footnote w:id="24">
    <w:p w14:paraId="07F4CA46" w14:textId="77777777" w:rsidR="00BA16BD" w:rsidRPr="00691589" w:rsidRDefault="00BA16BD">
      <w:pPr>
        <w:pStyle w:val="FootnoteText"/>
        <w:rPr>
          <w:lang w:val="en-US"/>
        </w:rPr>
      </w:pPr>
      <w:r>
        <w:rPr>
          <w:rStyle w:val="FootnoteReference"/>
        </w:rPr>
        <w:footnoteRef/>
      </w:r>
      <w:r>
        <w:t xml:space="preserve"> </w:t>
      </w:r>
      <w:r>
        <w:rPr>
          <w:lang w:val="en-US"/>
        </w:rPr>
        <w:t>WHO = World Health Organization; IASLC = International Association for the Study of Lung Cancer</w:t>
      </w:r>
    </w:p>
  </w:footnote>
  <w:footnote w:id="25">
    <w:p w14:paraId="07F4CA47" w14:textId="77777777" w:rsidR="00BA16BD" w:rsidRPr="00702439" w:rsidRDefault="00BA16BD" w:rsidP="008361C7">
      <w:pPr>
        <w:pStyle w:val="FootnoteText"/>
        <w:rPr>
          <w:lang w:val="en-US"/>
        </w:rPr>
      </w:pPr>
      <w:r>
        <w:rPr>
          <w:rStyle w:val="FootnoteReference"/>
        </w:rPr>
        <w:footnoteRef/>
      </w:r>
      <w:r>
        <w:t xml:space="preserve"> </w:t>
      </w:r>
      <w:r w:rsidRPr="00F54C2D">
        <w:t>http://www.esmo.org/Conferences/ESMO-2016-Congress/Press-Media/Greater-Patient-Selection-May-be-Needed-for-First-Line-Nivolumab-to-Improve-Progression-free-Survival-in-Advanced-Lung-Cancer</w:t>
      </w:r>
    </w:p>
  </w:footnote>
  <w:footnote w:id="26">
    <w:p w14:paraId="07F4CA48" w14:textId="77777777" w:rsidR="00BA16BD" w:rsidRPr="004971B4" w:rsidRDefault="00BA16BD">
      <w:pPr>
        <w:pStyle w:val="FootnoteText"/>
      </w:pPr>
      <w:r>
        <w:rPr>
          <w:rStyle w:val="FootnoteReference"/>
        </w:rPr>
        <w:footnoteRef/>
      </w:r>
      <w:r>
        <w:t xml:space="preserve"> </w:t>
      </w:r>
      <w:r>
        <w:rPr>
          <w:lang w:val="en-US"/>
        </w:rPr>
        <w:t xml:space="preserve">Hellmann M D et </w:t>
      </w:r>
      <w:r w:rsidRPr="004971B4">
        <w:t xml:space="preserve">al CheckMate 012: Safety and efficacy of first-line (1L) </w:t>
      </w:r>
      <w:proofErr w:type="spellStart"/>
      <w:r w:rsidRPr="004971B4">
        <w:t>nivolumab</w:t>
      </w:r>
      <w:proofErr w:type="spellEnd"/>
      <w:r w:rsidRPr="004971B4">
        <w:t xml:space="preserve"> (</w:t>
      </w:r>
      <w:proofErr w:type="spellStart"/>
      <w:r w:rsidRPr="004971B4">
        <w:t>nivo</w:t>
      </w:r>
      <w:proofErr w:type="spellEnd"/>
      <w:r w:rsidRPr="004971B4">
        <w:t xml:space="preserve">; N) and </w:t>
      </w:r>
      <w:proofErr w:type="spellStart"/>
      <w:r w:rsidRPr="004971B4">
        <w:t>ipilimumab</w:t>
      </w:r>
      <w:proofErr w:type="spellEnd"/>
      <w:r w:rsidRPr="004971B4">
        <w:t xml:space="preserve"> (</w:t>
      </w:r>
      <w:proofErr w:type="spellStart"/>
      <w:r w:rsidRPr="004971B4">
        <w:t>ipi</w:t>
      </w:r>
      <w:proofErr w:type="spellEnd"/>
      <w:r w:rsidRPr="004971B4">
        <w:t>; I) in advanced (</w:t>
      </w:r>
      <w:proofErr w:type="spellStart"/>
      <w:r w:rsidRPr="004971B4">
        <w:t>adv</w:t>
      </w:r>
      <w:proofErr w:type="spellEnd"/>
      <w:r w:rsidRPr="004971B4">
        <w:t>) NSCLC</w:t>
      </w:r>
      <w:r w:rsidRPr="004971B4">
        <w:rPr>
          <w:i/>
        </w:rPr>
        <w:t xml:space="preserve">. </w:t>
      </w:r>
      <w:proofErr w:type="gramStart"/>
      <w:r w:rsidRPr="004971B4">
        <w:rPr>
          <w:i/>
        </w:rPr>
        <w:t>J of Clinical Oncology</w:t>
      </w:r>
      <w:r>
        <w:rPr>
          <w:i/>
        </w:rPr>
        <w:t xml:space="preserve"> </w:t>
      </w:r>
      <w:r>
        <w:t>2016; 34; 3001-3001.</w:t>
      </w:r>
      <w:proofErr w:type="gramEnd"/>
    </w:p>
  </w:footnote>
  <w:footnote w:id="27">
    <w:p w14:paraId="1A1BC4F3" w14:textId="696612DC" w:rsidR="00BA16BD" w:rsidRPr="002777F2" w:rsidRDefault="00BA16BD">
      <w:pPr>
        <w:pStyle w:val="FootnoteText"/>
        <w:rPr>
          <w:lang w:val="en-GB"/>
        </w:rPr>
      </w:pPr>
      <w:r>
        <w:rPr>
          <w:rStyle w:val="FootnoteReference"/>
        </w:rPr>
        <w:footnoteRef/>
      </w:r>
      <w:r>
        <w:t xml:space="preserve"> </w:t>
      </w:r>
      <w:proofErr w:type="gramStart"/>
      <w:r w:rsidRPr="003A1169">
        <w:t>FDA post-marketing commitment 3127-1</w:t>
      </w:r>
      <w:r>
        <w:t>.</w:t>
      </w:r>
      <w:proofErr w:type="gramEnd"/>
    </w:p>
  </w:footnote>
  <w:footnote w:id="28">
    <w:p w14:paraId="7E791B14" w14:textId="406E3D88" w:rsidR="00BA16BD" w:rsidRPr="002777F2" w:rsidRDefault="00BA16BD">
      <w:pPr>
        <w:pStyle w:val="FootnoteText"/>
        <w:rPr>
          <w:lang w:val="en-GB"/>
        </w:rPr>
      </w:pPr>
      <w:r>
        <w:rPr>
          <w:rStyle w:val="FootnoteReference"/>
        </w:rPr>
        <w:footnoteRef/>
      </w:r>
      <w:r>
        <w:t xml:space="preserve"> </w:t>
      </w:r>
      <w:proofErr w:type="gramStart"/>
      <w:r w:rsidRPr="003A1169">
        <w:t>FDA post-marketing commitment 3127-2</w:t>
      </w:r>
      <w:r>
        <w:t>.</w:t>
      </w:r>
      <w:proofErr w:type="gramEnd"/>
    </w:p>
  </w:footnote>
  <w:footnote w:id="29">
    <w:p w14:paraId="07F4CA49" w14:textId="77777777" w:rsidR="00BA16BD" w:rsidRPr="00191F92" w:rsidRDefault="00BA16BD">
      <w:pPr>
        <w:pStyle w:val="FootnoteText"/>
        <w:rPr>
          <w:lang w:val="en-US"/>
        </w:rPr>
      </w:pPr>
      <w:r>
        <w:rPr>
          <w:rStyle w:val="FootnoteReference"/>
        </w:rPr>
        <w:footnoteRef/>
      </w:r>
      <w:r>
        <w:t xml:space="preserve"> RECIST: Response evaluation criteria in solid tumours</w:t>
      </w:r>
    </w:p>
  </w:footnote>
  <w:footnote w:id="30">
    <w:p w14:paraId="07F4CA4A" w14:textId="77777777" w:rsidR="00BA16BD" w:rsidRPr="00191F92" w:rsidRDefault="00BA16BD">
      <w:pPr>
        <w:pStyle w:val="FootnoteText"/>
        <w:rPr>
          <w:lang w:val="en-US"/>
        </w:rPr>
      </w:pPr>
      <w:r>
        <w:rPr>
          <w:rStyle w:val="FootnoteReference"/>
        </w:rPr>
        <w:footnoteRef/>
      </w:r>
      <w:r>
        <w:t xml:space="preserve"> Q2W: every 2 weeks; Q3W: every 3 weeks</w:t>
      </w:r>
    </w:p>
  </w:footnote>
  <w:footnote w:id="31">
    <w:p w14:paraId="4B40F82A" w14:textId="77777777" w:rsidR="00BA16BD" w:rsidRPr="00CE318D" w:rsidRDefault="00BA16BD" w:rsidP="00BF10BB">
      <w:pPr>
        <w:autoSpaceDE w:val="0"/>
        <w:autoSpaceDN w:val="0"/>
        <w:adjustRightInd w:val="0"/>
        <w:spacing w:before="0" w:after="0" w:line="240" w:lineRule="auto"/>
        <w:rPr>
          <w:rStyle w:val="FootnoteTextChar"/>
        </w:rPr>
      </w:pPr>
      <w:r>
        <w:rPr>
          <w:rStyle w:val="FootnoteReference"/>
        </w:rPr>
        <w:footnoteRef/>
      </w:r>
      <w:r>
        <w:t xml:space="preserve"> </w:t>
      </w:r>
      <w:r w:rsidRPr="00CE318D">
        <w:rPr>
          <w:rStyle w:val="FootnoteTextChar"/>
        </w:rPr>
        <w:t>EORTC QLQ-C30: European Organization for Research and Treatment of Cancer Quality of Life Questionnaire Core 30 items</w:t>
      </w:r>
    </w:p>
  </w:footnote>
  <w:footnote w:id="32">
    <w:p w14:paraId="1EC614A2" w14:textId="77777777" w:rsidR="00BA16BD" w:rsidRPr="00E52E07" w:rsidRDefault="00BA16BD" w:rsidP="00457C5D">
      <w:pPr>
        <w:pStyle w:val="FootnoteText"/>
        <w:rPr>
          <w:lang w:val="en-US"/>
        </w:rPr>
      </w:pPr>
      <w:r>
        <w:rPr>
          <w:rStyle w:val="FootnoteReference"/>
        </w:rPr>
        <w:footnoteRef/>
      </w:r>
      <w:r>
        <w:t xml:space="preserve"> </w:t>
      </w:r>
      <w:proofErr w:type="spellStart"/>
      <w:r>
        <w:rPr>
          <w:lang w:val="en-US"/>
        </w:rPr>
        <w:t>EviQ</w:t>
      </w:r>
      <w:proofErr w:type="spellEnd"/>
      <w:r>
        <w:rPr>
          <w:lang w:val="en-US"/>
        </w:rPr>
        <w:t>; cancer treatment protocols online</w:t>
      </w:r>
    </w:p>
  </w:footnote>
  <w:footnote w:id="33">
    <w:p w14:paraId="290F0162" w14:textId="42F1AD94" w:rsidR="00BA16BD" w:rsidRPr="00224FD7" w:rsidRDefault="00BA16BD">
      <w:pPr>
        <w:pStyle w:val="FootnoteText"/>
        <w:rPr>
          <w:lang w:val="en-US"/>
        </w:rPr>
      </w:pPr>
      <w:r>
        <w:rPr>
          <w:rStyle w:val="FootnoteReference"/>
        </w:rPr>
        <w:footnoteRef/>
      </w:r>
      <w:r>
        <w:t xml:space="preserve"> </w:t>
      </w:r>
      <w:proofErr w:type="spellStart"/>
      <w:r>
        <w:t>Seemungal</w:t>
      </w:r>
      <w:proofErr w:type="spellEnd"/>
      <w:r>
        <w:t xml:space="preserve">, T et al </w:t>
      </w:r>
      <w:r w:rsidRPr="00216AC3">
        <w:t xml:space="preserve">(2009). </w:t>
      </w:r>
      <w:proofErr w:type="gramStart"/>
      <w:r w:rsidRPr="00216AC3">
        <w:t>Exacerbation rate, health status and mortality in COPD – a review of potential interventions.</w:t>
      </w:r>
      <w:proofErr w:type="gramEnd"/>
      <w:r w:rsidRPr="00216AC3">
        <w:t xml:space="preserve"> </w:t>
      </w:r>
      <w:r w:rsidRPr="00224FD7">
        <w:rPr>
          <w:i/>
        </w:rPr>
        <w:t>International journal of chronic obstructive pulmonary disease</w:t>
      </w:r>
      <w:r w:rsidRPr="00216AC3">
        <w:t>.</w:t>
      </w:r>
      <w:r>
        <w:t>2009; 4:</w:t>
      </w:r>
      <w:r w:rsidRPr="00216AC3">
        <w:t>203-</w:t>
      </w:r>
      <w:r>
        <w:t>2</w:t>
      </w:r>
      <w:r w:rsidRPr="00216AC3">
        <w:t>23.</w:t>
      </w:r>
    </w:p>
  </w:footnote>
  <w:footnote w:id="34">
    <w:p w14:paraId="0E53FF34" w14:textId="77777777" w:rsidR="00BA16BD" w:rsidRPr="000F74B7" w:rsidRDefault="00BA16BD" w:rsidP="00733A13">
      <w:pPr>
        <w:pStyle w:val="FootnoteText"/>
        <w:rPr>
          <w:lang w:val="en-US"/>
        </w:rPr>
      </w:pPr>
      <w:r>
        <w:rPr>
          <w:rStyle w:val="FootnoteReference"/>
        </w:rPr>
        <w:footnoteRef/>
      </w:r>
      <w:r>
        <w:t xml:space="preserve"> </w:t>
      </w:r>
      <w:r w:rsidRPr="00E910C4">
        <w:t xml:space="preserve">Note: the CTA is also a </w:t>
      </w:r>
      <w:proofErr w:type="spellStart"/>
      <w:r w:rsidRPr="00E910C4">
        <w:t>Dako</w:t>
      </w:r>
      <w:proofErr w:type="spellEnd"/>
      <w:r w:rsidRPr="00E910C4">
        <w:t xml:space="preserve"> assay and is an earlier versi</w:t>
      </w:r>
      <w:r>
        <w:t>on of the commercial ready PDL1 IHC 22C3</w:t>
      </w:r>
      <w:r w:rsidRPr="00E910C4">
        <w:t>pharmDx. Both versions use the 22C3 primary an</w:t>
      </w:r>
      <w:r>
        <w:t>tibody. The differences between the CTA and PDL1 IHC 22C3</w:t>
      </w:r>
      <w:r w:rsidRPr="00E910C4">
        <w:t>pharmDx are minor, with the</w:t>
      </w:r>
      <w:r>
        <w:t xml:space="preserve"> only changes being the site of </w:t>
      </w:r>
      <w:r w:rsidRPr="00E910C4">
        <w:t>primary antibody and mouse linker production.</w:t>
      </w:r>
    </w:p>
  </w:footnote>
  <w:footnote w:id="35">
    <w:p w14:paraId="06A7A7E3" w14:textId="77777777" w:rsidR="00BA16BD" w:rsidRPr="00E2009C" w:rsidRDefault="00BA16BD">
      <w:pPr>
        <w:pStyle w:val="FootnoteText"/>
        <w:rPr>
          <w:lang w:val="en-US"/>
        </w:rPr>
      </w:pPr>
      <w:r>
        <w:rPr>
          <w:rStyle w:val="FootnoteReference"/>
        </w:rPr>
        <w:footnoteRef/>
      </w:r>
      <w:r>
        <w:t xml:space="preserve"> </w:t>
      </w:r>
      <w:proofErr w:type="spellStart"/>
      <w:r>
        <w:t>Garon</w:t>
      </w:r>
      <w:proofErr w:type="spellEnd"/>
      <w:r>
        <w:t xml:space="preserve"> EB, et al 2016. Pembrolizumab vs docetaxel for previously treated advanced NSCLC with a PD-L1 tumor proportion score (TPS) 1%-49%: Results from KEYNOTE-010. </w:t>
      </w:r>
      <w:proofErr w:type="gramStart"/>
      <w:r w:rsidRPr="00E2009C">
        <w:rPr>
          <w:i/>
        </w:rPr>
        <w:t>J Clin Oncol</w:t>
      </w:r>
      <w:r>
        <w:t>.</w:t>
      </w:r>
      <w:proofErr w:type="gramEnd"/>
      <w:r>
        <w:t xml:space="preserve"> 2016;34(15 (</w:t>
      </w:r>
      <w:proofErr w:type="spellStart"/>
      <w:r>
        <w:t>Suppl</w:t>
      </w:r>
      <w:proofErr w:type="spellEnd"/>
      <w:r>
        <w:t>)):9024</w:t>
      </w:r>
    </w:p>
  </w:footnote>
  <w:footnote w:id="36">
    <w:p w14:paraId="026F96F0" w14:textId="35DD3EF4" w:rsidR="00BA16BD" w:rsidRPr="00E2009C" w:rsidRDefault="00BA16BD">
      <w:pPr>
        <w:pStyle w:val="FootnoteText"/>
        <w:rPr>
          <w:lang w:val="en-US"/>
        </w:rPr>
      </w:pPr>
      <w:r>
        <w:rPr>
          <w:rStyle w:val="FootnoteReference"/>
        </w:rPr>
        <w:footnoteRef/>
      </w:r>
      <w:r>
        <w:t xml:space="preserve"> </w:t>
      </w:r>
      <w:proofErr w:type="spellStart"/>
      <w:r>
        <w:t>Herbst</w:t>
      </w:r>
      <w:proofErr w:type="spellEnd"/>
      <w:r>
        <w:t xml:space="preserve"> R, et al. Pembrolizumab versus docetaxel for previously treated, PD-L1-positive, advanced non-small cell lung cancer (KEYNOTE-010): a randomised controlled trial. </w:t>
      </w:r>
      <w:proofErr w:type="gramStart"/>
      <w:r w:rsidRPr="00E2009C">
        <w:rPr>
          <w:i/>
        </w:rPr>
        <w:t>Lancet</w:t>
      </w:r>
      <w:r>
        <w:t>.</w:t>
      </w:r>
      <w:proofErr w:type="gramEnd"/>
      <w:r>
        <w:t xml:space="preserve"> 2016; 387:1540-1550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00" w14:textId="77777777" w:rsidR="00BA16BD" w:rsidRDefault="00BA16B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05" w14:textId="77777777" w:rsidR="00BA16BD" w:rsidRDefault="00BA16BD">
    <w:pPr>
      <w:rPr>
        <w:noProof/>
        <w:lang w:eastAsia="en-AU"/>
      </w:rPr>
    </w:pPr>
    <w:r w:rsidRPr="00347824">
      <w:rPr>
        <w:noProof/>
        <w:lang w:eastAsia="en-AU"/>
      </w:rPr>
      <w:drawing>
        <wp:anchor distT="0" distB="0" distL="114300" distR="114300" simplePos="0" relativeHeight="251659264" behindDoc="1" locked="0" layoutInCell="1" allowOverlap="1" wp14:anchorId="07F4CA25" wp14:editId="07F4CA26">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7F4CA06" w14:textId="77777777" w:rsidR="00BA16BD" w:rsidRDefault="00BA16BD" w:rsidP="00593AD1">
    <w:pPr>
      <w:pStyle w:val="HeaderNoLine"/>
    </w:pPr>
    <w:r>
      <w:rPr>
        <w:noProof/>
        <w:lang w:eastAsia="en-AU"/>
      </w:rPr>
      <w:drawing>
        <wp:inline distT="0" distB="0" distL="0" distR="0" wp14:anchorId="07F4CA27" wp14:editId="07F4CA2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07" w14:textId="77777777" w:rsidR="00BA16BD" w:rsidRDefault="00BA16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08" w14:textId="77777777" w:rsidR="00BA16BD" w:rsidRDefault="00BA16B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09" w14:textId="77777777" w:rsidR="00BA16BD" w:rsidRDefault="00BA16B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0F" w14:textId="77777777" w:rsidR="00BA16BD" w:rsidRDefault="00BA16B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10" w14:textId="77777777" w:rsidR="00BA16BD" w:rsidRDefault="00BA16BD"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CA12" w14:textId="77777777" w:rsidR="00BA16BD" w:rsidRDefault="00BA16BD" w:rsidP="006E08B3">
    <w:r>
      <w:t>Therapeutic Goods Administration</w:t>
    </w:r>
  </w:p>
  <w:p w14:paraId="07F4CA13" w14:textId="77777777" w:rsidR="00BA16BD" w:rsidRDefault="00BA16B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26073"/>
    <w:multiLevelType w:val="hybridMultilevel"/>
    <w:tmpl w:val="C57EE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567"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37C3E77"/>
    <w:multiLevelType w:val="hybridMultilevel"/>
    <w:tmpl w:val="391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CEF2C22"/>
    <w:multiLevelType w:val="hybridMultilevel"/>
    <w:tmpl w:val="8CB46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3734B2"/>
    <w:multiLevelType w:val="hybridMultilevel"/>
    <w:tmpl w:val="C62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0E56B1"/>
    <w:multiLevelType w:val="hybridMultilevel"/>
    <w:tmpl w:val="3E164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C23AD8"/>
    <w:multiLevelType w:val="hybridMultilevel"/>
    <w:tmpl w:val="3C981830"/>
    <w:lvl w:ilvl="0" w:tplc="43FC8DC4">
      <w:start w:val="1"/>
      <w:numFmt w:val="bullet"/>
      <w:lvlText w:val=""/>
      <w:lvlJc w:val="left"/>
      <w:pPr>
        <w:ind w:left="720" w:hanging="360"/>
      </w:pPr>
      <w:rPr>
        <w:rFonts w:ascii="Symbol" w:hAnsi="Symbol" w:hint="default"/>
      </w:rPr>
    </w:lvl>
    <w:lvl w:ilvl="1" w:tplc="37785F62">
      <w:numFmt w:val="bullet"/>
      <w:lvlText w:val="•"/>
      <w:lvlJc w:val="left"/>
      <w:pPr>
        <w:ind w:left="1440" w:hanging="360"/>
      </w:pPr>
      <w:rPr>
        <w:rFonts w:ascii="Cambria" w:eastAsia="Times New Roman" w:hAnsi="Cambria" w:cstheme="minorHAnsi" w:hint="default"/>
      </w:rPr>
    </w:lvl>
    <w:lvl w:ilvl="2" w:tplc="A9E0A0A0" w:tentative="1">
      <w:start w:val="1"/>
      <w:numFmt w:val="bullet"/>
      <w:lvlText w:val=""/>
      <w:lvlJc w:val="left"/>
      <w:pPr>
        <w:ind w:left="2160" w:hanging="360"/>
      </w:pPr>
      <w:rPr>
        <w:rFonts w:ascii="Wingdings" w:hAnsi="Wingdings" w:hint="default"/>
      </w:rPr>
    </w:lvl>
    <w:lvl w:ilvl="3" w:tplc="C3120ED0" w:tentative="1">
      <w:start w:val="1"/>
      <w:numFmt w:val="bullet"/>
      <w:lvlText w:val=""/>
      <w:lvlJc w:val="left"/>
      <w:pPr>
        <w:ind w:left="2880" w:hanging="360"/>
      </w:pPr>
      <w:rPr>
        <w:rFonts w:ascii="Symbol" w:hAnsi="Symbol" w:hint="default"/>
      </w:rPr>
    </w:lvl>
    <w:lvl w:ilvl="4" w:tplc="870EB2CA" w:tentative="1">
      <w:start w:val="1"/>
      <w:numFmt w:val="bullet"/>
      <w:lvlText w:val="o"/>
      <w:lvlJc w:val="left"/>
      <w:pPr>
        <w:ind w:left="3600" w:hanging="360"/>
      </w:pPr>
      <w:rPr>
        <w:rFonts w:ascii="Courier New" w:hAnsi="Courier New" w:cs="Courier New" w:hint="default"/>
      </w:rPr>
    </w:lvl>
    <w:lvl w:ilvl="5" w:tplc="A4BE9872" w:tentative="1">
      <w:start w:val="1"/>
      <w:numFmt w:val="bullet"/>
      <w:lvlText w:val=""/>
      <w:lvlJc w:val="left"/>
      <w:pPr>
        <w:ind w:left="4320" w:hanging="360"/>
      </w:pPr>
      <w:rPr>
        <w:rFonts w:ascii="Wingdings" w:hAnsi="Wingdings" w:hint="default"/>
      </w:rPr>
    </w:lvl>
    <w:lvl w:ilvl="6" w:tplc="CCD6B010" w:tentative="1">
      <w:start w:val="1"/>
      <w:numFmt w:val="bullet"/>
      <w:lvlText w:val=""/>
      <w:lvlJc w:val="left"/>
      <w:pPr>
        <w:ind w:left="5040" w:hanging="360"/>
      </w:pPr>
      <w:rPr>
        <w:rFonts w:ascii="Symbol" w:hAnsi="Symbol" w:hint="default"/>
      </w:rPr>
    </w:lvl>
    <w:lvl w:ilvl="7" w:tplc="E69A2F4E" w:tentative="1">
      <w:start w:val="1"/>
      <w:numFmt w:val="bullet"/>
      <w:lvlText w:val="o"/>
      <w:lvlJc w:val="left"/>
      <w:pPr>
        <w:ind w:left="5760" w:hanging="360"/>
      </w:pPr>
      <w:rPr>
        <w:rFonts w:ascii="Courier New" w:hAnsi="Courier New" w:cs="Courier New" w:hint="default"/>
      </w:rPr>
    </w:lvl>
    <w:lvl w:ilvl="8" w:tplc="3686202A" w:tentative="1">
      <w:start w:val="1"/>
      <w:numFmt w:val="bullet"/>
      <w:lvlText w:val=""/>
      <w:lvlJc w:val="left"/>
      <w:pPr>
        <w:ind w:left="6480" w:hanging="360"/>
      </w:pPr>
      <w:rPr>
        <w:rFonts w:ascii="Wingdings" w:hAnsi="Wingdings" w:hint="default"/>
      </w:rPr>
    </w:lvl>
  </w:abstractNum>
  <w:abstractNum w:abstractNumId="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783967F0"/>
    <w:multiLevelType w:val="hybridMultilevel"/>
    <w:tmpl w:val="4484DA50"/>
    <w:lvl w:ilvl="0" w:tplc="8E025536">
      <w:numFmt w:val="bullet"/>
      <w:lvlText w:val="-"/>
      <w:lvlJc w:val="left"/>
      <w:pPr>
        <w:ind w:left="360" w:hanging="360"/>
      </w:pPr>
      <w:rPr>
        <w:rFonts w:ascii="Cambria" w:eastAsiaTheme="minorHAnsi" w:hAnsi="Cambria"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6"/>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7"/>
  </w:num>
  <w:num w:numId="13">
    <w:abstractNumId w:val="5"/>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9"/>
  </w:num>
  <w:num w:numId="18">
    <w:abstractNumId w:val="4"/>
  </w:num>
  <w:num w:numId="19">
    <w:abstractNumId w:val="4"/>
  </w:num>
  <w:num w:numId="20">
    <w:abstractNumId w:val="2"/>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21">
    <w:abstractNumId w:val="11"/>
  </w:num>
  <w:num w:numId="22">
    <w:abstractNumId w:val="10"/>
  </w:num>
  <w:num w:numId="23">
    <w:abstractNumId w:val="0"/>
  </w:num>
  <w:num w:numId="24">
    <w:abstractNumId w:val="4"/>
  </w:num>
  <w:num w:numId="25">
    <w:abstractNumId w:val="4"/>
  </w:num>
  <w:numIdMacAtCleanup w:val="1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2E6"/>
    <w:rsid w:val="00000572"/>
    <w:rsid w:val="00002031"/>
    <w:rsid w:val="00004734"/>
    <w:rsid w:val="00005ACC"/>
    <w:rsid w:val="00006B22"/>
    <w:rsid w:val="0001276A"/>
    <w:rsid w:val="00013221"/>
    <w:rsid w:val="000246AE"/>
    <w:rsid w:val="0002571A"/>
    <w:rsid w:val="00025C67"/>
    <w:rsid w:val="0003440A"/>
    <w:rsid w:val="00044772"/>
    <w:rsid w:val="0004761F"/>
    <w:rsid w:val="0005391E"/>
    <w:rsid w:val="0005559E"/>
    <w:rsid w:val="000604D6"/>
    <w:rsid w:val="00066061"/>
    <w:rsid w:val="00066777"/>
    <w:rsid w:val="00071A1C"/>
    <w:rsid w:val="000734D8"/>
    <w:rsid w:val="00077775"/>
    <w:rsid w:val="00087A6A"/>
    <w:rsid w:val="00090471"/>
    <w:rsid w:val="00091105"/>
    <w:rsid w:val="00092E68"/>
    <w:rsid w:val="0009301B"/>
    <w:rsid w:val="00096AA7"/>
    <w:rsid w:val="000A3AED"/>
    <w:rsid w:val="000B18AA"/>
    <w:rsid w:val="000B3532"/>
    <w:rsid w:val="000B3A75"/>
    <w:rsid w:val="000C00C2"/>
    <w:rsid w:val="000C690F"/>
    <w:rsid w:val="000D1295"/>
    <w:rsid w:val="000D391B"/>
    <w:rsid w:val="000D3D6D"/>
    <w:rsid w:val="000D4FC7"/>
    <w:rsid w:val="000D5498"/>
    <w:rsid w:val="000E6196"/>
    <w:rsid w:val="000F0FD9"/>
    <w:rsid w:val="000F2159"/>
    <w:rsid w:val="000F4869"/>
    <w:rsid w:val="000F5B42"/>
    <w:rsid w:val="000F6E6F"/>
    <w:rsid w:val="000F74B7"/>
    <w:rsid w:val="000F7A0C"/>
    <w:rsid w:val="0010601F"/>
    <w:rsid w:val="0010788A"/>
    <w:rsid w:val="00107A31"/>
    <w:rsid w:val="00110EA5"/>
    <w:rsid w:val="00112D27"/>
    <w:rsid w:val="00112F56"/>
    <w:rsid w:val="001224B4"/>
    <w:rsid w:val="00125318"/>
    <w:rsid w:val="0012585C"/>
    <w:rsid w:val="001305A2"/>
    <w:rsid w:val="00130FFF"/>
    <w:rsid w:val="001322AC"/>
    <w:rsid w:val="00133238"/>
    <w:rsid w:val="001334E6"/>
    <w:rsid w:val="00133A1B"/>
    <w:rsid w:val="0014197B"/>
    <w:rsid w:val="0014197E"/>
    <w:rsid w:val="001447CD"/>
    <w:rsid w:val="001516B1"/>
    <w:rsid w:val="001541A4"/>
    <w:rsid w:val="00154EBB"/>
    <w:rsid w:val="00156316"/>
    <w:rsid w:val="00161181"/>
    <w:rsid w:val="00162D14"/>
    <w:rsid w:val="00165389"/>
    <w:rsid w:val="001661F0"/>
    <w:rsid w:val="001664CD"/>
    <w:rsid w:val="00170F49"/>
    <w:rsid w:val="00172475"/>
    <w:rsid w:val="0017693F"/>
    <w:rsid w:val="0018110E"/>
    <w:rsid w:val="0018153A"/>
    <w:rsid w:val="00181684"/>
    <w:rsid w:val="00182C39"/>
    <w:rsid w:val="0018349E"/>
    <w:rsid w:val="001843C6"/>
    <w:rsid w:val="001850E0"/>
    <w:rsid w:val="00191F92"/>
    <w:rsid w:val="00192A70"/>
    <w:rsid w:val="00195AC5"/>
    <w:rsid w:val="001A2158"/>
    <w:rsid w:val="001A525F"/>
    <w:rsid w:val="001B09F9"/>
    <w:rsid w:val="001B5C90"/>
    <w:rsid w:val="001B6448"/>
    <w:rsid w:val="001C088E"/>
    <w:rsid w:val="001C271E"/>
    <w:rsid w:val="001C3222"/>
    <w:rsid w:val="001C32CD"/>
    <w:rsid w:val="001C6CD7"/>
    <w:rsid w:val="001D2984"/>
    <w:rsid w:val="001D4C9C"/>
    <w:rsid w:val="001E07CF"/>
    <w:rsid w:val="001E19AA"/>
    <w:rsid w:val="001E59F1"/>
    <w:rsid w:val="001F2CEE"/>
    <w:rsid w:val="001F3432"/>
    <w:rsid w:val="001F49EB"/>
    <w:rsid w:val="001F6CBA"/>
    <w:rsid w:val="00201D4E"/>
    <w:rsid w:val="00206F2D"/>
    <w:rsid w:val="002076C9"/>
    <w:rsid w:val="00216AC3"/>
    <w:rsid w:val="00220B8A"/>
    <w:rsid w:val="002213E2"/>
    <w:rsid w:val="0022467B"/>
    <w:rsid w:val="00224FD7"/>
    <w:rsid w:val="002257F3"/>
    <w:rsid w:val="00225DC4"/>
    <w:rsid w:val="00233456"/>
    <w:rsid w:val="002339A5"/>
    <w:rsid w:val="00257848"/>
    <w:rsid w:val="00263D09"/>
    <w:rsid w:val="0027084A"/>
    <w:rsid w:val="00273833"/>
    <w:rsid w:val="002777F2"/>
    <w:rsid w:val="00280A23"/>
    <w:rsid w:val="00286434"/>
    <w:rsid w:val="00286C59"/>
    <w:rsid w:val="00291957"/>
    <w:rsid w:val="002931B0"/>
    <w:rsid w:val="002942D1"/>
    <w:rsid w:val="0029501A"/>
    <w:rsid w:val="002A0D9B"/>
    <w:rsid w:val="002A3721"/>
    <w:rsid w:val="002B1638"/>
    <w:rsid w:val="002B3624"/>
    <w:rsid w:val="002B3D27"/>
    <w:rsid w:val="002C09E9"/>
    <w:rsid w:val="002C7814"/>
    <w:rsid w:val="002D0952"/>
    <w:rsid w:val="002D18E6"/>
    <w:rsid w:val="002D1E8D"/>
    <w:rsid w:val="002E3BAB"/>
    <w:rsid w:val="002E40B3"/>
    <w:rsid w:val="002E4C9A"/>
    <w:rsid w:val="002F11F8"/>
    <w:rsid w:val="002F3F56"/>
    <w:rsid w:val="002F44B5"/>
    <w:rsid w:val="00311AC0"/>
    <w:rsid w:val="0031265D"/>
    <w:rsid w:val="00313B48"/>
    <w:rsid w:val="0031629A"/>
    <w:rsid w:val="003176FC"/>
    <w:rsid w:val="00323732"/>
    <w:rsid w:val="0032583B"/>
    <w:rsid w:val="00326CFC"/>
    <w:rsid w:val="00327883"/>
    <w:rsid w:val="003329F0"/>
    <w:rsid w:val="00332AEC"/>
    <w:rsid w:val="00335504"/>
    <w:rsid w:val="00340C18"/>
    <w:rsid w:val="00341EA0"/>
    <w:rsid w:val="003442FD"/>
    <w:rsid w:val="00347824"/>
    <w:rsid w:val="00350567"/>
    <w:rsid w:val="003521E8"/>
    <w:rsid w:val="003532C8"/>
    <w:rsid w:val="00356DE6"/>
    <w:rsid w:val="00361C89"/>
    <w:rsid w:val="00370CE3"/>
    <w:rsid w:val="003728F3"/>
    <w:rsid w:val="0037496E"/>
    <w:rsid w:val="00377F33"/>
    <w:rsid w:val="00380337"/>
    <w:rsid w:val="00383221"/>
    <w:rsid w:val="003851B2"/>
    <w:rsid w:val="00386150"/>
    <w:rsid w:val="003874CE"/>
    <w:rsid w:val="00390900"/>
    <w:rsid w:val="00393104"/>
    <w:rsid w:val="00393AAC"/>
    <w:rsid w:val="003A1169"/>
    <w:rsid w:val="003A7F6C"/>
    <w:rsid w:val="003B4D60"/>
    <w:rsid w:val="003B7E39"/>
    <w:rsid w:val="003C58DC"/>
    <w:rsid w:val="003C5B17"/>
    <w:rsid w:val="003D1E62"/>
    <w:rsid w:val="003E0B99"/>
    <w:rsid w:val="003E1951"/>
    <w:rsid w:val="003E2486"/>
    <w:rsid w:val="003E3208"/>
    <w:rsid w:val="003F0B04"/>
    <w:rsid w:val="003F15B2"/>
    <w:rsid w:val="003F23D1"/>
    <w:rsid w:val="0040134E"/>
    <w:rsid w:val="00415E84"/>
    <w:rsid w:val="004327D7"/>
    <w:rsid w:val="004334C7"/>
    <w:rsid w:val="00435C52"/>
    <w:rsid w:val="00436A0E"/>
    <w:rsid w:val="00440A2D"/>
    <w:rsid w:val="00441A46"/>
    <w:rsid w:val="00441C3F"/>
    <w:rsid w:val="00452C37"/>
    <w:rsid w:val="004564A7"/>
    <w:rsid w:val="004572B1"/>
    <w:rsid w:val="00457C5D"/>
    <w:rsid w:val="0046163D"/>
    <w:rsid w:val="004617BF"/>
    <w:rsid w:val="0046205E"/>
    <w:rsid w:val="00463153"/>
    <w:rsid w:val="00463658"/>
    <w:rsid w:val="004637A0"/>
    <w:rsid w:val="00471034"/>
    <w:rsid w:val="004722CC"/>
    <w:rsid w:val="0048201D"/>
    <w:rsid w:val="00484972"/>
    <w:rsid w:val="004936E4"/>
    <w:rsid w:val="00494E60"/>
    <w:rsid w:val="004971B4"/>
    <w:rsid w:val="00497487"/>
    <w:rsid w:val="004A6189"/>
    <w:rsid w:val="004A7390"/>
    <w:rsid w:val="004B35E3"/>
    <w:rsid w:val="004B7B76"/>
    <w:rsid w:val="004C239D"/>
    <w:rsid w:val="004C2DCA"/>
    <w:rsid w:val="004C585D"/>
    <w:rsid w:val="004C61D2"/>
    <w:rsid w:val="004D4E88"/>
    <w:rsid w:val="004F0C4A"/>
    <w:rsid w:val="004F0F38"/>
    <w:rsid w:val="004F47D6"/>
    <w:rsid w:val="00501921"/>
    <w:rsid w:val="0050543E"/>
    <w:rsid w:val="005066B2"/>
    <w:rsid w:val="00521BD0"/>
    <w:rsid w:val="00530354"/>
    <w:rsid w:val="0053625B"/>
    <w:rsid w:val="00536A35"/>
    <w:rsid w:val="00537585"/>
    <w:rsid w:val="005434C6"/>
    <w:rsid w:val="00543B39"/>
    <w:rsid w:val="00546154"/>
    <w:rsid w:val="00550096"/>
    <w:rsid w:val="00551DD5"/>
    <w:rsid w:val="00555280"/>
    <w:rsid w:val="005558CA"/>
    <w:rsid w:val="00557FF9"/>
    <w:rsid w:val="00560D2A"/>
    <w:rsid w:val="00562327"/>
    <w:rsid w:val="00562B08"/>
    <w:rsid w:val="005711D5"/>
    <w:rsid w:val="005720A2"/>
    <w:rsid w:val="00574F5E"/>
    <w:rsid w:val="00576378"/>
    <w:rsid w:val="00577130"/>
    <w:rsid w:val="00577945"/>
    <w:rsid w:val="00577E38"/>
    <w:rsid w:val="00581621"/>
    <w:rsid w:val="00585322"/>
    <w:rsid w:val="005857C6"/>
    <w:rsid w:val="00592F6E"/>
    <w:rsid w:val="00593AD1"/>
    <w:rsid w:val="005A0106"/>
    <w:rsid w:val="005A4A12"/>
    <w:rsid w:val="005A68B6"/>
    <w:rsid w:val="005A7A9D"/>
    <w:rsid w:val="005B1C86"/>
    <w:rsid w:val="005B4DED"/>
    <w:rsid w:val="005B7774"/>
    <w:rsid w:val="005C2430"/>
    <w:rsid w:val="005C47D6"/>
    <w:rsid w:val="005C5570"/>
    <w:rsid w:val="005C79A4"/>
    <w:rsid w:val="005D5442"/>
    <w:rsid w:val="005F05CE"/>
    <w:rsid w:val="005F2BE1"/>
    <w:rsid w:val="00600D2E"/>
    <w:rsid w:val="00603F32"/>
    <w:rsid w:val="006052E6"/>
    <w:rsid w:val="00605AD4"/>
    <w:rsid w:val="006136D7"/>
    <w:rsid w:val="00625A6E"/>
    <w:rsid w:val="00632398"/>
    <w:rsid w:val="006361A9"/>
    <w:rsid w:val="00640FC3"/>
    <w:rsid w:val="006418E7"/>
    <w:rsid w:val="00642020"/>
    <w:rsid w:val="00642AF1"/>
    <w:rsid w:val="0065337B"/>
    <w:rsid w:val="0065419D"/>
    <w:rsid w:val="006603D7"/>
    <w:rsid w:val="006604D8"/>
    <w:rsid w:val="00663418"/>
    <w:rsid w:val="00664A5B"/>
    <w:rsid w:val="00665E24"/>
    <w:rsid w:val="0066735C"/>
    <w:rsid w:val="00671CA6"/>
    <w:rsid w:val="006763D2"/>
    <w:rsid w:val="00680C08"/>
    <w:rsid w:val="00680D90"/>
    <w:rsid w:val="00691589"/>
    <w:rsid w:val="006916A0"/>
    <w:rsid w:val="006931B1"/>
    <w:rsid w:val="006A15C0"/>
    <w:rsid w:val="006A284A"/>
    <w:rsid w:val="006C3E2A"/>
    <w:rsid w:val="006C444C"/>
    <w:rsid w:val="006C642F"/>
    <w:rsid w:val="006D03E5"/>
    <w:rsid w:val="006D23BD"/>
    <w:rsid w:val="006D5C98"/>
    <w:rsid w:val="006D5D3E"/>
    <w:rsid w:val="006E08B3"/>
    <w:rsid w:val="006E5742"/>
    <w:rsid w:val="006F17AC"/>
    <w:rsid w:val="006F25B8"/>
    <w:rsid w:val="006F572E"/>
    <w:rsid w:val="006F591B"/>
    <w:rsid w:val="00702942"/>
    <w:rsid w:val="007046D6"/>
    <w:rsid w:val="00705DB0"/>
    <w:rsid w:val="00711580"/>
    <w:rsid w:val="00722B57"/>
    <w:rsid w:val="00730F8A"/>
    <w:rsid w:val="00733A13"/>
    <w:rsid w:val="007344B9"/>
    <w:rsid w:val="00735A8C"/>
    <w:rsid w:val="0074253D"/>
    <w:rsid w:val="0074429B"/>
    <w:rsid w:val="00751C8B"/>
    <w:rsid w:val="0075689E"/>
    <w:rsid w:val="00756E7A"/>
    <w:rsid w:val="00760BF4"/>
    <w:rsid w:val="007615BC"/>
    <w:rsid w:val="00762F05"/>
    <w:rsid w:val="007652FF"/>
    <w:rsid w:val="00770CAC"/>
    <w:rsid w:val="00770EF1"/>
    <w:rsid w:val="00773EF7"/>
    <w:rsid w:val="00774E1D"/>
    <w:rsid w:val="007757DB"/>
    <w:rsid w:val="007765D8"/>
    <w:rsid w:val="0077675A"/>
    <w:rsid w:val="00776993"/>
    <w:rsid w:val="00780355"/>
    <w:rsid w:val="007819FD"/>
    <w:rsid w:val="00785717"/>
    <w:rsid w:val="00785721"/>
    <w:rsid w:val="00787ACF"/>
    <w:rsid w:val="00790093"/>
    <w:rsid w:val="00793A59"/>
    <w:rsid w:val="00794AE3"/>
    <w:rsid w:val="0079686A"/>
    <w:rsid w:val="007A5E8E"/>
    <w:rsid w:val="007B6132"/>
    <w:rsid w:val="007B6E9F"/>
    <w:rsid w:val="007C1216"/>
    <w:rsid w:val="007C176C"/>
    <w:rsid w:val="007C1AF7"/>
    <w:rsid w:val="007C6B9B"/>
    <w:rsid w:val="007D4D01"/>
    <w:rsid w:val="007D6439"/>
    <w:rsid w:val="007D6E21"/>
    <w:rsid w:val="00802F18"/>
    <w:rsid w:val="00803D07"/>
    <w:rsid w:val="00805D27"/>
    <w:rsid w:val="00805F1B"/>
    <w:rsid w:val="00806DCB"/>
    <w:rsid w:val="008141D3"/>
    <w:rsid w:val="00821776"/>
    <w:rsid w:val="008306DA"/>
    <w:rsid w:val="008321F5"/>
    <w:rsid w:val="00832369"/>
    <w:rsid w:val="00834660"/>
    <w:rsid w:val="008361C7"/>
    <w:rsid w:val="00836BC2"/>
    <w:rsid w:val="00846C3D"/>
    <w:rsid w:val="00847EB7"/>
    <w:rsid w:val="0085156D"/>
    <w:rsid w:val="0085641B"/>
    <w:rsid w:val="00857136"/>
    <w:rsid w:val="00865982"/>
    <w:rsid w:val="00867C91"/>
    <w:rsid w:val="00875A6B"/>
    <w:rsid w:val="00880587"/>
    <w:rsid w:val="00880CF7"/>
    <w:rsid w:val="00880EEA"/>
    <w:rsid w:val="008819BE"/>
    <w:rsid w:val="0088229D"/>
    <w:rsid w:val="00885B11"/>
    <w:rsid w:val="00886D15"/>
    <w:rsid w:val="00887DD8"/>
    <w:rsid w:val="00887E1B"/>
    <w:rsid w:val="00891BA9"/>
    <w:rsid w:val="00892F02"/>
    <w:rsid w:val="00892FEB"/>
    <w:rsid w:val="00896018"/>
    <w:rsid w:val="008960DD"/>
    <w:rsid w:val="0089635C"/>
    <w:rsid w:val="008A2B9D"/>
    <w:rsid w:val="008A3D9F"/>
    <w:rsid w:val="008A5E0B"/>
    <w:rsid w:val="008A6823"/>
    <w:rsid w:val="008A6D59"/>
    <w:rsid w:val="008B0BB7"/>
    <w:rsid w:val="008B4B03"/>
    <w:rsid w:val="008B596F"/>
    <w:rsid w:val="008C159F"/>
    <w:rsid w:val="008C1623"/>
    <w:rsid w:val="008C16A4"/>
    <w:rsid w:val="008C1850"/>
    <w:rsid w:val="008C51A9"/>
    <w:rsid w:val="008D0CF1"/>
    <w:rsid w:val="008D3B66"/>
    <w:rsid w:val="008D6066"/>
    <w:rsid w:val="008E4FB8"/>
    <w:rsid w:val="008E7846"/>
    <w:rsid w:val="008F02E5"/>
    <w:rsid w:val="008F0542"/>
    <w:rsid w:val="008F1CCC"/>
    <w:rsid w:val="008F2967"/>
    <w:rsid w:val="008F6943"/>
    <w:rsid w:val="00902A21"/>
    <w:rsid w:val="00906325"/>
    <w:rsid w:val="009069AC"/>
    <w:rsid w:val="009152D8"/>
    <w:rsid w:val="00920330"/>
    <w:rsid w:val="009219D7"/>
    <w:rsid w:val="00922D53"/>
    <w:rsid w:val="00923B70"/>
    <w:rsid w:val="00924482"/>
    <w:rsid w:val="00930237"/>
    <w:rsid w:val="00931E21"/>
    <w:rsid w:val="00935791"/>
    <w:rsid w:val="00937C17"/>
    <w:rsid w:val="00940A89"/>
    <w:rsid w:val="00946EA5"/>
    <w:rsid w:val="00954601"/>
    <w:rsid w:val="00955CF8"/>
    <w:rsid w:val="00955F18"/>
    <w:rsid w:val="00963C08"/>
    <w:rsid w:val="00965935"/>
    <w:rsid w:val="009727A2"/>
    <w:rsid w:val="009752A5"/>
    <w:rsid w:val="009760A6"/>
    <w:rsid w:val="00981518"/>
    <w:rsid w:val="00981F29"/>
    <w:rsid w:val="009850D0"/>
    <w:rsid w:val="0098585A"/>
    <w:rsid w:val="00985879"/>
    <w:rsid w:val="00986585"/>
    <w:rsid w:val="009A4CED"/>
    <w:rsid w:val="009A690D"/>
    <w:rsid w:val="009B1D12"/>
    <w:rsid w:val="009B38EF"/>
    <w:rsid w:val="009B416B"/>
    <w:rsid w:val="009C4BD5"/>
    <w:rsid w:val="009D5E20"/>
    <w:rsid w:val="009D7B77"/>
    <w:rsid w:val="009E0BB0"/>
    <w:rsid w:val="009E3FBB"/>
    <w:rsid w:val="009E5DA3"/>
    <w:rsid w:val="009F4469"/>
    <w:rsid w:val="009F652B"/>
    <w:rsid w:val="009F7353"/>
    <w:rsid w:val="00A01D75"/>
    <w:rsid w:val="00A04F85"/>
    <w:rsid w:val="00A05FA4"/>
    <w:rsid w:val="00A102E4"/>
    <w:rsid w:val="00A12C42"/>
    <w:rsid w:val="00A14DF7"/>
    <w:rsid w:val="00A16BBB"/>
    <w:rsid w:val="00A24417"/>
    <w:rsid w:val="00A30BA8"/>
    <w:rsid w:val="00A3246D"/>
    <w:rsid w:val="00A35844"/>
    <w:rsid w:val="00A36FA7"/>
    <w:rsid w:val="00A4412F"/>
    <w:rsid w:val="00A44DDB"/>
    <w:rsid w:val="00A475B7"/>
    <w:rsid w:val="00A47AF7"/>
    <w:rsid w:val="00A47C3E"/>
    <w:rsid w:val="00A50226"/>
    <w:rsid w:val="00A54AE5"/>
    <w:rsid w:val="00A55B49"/>
    <w:rsid w:val="00A603C8"/>
    <w:rsid w:val="00A60BAD"/>
    <w:rsid w:val="00A60FAD"/>
    <w:rsid w:val="00A61664"/>
    <w:rsid w:val="00A65EFD"/>
    <w:rsid w:val="00A70986"/>
    <w:rsid w:val="00A80B5B"/>
    <w:rsid w:val="00A81270"/>
    <w:rsid w:val="00A82B0E"/>
    <w:rsid w:val="00A84760"/>
    <w:rsid w:val="00A848FA"/>
    <w:rsid w:val="00A84E36"/>
    <w:rsid w:val="00A964D1"/>
    <w:rsid w:val="00AA074D"/>
    <w:rsid w:val="00AA0ED0"/>
    <w:rsid w:val="00AA5397"/>
    <w:rsid w:val="00AB274A"/>
    <w:rsid w:val="00AC2B40"/>
    <w:rsid w:val="00AC2BB2"/>
    <w:rsid w:val="00AC2C3C"/>
    <w:rsid w:val="00AC512D"/>
    <w:rsid w:val="00AD0083"/>
    <w:rsid w:val="00AD080D"/>
    <w:rsid w:val="00AD2516"/>
    <w:rsid w:val="00AD3935"/>
    <w:rsid w:val="00AD4677"/>
    <w:rsid w:val="00AD66BE"/>
    <w:rsid w:val="00AE636C"/>
    <w:rsid w:val="00AE65EB"/>
    <w:rsid w:val="00AE67A7"/>
    <w:rsid w:val="00AF0CE0"/>
    <w:rsid w:val="00AF1D94"/>
    <w:rsid w:val="00AF27E6"/>
    <w:rsid w:val="00AF5BA9"/>
    <w:rsid w:val="00AF60C5"/>
    <w:rsid w:val="00B009C6"/>
    <w:rsid w:val="00B01548"/>
    <w:rsid w:val="00B10CE1"/>
    <w:rsid w:val="00B13EBD"/>
    <w:rsid w:val="00B21D29"/>
    <w:rsid w:val="00B23686"/>
    <w:rsid w:val="00B25034"/>
    <w:rsid w:val="00B33588"/>
    <w:rsid w:val="00B33863"/>
    <w:rsid w:val="00B36C07"/>
    <w:rsid w:val="00B37D17"/>
    <w:rsid w:val="00B4175E"/>
    <w:rsid w:val="00B4200E"/>
    <w:rsid w:val="00B452CE"/>
    <w:rsid w:val="00B52769"/>
    <w:rsid w:val="00B54C25"/>
    <w:rsid w:val="00B76B91"/>
    <w:rsid w:val="00B7783B"/>
    <w:rsid w:val="00B77EB1"/>
    <w:rsid w:val="00B80EE6"/>
    <w:rsid w:val="00B811C6"/>
    <w:rsid w:val="00B855B0"/>
    <w:rsid w:val="00B92E08"/>
    <w:rsid w:val="00B95474"/>
    <w:rsid w:val="00BA16BD"/>
    <w:rsid w:val="00BB18B2"/>
    <w:rsid w:val="00BC622A"/>
    <w:rsid w:val="00BD3646"/>
    <w:rsid w:val="00BD45AC"/>
    <w:rsid w:val="00BE0A78"/>
    <w:rsid w:val="00BE79F0"/>
    <w:rsid w:val="00BF046D"/>
    <w:rsid w:val="00BF10BB"/>
    <w:rsid w:val="00BF1190"/>
    <w:rsid w:val="00BF18BC"/>
    <w:rsid w:val="00BF5D04"/>
    <w:rsid w:val="00C009AA"/>
    <w:rsid w:val="00C018CA"/>
    <w:rsid w:val="00C1164D"/>
    <w:rsid w:val="00C16861"/>
    <w:rsid w:val="00C20264"/>
    <w:rsid w:val="00C230E1"/>
    <w:rsid w:val="00C329E7"/>
    <w:rsid w:val="00C32D87"/>
    <w:rsid w:val="00C346AB"/>
    <w:rsid w:val="00C37728"/>
    <w:rsid w:val="00C404A6"/>
    <w:rsid w:val="00C40A36"/>
    <w:rsid w:val="00C44419"/>
    <w:rsid w:val="00C45E7B"/>
    <w:rsid w:val="00C471B1"/>
    <w:rsid w:val="00C473B1"/>
    <w:rsid w:val="00C51A60"/>
    <w:rsid w:val="00C55B28"/>
    <w:rsid w:val="00C6316B"/>
    <w:rsid w:val="00C634A9"/>
    <w:rsid w:val="00C64586"/>
    <w:rsid w:val="00C64588"/>
    <w:rsid w:val="00C70D53"/>
    <w:rsid w:val="00C73D0B"/>
    <w:rsid w:val="00C772FF"/>
    <w:rsid w:val="00C80137"/>
    <w:rsid w:val="00C801AF"/>
    <w:rsid w:val="00C80256"/>
    <w:rsid w:val="00C87CF9"/>
    <w:rsid w:val="00C93CF2"/>
    <w:rsid w:val="00C94CD4"/>
    <w:rsid w:val="00C9747E"/>
    <w:rsid w:val="00C97EE1"/>
    <w:rsid w:val="00CA2E8A"/>
    <w:rsid w:val="00CA54C4"/>
    <w:rsid w:val="00CB0ECA"/>
    <w:rsid w:val="00CB2A05"/>
    <w:rsid w:val="00CB6BC0"/>
    <w:rsid w:val="00CC1B7C"/>
    <w:rsid w:val="00CC22E5"/>
    <w:rsid w:val="00CC58E1"/>
    <w:rsid w:val="00CC727F"/>
    <w:rsid w:val="00CD0FBB"/>
    <w:rsid w:val="00CD6971"/>
    <w:rsid w:val="00CE1B59"/>
    <w:rsid w:val="00CE318D"/>
    <w:rsid w:val="00CE5A55"/>
    <w:rsid w:val="00CF15C3"/>
    <w:rsid w:val="00CF2B6F"/>
    <w:rsid w:val="00CF2F3E"/>
    <w:rsid w:val="00CF58B6"/>
    <w:rsid w:val="00D0062D"/>
    <w:rsid w:val="00D017ED"/>
    <w:rsid w:val="00D01AB0"/>
    <w:rsid w:val="00D040D3"/>
    <w:rsid w:val="00D04C65"/>
    <w:rsid w:val="00D05C30"/>
    <w:rsid w:val="00D06147"/>
    <w:rsid w:val="00D076B6"/>
    <w:rsid w:val="00D07D50"/>
    <w:rsid w:val="00D12ADF"/>
    <w:rsid w:val="00D201D2"/>
    <w:rsid w:val="00D224FE"/>
    <w:rsid w:val="00D23139"/>
    <w:rsid w:val="00D356B6"/>
    <w:rsid w:val="00D37A44"/>
    <w:rsid w:val="00D425BB"/>
    <w:rsid w:val="00D456AC"/>
    <w:rsid w:val="00D53B78"/>
    <w:rsid w:val="00D6493E"/>
    <w:rsid w:val="00D65920"/>
    <w:rsid w:val="00D7195D"/>
    <w:rsid w:val="00D7301E"/>
    <w:rsid w:val="00D83AE1"/>
    <w:rsid w:val="00D84949"/>
    <w:rsid w:val="00D8527B"/>
    <w:rsid w:val="00D855D4"/>
    <w:rsid w:val="00D902C9"/>
    <w:rsid w:val="00D93466"/>
    <w:rsid w:val="00D948A4"/>
    <w:rsid w:val="00D9610E"/>
    <w:rsid w:val="00D97998"/>
    <w:rsid w:val="00DA1124"/>
    <w:rsid w:val="00DA415D"/>
    <w:rsid w:val="00DB6124"/>
    <w:rsid w:val="00DB750B"/>
    <w:rsid w:val="00DB75B7"/>
    <w:rsid w:val="00DC2022"/>
    <w:rsid w:val="00DC6E02"/>
    <w:rsid w:val="00DD2450"/>
    <w:rsid w:val="00DD28CD"/>
    <w:rsid w:val="00DD407B"/>
    <w:rsid w:val="00DD519D"/>
    <w:rsid w:val="00DE02AE"/>
    <w:rsid w:val="00DE5D95"/>
    <w:rsid w:val="00DF0D3F"/>
    <w:rsid w:val="00DF1D7F"/>
    <w:rsid w:val="00DF4BE4"/>
    <w:rsid w:val="00DF6EC2"/>
    <w:rsid w:val="00E00D0D"/>
    <w:rsid w:val="00E01EEE"/>
    <w:rsid w:val="00E02FB4"/>
    <w:rsid w:val="00E06B28"/>
    <w:rsid w:val="00E0770A"/>
    <w:rsid w:val="00E12A52"/>
    <w:rsid w:val="00E13AF5"/>
    <w:rsid w:val="00E13FC7"/>
    <w:rsid w:val="00E2009C"/>
    <w:rsid w:val="00E20571"/>
    <w:rsid w:val="00E21905"/>
    <w:rsid w:val="00E235F7"/>
    <w:rsid w:val="00E23659"/>
    <w:rsid w:val="00E239D4"/>
    <w:rsid w:val="00E2416D"/>
    <w:rsid w:val="00E26130"/>
    <w:rsid w:val="00E33D27"/>
    <w:rsid w:val="00E40B22"/>
    <w:rsid w:val="00E44ED1"/>
    <w:rsid w:val="00E45619"/>
    <w:rsid w:val="00E4588F"/>
    <w:rsid w:val="00E46DA3"/>
    <w:rsid w:val="00E51BB1"/>
    <w:rsid w:val="00E51EEF"/>
    <w:rsid w:val="00E52E07"/>
    <w:rsid w:val="00E55DAD"/>
    <w:rsid w:val="00E61B8C"/>
    <w:rsid w:val="00E624A5"/>
    <w:rsid w:val="00E64BA4"/>
    <w:rsid w:val="00E7344E"/>
    <w:rsid w:val="00E80128"/>
    <w:rsid w:val="00E82665"/>
    <w:rsid w:val="00E85EB4"/>
    <w:rsid w:val="00E8676C"/>
    <w:rsid w:val="00E877D0"/>
    <w:rsid w:val="00E910C4"/>
    <w:rsid w:val="00E9337D"/>
    <w:rsid w:val="00EA0D05"/>
    <w:rsid w:val="00EA6F9C"/>
    <w:rsid w:val="00EA786F"/>
    <w:rsid w:val="00EB0798"/>
    <w:rsid w:val="00EB1053"/>
    <w:rsid w:val="00EB2CF3"/>
    <w:rsid w:val="00EB3B3E"/>
    <w:rsid w:val="00EB40AD"/>
    <w:rsid w:val="00EB586E"/>
    <w:rsid w:val="00EB5FC8"/>
    <w:rsid w:val="00EC03E5"/>
    <w:rsid w:val="00EC463D"/>
    <w:rsid w:val="00EC47E6"/>
    <w:rsid w:val="00EC4FB5"/>
    <w:rsid w:val="00EC7A85"/>
    <w:rsid w:val="00ED1195"/>
    <w:rsid w:val="00ED2922"/>
    <w:rsid w:val="00ED3CAD"/>
    <w:rsid w:val="00ED4E4E"/>
    <w:rsid w:val="00ED57CB"/>
    <w:rsid w:val="00ED5A41"/>
    <w:rsid w:val="00EE1DE8"/>
    <w:rsid w:val="00EE27C2"/>
    <w:rsid w:val="00EE600B"/>
    <w:rsid w:val="00EF4BAD"/>
    <w:rsid w:val="00EF59DC"/>
    <w:rsid w:val="00EF715C"/>
    <w:rsid w:val="00EF7B42"/>
    <w:rsid w:val="00F033EC"/>
    <w:rsid w:val="00F04F68"/>
    <w:rsid w:val="00F0667C"/>
    <w:rsid w:val="00F12670"/>
    <w:rsid w:val="00F135BA"/>
    <w:rsid w:val="00F14B27"/>
    <w:rsid w:val="00F203B7"/>
    <w:rsid w:val="00F21233"/>
    <w:rsid w:val="00F22BA5"/>
    <w:rsid w:val="00F3148D"/>
    <w:rsid w:val="00F325C5"/>
    <w:rsid w:val="00F32FE0"/>
    <w:rsid w:val="00F35298"/>
    <w:rsid w:val="00F352A0"/>
    <w:rsid w:val="00F47333"/>
    <w:rsid w:val="00F476EE"/>
    <w:rsid w:val="00F47E37"/>
    <w:rsid w:val="00F5397D"/>
    <w:rsid w:val="00F53C07"/>
    <w:rsid w:val="00F54B65"/>
    <w:rsid w:val="00F61D21"/>
    <w:rsid w:val="00F63B5C"/>
    <w:rsid w:val="00F640B6"/>
    <w:rsid w:val="00F66DF2"/>
    <w:rsid w:val="00F7046C"/>
    <w:rsid w:val="00F71D39"/>
    <w:rsid w:val="00F80E40"/>
    <w:rsid w:val="00F840F1"/>
    <w:rsid w:val="00F842DE"/>
    <w:rsid w:val="00F84469"/>
    <w:rsid w:val="00F848D9"/>
    <w:rsid w:val="00F8577D"/>
    <w:rsid w:val="00FA5B82"/>
    <w:rsid w:val="00FA639E"/>
    <w:rsid w:val="00FC1FCA"/>
    <w:rsid w:val="00FC25E4"/>
    <w:rsid w:val="00FC4EF7"/>
    <w:rsid w:val="00FD0824"/>
    <w:rsid w:val="00FD119B"/>
    <w:rsid w:val="00FD1305"/>
    <w:rsid w:val="00FD1EDC"/>
    <w:rsid w:val="00FD6B0C"/>
    <w:rsid w:val="00FD79B9"/>
    <w:rsid w:val="00FE1DEE"/>
    <w:rsid w:val="00FE76F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7F4C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71A1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A16BD"/>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qFormat/>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ind w:left="425"/>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qFormat/>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rsid w:val="000E6196"/>
    <w:rPr>
      <w:rFonts w:ascii="Cambria" w:eastAsia="Cambria" w:hAnsi="Cambria" w:cs="Times New Roman"/>
      <w:sz w:val="20"/>
      <w:szCs w:val="20"/>
    </w:rPr>
  </w:style>
  <w:style w:type="character" w:styleId="EndnoteReference">
    <w:name w:val="endnote reference"/>
    <w:basedOn w:val="DefaultParagraphFont"/>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D0FBB"/>
    <w:pPr>
      <w:ind w:left="720"/>
      <w:contextualSpacing/>
    </w:pPr>
  </w:style>
  <w:style w:type="paragraph" w:customStyle="1" w:styleId="Default">
    <w:name w:val="Default"/>
    <w:rsid w:val="00892FEB"/>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0B18AA"/>
    <w:pPr>
      <w:numPr>
        <w:numId w:val="11"/>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0B18AA"/>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0B18AA"/>
    <w:rPr>
      <w:rFonts w:ascii="Cambria" w:eastAsia="Cambria" w:hAnsi="Cambria" w:cs="Times New Roman"/>
      <w:sz w:val="19"/>
    </w:rPr>
  </w:style>
  <w:style w:type="paragraph" w:customStyle="1" w:styleId="Standard">
    <w:name w:val="Standard"/>
    <w:basedOn w:val="Normal"/>
    <w:link w:val="StandardChar"/>
    <w:qFormat/>
    <w:rsid w:val="00560D2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60D2A"/>
    <w:rPr>
      <w:rFonts w:ascii="Cambria" w:eastAsia="Times New Roman" w:hAnsi="Cambria" w:cs="Times New Roman"/>
      <w:snapToGrid w:val="0"/>
      <w:kern w:val="16"/>
      <w:sz w:val="23"/>
      <w:szCs w:val="24"/>
    </w:rPr>
  </w:style>
  <w:style w:type="paragraph" w:customStyle="1" w:styleId="Tabletitle0">
    <w:name w:val="Table title"/>
    <w:basedOn w:val="Normal"/>
    <w:next w:val="Normal"/>
    <w:rsid w:val="008F0542"/>
    <w:pPr>
      <w:keepNext/>
      <w:spacing w:after="180"/>
      <w:outlineLvl w:val="4"/>
    </w:pPr>
    <w:rPr>
      <w:rFonts w:cstheme="minorBidi"/>
      <w:b/>
    </w:rPr>
  </w:style>
  <w:style w:type="paragraph" w:customStyle="1" w:styleId="TableBullet">
    <w:name w:val="Table Bullet"/>
    <w:basedOn w:val="Normal"/>
    <w:rsid w:val="0088229D"/>
    <w:pPr>
      <w:numPr>
        <w:numId w:val="1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71A1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A16BD"/>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qFormat/>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ind w:left="425"/>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qFormat/>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rsid w:val="000E6196"/>
    <w:rPr>
      <w:rFonts w:ascii="Cambria" w:eastAsia="Cambria" w:hAnsi="Cambria" w:cs="Times New Roman"/>
      <w:sz w:val="20"/>
      <w:szCs w:val="20"/>
    </w:rPr>
  </w:style>
  <w:style w:type="character" w:styleId="EndnoteReference">
    <w:name w:val="endnote reference"/>
    <w:basedOn w:val="DefaultParagraphFont"/>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D0FBB"/>
    <w:pPr>
      <w:ind w:left="720"/>
      <w:contextualSpacing/>
    </w:pPr>
  </w:style>
  <w:style w:type="paragraph" w:customStyle="1" w:styleId="Default">
    <w:name w:val="Default"/>
    <w:rsid w:val="00892FEB"/>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0B18AA"/>
    <w:pPr>
      <w:numPr>
        <w:numId w:val="11"/>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0B18AA"/>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0B18AA"/>
    <w:rPr>
      <w:rFonts w:ascii="Cambria" w:eastAsia="Cambria" w:hAnsi="Cambria" w:cs="Times New Roman"/>
      <w:sz w:val="19"/>
    </w:rPr>
  </w:style>
  <w:style w:type="paragraph" w:customStyle="1" w:styleId="Standard">
    <w:name w:val="Standard"/>
    <w:basedOn w:val="Normal"/>
    <w:link w:val="StandardChar"/>
    <w:qFormat/>
    <w:rsid w:val="00560D2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60D2A"/>
    <w:rPr>
      <w:rFonts w:ascii="Cambria" w:eastAsia="Times New Roman" w:hAnsi="Cambria" w:cs="Times New Roman"/>
      <w:snapToGrid w:val="0"/>
      <w:kern w:val="16"/>
      <w:sz w:val="23"/>
      <w:szCs w:val="24"/>
    </w:rPr>
  </w:style>
  <w:style w:type="paragraph" w:customStyle="1" w:styleId="Tabletitle0">
    <w:name w:val="Table title"/>
    <w:basedOn w:val="Normal"/>
    <w:next w:val="Normal"/>
    <w:rsid w:val="008F0542"/>
    <w:pPr>
      <w:keepNext/>
      <w:spacing w:after="180"/>
      <w:outlineLvl w:val="4"/>
    </w:pPr>
    <w:rPr>
      <w:rFonts w:cstheme="minorBidi"/>
      <w:b/>
    </w:rPr>
  </w:style>
  <w:style w:type="paragraph" w:customStyle="1" w:styleId="TableBullet">
    <w:name w:val="Table Bullet"/>
    <w:basedOn w:val="Normal"/>
    <w:rsid w:val="0088229D"/>
    <w:pPr>
      <w:numPr>
        <w:numId w:val="1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5491">
      <w:bodyDiv w:val="1"/>
      <w:marLeft w:val="0"/>
      <w:marRight w:val="0"/>
      <w:marTop w:val="0"/>
      <w:marBottom w:val="0"/>
      <w:divBdr>
        <w:top w:val="none" w:sz="0" w:space="0" w:color="auto"/>
        <w:left w:val="none" w:sz="0" w:space="0" w:color="auto"/>
        <w:bottom w:val="none" w:sz="0" w:space="0" w:color="auto"/>
        <w:right w:val="none" w:sz="0" w:space="0" w:color="auto"/>
      </w:divBdr>
    </w:div>
    <w:div w:id="53739916">
      <w:bodyDiv w:val="1"/>
      <w:marLeft w:val="0"/>
      <w:marRight w:val="0"/>
      <w:marTop w:val="0"/>
      <w:marBottom w:val="0"/>
      <w:divBdr>
        <w:top w:val="none" w:sz="0" w:space="0" w:color="auto"/>
        <w:left w:val="none" w:sz="0" w:space="0" w:color="auto"/>
        <w:bottom w:val="none" w:sz="0" w:space="0" w:color="auto"/>
        <w:right w:val="none" w:sz="0" w:space="0" w:color="auto"/>
      </w:divBdr>
    </w:div>
    <w:div w:id="115224693">
      <w:bodyDiv w:val="1"/>
      <w:marLeft w:val="0"/>
      <w:marRight w:val="0"/>
      <w:marTop w:val="0"/>
      <w:marBottom w:val="0"/>
      <w:divBdr>
        <w:top w:val="none" w:sz="0" w:space="0" w:color="auto"/>
        <w:left w:val="none" w:sz="0" w:space="0" w:color="auto"/>
        <w:bottom w:val="none" w:sz="0" w:space="0" w:color="auto"/>
        <w:right w:val="none" w:sz="0" w:space="0" w:color="auto"/>
      </w:divBdr>
    </w:div>
    <w:div w:id="163013882">
      <w:bodyDiv w:val="1"/>
      <w:marLeft w:val="0"/>
      <w:marRight w:val="0"/>
      <w:marTop w:val="0"/>
      <w:marBottom w:val="0"/>
      <w:divBdr>
        <w:top w:val="none" w:sz="0" w:space="0" w:color="auto"/>
        <w:left w:val="none" w:sz="0" w:space="0" w:color="auto"/>
        <w:bottom w:val="none" w:sz="0" w:space="0" w:color="auto"/>
        <w:right w:val="none" w:sz="0" w:space="0" w:color="auto"/>
      </w:divBdr>
    </w:div>
    <w:div w:id="390735178">
      <w:bodyDiv w:val="1"/>
      <w:marLeft w:val="0"/>
      <w:marRight w:val="0"/>
      <w:marTop w:val="0"/>
      <w:marBottom w:val="0"/>
      <w:divBdr>
        <w:top w:val="none" w:sz="0" w:space="0" w:color="auto"/>
        <w:left w:val="none" w:sz="0" w:space="0" w:color="auto"/>
        <w:bottom w:val="none" w:sz="0" w:space="0" w:color="auto"/>
        <w:right w:val="none" w:sz="0" w:space="0" w:color="auto"/>
      </w:divBdr>
    </w:div>
    <w:div w:id="555627094">
      <w:bodyDiv w:val="1"/>
      <w:marLeft w:val="0"/>
      <w:marRight w:val="0"/>
      <w:marTop w:val="0"/>
      <w:marBottom w:val="0"/>
      <w:divBdr>
        <w:top w:val="none" w:sz="0" w:space="0" w:color="auto"/>
        <w:left w:val="none" w:sz="0" w:space="0" w:color="auto"/>
        <w:bottom w:val="none" w:sz="0" w:space="0" w:color="auto"/>
        <w:right w:val="none" w:sz="0" w:space="0" w:color="auto"/>
      </w:divBdr>
    </w:div>
    <w:div w:id="562913095">
      <w:bodyDiv w:val="1"/>
      <w:marLeft w:val="0"/>
      <w:marRight w:val="0"/>
      <w:marTop w:val="0"/>
      <w:marBottom w:val="0"/>
      <w:divBdr>
        <w:top w:val="none" w:sz="0" w:space="0" w:color="auto"/>
        <w:left w:val="none" w:sz="0" w:space="0" w:color="auto"/>
        <w:bottom w:val="none" w:sz="0" w:space="0" w:color="auto"/>
        <w:right w:val="none" w:sz="0" w:space="0" w:color="auto"/>
      </w:divBdr>
    </w:div>
    <w:div w:id="595091952">
      <w:bodyDiv w:val="1"/>
      <w:marLeft w:val="0"/>
      <w:marRight w:val="0"/>
      <w:marTop w:val="0"/>
      <w:marBottom w:val="0"/>
      <w:divBdr>
        <w:top w:val="none" w:sz="0" w:space="0" w:color="auto"/>
        <w:left w:val="none" w:sz="0" w:space="0" w:color="auto"/>
        <w:bottom w:val="none" w:sz="0" w:space="0" w:color="auto"/>
        <w:right w:val="none" w:sz="0" w:space="0" w:color="auto"/>
      </w:divBdr>
    </w:div>
    <w:div w:id="897983185">
      <w:bodyDiv w:val="1"/>
      <w:marLeft w:val="0"/>
      <w:marRight w:val="0"/>
      <w:marTop w:val="0"/>
      <w:marBottom w:val="0"/>
      <w:divBdr>
        <w:top w:val="none" w:sz="0" w:space="0" w:color="auto"/>
        <w:left w:val="none" w:sz="0" w:space="0" w:color="auto"/>
        <w:bottom w:val="none" w:sz="0" w:space="0" w:color="auto"/>
        <w:right w:val="none" w:sz="0" w:space="0" w:color="auto"/>
      </w:divBdr>
    </w:div>
    <w:div w:id="906186770">
      <w:bodyDiv w:val="1"/>
      <w:marLeft w:val="0"/>
      <w:marRight w:val="0"/>
      <w:marTop w:val="0"/>
      <w:marBottom w:val="0"/>
      <w:divBdr>
        <w:top w:val="none" w:sz="0" w:space="0" w:color="auto"/>
        <w:left w:val="none" w:sz="0" w:space="0" w:color="auto"/>
        <w:bottom w:val="none" w:sz="0" w:space="0" w:color="auto"/>
        <w:right w:val="none" w:sz="0" w:space="0" w:color="auto"/>
      </w:divBdr>
    </w:div>
    <w:div w:id="914629556">
      <w:bodyDiv w:val="1"/>
      <w:marLeft w:val="0"/>
      <w:marRight w:val="0"/>
      <w:marTop w:val="0"/>
      <w:marBottom w:val="0"/>
      <w:divBdr>
        <w:top w:val="none" w:sz="0" w:space="0" w:color="auto"/>
        <w:left w:val="none" w:sz="0" w:space="0" w:color="auto"/>
        <w:bottom w:val="none" w:sz="0" w:space="0" w:color="auto"/>
        <w:right w:val="none" w:sz="0" w:space="0" w:color="auto"/>
      </w:divBdr>
    </w:div>
    <w:div w:id="1015771693">
      <w:bodyDiv w:val="1"/>
      <w:marLeft w:val="0"/>
      <w:marRight w:val="0"/>
      <w:marTop w:val="0"/>
      <w:marBottom w:val="0"/>
      <w:divBdr>
        <w:top w:val="none" w:sz="0" w:space="0" w:color="auto"/>
        <w:left w:val="none" w:sz="0" w:space="0" w:color="auto"/>
        <w:bottom w:val="none" w:sz="0" w:space="0" w:color="auto"/>
        <w:right w:val="none" w:sz="0" w:space="0" w:color="auto"/>
      </w:divBdr>
    </w:div>
    <w:div w:id="1171603920">
      <w:bodyDiv w:val="1"/>
      <w:marLeft w:val="0"/>
      <w:marRight w:val="0"/>
      <w:marTop w:val="0"/>
      <w:marBottom w:val="0"/>
      <w:divBdr>
        <w:top w:val="none" w:sz="0" w:space="0" w:color="auto"/>
        <w:left w:val="none" w:sz="0" w:space="0" w:color="auto"/>
        <w:bottom w:val="none" w:sz="0" w:space="0" w:color="auto"/>
        <w:right w:val="none" w:sz="0" w:space="0" w:color="auto"/>
      </w:divBdr>
    </w:div>
    <w:div w:id="1172792443">
      <w:bodyDiv w:val="1"/>
      <w:marLeft w:val="0"/>
      <w:marRight w:val="0"/>
      <w:marTop w:val="0"/>
      <w:marBottom w:val="0"/>
      <w:divBdr>
        <w:top w:val="none" w:sz="0" w:space="0" w:color="auto"/>
        <w:left w:val="none" w:sz="0" w:space="0" w:color="auto"/>
        <w:bottom w:val="none" w:sz="0" w:space="0" w:color="auto"/>
        <w:right w:val="none" w:sz="0" w:space="0" w:color="auto"/>
      </w:divBdr>
    </w:div>
    <w:div w:id="1206678110">
      <w:bodyDiv w:val="1"/>
      <w:marLeft w:val="0"/>
      <w:marRight w:val="0"/>
      <w:marTop w:val="0"/>
      <w:marBottom w:val="0"/>
      <w:divBdr>
        <w:top w:val="none" w:sz="0" w:space="0" w:color="auto"/>
        <w:left w:val="none" w:sz="0" w:space="0" w:color="auto"/>
        <w:bottom w:val="none" w:sz="0" w:space="0" w:color="auto"/>
        <w:right w:val="none" w:sz="0" w:space="0" w:color="auto"/>
      </w:divBdr>
    </w:div>
    <w:div w:id="1215043454">
      <w:bodyDiv w:val="1"/>
      <w:marLeft w:val="0"/>
      <w:marRight w:val="0"/>
      <w:marTop w:val="0"/>
      <w:marBottom w:val="0"/>
      <w:divBdr>
        <w:top w:val="none" w:sz="0" w:space="0" w:color="auto"/>
        <w:left w:val="none" w:sz="0" w:space="0" w:color="auto"/>
        <w:bottom w:val="none" w:sz="0" w:space="0" w:color="auto"/>
        <w:right w:val="none" w:sz="0" w:space="0" w:color="auto"/>
      </w:divBdr>
    </w:div>
    <w:div w:id="1513490293">
      <w:bodyDiv w:val="1"/>
      <w:marLeft w:val="0"/>
      <w:marRight w:val="0"/>
      <w:marTop w:val="0"/>
      <w:marBottom w:val="0"/>
      <w:divBdr>
        <w:top w:val="none" w:sz="0" w:space="0" w:color="auto"/>
        <w:left w:val="none" w:sz="0" w:space="0" w:color="auto"/>
        <w:bottom w:val="none" w:sz="0" w:space="0" w:color="auto"/>
        <w:right w:val="none" w:sz="0" w:space="0" w:color="auto"/>
      </w:divBdr>
    </w:div>
    <w:div w:id="1559323446">
      <w:bodyDiv w:val="1"/>
      <w:marLeft w:val="0"/>
      <w:marRight w:val="0"/>
      <w:marTop w:val="0"/>
      <w:marBottom w:val="0"/>
      <w:divBdr>
        <w:top w:val="none" w:sz="0" w:space="0" w:color="auto"/>
        <w:left w:val="none" w:sz="0" w:space="0" w:color="auto"/>
        <w:bottom w:val="none" w:sz="0" w:space="0" w:color="auto"/>
        <w:right w:val="none" w:sz="0" w:space="0" w:color="auto"/>
      </w:divBdr>
    </w:div>
    <w:div w:id="1621570600">
      <w:bodyDiv w:val="1"/>
      <w:marLeft w:val="0"/>
      <w:marRight w:val="0"/>
      <w:marTop w:val="0"/>
      <w:marBottom w:val="0"/>
      <w:divBdr>
        <w:top w:val="none" w:sz="0" w:space="0" w:color="auto"/>
        <w:left w:val="none" w:sz="0" w:space="0" w:color="auto"/>
        <w:bottom w:val="none" w:sz="0" w:space="0" w:color="auto"/>
        <w:right w:val="none" w:sz="0" w:space="0" w:color="auto"/>
      </w:divBdr>
    </w:div>
    <w:div w:id="1656765136">
      <w:bodyDiv w:val="1"/>
      <w:marLeft w:val="0"/>
      <w:marRight w:val="0"/>
      <w:marTop w:val="0"/>
      <w:marBottom w:val="0"/>
      <w:divBdr>
        <w:top w:val="none" w:sz="0" w:space="0" w:color="auto"/>
        <w:left w:val="none" w:sz="0" w:space="0" w:color="auto"/>
        <w:bottom w:val="none" w:sz="0" w:space="0" w:color="auto"/>
        <w:right w:val="none" w:sz="0" w:space="0" w:color="auto"/>
      </w:divBdr>
    </w:div>
    <w:div w:id="1727871945">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
    <w:div w:id="1932814846">
      <w:bodyDiv w:val="1"/>
      <w:marLeft w:val="0"/>
      <w:marRight w:val="0"/>
      <w:marTop w:val="0"/>
      <w:marBottom w:val="0"/>
      <w:divBdr>
        <w:top w:val="none" w:sz="0" w:space="0" w:color="auto"/>
        <w:left w:val="none" w:sz="0" w:space="0" w:color="auto"/>
        <w:bottom w:val="none" w:sz="0" w:space="0" w:color="auto"/>
        <w:right w:val="none" w:sz="0" w:space="0" w:color="auto"/>
      </w:divBdr>
    </w:div>
    <w:div w:id="2042391819">
      <w:bodyDiv w:val="1"/>
      <w:marLeft w:val="0"/>
      <w:marRight w:val="0"/>
      <w:marTop w:val="0"/>
      <w:marBottom w:val="0"/>
      <w:divBdr>
        <w:top w:val="none" w:sz="0" w:space="0" w:color="auto"/>
        <w:left w:val="none" w:sz="0" w:space="0" w:color="auto"/>
        <w:bottom w:val="none" w:sz="0" w:space="0" w:color="auto"/>
        <w:right w:val="none" w:sz="0" w:space="0" w:color="auto"/>
      </w:divBdr>
    </w:div>
    <w:div w:id="2139958042">
      <w:bodyDiv w:val="1"/>
      <w:marLeft w:val="0"/>
      <w:marRight w:val="0"/>
      <w:marTop w:val="0"/>
      <w:marBottom w:val="0"/>
      <w:divBdr>
        <w:top w:val="none" w:sz="0" w:space="0" w:color="auto"/>
        <w:left w:val="none" w:sz="0" w:space="0" w:color="auto"/>
        <w:bottom w:val="none" w:sz="0" w:space="0" w:color="auto"/>
        <w:right w:val="none" w:sz="0" w:space="0" w:color="auto"/>
      </w:divBdr>
    </w:div>
    <w:div w:id="214041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tga.gov.au/product-information-pi"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55"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microsoft.com/office/2007/relationships/hdphoto" Target="media/hdphoto2.wdp"/><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eader" Target="header4.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3.xml"/><Relationship Id="rId45" Type="http://schemas.openxmlformats.org/officeDocument/2006/relationships/hyperlink" Target="https://www.tga.gov.au" TargetMode="External"/><Relationship Id="rId5" Type="http://schemas.microsoft.com/office/2007/relationships/stylesWithEffects" Target="stylesWithEffects.xml"/><Relationship Id="rId15" Type="http://schemas.openxmlformats.org/officeDocument/2006/relationships/hyperlink" Target="https://www.tga.gov.au/product-information-pi" TargetMode="External"/><Relationship Id="rId23" Type="http://schemas.microsoft.com/office/2007/relationships/hdphoto" Target="media/hdphoto1.wdp"/><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8.xml"/><Relationship Id="rId10" Type="http://schemas.openxmlformats.org/officeDocument/2006/relationships/hyperlink" Target="https://www.tga.gov.au"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43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08011-C29E-4982-8E0E-E7CCA3DBE81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C787C42-935C-4041-A326-F48B055AE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82</TotalTime>
  <Pages>74</Pages>
  <Words>24794</Words>
  <Characters>141327</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Australian Public Assessment Report Pembrolizumab (rch)</vt:lpstr>
    </vt:vector>
  </TitlesOfParts>
  <Company>Department of Health Therapeutic Goods Administration</Company>
  <LinksUpToDate>false</LinksUpToDate>
  <CharactersWithSpaces>165790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Pembrolizumab (rch)</dc:title>
  <dc:subject>prescription medicines</dc:subject>
  <dc:creator>Therapeutic Goods Administration</dc:creator>
  <cp:keywords>AusPARs</cp:keywords>
  <cp:lastModifiedBy>LACK, Janet</cp:lastModifiedBy>
  <cp:revision>4</cp:revision>
  <cp:lastPrinted>2017-12-15T05:35:00Z</cp:lastPrinted>
  <dcterms:created xsi:type="dcterms:W3CDTF">2018-07-05T03:53:00Z</dcterms:created>
  <dcterms:modified xsi:type="dcterms:W3CDTF">2018-07-09T03:38:00Z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82071773-532a-437b-8023-55a7ee0e3ed4</vt:lpwstr>
  </property>
  <property fmtid="{D5CDD505-2E9C-101B-9397-08002B2CF9AE}" pid="3" name="bjSaver">
    <vt:lpwstr>lgfMk5ZYUbxnFrzApibCjrr+8haFhTgp</vt:lpwstr>
  </property>
  <property fmtid="{D5CDD505-2E9C-101B-9397-08002B2CF9AE}" pid="4"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5" name="bjDocumentLabelXML-0">
    <vt:lpwstr>nternal/label"&gt;&lt;element uid="9920fcc9-9f43-4d43-9e3e-b98a219cfd55" value="" /&gt;&lt;/sisl&gt;</vt:lpwstr>
  </property>
  <property fmtid="{D5CDD505-2E9C-101B-9397-08002B2CF9AE}" pid="6" name="bjDocumentSecurityLabel">
    <vt:lpwstr>Not Classified</vt:lpwstr>
  </property>
  <property fmtid="{D5CDD505-2E9C-101B-9397-08002B2CF9AE}" pid="7" name="_NewReviewCycle">
    <vt:lpwstr/>
  </property>
</Properties>
</file>