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6D8A" w14:textId="77777777" w:rsidR="00834C48" w:rsidRPr="005E3242" w:rsidRDefault="00834C48" w:rsidP="00C448E8">
      <w:pPr>
        <w:rPr>
          <w:b/>
          <w:color w:val="auto"/>
          <w:sz w:val="28"/>
          <w:szCs w:val="28"/>
        </w:rPr>
      </w:pPr>
      <w:r w:rsidRPr="005E3242">
        <w:rPr>
          <w:b/>
          <w:color w:val="auto"/>
          <w:sz w:val="28"/>
          <w:szCs w:val="28"/>
        </w:rPr>
        <w:t>AUSTRALIAN PRODUCT INFORMATION</w:t>
      </w:r>
    </w:p>
    <w:p w14:paraId="47660E17" w14:textId="77777777" w:rsidR="00834C48" w:rsidRPr="005E3242" w:rsidRDefault="00191B0B" w:rsidP="00C448E8">
      <w:pPr>
        <w:rPr>
          <w:color w:val="auto"/>
        </w:rPr>
      </w:pPr>
      <w:proofErr w:type="spellStart"/>
      <w:r>
        <w:rPr>
          <w:b/>
          <w:color w:val="auto"/>
          <w:sz w:val="28"/>
          <w:szCs w:val="28"/>
        </w:rPr>
        <w:t>Phesgo</w:t>
      </w:r>
      <w:proofErr w:type="spellEnd"/>
      <w:r>
        <w:rPr>
          <w:b/>
          <w:color w:val="auto"/>
          <w:sz w:val="28"/>
          <w:szCs w:val="28"/>
        </w:rPr>
        <w:t xml:space="preserve"> </w:t>
      </w:r>
      <w:r w:rsidR="00834C48" w:rsidRPr="005E3242">
        <w:rPr>
          <w:b/>
          <w:color w:val="auto"/>
          <w:sz w:val="28"/>
          <w:szCs w:val="28"/>
        </w:rPr>
        <w:t>(</w:t>
      </w:r>
      <w:proofErr w:type="spellStart"/>
      <w:r>
        <w:rPr>
          <w:b/>
          <w:color w:val="auto"/>
          <w:sz w:val="28"/>
          <w:szCs w:val="28"/>
        </w:rPr>
        <w:t>pertuzumab</w:t>
      </w:r>
      <w:proofErr w:type="spellEnd"/>
      <w:r>
        <w:rPr>
          <w:b/>
          <w:color w:val="auto"/>
          <w:sz w:val="28"/>
          <w:szCs w:val="28"/>
        </w:rPr>
        <w:t xml:space="preserve"> and trastuzumab</w:t>
      </w:r>
      <w:r w:rsidR="00834C48" w:rsidRPr="005E3242">
        <w:rPr>
          <w:b/>
          <w:color w:val="auto"/>
          <w:sz w:val="28"/>
          <w:szCs w:val="28"/>
        </w:rPr>
        <w:t>)</w:t>
      </w:r>
    </w:p>
    <w:p w14:paraId="313762B8" w14:textId="77777777" w:rsidR="00834C48" w:rsidRPr="005E3242" w:rsidRDefault="00834C48" w:rsidP="00C448E8">
      <w:pPr>
        <w:rPr>
          <w:color w:val="auto"/>
          <w:sz w:val="22"/>
          <w:szCs w:val="22"/>
        </w:rPr>
      </w:pPr>
    </w:p>
    <w:p w14:paraId="34D308EE" w14:textId="77777777" w:rsidR="00AA7BC6" w:rsidRPr="005E3242" w:rsidRDefault="00AA7BC6" w:rsidP="00C448E8">
      <w:pPr>
        <w:rPr>
          <w:color w:val="auto"/>
          <w:sz w:val="22"/>
          <w:szCs w:val="22"/>
        </w:rPr>
      </w:pPr>
    </w:p>
    <w:p w14:paraId="1F0A755E" w14:textId="77777777" w:rsidR="00D52399" w:rsidRPr="005E3242" w:rsidRDefault="006C73C2" w:rsidP="00C448E8">
      <w:pPr>
        <w:pStyle w:val="Heading1"/>
        <w:numPr>
          <w:ilvl w:val="0"/>
          <w:numId w:val="3"/>
        </w:numPr>
        <w:spacing w:before="0"/>
        <w:rPr>
          <w:color w:val="auto"/>
        </w:rPr>
      </w:pPr>
      <w:r w:rsidRPr="005E3242">
        <w:rPr>
          <w:color w:val="auto"/>
        </w:rPr>
        <w:t>NAME OF THE MEDICINE</w:t>
      </w:r>
    </w:p>
    <w:p w14:paraId="6F4567FE" w14:textId="77777777" w:rsidR="00D52399" w:rsidRPr="005E3242" w:rsidRDefault="00413A78" w:rsidP="00C448E8">
      <w:pPr>
        <w:spacing w:after="240"/>
        <w:rPr>
          <w:color w:val="auto"/>
        </w:rPr>
      </w:pPr>
      <w:proofErr w:type="spellStart"/>
      <w:r w:rsidRPr="005E3242">
        <w:rPr>
          <w:color w:val="auto"/>
        </w:rPr>
        <w:t>Pertuzumab</w:t>
      </w:r>
      <w:proofErr w:type="spellEnd"/>
      <w:r w:rsidRPr="005E3242">
        <w:rPr>
          <w:color w:val="auto"/>
        </w:rPr>
        <w:t xml:space="preserve"> and trastuzumab</w:t>
      </w:r>
    </w:p>
    <w:p w14:paraId="54B37B1A" w14:textId="77777777" w:rsidR="00D52399" w:rsidRPr="005E3242" w:rsidRDefault="00615052" w:rsidP="00C448E8">
      <w:pPr>
        <w:pStyle w:val="Heading1"/>
        <w:numPr>
          <w:ilvl w:val="0"/>
          <w:numId w:val="3"/>
        </w:numPr>
        <w:spacing w:before="0"/>
        <w:rPr>
          <w:color w:val="auto"/>
        </w:rPr>
      </w:pPr>
      <w:r w:rsidRPr="005E3242">
        <w:rPr>
          <w:color w:val="auto"/>
        </w:rPr>
        <w:t>QUALITATIVE AND QUANTITATIVE COMPOSITION</w:t>
      </w:r>
    </w:p>
    <w:p w14:paraId="009A8E34" w14:textId="4BBFE32A" w:rsidR="00C00E40" w:rsidRDefault="00191B0B" w:rsidP="00C448E8">
      <w:pPr>
        <w:rPr>
          <w:color w:val="auto"/>
          <w:lang w:val="en-US"/>
        </w:rPr>
      </w:pPr>
      <w:proofErr w:type="spellStart"/>
      <w:r>
        <w:rPr>
          <w:color w:val="auto"/>
          <w:lang w:val="en-US"/>
        </w:rPr>
        <w:t>Phesgo</w:t>
      </w:r>
      <w:proofErr w:type="spellEnd"/>
      <w:r w:rsidR="00413A78" w:rsidRPr="005E3242">
        <w:rPr>
          <w:color w:val="auto"/>
          <w:lang w:val="en-US"/>
        </w:rPr>
        <w:t xml:space="preserve"> is a clear to opalescent solution, </w:t>
      </w:r>
      <w:proofErr w:type="spellStart"/>
      <w:r w:rsidR="00413A78" w:rsidRPr="005E3242">
        <w:rPr>
          <w:color w:val="auto"/>
          <w:lang w:val="en-US"/>
        </w:rPr>
        <w:t>colourless</w:t>
      </w:r>
      <w:proofErr w:type="spellEnd"/>
      <w:r w:rsidR="00413A78" w:rsidRPr="005E3242">
        <w:rPr>
          <w:color w:val="auto"/>
          <w:lang w:val="en-US"/>
        </w:rPr>
        <w:t xml:space="preserve"> to slightly brownish solution supplied </w:t>
      </w:r>
      <w:r w:rsidR="00C00E40">
        <w:rPr>
          <w:color w:val="auto"/>
          <w:lang w:val="en-US"/>
        </w:rPr>
        <w:t>as:</w:t>
      </w:r>
    </w:p>
    <w:p w14:paraId="20613D28" w14:textId="0B50E5B6" w:rsidR="00413A78" w:rsidRPr="002C749A" w:rsidRDefault="00413A78" w:rsidP="00C448E8">
      <w:pPr>
        <w:pStyle w:val="ListParagraph"/>
        <w:numPr>
          <w:ilvl w:val="0"/>
          <w:numId w:val="10"/>
        </w:numPr>
        <w:ind w:left="567" w:hanging="207"/>
        <w:rPr>
          <w:color w:val="auto"/>
        </w:rPr>
      </w:pPr>
      <w:r w:rsidRPr="002C749A">
        <w:rPr>
          <w:color w:val="auto"/>
        </w:rPr>
        <w:t xml:space="preserve">1200 mg </w:t>
      </w:r>
      <w:proofErr w:type="spellStart"/>
      <w:r w:rsidRPr="002C749A">
        <w:rPr>
          <w:color w:val="auto"/>
        </w:rPr>
        <w:t>pertuzumab</w:t>
      </w:r>
      <w:proofErr w:type="spellEnd"/>
      <w:r w:rsidR="00C00E40">
        <w:rPr>
          <w:color w:val="auto"/>
        </w:rPr>
        <w:t xml:space="preserve"> and </w:t>
      </w:r>
      <w:r w:rsidRPr="002C749A">
        <w:rPr>
          <w:color w:val="auto"/>
        </w:rPr>
        <w:t>600 mg trastuzumab</w:t>
      </w:r>
      <w:r w:rsidR="00C00E40">
        <w:rPr>
          <w:color w:val="auto"/>
        </w:rPr>
        <w:t xml:space="preserve"> per </w:t>
      </w:r>
      <w:r w:rsidRPr="002C749A">
        <w:rPr>
          <w:color w:val="auto"/>
        </w:rPr>
        <w:t>15 mL solution in a</w:t>
      </w:r>
      <w:r w:rsidR="00C00E40">
        <w:rPr>
          <w:color w:val="auto"/>
        </w:rPr>
        <w:t xml:space="preserve"> single dose</w:t>
      </w:r>
      <w:r w:rsidRPr="002C749A">
        <w:rPr>
          <w:color w:val="auto"/>
        </w:rPr>
        <w:t xml:space="preserve"> vial</w:t>
      </w:r>
      <w:r w:rsidR="00690083">
        <w:rPr>
          <w:color w:val="auto"/>
        </w:rPr>
        <w:t xml:space="preserve"> with 30000 units of </w:t>
      </w:r>
      <w:proofErr w:type="spellStart"/>
      <w:r w:rsidR="00690083">
        <w:rPr>
          <w:color w:val="auto"/>
        </w:rPr>
        <w:t>vorhyaluronidase</w:t>
      </w:r>
      <w:proofErr w:type="spellEnd"/>
      <w:r w:rsidR="00690083">
        <w:rPr>
          <w:color w:val="auto"/>
        </w:rPr>
        <w:t xml:space="preserve"> alfa</w:t>
      </w:r>
      <w:r w:rsidRPr="002C749A">
        <w:rPr>
          <w:color w:val="auto"/>
        </w:rPr>
        <w:t>.</w:t>
      </w:r>
    </w:p>
    <w:p w14:paraId="4D73FC46" w14:textId="3FD8351A" w:rsidR="00413A78" w:rsidRPr="002C749A" w:rsidRDefault="00413A78" w:rsidP="00C448E8">
      <w:pPr>
        <w:pStyle w:val="ListParagraph"/>
        <w:numPr>
          <w:ilvl w:val="0"/>
          <w:numId w:val="10"/>
        </w:numPr>
        <w:ind w:left="567" w:hanging="207"/>
        <w:rPr>
          <w:color w:val="auto"/>
        </w:rPr>
      </w:pPr>
      <w:r w:rsidRPr="002C749A">
        <w:rPr>
          <w:color w:val="auto"/>
        </w:rPr>
        <w:t xml:space="preserve">600 mg </w:t>
      </w:r>
      <w:proofErr w:type="spellStart"/>
      <w:r w:rsidRPr="002C749A">
        <w:rPr>
          <w:color w:val="auto"/>
        </w:rPr>
        <w:t>pertuzumab</w:t>
      </w:r>
      <w:proofErr w:type="spellEnd"/>
      <w:r w:rsidR="00C00E40">
        <w:rPr>
          <w:color w:val="auto"/>
        </w:rPr>
        <w:t xml:space="preserve"> and </w:t>
      </w:r>
      <w:r w:rsidRPr="002C749A">
        <w:rPr>
          <w:color w:val="auto"/>
        </w:rPr>
        <w:t>600 mg trastuzumab</w:t>
      </w:r>
      <w:r w:rsidR="00C00E40">
        <w:rPr>
          <w:color w:val="auto"/>
        </w:rPr>
        <w:t xml:space="preserve"> per </w:t>
      </w:r>
      <w:r w:rsidRPr="002C749A">
        <w:rPr>
          <w:color w:val="auto"/>
        </w:rPr>
        <w:t xml:space="preserve">10 mL solution in a </w:t>
      </w:r>
      <w:r w:rsidR="00C00E40">
        <w:rPr>
          <w:color w:val="auto"/>
        </w:rPr>
        <w:t xml:space="preserve">single dose </w:t>
      </w:r>
      <w:r w:rsidRPr="002C749A">
        <w:rPr>
          <w:color w:val="auto"/>
        </w:rPr>
        <w:t>vial</w:t>
      </w:r>
      <w:r w:rsidR="00690083">
        <w:rPr>
          <w:color w:val="auto"/>
        </w:rPr>
        <w:t xml:space="preserve"> with 20000 units of </w:t>
      </w:r>
      <w:proofErr w:type="spellStart"/>
      <w:r w:rsidR="00690083">
        <w:rPr>
          <w:color w:val="auto"/>
        </w:rPr>
        <w:t>vorhyaluronidase</w:t>
      </w:r>
      <w:proofErr w:type="spellEnd"/>
      <w:r w:rsidR="00690083">
        <w:rPr>
          <w:color w:val="auto"/>
        </w:rPr>
        <w:t xml:space="preserve"> alfa</w:t>
      </w:r>
      <w:r w:rsidRPr="002C749A">
        <w:rPr>
          <w:color w:val="auto"/>
        </w:rPr>
        <w:t>.</w:t>
      </w:r>
    </w:p>
    <w:p w14:paraId="75A1F3FA" w14:textId="77777777" w:rsidR="00413A78" w:rsidRPr="005E3242" w:rsidRDefault="00413A78" w:rsidP="00C448E8">
      <w:pPr>
        <w:rPr>
          <w:color w:val="auto"/>
        </w:rPr>
      </w:pPr>
    </w:p>
    <w:p w14:paraId="6119A2E6" w14:textId="5216B694" w:rsidR="00413A78" w:rsidRPr="005E3242" w:rsidRDefault="00B45340" w:rsidP="00C448E8">
      <w:pPr>
        <w:rPr>
          <w:color w:val="auto"/>
        </w:rPr>
      </w:pPr>
      <w:proofErr w:type="spellStart"/>
      <w:r>
        <w:rPr>
          <w:color w:val="auto"/>
          <w:lang w:val="en-US"/>
        </w:rPr>
        <w:t>V</w:t>
      </w:r>
      <w:r w:rsidR="00413A78" w:rsidRPr="005E3242">
        <w:rPr>
          <w:color w:val="auto"/>
          <w:lang w:val="en-US"/>
        </w:rPr>
        <w:t>orhyaluronidase</w:t>
      </w:r>
      <w:proofErr w:type="spellEnd"/>
      <w:r w:rsidR="00413A78" w:rsidRPr="005E3242">
        <w:rPr>
          <w:color w:val="auto"/>
          <w:lang w:val="en-US"/>
        </w:rPr>
        <w:t xml:space="preserve"> alfa (recombinant human hyaluronidase rHuPH20)</w:t>
      </w:r>
      <w:r>
        <w:rPr>
          <w:color w:val="auto"/>
          <w:lang w:val="en-US"/>
        </w:rPr>
        <w:t xml:space="preserve"> is</w:t>
      </w:r>
      <w:r w:rsidR="00413A78" w:rsidRPr="005E3242">
        <w:rPr>
          <w:color w:val="auto"/>
          <w:lang w:val="en-US"/>
        </w:rPr>
        <w:t xml:space="preserve"> an enzyme used to increase the dispersion and absorption of co-formulated drugs when administered subcutaneously.</w:t>
      </w:r>
    </w:p>
    <w:p w14:paraId="2F8B2CBE" w14:textId="77777777" w:rsidR="00D52399" w:rsidRPr="005E3242" w:rsidRDefault="00D52399" w:rsidP="00C448E8">
      <w:pPr>
        <w:rPr>
          <w:color w:val="auto"/>
          <w:u w:val="single"/>
        </w:rPr>
      </w:pPr>
    </w:p>
    <w:p w14:paraId="0940510A" w14:textId="77777777" w:rsidR="00D52399" w:rsidRPr="005E3242" w:rsidRDefault="00615052" w:rsidP="00C448E8">
      <w:pPr>
        <w:spacing w:after="240"/>
        <w:rPr>
          <w:color w:val="auto"/>
          <w:u w:val="single"/>
        </w:rPr>
      </w:pPr>
      <w:bookmarkStart w:id="0" w:name="_gjdgxs" w:colFirst="0" w:colLast="0"/>
      <w:bookmarkEnd w:id="0"/>
      <w:r w:rsidRPr="005E3242">
        <w:rPr>
          <w:color w:val="auto"/>
        </w:rPr>
        <w:t xml:space="preserve">For the full list of excipients, see section </w:t>
      </w:r>
      <w:r w:rsidRPr="001E0DBF">
        <w:rPr>
          <w:i/>
          <w:color w:val="auto"/>
        </w:rPr>
        <w:t>6.1</w:t>
      </w:r>
      <w:r w:rsidR="009F4C5B" w:rsidRPr="001E0DBF">
        <w:rPr>
          <w:i/>
          <w:color w:val="auto"/>
        </w:rPr>
        <w:t xml:space="preserve"> List of excipients</w:t>
      </w:r>
      <w:r w:rsidRPr="005E3242">
        <w:rPr>
          <w:color w:val="auto"/>
        </w:rPr>
        <w:t>.</w:t>
      </w:r>
    </w:p>
    <w:p w14:paraId="0371A236" w14:textId="77777777" w:rsidR="00D52399" w:rsidRPr="005E3242" w:rsidRDefault="00615052" w:rsidP="00C448E8">
      <w:pPr>
        <w:pStyle w:val="Heading1"/>
        <w:numPr>
          <w:ilvl w:val="0"/>
          <w:numId w:val="3"/>
        </w:numPr>
        <w:spacing w:before="0"/>
        <w:rPr>
          <w:color w:val="auto"/>
        </w:rPr>
      </w:pPr>
      <w:r w:rsidRPr="005E3242">
        <w:rPr>
          <w:color w:val="auto"/>
        </w:rPr>
        <w:t>PHARMACEUTICAL FORM</w:t>
      </w:r>
    </w:p>
    <w:p w14:paraId="3968A039" w14:textId="12640AF9" w:rsidR="00413A78" w:rsidRPr="005E3242" w:rsidRDefault="00413A78" w:rsidP="00C448E8">
      <w:pPr>
        <w:rPr>
          <w:color w:val="auto"/>
        </w:rPr>
      </w:pPr>
      <w:r w:rsidRPr="005E3242">
        <w:rPr>
          <w:color w:val="auto"/>
          <w:lang w:val="en-US"/>
        </w:rPr>
        <w:t xml:space="preserve">Solution for </w:t>
      </w:r>
      <w:r w:rsidRPr="008C1903">
        <w:rPr>
          <w:color w:val="auto"/>
          <w:u w:val="single"/>
          <w:lang w:val="en-US"/>
        </w:rPr>
        <w:t>subcutaneous</w:t>
      </w:r>
      <w:r w:rsidRPr="005E3242">
        <w:rPr>
          <w:color w:val="auto"/>
          <w:lang w:val="en-US"/>
        </w:rPr>
        <w:t xml:space="preserve"> injection</w:t>
      </w:r>
      <w:r w:rsidR="00690083">
        <w:rPr>
          <w:color w:val="auto"/>
          <w:lang w:val="en-US"/>
        </w:rPr>
        <w:t>.</w:t>
      </w:r>
    </w:p>
    <w:p w14:paraId="7DD783CB" w14:textId="77777777" w:rsidR="00413A78" w:rsidRPr="005E3242" w:rsidRDefault="00413A78" w:rsidP="00C448E8">
      <w:pPr>
        <w:rPr>
          <w:color w:val="auto"/>
        </w:rPr>
      </w:pPr>
    </w:p>
    <w:p w14:paraId="4FE801D3" w14:textId="77777777" w:rsidR="00D52399" w:rsidRPr="005E3242" w:rsidRDefault="00615052" w:rsidP="00C448E8">
      <w:pPr>
        <w:pStyle w:val="Heading1"/>
        <w:numPr>
          <w:ilvl w:val="0"/>
          <w:numId w:val="3"/>
        </w:numPr>
        <w:spacing w:before="0"/>
        <w:rPr>
          <w:color w:val="auto"/>
        </w:rPr>
      </w:pPr>
      <w:r w:rsidRPr="005E3242">
        <w:rPr>
          <w:color w:val="auto"/>
        </w:rPr>
        <w:t>CLINICAL PARTICULARS</w:t>
      </w:r>
    </w:p>
    <w:p w14:paraId="129AD7E4" w14:textId="77777777" w:rsidR="00D52399" w:rsidRPr="005E3242" w:rsidRDefault="00902EBE" w:rsidP="00C448E8">
      <w:pPr>
        <w:pStyle w:val="Heading2"/>
        <w:numPr>
          <w:ilvl w:val="0"/>
          <w:numId w:val="1"/>
        </w:numPr>
        <w:spacing w:before="0"/>
        <w:ind w:hanging="786"/>
        <w:rPr>
          <w:color w:val="auto"/>
        </w:rPr>
      </w:pPr>
      <w:r w:rsidRPr="005E3242">
        <w:rPr>
          <w:color w:val="auto"/>
        </w:rPr>
        <w:t>THERAPEUTIC INDICATIONS</w:t>
      </w:r>
    </w:p>
    <w:p w14:paraId="5959104E" w14:textId="77777777" w:rsidR="00593BB3" w:rsidRPr="005E3242" w:rsidRDefault="00593BB3" w:rsidP="00C448E8">
      <w:pPr>
        <w:pStyle w:val="Heading3"/>
        <w:rPr>
          <w:color w:val="auto"/>
        </w:rPr>
      </w:pPr>
      <w:r w:rsidRPr="005E3242">
        <w:rPr>
          <w:color w:val="auto"/>
        </w:rPr>
        <w:t>Early Breast Cancer (EBC)</w:t>
      </w:r>
    </w:p>
    <w:p w14:paraId="48D36F4E" w14:textId="77777777" w:rsidR="00593BB3" w:rsidRPr="005E3242" w:rsidRDefault="00191B0B" w:rsidP="00C448E8">
      <w:pPr>
        <w:rPr>
          <w:lang w:eastAsia="en-GB"/>
        </w:rPr>
      </w:pPr>
      <w:proofErr w:type="spellStart"/>
      <w:r>
        <w:rPr>
          <w:lang w:eastAsia="en-GB"/>
        </w:rPr>
        <w:t>Phesgo</w:t>
      </w:r>
      <w:proofErr w:type="spellEnd"/>
      <w:r w:rsidR="00593BB3" w:rsidRPr="005E3242">
        <w:rPr>
          <w:lang w:eastAsia="en-GB"/>
        </w:rPr>
        <w:t xml:space="preserve"> is indicated in combination with chemotherapy for the:</w:t>
      </w:r>
    </w:p>
    <w:p w14:paraId="7261DD8C" w14:textId="77777777" w:rsidR="00593BB3" w:rsidRPr="005E3242" w:rsidRDefault="00593BB3" w:rsidP="00C448E8">
      <w:pPr>
        <w:pStyle w:val="ListParagraph"/>
        <w:numPr>
          <w:ilvl w:val="0"/>
          <w:numId w:val="11"/>
        </w:numPr>
        <w:rPr>
          <w:lang w:eastAsia="en-GB"/>
        </w:rPr>
      </w:pPr>
      <w:r w:rsidRPr="005E3242">
        <w:rPr>
          <w:lang w:eastAsia="en-GB"/>
        </w:rPr>
        <w:t xml:space="preserve">neoadjuvant treatment of patients with HER2-positive, locally advanced, inflammatory, or early stage breast cancer (either &gt;2 cm in diameter or node positive) as part of a complete treatment regimen for early breast cancer </w:t>
      </w:r>
    </w:p>
    <w:p w14:paraId="2F7D3860" w14:textId="77777777" w:rsidR="00593BB3" w:rsidRPr="005E3242" w:rsidRDefault="00593BB3" w:rsidP="00C448E8">
      <w:pPr>
        <w:pStyle w:val="ListParagraph"/>
        <w:numPr>
          <w:ilvl w:val="0"/>
          <w:numId w:val="11"/>
        </w:numPr>
      </w:pPr>
      <w:r w:rsidRPr="005E3242">
        <w:rPr>
          <w:lang w:eastAsia="en-GB"/>
        </w:rPr>
        <w:t>adjuvant treatment of patients with HER2-positive early breast cancer at high risk of recurrence</w:t>
      </w:r>
    </w:p>
    <w:p w14:paraId="71E87FBB" w14:textId="7C485E76" w:rsidR="003658A1" w:rsidRPr="005E3242" w:rsidRDefault="002D4E94" w:rsidP="00C448E8">
      <w:pPr>
        <w:rPr>
          <w:lang w:eastAsia="en-GB"/>
        </w:rPr>
      </w:pPr>
      <w:r w:rsidRPr="00611419">
        <w:rPr>
          <w:lang w:eastAsia="en-GB"/>
        </w:rPr>
        <w:t>Select patients for therapy based on a validated test.</w:t>
      </w:r>
    </w:p>
    <w:p w14:paraId="7F79265C" w14:textId="77777777" w:rsidR="003658A1" w:rsidRPr="005E3242" w:rsidRDefault="00593BB3" w:rsidP="00C448E8">
      <w:pPr>
        <w:pStyle w:val="Heading3"/>
        <w:rPr>
          <w:color w:val="auto"/>
        </w:rPr>
      </w:pPr>
      <w:r w:rsidRPr="005E3242">
        <w:rPr>
          <w:color w:val="auto"/>
        </w:rPr>
        <w:t>Metastatic Breast Cancer (MBC)</w:t>
      </w:r>
    </w:p>
    <w:p w14:paraId="65C19A52" w14:textId="3A2DB4EF" w:rsidR="00593BB3" w:rsidRDefault="00191B0B" w:rsidP="00C448E8">
      <w:pPr>
        <w:rPr>
          <w:lang w:eastAsia="en-GB"/>
        </w:rPr>
      </w:pPr>
      <w:proofErr w:type="spellStart"/>
      <w:r>
        <w:rPr>
          <w:lang w:eastAsia="en-GB"/>
        </w:rPr>
        <w:t>Phesgo</w:t>
      </w:r>
      <w:proofErr w:type="spellEnd"/>
      <w:r w:rsidR="00593BB3" w:rsidRPr="005E3242">
        <w:rPr>
          <w:lang w:eastAsia="en-GB"/>
        </w:rPr>
        <w:t xml:space="preserve"> is indicated in combination with docetaxel for patients with HER2-positive metastatic or locally recurrent unresectable breast cancer, who have not received previous anti-HER2 therapy or chemotherapy for their metastatic disease</w:t>
      </w:r>
      <w:r w:rsidR="002D4E94">
        <w:rPr>
          <w:lang w:eastAsia="en-GB"/>
        </w:rPr>
        <w:t xml:space="preserve">. </w:t>
      </w:r>
      <w:r w:rsidR="002D4E94" w:rsidRPr="002D4E94">
        <w:rPr>
          <w:lang w:eastAsia="en-GB"/>
        </w:rPr>
        <w:t>Select patients for therapy based on a validated test.</w:t>
      </w:r>
    </w:p>
    <w:p w14:paraId="068318C8" w14:textId="16B1EAC8" w:rsidR="009931D6" w:rsidRDefault="009931D6" w:rsidP="00C448E8"/>
    <w:p w14:paraId="4F4A2237" w14:textId="05174799" w:rsidR="00D52399" w:rsidRDefault="00902EBE" w:rsidP="00C448E8">
      <w:pPr>
        <w:pStyle w:val="Heading2"/>
        <w:numPr>
          <w:ilvl w:val="1"/>
          <w:numId w:val="2"/>
        </w:numPr>
        <w:ind w:left="0" w:firstLine="0"/>
        <w:rPr>
          <w:color w:val="auto"/>
        </w:rPr>
      </w:pPr>
      <w:r w:rsidRPr="005E3242">
        <w:rPr>
          <w:color w:val="auto"/>
        </w:rPr>
        <w:t>DOSE AND METHOD OF ADMINISTRATION</w:t>
      </w:r>
    </w:p>
    <w:p w14:paraId="28E58A24" w14:textId="67D6450C" w:rsidR="00C45C28" w:rsidRDefault="00681A9A" w:rsidP="00C448E8">
      <w:pPr>
        <w:rPr>
          <w:lang w:val="en-US"/>
        </w:rPr>
      </w:pPr>
      <w:r>
        <w:tab/>
      </w:r>
      <w:proofErr w:type="spellStart"/>
      <w:r w:rsidR="00C45C28">
        <w:rPr>
          <w:color w:val="auto"/>
          <w:lang w:val="en-US"/>
        </w:rPr>
        <w:t>Phesgo</w:t>
      </w:r>
      <w:proofErr w:type="spellEnd"/>
      <w:r w:rsidR="00C45C28" w:rsidRPr="005E3242">
        <w:rPr>
          <w:color w:val="auto"/>
          <w:lang w:val="en-US"/>
        </w:rPr>
        <w:t xml:space="preserve"> therapy should only be </w:t>
      </w:r>
      <w:r w:rsidR="00C45C28">
        <w:rPr>
          <w:color w:val="auto"/>
          <w:lang w:val="en-US"/>
        </w:rPr>
        <w:t>initiated</w:t>
      </w:r>
      <w:r w:rsidR="00C45C28" w:rsidRPr="005E3242">
        <w:rPr>
          <w:color w:val="auto"/>
          <w:lang w:val="en-US"/>
        </w:rPr>
        <w:t xml:space="preserve"> under the supervision of a </w:t>
      </w:r>
      <w:r w:rsidR="00C45C28">
        <w:rPr>
          <w:color w:val="auto"/>
          <w:lang w:val="en-US"/>
        </w:rPr>
        <w:t>physician</w:t>
      </w:r>
      <w:r w:rsidR="00C45C28" w:rsidRPr="005E3242">
        <w:rPr>
          <w:color w:val="auto"/>
          <w:lang w:val="en-US"/>
        </w:rPr>
        <w:t xml:space="preserve"> experienced in the </w:t>
      </w:r>
      <w:r w:rsidR="00C45C28">
        <w:rPr>
          <w:color w:val="auto"/>
          <w:lang w:val="en-US"/>
        </w:rPr>
        <w:t>use</w:t>
      </w:r>
      <w:r w:rsidR="00C45C28" w:rsidRPr="0023141D">
        <w:rPr>
          <w:lang w:val="en-US"/>
        </w:rPr>
        <w:t xml:space="preserve"> of </w:t>
      </w:r>
      <w:r w:rsidR="00C45C28">
        <w:rPr>
          <w:lang w:val="en-US"/>
        </w:rPr>
        <w:t>anti-</w:t>
      </w:r>
      <w:r w:rsidR="00C45C28" w:rsidRPr="0023141D">
        <w:rPr>
          <w:lang w:val="en-US"/>
        </w:rPr>
        <w:t xml:space="preserve">cancer </w:t>
      </w:r>
      <w:r w:rsidR="00C45C28">
        <w:rPr>
          <w:lang w:val="en-US"/>
        </w:rPr>
        <w:t>agents</w:t>
      </w:r>
      <w:r w:rsidR="00C45C28" w:rsidRPr="0023141D">
        <w:rPr>
          <w:lang w:val="en-US"/>
        </w:rPr>
        <w:t>.</w:t>
      </w:r>
      <w:r w:rsidR="00C45C28">
        <w:rPr>
          <w:lang w:val="en-US"/>
        </w:rPr>
        <w:t xml:space="preserve"> </w:t>
      </w:r>
    </w:p>
    <w:p w14:paraId="221B838D" w14:textId="77777777" w:rsidR="00041B5E" w:rsidRDefault="00041B5E" w:rsidP="00C448E8">
      <w:pPr>
        <w:rPr>
          <w:lang w:val="en-US"/>
        </w:rPr>
      </w:pPr>
    </w:p>
    <w:p w14:paraId="6A0F7D6E" w14:textId="6B3338E8" w:rsidR="00ED4954" w:rsidRPr="005E3242" w:rsidRDefault="00C45C28" w:rsidP="00C448E8">
      <w:pPr>
        <w:rPr>
          <w:b/>
          <w:color w:val="auto"/>
          <w:lang w:val="en-US"/>
        </w:rPr>
      </w:pPr>
      <w:proofErr w:type="spellStart"/>
      <w:r w:rsidRPr="00087FAC">
        <w:rPr>
          <w:lang w:val="en-US"/>
        </w:rPr>
        <w:t>Phesgo</w:t>
      </w:r>
      <w:proofErr w:type="spellEnd"/>
      <w:r w:rsidRPr="00087FAC">
        <w:rPr>
          <w:lang w:val="en-US"/>
        </w:rPr>
        <w:t xml:space="preserve"> should </w:t>
      </w:r>
      <w:r>
        <w:rPr>
          <w:lang w:val="en-US"/>
        </w:rPr>
        <w:t xml:space="preserve">always </w:t>
      </w:r>
      <w:r w:rsidRPr="00087FAC">
        <w:rPr>
          <w:lang w:val="en-US"/>
        </w:rPr>
        <w:t>be administered by a healthcare professional prepared to manage anaphylaxis and in an environment where full resuscitation facilities are immediately available</w:t>
      </w:r>
      <w:r>
        <w:rPr>
          <w:lang w:val="en-US"/>
        </w:rPr>
        <w:t xml:space="preserve"> </w:t>
      </w:r>
      <w:r w:rsidRPr="005E3242">
        <w:rPr>
          <w:color w:val="auto"/>
          <w:lang w:val="en-US"/>
        </w:rPr>
        <w:t xml:space="preserve">(see section </w:t>
      </w:r>
      <w:r>
        <w:rPr>
          <w:i/>
          <w:color w:val="auto"/>
          <w:lang w:val="en-US"/>
        </w:rPr>
        <w:t>4.4</w:t>
      </w:r>
      <w:r w:rsidRPr="005E3242">
        <w:rPr>
          <w:i/>
          <w:color w:val="auto"/>
          <w:lang w:val="en-US"/>
        </w:rPr>
        <w:t xml:space="preserve"> </w:t>
      </w:r>
      <w:r>
        <w:rPr>
          <w:i/>
          <w:color w:val="auto"/>
          <w:lang w:val="en-US"/>
        </w:rPr>
        <w:t>Special warnings and precautions for use)</w:t>
      </w:r>
      <w:r w:rsidRPr="005E3242">
        <w:rPr>
          <w:color w:val="auto"/>
          <w:lang w:val="en-US"/>
        </w:rPr>
        <w:t>.</w:t>
      </w:r>
    </w:p>
    <w:p w14:paraId="6F4BE2EA" w14:textId="0BE5F698" w:rsidR="00ED4954" w:rsidRDefault="00ED4954" w:rsidP="00C448E8">
      <w:pPr>
        <w:pStyle w:val="Heading3"/>
      </w:pPr>
      <w:r w:rsidRPr="005E3242">
        <w:lastRenderedPageBreak/>
        <w:t xml:space="preserve">Patient </w:t>
      </w:r>
      <w:r w:rsidR="002D4E94">
        <w:t>s</w:t>
      </w:r>
      <w:r w:rsidRPr="005E3242">
        <w:t>election</w:t>
      </w:r>
    </w:p>
    <w:p w14:paraId="20B11422" w14:textId="04614CE9" w:rsidR="00ED4954" w:rsidRPr="005E3242" w:rsidRDefault="002D4E94" w:rsidP="00C448E8">
      <w:pPr>
        <w:rPr>
          <w:color w:val="auto"/>
          <w:lang w:val="en-US"/>
        </w:rPr>
      </w:pPr>
      <w:r>
        <w:rPr>
          <w:color w:val="auto"/>
          <w:lang w:val="en-US"/>
        </w:rPr>
        <w:t xml:space="preserve">To be eligible for </w:t>
      </w:r>
      <w:r w:rsidR="00ED4954" w:rsidRPr="005E3242">
        <w:rPr>
          <w:color w:val="auto"/>
          <w:lang w:val="en-US"/>
        </w:rPr>
        <w:t>treat</w:t>
      </w:r>
      <w:r>
        <w:rPr>
          <w:color w:val="auto"/>
          <w:lang w:val="en-US"/>
        </w:rPr>
        <w:t>ment</w:t>
      </w:r>
      <w:r w:rsidR="00ED4954" w:rsidRPr="005E3242">
        <w:rPr>
          <w:color w:val="auto"/>
          <w:lang w:val="en-US"/>
        </w:rPr>
        <w:t xml:space="preserve"> with </w:t>
      </w:r>
      <w:proofErr w:type="spellStart"/>
      <w:r w:rsidR="00191B0B">
        <w:rPr>
          <w:color w:val="auto"/>
          <w:lang w:val="en-US"/>
        </w:rPr>
        <w:t>Phesgo</w:t>
      </w:r>
      <w:proofErr w:type="spellEnd"/>
      <w:r>
        <w:rPr>
          <w:color w:val="auto"/>
          <w:lang w:val="en-US"/>
        </w:rPr>
        <w:t>, patients</w:t>
      </w:r>
      <w:r w:rsidR="00ED4954" w:rsidRPr="005E3242">
        <w:rPr>
          <w:color w:val="auto"/>
          <w:lang w:val="en-US"/>
        </w:rPr>
        <w:t xml:space="preserve"> </w:t>
      </w:r>
      <w:r>
        <w:rPr>
          <w:color w:val="auto"/>
          <w:lang w:val="en-US"/>
        </w:rPr>
        <w:t>must</w:t>
      </w:r>
      <w:r w:rsidRPr="005E3242">
        <w:rPr>
          <w:color w:val="auto"/>
          <w:lang w:val="en-US"/>
        </w:rPr>
        <w:t xml:space="preserve"> </w:t>
      </w:r>
      <w:r w:rsidR="00ED4954" w:rsidRPr="005E3242">
        <w:rPr>
          <w:color w:val="auto"/>
          <w:lang w:val="en-US"/>
        </w:rPr>
        <w:t xml:space="preserve">have </w:t>
      </w:r>
      <w:r>
        <w:rPr>
          <w:color w:val="auto"/>
          <w:lang w:val="en-US"/>
        </w:rPr>
        <w:t xml:space="preserve">a </w:t>
      </w:r>
      <w:r w:rsidR="00ED4954" w:rsidRPr="005E3242">
        <w:rPr>
          <w:color w:val="auto"/>
          <w:lang w:val="en-US"/>
        </w:rPr>
        <w:t>HER2-positive tumor status, defined as</w:t>
      </w:r>
      <w:r>
        <w:rPr>
          <w:color w:val="auto"/>
          <w:lang w:val="en-US"/>
        </w:rPr>
        <w:t xml:space="preserve"> </w:t>
      </w:r>
      <w:r w:rsidR="00ED4954" w:rsidRPr="005E3242">
        <w:rPr>
          <w:color w:val="auto"/>
          <w:lang w:val="en-US"/>
        </w:rPr>
        <w:t xml:space="preserve">a score of 3+ by immunohistochemistry (IHC) </w:t>
      </w:r>
      <w:r w:rsidR="00041B5E">
        <w:rPr>
          <w:color w:val="auto"/>
          <w:lang w:val="en-US"/>
        </w:rPr>
        <w:t>and/</w:t>
      </w:r>
      <w:r w:rsidR="00ED4954" w:rsidRPr="005E3242">
        <w:rPr>
          <w:color w:val="auto"/>
          <w:lang w:val="en-US"/>
        </w:rPr>
        <w:t xml:space="preserve">or a ratio of ≥ 2.0 by </w:t>
      </w:r>
      <w:r w:rsidR="00ED4954" w:rsidRPr="002C749A">
        <w:rPr>
          <w:i/>
          <w:color w:val="auto"/>
          <w:lang w:val="en-US"/>
        </w:rPr>
        <w:t>in situ</w:t>
      </w:r>
      <w:r w:rsidR="00F11FB3">
        <w:rPr>
          <w:color w:val="auto"/>
          <w:lang w:val="en-US"/>
        </w:rPr>
        <w:t xml:space="preserve"> </w:t>
      </w:r>
      <w:proofErr w:type="spellStart"/>
      <w:r w:rsidR="00ED4954" w:rsidRPr="005E3242">
        <w:rPr>
          <w:color w:val="auto"/>
          <w:lang w:val="en-US"/>
        </w:rPr>
        <w:t>hybridi</w:t>
      </w:r>
      <w:r w:rsidR="00041B5E">
        <w:rPr>
          <w:color w:val="auto"/>
          <w:lang w:val="en-US"/>
        </w:rPr>
        <w:t>s</w:t>
      </w:r>
      <w:r w:rsidR="00ED4954" w:rsidRPr="005E3242">
        <w:rPr>
          <w:color w:val="auto"/>
          <w:lang w:val="en-US"/>
        </w:rPr>
        <w:t>ation</w:t>
      </w:r>
      <w:proofErr w:type="spellEnd"/>
      <w:r w:rsidR="00ED4954" w:rsidRPr="005E3242">
        <w:rPr>
          <w:color w:val="auto"/>
          <w:lang w:val="en-US"/>
        </w:rPr>
        <w:t xml:space="preserve"> (ISH), assessed by a validated test.</w:t>
      </w:r>
    </w:p>
    <w:p w14:paraId="445E1F56" w14:textId="77777777" w:rsidR="00ED4954" w:rsidRPr="005E3242" w:rsidRDefault="00ED4954" w:rsidP="00C448E8">
      <w:pPr>
        <w:rPr>
          <w:color w:val="auto"/>
          <w:lang w:val="en-US"/>
        </w:rPr>
      </w:pPr>
    </w:p>
    <w:p w14:paraId="69E50EEA" w14:textId="02AD4FD3" w:rsidR="00ED4954" w:rsidRPr="005E3242" w:rsidRDefault="00ED4954" w:rsidP="00C448E8">
      <w:pPr>
        <w:rPr>
          <w:color w:val="auto"/>
          <w:lang w:val="en-US"/>
        </w:rPr>
      </w:pPr>
      <w:r w:rsidRPr="005E3242">
        <w:rPr>
          <w:color w:val="auto"/>
          <w:lang w:val="en-US"/>
        </w:rPr>
        <w:t xml:space="preserve">To ensure accurate and reproducible results, the testing must be performed in a </w:t>
      </w:r>
      <w:proofErr w:type="spellStart"/>
      <w:r w:rsidRPr="005E3242">
        <w:rPr>
          <w:color w:val="auto"/>
          <w:lang w:val="en-US"/>
        </w:rPr>
        <w:t>speciali</w:t>
      </w:r>
      <w:r w:rsidR="00534F6B">
        <w:rPr>
          <w:color w:val="auto"/>
          <w:lang w:val="en-US"/>
        </w:rPr>
        <w:t>s</w:t>
      </w:r>
      <w:r w:rsidRPr="005E3242">
        <w:rPr>
          <w:color w:val="auto"/>
          <w:lang w:val="en-US"/>
        </w:rPr>
        <w:t>ed</w:t>
      </w:r>
      <w:proofErr w:type="spellEnd"/>
      <w:r w:rsidRPr="005E3242">
        <w:rPr>
          <w:color w:val="auto"/>
          <w:lang w:val="en-US"/>
        </w:rPr>
        <w:t xml:space="preserve"> laboratory, which can ensure validation of the testing procedures.</w:t>
      </w:r>
    </w:p>
    <w:p w14:paraId="137A1DB3" w14:textId="77777777" w:rsidR="00ED4954" w:rsidRPr="005E3242" w:rsidRDefault="00ED4954" w:rsidP="00C448E8">
      <w:pPr>
        <w:rPr>
          <w:color w:val="auto"/>
          <w:lang w:val="en-US"/>
        </w:rPr>
      </w:pPr>
    </w:p>
    <w:p w14:paraId="6A0BAC28" w14:textId="2223BE2B" w:rsidR="00ED4954" w:rsidRPr="005E3242" w:rsidRDefault="00ED4954" w:rsidP="00C448E8">
      <w:pPr>
        <w:rPr>
          <w:color w:val="auto"/>
          <w:lang w:val="en-US"/>
        </w:rPr>
      </w:pPr>
      <w:r w:rsidRPr="005E3242">
        <w:rPr>
          <w:color w:val="auto"/>
          <w:lang w:val="en-US"/>
        </w:rPr>
        <w:t>For full instructions on assay performance and interpretation, please refer to the package inserts of validated HER2 testing assays.</w:t>
      </w:r>
    </w:p>
    <w:p w14:paraId="5CD865E7" w14:textId="77777777" w:rsidR="00ED4954" w:rsidRPr="005E3242" w:rsidRDefault="00ED4954" w:rsidP="00C448E8">
      <w:pPr>
        <w:pStyle w:val="Heading3"/>
      </w:pPr>
      <w:r w:rsidRPr="005E3242">
        <w:t xml:space="preserve">Administration of </w:t>
      </w:r>
      <w:proofErr w:type="spellStart"/>
      <w:r w:rsidR="00191B0B">
        <w:t>Phesgo</w:t>
      </w:r>
      <w:proofErr w:type="spellEnd"/>
    </w:p>
    <w:p w14:paraId="294B2579" w14:textId="5043452C" w:rsidR="00ED4954" w:rsidRPr="005E3242" w:rsidRDefault="00041B5E" w:rsidP="00C448E8">
      <w:pPr>
        <w:rPr>
          <w:color w:val="auto"/>
          <w:lang w:val="en-US"/>
        </w:rPr>
      </w:pPr>
      <w:proofErr w:type="spellStart"/>
      <w:r>
        <w:rPr>
          <w:color w:val="auto"/>
          <w:lang w:val="en-US"/>
        </w:rPr>
        <w:t>Phesgo</w:t>
      </w:r>
      <w:proofErr w:type="spellEnd"/>
      <w:r w:rsidRPr="005E3242">
        <w:rPr>
          <w:color w:val="auto"/>
          <w:lang w:val="en-US"/>
        </w:rPr>
        <w:t xml:space="preserve"> is </w:t>
      </w:r>
      <w:r>
        <w:rPr>
          <w:color w:val="auto"/>
          <w:lang w:val="en-US"/>
        </w:rPr>
        <w:t xml:space="preserve">only </w:t>
      </w:r>
      <w:r w:rsidRPr="005E3242">
        <w:rPr>
          <w:color w:val="auto"/>
          <w:lang w:val="en-US"/>
        </w:rPr>
        <w:t xml:space="preserve">for subcutaneous (SC) </w:t>
      </w:r>
      <w:r w:rsidR="00534F6B">
        <w:rPr>
          <w:color w:val="auto"/>
          <w:lang w:val="en-US"/>
        </w:rPr>
        <w:t>administration</w:t>
      </w:r>
      <w:r w:rsidRPr="005E3242">
        <w:rPr>
          <w:color w:val="auto"/>
          <w:lang w:val="en-US"/>
        </w:rPr>
        <w:t xml:space="preserve"> in the thigh. </w:t>
      </w:r>
      <w:r w:rsidRPr="002C749A">
        <w:rPr>
          <w:b/>
          <w:color w:val="auto"/>
          <w:lang w:val="en-US"/>
        </w:rPr>
        <w:t>Do not administer intravenously</w:t>
      </w:r>
      <w:r w:rsidR="00534F6B">
        <w:rPr>
          <w:b/>
          <w:color w:val="auto"/>
          <w:lang w:val="en-US"/>
        </w:rPr>
        <w:t xml:space="preserve"> (IV)</w:t>
      </w:r>
      <w:r w:rsidRPr="002C749A">
        <w:rPr>
          <w:b/>
          <w:color w:val="auto"/>
          <w:lang w:val="en-US"/>
        </w:rPr>
        <w:t>.</w:t>
      </w:r>
    </w:p>
    <w:p w14:paraId="7FC79D0A" w14:textId="77777777" w:rsidR="008734CB" w:rsidRDefault="008734CB" w:rsidP="00C448E8">
      <w:pPr>
        <w:rPr>
          <w:color w:val="auto"/>
          <w:lang w:val="en-US"/>
        </w:rPr>
      </w:pPr>
    </w:p>
    <w:p w14:paraId="5BE043D7" w14:textId="201DA6F0" w:rsidR="008734CB" w:rsidRPr="005E3242" w:rsidRDefault="008734CB" w:rsidP="00C448E8">
      <w:pPr>
        <w:rPr>
          <w:color w:val="auto"/>
          <w:lang w:val="en-US"/>
        </w:rPr>
      </w:pPr>
      <w:r>
        <w:rPr>
          <w:color w:val="auto"/>
          <w:lang w:val="en-US"/>
        </w:rPr>
        <w:t xml:space="preserve">When given SC, the doses of both trastuzumab and </w:t>
      </w:r>
      <w:proofErr w:type="spellStart"/>
      <w:r>
        <w:rPr>
          <w:color w:val="auto"/>
          <w:lang w:val="en-US"/>
        </w:rPr>
        <w:t>pertuzumab</w:t>
      </w:r>
      <w:proofErr w:type="spellEnd"/>
      <w:r>
        <w:rPr>
          <w:color w:val="auto"/>
          <w:lang w:val="en-US"/>
        </w:rPr>
        <w:t xml:space="preserve"> are different to those for IV administration.</w:t>
      </w:r>
      <w:r w:rsidRPr="00087FAC">
        <w:rPr>
          <w:color w:val="auto"/>
          <w:lang w:val="en-US"/>
        </w:rPr>
        <w:t xml:space="preserve"> </w:t>
      </w:r>
      <w:r w:rsidR="00ED4954" w:rsidRPr="005E3242">
        <w:rPr>
          <w:color w:val="auto"/>
          <w:lang w:val="en-US"/>
        </w:rPr>
        <w:t xml:space="preserve">In order to prevent medication errors, check the vial labels to ensure that the drug being prepared and administered is </w:t>
      </w:r>
      <w:proofErr w:type="spellStart"/>
      <w:r w:rsidR="00191B0B">
        <w:rPr>
          <w:color w:val="auto"/>
          <w:lang w:val="en-US"/>
        </w:rPr>
        <w:t>Phesgo</w:t>
      </w:r>
      <w:proofErr w:type="spellEnd"/>
      <w:r>
        <w:rPr>
          <w:color w:val="auto"/>
          <w:lang w:val="en-US"/>
        </w:rPr>
        <w:t xml:space="preserve"> </w:t>
      </w:r>
      <w:r w:rsidR="00B45340">
        <w:rPr>
          <w:color w:val="auto"/>
          <w:lang w:val="en-US"/>
        </w:rPr>
        <w:t>(rather than</w:t>
      </w:r>
      <w:r>
        <w:rPr>
          <w:color w:val="auto"/>
          <w:lang w:val="en-US"/>
        </w:rPr>
        <w:t xml:space="preserve"> a product containing either trastuzumab or </w:t>
      </w:r>
      <w:proofErr w:type="spellStart"/>
      <w:r>
        <w:rPr>
          <w:color w:val="auto"/>
          <w:lang w:val="en-US"/>
        </w:rPr>
        <w:t>pertuzumab</w:t>
      </w:r>
      <w:proofErr w:type="spellEnd"/>
      <w:r>
        <w:rPr>
          <w:color w:val="auto"/>
          <w:lang w:val="en-US"/>
        </w:rPr>
        <w:t xml:space="preserve"> alone, or for IV administration, or a trastuzumab or </w:t>
      </w:r>
      <w:proofErr w:type="spellStart"/>
      <w:r>
        <w:rPr>
          <w:color w:val="auto"/>
          <w:lang w:val="en-US"/>
        </w:rPr>
        <w:t>pertuzumab</w:t>
      </w:r>
      <w:proofErr w:type="spellEnd"/>
      <w:r>
        <w:rPr>
          <w:color w:val="auto"/>
          <w:lang w:val="en-US"/>
        </w:rPr>
        <w:t xml:space="preserve"> drug-antibody conjugate</w:t>
      </w:r>
      <w:r w:rsidR="00B45340">
        <w:rPr>
          <w:color w:val="auto"/>
          <w:lang w:val="en-US"/>
        </w:rPr>
        <w:t>)</w:t>
      </w:r>
      <w:r w:rsidR="00ED4954" w:rsidRPr="005E3242">
        <w:rPr>
          <w:color w:val="auto"/>
          <w:lang w:val="en-US"/>
        </w:rPr>
        <w:t>.</w:t>
      </w:r>
    </w:p>
    <w:p w14:paraId="432D5193" w14:textId="2A34DC1A" w:rsidR="00834C48" w:rsidRPr="005E3242" w:rsidRDefault="00834C48" w:rsidP="00C448E8">
      <w:pPr>
        <w:rPr>
          <w:color w:val="auto"/>
          <w:lang w:val="en-US"/>
        </w:rPr>
      </w:pPr>
    </w:p>
    <w:p w14:paraId="1E43486C" w14:textId="77777777" w:rsidR="008734CB" w:rsidRPr="005E3242" w:rsidRDefault="008734CB" w:rsidP="00C448E8">
      <w:pPr>
        <w:rPr>
          <w:color w:val="auto"/>
          <w:lang w:val="en-US"/>
        </w:rPr>
      </w:pPr>
      <w:r w:rsidRPr="005E3242">
        <w:rPr>
          <w:color w:val="auto"/>
          <w:lang w:val="en-US"/>
        </w:rPr>
        <w:t xml:space="preserve">In patients receiving a </w:t>
      </w:r>
      <w:proofErr w:type="spellStart"/>
      <w:r w:rsidRPr="005E3242">
        <w:rPr>
          <w:color w:val="auto"/>
          <w:lang w:val="en-US"/>
        </w:rPr>
        <w:t>taxane</w:t>
      </w:r>
      <w:proofErr w:type="spellEnd"/>
      <w:r w:rsidRPr="005E3242">
        <w:rPr>
          <w:color w:val="auto"/>
          <w:lang w:val="en-US"/>
        </w:rPr>
        <w:t xml:space="preserve">, </w:t>
      </w:r>
      <w:proofErr w:type="spellStart"/>
      <w:r>
        <w:rPr>
          <w:color w:val="auto"/>
          <w:lang w:val="en-US"/>
        </w:rPr>
        <w:t>Phesgo</w:t>
      </w:r>
      <w:proofErr w:type="spellEnd"/>
      <w:r w:rsidRPr="005E3242">
        <w:rPr>
          <w:color w:val="auto"/>
          <w:lang w:val="en-US"/>
        </w:rPr>
        <w:t xml:space="preserve"> should be administered prior to the </w:t>
      </w:r>
      <w:proofErr w:type="spellStart"/>
      <w:r w:rsidRPr="005E3242">
        <w:rPr>
          <w:color w:val="auto"/>
          <w:lang w:val="en-US"/>
        </w:rPr>
        <w:t>taxane</w:t>
      </w:r>
      <w:proofErr w:type="spellEnd"/>
      <w:r w:rsidRPr="005E3242">
        <w:rPr>
          <w:color w:val="auto"/>
          <w:lang w:val="en-US"/>
        </w:rPr>
        <w:t xml:space="preserve">. When administered with </w:t>
      </w:r>
      <w:proofErr w:type="spellStart"/>
      <w:r>
        <w:rPr>
          <w:color w:val="auto"/>
          <w:lang w:val="en-US"/>
        </w:rPr>
        <w:t>Phesgo</w:t>
      </w:r>
      <w:proofErr w:type="spellEnd"/>
      <w:r w:rsidRPr="005E3242">
        <w:rPr>
          <w:color w:val="auto"/>
          <w:lang w:val="en-US"/>
        </w:rPr>
        <w:t>, the recommended initial dose of docetaxel is 75 mg/m</w:t>
      </w:r>
      <w:r w:rsidRPr="005E3242">
        <w:rPr>
          <w:color w:val="auto"/>
          <w:vertAlign w:val="superscript"/>
          <w:lang w:val="en-US"/>
        </w:rPr>
        <w:t>2</w:t>
      </w:r>
      <w:r w:rsidRPr="005E3242">
        <w:rPr>
          <w:color w:val="auto"/>
          <w:lang w:val="en-US"/>
        </w:rPr>
        <w:t>.</w:t>
      </w:r>
      <w:r>
        <w:rPr>
          <w:color w:val="auto"/>
          <w:lang w:val="en-US"/>
        </w:rPr>
        <w:t xml:space="preserve"> </w:t>
      </w:r>
      <w:r w:rsidRPr="00350B15">
        <w:rPr>
          <w:color w:val="auto"/>
          <w:lang w:val="en-AU"/>
        </w:rPr>
        <w:t>The dose of docetaxel may be escalated to 100 mg/m</w:t>
      </w:r>
      <w:r w:rsidRPr="00350B15">
        <w:rPr>
          <w:color w:val="auto"/>
          <w:vertAlign w:val="superscript"/>
          <w:lang w:val="en-AU"/>
        </w:rPr>
        <w:t>2</w:t>
      </w:r>
      <w:r w:rsidRPr="00350B15">
        <w:rPr>
          <w:color w:val="auto"/>
          <w:lang w:val="en-AU"/>
        </w:rPr>
        <w:t xml:space="preserve"> if the initial dose is well tolerated.</w:t>
      </w:r>
    </w:p>
    <w:p w14:paraId="163E283C" w14:textId="77777777" w:rsidR="008734CB" w:rsidRPr="005E3242" w:rsidRDefault="008734CB" w:rsidP="00C448E8">
      <w:pPr>
        <w:rPr>
          <w:color w:val="auto"/>
          <w:lang w:val="en-US"/>
        </w:rPr>
      </w:pPr>
    </w:p>
    <w:p w14:paraId="699A46D5" w14:textId="77777777" w:rsidR="008734CB" w:rsidRPr="005E3242" w:rsidRDefault="008734CB" w:rsidP="00C448E8">
      <w:pPr>
        <w:rPr>
          <w:color w:val="auto"/>
          <w:lang w:val="en-US"/>
        </w:rPr>
      </w:pPr>
      <w:r w:rsidRPr="005E3242">
        <w:rPr>
          <w:color w:val="auto"/>
          <w:lang w:val="en-US"/>
        </w:rPr>
        <w:t xml:space="preserve">In patients receiving an anthracycline-based regimen, </w:t>
      </w:r>
      <w:proofErr w:type="spellStart"/>
      <w:r>
        <w:rPr>
          <w:color w:val="auto"/>
          <w:lang w:val="en-US"/>
        </w:rPr>
        <w:t>Phesgo</w:t>
      </w:r>
      <w:proofErr w:type="spellEnd"/>
      <w:r w:rsidRPr="005E3242">
        <w:rPr>
          <w:color w:val="auto"/>
          <w:lang w:val="en-US"/>
        </w:rPr>
        <w:t xml:space="preserve"> should be administered following completion of t</w:t>
      </w:r>
      <w:r>
        <w:rPr>
          <w:color w:val="auto"/>
          <w:lang w:val="en-US"/>
        </w:rPr>
        <w:t>he entire anthracycline regimen</w:t>
      </w:r>
      <w:r w:rsidRPr="005E3242">
        <w:rPr>
          <w:color w:val="auto"/>
          <w:lang w:val="en-US"/>
        </w:rPr>
        <w:t>.</w:t>
      </w:r>
    </w:p>
    <w:p w14:paraId="6ADB1B29" w14:textId="77777777" w:rsidR="00ED4954" w:rsidRPr="005E3242" w:rsidRDefault="00ED4954" w:rsidP="00C448E8">
      <w:pPr>
        <w:rPr>
          <w:color w:val="auto"/>
          <w:u w:val="single"/>
          <w:lang w:val="en-US"/>
        </w:rPr>
      </w:pPr>
    </w:p>
    <w:p w14:paraId="72ADDC1E" w14:textId="66E859B4" w:rsidR="00ED4954" w:rsidRPr="005E3242" w:rsidRDefault="008734CB" w:rsidP="00C448E8">
      <w:pPr>
        <w:rPr>
          <w:color w:val="auto"/>
          <w:lang w:val="en-US"/>
        </w:rPr>
      </w:pPr>
      <w:r>
        <w:rPr>
          <w:color w:val="auto"/>
          <w:lang w:val="en-US"/>
        </w:rPr>
        <w:t xml:space="preserve">The recommended dosing and administration schedule for </w:t>
      </w:r>
      <w:proofErr w:type="spellStart"/>
      <w:r>
        <w:rPr>
          <w:color w:val="auto"/>
          <w:lang w:val="en-US"/>
        </w:rPr>
        <w:t>Phesgo</w:t>
      </w:r>
      <w:proofErr w:type="spellEnd"/>
      <w:r>
        <w:rPr>
          <w:color w:val="auto"/>
          <w:lang w:val="en-US"/>
        </w:rPr>
        <w:t xml:space="preserve"> is shown in</w:t>
      </w:r>
      <w:r w:rsidR="00ED4954" w:rsidRPr="005E3242">
        <w:rPr>
          <w:color w:val="auto"/>
          <w:lang w:val="en-US"/>
        </w:rPr>
        <w:t xml:space="preserve"> </w:t>
      </w:r>
      <w:r w:rsidR="00996A40">
        <w:rPr>
          <w:color w:val="auto"/>
          <w:lang w:val="en-US"/>
        </w:rPr>
        <w:fldChar w:fldCharType="begin"/>
      </w:r>
      <w:r w:rsidR="00996A40">
        <w:rPr>
          <w:color w:val="auto"/>
          <w:lang w:val="en-US"/>
        </w:rPr>
        <w:instrText xml:space="preserve"> REF _Ref66710249 \h </w:instrText>
      </w:r>
      <w:r w:rsidR="00996A40">
        <w:rPr>
          <w:color w:val="auto"/>
          <w:lang w:val="en-US"/>
        </w:rPr>
      </w:r>
      <w:r w:rsidR="00C448E8">
        <w:rPr>
          <w:color w:val="auto"/>
          <w:lang w:val="en-US"/>
        </w:rPr>
        <w:instrText xml:space="preserve"> \* MERGEFORMAT </w:instrText>
      </w:r>
      <w:r w:rsidR="00996A40">
        <w:rPr>
          <w:color w:val="auto"/>
          <w:lang w:val="en-US"/>
        </w:rPr>
        <w:fldChar w:fldCharType="separate"/>
      </w:r>
      <w:r w:rsidR="00C840A1">
        <w:t xml:space="preserve">Table </w:t>
      </w:r>
      <w:r w:rsidR="00C840A1">
        <w:rPr>
          <w:noProof/>
        </w:rPr>
        <w:t>1</w:t>
      </w:r>
      <w:r w:rsidR="00996A40">
        <w:rPr>
          <w:color w:val="auto"/>
          <w:lang w:val="en-US"/>
        </w:rPr>
        <w:fldChar w:fldCharType="end"/>
      </w:r>
      <w:r w:rsidR="00ED4954" w:rsidRPr="005E3242">
        <w:rPr>
          <w:color w:val="auto"/>
          <w:lang w:val="en-US"/>
        </w:rPr>
        <w:t xml:space="preserve">. </w:t>
      </w:r>
    </w:p>
    <w:p w14:paraId="11452C70" w14:textId="5E1CCE39" w:rsidR="00ED4954" w:rsidRPr="005E3242" w:rsidRDefault="00ED4954" w:rsidP="00C448E8">
      <w:pPr>
        <w:pStyle w:val="Caption"/>
      </w:pPr>
    </w:p>
    <w:p w14:paraId="166869B5" w14:textId="4C1502AC" w:rsidR="00996A40" w:rsidRDefault="00996A40" w:rsidP="00C448E8">
      <w:pPr>
        <w:pStyle w:val="Caption"/>
      </w:pPr>
      <w:bookmarkStart w:id="1" w:name="_Ref66710249"/>
      <w:r>
        <w:t xml:space="preserve">Table </w:t>
      </w:r>
      <w:r>
        <w:fldChar w:fldCharType="begin"/>
      </w:r>
      <w:r>
        <w:instrText xml:space="preserve"> SEQ Table \* ARABIC </w:instrText>
      </w:r>
      <w:r>
        <w:fldChar w:fldCharType="separate"/>
      </w:r>
      <w:r w:rsidR="00C840A1">
        <w:rPr>
          <w:noProof/>
        </w:rPr>
        <w:t>1</w:t>
      </w:r>
      <w:r>
        <w:fldChar w:fldCharType="end"/>
      </w:r>
      <w:bookmarkEnd w:id="1"/>
      <w:r w:rsidRPr="005E3242">
        <w:t>:</w:t>
      </w:r>
      <w:r w:rsidRPr="005E3242">
        <w:tab/>
      </w:r>
      <w:r w:rsidR="004C5CDE">
        <w:t>R</w:t>
      </w:r>
      <w:r w:rsidRPr="005E3242">
        <w:t>ecommended dosing and administration</w:t>
      </w:r>
      <w:r w:rsidR="004C5CDE">
        <w:t xml:space="preserve"> of </w:t>
      </w:r>
      <w:proofErr w:type="spellStart"/>
      <w:r w:rsidR="004C5CDE">
        <w:t>Phesgo</w:t>
      </w:r>
      <w:proofErr w:type="spellEnd"/>
    </w:p>
    <w:tbl>
      <w:tblPr>
        <w:tblStyle w:val="TableGrid"/>
        <w:tblW w:w="8640" w:type="dxa"/>
        <w:tblInd w:w="-5" w:type="dxa"/>
        <w:tblLayout w:type="fixed"/>
        <w:tblLook w:val="04A0" w:firstRow="1" w:lastRow="0" w:firstColumn="1" w:lastColumn="0" w:noHBand="0" w:noVBand="1"/>
      </w:tblPr>
      <w:tblGrid>
        <w:gridCol w:w="2694"/>
        <w:gridCol w:w="2551"/>
        <w:gridCol w:w="1685"/>
        <w:gridCol w:w="1710"/>
      </w:tblGrid>
      <w:tr w:rsidR="00ED4954" w:rsidRPr="005E3242" w14:paraId="6DEBC61F" w14:textId="77777777" w:rsidTr="00056281">
        <w:trPr>
          <w:trHeight w:val="648"/>
        </w:trPr>
        <w:tc>
          <w:tcPr>
            <w:tcW w:w="2694" w:type="dxa"/>
          </w:tcPr>
          <w:p w14:paraId="25C690F7" w14:textId="77777777" w:rsidR="00ED4954" w:rsidRPr="005E3242" w:rsidRDefault="00ED4954" w:rsidP="00C448E8">
            <w:pPr>
              <w:pBdr>
                <w:top w:val="nil"/>
                <w:left w:val="nil"/>
                <w:bottom w:val="nil"/>
                <w:right w:val="nil"/>
                <w:between w:val="nil"/>
              </w:pBdr>
              <w:rPr>
                <w:color w:val="auto"/>
                <w:lang w:val="en-US"/>
              </w:rPr>
            </w:pPr>
          </w:p>
        </w:tc>
        <w:tc>
          <w:tcPr>
            <w:tcW w:w="2551" w:type="dxa"/>
          </w:tcPr>
          <w:p w14:paraId="4DB42A1F"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 xml:space="preserve">Dose (irrespective of body weight) </w:t>
            </w:r>
          </w:p>
        </w:tc>
        <w:tc>
          <w:tcPr>
            <w:tcW w:w="1685" w:type="dxa"/>
          </w:tcPr>
          <w:p w14:paraId="13C0D1AA"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 xml:space="preserve">Approximate duration of SC injection </w:t>
            </w:r>
          </w:p>
        </w:tc>
        <w:tc>
          <w:tcPr>
            <w:tcW w:w="1710" w:type="dxa"/>
          </w:tcPr>
          <w:p w14:paraId="67381789" w14:textId="285D04FF" w:rsidR="00ED4954" w:rsidRPr="005E3242" w:rsidRDefault="00ED4954" w:rsidP="00C448E8">
            <w:pPr>
              <w:pBdr>
                <w:top w:val="nil"/>
                <w:left w:val="nil"/>
                <w:bottom w:val="nil"/>
                <w:right w:val="nil"/>
                <w:between w:val="nil"/>
              </w:pBdr>
              <w:rPr>
                <w:color w:val="auto"/>
                <w:lang w:val="en-US"/>
              </w:rPr>
            </w:pPr>
            <w:r w:rsidRPr="005E3242">
              <w:rPr>
                <w:color w:val="auto"/>
                <w:lang w:val="en-US"/>
              </w:rPr>
              <w:t>Observation time</w:t>
            </w:r>
            <w:r w:rsidR="008734CB">
              <w:rPr>
                <w:color w:val="auto"/>
                <w:vertAlign w:val="superscript"/>
                <w:lang w:val="en-US"/>
              </w:rPr>
              <w:t>*</w:t>
            </w:r>
          </w:p>
        </w:tc>
      </w:tr>
      <w:tr w:rsidR="00ED4954" w:rsidRPr="005E3242" w14:paraId="7B2BA2BE" w14:textId="77777777" w:rsidTr="00056281">
        <w:trPr>
          <w:trHeight w:val="648"/>
        </w:trPr>
        <w:tc>
          <w:tcPr>
            <w:tcW w:w="2694" w:type="dxa"/>
          </w:tcPr>
          <w:p w14:paraId="091C8DEC" w14:textId="13957425" w:rsidR="00ED4954" w:rsidRPr="005E3242" w:rsidRDefault="008734CB" w:rsidP="00C448E8">
            <w:pPr>
              <w:pBdr>
                <w:top w:val="nil"/>
                <w:left w:val="nil"/>
                <w:bottom w:val="nil"/>
                <w:right w:val="nil"/>
                <w:between w:val="nil"/>
              </w:pBdr>
              <w:rPr>
                <w:color w:val="auto"/>
                <w:lang w:val="en-US"/>
              </w:rPr>
            </w:pPr>
            <w:r>
              <w:rPr>
                <w:color w:val="auto"/>
                <w:lang w:val="en-US"/>
              </w:rPr>
              <w:t>Initial (l</w:t>
            </w:r>
            <w:r w:rsidR="00ED4954" w:rsidRPr="005E3242">
              <w:rPr>
                <w:color w:val="auto"/>
                <w:lang w:val="en-US"/>
              </w:rPr>
              <w:t>oading</w:t>
            </w:r>
            <w:r>
              <w:rPr>
                <w:color w:val="auto"/>
                <w:lang w:val="en-US"/>
              </w:rPr>
              <w:t>)</w:t>
            </w:r>
            <w:r w:rsidR="00ED4954" w:rsidRPr="005E3242">
              <w:rPr>
                <w:color w:val="auto"/>
                <w:lang w:val="en-US"/>
              </w:rPr>
              <w:t xml:space="preserve"> dose</w:t>
            </w:r>
          </w:p>
        </w:tc>
        <w:tc>
          <w:tcPr>
            <w:tcW w:w="2551" w:type="dxa"/>
          </w:tcPr>
          <w:p w14:paraId="277D578D"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 xml:space="preserve">1200 mg </w:t>
            </w:r>
            <w:proofErr w:type="spellStart"/>
            <w:r w:rsidRPr="005E3242">
              <w:rPr>
                <w:color w:val="auto"/>
                <w:lang w:val="en-US"/>
              </w:rPr>
              <w:t>pertuzumab</w:t>
            </w:r>
            <w:proofErr w:type="spellEnd"/>
            <w:r w:rsidRPr="005E3242">
              <w:rPr>
                <w:color w:val="auto"/>
                <w:lang w:val="en-US"/>
              </w:rPr>
              <w:t xml:space="preserve">/ 600 mg trastuzumab </w:t>
            </w:r>
          </w:p>
        </w:tc>
        <w:tc>
          <w:tcPr>
            <w:tcW w:w="1685" w:type="dxa"/>
          </w:tcPr>
          <w:p w14:paraId="0E947446"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8 minutes</w:t>
            </w:r>
          </w:p>
        </w:tc>
        <w:tc>
          <w:tcPr>
            <w:tcW w:w="1710" w:type="dxa"/>
          </w:tcPr>
          <w:p w14:paraId="703D4FCF"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30 minutes</w:t>
            </w:r>
          </w:p>
        </w:tc>
      </w:tr>
      <w:tr w:rsidR="00ED4954" w:rsidRPr="005E3242" w14:paraId="52658714" w14:textId="77777777" w:rsidTr="00056281">
        <w:trPr>
          <w:trHeight w:val="648"/>
        </w:trPr>
        <w:tc>
          <w:tcPr>
            <w:tcW w:w="2694" w:type="dxa"/>
          </w:tcPr>
          <w:p w14:paraId="540F5E9D" w14:textId="67956A2F" w:rsidR="00ED4954" w:rsidRPr="005E3242" w:rsidRDefault="008734CB" w:rsidP="00C448E8">
            <w:pPr>
              <w:pBdr>
                <w:top w:val="nil"/>
                <w:left w:val="nil"/>
                <w:bottom w:val="nil"/>
                <w:right w:val="nil"/>
                <w:between w:val="nil"/>
              </w:pBdr>
              <w:rPr>
                <w:color w:val="auto"/>
                <w:lang w:val="en-US"/>
              </w:rPr>
            </w:pPr>
            <w:r>
              <w:rPr>
                <w:color w:val="auto"/>
                <w:lang w:val="en-US"/>
              </w:rPr>
              <w:t>Subsequent (m</w:t>
            </w:r>
            <w:r w:rsidR="00ED4954" w:rsidRPr="005E3242">
              <w:rPr>
                <w:color w:val="auto"/>
                <w:lang w:val="en-US"/>
              </w:rPr>
              <w:t>aintenance</w:t>
            </w:r>
            <w:r>
              <w:rPr>
                <w:color w:val="auto"/>
                <w:lang w:val="en-US"/>
              </w:rPr>
              <w:t>)</w:t>
            </w:r>
            <w:r w:rsidR="00ED4954" w:rsidRPr="005E3242">
              <w:rPr>
                <w:color w:val="auto"/>
                <w:lang w:val="en-US"/>
              </w:rPr>
              <w:t xml:space="preserve"> dose (</w:t>
            </w:r>
            <w:r>
              <w:rPr>
                <w:color w:val="auto"/>
                <w:lang w:val="en-US"/>
              </w:rPr>
              <w:t xml:space="preserve">once </w:t>
            </w:r>
            <w:r w:rsidR="00ED4954" w:rsidRPr="005E3242">
              <w:rPr>
                <w:color w:val="auto"/>
                <w:lang w:val="en-US"/>
              </w:rPr>
              <w:t>every 3 weeks</w:t>
            </w:r>
            <w:r>
              <w:rPr>
                <w:color w:val="auto"/>
                <w:lang w:val="en-US"/>
              </w:rPr>
              <w:t xml:space="preserve"> thereafter</w:t>
            </w:r>
            <w:r w:rsidR="00ED4954" w:rsidRPr="005E3242">
              <w:rPr>
                <w:color w:val="auto"/>
                <w:lang w:val="en-US"/>
              </w:rPr>
              <w:t xml:space="preserve">) </w:t>
            </w:r>
          </w:p>
        </w:tc>
        <w:tc>
          <w:tcPr>
            <w:tcW w:w="2551" w:type="dxa"/>
          </w:tcPr>
          <w:p w14:paraId="6CAD9628"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 xml:space="preserve">600 mg </w:t>
            </w:r>
            <w:proofErr w:type="spellStart"/>
            <w:r w:rsidRPr="005E3242">
              <w:rPr>
                <w:color w:val="auto"/>
                <w:lang w:val="en-US"/>
              </w:rPr>
              <w:t>pertuzumab</w:t>
            </w:r>
            <w:proofErr w:type="spellEnd"/>
            <w:r w:rsidRPr="005E3242">
              <w:rPr>
                <w:color w:val="auto"/>
                <w:lang w:val="en-US"/>
              </w:rPr>
              <w:t>/ 600 mg trastuzumab</w:t>
            </w:r>
          </w:p>
        </w:tc>
        <w:tc>
          <w:tcPr>
            <w:tcW w:w="1685" w:type="dxa"/>
          </w:tcPr>
          <w:p w14:paraId="5A6676AA"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5 minutes</w:t>
            </w:r>
          </w:p>
        </w:tc>
        <w:tc>
          <w:tcPr>
            <w:tcW w:w="1710" w:type="dxa"/>
          </w:tcPr>
          <w:p w14:paraId="27E33499" w14:textId="77777777" w:rsidR="00ED4954" w:rsidRPr="005E3242" w:rsidRDefault="00ED4954" w:rsidP="00C448E8">
            <w:pPr>
              <w:pBdr>
                <w:top w:val="nil"/>
                <w:left w:val="nil"/>
                <w:bottom w:val="nil"/>
                <w:right w:val="nil"/>
                <w:between w:val="nil"/>
              </w:pBdr>
              <w:rPr>
                <w:color w:val="auto"/>
                <w:lang w:val="en-US"/>
              </w:rPr>
            </w:pPr>
            <w:r w:rsidRPr="005E3242">
              <w:rPr>
                <w:color w:val="auto"/>
                <w:lang w:val="en-US"/>
              </w:rPr>
              <w:t xml:space="preserve">15 minutes </w:t>
            </w:r>
          </w:p>
        </w:tc>
      </w:tr>
    </w:tbl>
    <w:p w14:paraId="2D6443B3" w14:textId="7C285539" w:rsidR="00ED4954" w:rsidRPr="005E3242" w:rsidRDefault="008734CB" w:rsidP="00C448E8">
      <w:pPr>
        <w:rPr>
          <w:color w:val="auto"/>
          <w:sz w:val="20"/>
          <w:szCs w:val="20"/>
          <w:lang w:val="en-US"/>
        </w:rPr>
      </w:pPr>
      <w:r>
        <w:rPr>
          <w:color w:val="auto"/>
          <w:sz w:val="20"/>
          <w:szCs w:val="20"/>
          <w:vertAlign w:val="superscript"/>
          <w:lang w:val="en-US"/>
        </w:rPr>
        <w:t xml:space="preserve">* </w:t>
      </w:r>
      <w:r>
        <w:rPr>
          <w:color w:val="auto"/>
          <w:sz w:val="20"/>
          <w:szCs w:val="20"/>
          <w:lang w:val="en-US"/>
        </w:rPr>
        <w:t>This is the minimum time that p</w:t>
      </w:r>
      <w:r w:rsidRPr="005E3242">
        <w:rPr>
          <w:color w:val="auto"/>
          <w:sz w:val="20"/>
          <w:szCs w:val="20"/>
          <w:lang w:val="en-US"/>
        </w:rPr>
        <w:t xml:space="preserve">atients </w:t>
      </w:r>
      <w:r w:rsidR="00ED4954" w:rsidRPr="005E3242">
        <w:rPr>
          <w:color w:val="auto"/>
          <w:sz w:val="20"/>
          <w:szCs w:val="20"/>
          <w:lang w:val="en-US"/>
        </w:rPr>
        <w:t>should be observed for injection-related and hypersensitivity reactions</w:t>
      </w:r>
      <w:r>
        <w:rPr>
          <w:color w:val="auto"/>
          <w:sz w:val="20"/>
          <w:szCs w:val="20"/>
          <w:lang w:val="en-US"/>
        </w:rPr>
        <w:t>. The o</w:t>
      </w:r>
      <w:r w:rsidR="00ED4954" w:rsidRPr="005E3242">
        <w:rPr>
          <w:color w:val="auto"/>
          <w:sz w:val="20"/>
          <w:szCs w:val="20"/>
          <w:lang w:val="en-US"/>
        </w:rPr>
        <w:t xml:space="preserve">bservation </w:t>
      </w:r>
      <w:r>
        <w:rPr>
          <w:color w:val="auto"/>
          <w:sz w:val="20"/>
          <w:szCs w:val="20"/>
          <w:lang w:val="en-US"/>
        </w:rPr>
        <w:t>time</w:t>
      </w:r>
      <w:r w:rsidR="00ED4954" w:rsidRPr="005E3242">
        <w:rPr>
          <w:color w:val="auto"/>
          <w:sz w:val="20"/>
          <w:szCs w:val="20"/>
          <w:lang w:val="en-US"/>
        </w:rPr>
        <w:t xml:space="preserve"> sta</w:t>
      </w:r>
      <w:r w:rsidR="00A51FF1" w:rsidRPr="005E3242">
        <w:rPr>
          <w:color w:val="auto"/>
          <w:sz w:val="20"/>
          <w:szCs w:val="20"/>
          <w:lang w:val="en-US"/>
        </w:rPr>
        <w:t>rt</w:t>
      </w:r>
      <w:r>
        <w:rPr>
          <w:color w:val="auto"/>
          <w:sz w:val="20"/>
          <w:szCs w:val="20"/>
          <w:lang w:val="en-US"/>
        </w:rPr>
        <w:t>s</w:t>
      </w:r>
      <w:r w:rsidR="00A51FF1" w:rsidRPr="005E3242">
        <w:rPr>
          <w:color w:val="auto"/>
          <w:sz w:val="20"/>
          <w:szCs w:val="20"/>
          <w:lang w:val="en-US"/>
        </w:rPr>
        <w:t xml:space="preserve"> </w:t>
      </w:r>
      <w:r>
        <w:rPr>
          <w:color w:val="auto"/>
          <w:sz w:val="20"/>
          <w:szCs w:val="20"/>
          <w:lang w:val="en-US"/>
        </w:rPr>
        <w:t xml:space="preserve">when </w:t>
      </w:r>
      <w:r w:rsidR="001B5305">
        <w:rPr>
          <w:color w:val="auto"/>
          <w:sz w:val="20"/>
          <w:szCs w:val="20"/>
          <w:lang w:val="en-US"/>
        </w:rPr>
        <w:t>the</w:t>
      </w:r>
      <w:r w:rsidR="00A51FF1" w:rsidRPr="005E3242">
        <w:rPr>
          <w:color w:val="auto"/>
          <w:sz w:val="20"/>
          <w:szCs w:val="20"/>
          <w:lang w:val="en-US"/>
        </w:rPr>
        <w:t xml:space="preserve"> </w:t>
      </w:r>
      <w:proofErr w:type="spellStart"/>
      <w:r w:rsidR="00376F49">
        <w:rPr>
          <w:color w:val="auto"/>
          <w:sz w:val="20"/>
          <w:szCs w:val="20"/>
          <w:lang w:val="en-US"/>
        </w:rPr>
        <w:t>Phesgo</w:t>
      </w:r>
      <w:proofErr w:type="spellEnd"/>
      <w:r w:rsidR="001B5305">
        <w:rPr>
          <w:color w:val="auto"/>
          <w:sz w:val="20"/>
          <w:szCs w:val="20"/>
          <w:lang w:val="en-US"/>
        </w:rPr>
        <w:t xml:space="preserve"> injection is </w:t>
      </w:r>
      <w:proofErr w:type="gramStart"/>
      <w:r w:rsidR="001B5305">
        <w:rPr>
          <w:color w:val="auto"/>
          <w:sz w:val="20"/>
          <w:szCs w:val="20"/>
          <w:lang w:val="en-US"/>
        </w:rPr>
        <w:t>finished,</w:t>
      </w:r>
      <w:r w:rsidR="00ED4954" w:rsidRPr="005E3242">
        <w:rPr>
          <w:color w:val="auto"/>
          <w:sz w:val="20"/>
          <w:szCs w:val="20"/>
          <w:lang w:val="en-US"/>
        </w:rPr>
        <w:t xml:space="preserve"> and</w:t>
      </w:r>
      <w:proofErr w:type="gramEnd"/>
      <w:r w:rsidR="00ED4954" w:rsidRPr="005E3242">
        <w:rPr>
          <w:color w:val="auto"/>
          <w:sz w:val="20"/>
          <w:szCs w:val="20"/>
          <w:lang w:val="en-US"/>
        </w:rPr>
        <w:t xml:space="preserve"> </w:t>
      </w:r>
      <w:r w:rsidR="001B5305">
        <w:rPr>
          <w:color w:val="auto"/>
          <w:sz w:val="20"/>
          <w:szCs w:val="20"/>
          <w:lang w:val="en-US"/>
        </w:rPr>
        <w:t xml:space="preserve">must </w:t>
      </w:r>
      <w:r w:rsidR="00ED4954" w:rsidRPr="005E3242">
        <w:rPr>
          <w:color w:val="auto"/>
          <w:sz w:val="20"/>
          <w:szCs w:val="20"/>
          <w:lang w:val="en-US"/>
        </w:rPr>
        <w:t>be completed prior to any subsequent administration of chemotherapy</w:t>
      </w:r>
      <w:r w:rsidR="001B5305">
        <w:rPr>
          <w:color w:val="auto"/>
          <w:sz w:val="20"/>
          <w:szCs w:val="20"/>
          <w:lang w:val="en-US"/>
        </w:rPr>
        <w:t>.</w:t>
      </w:r>
    </w:p>
    <w:p w14:paraId="7A86025D" w14:textId="77777777" w:rsidR="00ED4954" w:rsidRPr="005E3242" w:rsidRDefault="00ED4954" w:rsidP="00C448E8">
      <w:pPr>
        <w:rPr>
          <w:color w:val="auto"/>
          <w:lang w:val="en-US"/>
        </w:rPr>
      </w:pPr>
    </w:p>
    <w:p w14:paraId="0215AFE9" w14:textId="37262ADD" w:rsidR="00A51FF1" w:rsidRPr="005E3242" w:rsidRDefault="00ED4954" w:rsidP="00C448E8">
      <w:pPr>
        <w:rPr>
          <w:color w:val="auto"/>
          <w:lang w:val="en-US"/>
        </w:rPr>
      </w:pPr>
      <w:r w:rsidRPr="005E3242">
        <w:rPr>
          <w:color w:val="auto"/>
          <w:lang w:val="en-US"/>
        </w:rPr>
        <w:t xml:space="preserve">The injection site should </w:t>
      </w:r>
      <w:r w:rsidR="001B5305">
        <w:rPr>
          <w:color w:val="auto"/>
          <w:lang w:val="en-US"/>
        </w:rPr>
        <w:t xml:space="preserve">always be </w:t>
      </w:r>
      <w:r w:rsidR="009C07D3">
        <w:rPr>
          <w:color w:val="auto"/>
          <w:lang w:val="en-US"/>
        </w:rPr>
        <w:t xml:space="preserve">located in </w:t>
      </w:r>
      <w:r w:rsidR="001B5305">
        <w:rPr>
          <w:color w:val="auto"/>
          <w:lang w:val="en-US"/>
        </w:rPr>
        <w:t xml:space="preserve">the </w:t>
      </w:r>
      <w:proofErr w:type="gramStart"/>
      <w:r w:rsidR="001B5305">
        <w:rPr>
          <w:color w:val="auto"/>
          <w:lang w:val="en-US"/>
        </w:rPr>
        <w:t>thigh, and</w:t>
      </w:r>
      <w:proofErr w:type="gramEnd"/>
      <w:r w:rsidR="001B5305">
        <w:rPr>
          <w:color w:val="auto"/>
          <w:lang w:val="en-US"/>
        </w:rPr>
        <w:t xml:space="preserve"> should </w:t>
      </w:r>
      <w:r w:rsidRPr="005E3242">
        <w:rPr>
          <w:color w:val="auto"/>
          <w:lang w:val="en-US"/>
        </w:rPr>
        <w:t xml:space="preserve">be alternated between the left </w:t>
      </w:r>
      <w:r w:rsidR="001B5305">
        <w:rPr>
          <w:color w:val="auto"/>
          <w:lang w:val="en-US"/>
        </w:rPr>
        <w:t xml:space="preserve">thigh </w:t>
      </w:r>
      <w:r w:rsidRPr="005E3242">
        <w:rPr>
          <w:color w:val="auto"/>
          <w:lang w:val="en-US"/>
        </w:rPr>
        <w:t>and</w:t>
      </w:r>
      <w:r w:rsidR="001B5305">
        <w:rPr>
          <w:color w:val="auto"/>
          <w:lang w:val="en-US"/>
        </w:rPr>
        <w:t xml:space="preserve"> the</w:t>
      </w:r>
      <w:r w:rsidRPr="005E3242">
        <w:rPr>
          <w:color w:val="auto"/>
          <w:lang w:val="en-US"/>
        </w:rPr>
        <w:t xml:space="preserve"> right thigh. New injections should be given at least 2.5 cm</w:t>
      </w:r>
      <w:r w:rsidR="001B5305">
        <w:rPr>
          <w:color w:val="auto"/>
          <w:lang w:val="en-US"/>
        </w:rPr>
        <w:t>/1 inch</w:t>
      </w:r>
      <w:r w:rsidRPr="005E3242">
        <w:rPr>
          <w:color w:val="auto"/>
          <w:lang w:val="en-US"/>
        </w:rPr>
        <w:t xml:space="preserve"> from the previous site</w:t>
      </w:r>
      <w:r w:rsidR="001B5305">
        <w:rPr>
          <w:color w:val="auto"/>
          <w:lang w:val="en-US"/>
        </w:rPr>
        <w:t>,</w:t>
      </w:r>
      <w:r w:rsidRPr="005E3242">
        <w:rPr>
          <w:color w:val="auto"/>
          <w:lang w:val="en-US"/>
        </w:rPr>
        <w:t xml:space="preserve"> </w:t>
      </w:r>
      <w:r w:rsidR="001B5305">
        <w:rPr>
          <w:color w:val="auto"/>
          <w:lang w:val="en-US"/>
        </w:rPr>
        <w:t>into</w:t>
      </w:r>
      <w:r w:rsidRPr="005E3242">
        <w:rPr>
          <w:color w:val="auto"/>
          <w:lang w:val="en-US"/>
        </w:rPr>
        <w:t xml:space="preserve"> healthy skin and never into areas where the skin is red, bruised, tender, or hard. </w:t>
      </w:r>
    </w:p>
    <w:p w14:paraId="150A3685" w14:textId="77777777" w:rsidR="00A51FF1" w:rsidRPr="005E3242" w:rsidRDefault="00A51FF1" w:rsidP="00C448E8">
      <w:pPr>
        <w:rPr>
          <w:color w:val="auto"/>
          <w:lang w:val="en-US"/>
        </w:rPr>
      </w:pPr>
    </w:p>
    <w:p w14:paraId="2607E059" w14:textId="77FA7BDC" w:rsidR="00ED4954" w:rsidRPr="005E3242" w:rsidRDefault="00ED4954" w:rsidP="00C448E8">
      <w:pPr>
        <w:rPr>
          <w:color w:val="auto"/>
          <w:lang w:val="en-US"/>
        </w:rPr>
      </w:pPr>
      <w:r w:rsidRPr="005E3242">
        <w:rPr>
          <w:color w:val="auto"/>
          <w:lang w:val="en-US"/>
        </w:rPr>
        <w:lastRenderedPageBreak/>
        <w:t xml:space="preserve">Do not split the dose between two syringes or between two sites of administration. </w:t>
      </w:r>
      <w:r w:rsidR="001B5305">
        <w:rPr>
          <w:color w:val="auto"/>
          <w:lang w:val="en-US"/>
        </w:rPr>
        <w:t>While a patient is continuing a</w:t>
      </w:r>
      <w:r w:rsidRPr="005E3242">
        <w:rPr>
          <w:color w:val="auto"/>
          <w:lang w:val="en-US"/>
        </w:rPr>
        <w:t xml:space="preserve"> treatment course with </w:t>
      </w:r>
      <w:proofErr w:type="spellStart"/>
      <w:r w:rsidR="00376F49">
        <w:rPr>
          <w:color w:val="auto"/>
          <w:lang w:val="en-US"/>
        </w:rPr>
        <w:t>Phesgo</w:t>
      </w:r>
      <w:proofErr w:type="spellEnd"/>
      <w:r w:rsidRPr="005E3242">
        <w:rPr>
          <w:color w:val="auto"/>
          <w:lang w:val="en-US"/>
        </w:rPr>
        <w:t xml:space="preserve">, </w:t>
      </w:r>
      <w:r w:rsidR="001B5305">
        <w:rPr>
          <w:color w:val="auto"/>
          <w:lang w:val="en-US"/>
        </w:rPr>
        <w:t xml:space="preserve">avoid giving </w:t>
      </w:r>
      <w:r w:rsidRPr="005E3242">
        <w:rPr>
          <w:color w:val="auto"/>
          <w:lang w:val="en-US"/>
        </w:rPr>
        <w:t xml:space="preserve">other medications for </w:t>
      </w:r>
      <w:r w:rsidR="001B5305">
        <w:rPr>
          <w:color w:val="auto"/>
          <w:lang w:val="en-US"/>
        </w:rPr>
        <w:t>subcutaneous</w:t>
      </w:r>
      <w:r w:rsidR="001B5305" w:rsidRPr="005E3242">
        <w:rPr>
          <w:color w:val="auto"/>
          <w:lang w:val="en-US"/>
        </w:rPr>
        <w:t xml:space="preserve"> </w:t>
      </w:r>
      <w:r w:rsidRPr="005E3242">
        <w:rPr>
          <w:color w:val="auto"/>
          <w:lang w:val="en-US"/>
        </w:rPr>
        <w:t>administration</w:t>
      </w:r>
      <w:r w:rsidR="001B5305">
        <w:rPr>
          <w:color w:val="auto"/>
          <w:lang w:val="en-US"/>
        </w:rPr>
        <w:t xml:space="preserve"> in the th</w:t>
      </w:r>
      <w:r w:rsidR="009C07D3">
        <w:rPr>
          <w:color w:val="auto"/>
          <w:lang w:val="en-US"/>
        </w:rPr>
        <w:t xml:space="preserve">igh: </w:t>
      </w:r>
      <w:r w:rsidRPr="005E3242">
        <w:rPr>
          <w:color w:val="auto"/>
          <w:lang w:val="en-US"/>
        </w:rPr>
        <w:t>inject</w:t>
      </w:r>
      <w:r w:rsidR="001B5305">
        <w:rPr>
          <w:color w:val="auto"/>
          <w:lang w:val="en-US"/>
        </w:rPr>
        <w:t xml:space="preserve"> them</w:t>
      </w:r>
      <w:r w:rsidRPr="005E3242">
        <w:rPr>
          <w:color w:val="auto"/>
          <w:lang w:val="en-US"/>
        </w:rPr>
        <w:t xml:space="preserve"> at different sites</w:t>
      </w:r>
      <w:r w:rsidR="001B5305">
        <w:rPr>
          <w:color w:val="auto"/>
          <w:lang w:val="en-US"/>
        </w:rPr>
        <w:t xml:space="preserve"> instead if possible</w:t>
      </w:r>
      <w:r w:rsidRPr="005E3242">
        <w:rPr>
          <w:color w:val="auto"/>
          <w:lang w:val="en-US"/>
        </w:rPr>
        <w:t xml:space="preserve">. </w:t>
      </w:r>
    </w:p>
    <w:p w14:paraId="4B8E55AD" w14:textId="77777777" w:rsidR="00ED4954" w:rsidRPr="005E3242" w:rsidRDefault="00ED4954" w:rsidP="00C448E8">
      <w:pPr>
        <w:rPr>
          <w:color w:val="auto"/>
          <w:lang w:val="en-US"/>
        </w:rPr>
      </w:pPr>
    </w:p>
    <w:p w14:paraId="17BB52A6" w14:textId="77777777" w:rsidR="00350728" w:rsidRPr="005E3242" w:rsidRDefault="00350728" w:rsidP="00C448E8">
      <w:pPr>
        <w:pStyle w:val="Heading3"/>
        <w:rPr>
          <w:color w:val="auto"/>
        </w:rPr>
      </w:pPr>
      <w:r w:rsidRPr="005E3242">
        <w:rPr>
          <w:color w:val="auto"/>
        </w:rPr>
        <w:t xml:space="preserve">Method of </w:t>
      </w:r>
      <w:r>
        <w:rPr>
          <w:color w:val="auto"/>
        </w:rPr>
        <w:t>a</w:t>
      </w:r>
      <w:r w:rsidRPr="005E3242">
        <w:rPr>
          <w:color w:val="auto"/>
        </w:rPr>
        <w:t>dministration</w:t>
      </w:r>
    </w:p>
    <w:p w14:paraId="085E6760" w14:textId="77777777" w:rsidR="00350728" w:rsidRPr="005E3242" w:rsidRDefault="00350728" w:rsidP="00C448E8">
      <w:pPr>
        <w:rPr>
          <w:color w:val="auto"/>
        </w:rPr>
      </w:pPr>
      <w:r w:rsidRPr="005E3242">
        <w:rPr>
          <w:color w:val="auto"/>
        </w:rPr>
        <w:t>For instructions on preparation of the medicine before administration, see section 6.6.</w:t>
      </w:r>
    </w:p>
    <w:p w14:paraId="28B082C7" w14:textId="77777777" w:rsidR="00350728" w:rsidRPr="005E3242" w:rsidRDefault="00350728" w:rsidP="00C448E8">
      <w:pPr>
        <w:rPr>
          <w:i/>
          <w:color w:val="auto"/>
        </w:rPr>
      </w:pPr>
    </w:p>
    <w:p w14:paraId="181FB023" w14:textId="77777777" w:rsidR="001B5305" w:rsidRDefault="001B5305" w:rsidP="00C448E8">
      <w:pPr>
        <w:pStyle w:val="Heading4"/>
      </w:pPr>
      <w:r>
        <w:t>Duration of treatment</w:t>
      </w:r>
    </w:p>
    <w:p w14:paraId="0BAFE1C9" w14:textId="78F0A981" w:rsidR="00ED4954" w:rsidRPr="00D721DF" w:rsidRDefault="00F81531" w:rsidP="00C448E8">
      <w:pPr>
        <w:pStyle w:val="Heading5"/>
      </w:pPr>
      <w:r w:rsidRPr="006B2154">
        <w:rPr>
          <w:sz w:val="24"/>
        </w:rPr>
        <w:t>Early Breast Cancer (EBC)</w:t>
      </w:r>
    </w:p>
    <w:p w14:paraId="75759A6F" w14:textId="5BB30E64" w:rsidR="00ED4954" w:rsidRPr="00056281" w:rsidRDefault="00ED4954" w:rsidP="00C448E8">
      <w:pPr>
        <w:rPr>
          <w:color w:val="auto"/>
          <w:lang w:val="en-US"/>
        </w:rPr>
      </w:pPr>
      <w:r w:rsidRPr="00056281">
        <w:rPr>
          <w:color w:val="auto"/>
          <w:lang w:val="en-US"/>
        </w:rPr>
        <w:t xml:space="preserve">In the neoadjuvant setting (before surgery), </w:t>
      </w:r>
      <w:proofErr w:type="spellStart"/>
      <w:r w:rsidR="00376F49" w:rsidRPr="00056281">
        <w:rPr>
          <w:color w:val="auto"/>
          <w:lang w:val="en-US"/>
        </w:rPr>
        <w:t>Phesgo</w:t>
      </w:r>
      <w:proofErr w:type="spellEnd"/>
      <w:r w:rsidRPr="00056281">
        <w:rPr>
          <w:color w:val="auto"/>
          <w:lang w:val="en-US"/>
        </w:rPr>
        <w:t xml:space="preserve"> </w:t>
      </w:r>
      <w:r w:rsidR="001B5305" w:rsidRPr="00056281">
        <w:rPr>
          <w:color w:val="auto"/>
          <w:lang w:val="en-US"/>
        </w:rPr>
        <w:t xml:space="preserve">should be administered </w:t>
      </w:r>
      <w:r w:rsidRPr="00056281">
        <w:rPr>
          <w:color w:val="auto"/>
          <w:lang w:val="en-US"/>
        </w:rPr>
        <w:t xml:space="preserve">for three to six cycles </w:t>
      </w:r>
      <w:r w:rsidR="001B5305" w:rsidRPr="00056281">
        <w:rPr>
          <w:color w:val="auto"/>
          <w:lang w:val="en-US"/>
        </w:rPr>
        <w:t>(</w:t>
      </w:r>
      <w:r w:rsidRPr="00056281">
        <w:rPr>
          <w:color w:val="auto"/>
          <w:lang w:val="en-US"/>
        </w:rPr>
        <w:t>depending on the regimen chosen</w:t>
      </w:r>
      <w:r w:rsidR="001B5305" w:rsidRPr="00056281">
        <w:rPr>
          <w:color w:val="auto"/>
          <w:lang w:val="en-US"/>
        </w:rPr>
        <w:t>)</w:t>
      </w:r>
      <w:r w:rsidRPr="00056281">
        <w:rPr>
          <w:color w:val="auto"/>
          <w:lang w:val="en-US"/>
        </w:rPr>
        <w:t xml:space="preserve"> in combination with chemotherapy (</w:t>
      </w:r>
      <w:r w:rsidR="00A51FF1" w:rsidRPr="00056281">
        <w:rPr>
          <w:color w:val="auto"/>
          <w:lang w:val="en-US"/>
        </w:rPr>
        <w:t xml:space="preserve">see section </w:t>
      </w:r>
      <w:r w:rsidR="00A51FF1" w:rsidRPr="00056281">
        <w:rPr>
          <w:i/>
          <w:color w:val="auto"/>
          <w:lang w:val="en-US"/>
        </w:rPr>
        <w:t xml:space="preserve">5.1 </w:t>
      </w:r>
      <w:r w:rsidR="001B5305" w:rsidRPr="00056281">
        <w:rPr>
          <w:i/>
          <w:color w:val="auto"/>
          <w:lang w:val="en-US"/>
        </w:rPr>
        <w:t xml:space="preserve">Pharmacodynamic properties - </w:t>
      </w:r>
      <w:r w:rsidR="00A51FF1" w:rsidRPr="00056281">
        <w:rPr>
          <w:i/>
          <w:color w:val="auto"/>
          <w:lang w:val="en-US"/>
        </w:rPr>
        <w:t>Clinical trials</w:t>
      </w:r>
      <w:r w:rsidRPr="00056281">
        <w:rPr>
          <w:color w:val="auto"/>
          <w:lang w:val="en-US"/>
        </w:rPr>
        <w:t>).</w:t>
      </w:r>
      <w:r w:rsidR="00930E36" w:rsidRPr="00056281">
        <w:rPr>
          <w:color w:val="auto"/>
          <w:lang w:val="en-US"/>
        </w:rPr>
        <w:t xml:space="preserve"> Patients who start </w:t>
      </w:r>
      <w:proofErr w:type="spellStart"/>
      <w:r w:rsidR="00930E36" w:rsidRPr="00056281">
        <w:rPr>
          <w:color w:val="auto"/>
          <w:lang w:val="en-US"/>
        </w:rPr>
        <w:t>Phesgo</w:t>
      </w:r>
      <w:proofErr w:type="spellEnd"/>
      <w:r w:rsidR="00930E36" w:rsidRPr="00056281">
        <w:rPr>
          <w:color w:val="auto"/>
          <w:lang w:val="en-US"/>
        </w:rPr>
        <w:t xml:space="preserve"> in the neoadjuvant setting should also receive adjuvant </w:t>
      </w:r>
      <w:proofErr w:type="spellStart"/>
      <w:r w:rsidR="00930E36" w:rsidRPr="00056281">
        <w:rPr>
          <w:color w:val="auto"/>
          <w:lang w:val="en-US"/>
        </w:rPr>
        <w:t>Phesgo</w:t>
      </w:r>
      <w:proofErr w:type="spellEnd"/>
      <w:r w:rsidR="00930E36" w:rsidRPr="00056281">
        <w:rPr>
          <w:color w:val="auto"/>
          <w:lang w:val="en-US"/>
        </w:rPr>
        <w:t>, as described below.</w:t>
      </w:r>
    </w:p>
    <w:p w14:paraId="3BB279ED" w14:textId="77777777" w:rsidR="00ED4954" w:rsidRPr="005E3242" w:rsidRDefault="00ED4954" w:rsidP="00C448E8">
      <w:pPr>
        <w:rPr>
          <w:color w:val="auto"/>
          <w:lang w:val="en-US"/>
        </w:rPr>
      </w:pPr>
    </w:p>
    <w:p w14:paraId="023739EC" w14:textId="155AB887" w:rsidR="00ED4954" w:rsidRPr="005E3242" w:rsidRDefault="00ED4954" w:rsidP="00C448E8">
      <w:pPr>
        <w:rPr>
          <w:color w:val="auto"/>
          <w:lang w:val="en-US"/>
        </w:rPr>
      </w:pPr>
      <w:r w:rsidRPr="005E3242">
        <w:rPr>
          <w:color w:val="auto"/>
          <w:lang w:val="en-US"/>
        </w:rPr>
        <w:t xml:space="preserve">In the adjuvant setting (after surgery), </w:t>
      </w:r>
      <w:proofErr w:type="spellStart"/>
      <w:r w:rsidR="00376F49">
        <w:rPr>
          <w:color w:val="auto"/>
          <w:lang w:val="en-US"/>
        </w:rPr>
        <w:t>Phesgo</w:t>
      </w:r>
      <w:proofErr w:type="spellEnd"/>
      <w:r w:rsidRPr="005E3242">
        <w:rPr>
          <w:color w:val="auto"/>
          <w:lang w:val="en-US"/>
        </w:rPr>
        <w:t xml:space="preserve"> should be administered for a total of one year (maximum 18 cycles or until disease recurrence, or unmanageable toxicity, whichever occurs first), as part of a complete regimen for early breast cancer, including standard anthracycline- and/or </w:t>
      </w:r>
      <w:proofErr w:type="spellStart"/>
      <w:r w:rsidRPr="005E3242">
        <w:rPr>
          <w:color w:val="auto"/>
          <w:lang w:val="en-US"/>
        </w:rPr>
        <w:t>taxane</w:t>
      </w:r>
      <w:proofErr w:type="spellEnd"/>
      <w:r w:rsidRPr="005E3242">
        <w:rPr>
          <w:color w:val="auto"/>
          <w:lang w:val="en-US"/>
        </w:rPr>
        <w:t xml:space="preserve">-based chemotherapy. </w:t>
      </w:r>
      <w:proofErr w:type="spellStart"/>
      <w:r w:rsidR="00376F49">
        <w:rPr>
          <w:color w:val="auto"/>
          <w:lang w:val="en-US"/>
        </w:rPr>
        <w:t>Phesgo</w:t>
      </w:r>
      <w:proofErr w:type="spellEnd"/>
      <w:r w:rsidRPr="005E3242">
        <w:rPr>
          <w:color w:val="auto"/>
          <w:lang w:val="en-US"/>
        </w:rPr>
        <w:t xml:space="preserve"> treatment should start on Day 1 of the first </w:t>
      </w:r>
      <w:proofErr w:type="spellStart"/>
      <w:r w:rsidRPr="005E3242">
        <w:rPr>
          <w:color w:val="auto"/>
          <w:lang w:val="en-US"/>
        </w:rPr>
        <w:t>taxane</w:t>
      </w:r>
      <w:proofErr w:type="spellEnd"/>
      <w:r w:rsidRPr="005E3242">
        <w:rPr>
          <w:color w:val="auto"/>
          <w:lang w:val="en-US"/>
        </w:rPr>
        <w:t xml:space="preserve">-containing cycle and should continue even if chemotherapy is discontinued </w:t>
      </w:r>
      <w:r w:rsidR="00A51FF1" w:rsidRPr="00E64517">
        <w:rPr>
          <w:color w:val="auto"/>
          <w:lang w:val="en-US"/>
        </w:rPr>
        <w:t xml:space="preserve">(see section </w:t>
      </w:r>
      <w:r w:rsidR="00A51FF1" w:rsidRPr="00E64517">
        <w:rPr>
          <w:i/>
          <w:color w:val="auto"/>
          <w:lang w:val="en-US"/>
        </w:rPr>
        <w:t xml:space="preserve">5.1 </w:t>
      </w:r>
      <w:r w:rsidR="00930E36" w:rsidRPr="00E64517">
        <w:rPr>
          <w:i/>
          <w:color w:val="auto"/>
          <w:lang w:val="en-US"/>
        </w:rPr>
        <w:t xml:space="preserve">Pharmacodynamic properties - </w:t>
      </w:r>
      <w:r w:rsidR="00A51FF1" w:rsidRPr="00E64517">
        <w:rPr>
          <w:i/>
          <w:color w:val="auto"/>
          <w:lang w:val="en-US"/>
        </w:rPr>
        <w:t>Clinical trials</w:t>
      </w:r>
      <w:r w:rsidR="00A51FF1" w:rsidRPr="00E64517">
        <w:rPr>
          <w:color w:val="auto"/>
          <w:lang w:val="en-US"/>
        </w:rPr>
        <w:t>).</w:t>
      </w:r>
    </w:p>
    <w:p w14:paraId="294DC29A" w14:textId="6FCC12BD" w:rsidR="00ED4954" w:rsidRPr="005E3242" w:rsidRDefault="00F81531" w:rsidP="00C448E8">
      <w:pPr>
        <w:pStyle w:val="Heading5"/>
      </w:pPr>
      <w:r w:rsidRPr="005E3242">
        <w:t>Metastatic Breast Cancer (MBC)</w:t>
      </w:r>
    </w:p>
    <w:p w14:paraId="272F50C8" w14:textId="77777777" w:rsidR="00ED4954" w:rsidRPr="005E3242" w:rsidRDefault="00191B0B" w:rsidP="00C448E8">
      <w:pPr>
        <w:rPr>
          <w:color w:val="auto"/>
          <w:lang w:val="en-US"/>
        </w:rPr>
      </w:pPr>
      <w:proofErr w:type="spellStart"/>
      <w:r>
        <w:rPr>
          <w:color w:val="auto"/>
          <w:lang w:val="en-US"/>
        </w:rPr>
        <w:t>Phesgo</w:t>
      </w:r>
      <w:proofErr w:type="spellEnd"/>
      <w:r w:rsidR="00ED4954" w:rsidRPr="005E3242">
        <w:rPr>
          <w:color w:val="auto"/>
          <w:lang w:val="en-US"/>
        </w:rPr>
        <w:t xml:space="preserve"> should be administered in combination with docetaxel until disease progression or unmanageable toxicity. Treatment with </w:t>
      </w:r>
      <w:proofErr w:type="spellStart"/>
      <w:r w:rsidR="00376F49">
        <w:rPr>
          <w:color w:val="auto"/>
          <w:lang w:val="en-US"/>
        </w:rPr>
        <w:t>Phesgo</w:t>
      </w:r>
      <w:proofErr w:type="spellEnd"/>
      <w:r w:rsidR="00ED4954" w:rsidRPr="005E3242">
        <w:rPr>
          <w:color w:val="auto"/>
          <w:lang w:val="en-US"/>
        </w:rPr>
        <w:t xml:space="preserve"> may continue even if treatment</w:t>
      </w:r>
      <w:r w:rsidR="00CF349F" w:rsidRPr="005E3242">
        <w:rPr>
          <w:color w:val="auto"/>
          <w:lang w:val="en-US"/>
        </w:rPr>
        <w:t xml:space="preserve"> with docetaxel is discontinued</w:t>
      </w:r>
      <w:r w:rsidR="00ED4954" w:rsidRPr="005E3242">
        <w:rPr>
          <w:color w:val="auto"/>
          <w:lang w:val="en-US"/>
        </w:rPr>
        <w:t>.</w:t>
      </w:r>
    </w:p>
    <w:p w14:paraId="5D3AE365" w14:textId="77777777" w:rsidR="00ED4954" w:rsidRPr="005E3242" w:rsidRDefault="00ED4954" w:rsidP="00C448E8">
      <w:pPr>
        <w:rPr>
          <w:color w:val="auto"/>
        </w:rPr>
      </w:pPr>
    </w:p>
    <w:p w14:paraId="37327242" w14:textId="27CA38C7" w:rsidR="00CF349F" w:rsidRPr="005E3242" w:rsidRDefault="00CF349F" w:rsidP="00C448E8">
      <w:pPr>
        <w:pStyle w:val="Heading3"/>
        <w:rPr>
          <w:color w:val="auto"/>
        </w:rPr>
      </w:pPr>
      <w:r w:rsidRPr="005E3242">
        <w:rPr>
          <w:color w:val="auto"/>
        </w:rPr>
        <w:t xml:space="preserve">Delayed or </w:t>
      </w:r>
      <w:r w:rsidR="00930E36">
        <w:rPr>
          <w:color w:val="auto"/>
        </w:rPr>
        <w:t>m</w:t>
      </w:r>
      <w:r w:rsidRPr="005E3242">
        <w:rPr>
          <w:color w:val="auto"/>
        </w:rPr>
        <w:t xml:space="preserve">issed </w:t>
      </w:r>
      <w:r w:rsidR="00930E36">
        <w:rPr>
          <w:color w:val="auto"/>
        </w:rPr>
        <w:t>d</w:t>
      </w:r>
      <w:r w:rsidRPr="005E3242">
        <w:rPr>
          <w:color w:val="auto"/>
        </w:rPr>
        <w:t>oses</w:t>
      </w:r>
    </w:p>
    <w:p w14:paraId="25561C47" w14:textId="53134682" w:rsidR="00CF349F" w:rsidRPr="005E3242" w:rsidRDefault="00CF349F" w:rsidP="00C448E8">
      <w:pPr>
        <w:rPr>
          <w:color w:val="auto"/>
          <w:lang w:val="en-US"/>
        </w:rPr>
      </w:pPr>
      <w:r w:rsidRPr="005E3242">
        <w:rPr>
          <w:color w:val="auto"/>
          <w:lang w:val="en-US"/>
        </w:rPr>
        <w:t xml:space="preserve">If the </w:t>
      </w:r>
      <w:r w:rsidR="00930E36">
        <w:rPr>
          <w:color w:val="auto"/>
          <w:lang w:val="en-US"/>
        </w:rPr>
        <w:t xml:space="preserve">last dose of </w:t>
      </w:r>
      <w:proofErr w:type="spellStart"/>
      <w:r w:rsidR="00930E36">
        <w:rPr>
          <w:color w:val="auto"/>
          <w:lang w:val="en-US"/>
        </w:rPr>
        <w:t>Phesgo</w:t>
      </w:r>
      <w:proofErr w:type="spellEnd"/>
      <w:r w:rsidR="00930E36">
        <w:rPr>
          <w:color w:val="auto"/>
          <w:lang w:val="en-US"/>
        </w:rPr>
        <w:t xml:space="preserve"> was </w:t>
      </w:r>
      <w:r w:rsidRPr="005E3242">
        <w:rPr>
          <w:color w:val="auto"/>
          <w:lang w:val="en-US"/>
        </w:rPr>
        <w:t>less than 6 weeks</w:t>
      </w:r>
      <w:r w:rsidR="00930E36">
        <w:rPr>
          <w:color w:val="auto"/>
          <w:lang w:val="en-US"/>
        </w:rPr>
        <w:t xml:space="preserve"> ago</w:t>
      </w:r>
      <w:r w:rsidRPr="005E3242">
        <w:rPr>
          <w:color w:val="auto"/>
          <w:lang w:val="en-US"/>
        </w:rPr>
        <w:t xml:space="preserve">, </w:t>
      </w:r>
      <w:r w:rsidR="00930E36">
        <w:rPr>
          <w:color w:val="auto"/>
          <w:lang w:val="en-US"/>
        </w:rPr>
        <w:t xml:space="preserve">administer a </w:t>
      </w:r>
      <w:r w:rsidR="00930E36" w:rsidRPr="008C1903">
        <w:rPr>
          <w:color w:val="auto"/>
          <w:u w:val="single"/>
          <w:lang w:val="en-US"/>
        </w:rPr>
        <w:t>maintenance</w:t>
      </w:r>
      <w:r w:rsidR="00930E36">
        <w:rPr>
          <w:color w:val="auto"/>
          <w:lang w:val="en-US"/>
        </w:rPr>
        <w:t xml:space="preserve"> dose of </w:t>
      </w:r>
      <w:proofErr w:type="spellStart"/>
      <w:r w:rsidR="00930E36">
        <w:rPr>
          <w:color w:val="auto"/>
          <w:lang w:val="en-US"/>
        </w:rPr>
        <w:t>Phesgo</w:t>
      </w:r>
      <w:proofErr w:type="spellEnd"/>
      <w:r w:rsidR="00930E36">
        <w:rPr>
          <w:color w:val="auto"/>
          <w:lang w:val="en-US"/>
        </w:rPr>
        <w:t xml:space="preserve"> (</w:t>
      </w:r>
      <w:r w:rsidRPr="005E3242">
        <w:rPr>
          <w:color w:val="auto"/>
          <w:lang w:val="en-US"/>
        </w:rPr>
        <w:t xml:space="preserve">600 mg </w:t>
      </w:r>
      <w:proofErr w:type="spellStart"/>
      <w:r w:rsidRPr="005E3242">
        <w:rPr>
          <w:color w:val="auto"/>
          <w:lang w:val="en-US"/>
        </w:rPr>
        <w:t>pertuzumab</w:t>
      </w:r>
      <w:proofErr w:type="spellEnd"/>
      <w:r w:rsidR="00930E36">
        <w:rPr>
          <w:color w:val="auto"/>
          <w:lang w:val="en-US"/>
        </w:rPr>
        <w:t xml:space="preserve"> and</w:t>
      </w:r>
      <w:r w:rsidRPr="005E3242">
        <w:rPr>
          <w:color w:val="auto"/>
          <w:lang w:val="en-US"/>
        </w:rPr>
        <w:t xml:space="preserve"> 600 mg trastuzumab</w:t>
      </w:r>
      <w:r w:rsidR="00930E36">
        <w:rPr>
          <w:color w:val="auto"/>
          <w:lang w:val="en-US"/>
        </w:rPr>
        <w:t>)</w:t>
      </w:r>
      <w:r w:rsidRPr="005E3242">
        <w:rPr>
          <w:color w:val="auto"/>
          <w:lang w:val="en-US"/>
        </w:rPr>
        <w:t xml:space="preserve"> as soon as possible. Do not wait until the next planned dose.</w:t>
      </w:r>
      <w:r w:rsidR="00930E36">
        <w:rPr>
          <w:color w:val="auto"/>
          <w:lang w:val="en-US"/>
        </w:rPr>
        <w:t xml:space="preserve"> Give another</w:t>
      </w:r>
      <w:r w:rsidR="00930E36" w:rsidRPr="005E3242">
        <w:rPr>
          <w:color w:val="auto"/>
          <w:lang w:val="en-US"/>
        </w:rPr>
        <w:t xml:space="preserve"> </w:t>
      </w:r>
      <w:r w:rsidR="00930E36" w:rsidRPr="008C1903">
        <w:rPr>
          <w:color w:val="auto"/>
          <w:u w:val="single"/>
          <w:lang w:val="en-US"/>
        </w:rPr>
        <w:t>maintenance</w:t>
      </w:r>
      <w:r w:rsidR="00930E36" w:rsidRPr="005E3242">
        <w:rPr>
          <w:color w:val="auto"/>
          <w:lang w:val="en-US"/>
        </w:rPr>
        <w:t xml:space="preserve"> dose </w:t>
      </w:r>
      <w:r w:rsidR="00930E36">
        <w:rPr>
          <w:color w:val="auto"/>
          <w:lang w:val="en-US"/>
        </w:rPr>
        <w:t xml:space="preserve">of </w:t>
      </w:r>
      <w:proofErr w:type="spellStart"/>
      <w:r w:rsidR="00930E36">
        <w:rPr>
          <w:color w:val="auto"/>
          <w:lang w:val="en-US"/>
        </w:rPr>
        <w:t>Phesgo</w:t>
      </w:r>
      <w:proofErr w:type="spellEnd"/>
      <w:r w:rsidR="00930E36" w:rsidRPr="005E3242">
        <w:rPr>
          <w:color w:val="auto"/>
          <w:lang w:val="en-US"/>
        </w:rPr>
        <w:t xml:space="preserve"> </w:t>
      </w:r>
      <w:r w:rsidR="00930E36">
        <w:rPr>
          <w:color w:val="auto"/>
          <w:lang w:val="en-US"/>
        </w:rPr>
        <w:t>3 weeks later, and every 3 weeks thereafter.</w:t>
      </w:r>
    </w:p>
    <w:p w14:paraId="7387A283" w14:textId="77777777" w:rsidR="00CF349F" w:rsidRPr="005E3242" w:rsidRDefault="00CF349F" w:rsidP="00C448E8">
      <w:pPr>
        <w:rPr>
          <w:color w:val="auto"/>
          <w:lang w:val="en-US"/>
        </w:rPr>
      </w:pPr>
    </w:p>
    <w:p w14:paraId="357269CF" w14:textId="4E49AAEC" w:rsidR="00CF349F" w:rsidRPr="005E3242" w:rsidRDefault="00CF349F" w:rsidP="00C448E8">
      <w:pPr>
        <w:rPr>
          <w:color w:val="auto"/>
          <w:lang w:val="en-US"/>
        </w:rPr>
      </w:pPr>
      <w:r w:rsidRPr="005E3242">
        <w:rPr>
          <w:color w:val="auto"/>
          <w:lang w:val="en-US"/>
        </w:rPr>
        <w:t xml:space="preserve">If </w:t>
      </w:r>
      <w:r w:rsidR="00930E36">
        <w:rPr>
          <w:color w:val="auto"/>
          <w:lang w:val="en-US"/>
        </w:rPr>
        <w:t>it has been</w:t>
      </w:r>
      <w:r w:rsidRPr="005E3242">
        <w:rPr>
          <w:color w:val="auto"/>
          <w:lang w:val="en-US"/>
        </w:rPr>
        <w:t xml:space="preserve"> 6 weeks or </w:t>
      </w:r>
      <w:r w:rsidR="00930E36">
        <w:rPr>
          <w:color w:val="auto"/>
          <w:lang w:val="en-US"/>
        </w:rPr>
        <w:t xml:space="preserve">longer since the last dose of </w:t>
      </w:r>
      <w:proofErr w:type="spellStart"/>
      <w:r w:rsidR="00930E36">
        <w:rPr>
          <w:color w:val="auto"/>
          <w:lang w:val="en-US"/>
        </w:rPr>
        <w:t>Phesgo</w:t>
      </w:r>
      <w:proofErr w:type="spellEnd"/>
      <w:r w:rsidRPr="005E3242">
        <w:rPr>
          <w:color w:val="auto"/>
          <w:lang w:val="en-US"/>
        </w:rPr>
        <w:t xml:space="preserve">, </w:t>
      </w:r>
      <w:r w:rsidR="00445FD8">
        <w:rPr>
          <w:color w:val="auto"/>
          <w:lang w:val="en-US"/>
        </w:rPr>
        <w:t>administer a</w:t>
      </w:r>
      <w:r w:rsidR="00445FD8" w:rsidRPr="005E3242">
        <w:rPr>
          <w:color w:val="auto"/>
          <w:lang w:val="en-US"/>
        </w:rPr>
        <w:t xml:space="preserve"> </w:t>
      </w:r>
      <w:r w:rsidRPr="008C1903">
        <w:rPr>
          <w:color w:val="auto"/>
          <w:u w:val="single"/>
          <w:lang w:val="en-US"/>
        </w:rPr>
        <w:t>loading</w:t>
      </w:r>
      <w:r w:rsidRPr="005E3242">
        <w:rPr>
          <w:color w:val="auto"/>
          <w:lang w:val="en-US"/>
        </w:rPr>
        <w:t xml:space="preserve"> dose of </w:t>
      </w:r>
      <w:proofErr w:type="spellStart"/>
      <w:r w:rsidR="00445FD8">
        <w:rPr>
          <w:color w:val="auto"/>
          <w:lang w:val="en-US"/>
        </w:rPr>
        <w:t>Phesgo</w:t>
      </w:r>
      <w:proofErr w:type="spellEnd"/>
      <w:r w:rsidR="00445FD8">
        <w:rPr>
          <w:color w:val="auto"/>
          <w:lang w:val="en-US"/>
        </w:rPr>
        <w:t xml:space="preserve"> (</w:t>
      </w:r>
      <w:r w:rsidRPr="005E3242">
        <w:rPr>
          <w:color w:val="auto"/>
          <w:lang w:val="en-US"/>
        </w:rPr>
        <w:t xml:space="preserve">1200 mg </w:t>
      </w:r>
      <w:proofErr w:type="spellStart"/>
      <w:r w:rsidRPr="005E3242">
        <w:rPr>
          <w:color w:val="auto"/>
          <w:lang w:val="en-US"/>
        </w:rPr>
        <w:t>pertuzumab</w:t>
      </w:r>
      <w:proofErr w:type="spellEnd"/>
      <w:r w:rsidR="00445FD8">
        <w:rPr>
          <w:color w:val="auto"/>
          <w:lang w:val="en-US"/>
        </w:rPr>
        <w:t xml:space="preserve"> and </w:t>
      </w:r>
      <w:r w:rsidRPr="005E3242">
        <w:rPr>
          <w:color w:val="auto"/>
          <w:lang w:val="en-US"/>
        </w:rPr>
        <w:t>600 mg trastuzumab</w:t>
      </w:r>
      <w:r w:rsidR="00445FD8">
        <w:rPr>
          <w:color w:val="auto"/>
          <w:lang w:val="en-US"/>
        </w:rPr>
        <w:t>) as soon as possible</w:t>
      </w:r>
      <w:r w:rsidR="00EF7ECC">
        <w:rPr>
          <w:color w:val="auto"/>
          <w:lang w:val="en-US"/>
        </w:rPr>
        <w:t>.</w:t>
      </w:r>
      <w:r w:rsidR="00B57B3C">
        <w:rPr>
          <w:color w:val="auto"/>
          <w:lang w:val="en-US"/>
        </w:rPr>
        <w:t xml:space="preserve"> Do not wait until the next planned dose.</w:t>
      </w:r>
      <w:r w:rsidRPr="005E3242">
        <w:rPr>
          <w:color w:val="auto"/>
          <w:lang w:val="en-US"/>
        </w:rPr>
        <w:t xml:space="preserve"> </w:t>
      </w:r>
      <w:r w:rsidR="00EF7ECC">
        <w:rPr>
          <w:color w:val="auto"/>
          <w:lang w:val="en-US"/>
        </w:rPr>
        <w:t>Give</w:t>
      </w:r>
      <w:r w:rsidRPr="005E3242">
        <w:rPr>
          <w:color w:val="auto"/>
          <w:lang w:val="en-US"/>
        </w:rPr>
        <w:t xml:space="preserve"> </w:t>
      </w:r>
      <w:r w:rsidR="00445FD8">
        <w:rPr>
          <w:color w:val="auto"/>
          <w:lang w:val="en-US"/>
        </w:rPr>
        <w:t>a</w:t>
      </w:r>
      <w:r w:rsidR="00445FD8" w:rsidRPr="005E3242">
        <w:rPr>
          <w:color w:val="auto"/>
          <w:lang w:val="en-US"/>
        </w:rPr>
        <w:t xml:space="preserve"> </w:t>
      </w:r>
      <w:r w:rsidRPr="008C1903">
        <w:rPr>
          <w:color w:val="auto"/>
          <w:u w:val="single"/>
          <w:lang w:val="en-US"/>
        </w:rPr>
        <w:t>maintenance</w:t>
      </w:r>
      <w:r w:rsidRPr="005E3242">
        <w:rPr>
          <w:color w:val="auto"/>
          <w:lang w:val="en-US"/>
        </w:rPr>
        <w:t xml:space="preserve"> dose of </w:t>
      </w:r>
      <w:proofErr w:type="spellStart"/>
      <w:r w:rsidR="00445FD8">
        <w:rPr>
          <w:color w:val="auto"/>
          <w:lang w:val="en-US"/>
        </w:rPr>
        <w:t>Phesgo</w:t>
      </w:r>
      <w:proofErr w:type="spellEnd"/>
      <w:r w:rsidR="00445FD8">
        <w:rPr>
          <w:color w:val="auto"/>
          <w:lang w:val="en-US"/>
        </w:rPr>
        <w:t xml:space="preserve"> (</w:t>
      </w:r>
      <w:r w:rsidRPr="005E3242">
        <w:rPr>
          <w:color w:val="auto"/>
          <w:lang w:val="en-US"/>
        </w:rPr>
        <w:t xml:space="preserve">600 mg </w:t>
      </w:r>
      <w:proofErr w:type="spellStart"/>
      <w:r w:rsidRPr="005E3242">
        <w:rPr>
          <w:color w:val="auto"/>
          <w:lang w:val="en-US"/>
        </w:rPr>
        <w:t>pertuzumab</w:t>
      </w:r>
      <w:proofErr w:type="spellEnd"/>
      <w:r w:rsidR="00445FD8">
        <w:rPr>
          <w:color w:val="auto"/>
          <w:lang w:val="en-US"/>
        </w:rPr>
        <w:t xml:space="preserve"> and</w:t>
      </w:r>
      <w:r w:rsidRPr="005E3242">
        <w:rPr>
          <w:color w:val="auto"/>
          <w:lang w:val="en-US"/>
        </w:rPr>
        <w:t xml:space="preserve"> 600 mg trastuzumab</w:t>
      </w:r>
      <w:r w:rsidR="00445FD8">
        <w:rPr>
          <w:color w:val="auto"/>
          <w:lang w:val="en-US"/>
        </w:rPr>
        <w:t>) 3 weeks later, and</w:t>
      </w:r>
      <w:r w:rsidRPr="005E3242">
        <w:rPr>
          <w:color w:val="auto"/>
          <w:lang w:val="en-US"/>
        </w:rPr>
        <w:t xml:space="preserve"> every 3 weeks thereafter.</w:t>
      </w:r>
    </w:p>
    <w:p w14:paraId="01520B89" w14:textId="77777777" w:rsidR="00CF349F" w:rsidRPr="005E3242" w:rsidRDefault="00CF349F" w:rsidP="00C448E8">
      <w:pPr>
        <w:rPr>
          <w:color w:val="auto"/>
          <w:lang w:val="en-US"/>
        </w:rPr>
      </w:pPr>
    </w:p>
    <w:p w14:paraId="4391385F" w14:textId="7C844EDE" w:rsidR="00CF349F" w:rsidRPr="005E3242" w:rsidRDefault="00CF349F" w:rsidP="00C448E8">
      <w:pPr>
        <w:pStyle w:val="Heading3"/>
      </w:pPr>
      <w:r w:rsidRPr="00056281">
        <w:t>Dose</w:t>
      </w:r>
      <w:r w:rsidRPr="005E3242">
        <w:t xml:space="preserve"> </w:t>
      </w:r>
      <w:r w:rsidR="00445FD8">
        <w:t>m</w:t>
      </w:r>
      <w:r w:rsidRPr="005E3242">
        <w:t>odifications</w:t>
      </w:r>
    </w:p>
    <w:p w14:paraId="732CF28B" w14:textId="76BA5338" w:rsidR="00F6227E" w:rsidRDefault="00445FD8" w:rsidP="00C448E8">
      <w:r>
        <w:rPr>
          <w:color w:val="auto"/>
          <w:lang w:val="en-US"/>
        </w:rPr>
        <w:t>D</w:t>
      </w:r>
      <w:r w:rsidR="00CF349F" w:rsidRPr="005E3242">
        <w:rPr>
          <w:color w:val="auto"/>
          <w:lang w:val="en-US"/>
        </w:rPr>
        <w:t xml:space="preserve">ose reductions </w:t>
      </w:r>
      <w:r>
        <w:rPr>
          <w:color w:val="auto"/>
          <w:lang w:val="en-US"/>
        </w:rPr>
        <w:t>are not recommended for</w:t>
      </w:r>
      <w:r w:rsidR="00CF349F" w:rsidRPr="005E3242">
        <w:rPr>
          <w:color w:val="auto"/>
          <w:lang w:val="en-US"/>
        </w:rPr>
        <w:t xml:space="preserve"> </w:t>
      </w:r>
      <w:proofErr w:type="spellStart"/>
      <w:r w:rsidR="00191B0B">
        <w:rPr>
          <w:color w:val="auto"/>
          <w:lang w:val="en-US"/>
        </w:rPr>
        <w:t>Phesgo</w:t>
      </w:r>
      <w:proofErr w:type="spellEnd"/>
      <w:r w:rsidR="00CF349F" w:rsidRPr="005E3242">
        <w:rPr>
          <w:color w:val="auto"/>
          <w:lang w:val="en-US"/>
        </w:rPr>
        <w:t>.</w:t>
      </w:r>
      <w:r w:rsidR="00EF7ECC">
        <w:t xml:space="preserve"> </w:t>
      </w:r>
      <w:r w:rsidR="00CF349F" w:rsidRPr="005E3242">
        <w:t xml:space="preserve">For </w:t>
      </w:r>
      <w:r w:rsidR="00CF349F" w:rsidRPr="00F6227E">
        <w:t>chemotherapy</w:t>
      </w:r>
      <w:r w:rsidR="00CF349F" w:rsidRPr="005E3242">
        <w:t xml:space="preserve"> dose modifications, </w:t>
      </w:r>
      <w:r>
        <w:t>refer to the chemotherapy</w:t>
      </w:r>
      <w:r w:rsidR="00CF349F" w:rsidRPr="005E3242">
        <w:t xml:space="preserve"> </w:t>
      </w:r>
      <w:r>
        <w:t>product</w:t>
      </w:r>
      <w:r w:rsidRPr="005E3242">
        <w:t xml:space="preserve"> </w:t>
      </w:r>
      <w:r w:rsidR="00CF349F" w:rsidRPr="005E3242">
        <w:t xml:space="preserve">information. </w:t>
      </w:r>
    </w:p>
    <w:p w14:paraId="5C4AD9A6" w14:textId="73501C63" w:rsidR="00F6227E" w:rsidRPr="00001BD4" w:rsidRDefault="00F6227E" w:rsidP="00C448E8">
      <w:pPr>
        <w:pStyle w:val="Heading4"/>
      </w:pPr>
      <w:r w:rsidRPr="00F6227E">
        <w:t>Adverse</w:t>
      </w:r>
      <w:r w:rsidRPr="00001BD4">
        <w:t xml:space="preserve"> reactions</w:t>
      </w:r>
    </w:p>
    <w:p w14:paraId="0E068BB2" w14:textId="324D4A8F" w:rsidR="00CF349F" w:rsidRPr="005E3242" w:rsidRDefault="00CF349F" w:rsidP="00C448E8">
      <w:pPr>
        <w:pStyle w:val="Heading6"/>
      </w:pPr>
      <w:r w:rsidRPr="005E3242">
        <w:t xml:space="preserve">Injection-related reactions </w:t>
      </w:r>
    </w:p>
    <w:p w14:paraId="5CE97F2E" w14:textId="5162E1D9" w:rsidR="00CF349F" w:rsidRPr="005E3242" w:rsidRDefault="00CF349F" w:rsidP="00C448E8">
      <w:pPr>
        <w:rPr>
          <w:color w:val="auto"/>
          <w:lang w:val="en-US"/>
        </w:rPr>
      </w:pPr>
      <w:r w:rsidRPr="005E3242">
        <w:rPr>
          <w:color w:val="auto"/>
          <w:lang w:val="en-US"/>
        </w:rPr>
        <w:t>The injection should be slowed or paused if the patient experiences injection-related symptoms (see</w:t>
      </w:r>
      <w:r w:rsidRPr="005E3242">
        <w:rPr>
          <w:i/>
          <w:color w:val="auto"/>
          <w:lang w:val="en-US"/>
        </w:rPr>
        <w:t xml:space="preserve"> 4.4 Special warnings and precautions for use).</w:t>
      </w:r>
    </w:p>
    <w:p w14:paraId="04C0F4BC" w14:textId="77777777" w:rsidR="00CF349F" w:rsidRPr="005E3242" w:rsidRDefault="00CF349F" w:rsidP="00C448E8">
      <w:pPr>
        <w:pStyle w:val="Heading6"/>
      </w:pPr>
      <w:r w:rsidRPr="005E3242">
        <w:lastRenderedPageBreak/>
        <w:t>Hypersensitivity/anaphylaxis</w:t>
      </w:r>
    </w:p>
    <w:p w14:paraId="4767A197" w14:textId="086E2CBC" w:rsidR="00CF349F" w:rsidRPr="005E3242" w:rsidRDefault="00445FD8" w:rsidP="00C448E8">
      <w:pPr>
        <w:rPr>
          <w:color w:val="auto"/>
          <w:lang w:val="en-US"/>
        </w:rPr>
      </w:pPr>
      <w:r>
        <w:rPr>
          <w:color w:val="auto"/>
          <w:lang w:val="en-US"/>
        </w:rPr>
        <w:t>D</w:t>
      </w:r>
      <w:r w:rsidR="00CF349F" w:rsidRPr="005E3242">
        <w:rPr>
          <w:color w:val="auto"/>
          <w:lang w:val="en-US"/>
        </w:rPr>
        <w:t>iscontinue</w:t>
      </w:r>
      <w:r>
        <w:rPr>
          <w:color w:val="auto"/>
          <w:lang w:val="en-US"/>
        </w:rPr>
        <w:t xml:space="preserve"> the injection</w:t>
      </w:r>
      <w:r w:rsidR="00CF349F" w:rsidRPr="005E3242">
        <w:rPr>
          <w:color w:val="auto"/>
          <w:lang w:val="en-US"/>
        </w:rPr>
        <w:t xml:space="preserve"> immediately and permanently if the patient experiences a serious hypersensitivity reaction (e.g. anaphylaxis) (see</w:t>
      </w:r>
      <w:r w:rsidR="00CF349F" w:rsidRPr="005E3242">
        <w:rPr>
          <w:i/>
          <w:color w:val="auto"/>
          <w:lang w:val="en-US"/>
        </w:rPr>
        <w:t xml:space="preserve"> 4.4 Special warnings and precautions for use)</w:t>
      </w:r>
      <w:r w:rsidR="00CF349F" w:rsidRPr="005E3242">
        <w:rPr>
          <w:color w:val="auto"/>
          <w:lang w:val="en-US"/>
        </w:rPr>
        <w:t>.</w:t>
      </w:r>
    </w:p>
    <w:p w14:paraId="6DAEFF56" w14:textId="77777777" w:rsidR="00CF349F" w:rsidRPr="005E3242" w:rsidRDefault="00CF349F" w:rsidP="00C448E8">
      <w:pPr>
        <w:pStyle w:val="Heading6"/>
      </w:pPr>
      <w:r w:rsidRPr="005E3242">
        <w:t xml:space="preserve">Left ventricular dysfunction </w:t>
      </w:r>
    </w:p>
    <w:p w14:paraId="36C348F5" w14:textId="7AC63FFB" w:rsidR="00445FD8" w:rsidRPr="005E3242" w:rsidRDefault="00445FD8" w:rsidP="00C448E8">
      <w:pPr>
        <w:rPr>
          <w:color w:val="auto"/>
          <w:lang w:val="en-US"/>
        </w:rPr>
      </w:pPr>
      <w:r w:rsidRPr="005E3242">
        <w:rPr>
          <w:color w:val="auto"/>
          <w:lang w:val="en-US"/>
        </w:rPr>
        <w:t xml:space="preserve">Assess </w:t>
      </w:r>
      <w:r>
        <w:rPr>
          <w:color w:val="auto"/>
          <w:lang w:val="en-US"/>
        </w:rPr>
        <w:t>left ventricular ejection fraction (</w:t>
      </w:r>
      <w:r w:rsidRPr="005E3242">
        <w:rPr>
          <w:color w:val="auto"/>
          <w:lang w:val="en-US"/>
        </w:rPr>
        <w:t>LVEF</w:t>
      </w:r>
      <w:r>
        <w:rPr>
          <w:color w:val="auto"/>
          <w:lang w:val="en-US"/>
        </w:rPr>
        <w:t>)</w:t>
      </w:r>
      <w:r w:rsidRPr="005E3242">
        <w:rPr>
          <w:color w:val="auto"/>
          <w:lang w:val="en-US"/>
        </w:rPr>
        <w:t xml:space="preserve"> prior to initiation of </w:t>
      </w:r>
      <w:proofErr w:type="spellStart"/>
      <w:r>
        <w:rPr>
          <w:color w:val="auto"/>
          <w:lang w:val="en-US"/>
        </w:rPr>
        <w:t>Phesgo</w:t>
      </w:r>
      <w:proofErr w:type="spellEnd"/>
      <w:r w:rsidRPr="005E3242">
        <w:rPr>
          <w:color w:val="auto"/>
          <w:lang w:val="en-US"/>
        </w:rPr>
        <w:t xml:space="preserve"> and at regular intervals during treatment</w:t>
      </w:r>
      <w:r w:rsidR="009E1368">
        <w:rPr>
          <w:color w:val="auto"/>
          <w:lang w:val="en-US"/>
        </w:rPr>
        <w:t xml:space="preserve">, and interrupt </w:t>
      </w:r>
      <w:proofErr w:type="spellStart"/>
      <w:r w:rsidR="009E1368">
        <w:rPr>
          <w:color w:val="auto"/>
          <w:lang w:val="en-US"/>
        </w:rPr>
        <w:t>Phesgo</w:t>
      </w:r>
      <w:proofErr w:type="spellEnd"/>
      <w:r w:rsidRPr="005E3242">
        <w:rPr>
          <w:color w:val="auto"/>
          <w:lang w:val="en-US"/>
        </w:rPr>
        <w:t xml:space="preserve"> as indicated in</w:t>
      </w:r>
      <w:r w:rsidR="00996A40">
        <w:rPr>
          <w:color w:val="auto"/>
          <w:lang w:val="en-US"/>
        </w:rPr>
        <w:t xml:space="preserve"> </w:t>
      </w:r>
      <w:r w:rsidR="00996A40">
        <w:rPr>
          <w:color w:val="auto"/>
          <w:lang w:val="en-US"/>
        </w:rPr>
        <w:fldChar w:fldCharType="begin"/>
      </w:r>
      <w:r w:rsidR="00996A40">
        <w:rPr>
          <w:color w:val="auto"/>
          <w:lang w:val="en-US"/>
        </w:rPr>
        <w:instrText xml:space="preserve"> REF _Ref66710294 \h </w:instrText>
      </w:r>
      <w:r w:rsidR="00996A40">
        <w:rPr>
          <w:color w:val="auto"/>
          <w:lang w:val="en-US"/>
        </w:rPr>
      </w:r>
      <w:r w:rsidR="00C448E8">
        <w:rPr>
          <w:color w:val="auto"/>
          <w:lang w:val="en-US"/>
        </w:rPr>
        <w:instrText xml:space="preserve"> \* MERGEFORMAT </w:instrText>
      </w:r>
      <w:r w:rsidR="00996A40">
        <w:rPr>
          <w:color w:val="auto"/>
          <w:lang w:val="en-US"/>
        </w:rPr>
        <w:fldChar w:fldCharType="separate"/>
      </w:r>
      <w:r w:rsidR="00C840A1">
        <w:t xml:space="preserve">Table </w:t>
      </w:r>
      <w:r w:rsidR="00C840A1">
        <w:rPr>
          <w:noProof/>
        </w:rPr>
        <w:t>2</w:t>
      </w:r>
      <w:r w:rsidR="00996A40">
        <w:rPr>
          <w:color w:val="auto"/>
          <w:lang w:val="en-US"/>
        </w:rPr>
        <w:fldChar w:fldCharType="end"/>
      </w:r>
      <w:r w:rsidR="00C6612C">
        <w:rPr>
          <w:color w:val="auto"/>
          <w:lang w:val="en-US"/>
        </w:rPr>
        <w:t>.</w:t>
      </w:r>
      <w:r w:rsidRPr="005E3242">
        <w:rPr>
          <w:color w:val="auto"/>
          <w:lang w:val="en-US"/>
        </w:rPr>
        <w:t xml:space="preserve"> </w:t>
      </w:r>
    </w:p>
    <w:p w14:paraId="3AF3092D" w14:textId="77777777" w:rsidR="00445FD8" w:rsidRPr="005E3242" w:rsidRDefault="00445FD8" w:rsidP="00C448E8">
      <w:pPr>
        <w:rPr>
          <w:lang w:val="en-US"/>
        </w:rPr>
      </w:pPr>
    </w:p>
    <w:p w14:paraId="56FA9A2A" w14:textId="6436A055" w:rsidR="00996A40" w:rsidRDefault="00996A40" w:rsidP="00C448E8">
      <w:pPr>
        <w:pStyle w:val="Caption"/>
        <w:keepNext/>
      </w:pPr>
      <w:bookmarkStart w:id="2" w:name="_Ref66710294"/>
      <w:r>
        <w:t xml:space="preserve">Table </w:t>
      </w:r>
      <w:r>
        <w:fldChar w:fldCharType="begin"/>
      </w:r>
      <w:r>
        <w:instrText xml:space="preserve"> SEQ Table \* ARABIC </w:instrText>
      </w:r>
      <w:r>
        <w:fldChar w:fldCharType="separate"/>
      </w:r>
      <w:r w:rsidR="00C840A1">
        <w:rPr>
          <w:noProof/>
        </w:rPr>
        <w:t>2</w:t>
      </w:r>
      <w:r>
        <w:fldChar w:fldCharType="end"/>
      </w:r>
      <w:bookmarkEnd w:id="2"/>
      <w:r>
        <w:t>:</w:t>
      </w:r>
      <w:r w:rsidRPr="00996A40">
        <w:t xml:space="preserve"> </w:t>
      </w:r>
      <w:r w:rsidRPr="005E3242">
        <w:t>Dose recommendations for left ventricular dysfunction</w:t>
      </w:r>
    </w:p>
    <w:tbl>
      <w:tblPr>
        <w:tblStyle w:val="TableGrid"/>
        <w:tblW w:w="0" w:type="auto"/>
        <w:tblInd w:w="0" w:type="dxa"/>
        <w:tblLook w:val="04A0" w:firstRow="1" w:lastRow="0" w:firstColumn="1" w:lastColumn="0" w:noHBand="0" w:noVBand="1"/>
      </w:tblPr>
      <w:tblGrid>
        <w:gridCol w:w="1390"/>
        <w:gridCol w:w="1440"/>
        <w:gridCol w:w="1480"/>
        <w:gridCol w:w="925"/>
        <w:gridCol w:w="1322"/>
        <w:gridCol w:w="965"/>
        <w:gridCol w:w="1334"/>
      </w:tblGrid>
      <w:tr w:rsidR="00445FD8" w:rsidRPr="005E3242" w14:paraId="58E19658" w14:textId="77777777" w:rsidTr="006B2154">
        <w:tc>
          <w:tcPr>
            <w:tcW w:w="1390" w:type="dxa"/>
          </w:tcPr>
          <w:p w14:paraId="18B3D77F" w14:textId="77777777" w:rsidR="00445FD8" w:rsidRPr="005E3242" w:rsidRDefault="00445FD8" w:rsidP="00C448E8">
            <w:pPr>
              <w:keepNext/>
              <w:pBdr>
                <w:top w:val="nil"/>
                <w:left w:val="nil"/>
                <w:bottom w:val="nil"/>
                <w:right w:val="nil"/>
                <w:between w:val="nil"/>
              </w:pBdr>
              <w:rPr>
                <w:b/>
                <w:color w:val="auto"/>
                <w:lang w:val="en-US"/>
              </w:rPr>
            </w:pPr>
          </w:p>
        </w:tc>
        <w:tc>
          <w:tcPr>
            <w:tcW w:w="1440" w:type="dxa"/>
            <w:vAlign w:val="bottom"/>
          </w:tcPr>
          <w:p w14:paraId="3F4237DF" w14:textId="6DAC9A17" w:rsidR="00445FD8" w:rsidRPr="005E3242" w:rsidRDefault="00F901D9" w:rsidP="00C448E8">
            <w:pPr>
              <w:keepNext/>
              <w:pBdr>
                <w:top w:val="nil"/>
                <w:left w:val="nil"/>
                <w:bottom w:val="nil"/>
                <w:right w:val="nil"/>
                <w:between w:val="nil"/>
              </w:pBdr>
              <w:rPr>
                <w:b/>
                <w:color w:val="auto"/>
                <w:lang w:val="en-US"/>
              </w:rPr>
            </w:pPr>
            <w:r>
              <w:rPr>
                <w:b/>
                <w:color w:val="auto"/>
                <w:lang w:val="en-US"/>
              </w:rPr>
              <w:t>Do not commence dosing unless p</w:t>
            </w:r>
            <w:r w:rsidR="00445FD8" w:rsidRPr="005E3242">
              <w:rPr>
                <w:b/>
                <w:color w:val="auto"/>
                <w:lang w:val="en-US"/>
              </w:rPr>
              <w:t>re-treatment LVEF</w:t>
            </w:r>
            <w:r>
              <w:rPr>
                <w:b/>
                <w:color w:val="auto"/>
                <w:lang w:val="en-US"/>
              </w:rPr>
              <w:t xml:space="preserve"> is</w:t>
            </w:r>
            <w:r w:rsidR="00445FD8" w:rsidRPr="005E3242">
              <w:rPr>
                <w:b/>
                <w:color w:val="auto"/>
                <w:lang w:val="en-US"/>
              </w:rPr>
              <w:t>:</w:t>
            </w:r>
          </w:p>
        </w:tc>
        <w:tc>
          <w:tcPr>
            <w:tcW w:w="1480" w:type="dxa"/>
            <w:vAlign w:val="bottom"/>
          </w:tcPr>
          <w:p w14:paraId="6A663E20" w14:textId="04AA5284" w:rsidR="00445FD8" w:rsidRPr="005E3242" w:rsidRDefault="00445FD8" w:rsidP="00C448E8">
            <w:pPr>
              <w:keepNext/>
              <w:pBdr>
                <w:top w:val="nil"/>
                <w:left w:val="nil"/>
                <w:bottom w:val="nil"/>
                <w:right w:val="nil"/>
                <w:between w:val="nil"/>
              </w:pBdr>
              <w:rPr>
                <w:b/>
                <w:color w:val="auto"/>
                <w:lang w:val="en-US"/>
              </w:rPr>
            </w:pPr>
            <w:r w:rsidRPr="005E3242">
              <w:rPr>
                <w:b/>
                <w:color w:val="auto"/>
                <w:lang w:val="en-US"/>
              </w:rPr>
              <w:t>Monitor LVEF every:</w:t>
            </w:r>
          </w:p>
        </w:tc>
        <w:tc>
          <w:tcPr>
            <w:tcW w:w="2247" w:type="dxa"/>
            <w:gridSpan w:val="2"/>
            <w:vAlign w:val="bottom"/>
          </w:tcPr>
          <w:p w14:paraId="6F6A42D7" w14:textId="152C3A0B" w:rsidR="00445FD8" w:rsidRPr="005E3242" w:rsidRDefault="00445FD8" w:rsidP="00C448E8">
            <w:pPr>
              <w:keepNext/>
              <w:pBdr>
                <w:top w:val="nil"/>
                <w:left w:val="nil"/>
                <w:bottom w:val="nil"/>
                <w:right w:val="nil"/>
                <w:between w:val="nil"/>
              </w:pBdr>
              <w:rPr>
                <w:b/>
                <w:color w:val="auto"/>
                <w:lang w:val="en-US"/>
              </w:rPr>
            </w:pPr>
            <w:r w:rsidRPr="005E3242">
              <w:rPr>
                <w:b/>
                <w:color w:val="auto"/>
                <w:lang w:val="en-US"/>
              </w:rPr>
              <w:t xml:space="preserve">Withhold </w:t>
            </w:r>
            <w:proofErr w:type="spellStart"/>
            <w:r>
              <w:rPr>
                <w:b/>
                <w:color w:val="auto"/>
                <w:lang w:val="en-US"/>
              </w:rPr>
              <w:t>Phesgo</w:t>
            </w:r>
            <w:proofErr w:type="spellEnd"/>
            <w:r w:rsidRPr="005E3242">
              <w:rPr>
                <w:b/>
                <w:color w:val="auto"/>
                <w:lang w:val="en-US"/>
              </w:rPr>
              <w:t xml:space="preserve"> for at least 3 weeks for an LVEF decrease to:</w:t>
            </w:r>
          </w:p>
        </w:tc>
        <w:tc>
          <w:tcPr>
            <w:tcW w:w="2299" w:type="dxa"/>
            <w:gridSpan w:val="2"/>
            <w:vAlign w:val="bottom"/>
          </w:tcPr>
          <w:p w14:paraId="5A931D8D" w14:textId="5CBB724A" w:rsidR="00445FD8" w:rsidRPr="005E3242" w:rsidRDefault="00445FD8" w:rsidP="00C448E8">
            <w:pPr>
              <w:keepNext/>
              <w:pBdr>
                <w:top w:val="nil"/>
                <w:left w:val="nil"/>
                <w:bottom w:val="nil"/>
                <w:right w:val="nil"/>
                <w:between w:val="nil"/>
              </w:pBdr>
              <w:rPr>
                <w:b/>
                <w:color w:val="auto"/>
                <w:lang w:val="en-US"/>
              </w:rPr>
            </w:pPr>
            <w:r w:rsidRPr="005E3242">
              <w:rPr>
                <w:b/>
                <w:color w:val="auto"/>
                <w:lang w:val="en-US"/>
              </w:rPr>
              <w:t xml:space="preserve">Resume </w:t>
            </w:r>
            <w:proofErr w:type="spellStart"/>
            <w:r>
              <w:rPr>
                <w:b/>
                <w:color w:val="auto"/>
                <w:lang w:val="en-US"/>
              </w:rPr>
              <w:t>Phesgo</w:t>
            </w:r>
            <w:proofErr w:type="spellEnd"/>
            <w:r w:rsidRPr="005E3242">
              <w:rPr>
                <w:b/>
                <w:color w:val="auto"/>
                <w:lang w:val="en-US"/>
              </w:rPr>
              <w:t xml:space="preserve"> after 3 weeks if LVEF has recovered to:</w:t>
            </w:r>
          </w:p>
        </w:tc>
      </w:tr>
      <w:tr w:rsidR="00C6612C" w:rsidRPr="005E3242" w14:paraId="43C9563E" w14:textId="77777777" w:rsidTr="006B2154">
        <w:tc>
          <w:tcPr>
            <w:tcW w:w="1390" w:type="dxa"/>
            <w:vMerge w:val="restart"/>
          </w:tcPr>
          <w:p w14:paraId="73F67074" w14:textId="77777777" w:rsidR="00C6612C" w:rsidRPr="005E3242" w:rsidRDefault="00C6612C" w:rsidP="00C448E8">
            <w:pPr>
              <w:keepNext/>
              <w:pBdr>
                <w:top w:val="nil"/>
                <w:left w:val="nil"/>
                <w:bottom w:val="nil"/>
                <w:right w:val="nil"/>
                <w:between w:val="nil"/>
              </w:pBdr>
              <w:rPr>
                <w:color w:val="auto"/>
                <w:lang w:val="en-GB"/>
              </w:rPr>
            </w:pPr>
            <w:r w:rsidRPr="005E3242">
              <w:rPr>
                <w:b/>
                <w:color w:val="auto"/>
                <w:lang w:val="en-US"/>
              </w:rPr>
              <w:t>Early Breast Cancer</w:t>
            </w:r>
          </w:p>
        </w:tc>
        <w:tc>
          <w:tcPr>
            <w:tcW w:w="1440" w:type="dxa"/>
            <w:vMerge w:val="restart"/>
          </w:tcPr>
          <w:p w14:paraId="5045157D" w14:textId="11A05A85" w:rsidR="00C6612C" w:rsidRPr="005E3242" w:rsidRDefault="00C6612C" w:rsidP="00C448E8">
            <w:pPr>
              <w:keepNext/>
              <w:pBdr>
                <w:top w:val="nil"/>
                <w:left w:val="nil"/>
                <w:bottom w:val="nil"/>
                <w:right w:val="nil"/>
                <w:between w:val="nil"/>
              </w:pBdr>
              <w:rPr>
                <w:color w:val="auto"/>
                <w:lang w:val="en-US"/>
              </w:rPr>
            </w:pPr>
            <w:r w:rsidRPr="005E3242">
              <w:rPr>
                <w:color w:val="auto"/>
                <w:lang w:val="en-US"/>
              </w:rPr>
              <w:t xml:space="preserve">≥ </w:t>
            </w:r>
            <w:r w:rsidRPr="005E3242">
              <w:rPr>
                <w:color w:val="auto"/>
                <w:lang w:val="en-029"/>
              </w:rPr>
              <w:t>55%</w:t>
            </w:r>
            <w:r>
              <w:rPr>
                <w:color w:val="auto"/>
                <w:vertAlign w:val="superscript"/>
                <w:lang w:val="en-029"/>
              </w:rPr>
              <w:t>*</w:t>
            </w:r>
          </w:p>
        </w:tc>
        <w:tc>
          <w:tcPr>
            <w:tcW w:w="1480" w:type="dxa"/>
            <w:vMerge w:val="restart"/>
          </w:tcPr>
          <w:p w14:paraId="0556464A" w14:textId="77777777" w:rsidR="00C6612C" w:rsidRPr="005E3242" w:rsidRDefault="00C6612C" w:rsidP="00C448E8">
            <w:pPr>
              <w:keepNext/>
              <w:pBdr>
                <w:top w:val="nil"/>
                <w:left w:val="nil"/>
                <w:bottom w:val="nil"/>
                <w:right w:val="nil"/>
                <w:between w:val="nil"/>
              </w:pBdr>
              <w:rPr>
                <w:color w:val="auto"/>
                <w:lang w:val="en-US"/>
              </w:rPr>
            </w:pPr>
            <w:r w:rsidRPr="005E3242">
              <w:rPr>
                <w:color w:val="auto"/>
                <w:lang w:val="en-US"/>
              </w:rPr>
              <w:t>~12 weeks (once during neoadjuvant therapy)</w:t>
            </w:r>
          </w:p>
        </w:tc>
        <w:tc>
          <w:tcPr>
            <w:tcW w:w="2247" w:type="dxa"/>
            <w:gridSpan w:val="2"/>
            <w:vMerge w:val="restart"/>
          </w:tcPr>
          <w:p w14:paraId="59D32B3F" w14:textId="77777777" w:rsidR="00C6612C" w:rsidRPr="005E3242" w:rsidRDefault="00C6612C" w:rsidP="00C448E8">
            <w:pPr>
              <w:keepNext/>
              <w:pBdr>
                <w:top w:val="nil"/>
                <w:left w:val="nil"/>
                <w:bottom w:val="nil"/>
                <w:right w:val="nil"/>
                <w:between w:val="nil"/>
              </w:pBdr>
              <w:rPr>
                <w:color w:val="auto"/>
                <w:lang w:val="en-US"/>
              </w:rPr>
            </w:pPr>
            <w:r w:rsidRPr="005E3242">
              <w:rPr>
                <w:color w:val="auto"/>
                <w:lang w:val="en-US"/>
              </w:rPr>
              <w:t xml:space="preserve">&lt;50% with a fall </w:t>
            </w:r>
            <w:proofErr w:type="gramStart"/>
            <w:r w:rsidRPr="005E3242">
              <w:rPr>
                <w:color w:val="auto"/>
                <w:lang w:val="en-US"/>
              </w:rPr>
              <w:t>of  ≥</w:t>
            </w:r>
            <w:proofErr w:type="gramEnd"/>
            <w:r w:rsidRPr="005E3242">
              <w:rPr>
                <w:color w:val="auto"/>
                <w:lang w:val="en-US"/>
              </w:rPr>
              <w:t xml:space="preserve">10%-points below pre-treatment value </w:t>
            </w:r>
          </w:p>
        </w:tc>
        <w:tc>
          <w:tcPr>
            <w:tcW w:w="2299" w:type="dxa"/>
            <w:gridSpan w:val="2"/>
          </w:tcPr>
          <w:p w14:paraId="152EE9BB" w14:textId="7CBB1498" w:rsidR="00C6612C" w:rsidRPr="005E3242" w:rsidRDefault="00C6612C" w:rsidP="00C448E8">
            <w:pPr>
              <w:keepNext/>
              <w:pBdr>
                <w:top w:val="nil"/>
                <w:left w:val="nil"/>
                <w:bottom w:val="nil"/>
                <w:right w:val="nil"/>
                <w:between w:val="nil"/>
              </w:pBdr>
              <w:rPr>
                <w:color w:val="auto"/>
                <w:lang w:val="en-US"/>
              </w:rPr>
            </w:pPr>
            <w:r w:rsidRPr="005E3242">
              <w:rPr>
                <w:color w:val="auto"/>
                <w:lang w:val="en-US"/>
              </w:rPr>
              <w:t>Either</w:t>
            </w:r>
            <w:r w:rsidR="009E1368">
              <w:rPr>
                <w:color w:val="auto"/>
                <w:lang w:val="en-US"/>
              </w:rPr>
              <w:t xml:space="preserve"> of</w:t>
            </w:r>
          </w:p>
        </w:tc>
      </w:tr>
      <w:tr w:rsidR="00C6612C" w:rsidRPr="005E3242" w14:paraId="1D6AB268" w14:textId="77777777" w:rsidTr="006B2154">
        <w:tc>
          <w:tcPr>
            <w:tcW w:w="1390" w:type="dxa"/>
            <w:vMerge/>
          </w:tcPr>
          <w:p w14:paraId="1DFE61EA" w14:textId="77777777" w:rsidR="00C6612C" w:rsidRPr="005E3242" w:rsidRDefault="00C6612C" w:rsidP="00C448E8">
            <w:pPr>
              <w:keepNext/>
              <w:pBdr>
                <w:top w:val="nil"/>
                <w:left w:val="nil"/>
                <w:bottom w:val="nil"/>
                <w:right w:val="nil"/>
                <w:between w:val="nil"/>
              </w:pBdr>
              <w:rPr>
                <w:color w:val="auto"/>
                <w:lang w:val="en-GB"/>
              </w:rPr>
            </w:pPr>
          </w:p>
        </w:tc>
        <w:tc>
          <w:tcPr>
            <w:tcW w:w="1440" w:type="dxa"/>
            <w:vMerge/>
          </w:tcPr>
          <w:p w14:paraId="42FF1C3C" w14:textId="77777777" w:rsidR="00C6612C" w:rsidRPr="005E3242" w:rsidRDefault="00C6612C" w:rsidP="00C448E8">
            <w:pPr>
              <w:keepNext/>
              <w:pBdr>
                <w:top w:val="nil"/>
                <w:left w:val="nil"/>
                <w:bottom w:val="nil"/>
                <w:right w:val="nil"/>
                <w:between w:val="nil"/>
              </w:pBdr>
              <w:rPr>
                <w:color w:val="auto"/>
                <w:lang w:val="en-US"/>
              </w:rPr>
            </w:pPr>
          </w:p>
        </w:tc>
        <w:tc>
          <w:tcPr>
            <w:tcW w:w="1480" w:type="dxa"/>
            <w:vMerge/>
          </w:tcPr>
          <w:p w14:paraId="4FEAF58C" w14:textId="77777777" w:rsidR="00C6612C" w:rsidRPr="005E3242" w:rsidRDefault="00C6612C" w:rsidP="00C448E8">
            <w:pPr>
              <w:keepNext/>
              <w:pBdr>
                <w:top w:val="nil"/>
                <w:left w:val="nil"/>
                <w:bottom w:val="nil"/>
                <w:right w:val="nil"/>
                <w:between w:val="nil"/>
              </w:pBdr>
              <w:rPr>
                <w:color w:val="auto"/>
                <w:lang w:val="en-US"/>
              </w:rPr>
            </w:pPr>
          </w:p>
        </w:tc>
        <w:tc>
          <w:tcPr>
            <w:tcW w:w="2247" w:type="dxa"/>
            <w:gridSpan w:val="2"/>
            <w:vMerge/>
          </w:tcPr>
          <w:p w14:paraId="03DAEE34" w14:textId="77777777" w:rsidR="00C6612C" w:rsidRPr="005E3242" w:rsidRDefault="00C6612C" w:rsidP="00C448E8">
            <w:pPr>
              <w:keepNext/>
              <w:pBdr>
                <w:top w:val="nil"/>
                <w:left w:val="nil"/>
                <w:bottom w:val="nil"/>
                <w:right w:val="nil"/>
                <w:between w:val="nil"/>
              </w:pBdr>
              <w:rPr>
                <w:color w:val="auto"/>
                <w:lang w:val="en-US"/>
              </w:rPr>
            </w:pPr>
          </w:p>
        </w:tc>
        <w:tc>
          <w:tcPr>
            <w:tcW w:w="965" w:type="dxa"/>
          </w:tcPr>
          <w:p w14:paraId="00F0FB6A" w14:textId="77777777" w:rsidR="00C6612C" w:rsidRPr="005E3242" w:rsidRDefault="00C6612C" w:rsidP="00C448E8">
            <w:pPr>
              <w:keepNext/>
              <w:pBdr>
                <w:top w:val="nil"/>
                <w:left w:val="nil"/>
                <w:bottom w:val="nil"/>
                <w:right w:val="nil"/>
                <w:between w:val="nil"/>
              </w:pBdr>
              <w:rPr>
                <w:color w:val="auto"/>
                <w:lang w:val="en-US"/>
              </w:rPr>
            </w:pPr>
            <w:r w:rsidRPr="005E3242">
              <w:rPr>
                <w:color w:val="auto"/>
                <w:lang w:val="en-US"/>
              </w:rPr>
              <w:t>≥</w:t>
            </w:r>
            <w:r w:rsidRPr="005E3242">
              <w:rPr>
                <w:color w:val="auto"/>
                <w:lang w:val="en-029"/>
              </w:rPr>
              <w:t xml:space="preserve"> 50%</w:t>
            </w:r>
          </w:p>
        </w:tc>
        <w:tc>
          <w:tcPr>
            <w:tcW w:w="1334" w:type="dxa"/>
          </w:tcPr>
          <w:p w14:paraId="37E9BFAA" w14:textId="77777777" w:rsidR="00C6612C" w:rsidRPr="005E3242" w:rsidRDefault="00C6612C" w:rsidP="00C448E8">
            <w:pPr>
              <w:keepNext/>
              <w:pBdr>
                <w:top w:val="nil"/>
                <w:left w:val="nil"/>
                <w:bottom w:val="nil"/>
                <w:right w:val="nil"/>
                <w:between w:val="nil"/>
              </w:pBdr>
              <w:rPr>
                <w:color w:val="auto"/>
                <w:lang w:val="en-US"/>
              </w:rPr>
            </w:pPr>
            <w:r w:rsidRPr="005E3242">
              <w:rPr>
                <w:color w:val="auto"/>
                <w:lang w:val="en-GB"/>
              </w:rPr>
              <w:t>&lt; 10%- points below pre-treatment value</w:t>
            </w:r>
          </w:p>
        </w:tc>
      </w:tr>
      <w:tr w:rsidR="00445FD8" w:rsidRPr="005E3242" w14:paraId="413FF35E" w14:textId="77777777" w:rsidTr="006B2154">
        <w:tc>
          <w:tcPr>
            <w:tcW w:w="1390" w:type="dxa"/>
            <w:vMerge w:val="restart"/>
          </w:tcPr>
          <w:p w14:paraId="61518BED" w14:textId="6EB1279D" w:rsidR="00445FD8" w:rsidRPr="005E3242" w:rsidRDefault="00445FD8" w:rsidP="00C448E8">
            <w:pPr>
              <w:keepNext/>
              <w:pBdr>
                <w:top w:val="nil"/>
                <w:left w:val="nil"/>
                <w:bottom w:val="nil"/>
                <w:right w:val="nil"/>
                <w:between w:val="nil"/>
              </w:pBdr>
              <w:rPr>
                <w:b/>
                <w:color w:val="auto"/>
                <w:lang w:val="en-US"/>
              </w:rPr>
            </w:pPr>
            <w:r w:rsidRPr="005E3242">
              <w:rPr>
                <w:b/>
                <w:color w:val="auto"/>
                <w:lang w:val="en-US"/>
              </w:rPr>
              <w:t xml:space="preserve">Metastatic Breast </w:t>
            </w:r>
            <w:proofErr w:type="spellStart"/>
            <w:r w:rsidRPr="005E3242">
              <w:rPr>
                <w:b/>
                <w:color w:val="auto"/>
                <w:lang w:val="en-US"/>
              </w:rPr>
              <w:t>Cancer</w:t>
            </w:r>
            <w:r w:rsidRPr="005E3242">
              <w:rPr>
                <w:b/>
                <w:color w:val="auto"/>
                <w:vertAlign w:val="superscript"/>
                <w:lang w:val="en-US"/>
              </w:rPr>
              <w:t>a</w:t>
            </w:r>
            <w:proofErr w:type="spellEnd"/>
          </w:p>
        </w:tc>
        <w:tc>
          <w:tcPr>
            <w:tcW w:w="1440" w:type="dxa"/>
            <w:vMerge w:val="restart"/>
          </w:tcPr>
          <w:p w14:paraId="1071FAC3" w14:textId="36D58BA4"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w:t>
            </w:r>
            <w:r w:rsidRPr="005E3242">
              <w:rPr>
                <w:color w:val="auto"/>
                <w:lang w:val="en-029"/>
              </w:rPr>
              <w:t xml:space="preserve"> 50%</w:t>
            </w:r>
          </w:p>
        </w:tc>
        <w:tc>
          <w:tcPr>
            <w:tcW w:w="1480" w:type="dxa"/>
            <w:vMerge w:val="restart"/>
          </w:tcPr>
          <w:p w14:paraId="7FADC162" w14:textId="6BF87CB8"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~12 weeks</w:t>
            </w:r>
          </w:p>
        </w:tc>
        <w:tc>
          <w:tcPr>
            <w:tcW w:w="2247" w:type="dxa"/>
            <w:gridSpan w:val="2"/>
          </w:tcPr>
          <w:p w14:paraId="47E0D5CC" w14:textId="5E2C94CF"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Either</w:t>
            </w:r>
            <w:r w:rsidR="009E1368">
              <w:rPr>
                <w:color w:val="auto"/>
                <w:lang w:val="en-US"/>
              </w:rPr>
              <w:t xml:space="preserve"> of</w:t>
            </w:r>
          </w:p>
        </w:tc>
        <w:tc>
          <w:tcPr>
            <w:tcW w:w="2299" w:type="dxa"/>
            <w:gridSpan w:val="2"/>
          </w:tcPr>
          <w:p w14:paraId="1776BD11" w14:textId="778C9E73"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Either</w:t>
            </w:r>
            <w:r w:rsidR="009E1368">
              <w:rPr>
                <w:color w:val="auto"/>
                <w:lang w:val="en-US"/>
              </w:rPr>
              <w:t xml:space="preserve"> of</w:t>
            </w:r>
          </w:p>
        </w:tc>
      </w:tr>
      <w:tr w:rsidR="00445FD8" w:rsidRPr="005E3242" w14:paraId="2114FAF3" w14:textId="77777777" w:rsidTr="006B2154">
        <w:tc>
          <w:tcPr>
            <w:tcW w:w="1390" w:type="dxa"/>
            <w:vMerge/>
          </w:tcPr>
          <w:p w14:paraId="4D682DD9" w14:textId="77777777" w:rsidR="00445FD8" w:rsidRPr="005E3242" w:rsidRDefault="00445FD8" w:rsidP="00C448E8">
            <w:pPr>
              <w:keepNext/>
              <w:pBdr>
                <w:top w:val="nil"/>
                <w:left w:val="nil"/>
                <w:bottom w:val="nil"/>
                <w:right w:val="nil"/>
                <w:between w:val="nil"/>
              </w:pBdr>
              <w:rPr>
                <w:color w:val="auto"/>
                <w:lang w:val="en-GB"/>
              </w:rPr>
            </w:pPr>
          </w:p>
        </w:tc>
        <w:tc>
          <w:tcPr>
            <w:tcW w:w="1440" w:type="dxa"/>
            <w:vMerge/>
          </w:tcPr>
          <w:p w14:paraId="30B3A95C" w14:textId="77777777" w:rsidR="00445FD8" w:rsidRPr="005E3242" w:rsidRDefault="00445FD8" w:rsidP="00C448E8">
            <w:pPr>
              <w:keepNext/>
              <w:pBdr>
                <w:top w:val="nil"/>
                <w:left w:val="nil"/>
                <w:bottom w:val="nil"/>
                <w:right w:val="nil"/>
                <w:between w:val="nil"/>
              </w:pBdr>
              <w:rPr>
                <w:color w:val="auto"/>
                <w:lang w:val="en-US"/>
              </w:rPr>
            </w:pPr>
          </w:p>
        </w:tc>
        <w:tc>
          <w:tcPr>
            <w:tcW w:w="1480" w:type="dxa"/>
            <w:vMerge/>
          </w:tcPr>
          <w:p w14:paraId="77750BDB" w14:textId="77777777" w:rsidR="00445FD8" w:rsidRPr="005E3242" w:rsidRDefault="00445FD8" w:rsidP="00C448E8">
            <w:pPr>
              <w:keepNext/>
              <w:pBdr>
                <w:top w:val="nil"/>
                <w:left w:val="nil"/>
                <w:bottom w:val="nil"/>
                <w:right w:val="nil"/>
                <w:between w:val="nil"/>
              </w:pBdr>
              <w:rPr>
                <w:color w:val="auto"/>
                <w:lang w:val="en-US"/>
              </w:rPr>
            </w:pPr>
          </w:p>
        </w:tc>
        <w:tc>
          <w:tcPr>
            <w:tcW w:w="925" w:type="dxa"/>
          </w:tcPr>
          <w:p w14:paraId="6054BDCD" w14:textId="77777777"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&lt;40%</w:t>
            </w:r>
          </w:p>
        </w:tc>
        <w:tc>
          <w:tcPr>
            <w:tcW w:w="1322" w:type="dxa"/>
          </w:tcPr>
          <w:p w14:paraId="2E025B62" w14:textId="77777777"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40%-45% with a fall of ≥10%-points below pre-treatment value</w:t>
            </w:r>
          </w:p>
        </w:tc>
        <w:tc>
          <w:tcPr>
            <w:tcW w:w="965" w:type="dxa"/>
          </w:tcPr>
          <w:p w14:paraId="2B788662" w14:textId="77777777"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&gt;45%</w:t>
            </w:r>
          </w:p>
        </w:tc>
        <w:tc>
          <w:tcPr>
            <w:tcW w:w="1334" w:type="dxa"/>
          </w:tcPr>
          <w:p w14:paraId="49C837E4" w14:textId="2A7F1700" w:rsidR="00445FD8" w:rsidRPr="005E3242" w:rsidRDefault="00445FD8" w:rsidP="00C448E8">
            <w:pPr>
              <w:keepNext/>
              <w:pBdr>
                <w:top w:val="nil"/>
                <w:left w:val="nil"/>
                <w:bottom w:val="nil"/>
                <w:right w:val="nil"/>
                <w:between w:val="nil"/>
              </w:pBdr>
              <w:rPr>
                <w:color w:val="auto"/>
                <w:lang w:val="en-US"/>
              </w:rPr>
            </w:pPr>
            <w:r w:rsidRPr="005E3242">
              <w:rPr>
                <w:color w:val="auto"/>
                <w:lang w:val="en-US"/>
              </w:rPr>
              <w:t xml:space="preserve">40%-45% with a fall of &lt;10%-points below pre-treatment value </w:t>
            </w:r>
          </w:p>
        </w:tc>
      </w:tr>
    </w:tbl>
    <w:p w14:paraId="11EAA88C" w14:textId="3FC182C0" w:rsidR="00445FD8" w:rsidRPr="005E3242" w:rsidRDefault="00C6612C" w:rsidP="00C448E8">
      <w:pPr>
        <w:keepNext/>
        <w:rPr>
          <w:color w:val="auto"/>
          <w:lang w:val="en-GB"/>
        </w:rPr>
      </w:pPr>
      <w:r>
        <w:rPr>
          <w:color w:val="auto"/>
          <w:vertAlign w:val="superscript"/>
          <w:lang w:val="en-GB"/>
        </w:rPr>
        <w:t xml:space="preserve">* </w:t>
      </w:r>
      <w:r>
        <w:rPr>
          <w:color w:val="auto"/>
          <w:lang w:val="en-GB"/>
        </w:rPr>
        <w:t>F</w:t>
      </w:r>
      <w:r w:rsidR="00445FD8" w:rsidRPr="005E3242">
        <w:rPr>
          <w:color w:val="auto"/>
          <w:lang w:val="en-GB"/>
        </w:rPr>
        <w:t xml:space="preserve">or patients receiving anthracycline-based chemotherapy, a LVEF of ≥ 50% is required after completion of anthracyclines before starting </w:t>
      </w:r>
      <w:proofErr w:type="spellStart"/>
      <w:r w:rsidR="00445FD8">
        <w:rPr>
          <w:color w:val="auto"/>
          <w:lang w:val="en-GB"/>
        </w:rPr>
        <w:t>Phesgo</w:t>
      </w:r>
      <w:proofErr w:type="spellEnd"/>
      <w:r>
        <w:rPr>
          <w:color w:val="auto"/>
          <w:lang w:val="en-GB"/>
        </w:rPr>
        <w:t>.</w:t>
      </w:r>
    </w:p>
    <w:p w14:paraId="6D866C24" w14:textId="203DF499" w:rsidR="00CF349F" w:rsidRPr="005E3242" w:rsidRDefault="00CF349F" w:rsidP="00C448E8">
      <w:pPr>
        <w:rPr>
          <w:color w:val="auto"/>
          <w:lang w:val="en-US"/>
        </w:rPr>
      </w:pPr>
      <w:r w:rsidRPr="005E3242">
        <w:rPr>
          <w:color w:val="auto"/>
          <w:lang w:val="en-US"/>
        </w:rPr>
        <w:t xml:space="preserve"> </w:t>
      </w:r>
    </w:p>
    <w:p w14:paraId="7C3916D5" w14:textId="2291681C" w:rsidR="00CF349F" w:rsidRPr="005E3242" w:rsidRDefault="00F901D9" w:rsidP="00C448E8">
      <w:pPr>
        <w:rPr>
          <w:color w:val="auto"/>
        </w:rPr>
      </w:pPr>
      <w:r>
        <w:rPr>
          <w:color w:val="auto"/>
          <w:lang w:val="en-US"/>
        </w:rPr>
        <w:t xml:space="preserve">If </w:t>
      </w:r>
      <w:proofErr w:type="spellStart"/>
      <w:r>
        <w:rPr>
          <w:color w:val="auto"/>
          <w:lang w:val="en-US"/>
        </w:rPr>
        <w:t>Phesgo</w:t>
      </w:r>
      <w:proofErr w:type="spellEnd"/>
      <w:r>
        <w:rPr>
          <w:color w:val="auto"/>
          <w:lang w:val="en-US"/>
        </w:rPr>
        <w:t xml:space="preserve"> dosing is withheld due to a decrease in LVEF according to </w:t>
      </w:r>
      <w:r w:rsidR="00F6227E">
        <w:rPr>
          <w:color w:val="auto"/>
          <w:lang w:val="en-US"/>
        </w:rPr>
        <w:fldChar w:fldCharType="begin"/>
      </w:r>
      <w:r w:rsidR="00F6227E">
        <w:rPr>
          <w:color w:val="auto"/>
          <w:lang w:val="en-US"/>
        </w:rPr>
        <w:instrText xml:space="preserve"> REF _Ref66710294 \h </w:instrText>
      </w:r>
      <w:r w:rsidR="00F6227E">
        <w:rPr>
          <w:color w:val="auto"/>
          <w:lang w:val="en-US"/>
        </w:rPr>
      </w:r>
      <w:r w:rsidR="00C448E8">
        <w:rPr>
          <w:color w:val="auto"/>
          <w:lang w:val="en-US"/>
        </w:rPr>
        <w:instrText xml:space="preserve"> \* MERGEFORMAT </w:instrText>
      </w:r>
      <w:r w:rsidR="00F6227E">
        <w:rPr>
          <w:color w:val="auto"/>
          <w:lang w:val="en-US"/>
        </w:rPr>
        <w:fldChar w:fldCharType="separate"/>
      </w:r>
      <w:r w:rsidR="00C840A1">
        <w:t xml:space="preserve">Table </w:t>
      </w:r>
      <w:r w:rsidR="00C840A1">
        <w:rPr>
          <w:noProof/>
        </w:rPr>
        <w:t>2</w:t>
      </w:r>
      <w:r w:rsidR="00F6227E">
        <w:rPr>
          <w:color w:val="auto"/>
          <w:lang w:val="en-US"/>
        </w:rPr>
        <w:fldChar w:fldCharType="end"/>
      </w:r>
      <w:r>
        <w:rPr>
          <w:color w:val="auto"/>
          <w:lang w:val="en-US"/>
        </w:rPr>
        <w:t>, and after a repeat assessment it</w:t>
      </w:r>
      <w:r w:rsidRPr="005E3242">
        <w:rPr>
          <w:color w:val="auto"/>
          <w:lang w:val="en-US"/>
        </w:rPr>
        <w:t xml:space="preserve"> has not improved, has declined further, </w:t>
      </w:r>
      <w:r>
        <w:rPr>
          <w:color w:val="auto"/>
          <w:lang w:val="en-US"/>
        </w:rPr>
        <w:t>and/or the patient is symptomatic, permanent</w:t>
      </w:r>
      <w:r w:rsidR="00313F9F">
        <w:rPr>
          <w:color w:val="auto"/>
          <w:lang w:val="en-US"/>
        </w:rPr>
        <w:t>ly</w:t>
      </w:r>
      <w:r>
        <w:rPr>
          <w:color w:val="auto"/>
          <w:lang w:val="en-US"/>
        </w:rPr>
        <w:t xml:space="preserve"> </w:t>
      </w:r>
      <w:r w:rsidRPr="005E3242">
        <w:rPr>
          <w:color w:val="auto"/>
          <w:lang w:val="en-US"/>
        </w:rPr>
        <w:t>discontinu</w:t>
      </w:r>
      <w:r w:rsidR="00313F9F">
        <w:rPr>
          <w:color w:val="auto"/>
          <w:lang w:val="en-US"/>
        </w:rPr>
        <w:t>e</w:t>
      </w:r>
      <w:r w:rsidRPr="005E3242">
        <w:rPr>
          <w:color w:val="auto"/>
          <w:lang w:val="en-US"/>
        </w:rPr>
        <w:t xml:space="preserve"> </w:t>
      </w:r>
      <w:proofErr w:type="spellStart"/>
      <w:r>
        <w:rPr>
          <w:color w:val="auto"/>
          <w:lang w:val="en-US"/>
        </w:rPr>
        <w:t>Phesgo</w:t>
      </w:r>
      <w:proofErr w:type="spellEnd"/>
      <w:r w:rsidRPr="005E3242">
        <w:rPr>
          <w:color w:val="auto"/>
          <w:lang w:val="en-US"/>
        </w:rPr>
        <w:t xml:space="preserve"> </w:t>
      </w:r>
      <w:r w:rsidR="00313F9F">
        <w:rPr>
          <w:color w:val="auto"/>
          <w:lang w:val="en-US"/>
        </w:rPr>
        <w:t xml:space="preserve">(see </w:t>
      </w:r>
      <w:r w:rsidR="00313F9F" w:rsidRPr="005E3242">
        <w:rPr>
          <w:i/>
          <w:color w:val="auto"/>
          <w:lang w:val="en-US"/>
        </w:rPr>
        <w:t>4.4 Special warnings and precautions for use</w:t>
      </w:r>
      <w:r w:rsidR="00313F9F">
        <w:rPr>
          <w:color w:val="auto"/>
          <w:lang w:val="en-US"/>
        </w:rPr>
        <w:t>)</w:t>
      </w:r>
      <w:r w:rsidRPr="005E3242">
        <w:rPr>
          <w:color w:val="auto"/>
          <w:lang w:val="en-US"/>
        </w:rPr>
        <w:t>.</w:t>
      </w:r>
    </w:p>
    <w:p w14:paraId="352DD487" w14:textId="77777777" w:rsidR="00D52399" w:rsidRPr="005E3242" w:rsidRDefault="00615052" w:rsidP="00C448E8">
      <w:pPr>
        <w:pStyle w:val="Heading4"/>
      </w:pPr>
      <w:r w:rsidRPr="005E3242">
        <w:t>Special populations</w:t>
      </w:r>
    </w:p>
    <w:p w14:paraId="203A7854" w14:textId="490A332F" w:rsidR="00D52399" w:rsidRPr="00907813" w:rsidRDefault="00615052" w:rsidP="00C448E8">
      <w:pPr>
        <w:pStyle w:val="Heading5"/>
        <w:rPr>
          <w:sz w:val="24"/>
        </w:rPr>
      </w:pPr>
      <w:r w:rsidRPr="00907813">
        <w:rPr>
          <w:sz w:val="24"/>
        </w:rPr>
        <w:t xml:space="preserve">Paediatric </w:t>
      </w:r>
      <w:r w:rsidR="00F901D9" w:rsidRPr="00907813">
        <w:rPr>
          <w:sz w:val="24"/>
        </w:rPr>
        <w:t>patients</w:t>
      </w:r>
    </w:p>
    <w:p w14:paraId="38F72E10" w14:textId="275A5AF2" w:rsidR="00D52399" w:rsidRPr="00907813" w:rsidRDefault="00CE1556" w:rsidP="00C448E8">
      <w:pPr>
        <w:rPr>
          <w:color w:val="auto"/>
        </w:rPr>
      </w:pPr>
      <w:r w:rsidRPr="00907813">
        <w:rPr>
          <w:color w:val="auto"/>
          <w:lang w:val="en-US"/>
        </w:rPr>
        <w:t xml:space="preserve">The safety and efficacy of </w:t>
      </w:r>
      <w:proofErr w:type="spellStart"/>
      <w:r w:rsidR="00376F49" w:rsidRPr="00907813">
        <w:rPr>
          <w:color w:val="auto"/>
          <w:lang w:val="en-US"/>
        </w:rPr>
        <w:t>Phesgo</w:t>
      </w:r>
      <w:proofErr w:type="spellEnd"/>
      <w:r w:rsidRPr="00907813">
        <w:rPr>
          <w:color w:val="auto"/>
          <w:lang w:val="en-US"/>
        </w:rPr>
        <w:t xml:space="preserve"> in children and adolescents (&lt;18 years) has not been established</w:t>
      </w:r>
      <w:r w:rsidR="00313F9F" w:rsidRPr="00907813">
        <w:rPr>
          <w:color w:val="auto"/>
          <w:lang w:val="en-US"/>
        </w:rPr>
        <w:t>.</w:t>
      </w:r>
      <w:r w:rsidR="00615052" w:rsidRPr="00907813">
        <w:rPr>
          <w:color w:val="auto"/>
        </w:rPr>
        <w:t xml:space="preserve"> </w:t>
      </w:r>
    </w:p>
    <w:p w14:paraId="7DAEDDF9" w14:textId="443B347A" w:rsidR="00CE1556" w:rsidRPr="00907813" w:rsidRDefault="00CE1556" w:rsidP="00C448E8">
      <w:pPr>
        <w:pStyle w:val="Heading5"/>
        <w:rPr>
          <w:sz w:val="24"/>
        </w:rPr>
      </w:pPr>
      <w:r w:rsidRPr="00907813">
        <w:rPr>
          <w:sz w:val="24"/>
        </w:rPr>
        <w:t>Elderly</w:t>
      </w:r>
      <w:r w:rsidR="00F901D9" w:rsidRPr="00907813">
        <w:rPr>
          <w:sz w:val="24"/>
        </w:rPr>
        <w:t xml:space="preserve"> patients</w:t>
      </w:r>
    </w:p>
    <w:p w14:paraId="1B3E02B3" w14:textId="7DC1CA73" w:rsidR="00CE1556" w:rsidRPr="00907813" w:rsidRDefault="00CE1556" w:rsidP="00C448E8">
      <w:pPr>
        <w:rPr>
          <w:color w:val="auto"/>
          <w:lang w:val="en-US"/>
        </w:rPr>
      </w:pPr>
      <w:r w:rsidRPr="00907813">
        <w:rPr>
          <w:color w:val="auto"/>
          <w:lang w:val="en-US"/>
        </w:rPr>
        <w:t xml:space="preserve">No dose adjustment of </w:t>
      </w:r>
      <w:proofErr w:type="spellStart"/>
      <w:r w:rsidR="00376F49" w:rsidRPr="00907813">
        <w:rPr>
          <w:color w:val="auto"/>
          <w:lang w:val="en-US"/>
        </w:rPr>
        <w:t>Phesgo</w:t>
      </w:r>
      <w:proofErr w:type="spellEnd"/>
      <w:r w:rsidRPr="00907813">
        <w:rPr>
          <w:color w:val="auto"/>
          <w:lang w:val="en-US"/>
        </w:rPr>
        <w:t xml:space="preserve"> is required in patients ≥65 years of age</w:t>
      </w:r>
      <w:r w:rsidR="00313F9F" w:rsidRPr="00907813">
        <w:rPr>
          <w:color w:val="auto"/>
          <w:lang w:val="en-US"/>
        </w:rPr>
        <w:t>.</w:t>
      </w:r>
    </w:p>
    <w:p w14:paraId="34FA3F88" w14:textId="7E8EB7DD" w:rsidR="00CE1556" w:rsidRPr="00907813" w:rsidRDefault="00CE1556" w:rsidP="00C448E8">
      <w:pPr>
        <w:pStyle w:val="Heading5"/>
        <w:rPr>
          <w:sz w:val="24"/>
        </w:rPr>
      </w:pPr>
      <w:r w:rsidRPr="00907813">
        <w:rPr>
          <w:sz w:val="24"/>
        </w:rPr>
        <w:t xml:space="preserve">Renal </w:t>
      </w:r>
      <w:r w:rsidR="00F901D9" w:rsidRPr="00907813">
        <w:rPr>
          <w:sz w:val="24"/>
        </w:rPr>
        <w:t>i</w:t>
      </w:r>
      <w:r w:rsidRPr="00907813">
        <w:rPr>
          <w:sz w:val="24"/>
        </w:rPr>
        <w:t>mpairment</w:t>
      </w:r>
    </w:p>
    <w:p w14:paraId="3B9C0E95" w14:textId="03513A80" w:rsidR="00CE1556" w:rsidRPr="00907813" w:rsidRDefault="00EF7ECC" w:rsidP="00C448E8">
      <w:pPr>
        <w:rPr>
          <w:color w:val="auto"/>
        </w:rPr>
      </w:pPr>
      <w:r w:rsidRPr="00907813">
        <w:rPr>
          <w:color w:val="auto"/>
          <w:lang w:val="en-US"/>
        </w:rPr>
        <w:t>No d</w:t>
      </w:r>
      <w:r w:rsidR="00CE1556" w:rsidRPr="00907813">
        <w:rPr>
          <w:color w:val="auto"/>
          <w:lang w:val="en-US"/>
        </w:rPr>
        <w:t xml:space="preserve">ose adjustment of </w:t>
      </w:r>
      <w:proofErr w:type="spellStart"/>
      <w:r w:rsidR="00376F49" w:rsidRPr="00907813">
        <w:rPr>
          <w:color w:val="auto"/>
          <w:lang w:val="en-US"/>
        </w:rPr>
        <w:t>Phesgo</w:t>
      </w:r>
      <w:proofErr w:type="spellEnd"/>
      <w:r w:rsidR="00CE1556" w:rsidRPr="00907813">
        <w:rPr>
          <w:color w:val="auto"/>
          <w:lang w:val="en-US"/>
        </w:rPr>
        <w:t xml:space="preserve"> </w:t>
      </w:r>
      <w:r w:rsidRPr="00907813">
        <w:rPr>
          <w:color w:val="auto"/>
          <w:lang w:val="en-US"/>
        </w:rPr>
        <w:t>is required</w:t>
      </w:r>
      <w:r w:rsidR="00CE1556" w:rsidRPr="00907813">
        <w:rPr>
          <w:color w:val="auto"/>
          <w:lang w:val="en-US"/>
        </w:rPr>
        <w:t xml:space="preserve"> in patients with mild or moderate renal impairment. No dose recommendations can be made for patients with severe renal impairment because of the limited pharmacokinetic data available</w:t>
      </w:r>
      <w:r w:rsidR="009C07D3" w:rsidRPr="00907813">
        <w:rPr>
          <w:color w:val="auto"/>
          <w:lang w:val="en-US"/>
        </w:rPr>
        <w:t xml:space="preserve"> (see </w:t>
      </w:r>
      <w:r w:rsidR="009C07D3" w:rsidRPr="00907813">
        <w:rPr>
          <w:i/>
          <w:color w:val="auto"/>
          <w:lang w:val="en-US"/>
        </w:rPr>
        <w:t>5.2 Pharmacokinetic Properties</w:t>
      </w:r>
      <w:r w:rsidR="009C07D3" w:rsidRPr="00907813">
        <w:rPr>
          <w:color w:val="auto"/>
          <w:lang w:val="en-US"/>
        </w:rPr>
        <w:t>)</w:t>
      </w:r>
      <w:r w:rsidR="00313F9F" w:rsidRPr="00907813">
        <w:rPr>
          <w:color w:val="auto"/>
          <w:lang w:val="en-US"/>
        </w:rPr>
        <w:t>.</w:t>
      </w:r>
    </w:p>
    <w:p w14:paraId="6CE8337B" w14:textId="47079135" w:rsidR="009279EA" w:rsidRPr="00907813" w:rsidRDefault="009279EA" w:rsidP="00C448E8">
      <w:pPr>
        <w:pStyle w:val="Heading5"/>
        <w:rPr>
          <w:sz w:val="24"/>
        </w:rPr>
      </w:pPr>
      <w:r w:rsidRPr="00907813">
        <w:rPr>
          <w:sz w:val="24"/>
        </w:rPr>
        <w:lastRenderedPageBreak/>
        <w:t xml:space="preserve">Hepatic </w:t>
      </w:r>
      <w:r w:rsidR="00F901D9" w:rsidRPr="00907813">
        <w:rPr>
          <w:sz w:val="24"/>
        </w:rPr>
        <w:t>i</w:t>
      </w:r>
      <w:r w:rsidRPr="00907813">
        <w:rPr>
          <w:sz w:val="24"/>
        </w:rPr>
        <w:t>mpairment</w:t>
      </w:r>
    </w:p>
    <w:p w14:paraId="230BEF38" w14:textId="5A10CC22" w:rsidR="00D52399" w:rsidRDefault="009279EA" w:rsidP="00C448E8">
      <w:pPr>
        <w:rPr>
          <w:bCs/>
          <w:iCs/>
          <w:color w:val="auto"/>
          <w:lang w:val="en-US"/>
        </w:rPr>
      </w:pPr>
      <w:r w:rsidRPr="005E3242">
        <w:rPr>
          <w:color w:val="auto"/>
          <w:lang w:val="en-US"/>
        </w:rPr>
        <w:t xml:space="preserve">The safety and efficacy of </w:t>
      </w:r>
      <w:proofErr w:type="spellStart"/>
      <w:r w:rsidR="00376F49">
        <w:rPr>
          <w:color w:val="auto"/>
          <w:lang w:val="en-US"/>
        </w:rPr>
        <w:t>Phesgo</w:t>
      </w:r>
      <w:proofErr w:type="spellEnd"/>
      <w:r w:rsidRPr="005E3242">
        <w:rPr>
          <w:color w:val="auto"/>
          <w:lang w:val="en-US"/>
        </w:rPr>
        <w:t xml:space="preserve"> have not been studied in patients with hepatic impairment.</w:t>
      </w:r>
      <w:r w:rsidRPr="005E3242">
        <w:rPr>
          <w:bCs/>
          <w:iCs/>
          <w:color w:val="auto"/>
          <w:lang w:val="en-US"/>
        </w:rPr>
        <w:t xml:space="preserve"> No dose recommendation can be made for </w:t>
      </w:r>
      <w:r w:rsidR="00EF7ECC">
        <w:rPr>
          <w:bCs/>
          <w:iCs/>
          <w:color w:val="auto"/>
          <w:lang w:val="en-US"/>
        </w:rPr>
        <w:t>this group of patients</w:t>
      </w:r>
      <w:r w:rsidR="00313F9F">
        <w:rPr>
          <w:bCs/>
          <w:iCs/>
          <w:color w:val="auto"/>
          <w:lang w:val="en-US"/>
        </w:rPr>
        <w:t>.</w:t>
      </w:r>
    </w:p>
    <w:p w14:paraId="0C66DCBE" w14:textId="77777777" w:rsidR="00F6227E" w:rsidRPr="005E3242" w:rsidRDefault="00F6227E" w:rsidP="00C448E8">
      <w:pPr>
        <w:rPr>
          <w:color w:val="auto"/>
        </w:rPr>
      </w:pPr>
    </w:p>
    <w:p w14:paraId="3CFFB839" w14:textId="77777777" w:rsidR="00D52399" w:rsidRPr="005E3242" w:rsidRDefault="00902EBE" w:rsidP="00C448E8">
      <w:pPr>
        <w:pStyle w:val="Heading2"/>
        <w:numPr>
          <w:ilvl w:val="1"/>
          <w:numId w:val="2"/>
        </w:numPr>
        <w:spacing w:before="0"/>
        <w:ind w:left="0" w:firstLine="0"/>
        <w:rPr>
          <w:color w:val="auto"/>
        </w:rPr>
      </w:pPr>
      <w:r w:rsidRPr="005E3242">
        <w:rPr>
          <w:color w:val="auto"/>
        </w:rPr>
        <w:t>CONTRAINDICATIONS</w:t>
      </w:r>
    </w:p>
    <w:p w14:paraId="394B337B" w14:textId="57CE8F71" w:rsidR="00D52399" w:rsidRPr="005E3242" w:rsidRDefault="00191B0B" w:rsidP="00C448E8">
      <w:pPr>
        <w:rPr>
          <w:color w:val="auto"/>
        </w:rPr>
      </w:pPr>
      <w:proofErr w:type="spellStart"/>
      <w:r>
        <w:rPr>
          <w:color w:val="auto"/>
          <w:lang w:val="en-US"/>
        </w:rPr>
        <w:t>Phesgo</w:t>
      </w:r>
      <w:proofErr w:type="spellEnd"/>
      <w:r w:rsidR="00E86C65" w:rsidRPr="005E3242">
        <w:rPr>
          <w:color w:val="auto"/>
          <w:lang w:val="en-US"/>
        </w:rPr>
        <w:t xml:space="preserve"> is contraindicated in patients with a known hypersensitivity to </w:t>
      </w:r>
      <w:proofErr w:type="spellStart"/>
      <w:r w:rsidR="00E86C65" w:rsidRPr="005E3242">
        <w:rPr>
          <w:color w:val="auto"/>
          <w:lang w:val="en-US"/>
        </w:rPr>
        <w:t>pertuzumab</w:t>
      </w:r>
      <w:proofErr w:type="spellEnd"/>
      <w:r w:rsidR="00E86C65" w:rsidRPr="005E3242">
        <w:rPr>
          <w:color w:val="auto"/>
          <w:lang w:val="en-US"/>
        </w:rPr>
        <w:t>, trastuzumab or any of the excipients</w:t>
      </w:r>
      <w:r w:rsidR="009C07D3">
        <w:rPr>
          <w:color w:val="auto"/>
          <w:lang w:val="en-US"/>
        </w:rPr>
        <w:t xml:space="preserve"> (see </w:t>
      </w:r>
      <w:r w:rsidR="009C07D3" w:rsidRPr="00907813">
        <w:rPr>
          <w:i/>
          <w:color w:val="auto"/>
          <w:lang w:val="en-US"/>
        </w:rPr>
        <w:t>6.1 List of excipients</w:t>
      </w:r>
      <w:r w:rsidR="009C07D3">
        <w:rPr>
          <w:color w:val="auto"/>
          <w:lang w:val="en-US"/>
        </w:rPr>
        <w:t>)</w:t>
      </w:r>
      <w:r w:rsidR="00E86C65" w:rsidRPr="005E3242">
        <w:rPr>
          <w:color w:val="auto"/>
          <w:lang w:val="en-US"/>
        </w:rPr>
        <w:t>.</w:t>
      </w:r>
    </w:p>
    <w:p w14:paraId="1502C82F" w14:textId="77777777" w:rsidR="00D52399" w:rsidRPr="005E3242" w:rsidRDefault="00D52399" w:rsidP="00C448E8">
      <w:pPr>
        <w:rPr>
          <w:color w:val="auto"/>
        </w:rPr>
      </w:pPr>
    </w:p>
    <w:p w14:paraId="26C66607" w14:textId="77777777" w:rsidR="00D52399" w:rsidRPr="005E3242" w:rsidRDefault="00902EBE" w:rsidP="00C448E8">
      <w:pPr>
        <w:pStyle w:val="Heading2"/>
        <w:spacing w:before="0"/>
        <w:rPr>
          <w:color w:val="auto"/>
        </w:rPr>
      </w:pPr>
      <w:r w:rsidRPr="005E3242">
        <w:rPr>
          <w:color w:val="auto"/>
        </w:rPr>
        <w:t>4.4</w:t>
      </w:r>
      <w:r w:rsidRPr="005E3242">
        <w:rPr>
          <w:color w:val="auto"/>
        </w:rPr>
        <w:tab/>
        <w:t>SPECIAL WARNINGS AND PRECAUTIONS FOR USE</w:t>
      </w:r>
    </w:p>
    <w:p w14:paraId="234C32F0" w14:textId="77777777" w:rsidR="00E86C65" w:rsidRPr="005E3242" w:rsidRDefault="00E86C65" w:rsidP="00C448E8">
      <w:pPr>
        <w:pStyle w:val="Heading3"/>
        <w:rPr>
          <w:color w:val="auto"/>
        </w:rPr>
      </w:pPr>
      <w:r w:rsidRPr="005E3242">
        <w:rPr>
          <w:color w:val="auto"/>
        </w:rPr>
        <w:t xml:space="preserve">Left ventricular dysfunction </w:t>
      </w:r>
    </w:p>
    <w:p w14:paraId="3F7B49AF" w14:textId="2104AD0E" w:rsidR="00DD6877" w:rsidRDefault="00E86C65" w:rsidP="00C448E8">
      <w:pPr>
        <w:rPr>
          <w:color w:val="auto"/>
          <w:lang w:val="en-GB"/>
        </w:rPr>
      </w:pPr>
      <w:r w:rsidRPr="005E3242">
        <w:rPr>
          <w:color w:val="auto"/>
          <w:lang w:val="en-US"/>
        </w:rPr>
        <w:t xml:space="preserve">Decreases in LVEF have been reported with drugs that block HER2 activity, including </w:t>
      </w:r>
      <w:proofErr w:type="spellStart"/>
      <w:r w:rsidRPr="005E3242">
        <w:rPr>
          <w:color w:val="auto"/>
          <w:lang w:val="en-US"/>
        </w:rPr>
        <w:t>pertzumab</w:t>
      </w:r>
      <w:proofErr w:type="spellEnd"/>
      <w:r w:rsidRPr="005E3242">
        <w:rPr>
          <w:color w:val="auto"/>
          <w:lang w:val="en-US"/>
        </w:rPr>
        <w:t xml:space="preserve"> and trastuzumab. The incidence of symptomatic left ventric</w:t>
      </w:r>
      <w:r w:rsidR="00EE6BD0" w:rsidRPr="005E3242">
        <w:rPr>
          <w:color w:val="auto"/>
          <w:lang w:val="en-US"/>
        </w:rPr>
        <w:t>ular systolic dysfunction (LVD (congestive heart failure)</w:t>
      </w:r>
      <w:r w:rsidRPr="005E3242">
        <w:rPr>
          <w:color w:val="auto"/>
          <w:lang w:val="en-US"/>
        </w:rPr>
        <w:t xml:space="preserve">) was higher in patients treated with </w:t>
      </w:r>
      <w:proofErr w:type="spellStart"/>
      <w:r w:rsidRPr="005E3242">
        <w:rPr>
          <w:color w:val="auto"/>
          <w:lang w:val="en-US"/>
        </w:rPr>
        <w:t>pertuzumab</w:t>
      </w:r>
      <w:proofErr w:type="spellEnd"/>
      <w:r w:rsidRPr="005E3242">
        <w:rPr>
          <w:color w:val="auto"/>
          <w:lang w:val="en-US"/>
        </w:rPr>
        <w:t xml:space="preserve"> in combination with trastuzumab and chemotherapy compared to </w:t>
      </w:r>
      <w:proofErr w:type="spellStart"/>
      <w:r w:rsidRPr="005E3242">
        <w:rPr>
          <w:color w:val="auto"/>
          <w:lang w:val="en-US"/>
        </w:rPr>
        <w:t>trastuzumb</w:t>
      </w:r>
      <w:proofErr w:type="spellEnd"/>
      <w:r w:rsidRPr="005E3242">
        <w:rPr>
          <w:color w:val="auto"/>
          <w:lang w:val="en-US"/>
        </w:rPr>
        <w:t xml:space="preserve"> and chemotherapy. In the adjuvant setting, </w:t>
      </w:r>
      <w:proofErr w:type="gramStart"/>
      <w:r w:rsidRPr="005E3242">
        <w:rPr>
          <w:color w:val="auto"/>
          <w:lang w:val="en-US"/>
        </w:rPr>
        <w:t>the majority of</w:t>
      </w:r>
      <w:proofErr w:type="gramEnd"/>
      <w:r w:rsidRPr="005E3242">
        <w:rPr>
          <w:color w:val="auto"/>
          <w:lang w:val="en-US"/>
        </w:rPr>
        <w:t xml:space="preserve"> cases of symptomatic heart failure reported were in patients </w:t>
      </w:r>
      <w:r w:rsidRPr="005E3242">
        <w:rPr>
          <w:color w:val="auto"/>
          <w:lang w:val="en-GB"/>
        </w:rPr>
        <w:t xml:space="preserve">who received anthracycline-based chemotherapy (see </w:t>
      </w:r>
      <w:r w:rsidRPr="005E3242">
        <w:rPr>
          <w:i/>
          <w:color w:val="auto"/>
          <w:lang w:val="en-GB"/>
        </w:rPr>
        <w:t>4.8 Adverse Events (Undesirable effects)</w:t>
      </w:r>
      <w:r w:rsidRPr="005E3242">
        <w:rPr>
          <w:color w:val="auto"/>
          <w:lang w:val="en-GB"/>
        </w:rPr>
        <w:t xml:space="preserve">). Patients who have received prior anthracyclines or prior radiotherapy to the chest area may be at higher risk of LVEF decreases based on studies with intravenous </w:t>
      </w:r>
      <w:proofErr w:type="spellStart"/>
      <w:r w:rsidRPr="005E3242">
        <w:rPr>
          <w:color w:val="auto"/>
          <w:lang w:val="en-GB"/>
        </w:rPr>
        <w:t>pertuzumab</w:t>
      </w:r>
      <w:proofErr w:type="spellEnd"/>
      <w:r w:rsidRPr="005E3242">
        <w:rPr>
          <w:color w:val="auto"/>
          <w:lang w:val="en-GB"/>
        </w:rPr>
        <w:t xml:space="preserve"> in combination with trastuzumab and chemotherapy.</w:t>
      </w:r>
      <w:r w:rsidR="00DD6877">
        <w:rPr>
          <w:color w:val="auto"/>
          <w:lang w:val="en-GB"/>
        </w:rPr>
        <w:t xml:space="preserve"> </w:t>
      </w:r>
      <w:r w:rsidR="00DD6877" w:rsidRPr="00DD6877">
        <w:rPr>
          <w:color w:val="auto"/>
          <w:lang w:val="en-GB"/>
        </w:rPr>
        <w:t>Based on the pharmacological actions of HER2-targeted agents and anthracyclines, the risk of cardiac toxicity might be expected to be higher with</w:t>
      </w:r>
      <w:r w:rsidR="00DD6877">
        <w:rPr>
          <w:color w:val="auto"/>
          <w:lang w:val="en-GB"/>
        </w:rPr>
        <w:t xml:space="preserve"> </w:t>
      </w:r>
      <w:r w:rsidR="00DD6877" w:rsidRPr="00DD6877">
        <w:rPr>
          <w:color w:val="auto"/>
          <w:lang w:val="en-GB"/>
        </w:rPr>
        <w:t xml:space="preserve">concomitant use of </w:t>
      </w:r>
      <w:proofErr w:type="spellStart"/>
      <w:r w:rsidR="00DD6877">
        <w:rPr>
          <w:color w:val="auto"/>
          <w:lang w:val="en-GB"/>
        </w:rPr>
        <w:t>pertuzumab</w:t>
      </w:r>
      <w:proofErr w:type="spellEnd"/>
      <w:r w:rsidR="00DD6877" w:rsidRPr="00DD6877">
        <w:rPr>
          <w:color w:val="auto"/>
          <w:lang w:val="en-GB"/>
        </w:rPr>
        <w:t xml:space="preserve"> and anthracyclines than with sequential use.</w:t>
      </w:r>
    </w:p>
    <w:p w14:paraId="75450C29" w14:textId="79A163B7" w:rsidR="00CE0CD3" w:rsidRDefault="00E86C65" w:rsidP="00C448E8">
      <w:pPr>
        <w:rPr>
          <w:color w:val="auto"/>
          <w:lang w:val="en-US"/>
        </w:rPr>
      </w:pPr>
      <w:r w:rsidRPr="005E3242">
        <w:rPr>
          <w:color w:val="auto"/>
          <w:lang w:val="en-US"/>
        </w:rPr>
        <w:t xml:space="preserve"> </w:t>
      </w:r>
    </w:p>
    <w:p w14:paraId="59B4627A" w14:textId="0E322A98" w:rsidR="00CE0CD3" w:rsidRPr="005E3242" w:rsidRDefault="00CE0CD3" w:rsidP="00C448E8">
      <w:pPr>
        <w:rPr>
          <w:color w:val="auto"/>
          <w:lang w:val="en-US"/>
        </w:rPr>
      </w:pPr>
      <w:r w:rsidRPr="00CE0CD3">
        <w:rPr>
          <w:color w:val="auto"/>
          <w:lang w:val="en-US"/>
        </w:rPr>
        <w:t xml:space="preserve">Sequential use of </w:t>
      </w:r>
      <w:proofErr w:type="spellStart"/>
      <w:r w:rsidRPr="00CE0CD3">
        <w:rPr>
          <w:color w:val="auto"/>
          <w:lang w:val="en-US"/>
        </w:rPr>
        <w:t>Phesgo</w:t>
      </w:r>
      <w:proofErr w:type="spellEnd"/>
      <w:r w:rsidRPr="00CE0CD3">
        <w:rPr>
          <w:color w:val="auto"/>
          <w:lang w:val="en-US"/>
        </w:rPr>
        <w:t xml:space="preserve"> (in combination with a </w:t>
      </w:r>
      <w:proofErr w:type="spellStart"/>
      <w:r w:rsidRPr="00CE0CD3">
        <w:rPr>
          <w:color w:val="auto"/>
          <w:lang w:val="en-US"/>
        </w:rPr>
        <w:t>taxane</w:t>
      </w:r>
      <w:proofErr w:type="spellEnd"/>
      <w:r w:rsidRPr="00CE0CD3">
        <w:rPr>
          <w:color w:val="auto"/>
          <w:lang w:val="en-US"/>
        </w:rPr>
        <w:t xml:space="preserve">) following the doxorubicin component of two anthracycline-based regimens </w:t>
      </w:r>
      <w:r>
        <w:rPr>
          <w:color w:val="auto"/>
          <w:lang w:val="en-US"/>
        </w:rPr>
        <w:t xml:space="preserve">was evaluated </w:t>
      </w:r>
      <w:r w:rsidRPr="00CE0CD3">
        <w:rPr>
          <w:color w:val="auto"/>
          <w:lang w:val="en-US"/>
        </w:rPr>
        <w:t xml:space="preserve">in the FEDERICA study while sequential use of intravenous </w:t>
      </w:r>
      <w:proofErr w:type="spellStart"/>
      <w:r w:rsidRPr="00CE0CD3">
        <w:rPr>
          <w:color w:val="auto"/>
          <w:lang w:val="en-US"/>
        </w:rPr>
        <w:t>pertuzumab</w:t>
      </w:r>
      <w:proofErr w:type="spellEnd"/>
      <w:r w:rsidRPr="00CE0CD3">
        <w:rPr>
          <w:color w:val="auto"/>
          <w:lang w:val="en-US"/>
        </w:rPr>
        <w:t xml:space="preserve"> (in combination with trastuzumab and a </w:t>
      </w:r>
      <w:proofErr w:type="spellStart"/>
      <w:r w:rsidRPr="00CE0CD3">
        <w:rPr>
          <w:color w:val="auto"/>
          <w:lang w:val="en-US"/>
        </w:rPr>
        <w:t>taxane</w:t>
      </w:r>
      <w:proofErr w:type="spellEnd"/>
      <w:r w:rsidRPr="00CE0CD3">
        <w:rPr>
          <w:color w:val="auto"/>
          <w:lang w:val="en-US"/>
        </w:rPr>
        <w:t xml:space="preserve">) following the </w:t>
      </w:r>
      <w:proofErr w:type="spellStart"/>
      <w:r w:rsidRPr="00CE0CD3">
        <w:rPr>
          <w:color w:val="auto"/>
          <w:lang w:val="en-US"/>
        </w:rPr>
        <w:t>epirubicin</w:t>
      </w:r>
      <w:proofErr w:type="spellEnd"/>
      <w:r w:rsidRPr="00CE0CD3">
        <w:rPr>
          <w:color w:val="auto"/>
          <w:lang w:val="en-US"/>
        </w:rPr>
        <w:t xml:space="preserve"> or doxorubicin component of many anthracycline-based regimens </w:t>
      </w:r>
      <w:r>
        <w:rPr>
          <w:color w:val="auto"/>
          <w:lang w:val="en-US"/>
        </w:rPr>
        <w:t>was</w:t>
      </w:r>
      <w:r w:rsidRPr="00CE0CD3">
        <w:rPr>
          <w:color w:val="auto"/>
          <w:lang w:val="en-US"/>
        </w:rPr>
        <w:t xml:space="preserve"> evaluated in the APHINITY and BERENICE studies</w:t>
      </w:r>
      <w:r w:rsidR="00107F79">
        <w:rPr>
          <w:color w:val="auto"/>
          <w:lang w:val="en-US"/>
        </w:rPr>
        <w:t xml:space="preserve"> (see </w:t>
      </w:r>
      <w:r w:rsidR="00107F79" w:rsidRPr="00631485">
        <w:rPr>
          <w:i/>
          <w:color w:val="auto"/>
          <w:lang w:val="en-US"/>
        </w:rPr>
        <w:t>4.8 Adverse effects (undesirable effects) – Further information on selected adverse drug reactions</w:t>
      </w:r>
      <w:r w:rsidR="00107F79" w:rsidRPr="008C1903">
        <w:rPr>
          <w:color w:val="auto"/>
          <w:lang w:val="en-US"/>
        </w:rPr>
        <w:t>)</w:t>
      </w:r>
      <w:r w:rsidRPr="00CE0CD3">
        <w:rPr>
          <w:color w:val="auto"/>
          <w:lang w:val="en-US"/>
        </w:rPr>
        <w:t xml:space="preserve">. In the TRYPHAENA study, intravenous </w:t>
      </w:r>
      <w:proofErr w:type="spellStart"/>
      <w:r w:rsidRPr="00CE0CD3">
        <w:rPr>
          <w:color w:val="auto"/>
          <w:lang w:val="en-US"/>
        </w:rPr>
        <w:t>pertuzumab</w:t>
      </w:r>
      <w:proofErr w:type="spellEnd"/>
      <w:r w:rsidRPr="00CE0CD3">
        <w:rPr>
          <w:color w:val="auto"/>
          <w:lang w:val="en-US"/>
        </w:rPr>
        <w:t xml:space="preserve"> in combination with trastuzumab was given concurrently with </w:t>
      </w:r>
      <w:proofErr w:type="spellStart"/>
      <w:r w:rsidRPr="00CE0CD3">
        <w:rPr>
          <w:color w:val="auto"/>
          <w:lang w:val="en-US"/>
        </w:rPr>
        <w:t>epirubicin</w:t>
      </w:r>
      <w:proofErr w:type="spellEnd"/>
      <w:r w:rsidRPr="00CE0CD3">
        <w:rPr>
          <w:color w:val="auto"/>
          <w:lang w:val="en-US"/>
        </w:rPr>
        <w:t xml:space="preserve">, as part of the FEC (5-fluorouracil, </w:t>
      </w:r>
      <w:proofErr w:type="spellStart"/>
      <w:r w:rsidRPr="00CE0CD3">
        <w:rPr>
          <w:color w:val="auto"/>
          <w:lang w:val="en-US"/>
        </w:rPr>
        <w:t>epirubicin</w:t>
      </w:r>
      <w:proofErr w:type="spellEnd"/>
      <w:r w:rsidRPr="00CE0CD3">
        <w:rPr>
          <w:color w:val="auto"/>
          <w:lang w:val="en-US"/>
        </w:rPr>
        <w:t xml:space="preserve">, cyclophosphamide) regimen (see </w:t>
      </w:r>
      <w:r w:rsidRPr="008C1903">
        <w:rPr>
          <w:i/>
          <w:color w:val="auto"/>
          <w:lang w:val="en-US"/>
        </w:rPr>
        <w:t xml:space="preserve">5.1 </w:t>
      </w:r>
      <w:proofErr w:type="spellStart"/>
      <w:r w:rsidRPr="008C1903">
        <w:rPr>
          <w:i/>
          <w:color w:val="auto"/>
          <w:lang w:val="en-US"/>
        </w:rPr>
        <w:t>Pharmacydynamic</w:t>
      </w:r>
      <w:proofErr w:type="spellEnd"/>
      <w:r w:rsidRPr="008C1903">
        <w:rPr>
          <w:i/>
          <w:color w:val="auto"/>
          <w:lang w:val="en-US"/>
        </w:rPr>
        <w:t xml:space="preserve"> properties – Clinical trials</w:t>
      </w:r>
      <w:r w:rsidRPr="00CE0CD3">
        <w:rPr>
          <w:color w:val="auto"/>
          <w:lang w:val="en-US"/>
        </w:rPr>
        <w:t xml:space="preserve">). Only chemotherapy-naive patients were </w:t>
      </w:r>
      <w:proofErr w:type="gramStart"/>
      <w:r w:rsidRPr="00CE0CD3">
        <w:rPr>
          <w:color w:val="auto"/>
          <w:lang w:val="en-US"/>
        </w:rPr>
        <w:t>treated</w:t>
      </w:r>
      <w:proofErr w:type="gramEnd"/>
      <w:r w:rsidRPr="00CE0CD3">
        <w:rPr>
          <w:color w:val="auto"/>
          <w:lang w:val="en-US"/>
        </w:rPr>
        <w:t xml:space="preserve"> and they received low cumulative doses of </w:t>
      </w:r>
      <w:proofErr w:type="spellStart"/>
      <w:r w:rsidRPr="00CE0CD3">
        <w:rPr>
          <w:color w:val="auto"/>
          <w:lang w:val="en-US"/>
        </w:rPr>
        <w:t>epirubicin</w:t>
      </w:r>
      <w:proofErr w:type="spellEnd"/>
      <w:r w:rsidRPr="00CE0CD3">
        <w:rPr>
          <w:color w:val="auto"/>
          <w:lang w:val="en-US"/>
        </w:rPr>
        <w:t xml:space="preserve"> (up to 300 mg/m2). In this study, cardiac safety was </w:t>
      </w:r>
      <w:proofErr w:type="gramStart"/>
      <w:r w:rsidRPr="00CE0CD3">
        <w:rPr>
          <w:color w:val="auto"/>
          <w:lang w:val="en-US"/>
        </w:rPr>
        <w:t>similar to</w:t>
      </w:r>
      <w:proofErr w:type="gramEnd"/>
      <w:r w:rsidRPr="00CE0CD3">
        <w:rPr>
          <w:color w:val="auto"/>
          <w:lang w:val="en-US"/>
        </w:rPr>
        <w:t xml:space="preserve"> that observed in patients given the same regimen but with </w:t>
      </w:r>
      <w:proofErr w:type="spellStart"/>
      <w:r w:rsidRPr="00CE0CD3">
        <w:rPr>
          <w:color w:val="auto"/>
          <w:lang w:val="en-US"/>
        </w:rPr>
        <w:t>pertuzumab</w:t>
      </w:r>
      <w:proofErr w:type="spellEnd"/>
      <w:r w:rsidRPr="00CE0CD3">
        <w:rPr>
          <w:color w:val="auto"/>
          <w:lang w:val="en-US"/>
        </w:rPr>
        <w:t xml:space="preserve"> administered sequentially (following FEC chemotherapy).</w:t>
      </w:r>
    </w:p>
    <w:p w14:paraId="7C62A8B1" w14:textId="77777777" w:rsidR="00E86C65" w:rsidRPr="005E3242" w:rsidRDefault="00E86C65" w:rsidP="00C448E8">
      <w:pPr>
        <w:rPr>
          <w:color w:val="auto"/>
          <w:lang w:val="en-US"/>
        </w:rPr>
      </w:pPr>
    </w:p>
    <w:p w14:paraId="6FEE971E" w14:textId="77777777" w:rsidR="00E86C65" w:rsidRPr="005E3242" w:rsidRDefault="00376F49" w:rsidP="00C448E8">
      <w:pPr>
        <w:rPr>
          <w:color w:val="auto"/>
        </w:rPr>
      </w:pPr>
      <w:proofErr w:type="spellStart"/>
      <w:r>
        <w:rPr>
          <w:color w:val="auto"/>
          <w:lang w:val="en-US"/>
        </w:rPr>
        <w:t>Phesgo</w:t>
      </w:r>
      <w:proofErr w:type="spellEnd"/>
      <w:r w:rsidR="00E86C65" w:rsidRPr="005E3242">
        <w:rPr>
          <w:color w:val="auto"/>
          <w:lang w:val="en-US"/>
        </w:rPr>
        <w:t xml:space="preserve"> and/or intravenous </w:t>
      </w:r>
      <w:proofErr w:type="spellStart"/>
      <w:r w:rsidR="00E86C65" w:rsidRPr="005E3242">
        <w:rPr>
          <w:color w:val="auto"/>
          <w:lang w:val="en-US"/>
        </w:rPr>
        <w:t>pertuzumab</w:t>
      </w:r>
      <w:proofErr w:type="spellEnd"/>
      <w:r w:rsidR="00E86C65" w:rsidRPr="005E3242">
        <w:rPr>
          <w:color w:val="auto"/>
          <w:lang w:val="en-US"/>
        </w:rPr>
        <w:t xml:space="preserve"> and trastuzumab have not been studied in patients with: a pretreatment LVEF value of &lt;55% (EBC) or &lt;50% (MBC); a prior history of congestive heart failure (CHF); conditions that could impair left ventricular function such as uncontrolled hypertension, recent myocardial infarction, serious cardiac arrhythmia requiring treatment or a cumulative prior anthracycline exposure to &gt;360 mg/m</w:t>
      </w:r>
      <w:r w:rsidR="00E86C65" w:rsidRPr="005E3242">
        <w:rPr>
          <w:color w:val="auto"/>
          <w:vertAlign w:val="superscript"/>
          <w:lang w:val="en-US"/>
        </w:rPr>
        <w:t xml:space="preserve">2 </w:t>
      </w:r>
      <w:r w:rsidR="00E86C65" w:rsidRPr="005E3242">
        <w:rPr>
          <w:color w:val="auto"/>
          <w:lang w:val="en-US"/>
        </w:rPr>
        <w:t xml:space="preserve">of doxorubicin or its equivalent. Intravenous </w:t>
      </w:r>
      <w:proofErr w:type="spellStart"/>
      <w:r w:rsidR="00E86C65" w:rsidRPr="005E3242">
        <w:rPr>
          <w:color w:val="auto"/>
          <w:lang w:val="en-US"/>
        </w:rPr>
        <w:t>pertuzumab</w:t>
      </w:r>
      <w:proofErr w:type="spellEnd"/>
      <w:r w:rsidR="00E86C65" w:rsidRPr="005E3242">
        <w:rPr>
          <w:color w:val="auto"/>
          <w:lang w:val="en-US"/>
        </w:rPr>
        <w:t xml:space="preserve"> in combination with trastuzumab and chemotherapy has not been studied in patients with decreases in LVEF &lt;50% during prior trastuzumab adjuvant therapy.</w:t>
      </w:r>
    </w:p>
    <w:p w14:paraId="2F284DD0" w14:textId="77777777" w:rsidR="00E86C65" w:rsidRPr="005E3242" w:rsidRDefault="00E86C65" w:rsidP="00C448E8">
      <w:pPr>
        <w:rPr>
          <w:color w:val="auto"/>
        </w:rPr>
      </w:pPr>
    </w:p>
    <w:p w14:paraId="0B09296E" w14:textId="3F53D19D" w:rsidR="00EE6BD0" w:rsidRPr="005E3242" w:rsidRDefault="001903E0" w:rsidP="00C448E8">
      <w:pPr>
        <w:rPr>
          <w:lang w:val="en-GB"/>
        </w:rPr>
      </w:pPr>
      <w:r w:rsidRPr="001903E0">
        <w:rPr>
          <w:lang w:val="en-US"/>
        </w:rPr>
        <w:t xml:space="preserve">Prior to initiation of </w:t>
      </w:r>
      <w:proofErr w:type="spellStart"/>
      <w:r>
        <w:rPr>
          <w:lang w:val="en-US"/>
        </w:rPr>
        <w:t>Phesgo</w:t>
      </w:r>
      <w:proofErr w:type="spellEnd"/>
      <w:r w:rsidRPr="001903E0">
        <w:rPr>
          <w:lang w:val="en-US"/>
        </w:rPr>
        <w:t>, conduct a thorough cardiac assessment, including history, physical examination, and determination of LVEF</w:t>
      </w:r>
      <w:r>
        <w:rPr>
          <w:lang w:val="en-US"/>
        </w:rPr>
        <w:t xml:space="preserve">. </w:t>
      </w:r>
      <w:r w:rsidR="0000582D">
        <w:rPr>
          <w:lang w:val="en-US"/>
        </w:rPr>
        <w:t xml:space="preserve">Assess LVEF during </w:t>
      </w:r>
      <w:proofErr w:type="spellStart"/>
      <w:r w:rsidR="0000582D">
        <w:rPr>
          <w:lang w:val="en-US"/>
        </w:rPr>
        <w:t>Phesgo</w:t>
      </w:r>
      <w:proofErr w:type="spellEnd"/>
      <w:r w:rsidR="0000582D">
        <w:rPr>
          <w:lang w:val="en-US"/>
        </w:rPr>
        <w:t xml:space="preserve"> treatment, </w:t>
      </w:r>
      <w:r>
        <w:rPr>
          <w:lang w:val="en-US"/>
        </w:rPr>
        <w:t xml:space="preserve">and interrupt treatment if it declines, </w:t>
      </w:r>
      <w:r w:rsidR="0000582D">
        <w:rPr>
          <w:lang w:val="en-US"/>
        </w:rPr>
        <w:t xml:space="preserve">as described in </w:t>
      </w:r>
      <w:r w:rsidR="00F6227E">
        <w:rPr>
          <w:lang w:val="en-US"/>
        </w:rPr>
        <w:fldChar w:fldCharType="begin"/>
      </w:r>
      <w:r w:rsidR="00F6227E">
        <w:rPr>
          <w:lang w:val="en-US"/>
        </w:rPr>
        <w:instrText xml:space="preserve"> REF _Ref66710294 \h </w:instrText>
      </w:r>
      <w:r w:rsidR="00F6227E">
        <w:rPr>
          <w:lang w:val="en-US"/>
        </w:rPr>
      </w:r>
      <w:r w:rsidR="00C448E8">
        <w:rPr>
          <w:lang w:val="en-US"/>
        </w:rPr>
        <w:instrText xml:space="preserve"> \* MERGEFORMAT </w:instrText>
      </w:r>
      <w:r w:rsidR="00F6227E">
        <w:rPr>
          <w:lang w:val="en-US"/>
        </w:rPr>
        <w:fldChar w:fldCharType="separate"/>
      </w:r>
      <w:r w:rsidR="00C840A1">
        <w:t xml:space="preserve">Table </w:t>
      </w:r>
      <w:r w:rsidR="00C840A1">
        <w:rPr>
          <w:noProof/>
        </w:rPr>
        <w:t>2</w:t>
      </w:r>
      <w:r w:rsidR="00F6227E">
        <w:rPr>
          <w:lang w:val="en-US"/>
        </w:rPr>
        <w:fldChar w:fldCharType="end"/>
      </w:r>
      <w:r w:rsidR="0000582D">
        <w:rPr>
          <w:lang w:val="en-US"/>
        </w:rPr>
        <w:t xml:space="preserve"> (see </w:t>
      </w:r>
      <w:r w:rsidR="0000582D" w:rsidRPr="006B2154">
        <w:rPr>
          <w:i/>
          <w:lang w:val="en-US"/>
        </w:rPr>
        <w:t xml:space="preserve">4.2 Dose and method of </w:t>
      </w:r>
      <w:r w:rsidR="0000582D" w:rsidRPr="006B2154">
        <w:rPr>
          <w:i/>
          <w:lang w:val="en-US"/>
        </w:rPr>
        <w:lastRenderedPageBreak/>
        <w:t>administration</w:t>
      </w:r>
      <w:r w:rsidR="0000582D">
        <w:rPr>
          <w:lang w:val="en-US"/>
        </w:rPr>
        <w:t>).</w:t>
      </w:r>
      <w:r>
        <w:rPr>
          <w:lang w:val="en-US"/>
        </w:rPr>
        <w:t xml:space="preserve"> </w:t>
      </w:r>
      <w:r w:rsidR="000D1E76">
        <w:rPr>
          <w:lang w:val="en-US"/>
        </w:rPr>
        <w:t>Re-assess</w:t>
      </w:r>
      <w:r w:rsidRPr="001903E0">
        <w:rPr>
          <w:lang w:val="en-US"/>
        </w:rPr>
        <w:t xml:space="preserve"> 3 weeks</w:t>
      </w:r>
      <w:r w:rsidR="000D1E76">
        <w:rPr>
          <w:lang w:val="en-US"/>
        </w:rPr>
        <w:t xml:space="preserve"> after interruption</w:t>
      </w:r>
      <w:r w:rsidRPr="001903E0">
        <w:rPr>
          <w:lang w:val="en-US"/>
        </w:rPr>
        <w:t>,</w:t>
      </w:r>
      <w:r w:rsidR="000D1E76">
        <w:rPr>
          <w:lang w:val="en-US"/>
        </w:rPr>
        <w:t xml:space="preserve"> and if</w:t>
      </w:r>
      <w:r w:rsidRPr="001903E0">
        <w:rPr>
          <w:lang w:val="en-US"/>
        </w:rPr>
        <w:t xml:space="preserve"> the LVEF has not improved, has declined further, and/or the patient is symptomatic, permanently discontinue </w:t>
      </w:r>
      <w:proofErr w:type="spellStart"/>
      <w:r w:rsidR="000D1E76">
        <w:rPr>
          <w:lang w:val="en-US"/>
        </w:rPr>
        <w:t>Phesgo</w:t>
      </w:r>
      <w:proofErr w:type="spellEnd"/>
      <w:r w:rsidRPr="001903E0">
        <w:rPr>
          <w:lang w:val="en-US"/>
        </w:rPr>
        <w:t>.</w:t>
      </w:r>
      <w:r w:rsidR="000D1E76">
        <w:rPr>
          <w:lang w:val="en-US"/>
        </w:rPr>
        <w:t xml:space="preserve"> </w:t>
      </w:r>
      <w:r w:rsidRPr="001903E0">
        <w:rPr>
          <w:lang w:val="en-US"/>
        </w:rPr>
        <w:t xml:space="preserve">Following completion of </w:t>
      </w:r>
      <w:proofErr w:type="spellStart"/>
      <w:r w:rsidR="000D1E76">
        <w:rPr>
          <w:lang w:val="en-US"/>
        </w:rPr>
        <w:t>Phesgo</w:t>
      </w:r>
      <w:proofErr w:type="spellEnd"/>
      <w:r w:rsidRPr="001903E0">
        <w:rPr>
          <w:lang w:val="en-US"/>
        </w:rPr>
        <w:t>, continue to monitor for cardiomyopathy and assess LVEF measurements every 6 months for at least 2 years as a component of adjuvant therapy.</w:t>
      </w:r>
    </w:p>
    <w:p w14:paraId="798719D4" w14:textId="7E8B10EF" w:rsidR="00EE6BD0" w:rsidRPr="005E3242" w:rsidRDefault="006F1B0C" w:rsidP="00C448E8">
      <w:pPr>
        <w:pStyle w:val="Heading3"/>
        <w:rPr>
          <w:color w:val="auto"/>
        </w:rPr>
      </w:pPr>
      <w:r>
        <w:rPr>
          <w:color w:val="auto"/>
        </w:rPr>
        <w:t>Hypersensitivity/anaphylaxis and administration</w:t>
      </w:r>
      <w:r w:rsidR="00EE6BD0" w:rsidRPr="005E3242">
        <w:rPr>
          <w:color w:val="auto"/>
        </w:rPr>
        <w:t>-related reactions</w:t>
      </w:r>
    </w:p>
    <w:p w14:paraId="39BDC51F" w14:textId="1D42F046" w:rsidR="00FD45FB" w:rsidRDefault="00FD45FB" w:rsidP="00C448E8">
      <w:pPr>
        <w:rPr>
          <w:color w:val="auto"/>
          <w:lang w:val="en-US"/>
        </w:rPr>
      </w:pPr>
      <w:r w:rsidRPr="00FD45FB">
        <w:rPr>
          <w:color w:val="auto"/>
          <w:lang w:val="en-US"/>
        </w:rPr>
        <w:t xml:space="preserve">Severe </w:t>
      </w:r>
      <w:r>
        <w:rPr>
          <w:color w:val="auto"/>
          <w:lang w:val="en-US"/>
        </w:rPr>
        <w:t>administration-related reactions</w:t>
      </w:r>
      <w:r w:rsidR="002606BF">
        <w:rPr>
          <w:color w:val="auto"/>
          <w:lang w:val="en-US"/>
        </w:rPr>
        <w:t>, including hypersensitivity and</w:t>
      </w:r>
      <w:r w:rsidRPr="00FD45FB">
        <w:rPr>
          <w:color w:val="auto"/>
          <w:lang w:val="en-US"/>
        </w:rPr>
        <w:t xml:space="preserve"> anaphyla</w:t>
      </w:r>
      <w:r w:rsidR="002606BF">
        <w:rPr>
          <w:color w:val="auto"/>
          <w:lang w:val="en-US"/>
        </w:rPr>
        <w:t>xis</w:t>
      </w:r>
      <w:r w:rsidRPr="00FD45FB">
        <w:rPr>
          <w:color w:val="auto"/>
          <w:lang w:val="en-US"/>
        </w:rPr>
        <w:t xml:space="preserve">, </w:t>
      </w:r>
      <w:r w:rsidR="002606BF">
        <w:rPr>
          <w:color w:val="auto"/>
          <w:lang w:val="en-US"/>
        </w:rPr>
        <w:t xml:space="preserve">can occur </w:t>
      </w:r>
      <w:r w:rsidRPr="00FD45FB">
        <w:rPr>
          <w:color w:val="auto"/>
          <w:lang w:val="en-US"/>
        </w:rPr>
        <w:t xml:space="preserve">with </w:t>
      </w:r>
      <w:proofErr w:type="spellStart"/>
      <w:r w:rsidRPr="00FD45FB">
        <w:rPr>
          <w:color w:val="auto"/>
          <w:lang w:val="en-US"/>
        </w:rPr>
        <w:t>pertuzumab</w:t>
      </w:r>
      <w:proofErr w:type="spellEnd"/>
      <w:r w:rsidRPr="00FD45FB">
        <w:rPr>
          <w:color w:val="auto"/>
          <w:lang w:val="en-US"/>
        </w:rPr>
        <w:t xml:space="preserve"> and trastuzumab. </w:t>
      </w:r>
      <w:r w:rsidR="002606BF">
        <w:rPr>
          <w:color w:val="auto"/>
          <w:lang w:val="en-US"/>
        </w:rPr>
        <w:t>No f</w:t>
      </w:r>
      <w:r w:rsidR="002606BF" w:rsidRPr="005E3242">
        <w:rPr>
          <w:color w:val="auto"/>
          <w:lang w:val="en-US"/>
        </w:rPr>
        <w:t xml:space="preserve">atal </w:t>
      </w:r>
      <w:r w:rsidR="002606BF">
        <w:rPr>
          <w:color w:val="auto"/>
          <w:lang w:val="en-US"/>
        </w:rPr>
        <w:t>injection-related reactions have occurred</w:t>
      </w:r>
      <w:r w:rsidR="002606BF" w:rsidRPr="005E3242">
        <w:rPr>
          <w:color w:val="auto"/>
          <w:lang w:val="en-US"/>
        </w:rPr>
        <w:t xml:space="preserve"> with </w:t>
      </w:r>
      <w:proofErr w:type="spellStart"/>
      <w:proofErr w:type="gramStart"/>
      <w:r w:rsidR="002606BF">
        <w:rPr>
          <w:color w:val="auto"/>
          <w:lang w:val="en-US"/>
        </w:rPr>
        <w:t>Phesgo</w:t>
      </w:r>
      <w:proofErr w:type="spellEnd"/>
      <w:r w:rsidR="002606BF" w:rsidRPr="005E3242">
        <w:rPr>
          <w:color w:val="auto"/>
          <w:lang w:val="en-US"/>
        </w:rPr>
        <w:t>,</w:t>
      </w:r>
      <w:proofErr w:type="gramEnd"/>
      <w:r w:rsidR="002606BF" w:rsidRPr="005E3242">
        <w:rPr>
          <w:color w:val="auto"/>
          <w:lang w:val="en-US"/>
        </w:rPr>
        <w:t xml:space="preserve"> </w:t>
      </w:r>
      <w:r w:rsidR="002606BF">
        <w:rPr>
          <w:color w:val="auto"/>
          <w:lang w:val="en-US"/>
        </w:rPr>
        <w:t xml:space="preserve">however, </w:t>
      </w:r>
      <w:r w:rsidR="002606BF" w:rsidRPr="005E3242">
        <w:rPr>
          <w:color w:val="auto"/>
          <w:lang w:val="en-US"/>
        </w:rPr>
        <w:t xml:space="preserve">caution should be exercised as </w:t>
      </w:r>
      <w:r w:rsidR="002606BF">
        <w:rPr>
          <w:color w:val="auto"/>
          <w:lang w:val="en-US"/>
        </w:rPr>
        <w:t xml:space="preserve">fatal </w:t>
      </w:r>
      <w:r w:rsidR="002606BF" w:rsidRPr="005E3242">
        <w:rPr>
          <w:color w:val="auto"/>
          <w:lang w:val="en-US"/>
        </w:rPr>
        <w:t xml:space="preserve">infusion related-reactions have </w:t>
      </w:r>
      <w:r w:rsidR="002606BF">
        <w:rPr>
          <w:color w:val="auto"/>
          <w:lang w:val="en-US"/>
        </w:rPr>
        <w:t>occurred in patients treated with</w:t>
      </w:r>
      <w:r w:rsidR="002606BF" w:rsidRPr="005E3242">
        <w:rPr>
          <w:color w:val="auto"/>
          <w:lang w:val="en-US"/>
        </w:rPr>
        <w:t xml:space="preserve"> intravenous </w:t>
      </w:r>
      <w:proofErr w:type="spellStart"/>
      <w:r w:rsidR="002606BF">
        <w:rPr>
          <w:color w:val="auto"/>
          <w:lang w:val="en-US"/>
        </w:rPr>
        <w:t>pertuzumab</w:t>
      </w:r>
      <w:proofErr w:type="spellEnd"/>
      <w:r w:rsidR="002606BF">
        <w:rPr>
          <w:color w:val="auto"/>
          <w:lang w:val="en-US"/>
        </w:rPr>
        <w:t xml:space="preserve">, trastuzumab </w:t>
      </w:r>
      <w:r w:rsidR="002606BF" w:rsidRPr="005E3242">
        <w:rPr>
          <w:color w:val="auto"/>
          <w:lang w:val="en-US"/>
        </w:rPr>
        <w:t>and chemotherapy</w:t>
      </w:r>
      <w:r w:rsidR="002606BF">
        <w:rPr>
          <w:color w:val="auto"/>
          <w:lang w:val="en-US"/>
        </w:rPr>
        <w:t xml:space="preserve">. </w:t>
      </w:r>
      <w:r w:rsidRPr="00FD45FB">
        <w:rPr>
          <w:color w:val="auto"/>
          <w:lang w:val="en-US"/>
        </w:rPr>
        <w:t xml:space="preserve">Patients experiencing </w:t>
      </w:r>
      <w:proofErr w:type="spellStart"/>
      <w:r w:rsidRPr="00FD45FB">
        <w:rPr>
          <w:color w:val="auto"/>
          <w:lang w:val="en-US"/>
        </w:rPr>
        <w:t>dyspn</w:t>
      </w:r>
      <w:r>
        <w:rPr>
          <w:color w:val="auto"/>
          <w:lang w:val="en-US"/>
        </w:rPr>
        <w:t>o</w:t>
      </w:r>
      <w:r w:rsidRPr="00FD45FB">
        <w:rPr>
          <w:color w:val="auto"/>
          <w:lang w:val="en-US"/>
        </w:rPr>
        <w:t>ea</w:t>
      </w:r>
      <w:proofErr w:type="spellEnd"/>
      <w:r w:rsidRPr="00FD45FB">
        <w:rPr>
          <w:color w:val="auto"/>
          <w:lang w:val="en-US"/>
        </w:rPr>
        <w:t xml:space="preserve"> at rest due to complications of advanced malignancy and comorbidities may be at increased risk of a severe or fatal </w:t>
      </w:r>
      <w:r>
        <w:rPr>
          <w:color w:val="auto"/>
          <w:lang w:val="en-US"/>
        </w:rPr>
        <w:t>administration-related reaction</w:t>
      </w:r>
      <w:r w:rsidRPr="00FD45FB">
        <w:rPr>
          <w:color w:val="auto"/>
          <w:lang w:val="en-US"/>
        </w:rPr>
        <w:t xml:space="preserve">. </w:t>
      </w:r>
    </w:p>
    <w:p w14:paraId="406A7C27" w14:textId="77777777" w:rsidR="00FD45FB" w:rsidRDefault="00FD45FB" w:rsidP="00C448E8">
      <w:pPr>
        <w:rPr>
          <w:color w:val="auto"/>
          <w:lang w:val="en-US"/>
        </w:rPr>
      </w:pPr>
    </w:p>
    <w:p w14:paraId="0638D9CD" w14:textId="0D9D4CE7" w:rsidR="002606BF" w:rsidRDefault="00EE6BD0" w:rsidP="00C448E8">
      <w:pPr>
        <w:rPr>
          <w:color w:val="auto"/>
          <w:lang w:val="en-US"/>
        </w:rPr>
      </w:pPr>
      <w:r w:rsidRPr="005E3242">
        <w:rPr>
          <w:color w:val="auto"/>
          <w:lang w:val="en-US"/>
        </w:rPr>
        <w:t>Close</w:t>
      </w:r>
      <w:r w:rsidR="00FD45FB">
        <w:rPr>
          <w:color w:val="auto"/>
          <w:lang w:val="en-US"/>
        </w:rPr>
        <w:t>ly</w:t>
      </w:r>
      <w:r w:rsidRPr="005E3242">
        <w:rPr>
          <w:color w:val="auto"/>
          <w:lang w:val="en-US"/>
        </w:rPr>
        <w:t xml:space="preserve"> </w:t>
      </w:r>
      <w:r w:rsidR="00FD45FB">
        <w:rPr>
          <w:color w:val="auto"/>
          <w:lang w:val="en-US"/>
        </w:rPr>
        <w:t>monitor</w:t>
      </w:r>
      <w:r w:rsidRPr="005E3242">
        <w:rPr>
          <w:color w:val="auto"/>
          <w:lang w:val="en-US"/>
        </w:rPr>
        <w:t xml:space="preserve"> patient</w:t>
      </w:r>
      <w:r w:rsidR="00FD45FB">
        <w:rPr>
          <w:color w:val="auto"/>
          <w:lang w:val="en-US"/>
        </w:rPr>
        <w:t>s</w:t>
      </w:r>
      <w:r w:rsidRPr="005E3242">
        <w:rPr>
          <w:color w:val="auto"/>
          <w:lang w:val="en-US"/>
        </w:rPr>
        <w:t xml:space="preserve"> during and after administration of </w:t>
      </w:r>
      <w:proofErr w:type="spellStart"/>
      <w:r w:rsidR="00376F49">
        <w:rPr>
          <w:color w:val="auto"/>
          <w:lang w:val="en-US"/>
        </w:rPr>
        <w:t>Phesgo</w:t>
      </w:r>
      <w:proofErr w:type="spellEnd"/>
      <w:r w:rsidRPr="005E3242">
        <w:rPr>
          <w:color w:val="auto"/>
          <w:lang w:val="en-US"/>
        </w:rPr>
        <w:t xml:space="preserve"> </w:t>
      </w:r>
      <w:r w:rsidR="00FD45FB">
        <w:rPr>
          <w:color w:val="auto"/>
          <w:lang w:val="en-US"/>
        </w:rPr>
        <w:t xml:space="preserve">as described in </w:t>
      </w:r>
      <w:r w:rsidR="00F6227E">
        <w:rPr>
          <w:color w:val="auto"/>
          <w:lang w:val="en-US"/>
        </w:rPr>
        <w:fldChar w:fldCharType="begin"/>
      </w:r>
      <w:r w:rsidR="00F6227E">
        <w:rPr>
          <w:color w:val="auto"/>
          <w:lang w:val="en-US"/>
        </w:rPr>
        <w:instrText xml:space="preserve"> REF _Ref66710249 \h </w:instrText>
      </w:r>
      <w:r w:rsidR="00F6227E">
        <w:rPr>
          <w:color w:val="auto"/>
          <w:lang w:val="en-US"/>
        </w:rPr>
      </w:r>
      <w:r w:rsidR="00C448E8">
        <w:rPr>
          <w:color w:val="auto"/>
          <w:lang w:val="en-US"/>
        </w:rPr>
        <w:instrText xml:space="preserve"> \* MERGEFORMAT </w:instrText>
      </w:r>
      <w:r w:rsidR="00F6227E">
        <w:rPr>
          <w:color w:val="auto"/>
          <w:lang w:val="en-US"/>
        </w:rPr>
        <w:fldChar w:fldCharType="separate"/>
      </w:r>
      <w:r w:rsidR="00C840A1">
        <w:t xml:space="preserve">Table </w:t>
      </w:r>
      <w:r w:rsidR="00C840A1">
        <w:rPr>
          <w:noProof/>
        </w:rPr>
        <w:t>1</w:t>
      </w:r>
      <w:r w:rsidR="00F6227E">
        <w:rPr>
          <w:color w:val="auto"/>
          <w:lang w:val="en-US"/>
        </w:rPr>
        <w:fldChar w:fldCharType="end"/>
      </w:r>
      <w:r w:rsidR="00FD45FB">
        <w:rPr>
          <w:color w:val="auto"/>
          <w:lang w:val="en-US"/>
        </w:rPr>
        <w:t xml:space="preserve"> (</w:t>
      </w:r>
      <w:r w:rsidR="00FD45FB" w:rsidRPr="0000034B">
        <w:rPr>
          <w:i/>
          <w:lang w:val="en-US"/>
        </w:rPr>
        <w:t>4.2 Dose and method of administration</w:t>
      </w:r>
      <w:r w:rsidR="00FD45FB">
        <w:rPr>
          <w:color w:val="auto"/>
          <w:lang w:val="en-US"/>
        </w:rPr>
        <w:t>)</w:t>
      </w:r>
      <w:r w:rsidRPr="005E3242">
        <w:rPr>
          <w:color w:val="auto"/>
          <w:lang w:val="en-US"/>
        </w:rPr>
        <w:t xml:space="preserve">. If a significant injection-related reaction occurs, </w:t>
      </w:r>
      <w:r w:rsidR="00FD45FB">
        <w:rPr>
          <w:color w:val="auto"/>
          <w:lang w:val="en-US"/>
        </w:rPr>
        <w:t xml:space="preserve">slow down or pause </w:t>
      </w:r>
      <w:r w:rsidRPr="005E3242">
        <w:rPr>
          <w:color w:val="auto"/>
          <w:lang w:val="en-US"/>
        </w:rPr>
        <w:t xml:space="preserve">the injection and </w:t>
      </w:r>
      <w:r w:rsidR="00FD45FB">
        <w:rPr>
          <w:color w:val="auto"/>
          <w:lang w:val="en-US"/>
        </w:rPr>
        <w:t xml:space="preserve">administer </w:t>
      </w:r>
      <w:r w:rsidRPr="005E3242">
        <w:rPr>
          <w:color w:val="auto"/>
          <w:lang w:val="en-US"/>
        </w:rPr>
        <w:t>appropriate medical therap</w:t>
      </w:r>
      <w:r w:rsidR="00DD6509" w:rsidRPr="005E3242">
        <w:rPr>
          <w:color w:val="auto"/>
          <w:lang w:val="en-US"/>
        </w:rPr>
        <w:t>ies</w:t>
      </w:r>
      <w:r w:rsidR="004D0546">
        <w:rPr>
          <w:color w:val="auto"/>
          <w:lang w:val="en-US"/>
        </w:rPr>
        <w:t xml:space="preserve">, </w:t>
      </w:r>
      <w:r w:rsidR="004D0546" w:rsidRPr="004D0546">
        <w:rPr>
          <w:color w:val="auto"/>
          <w:lang w:val="en-US"/>
        </w:rPr>
        <w:t>which may include adrenaline, corticosteroids,</w:t>
      </w:r>
      <w:r w:rsidR="004D0546">
        <w:rPr>
          <w:color w:val="auto"/>
          <w:lang w:val="en-US"/>
        </w:rPr>
        <w:t xml:space="preserve"> </w:t>
      </w:r>
      <w:r w:rsidR="004D0546" w:rsidRPr="004D0546">
        <w:rPr>
          <w:color w:val="auto"/>
          <w:lang w:val="en-US"/>
        </w:rPr>
        <w:t xml:space="preserve">antihistamines, </w:t>
      </w:r>
      <w:proofErr w:type="gramStart"/>
      <w:r w:rsidR="004D0546" w:rsidRPr="004D0546">
        <w:rPr>
          <w:color w:val="auto"/>
          <w:lang w:val="en-US"/>
        </w:rPr>
        <w:t>bronchodilators</w:t>
      </w:r>
      <w:proofErr w:type="gramEnd"/>
      <w:r w:rsidR="004D0546" w:rsidRPr="004D0546">
        <w:rPr>
          <w:color w:val="auto"/>
          <w:lang w:val="en-US"/>
        </w:rPr>
        <w:t xml:space="preserve"> and oxygen</w:t>
      </w:r>
      <w:r w:rsidRPr="005E3242">
        <w:rPr>
          <w:color w:val="auto"/>
          <w:lang w:val="en-US"/>
        </w:rPr>
        <w:t>.</w:t>
      </w:r>
      <w:r w:rsidR="002606BF">
        <w:rPr>
          <w:color w:val="auto"/>
          <w:lang w:val="en-US"/>
        </w:rPr>
        <w:t xml:space="preserve"> E</w:t>
      </w:r>
      <w:r w:rsidRPr="005E3242">
        <w:rPr>
          <w:color w:val="auto"/>
          <w:lang w:val="en-US"/>
        </w:rPr>
        <w:t>valuate and carefully monitor</w:t>
      </w:r>
      <w:r w:rsidR="002606BF">
        <w:rPr>
          <w:color w:val="auto"/>
          <w:lang w:val="en-US"/>
        </w:rPr>
        <w:t xml:space="preserve"> patients</w:t>
      </w:r>
      <w:r w:rsidRPr="005E3242">
        <w:rPr>
          <w:color w:val="auto"/>
          <w:lang w:val="en-US"/>
        </w:rPr>
        <w:t xml:space="preserve"> until complete resolution of signs and symptoms. </w:t>
      </w:r>
    </w:p>
    <w:p w14:paraId="44DB04CC" w14:textId="77777777" w:rsidR="002606BF" w:rsidRDefault="002606BF" w:rsidP="00C448E8">
      <w:pPr>
        <w:rPr>
          <w:color w:val="auto"/>
          <w:lang w:val="en-US"/>
        </w:rPr>
      </w:pPr>
    </w:p>
    <w:p w14:paraId="49ED521A" w14:textId="1AB15C2D" w:rsidR="00EE6BD0" w:rsidRPr="005E3242" w:rsidRDefault="00EE6BD0" w:rsidP="00C448E8">
      <w:pPr>
        <w:rPr>
          <w:color w:val="auto"/>
          <w:lang w:val="en-GB"/>
        </w:rPr>
      </w:pPr>
      <w:r w:rsidRPr="005E3242">
        <w:rPr>
          <w:color w:val="auto"/>
          <w:lang w:val="en-US"/>
        </w:rPr>
        <w:t>Permanent</w:t>
      </w:r>
      <w:r w:rsidR="002606BF">
        <w:rPr>
          <w:color w:val="auto"/>
          <w:lang w:val="en-US"/>
        </w:rPr>
        <w:t>ly</w:t>
      </w:r>
      <w:r w:rsidRPr="005E3242">
        <w:rPr>
          <w:color w:val="auto"/>
          <w:lang w:val="en-US"/>
        </w:rPr>
        <w:t xml:space="preserve"> discontinu</w:t>
      </w:r>
      <w:r w:rsidR="002606BF">
        <w:rPr>
          <w:color w:val="auto"/>
          <w:lang w:val="en-US"/>
        </w:rPr>
        <w:t xml:space="preserve">e </w:t>
      </w:r>
      <w:proofErr w:type="spellStart"/>
      <w:r w:rsidR="002606BF">
        <w:rPr>
          <w:color w:val="auto"/>
          <w:lang w:val="en-US"/>
        </w:rPr>
        <w:t>Phesgo</w:t>
      </w:r>
      <w:proofErr w:type="spellEnd"/>
      <w:r w:rsidR="002606BF">
        <w:rPr>
          <w:color w:val="auto"/>
          <w:lang w:val="en-US"/>
        </w:rPr>
        <w:t xml:space="preserve"> in patients who experience anaphylaxis or</w:t>
      </w:r>
      <w:r w:rsidRPr="005E3242">
        <w:rPr>
          <w:color w:val="auto"/>
          <w:lang w:val="en-US"/>
        </w:rPr>
        <w:t xml:space="preserve"> severe injection-related reactions. </w:t>
      </w:r>
      <w:r w:rsidR="002606BF" w:rsidRPr="002606BF">
        <w:rPr>
          <w:color w:val="auto"/>
          <w:lang w:val="en-US"/>
        </w:rPr>
        <w:t xml:space="preserve">Medications to treat such reactions, as well as emergency equipment, should be available for immediate use. For patients experiencing reversible Grade 1 or 2 hypersensitivity reactions, consider pre-medication with an analgesic, antipyretic, or an antihistamine prior to </w:t>
      </w:r>
      <w:proofErr w:type="spellStart"/>
      <w:r w:rsidR="002606BF" w:rsidRPr="002606BF">
        <w:rPr>
          <w:color w:val="auto"/>
          <w:lang w:val="en-US"/>
        </w:rPr>
        <w:t>readministration</w:t>
      </w:r>
      <w:proofErr w:type="spellEnd"/>
      <w:r w:rsidR="002606BF" w:rsidRPr="002606BF">
        <w:rPr>
          <w:color w:val="auto"/>
          <w:lang w:val="en-US"/>
        </w:rPr>
        <w:t xml:space="preserve"> of </w:t>
      </w:r>
      <w:proofErr w:type="spellStart"/>
      <w:r w:rsidR="002606BF">
        <w:rPr>
          <w:color w:val="auto"/>
          <w:lang w:val="en-US"/>
        </w:rPr>
        <w:t>Phesgo</w:t>
      </w:r>
      <w:proofErr w:type="spellEnd"/>
      <w:r w:rsidR="002606BF">
        <w:rPr>
          <w:color w:val="auto"/>
          <w:lang w:val="en-US"/>
        </w:rPr>
        <w:t>.</w:t>
      </w:r>
      <w:r w:rsidR="007E39F8">
        <w:rPr>
          <w:color w:val="auto"/>
          <w:lang w:val="en-US"/>
        </w:rPr>
        <w:t xml:space="preserve"> </w:t>
      </w:r>
      <w:proofErr w:type="spellStart"/>
      <w:r w:rsidR="00376F49">
        <w:rPr>
          <w:color w:val="auto"/>
          <w:lang w:val="en-US"/>
        </w:rPr>
        <w:t>Phesgo</w:t>
      </w:r>
      <w:proofErr w:type="spellEnd"/>
      <w:r w:rsidR="00204E7E" w:rsidRPr="005E3242">
        <w:rPr>
          <w:color w:val="auto"/>
          <w:lang w:val="en-US"/>
        </w:rPr>
        <w:t xml:space="preserve"> is contraindicated in patients with known hypersensitivity to </w:t>
      </w:r>
      <w:proofErr w:type="spellStart"/>
      <w:r w:rsidR="00204E7E" w:rsidRPr="005E3242">
        <w:rPr>
          <w:color w:val="auto"/>
          <w:lang w:val="en-US"/>
        </w:rPr>
        <w:t>pertuzumab</w:t>
      </w:r>
      <w:proofErr w:type="spellEnd"/>
      <w:r w:rsidR="00204E7E" w:rsidRPr="005E3242">
        <w:rPr>
          <w:color w:val="auto"/>
          <w:lang w:val="en-US"/>
        </w:rPr>
        <w:t>, trastuzumab, or to any of its excipients (</w:t>
      </w:r>
      <w:r w:rsidR="00204E7E" w:rsidRPr="005E3242">
        <w:rPr>
          <w:i/>
          <w:color w:val="auto"/>
          <w:lang w:val="en-US"/>
        </w:rPr>
        <w:t xml:space="preserve">see </w:t>
      </w:r>
      <w:r w:rsidR="00DD6509" w:rsidRPr="005E3242">
        <w:rPr>
          <w:i/>
          <w:color w:val="auto"/>
          <w:lang w:val="en-US"/>
        </w:rPr>
        <w:t>4</w:t>
      </w:r>
      <w:r w:rsidR="00204E7E" w:rsidRPr="005E3242">
        <w:rPr>
          <w:i/>
          <w:color w:val="auto"/>
          <w:lang w:val="en-US"/>
        </w:rPr>
        <w:t>.3 Contraindications</w:t>
      </w:r>
      <w:r w:rsidR="00204E7E" w:rsidRPr="005E3242">
        <w:rPr>
          <w:color w:val="auto"/>
          <w:lang w:val="en-US"/>
        </w:rPr>
        <w:t>).</w:t>
      </w:r>
    </w:p>
    <w:p w14:paraId="66E60544" w14:textId="1898FD8C" w:rsidR="00843E75" w:rsidRPr="00843E75" w:rsidRDefault="00843E75" w:rsidP="00C448E8">
      <w:pPr>
        <w:pStyle w:val="Heading3"/>
        <w:rPr>
          <w:color w:val="auto"/>
        </w:rPr>
      </w:pPr>
      <w:r>
        <w:rPr>
          <w:color w:val="auto"/>
        </w:rPr>
        <w:t>Exacerbation</w:t>
      </w:r>
      <w:r w:rsidR="004D0546">
        <w:rPr>
          <w:color w:val="auto"/>
        </w:rPr>
        <w:t xml:space="preserve"> of c</w:t>
      </w:r>
      <w:r>
        <w:rPr>
          <w:color w:val="auto"/>
        </w:rPr>
        <w:t>hemotherapy-induced n</w:t>
      </w:r>
      <w:r w:rsidRPr="00843E75">
        <w:rPr>
          <w:color w:val="auto"/>
        </w:rPr>
        <w:t>eutropenia</w:t>
      </w:r>
    </w:p>
    <w:p w14:paraId="72BC1155" w14:textId="77777777" w:rsidR="007B417F" w:rsidRDefault="00843E75" w:rsidP="00C448E8">
      <w:proofErr w:type="spellStart"/>
      <w:r>
        <w:t>Phesgo</w:t>
      </w:r>
      <w:proofErr w:type="spellEnd"/>
      <w:r w:rsidRPr="007B417F">
        <w:t xml:space="preserve"> may exacerbate chemotherapy-induced neutropenia. </w:t>
      </w:r>
    </w:p>
    <w:p w14:paraId="5344D3EB" w14:textId="77777777" w:rsidR="007B417F" w:rsidRDefault="007B417F" w:rsidP="00C448E8"/>
    <w:p w14:paraId="23FB6BDB" w14:textId="326E79D6" w:rsidR="007B417F" w:rsidRDefault="00843E75" w:rsidP="00C448E8">
      <w:r w:rsidRPr="007B417F">
        <w:t>In randomised controlled clinical trials with intravenous trastuzumab, Grade 3-4 neutropenia and febrile neutropenia were higher in patients receiving trastuzumab in combination with myelosuppressive chemotherapy compared to those who received chemotherapy alone. The incidence of septic death was similar among patients who received trastuzumab and those who did not.</w:t>
      </w:r>
      <w:r w:rsidR="007B417F">
        <w:t xml:space="preserve"> </w:t>
      </w:r>
    </w:p>
    <w:p w14:paraId="41694EBD" w14:textId="77777777" w:rsidR="007B417F" w:rsidRDefault="007B417F" w:rsidP="00C448E8"/>
    <w:p w14:paraId="00425CD9" w14:textId="2915B90F" w:rsidR="00843E75" w:rsidRPr="007B417F" w:rsidRDefault="007B417F" w:rsidP="00C448E8">
      <w:r>
        <w:t xml:space="preserve">In randomised controlled clinical trials, patients who received intravenous </w:t>
      </w:r>
      <w:proofErr w:type="spellStart"/>
      <w:r>
        <w:t>pertuzumab</w:t>
      </w:r>
      <w:proofErr w:type="spellEnd"/>
      <w:r>
        <w:t xml:space="preserve"> in combination with trastuzumab and docetaxel were at increased risk of febrile neutropenia compared with patients treated with placebo, trastuzumab and docetaxel. </w:t>
      </w:r>
    </w:p>
    <w:p w14:paraId="0C7B929C" w14:textId="77777777" w:rsidR="004D0546" w:rsidRPr="00843E75" w:rsidRDefault="004D0546" w:rsidP="00C448E8">
      <w:pPr>
        <w:pStyle w:val="Heading3"/>
        <w:rPr>
          <w:color w:val="auto"/>
        </w:rPr>
      </w:pPr>
      <w:r w:rsidRPr="00843E75">
        <w:rPr>
          <w:color w:val="auto"/>
        </w:rPr>
        <w:t>Pulmonary</w:t>
      </w:r>
      <w:r>
        <w:rPr>
          <w:color w:val="auto"/>
        </w:rPr>
        <w:t xml:space="preserve"> t</w:t>
      </w:r>
      <w:r w:rsidRPr="00843E75">
        <w:rPr>
          <w:color w:val="auto"/>
        </w:rPr>
        <w:t>oxicity</w:t>
      </w:r>
    </w:p>
    <w:p w14:paraId="7BB426FC" w14:textId="77777777" w:rsidR="004D0546" w:rsidRPr="000F7863" w:rsidRDefault="004D0546" w:rsidP="00C448E8">
      <w:r>
        <w:t>S</w:t>
      </w:r>
      <w:r w:rsidRPr="000F7863">
        <w:t xml:space="preserve">erious and fatal pulmonary </w:t>
      </w:r>
      <w:r>
        <w:t>toxicities</w:t>
      </w:r>
      <w:r w:rsidRPr="000F7863">
        <w:t xml:space="preserve"> have been reported with intravenous trastuzumab</w:t>
      </w:r>
      <w:r>
        <w:t xml:space="preserve"> in the post-market setting</w:t>
      </w:r>
      <w:r w:rsidRPr="000F7863">
        <w:t>. Pulmonary toxicity includes dyspn</w:t>
      </w:r>
      <w:r>
        <w:t>o</w:t>
      </w:r>
      <w:r w:rsidRPr="000F7863">
        <w:t xml:space="preserve">ea, interstitial pneumonitis, pulmonary infiltrates, pleural effusions, non-cardiogenic pulmonary </w:t>
      </w:r>
      <w:r>
        <w:t>o</w:t>
      </w:r>
      <w:r w:rsidRPr="000F7863">
        <w:t>edema, pulmonary insufficiency and hypoxia, acute respiratory distress syndrome, and pulmonary fibrosis. Patients with symptomatic intrinsic lung disease or with extensive tumo</w:t>
      </w:r>
      <w:r>
        <w:t>u</w:t>
      </w:r>
      <w:r w:rsidRPr="000F7863">
        <w:t>r involvement of the lungs, resulting in dyspn</w:t>
      </w:r>
      <w:r>
        <w:t>o</w:t>
      </w:r>
      <w:r w:rsidRPr="000F7863">
        <w:t>ea at rest, appear to have more severe toxicity.</w:t>
      </w:r>
    </w:p>
    <w:p w14:paraId="72DCBD13" w14:textId="77777777" w:rsidR="00C448E8" w:rsidRDefault="00C448E8" w:rsidP="00C448E8">
      <w:pPr>
        <w:pStyle w:val="Heading3"/>
        <w:rPr>
          <w:color w:val="auto"/>
        </w:rPr>
      </w:pPr>
    </w:p>
    <w:p w14:paraId="137F3721" w14:textId="7998B821" w:rsidR="004D0546" w:rsidRDefault="004D0546" w:rsidP="00C448E8">
      <w:pPr>
        <w:pStyle w:val="Heading3"/>
        <w:rPr>
          <w:color w:val="auto"/>
        </w:rPr>
      </w:pPr>
      <w:proofErr w:type="spellStart"/>
      <w:r>
        <w:rPr>
          <w:color w:val="auto"/>
        </w:rPr>
        <w:lastRenderedPageBreak/>
        <w:t>Tumour</w:t>
      </w:r>
      <w:proofErr w:type="spellEnd"/>
      <w:r>
        <w:rPr>
          <w:color w:val="auto"/>
        </w:rPr>
        <w:t xml:space="preserve"> Lysis Syndrome </w:t>
      </w:r>
    </w:p>
    <w:p w14:paraId="7EB741E2" w14:textId="6DC1A951" w:rsidR="004D0546" w:rsidRPr="007B417F" w:rsidRDefault="004D0546" w:rsidP="00C448E8">
      <w:r w:rsidRPr="004D0546">
        <w:t>C</w:t>
      </w:r>
      <w:r w:rsidRPr="007B417F">
        <w:t xml:space="preserve">ases of </w:t>
      </w:r>
      <w:r>
        <w:t>tumour lysis syndrome</w:t>
      </w:r>
      <w:r w:rsidRPr="007B417F">
        <w:t xml:space="preserve"> ha</w:t>
      </w:r>
      <w:r w:rsidR="007A0201">
        <w:t>ve</w:t>
      </w:r>
      <w:r w:rsidRPr="007B417F">
        <w:t xml:space="preserve"> been reported in patients treated with </w:t>
      </w:r>
      <w:r>
        <w:t>trastuzumab</w:t>
      </w:r>
      <w:r w:rsidR="007B417F">
        <w:t xml:space="preserve"> </w:t>
      </w:r>
      <w:r w:rsidR="00272AB3">
        <w:t xml:space="preserve">and </w:t>
      </w:r>
      <w:proofErr w:type="spellStart"/>
      <w:r w:rsidR="00272AB3">
        <w:t>pertuzumab</w:t>
      </w:r>
      <w:proofErr w:type="spellEnd"/>
      <w:r w:rsidR="00272AB3">
        <w:t xml:space="preserve"> </w:t>
      </w:r>
      <w:r w:rsidR="007B417F">
        <w:t>in the post-market setting</w:t>
      </w:r>
      <w:r w:rsidRPr="007B417F">
        <w:t>. Patients with significant tumour</w:t>
      </w:r>
      <w:r>
        <w:t xml:space="preserve"> </w:t>
      </w:r>
      <w:r w:rsidRPr="007B417F">
        <w:t xml:space="preserve">burden (e.g. bulky metastases) may be at a higher risk. </w:t>
      </w:r>
      <w:r>
        <w:t>Presentations may involve</w:t>
      </w:r>
      <w:r w:rsidRPr="007B417F">
        <w:t xml:space="preserve"> hyperuric</w:t>
      </w:r>
      <w:r>
        <w:t>a</w:t>
      </w:r>
      <w:r w:rsidRPr="007B417F">
        <w:t>emia,</w:t>
      </w:r>
      <w:r>
        <w:t xml:space="preserve"> </w:t>
      </w:r>
      <w:proofErr w:type="spellStart"/>
      <w:r w:rsidRPr="007B417F">
        <w:t>hyperphosphat</w:t>
      </w:r>
      <w:r>
        <w:t>a</w:t>
      </w:r>
      <w:r w:rsidRPr="007B417F">
        <w:t>emia</w:t>
      </w:r>
      <w:proofErr w:type="spellEnd"/>
      <w:r w:rsidRPr="007B417F">
        <w:t xml:space="preserve"> </w:t>
      </w:r>
      <w:r>
        <w:t>or</w:t>
      </w:r>
      <w:r w:rsidRPr="007B417F">
        <w:t xml:space="preserve"> acute renal</w:t>
      </w:r>
      <w:r>
        <w:t xml:space="preserve"> failure</w:t>
      </w:r>
      <w:r w:rsidRPr="007B417F">
        <w:t xml:space="preserve">. </w:t>
      </w:r>
    </w:p>
    <w:p w14:paraId="5D213346" w14:textId="247384B8" w:rsidR="00125C47" w:rsidRPr="005E3242" w:rsidRDefault="00125C47" w:rsidP="00C448E8">
      <w:pPr>
        <w:pStyle w:val="Heading3"/>
        <w:rPr>
          <w:color w:val="auto"/>
        </w:rPr>
      </w:pPr>
      <w:proofErr w:type="spellStart"/>
      <w:r w:rsidRPr="005E3242">
        <w:rPr>
          <w:color w:val="auto"/>
        </w:rPr>
        <w:t>Paediatric</w:t>
      </w:r>
      <w:proofErr w:type="spellEnd"/>
      <w:r w:rsidRPr="005E3242">
        <w:rPr>
          <w:color w:val="auto"/>
        </w:rPr>
        <w:t xml:space="preserve"> use</w:t>
      </w:r>
    </w:p>
    <w:p w14:paraId="1AC33141" w14:textId="39898B67" w:rsidR="00834C48" w:rsidRPr="005E3242" w:rsidRDefault="00125C47" w:rsidP="00C448E8">
      <w:pPr>
        <w:rPr>
          <w:b/>
          <w:color w:val="auto"/>
        </w:rPr>
      </w:pPr>
      <w:r w:rsidRPr="005E3242">
        <w:rPr>
          <w:color w:val="auto"/>
          <w:lang w:val="en-US"/>
        </w:rPr>
        <w:t xml:space="preserve">The safety and efficacy of </w:t>
      </w:r>
      <w:proofErr w:type="spellStart"/>
      <w:r w:rsidR="00376F49">
        <w:rPr>
          <w:color w:val="auto"/>
          <w:lang w:val="en-US"/>
        </w:rPr>
        <w:t>Phesgo</w:t>
      </w:r>
      <w:proofErr w:type="spellEnd"/>
      <w:r w:rsidRPr="005E3242">
        <w:rPr>
          <w:color w:val="auto"/>
          <w:lang w:val="en-US"/>
        </w:rPr>
        <w:t xml:space="preserve"> in patients below 18 years of age have not been established.</w:t>
      </w:r>
    </w:p>
    <w:p w14:paraId="4D45511F" w14:textId="6D450EBA" w:rsidR="00B1134D" w:rsidRPr="005E3242" w:rsidRDefault="00407592" w:rsidP="00C448E8">
      <w:pPr>
        <w:pStyle w:val="Heading3"/>
        <w:rPr>
          <w:color w:val="auto"/>
        </w:rPr>
      </w:pPr>
      <w:r w:rsidRPr="005E3242">
        <w:rPr>
          <w:color w:val="auto"/>
        </w:rPr>
        <w:t xml:space="preserve">Use in the </w:t>
      </w:r>
      <w:r w:rsidR="002D4E94">
        <w:rPr>
          <w:color w:val="auto"/>
        </w:rPr>
        <w:t>e</w:t>
      </w:r>
      <w:r w:rsidRPr="005E3242">
        <w:rPr>
          <w:color w:val="auto"/>
        </w:rPr>
        <w:t>lderly</w:t>
      </w:r>
    </w:p>
    <w:p w14:paraId="7745E92D" w14:textId="7761A894" w:rsidR="00125C47" w:rsidRPr="005E3242" w:rsidRDefault="00125C47" w:rsidP="00C448E8">
      <w:pPr>
        <w:rPr>
          <w:color w:val="auto"/>
          <w:lang w:val="en-US"/>
        </w:rPr>
      </w:pPr>
      <w:r w:rsidRPr="005E3242">
        <w:rPr>
          <w:color w:val="auto"/>
          <w:lang w:val="en-US"/>
        </w:rPr>
        <w:t xml:space="preserve">No overall differences in efficacy and safety of </w:t>
      </w:r>
      <w:proofErr w:type="spellStart"/>
      <w:r w:rsidR="00376F49">
        <w:rPr>
          <w:color w:val="auto"/>
          <w:lang w:val="en-US"/>
        </w:rPr>
        <w:t>Phesgo</w:t>
      </w:r>
      <w:proofErr w:type="spellEnd"/>
      <w:r w:rsidRPr="005E3242">
        <w:rPr>
          <w:color w:val="auto"/>
          <w:lang w:val="en-US"/>
        </w:rPr>
        <w:t xml:space="preserve"> </w:t>
      </w:r>
      <w:r w:rsidR="007E39F8">
        <w:rPr>
          <w:color w:val="auto"/>
          <w:lang w:val="en-US"/>
        </w:rPr>
        <w:t>were</w:t>
      </w:r>
      <w:r w:rsidR="007E39F8" w:rsidRPr="005E3242">
        <w:rPr>
          <w:color w:val="auto"/>
          <w:lang w:val="en-US"/>
        </w:rPr>
        <w:t xml:space="preserve"> </w:t>
      </w:r>
      <w:r w:rsidRPr="005E3242">
        <w:rPr>
          <w:color w:val="auto"/>
          <w:lang w:val="en-US"/>
        </w:rPr>
        <w:t xml:space="preserve">observed in patients ≥65 (n=26) and &lt;65 years of age (n=222). </w:t>
      </w:r>
    </w:p>
    <w:p w14:paraId="500F5829" w14:textId="77777777" w:rsidR="00125C47" w:rsidRPr="005E3242" w:rsidRDefault="00125C47" w:rsidP="00C448E8">
      <w:pPr>
        <w:rPr>
          <w:color w:val="auto"/>
          <w:lang w:val="en-US"/>
        </w:rPr>
      </w:pPr>
      <w:r w:rsidRPr="005E3242">
        <w:rPr>
          <w:color w:val="auto"/>
          <w:lang w:val="en-US"/>
        </w:rPr>
        <w:t xml:space="preserve"> </w:t>
      </w:r>
    </w:p>
    <w:p w14:paraId="1BCFD013" w14:textId="386AA13F" w:rsidR="00125C47" w:rsidRPr="005E3242" w:rsidRDefault="00125C47" w:rsidP="00C448E8">
      <w:pPr>
        <w:rPr>
          <w:color w:val="auto"/>
          <w:lang w:val="en-US"/>
        </w:rPr>
      </w:pPr>
      <w:r w:rsidRPr="005E3242">
        <w:rPr>
          <w:color w:val="auto"/>
          <w:lang w:val="en-US"/>
        </w:rPr>
        <w:t xml:space="preserve">However, with intravenous </w:t>
      </w:r>
      <w:proofErr w:type="spellStart"/>
      <w:r w:rsidRPr="005E3242">
        <w:rPr>
          <w:color w:val="auto"/>
          <w:lang w:val="en-US"/>
        </w:rPr>
        <w:t>pertuzumab</w:t>
      </w:r>
      <w:proofErr w:type="spellEnd"/>
      <w:r w:rsidRPr="005E3242">
        <w:rPr>
          <w:color w:val="auto"/>
          <w:lang w:val="en-US"/>
        </w:rPr>
        <w:t xml:space="preserve"> in combination with trastuzumab, the incidence of the following all grade adverse events were at least 5% higher in patients ≥65 years of age (n=418) compared to patients &lt;65 years of age (n=2926): decreased appetite, </w:t>
      </w:r>
      <w:proofErr w:type="spellStart"/>
      <w:r w:rsidRPr="005E3242">
        <w:rPr>
          <w:color w:val="auto"/>
          <w:lang w:val="en-US"/>
        </w:rPr>
        <w:t>an</w:t>
      </w:r>
      <w:r w:rsidR="00843E75">
        <w:rPr>
          <w:color w:val="auto"/>
          <w:lang w:val="en-US"/>
        </w:rPr>
        <w:t>a</w:t>
      </w:r>
      <w:r w:rsidRPr="005E3242">
        <w:rPr>
          <w:color w:val="auto"/>
          <w:lang w:val="en-US"/>
        </w:rPr>
        <w:t>emia</w:t>
      </w:r>
      <w:proofErr w:type="spellEnd"/>
      <w:r w:rsidRPr="005E3242">
        <w:rPr>
          <w:color w:val="auto"/>
          <w:lang w:val="en-US"/>
        </w:rPr>
        <w:t>, weight decreased, asthenia, dysgeusia, neuropathy peripheral, hypomagnes</w:t>
      </w:r>
      <w:r w:rsidR="00843E75">
        <w:rPr>
          <w:color w:val="auto"/>
          <w:lang w:val="en-US"/>
        </w:rPr>
        <w:t>a</w:t>
      </w:r>
      <w:r w:rsidRPr="005E3242">
        <w:rPr>
          <w:color w:val="auto"/>
          <w:lang w:val="en-US"/>
        </w:rPr>
        <w:t xml:space="preserve">emia and </w:t>
      </w:r>
      <w:proofErr w:type="spellStart"/>
      <w:r w:rsidRPr="005E3242">
        <w:rPr>
          <w:color w:val="auto"/>
          <w:lang w:val="en-US"/>
        </w:rPr>
        <w:t>diarrh</w:t>
      </w:r>
      <w:r w:rsidR="00843E75">
        <w:rPr>
          <w:color w:val="auto"/>
          <w:lang w:val="en-US"/>
        </w:rPr>
        <w:t>o</w:t>
      </w:r>
      <w:r w:rsidRPr="005E3242">
        <w:rPr>
          <w:color w:val="auto"/>
          <w:lang w:val="en-US"/>
        </w:rPr>
        <w:t>ea</w:t>
      </w:r>
      <w:proofErr w:type="spellEnd"/>
      <w:r w:rsidRPr="005E3242">
        <w:rPr>
          <w:color w:val="auto"/>
          <w:lang w:val="en-US"/>
        </w:rPr>
        <w:t>.</w:t>
      </w:r>
    </w:p>
    <w:p w14:paraId="0E6E2094" w14:textId="77777777" w:rsidR="00125C47" w:rsidRPr="00A32C4C" w:rsidRDefault="00125C47" w:rsidP="00C448E8">
      <w:pPr>
        <w:pStyle w:val="Heading3"/>
        <w:rPr>
          <w:color w:val="auto"/>
        </w:rPr>
      </w:pPr>
      <w:r w:rsidRPr="00A32C4C">
        <w:rPr>
          <w:color w:val="auto"/>
        </w:rPr>
        <w:t>Use in renal impairment</w:t>
      </w:r>
    </w:p>
    <w:p w14:paraId="31E47FAB" w14:textId="77777777" w:rsidR="0001463A" w:rsidRPr="00A32C4C" w:rsidRDefault="0001463A" w:rsidP="00C448E8">
      <w:pPr>
        <w:rPr>
          <w:color w:val="auto"/>
          <w:lang w:val="en-US"/>
        </w:rPr>
      </w:pPr>
      <w:r w:rsidRPr="00A32C4C">
        <w:rPr>
          <w:color w:val="auto"/>
          <w:lang w:val="en-US"/>
        </w:rPr>
        <w:t xml:space="preserve">No formal PK study of </w:t>
      </w:r>
      <w:proofErr w:type="spellStart"/>
      <w:r w:rsidR="00376F49" w:rsidRPr="00A32C4C">
        <w:rPr>
          <w:color w:val="auto"/>
          <w:lang w:val="en-US"/>
        </w:rPr>
        <w:t>Phesgo</w:t>
      </w:r>
      <w:proofErr w:type="spellEnd"/>
      <w:r w:rsidRPr="00A32C4C">
        <w:rPr>
          <w:color w:val="auto"/>
          <w:lang w:val="en-US"/>
        </w:rPr>
        <w:t xml:space="preserve"> has been conducted in patients with renal impairment. </w:t>
      </w:r>
    </w:p>
    <w:p w14:paraId="26029BEA" w14:textId="77777777" w:rsidR="0001463A" w:rsidRPr="00A32C4C" w:rsidRDefault="0001463A" w:rsidP="00C448E8">
      <w:pPr>
        <w:rPr>
          <w:color w:val="auto"/>
          <w:lang w:val="en-US"/>
        </w:rPr>
      </w:pPr>
    </w:p>
    <w:p w14:paraId="4D241CD9" w14:textId="001C5475" w:rsidR="0001463A" w:rsidRPr="00A32C4C" w:rsidRDefault="0001463A" w:rsidP="00C448E8">
      <w:pPr>
        <w:rPr>
          <w:color w:val="auto"/>
          <w:lang w:val="en-US"/>
        </w:rPr>
      </w:pPr>
      <w:r w:rsidRPr="00A32C4C">
        <w:rPr>
          <w:color w:val="auto"/>
          <w:lang w:val="en-US"/>
        </w:rPr>
        <w:t xml:space="preserve">Based on population PK analyses of </w:t>
      </w:r>
      <w:proofErr w:type="spellStart"/>
      <w:r w:rsidRPr="00A32C4C">
        <w:rPr>
          <w:color w:val="auto"/>
          <w:lang w:val="en-US"/>
        </w:rPr>
        <w:t>pertuzumab</w:t>
      </w:r>
      <w:proofErr w:type="spellEnd"/>
      <w:r w:rsidRPr="00A32C4C">
        <w:rPr>
          <w:color w:val="auto"/>
          <w:lang w:val="en-US"/>
        </w:rPr>
        <w:t xml:space="preserve"> within </w:t>
      </w:r>
      <w:proofErr w:type="spellStart"/>
      <w:r w:rsidR="00376F49" w:rsidRPr="00A32C4C">
        <w:rPr>
          <w:color w:val="auto"/>
          <w:lang w:val="en-US"/>
        </w:rPr>
        <w:t>Phesgo</w:t>
      </w:r>
      <w:proofErr w:type="spellEnd"/>
      <w:r w:rsidRPr="00A32C4C">
        <w:rPr>
          <w:color w:val="auto"/>
          <w:lang w:val="en-US"/>
        </w:rPr>
        <w:t xml:space="preserve"> and intravenous </w:t>
      </w:r>
      <w:proofErr w:type="spellStart"/>
      <w:r w:rsidRPr="00A32C4C">
        <w:rPr>
          <w:color w:val="auto"/>
          <w:lang w:val="en-US"/>
        </w:rPr>
        <w:t>pertuzumab</w:t>
      </w:r>
      <w:proofErr w:type="spellEnd"/>
      <w:r w:rsidRPr="00A32C4C">
        <w:rPr>
          <w:color w:val="auto"/>
          <w:lang w:val="en-US"/>
        </w:rPr>
        <w:t xml:space="preserve">, renal impairment was shown not to affect </w:t>
      </w:r>
      <w:proofErr w:type="spellStart"/>
      <w:r w:rsidRPr="00A32C4C">
        <w:rPr>
          <w:color w:val="auto"/>
          <w:lang w:val="en-US"/>
        </w:rPr>
        <w:t>pertuzumab</w:t>
      </w:r>
      <w:proofErr w:type="spellEnd"/>
      <w:r w:rsidRPr="00A32C4C">
        <w:rPr>
          <w:color w:val="auto"/>
          <w:lang w:val="en-US"/>
        </w:rPr>
        <w:t xml:space="preserve"> exposure; however, only limited data from patients with severe renal impairment were included in population PK analyses</w:t>
      </w:r>
      <w:r w:rsidR="007B417F">
        <w:rPr>
          <w:color w:val="auto"/>
          <w:lang w:val="en-US"/>
        </w:rPr>
        <w:t xml:space="preserve"> (see </w:t>
      </w:r>
      <w:r w:rsidR="007B417F" w:rsidRPr="00907813">
        <w:rPr>
          <w:i/>
          <w:color w:val="auto"/>
          <w:lang w:val="en-US"/>
        </w:rPr>
        <w:t>5.2 Pharmacokinetic properties</w:t>
      </w:r>
      <w:r w:rsidR="007B417F">
        <w:rPr>
          <w:color w:val="auto"/>
          <w:lang w:val="en-US"/>
        </w:rPr>
        <w:t>)</w:t>
      </w:r>
      <w:r w:rsidRPr="00A32C4C">
        <w:rPr>
          <w:color w:val="auto"/>
          <w:lang w:val="en-US"/>
        </w:rPr>
        <w:t>.</w:t>
      </w:r>
    </w:p>
    <w:p w14:paraId="7D739D8D" w14:textId="77777777" w:rsidR="0001463A" w:rsidRPr="00A32C4C" w:rsidRDefault="0001463A" w:rsidP="00C448E8">
      <w:pPr>
        <w:rPr>
          <w:color w:val="auto"/>
          <w:lang w:val="en-US"/>
        </w:rPr>
      </w:pPr>
    </w:p>
    <w:p w14:paraId="57701991" w14:textId="5A03055D" w:rsidR="00125C47" w:rsidRPr="00A32C4C" w:rsidRDefault="0001463A" w:rsidP="00C448E8">
      <w:pPr>
        <w:rPr>
          <w:color w:val="auto"/>
          <w:lang w:val="en-US"/>
        </w:rPr>
      </w:pPr>
      <w:r w:rsidRPr="00A32C4C">
        <w:rPr>
          <w:color w:val="auto"/>
          <w:lang w:val="en-US"/>
        </w:rPr>
        <w:t>In a population pharmacokinetic analysis of subcutaneous and intravenous trastuzumab, renal impairment was shown not to affect trastuzumab disposition</w:t>
      </w:r>
      <w:r w:rsidR="00843E75">
        <w:rPr>
          <w:color w:val="auto"/>
          <w:lang w:val="en-US"/>
        </w:rPr>
        <w:t>.</w:t>
      </w:r>
    </w:p>
    <w:p w14:paraId="0291A686" w14:textId="77777777" w:rsidR="00125C47" w:rsidRPr="00A32C4C" w:rsidRDefault="00125C47" w:rsidP="00C448E8">
      <w:pPr>
        <w:pStyle w:val="Heading3"/>
        <w:rPr>
          <w:color w:val="auto"/>
        </w:rPr>
      </w:pPr>
      <w:r w:rsidRPr="00A32C4C">
        <w:rPr>
          <w:color w:val="auto"/>
        </w:rPr>
        <w:t>Use in hepatic impairment</w:t>
      </w:r>
    </w:p>
    <w:p w14:paraId="28AE03CD" w14:textId="4305D576" w:rsidR="00125C47" w:rsidRPr="005E3242" w:rsidRDefault="0001463A" w:rsidP="00C448E8">
      <w:pPr>
        <w:rPr>
          <w:i/>
          <w:color w:val="auto"/>
        </w:rPr>
      </w:pPr>
      <w:r w:rsidRPr="00A32C4C">
        <w:rPr>
          <w:color w:val="auto"/>
          <w:lang w:val="en-US"/>
        </w:rPr>
        <w:t xml:space="preserve">The safety and efficacy of </w:t>
      </w:r>
      <w:proofErr w:type="spellStart"/>
      <w:r w:rsidR="00376F49" w:rsidRPr="00A32C4C">
        <w:rPr>
          <w:color w:val="auto"/>
          <w:lang w:val="en-US"/>
        </w:rPr>
        <w:t>Phesgo</w:t>
      </w:r>
      <w:proofErr w:type="spellEnd"/>
      <w:r w:rsidR="00125C47" w:rsidRPr="00A32C4C">
        <w:rPr>
          <w:color w:val="auto"/>
          <w:lang w:val="en-US"/>
        </w:rPr>
        <w:t xml:space="preserve"> in patients with hepatic impairment has not been studied</w:t>
      </w:r>
      <w:r w:rsidR="00843E75">
        <w:rPr>
          <w:color w:val="auto"/>
          <w:lang w:val="en-US"/>
        </w:rPr>
        <w:t>.</w:t>
      </w:r>
    </w:p>
    <w:p w14:paraId="36D48DE4" w14:textId="77777777" w:rsidR="00125C47" w:rsidRPr="00690083" w:rsidRDefault="00125C47" w:rsidP="00C448E8">
      <w:pPr>
        <w:pStyle w:val="Heading3"/>
        <w:rPr>
          <w:color w:val="auto"/>
        </w:rPr>
      </w:pPr>
      <w:r w:rsidRPr="00690083">
        <w:rPr>
          <w:color w:val="auto"/>
        </w:rPr>
        <w:t>Effect on laboratory tests</w:t>
      </w:r>
    </w:p>
    <w:p w14:paraId="21D7E207" w14:textId="7C236695" w:rsidR="00202A8C" w:rsidRPr="005E3242" w:rsidRDefault="00690083" w:rsidP="00C448E8">
      <w:pPr>
        <w:rPr>
          <w:color w:val="auto"/>
          <w:lang w:val="en-US"/>
        </w:rPr>
      </w:pPr>
      <w:r w:rsidRPr="00907813">
        <w:rPr>
          <w:color w:val="auto"/>
        </w:rPr>
        <w:t xml:space="preserve">See </w:t>
      </w:r>
      <w:r w:rsidRPr="00907813">
        <w:rPr>
          <w:i/>
          <w:color w:val="auto"/>
        </w:rPr>
        <w:t>4.8 Adverse effects (undesirable effects)</w:t>
      </w:r>
      <w:r w:rsidR="00843E75" w:rsidRPr="00907813">
        <w:rPr>
          <w:i/>
          <w:color w:val="auto"/>
        </w:rPr>
        <w:t>.</w:t>
      </w:r>
    </w:p>
    <w:p w14:paraId="2144A101" w14:textId="34EDD04A" w:rsidR="0001463A" w:rsidRDefault="00EC7D97" w:rsidP="00C448E8">
      <w:pPr>
        <w:pStyle w:val="Heading3"/>
      </w:pPr>
      <w:r>
        <w:t>Traceability</w:t>
      </w:r>
    </w:p>
    <w:p w14:paraId="2B16D537" w14:textId="15BC52FD" w:rsidR="0000582D" w:rsidRPr="00907813" w:rsidRDefault="0000582D" w:rsidP="00C448E8">
      <w:pPr>
        <w:rPr>
          <w:lang w:val="en-US"/>
        </w:rPr>
      </w:pPr>
      <w:proofErr w:type="gramStart"/>
      <w:r w:rsidRPr="005E3242">
        <w:rPr>
          <w:color w:val="auto"/>
          <w:lang w:val="en-US"/>
        </w:rPr>
        <w:t>In order to</w:t>
      </w:r>
      <w:proofErr w:type="gramEnd"/>
      <w:r w:rsidRPr="005E3242">
        <w:rPr>
          <w:color w:val="auto"/>
          <w:lang w:val="en-US"/>
        </w:rPr>
        <w:t xml:space="preserve"> improve traceability of biological medicinal products, the trade name and the batch number of the administered product should be clearly recorded in the patient file.</w:t>
      </w:r>
    </w:p>
    <w:p w14:paraId="60E15C62" w14:textId="77777777" w:rsidR="00D52399" w:rsidRPr="003048E9" w:rsidRDefault="00902EBE" w:rsidP="00C448E8">
      <w:pPr>
        <w:pStyle w:val="Heading2"/>
      </w:pPr>
      <w:r w:rsidRPr="005E3242">
        <w:t>4.5</w:t>
      </w:r>
      <w:r w:rsidRPr="005E3242">
        <w:tab/>
      </w:r>
      <w:r w:rsidRPr="003048E9">
        <w:t>INTERACTION</w:t>
      </w:r>
      <w:r w:rsidR="00177D8C" w:rsidRPr="003048E9">
        <w:t>S</w:t>
      </w:r>
      <w:r w:rsidRPr="003048E9">
        <w:t xml:space="preserve"> WITH OTHER MEDICINES AND OTHER FORMS OF INTERACTION</w:t>
      </w:r>
      <w:r w:rsidR="00177D8C" w:rsidRPr="003048E9">
        <w:t>S</w:t>
      </w:r>
    </w:p>
    <w:p w14:paraId="78143946" w14:textId="35C9A8BA" w:rsidR="007B417F" w:rsidRPr="00E40489" w:rsidRDefault="007B417F" w:rsidP="00C448E8">
      <w:r w:rsidRPr="007B417F">
        <w:t xml:space="preserve">Patients who receive anthracycline after stopping </w:t>
      </w:r>
      <w:proofErr w:type="spellStart"/>
      <w:r w:rsidRPr="007B417F">
        <w:t>Phesgo</w:t>
      </w:r>
      <w:proofErr w:type="spellEnd"/>
      <w:r w:rsidRPr="007B417F">
        <w:t xml:space="preserve"> may be at increased risk of cardiac dysfunction because of </w:t>
      </w:r>
      <w:proofErr w:type="spellStart"/>
      <w:r w:rsidRPr="007B417F">
        <w:t>Phesgo’s</w:t>
      </w:r>
      <w:proofErr w:type="spellEnd"/>
      <w:r w:rsidRPr="007B417F">
        <w:t xml:space="preserve"> long washout period (see </w:t>
      </w:r>
      <w:r w:rsidRPr="006B2154">
        <w:rPr>
          <w:i/>
        </w:rPr>
        <w:t xml:space="preserve">5.2 Pharmacodynamic properties </w:t>
      </w:r>
      <w:r w:rsidRPr="007B417F">
        <w:rPr>
          <w:i/>
        </w:rPr>
        <w:t>–</w:t>
      </w:r>
      <w:r w:rsidRPr="006B2154">
        <w:rPr>
          <w:i/>
        </w:rPr>
        <w:t xml:space="preserve"> Excretion</w:t>
      </w:r>
      <w:r w:rsidRPr="006B2154">
        <w:t>)</w:t>
      </w:r>
      <w:r w:rsidRPr="007B417F">
        <w:t xml:space="preserve">. If possible, avoid anthracycline-based therapy for up to 7 months after stopping </w:t>
      </w:r>
      <w:proofErr w:type="spellStart"/>
      <w:r w:rsidRPr="00E40489">
        <w:t>Phesgo</w:t>
      </w:r>
      <w:proofErr w:type="spellEnd"/>
      <w:r w:rsidRPr="00E40489">
        <w:t>. If anthracyclines are used, carefully monitor the patient’s cardiac function.</w:t>
      </w:r>
    </w:p>
    <w:p w14:paraId="3B1AF688" w14:textId="194E821B" w:rsidR="0001463A" w:rsidRDefault="0001463A" w:rsidP="00C448E8">
      <w:pPr>
        <w:rPr>
          <w:color w:val="auto"/>
        </w:rPr>
      </w:pPr>
    </w:p>
    <w:p w14:paraId="73E2178D" w14:textId="77777777" w:rsidR="00C448E8" w:rsidRPr="003048E9" w:rsidRDefault="00C448E8" w:rsidP="00C448E8">
      <w:pPr>
        <w:rPr>
          <w:color w:val="auto"/>
        </w:rPr>
      </w:pPr>
    </w:p>
    <w:p w14:paraId="14709521" w14:textId="3737987E" w:rsidR="0001463A" w:rsidRPr="005E3242" w:rsidRDefault="0001463A" w:rsidP="00C448E8">
      <w:pPr>
        <w:rPr>
          <w:color w:val="auto"/>
          <w:lang w:val="en-US"/>
        </w:rPr>
      </w:pPr>
    </w:p>
    <w:p w14:paraId="11D58683" w14:textId="2CCE3C9D" w:rsidR="0001463A" w:rsidRPr="005E3242" w:rsidRDefault="0001463A" w:rsidP="00C448E8">
      <w:pPr>
        <w:rPr>
          <w:color w:val="auto"/>
        </w:rPr>
      </w:pPr>
    </w:p>
    <w:p w14:paraId="4795F7E7" w14:textId="7C43D4B0" w:rsidR="00D52399" w:rsidRPr="005E3242" w:rsidRDefault="00902EBE" w:rsidP="00C448E8">
      <w:pPr>
        <w:pStyle w:val="Heading2"/>
        <w:spacing w:before="0"/>
        <w:rPr>
          <w:color w:val="auto"/>
        </w:rPr>
      </w:pPr>
      <w:r w:rsidRPr="005E3242">
        <w:rPr>
          <w:color w:val="auto"/>
        </w:rPr>
        <w:lastRenderedPageBreak/>
        <w:t>4.6</w:t>
      </w:r>
      <w:r w:rsidRPr="005E3242">
        <w:rPr>
          <w:color w:val="auto"/>
        </w:rPr>
        <w:tab/>
        <w:t>FERTILITY, PREGNANCY AND LACTATION</w:t>
      </w:r>
    </w:p>
    <w:p w14:paraId="3A93E083" w14:textId="77777777" w:rsidR="00A55405" w:rsidRPr="005E3242" w:rsidRDefault="00A55405" w:rsidP="00C448E8">
      <w:pPr>
        <w:pStyle w:val="Heading3"/>
        <w:rPr>
          <w:color w:val="auto"/>
          <w:lang w:val="en-GB"/>
        </w:rPr>
      </w:pPr>
      <w:r w:rsidRPr="005E3242">
        <w:rPr>
          <w:color w:val="auto"/>
          <w:lang w:val="en-GB"/>
        </w:rPr>
        <w:t>Effects on fertility</w:t>
      </w:r>
    </w:p>
    <w:p w14:paraId="076CD2C7" w14:textId="369455F9" w:rsidR="00ED1787" w:rsidRPr="00ED1787" w:rsidRDefault="002B0991" w:rsidP="00C448E8">
      <w:pPr>
        <w:rPr>
          <w:color w:val="auto"/>
          <w:lang w:val="en-US"/>
        </w:rPr>
      </w:pPr>
      <w:r w:rsidRPr="006B2154">
        <w:rPr>
          <w:lang w:val="en-AU"/>
        </w:rPr>
        <w:t xml:space="preserve">No </w:t>
      </w:r>
      <w:r w:rsidR="00C12A20">
        <w:rPr>
          <w:lang w:val="en-AU"/>
        </w:rPr>
        <w:t xml:space="preserve">specific </w:t>
      </w:r>
      <w:r w:rsidRPr="006B2154">
        <w:rPr>
          <w:lang w:val="en-AU"/>
        </w:rPr>
        <w:t xml:space="preserve">studies have been conducted </w:t>
      </w:r>
      <w:r w:rsidR="00E40489">
        <w:rPr>
          <w:lang w:val="en-AU"/>
        </w:rPr>
        <w:t>into the</w:t>
      </w:r>
      <w:r w:rsidRPr="006B2154">
        <w:rPr>
          <w:lang w:val="en-AU"/>
        </w:rPr>
        <w:t xml:space="preserve"> </w:t>
      </w:r>
      <w:r w:rsidR="00E40489">
        <w:rPr>
          <w:lang w:val="en-AU"/>
        </w:rPr>
        <w:t xml:space="preserve">effects of </w:t>
      </w:r>
      <w:r w:rsidRPr="006B2154">
        <w:rPr>
          <w:lang w:val="en-AU"/>
        </w:rPr>
        <w:t xml:space="preserve">the </w:t>
      </w:r>
      <w:proofErr w:type="spellStart"/>
      <w:r w:rsidRPr="006B2154">
        <w:rPr>
          <w:lang w:val="en-AU"/>
        </w:rPr>
        <w:t>pertuzumab</w:t>
      </w:r>
      <w:proofErr w:type="spellEnd"/>
      <w:r w:rsidRPr="006B2154">
        <w:rPr>
          <w:lang w:val="en-AU"/>
        </w:rPr>
        <w:t>/trastuzumab combination</w:t>
      </w:r>
      <w:r w:rsidR="00E40489">
        <w:rPr>
          <w:lang w:val="en-AU"/>
        </w:rPr>
        <w:t xml:space="preserve"> on fertility</w:t>
      </w:r>
      <w:r w:rsidR="00B467D3">
        <w:rPr>
          <w:lang w:val="en-AU"/>
        </w:rPr>
        <w:t>.</w:t>
      </w:r>
      <w:r w:rsidRPr="006B2154">
        <w:rPr>
          <w:lang w:val="en-AU"/>
        </w:rPr>
        <w:t xml:space="preserve"> </w:t>
      </w:r>
    </w:p>
    <w:p w14:paraId="74DECCB2" w14:textId="73B31316" w:rsidR="00ED1787" w:rsidRPr="00ED1787" w:rsidRDefault="00ED1787" w:rsidP="00C448E8">
      <w:pPr>
        <w:pStyle w:val="Heading4"/>
      </w:pPr>
      <w:proofErr w:type="spellStart"/>
      <w:r w:rsidRPr="00ED1787">
        <w:t>Pertuzumab</w:t>
      </w:r>
      <w:proofErr w:type="spellEnd"/>
    </w:p>
    <w:p w14:paraId="4BDE2A1B" w14:textId="130E8C54" w:rsidR="00ED1787" w:rsidRPr="00ED1787" w:rsidRDefault="00ED1787" w:rsidP="00C448E8">
      <w:pPr>
        <w:rPr>
          <w:color w:val="auto"/>
          <w:lang w:val="en-US"/>
        </w:rPr>
      </w:pPr>
      <w:r w:rsidRPr="00ED1787">
        <w:rPr>
          <w:color w:val="auto"/>
          <w:lang w:val="en-US"/>
        </w:rPr>
        <w:t xml:space="preserve">No adverse effects </w:t>
      </w:r>
      <w:r w:rsidR="00B467D3">
        <w:rPr>
          <w:color w:val="auto"/>
          <w:lang w:val="en-US"/>
        </w:rPr>
        <w:t xml:space="preserve">of IV </w:t>
      </w:r>
      <w:proofErr w:type="spellStart"/>
      <w:r w:rsidR="00B467D3">
        <w:rPr>
          <w:color w:val="auto"/>
          <w:lang w:val="en-US"/>
        </w:rPr>
        <w:t>pertuzumab</w:t>
      </w:r>
      <w:proofErr w:type="spellEnd"/>
      <w:r w:rsidR="00B467D3">
        <w:rPr>
          <w:color w:val="auto"/>
          <w:lang w:val="en-US"/>
        </w:rPr>
        <w:t xml:space="preserve"> </w:t>
      </w:r>
      <w:r w:rsidRPr="00ED1787">
        <w:rPr>
          <w:color w:val="auto"/>
          <w:lang w:val="en-US"/>
        </w:rPr>
        <w:t xml:space="preserve">on male and female reproductive organs were observed in repeat-dose toxicity studies of up to </w:t>
      </w:r>
      <w:proofErr w:type="gramStart"/>
      <w:r w:rsidRPr="00ED1787">
        <w:rPr>
          <w:color w:val="auto"/>
          <w:lang w:val="en-US"/>
        </w:rPr>
        <w:t>six month</w:t>
      </w:r>
      <w:proofErr w:type="gramEnd"/>
      <w:r w:rsidRPr="00ED1787">
        <w:rPr>
          <w:color w:val="auto"/>
          <w:lang w:val="en-US"/>
        </w:rPr>
        <w:t xml:space="preserve"> durati</w:t>
      </w:r>
      <w:r>
        <w:rPr>
          <w:color w:val="auto"/>
          <w:lang w:val="en-US"/>
        </w:rPr>
        <w:t>on in cynomolgus monkeys</w:t>
      </w:r>
      <w:r w:rsidRPr="00ED1787">
        <w:rPr>
          <w:color w:val="auto"/>
          <w:lang w:val="en-US"/>
        </w:rPr>
        <w:t>.</w:t>
      </w:r>
    </w:p>
    <w:p w14:paraId="25023A02" w14:textId="6CB5B55F" w:rsidR="00ED1787" w:rsidRPr="00ED1787" w:rsidRDefault="00ED1787" w:rsidP="00C448E8">
      <w:pPr>
        <w:pStyle w:val="Heading4"/>
      </w:pPr>
      <w:r w:rsidRPr="00ED1787">
        <w:t xml:space="preserve">Trastuzumab </w:t>
      </w:r>
    </w:p>
    <w:p w14:paraId="7AC74086" w14:textId="617A8188" w:rsidR="00ED1787" w:rsidRPr="00ED1787" w:rsidRDefault="000350AF" w:rsidP="00C448E8">
      <w:pPr>
        <w:rPr>
          <w:color w:val="auto"/>
          <w:lang w:val="en-US"/>
        </w:rPr>
      </w:pPr>
      <w:r w:rsidRPr="008C1903">
        <w:rPr>
          <w:iCs/>
        </w:rPr>
        <w:t xml:space="preserve">A study in female cynomolgus monkeys revealed no evidence of impaired fertility at IV trastuzumab doses up to 25 mg/kg twice weekly, corresponding to serum trough levels (serum </w:t>
      </w:r>
      <w:proofErr w:type="spellStart"/>
      <w:r w:rsidRPr="008C1903">
        <w:rPr>
          <w:iCs/>
        </w:rPr>
        <w:t>C</w:t>
      </w:r>
      <w:r w:rsidRPr="008C1903">
        <w:rPr>
          <w:iCs/>
          <w:vertAlign w:val="subscript"/>
        </w:rPr>
        <w:t>min</w:t>
      </w:r>
      <w:proofErr w:type="spellEnd"/>
      <w:r w:rsidRPr="008C1903">
        <w:rPr>
          <w:iCs/>
        </w:rPr>
        <w:t>) about 22 times higher than that in humans receiving the recommended 600 mg SC dose every 3 weeks. Additionally, no adverse effects on male and female reproductive organs were observed in repeat-dose toxicity studies of up to six month</w:t>
      </w:r>
      <w:r w:rsidR="004D7F6F">
        <w:rPr>
          <w:iCs/>
        </w:rPr>
        <w:t>s</w:t>
      </w:r>
      <w:r w:rsidRPr="008C1903">
        <w:rPr>
          <w:iCs/>
        </w:rPr>
        <w:t xml:space="preserve"> duration in cynomolgus monkeys</w:t>
      </w:r>
      <w:proofErr w:type="gramStart"/>
      <w:r w:rsidRPr="008C1903">
        <w:rPr>
          <w:iCs/>
        </w:rPr>
        <w:t xml:space="preserve">. </w:t>
      </w:r>
      <w:r w:rsidR="00ED1787">
        <w:rPr>
          <w:color w:val="auto"/>
          <w:lang w:val="en-US"/>
        </w:rPr>
        <w:t>.</w:t>
      </w:r>
      <w:proofErr w:type="gramEnd"/>
    </w:p>
    <w:p w14:paraId="77D04A3C" w14:textId="77777777" w:rsidR="00A55405" w:rsidRPr="005E3242" w:rsidRDefault="00A55405" w:rsidP="00C448E8">
      <w:pPr>
        <w:pStyle w:val="Heading3"/>
        <w:rPr>
          <w:color w:val="auto"/>
        </w:rPr>
      </w:pPr>
      <w:r w:rsidRPr="005E3242">
        <w:rPr>
          <w:color w:val="auto"/>
        </w:rPr>
        <w:t>Use in pregnancy - Category D</w:t>
      </w:r>
    </w:p>
    <w:p w14:paraId="0CBCE925" w14:textId="77777777" w:rsidR="00A55405" w:rsidRPr="00907813" w:rsidRDefault="00376F49" w:rsidP="00C448E8">
      <w:pPr>
        <w:rPr>
          <w:color w:val="auto"/>
          <w:lang w:val="en-US"/>
        </w:rPr>
      </w:pPr>
      <w:proofErr w:type="spellStart"/>
      <w:r w:rsidRPr="00907813">
        <w:rPr>
          <w:color w:val="auto"/>
          <w:lang w:val="en-US"/>
        </w:rPr>
        <w:t>Phesgo</w:t>
      </w:r>
      <w:proofErr w:type="spellEnd"/>
      <w:r w:rsidR="00A55405" w:rsidRPr="00907813">
        <w:rPr>
          <w:color w:val="auto"/>
          <w:lang w:val="en-US"/>
        </w:rPr>
        <w:t xml:space="preserve"> should be avoided during pregnancy unless the potential benefit for the mother outweighs the potential risk to the fetus. </w:t>
      </w:r>
    </w:p>
    <w:p w14:paraId="019E3E95" w14:textId="77777777" w:rsidR="004D7F6F" w:rsidRPr="00907813" w:rsidRDefault="004D7F6F" w:rsidP="00C448E8">
      <w:pPr>
        <w:rPr>
          <w:color w:val="auto"/>
          <w:lang w:val="en-US"/>
        </w:rPr>
      </w:pPr>
    </w:p>
    <w:p w14:paraId="2586750A" w14:textId="5FD8B303" w:rsidR="004D7F6F" w:rsidRPr="00907813" w:rsidRDefault="004D7F6F" w:rsidP="00C448E8">
      <w:pPr>
        <w:rPr>
          <w:color w:val="auto"/>
          <w:lang w:val="en-US"/>
        </w:rPr>
      </w:pPr>
      <w:r w:rsidRPr="00907813">
        <w:rPr>
          <w:color w:val="auto"/>
          <w:lang w:val="en-US"/>
        </w:rPr>
        <w:t>Based on animal studies and post-marketing data</w:t>
      </w:r>
      <w:r w:rsidR="00E4373E" w:rsidRPr="00907813">
        <w:rPr>
          <w:color w:val="auto"/>
          <w:lang w:val="en-US"/>
        </w:rPr>
        <w:t xml:space="preserve"> (see below)</w:t>
      </w:r>
      <w:r w:rsidRPr="00907813">
        <w:rPr>
          <w:color w:val="auto"/>
          <w:lang w:val="en-US"/>
        </w:rPr>
        <w:t xml:space="preserve">, </w:t>
      </w:r>
      <w:proofErr w:type="spellStart"/>
      <w:r w:rsidRPr="00907813">
        <w:rPr>
          <w:color w:val="auto"/>
          <w:lang w:val="en-US"/>
        </w:rPr>
        <w:t>Phesgo</w:t>
      </w:r>
      <w:proofErr w:type="spellEnd"/>
      <w:r w:rsidRPr="00907813">
        <w:rPr>
          <w:color w:val="auto"/>
          <w:lang w:val="en-US"/>
        </w:rPr>
        <w:t xml:space="preserve"> has the potential to cause fetal harm when administered to a pregnant woman. Women who become pregnant should be advised of the possibility of harm to the fetus. If a pregnant woman is treated with </w:t>
      </w:r>
      <w:proofErr w:type="spellStart"/>
      <w:r w:rsidRPr="00907813">
        <w:rPr>
          <w:color w:val="auto"/>
          <w:lang w:val="en-US"/>
        </w:rPr>
        <w:t>Phesgo</w:t>
      </w:r>
      <w:proofErr w:type="spellEnd"/>
      <w:r w:rsidRPr="00907813">
        <w:rPr>
          <w:color w:val="auto"/>
          <w:lang w:val="en-US"/>
        </w:rPr>
        <w:t xml:space="preserve">, or if a patient becomes pregnant while receiving </w:t>
      </w:r>
      <w:proofErr w:type="spellStart"/>
      <w:r w:rsidRPr="00907813">
        <w:rPr>
          <w:color w:val="auto"/>
          <w:lang w:val="en-US"/>
        </w:rPr>
        <w:t>Phesgo</w:t>
      </w:r>
      <w:proofErr w:type="spellEnd"/>
      <w:r w:rsidRPr="00907813">
        <w:rPr>
          <w:color w:val="auto"/>
          <w:lang w:val="en-US"/>
        </w:rPr>
        <w:t xml:space="preserve"> or within 7 months following the last dose of </w:t>
      </w:r>
      <w:proofErr w:type="spellStart"/>
      <w:r w:rsidRPr="00907813">
        <w:rPr>
          <w:color w:val="auto"/>
          <w:lang w:val="en-US"/>
        </w:rPr>
        <w:t>Phesgo</w:t>
      </w:r>
      <w:proofErr w:type="spellEnd"/>
      <w:r w:rsidRPr="00907813">
        <w:rPr>
          <w:color w:val="auto"/>
          <w:lang w:val="en-US"/>
        </w:rPr>
        <w:t>, close monitoring by a multidisciplinary team is desirable.</w:t>
      </w:r>
    </w:p>
    <w:p w14:paraId="4648E1F8" w14:textId="77777777" w:rsidR="00A55405" w:rsidRPr="00907813" w:rsidRDefault="00A55405" w:rsidP="00C448E8">
      <w:pPr>
        <w:rPr>
          <w:color w:val="auto"/>
          <w:lang w:val="en-US"/>
        </w:rPr>
      </w:pPr>
    </w:p>
    <w:p w14:paraId="7511C367" w14:textId="433E292F" w:rsidR="00A55405" w:rsidRPr="00907813" w:rsidRDefault="00A55405" w:rsidP="00C448E8">
      <w:pPr>
        <w:rPr>
          <w:color w:val="auto"/>
          <w:lang w:val="en-US"/>
        </w:rPr>
      </w:pPr>
      <w:r w:rsidRPr="00907813">
        <w:rPr>
          <w:color w:val="auto"/>
          <w:lang w:val="en-US"/>
        </w:rPr>
        <w:t xml:space="preserve">No clinical studies of </w:t>
      </w:r>
      <w:proofErr w:type="spellStart"/>
      <w:r w:rsidR="00376F49" w:rsidRPr="00907813">
        <w:rPr>
          <w:color w:val="auto"/>
          <w:lang w:val="en-US"/>
        </w:rPr>
        <w:t>Phesgo</w:t>
      </w:r>
      <w:proofErr w:type="spellEnd"/>
      <w:r w:rsidR="004D7F6F" w:rsidRPr="00907813">
        <w:rPr>
          <w:color w:val="auto"/>
          <w:lang w:val="en-US"/>
        </w:rPr>
        <w:t xml:space="preserve">, </w:t>
      </w:r>
      <w:proofErr w:type="spellStart"/>
      <w:r w:rsidR="004D7F6F" w:rsidRPr="00907813">
        <w:rPr>
          <w:color w:val="auto"/>
          <w:lang w:val="en-US"/>
        </w:rPr>
        <w:t>pertuzumab</w:t>
      </w:r>
      <w:proofErr w:type="spellEnd"/>
      <w:r w:rsidR="004D7F6F" w:rsidRPr="00907813">
        <w:rPr>
          <w:color w:val="auto"/>
          <w:lang w:val="en-US"/>
        </w:rPr>
        <w:t xml:space="preserve"> or trastuzumab</w:t>
      </w:r>
      <w:r w:rsidRPr="00907813">
        <w:rPr>
          <w:color w:val="auto"/>
          <w:lang w:val="en-US"/>
        </w:rPr>
        <w:t xml:space="preserve"> in pregnant women have been performed. In the post-marketing setting, cases of fetal renal growth and/or function impairment in association with oligohydramnios, some of which resulted in fatal pulmonary hypoplasia of the fetus, have been reported in pregnant women</w:t>
      </w:r>
      <w:r w:rsidR="004D7F6F" w:rsidRPr="00907813">
        <w:rPr>
          <w:color w:val="auto"/>
          <w:lang w:val="en-US"/>
        </w:rPr>
        <w:t xml:space="preserve"> who received trastuzumab</w:t>
      </w:r>
      <w:r w:rsidRPr="00907813">
        <w:rPr>
          <w:color w:val="auto"/>
          <w:lang w:val="en-US"/>
        </w:rPr>
        <w:t>.</w:t>
      </w:r>
    </w:p>
    <w:p w14:paraId="6B06C7D8" w14:textId="4644CBF2" w:rsidR="002B0991" w:rsidRPr="00907813" w:rsidRDefault="002B0991" w:rsidP="00C448E8">
      <w:pPr>
        <w:rPr>
          <w:color w:val="auto"/>
          <w:lang w:val="en-US"/>
        </w:rPr>
      </w:pPr>
    </w:p>
    <w:p w14:paraId="7F617A55" w14:textId="42BECF15" w:rsidR="002313A5" w:rsidRPr="00907813" w:rsidRDefault="002B0991" w:rsidP="00C448E8">
      <w:pPr>
        <w:rPr>
          <w:iCs/>
          <w:color w:val="auto"/>
          <w:lang w:val="en-AU"/>
        </w:rPr>
      </w:pPr>
      <w:r w:rsidRPr="006B2154">
        <w:rPr>
          <w:iCs/>
          <w:color w:val="auto"/>
          <w:lang w:val="en-AU"/>
        </w:rPr>
        <w:t>No studies o</w:t>
      </w:r>
      <w:r w:rsidR="00202A8C" w:rsidRPr="00907813">
        <w:rPr>
          <w:iCs/>
          <w:color w:val="auto"/>
          <w:lang w:val="en-AU"/>
        </w:rPr>
        <w:t>f</w:t>
      </w:r>
      <w:r w:rsidRPr="006B2154">
        <w:rPr>
          <w:iCs/>
          <w:color w:val="auto"/>
          <w:lang w:val="en-AU"/>
        </w:rPr>
        <w:t xml:space="preserve"> effect</w:t>
      </w:r>
      <w:r w:rsidR="00202A8C" w:rsidRPr="00907813">
        <w:rPr>
          <w:iCs/>
          <w:color w:val="auto"/>
          <w:lang w:val="en-AU"/>
        </w:rPr>
        <w:t>s</w:t>
      </w:r>
      <w:r w:rsidRPr="006B2154">
        <w:rPr>
          <w:iCs/>
          <w:color w:val="auto"/>
          <w:lang w:val="en-AU"/>
        </w:rPr>
        <w:t xml:space="preserve"> on embryofetal development have been conducted with the </w:t>
      </w:r>
      <w:proofErr w:type="spellStart"/>
      <w:r w:rsidRPr="006B2154">
        <w:rPr>
          <w:iCs/>
          <w:color w:val="auto"/>
          <w:lang w:val="en-AU"/>
        </w:rPr>
        <w:t>pertuzumab</w:t>
      </w:r>
      <w:proofErr w:type="spellEnd"/>
      <w:r w:rsidRPr="006B2154">
        <w:rPr>
          <w:iCs/>
          <w:color w:val="auto"/>
          <w:lang w:val="en-AU"/>
        </w:rPr>
        <w:t>/trastuzumab combination.</w:t>
      </w:r>
      <w:r w:rsidR="002313A5" w:rsidRPr="00907813">
        <w:rPr>
          <w:iCs/>
          <w:color w:val="auto"/>
          <w:lang w:val="en-AU"/>
        </w:rPr>
        <w:t xml:space="preserve"> </w:t>
      </w:r>
    </w:p>
    <w:p w14:paraId="101936AC" w14:textId="77777777" w:rsidR="002313A5" w:rsidRPr="00907813" w:rsidRDefault="002313A5" w:rsidP="00C448E8">
      <w:pPr>
        <w:rPr>
          <w:iCs/>
          <w:color w:val="auto"/>
          <w:lang w:val="en-AU"/>
        </w:rPr>
      </w:pPr>
    </w:p>
    <w:p w14:paraId="5850E00C" w14:textId="6EE0C32E" w:rsidR="002B0991" w:rsidRPr="00907813" w:rsidRDefault="002313A5" w:rsidP="00C448E8">
      <w:pPr>
        <w:rPr>
          <w:color w:val="auto"/>
          <w:lang w:val="en-US"/>
        </w:rPr>
      </w:pPr>
      <w:r w:rsidRPr="00907813">
        <w:rPr>
          <w:color w:val="auto"/>
          <w:lang w:val="en-US"/>
        </w:rPr>
        <w:t xml:space="preserve">The safe use of </w:t>
      </w:r>
      <w:proofErr w:type="spellStart"/>
      <w:r w:rsidRPr="00907813">
        <w:rPr>
          <w:color w:val="auto"/>
          <w:lang w:val="en-US"/>
        </w:rPr>
        <w:t>Phesgo</w:t>
      </w:r>
      <w:proofErr w:type="spellEnd"/>
      <w:r w:rsidRPr="00907813">
        <w:rPr>
          <w:color w:val="auto"/>
          <w:lang w:val="en-US"/>
        </w:rPr>
        <w:t xml:space="preserve"> during </w:t>
      </w:r>
      <w:proofErr w:type="spellStart"/>
      <w:r w:rsidRPr="00907813">
        <w:rPr>
          <w:color w:val="auto"/>
          <w:lang w:val="en-US"/>
        </w:rPr>
        <w:t>labour</w:t>
      </w:r>
      <w:proofErr w:type="spellEnd"/>
      <w:r w:rsidRPr="00907813">
        <w:rPr>
          <w:color w:val="auto"/>
          <w:lang w:val="en-US"/>
        </w:rPr>
        <w:t xml:space="preserve"> and delivery has not been established.</w:t>
      </w:r>
    </w:p>
    <w:p w14:paraId="7E049ABA" w14:textId="5E1F8F72" w:rsidR="00D869B9" w:rsidRPr="00D721DF" w:rsidRDefault="002313A5" w:rsidP="00C448E8">
      <w:pPr>
        <w:pStyle w:val="Heading4"/>
        <w:rPr>
          <w:color w:val="auto"/>
        </w:rPr>
      </w:pPr>
      <w:r w:rsidRPr="00D721DF">
        <w:rPr>
          <w:color w:val="auto"/>
        </w:rPr>
        <w:t>Animal data</w:t>
      </w:r>
      <w:r w:rsidR="00C12A20" w:rsidRPr="00D721DF">
        <w:rPr>
          <w:color w:val="auto"/>
        </w:rPr>
        <w:t xml:space="preserve"> regarding use in pregnancy</w:t>
      </w:r>
    </w:p>
    <w:p w14:paraId="31697485" w14:textId="470F5318" w:rsidR="002313A5" w:rsidRPr="006B2154" w:rsidRDefault="002313A5" w:rsidP="00C448E8">
      <w:pPr>
        <w:pStyle w:val="Heading5"/>
        <w:rPr>
          <w:lang w:val="en-US"/>
        </w:rPr>
      </w:pPr>
      <w:proofErr w:type="spellStart"/>
      <w:r w:rsidRPr="006B2154">
        <w:rPr>
          <w:sz w:val="24"/>
          <w:lang w:val="en-US"/>
        </w:rPr>
        <w:t>Pertuzumab</w:t>
      </w:r>
      <w:proofErr w:type="spellEnd"/>
    </w:p>
    <w:p w14:paraId="1BBEBE92" w14:textId="57192B91" w:rsidR="00BA46B3" w:rsidRPr="00907813" w:rsidRDefault="00350728" w:rsidP="00C448E8">
      <w:pPr>
        <w:rPr>
          <w:color w:val="auto"/>
          <w:lang w:val="en-US"/>
        </w:rPr>
      </w:pPr>
      <w:r w:rsidRPr="00907813">
        <w:rPr>
          <w:iCs/>
          <w:color w:val="auto"/>
          <w:lang w:val="en-AU"/>
        </w:rPr>
        <w:t xml:space="preserve">Pregnant cynomolgus monkeys were treated on Gestational Day (GD) 19 with loading doses of 30 to 150 mg/kg </w:t>
      </w:r>
      <w:proofErr w:type="spellStart"/>
      <w:r w:rsidRPr="00907813">
        <w:rPr>
          <w:iCs/>
          <w:color w:val="auto"/>
          <w:lang w:val="en-AU"/>
        </w:rPr>
        <w:t>pertuzumab</w:t>
      </w:r>
      <w:proofErr w:type="spellEnd"/>
      <w:r w:rsidRPr="00907813">
        <w:rPr>
          <w:iCs/>
          <w:color w:val="auto"/>
          <w:lang w:val="en-AU"/>
        </w:rPr>
        <w:t xml:space="preserve">, followed by bi-weekly doses of 10 to 100 mg/kg. These dose levels resulted in clinically relevant exposures of 2.5 to 20-fold greater than exposures in humans receiving the recommended dose, based on </w:t>
      </w:r>
      <w:proofErr w:type="spellStart"/>
      <w:r w:rsidRPr="00907813">
        <w:rPr>
          <w:iCs/>
          <w:color w:val="auto"/>
          <w:lang w:val="en-AU"/>
        </w:rPr>
        <w:t>C</w:t>
      </w:r>
      <w:r w:rsidRPr="006B2154">
        <w:rPr>
          <w:iCs/>
          <w:color w:val="auto"/>
          <w:vertAlign w:val="subscript"/>
          <w:lang w:val="en-AU"/>
        </w:rPr>
        <w:t>max</w:t>
      </w:r>
      <w:proofErr w:type="spellEnd"/>
      <w:r w:rsidRPr="00907813">
        <w:rPr>
          <w:iCs/>
          <w:color w:val="auto"/>
          <w:lang w:val="en-AU"/>
        </w:rPr>
        <w:t xml:space="preserve">. Intravenous administration of </w:t>
      </w:r>
      <w:proofErr w:type="spellStart"/>
      <w:r w:rsidRPr="00907813">
        <w:rPr>
          <w:iCs/>
          <w:color w:val="auto"/>
          <w:lang w:val="en-AU"/>
        </w:rPr>
        <w:t>pertuzumab</w:t>
      </w:r>
      <w:proofErr w:type="spellEnd"/>
      <w:r w:rsidRPr="00907813">
        <w:rPr>
          <w:iCs/>
          <w:color w:val="auto"/>
          <w:lang w:val="en-AU"/>
        </w:rPr>
        <w:t xml:space="preserve"> from GD19 through GD50 (period of organogenesis) was embryotoxic, with dose-dependent increases in embryo-</w:t>
      </w:r>
      <w:proofErr w:type="spellStart"/>
      <w:r w:rsidRPr="00907813">
        <w:rPr>
          <w:iCs/>
          <w:color w:val="auto"/>
          <w:lang w:val="en-AU"/>
        </w:rPr>
        <w:t>fetal</w:t>
      </w:r>
      <w:proofErr w:type="spellEnd"/>
      <w:r w:rsidRPr="00907813">
        <w:rPr>
          <w:iCs/>
          <w:color w:val="auto"/>
          <w:lang w:val="en-AU"/>
        </w:rPr>
        <w:t xml:space="preserve"> death between GD25 to GD70. The incidences of embryo-</w:t>
      </w:r>
      <w:proofErr w:type="spellStart"/>
      <w:r w:rsidRPr="00907813">
        <w:rPr>
          <w:iCs/>
          <w:color w:val="auto"/>
          <w:lang w:val="en-AU"/>
        </w:rPr>
        <w:t>fetal</w:t>
      </w:r>
      <w:proofErr w:type="spellEnd"/>
      <w:r w:rsidRPr="00907813">
        <w:rPr>
          <w:iCs/>
          <w:color w:val="auto"/>
          <w:lang w:val="en-AU"/>
        </w:rPr>
        <w:t xml:space="preserve"> loss were 33, 50, and 85%. At Caesarean section on GD100, oligohydramnios, decreased relative lung and kidney weights, and microscopic evidence of renal hypoplasia consistent with delayed renal development were identified in all </w:t>
      </w:r>
      <w:proofErr w:type="spellStart"/>
      <w:r w:rsidRPr="00907813">
        <w:rPr>
          <w:iCs/>
          <w:color w:val="auto"/>
          <w:lang w:val="en-AU"/>
        </w:rPr>
        <w:t>pertuzumab</w:t>
      </w:r>
      <w:proofErr w:type="spellEnd"/>
      <w:r w:rsidRPr="00907813">
        <w:rPr>
          <w:iCs/>
          <w:color w:val="auto"/>
          <w:lang w:val="en-AU"/>
        </w:rPr>
        <w:t xml:space="preserve"> dose groups. </w:t>
      </w:r>
      <w:proofErr w:type="spellStart"/>
      <w:r w:rsidRPr="00907813">
        <w:rPr>
          <w:iCs/>
          <w:color w:val="auto"/>
          <w:lang w:val="en-AU"/>
        </w:rPr>
        <w:lastRenderedPageBreak/>
        <w:t>Pertuzumab</w:t>
      </w:r>
      <w:proofErr w:type="spellEnd"/>
      <w:r w:rsidRPr="00907813">
        <w:rPr>
          <w:iCs/>
          <w:color w:val="auto"/>
          <w:lang w:val="en-AU"/>
        </w:rPr>
        <w:t xml:space="preserve"> exposure was reported in offspring from all treated groups, at levels of 29% to 40% of maternal serum levels at GD100.</w:t>
      </w:r>
    </w:p>
    <w:p w14:paraId="7BDD2C26" w14:textId="7EBBFAE1" w:rsidR="00D869B9" w:rsidRPr="006B2154" w:rsidRDefault="00D869B9" w:rsidP="00C448E8">
      <w:pPr>
        <w:pStyle w:val="Heading5"/>
      </w:pPr>
      <w:r w:rsidRPr="006B2154">
        <w:rPr>
          <w:sz w:val="24"/>
        </w:rPr>
        <w:t>Trastuzumab</w:t>
      </w:r>
    </w:p>
    <w:p w14:paraId="5308309E" w14:textId="1A78A508" w:rsidR="00BA46B3" w:rsidRPr="00907813" w:rsidRDefault="00350728" w:rsidP="00C448E8">
      <w:pPr>
        <w:rPr>
          <w:color w:val="auto"/>
          <w:lang w:val="en-US"/>
        </w:rPr>
      </w:pPr>
      <w:r w:rsidRPr="00907813">
        <w:rPr>
          <w:color w:val="auto"/>
        </w:rPr>
        <w:t xml:space="preserve">In studies where intravenous trastuzumab was administered to pregnant cynomolgus monkeys during the period of organogenesis at doses up to 25 mg/kg given twice weekly (up to 25 times the recommended weekly human dose of 2 mg/kg), trastuzumab crossed the placental barrier during the early (Gestation Days 20 to 50) and late (Gestation Days 120 to 150) phases of gestation. The resulting concentrations of trastuzumab in </w:t>
      </w:r>
      <w:proofErr w:type="spellStart"/>
      <w:r w:rsidRPr="00907813">
        <w:rPr>
          <w:color w:val="auto"/>
        </w:rPr>
        <w:t>fetal</w:t>
      </w:r>
      <w:proofErr w:type="spellEnd"/>
      <w:r w:rsidRPr="00907813">
        <w:rPr>
          <w:color w:val="auto"/>
        </w:rPr>
        <w:t xml:space="preserve"> serum and amniotic fluid were approximately 33% and 25%, respectively, of those present in the maternal serum but were not associated with adverse developmental effects.</w:t>
      </w:r>
    </w:p>
    <w:p w14:paraId="14F9EE68" w14:textId="77777777" w:rsidR="00D869B9" w:rsidRPr="00D721DF" w:rsidRDefault="00D869B9" w:rsidP="00C448E8">
      <w:pPr>
        <w:pStyle w:val="Heading5"/>
      </w:pPr>
      <w:proofErr w:type="spellStart"/>
      <w:r w:rsidRPr="006B2154">
        <w:rPr>
          <w:sz w:val="24"/>
        </w:rPr>
        <w:t>Vorhyaluronidase</w:t>
      </w:r>
      <w:proofErr w:type="spellEnd"/>
      <w:r w:rsidRPr="006B2154">
        <w:rPr>
          <w:sz w:val="24"/>
        </w:rPr>
        <w:t xml:space="preserve"> alfa </w:t>
      </w:r>
    </w:p>
    <w:p w14:paraId="5A69E832" w14:textId="7920AADE" w:rsidR="00350728" w:rsidRPr="00907813" w:rsidRDefault="00D869B9" w:rsidP="00C448E8">
      <w:pPr>
        <w:rPr>
          <w:iCs/>
          <w:color w:val="auto"/>
          <w:lang w:val="en-AU"/>
        </w:rPr>
      </w:pPr>
      <w:proofErr w:type="spellStart"/>
      <w:r w:rsidRPr="006B2154">
        <w:rPr>
          <w:iCs/>
          <w:color w:val="auto"/>
          <w:lang w:val="en-AU"/>
        </w:rPr>
        <w:t>Phesgo</w:t>
      </w:r>
      <w:proofErr w:type="spellEnd"/>
      <w:r w:rsidRPr="006B2154">
        <w:rPr>
          <w:iCs/>
          <w:color w:val="auto"/>
          <w:lang w:val="en-AU"/>
        </w:rPr>
        <w:t xml:space="preserve"> contains </w:t>
      </w:r>
      <w:proofErr w:type="spellStart"/>
      <w:r w:rsidRPr="006B2154">
        <w:rPr>
          <w:iCs/>
          <w:color w:val="auto"/>
          <w:lang w:val="en-AU"/>
        </w:rPr>
        <w:t>vorhyaluronidase</w:t>
      </w:r>
      <w:proofErr w:type="spellEnd"/>
      <w:r w:rsidRPr="006B2154">
        <w:rPr>
          <w:iCs/>
          <w:color w:val="auto"/>
          <w:lang w:val="en-AU"/>
        </w:rPr>
        <w:t xml:space="preserve"> alfa (see </w:t>
      </w:r>
      <w:r w:rsidRPr="00907813">
        <w:rPr>
          <w:i/>
          <w:iCs/>
          <w:color w:val="auto"/>
          <w:lang w:val="en-AU"/>
        </w:rPr>
        <w:t xml:space="preserve">6.1 List of </w:t>
      </w:r>
      <w:r w:rsidR="00202A8C" w:rsidRPr="006B2154">
        <w:rPr>
          <w:i/>
          <w:iCs/>
          <w:color w:val="auto"/>
          <w:lang w:val="en-AU"/>
        </w:rPr>
        <w:t>e</w:t>
      </w:r>
      <w:r w:rsidRPr="00907813">
        <w:rPr>
          <w:i/>
          <w:iCs/>
          <w:color w:val="auto"/>
          <w:lang w:val="en-AU"/>
        </w:rPr>
        <w:t>xcipients</w:t>
      </w:r>
      <w:r w:rsidRPr="006B2154">
        <w:rPr>
          <w:iCs/>
          <w:color w:val="auto"/>
          <w:lang w:val="en-AU"/>
        </w:rPr>
        <w:t xml:space="preserve">). </w:t>
      </w:r>
      <w:r w:rsidR="00350728" w:rsidRPr="00907813">
        <w:rPr>
          <w:iCs/>
          <w:color w:val="auto"/>
          <w:lang w:val="en-AU"/>
        </w:rPr>
        <w:t>In an embryo-</w:t>
      </w:r>
      <w:proofErr w:type="spellStart"/>
      <w:r w:rsidR="00350728" w:rsidRPr="00907813">
        <w:rPr>
          <w:iCs/>
          <w:color w:val="auto"/>
          <w:lang w:val="en-AU"/>
        </w:rPr>
        <w:t>fetal</w:t>
      </w:r>
      <w:proofErr w:type="spellEnd"/>
      <w:r w:rsidR="00350728" w:rsidRPr="00907813">
        <w:rPr>
          <w:iCs/>
          <w:color w:val="auto"/>
          <w:lang w:val="en-AU"/>
        </w:rPr>
        <w:t xml:space="preserve"> study, mice were dosed daily by subcutaneous injection during the period of organogenesis with hyaluronidase (recombinant human) at dose levels up to 2,200,000 U/kg, which is &gt;2400 and 3600 times higher than the recommended human loading and maintenance doses, respectively. The study found no evidence of teratogenicity. Reduced </w:t>
      </w:r>
      <w:proofErr w:type="spellStart"/>
      <w:r w:rsidR="00350728" w:rsidRPr="00907813">
        <w:rPr>
          <w:iCs/>
          <w:color w:val="auto"/>
          <w:lang w:val="en-AU"/>
        </w:rPr>
        <w:t>fetal</w:t>
      </w:r>
      <w:proofErr w:type="spellEnd"/>
      <w:r w:rsidR="00350728" w:rsidRPr="00907813">
        <w:rPr>
          <w:iCs/>
          <w:color w:val="auto"/>
          <w:lang w:val="en-AU"/>
        </w:rPr>
        <w:t xml:space="preserve"> weight and increased numbers of </w:t>
      </w:r>
      <w:proofErr w:type="spellStart"/>
      <w:r w:rsidR="00350728" w:rsidRPr="00907813">
        <w:rPr>
          <w:iCs/>
          <w:color w:val="auto"/>
          <w:lang w:val="en-AU"/>
        </w:rPr>
        <w:t>fetal</w:t>
      </w:r>
      <w:proofErr w:type="spellEnd"/>
      <w:r w:rsidR="00350728" w:rsidRPr="00907813">
        <w:rPr>
          <w:iCs/>
          <w:color w:val="auto"/>
          <w:lang w:val="en-AU"/>
        </w:rPr>
        <w:t xml:space="preserve"> resorptions were observed, with no effects found at a daily dose of 360,000 U/kg, which is &gt;400 and 600times higher than the human </w:t>
      </w:r>
      <w:r w:rsidR="002313A5" w:rsidRPr="00907813">
        <w:rPr>
          <w:iCs/>
          <w:color w:val="auto"/>
          <w:lang w:val="en-AU"/>
        </w:rPr>
        <w:t>loading and maintenance doses, respectively</w:t>
      </w:r>
      <w:r w:rsidR="00350728" w:rsidRPr="00907813">
        <w:rPr>
          <w:iCs/>
          <w:color w:val="auto"/>
          <w:lang w:val="en-AU"/>
        </w:rPr>
        <w:t>.</w:t>
      </w:r>
    </w:p>
    <w:p w14:paraId="28CBED00" w14:textId="77777777" w:rsidR="002313A5" w:rsidRPr="00907813" w:rsidRDefault="002313A5" w:rsidP="00C448E8">
      <w:pPr>
        <w:rPr>
          <w:iCs/>
          <w:color w:val="auto"/>
          <w:lang w:val="en-AU"/>
        </w:rPr>
      </w:pPr>
    </w:p>
    <w:p w14:paraId="2416EED5" w14:textId="3037971D" w:rsidR="00A55405" w:rsidRPr="00907813" w:rsidRDefault="00350728" w:rsidP="00C448E8">
      <w:pPr>
        <w:rPr>
          <w:color w:val="auto"/>
          <w:lang w:val="en-US"/>
        </w:rPr>
      </w:pPr>
      <w:r w:rsidRPr="00907813">
        <w:rPr>
          <w:iCs/>
          <w:color w:val="auto"/>
          <w:lang w:val="en-AU"/>
        </w:rPr>
        <w:t xml:space="preserve">In a peri-and post-natal reproduction study, mice </w:t>
      </w:r>
      <w:r w:rsidR="002313A5" w:rsidRPr="00907813">
        <w:rPr>
          <w:iCs/>
          <w:color w:val="auto"/>
          <w:lang w:val="en-AU"/>
        </w:rPr>
        <w:t>were</w:t>
      </w:r>
      <w:r w:rsidRPr="00907813">
        <w:rPr>
          <w:iCs/>
          <w:color w:val="auto"/>
          <w:lang w:val="en-AU"/>
        </w:rPr>
        <w:t xml:space="preserve"> dosed daily by subcutaneous injection, with hyaluronidase (recombinant human) from implantation through lactation and weaning at dose levels up to 1,100,000 U/kg, which is &gt;1,200 and 1,800, based on loading and maintenance doses, respectively, times higher than the human dose. The study found no adverse effects on sexual maturation, learning and memory or fertility of the offspring.</w:t>
      </w:r>
    </w:p>
    <w:p w14:paraId="72680661" w14:textId="62D6A652" w:rsidR="00371D98" w:rsidRPr="00D721DF" w:rsidDel="002313A5" w:rsidRDefault="007757B4" w:rsidP="00C448E8">
      <w:pPr>
        <w:pStyle w:val="Heading3"/>
      </w:pPr>
      <w:r w:rsidRPr="00D721DF" w:rsidDel="002313A5">
        <w:t>Contraception</w:t>
      </w:r>
    </w:p>
    <w:p w14:paraId="1BC9AC0E" w14:textId="47B4C671" w:rsidR="00A55405" w:rsidRPr="00907813" w:rsidDel="002313A5" w:rsidRDefault="00A55405" w:rsidP="00C448E8">
      <w:pPr>
        <w:rPr>
          <w:color w:val="auto"/>
          <w:lang w:val="en-US"/>
        </w:rPr>
      </w:pPr>
      <w:r w:rsidRPr="00907813" w:rsidDel="002313A5">
        <w:rPr>
          <w:color w:val="auto"/>
          <w:lang w:val="en-US"/>
        </w:rPr>
        <w:t xml:space="preserve">Women of childbearing potential including those who are partners of male patients should use effective contraception during treatment with </w:t>
      </w:r>
      <w:proofErr w:type="spellStart"/>
      <w:r w:rsidR="00191B0B" w:rsidRPr="00907813" w:rsidDel="002313A5">
        <w:rPr>
          <w:color w:val="auto"/>
          <w:lang w:val="en-US"/>
        </w:rPr>
        <w:t>Phesgo</w:t>
      </w:r>
      <w:proofErr w:type="spellEnd"/>
      <w:r w:rsidRPr="00907813" w:rsidDel="002313A5">
        <w:rPr>
          <w:color w:val="auto"/>
          <w:lang w:val="en-US"/>
        </w:rPr>
        <w:t xml:space="preserve"> and for 7 months following the last dose of </w:t>
      </w:r>
      <w:proofErr w:type="spellStart"/>
      <w:r w:rsidR="00191B0B" w:rsidRPr="00907813" w:rsidDel="002313A5">
        <w:rPr>
          <w:color w:val="auto"/>
          <w:lang w:val="en-US"/>
        </w:rPr>
        <w:t>Phesgo</w:t>
      </w:r>
      <w:proofErr w:type="spellEnd"/>
      <w:r w:rsidRPr="00907813" w:rsidDel="002313A5">
        <w:rPr>
          <w:color w:val="auto"/>
          <w:lang w:val="en-US"/>
        </w:rPr>
        <w:t>.</w:t>
      </w:r>
    </w:p>
    <w:p w14:paraId="22DA4F75" w14:textId="77777777" w:rsidR="00A55405" w:rsidRPr="00907813" w:rsidRDefault="00A55405" w:rsidP="00C448E8">
      <w:pPr>
        <w:pStyle w:val="Heading3"/>
        <w:rPr>
          <w:color w:val="auto"/>
        </w:rPr>
      </w:pPr>
      <w:r w:rsidRPr="00907813">
        <w:rPr>
          <w:color w:val="auto"/>
        </w:rPr>
        <w:t>Use in lactation</w:t>
      </w:r>
    </w:p>
    <w:p w14:paraId="2C270217" w14:textId="386895B4" w:rsidR="00A55405" w:rsidRDefault="00371D98" w:rsidP="00C448E8">
      <w:pPr>
        <w:rPr>
          <w:color w:val="auto"/>
          <w:lang w:val="en-US"/>
        </w:rPr>
      </w:pPr>
      <w:r w:rsidRPr="005E3242">
        <w:rPr>
          <w:color w:val="auto"/>
          <w:lang w:val="en-US"/>
        </w:rPr>
        <w:t xml:space="preserve">As human IgG is excreted in human milk, and the potential for absorption and harm to the infant is unknown, women should be advised to discontinue nursing during </w:t>
      </w:r>
      <w:proofErr w:type="spellStart"/>
      <w:r w:rsidR="00191B0B">
        <w:rPr>
          <w:color w:val="auto"/>
          <w:lang w:val="en-US"/>
        </w:rPr>
        <w:t>Phesgo</w:t>
      </w:r>
      <w:proofErr w:type="spellEnd"/>
      <w:r w:rsidRPr="005E3242">
        <w:rPr>
          <w:color w:val="auto"/>
          <w:lang w:val="en-US"/>
        </w:rPr>
        <w:t xml:space="preserve"> therapy and for 7 months after the last dose of </w:t>
      </w:r>
      <w:proofErr w:type="spellStart"/>
      <w:r w:rsidR="00191B0B">
        <w:rPr>
          <w:color w:val="auto"/>
          <w:lang w:val="en-US"/>
        </w:rPr>
        <w:t>Phesgo</w:t>
      </w:r>
      <w:proofErr w:type="spellEnd"/>
      <w:r w:rsidR="00D869B9">
        <w:rPr>
          <w:color w:val="auto"/>
          <w:lang w:val="en-US"/>
        </w:rPr>
        <w:t>.</w:t>
      </w:r>
    </w:p>
    <w:p w14:paraId="1F43FD26" w14:textId="66F20A09" w:rsidR="00D869B9" w:rsidRDefault="00D869B9" w:rsidP="00C448E8">
      <w:pPr>
        <w:rPr>
          <w:color w:val="auto"/>
          <w:lang w:val="en-US"/>
        </w:rPr>
      </w:pPr>
    </w:p>
    <w:p w14:paraId="1BF55292" w14:textId="77777777" w:rsidR="00E4373E" w:rsidRDefault="00D869B9" w:rsidP="00C448E8">
      <w:pPr>
        <w:rPr>
          <w:iCs/>
          <w:color w:val="auto"/>
          <w:lang w:val="en-AU"/>
        </w:rPr>
      </w:pPr>
      <w:r w:rsidRPr="008C1903">
        <w:rPr>
          <w:iCs/>
          <w:color w:val="auto"/>
          <w:lang w:val="en-AU"/>
        </w:rPr>
        <w:t xml:space="preserve">A study conducted in lactating cynomolgus monkeys dosed with IV trastuzumab at 25 mg/kg twice weekly (serum </w:t>
      </w:r>
      <w:proofErr w:type="spellStart"/>
      <w:r w:rsidRPr="008C1903">
        <w:rPr>
          <w:iCs/>
          <w:color w:val="auto"/>
          <w:lang w:val="en-AU"/>
        </w:rPr>
        <w:t>C</w:t>
      </w:r>
      <w:r w:rsidRPr="008C1903">
        <w:rPr>
          <w:iCs/>
          <w:color w:val="auto"/>
          <w:vertAlign w:val="subscript"/>
          <w:lang w:val="en-AU"/>
        </w:rPr>
        <w:t>min</w:t>
      </w:r>
      <w:proofErr w:type="spellEnd"/>
      <w:r w:rsidRPr="008C1903">
        <w:rPr>
          <w:iCs/>
          <w:color w:val="auto"/>
          <w:lang w:val="en-AU"/>
        </w:rPr>
        <w:t xml:space="preserve"> about 22 times higher than that in humans receiving the SC maintenance dose of 600 mg) demonstrated that trastuzumab is excreted in the milk. The presence of trastuzumab in the serum of infant monkeys was not associated with adverse effects on their growth or development from birth to 1 month of age. </w:t>
      </w:r>
    </w:p>
    <w:p w14:paraId="6F87E3E0" w14:textId="77777777" w:rsidR="00371D98" w:rsidRPr="005E3242" w:rsidRDefault="00371D98" w:rsidP="00C448E8"/>
    <w:p w14:paraId="4B3DF911" w14:textId="77777777" w:rsidR="00D52399" w:rsidRPr="005E3242" w:rsidRDefault="00902EBE" w:rsidP="00C448E8">
      <w:pPr>
        <w:pStyle w:val="Heading2"/>
        <w:spacing w:before="0"/>
        <w:rPr>
          <w:color w:val="auto"/>
        </w:rPr>
      </w:pPr>
      <w:r w:rsidRPr="005E3242">
        <w:rPr>
          <w:color w:val="auto"/>
        </w:rPr>
        <w:t>4.7</w:t>
      </w:r>
      <w:r w:rsidRPr="005E3242">
        <w:rPr>
          <w:color w:val="auto"/>
        </w:rPr>
        <w:tab/>
        <w:t>EFFECTS ON ABILITY TO DRIVE AND USE MACHINES</w:t>
      </w:r>
    </w:p>
    <w:p w14:paraId="2388E236" w14:textId="4C15D4B9" w:rsidR="00371D98" w:rsidRPr="005E3242" w:rsidRDefault="00191B0B" w:rsidP="00C448E8">
      <w:pPr>
        <w:rPr>
          <w:iCs/>
          <w:color w:val="auto"/>
          <w:lang w:val="en-US"/>
        </w:rPr>
      </w:pPr>
      <w:proofErr w:type="spellStart"/>
      <w:r>
        <w:rPr>
          <w:iCs/>
          <w:color w:val="auto"/>
          <w:lang w:val="en-US"/>
        </w:rPr>
        <w:t>Phesgo</w:t>
      </w:r>
      <w:proofErr w:type="spellEnd"/>
      <w:r w:rsidR="00371D98" w:rsidRPr="005E3242">
        <w:rPr>
          <w:iCs/>
          <w:color w:val="auto"/>
          <w:lang w:val="en-US"/>
        </w:rPr>
        <w:t xml:space="preserve"> </w:t>
      </w:r>
      <w:r w:rsidR="00C448E2">
        <w:rPr>
          <w:iCs/>
          <w:color w:val="auto"/>
          <w:lang w:val="en-US"/>
        </w:rPr>
        <w:t>could</w:t>
      </w:r>
      <w:r w:rsidR="00371D98" w:rsidRPr="005E3242">
        <w:rPr>
          <w:iCs/>
          <w:color w:val="auto"/>
          <w:lang w:val="en-US"/>
        </w:rPr>
        <w:t xml:space="preserve"> influence the ability to drive and use machines</w:t>
      </w:r>
      <w:r w:rsidR="00C448E2">
        <w:rPr>
          <w:iCs/>
          <w:color w:val="auto"/>
          <w:lang w:val="en-US"/>
        </w:rPr>
        <w:t xml:space="preserve"> as i</w:t>
      </w:r>
      <w:r w:rsidR="00371D98" w:rsidRPr="005E3242">
        <w:rPr>
          <w:iCs/>
          <w:color w:val="auto"/>
          <w:lang w:val="en-US"/>
        </w:rPr>
        <w:t xml:space="preserve">njection-related reactions and dizziness may occur during treatment with </w:t>
      </w:r>
      <w:proofErr w:type="spellStart"/>
      <w:r>
        <w:rPr>
          <w:iCs/>
          <w:color w:val="auto"/>
          <w:lang w:val="en-US"/>
        </w:rPr>
        <w:t>Phesgo</w:t>
      </w:r>
      <w:proofErr w:type="spellEnd"/>
      <w:r w:rsidR="00C448E2">
        <w:rPr>
          <w:iCs/>
          <w:color w:val="auto"/>
          <w:lang w:val="en-US"/>
        </w:rPr>
        <w:t>.</w:t>
      </w:r>
    </w:p>
    <w:p w14:paraId="555AEDB5" w14:textId="77777777" w:rsidR="00371D98" w:rsidRPr="005E3242" w:rsidRDefault="00371D98" w:rsidP="00C448E8">
      <w:pPr>
        <w:rPr>
          <w:color w:val="auto"/>
        </w:rPr>
      </w:pPr>
    </w:p>
    <w:p w14:paraId="103BE16F" w14:textId="77777777" w:rsidR="00C448E8" w:rsidRDefault="00C448E8" w:rsidP="00C448E8">
      <w:pPr>
        <w:pStyle w:val="Heading2"/>
        <w:spacing w:before="0"/>
        <w:rPr>
          <w:color w:val="auto"/>
        </w:rPr>
      </w:pPr>
    </w:p>
    <w:p w14:paraId="227B152E" w14:textId="77777777" w:rsidR="00C448E8" w:rsidRDefault="00C448E8" w:rsidP="00C448E8">
      <w:pPr>
        <w:pStyle w:val="Heading2"/>
        <w:spacing w:before="0"/>
        <w:rPr>
          <w:color w:val="auto"/>
        </w:rPr>
      </w:pPr>
    </w:p>
    <w:p w14:paraId="1C5E2C85" w14:textId="64441233" w:rsidR="00D52399" w:rsidRPr="005E3242" w:rsidRDefault="00902EBE" w:rsidP="00C448E8">
      <w:pPr>
        <w:pStyle w:val="Heading2"/>
        <w:spacing w:before="0"/>
        <w:rPr>
          <w:color w:val="auto"/>
        </w:rPr>
      </w:pPr>
      <w:r w:rsidRPr="005E3242">
        <w:rPr>
          <w:color w:val="auto"/>
        </w:rPr>
        <w:lastRenderedPageBreak/>
        <w:t>4.8</w:t>
      </w:r>
      <w:r w:rsidRPr="005E3242">
        <w:rPr>
          <w:color w:val="auto"/>
        </w:rPr>
        <w:tab/>
        <w:t>ADVERSE EFFECTS (UNDESIRABLE EFFECTS)</w:t>
      </w:r>
    </w:p>
    <w:p w14:paraId="0083DC73" w14:textId="127283AB" w:rsidR="00DF50F3" w:rsidRDefault="00DF50F3" w:rsidP="00C448E8">
      <w:pPr>
        <w:pStyle w:val="Heading3"/>
      </w:pPr>
      <w:r>
        <w:t>Summary of the safety profile</w:t>
      </w:r>
    </w:p>
    <w:p w14:paraId="7DB3BDE0" w14:textId="4E67D5DA" w:rsidR="00690083" w:rsidRPr="00690083" w:rsidRDefault="00690083" w:rsidP="00C448E8">
      <w:pPr>
        <w:rPr>
          <w:color w:val="auto"/>
          <w:lang w:val="en-US"/>
        </w:rPr>
      </w:pPr>
      <w:r w:rsidRPr="00690083">
        <w:rPr>
          <w:color w:val="auto"/>
          <w:lang w:val="en-US"/>
        </w:rPr>
        <w:t xml:space="preserve">The safety of PHESGO was evaluated in an open-label, </w:t>
      </w:r>
      <w:proofErr w:type="spellStart"/>
      <w:r w:rsidRPr="00690083">
        <w:rPr>
          <w:color w:val="auto"/>
          <w:lang w:val="en-US"/>
        </w:rPr>
        <w:t>multicent</w:t>
      </w:r>
      <w:r w:rsidR="00E75CDB">
        <w:rPr>
          <w:color w:val="auto"/>
          <w:lang w:val="en-US"/>
        </w:rPr>
        <w:t>re</w:t>
      </w:r>
      <w:proofErr w:type="spellEnd"/>
      <w:r w:rsidRPr="00690083">
        <w:rPr>
          <w:color w:val="auto"/>
          <w:lang w:val="en-US"/>
        </w:rPr>
        <w:t xml:space="preserve"> study (</w:t>
      </w:r>
      <w:r>
        <w:rPr>
          <w:color w:val="auto"/>
          <w:lang w:val="en-US"/>
        </w:rPr>
        <w:t>FEDERICA</w:t>
      </w:r>
      <w:r w:rsidRPr="00690083">
        <w:rPr>
          <w:color w:val="auto"/>
          <w:lang w:val="en-US"/>
        </w:rPr>
        <w:t xml:space="preserve">) </w:t>
      </w:r>
      <w:r>
        <w:rPr>
          <w:color w:val="auto"/>
          <w:lang w:val="en-US"/>
        </w:rPr>
        <w:t xml:space="preserve">in </w:t>
      </w:r>
      <w:r w:rsidR="0055709F">
        <w:rPr>
          <w:color w:val="auto"/>
          <w:lang w:val="en-US"/>
        </w:rPr>
        <w:t xml:space="preserve">which </w:t>
      </w:r>
      <w:r>
        <w:rPr>
          <w:color w:val="auto"/>
          <w:lang w:val="en-US"/>
        </w:rPr>
        <w:t>500 patients with HER2-</w:t>
      </w:r>
      <w:r w:rsidRPr="00690083">
        <w:rPr>
          <w:color w:val="auto"/>
          <w:lang w:val="en-US"/>
        </w:rPr>
        <w:t>overexpressing early</w:t>
      </w:r>
      <w:r>
        <w:rPr>
          <w:color w:val="auto"/>
          <w:lang w:val="en-US"/>
        </w:rPr>
        <w:t xml:space="preserve"> breast cancer </w:t>
      </w:r>
      <w:r w:rsidR="0055709F">
        <w:rPr>
          <w:color w:val="auto"/>
          <w:lang w:val="en-US"/>
        </w:rPr>
        <w:t xml:space="preserve">were </w:t>
      </w:r>
      <w:proofErr w:type="spellStart"/>
      <w:r w:rsidR="0055709F">
        <w:rPr>
          <w:color w:val="auto"/>
          <w:lang w:val="en-US"/>
        </w:rPr>
        <w:t>randomised</w:t>
      </w:r>
      <w:proofErr w:type="spellEnd"/>
      <w:r w:rsidR="0055709F">
        <w:rPr>
          <w:color w:val="auto"/>
          <w:lang w:val="en-US"/>
        </w:rPr>
        <w:t xml:space="preserve"> to receive either PHESGO or intravenous </w:t>
      </w:r>
      <w:proofErr w:type="spellStart"/>
      <w:r w:rsidR="0055709F">
        <w:rPr>
          <w:color w:val="auto"/>
          <w:lang w:val="en-US"/>
        </w:rPr>
        <w:t>pertuzumab</w:t>
      </w:r>
      <w:proofErr w:type="spellEnd"/>
      <w:r w:rsidR="0055709F">
        <w:rPr>
          <w:color w:val="auto"/>
          <w:lang w:val="en-US"/>
        </w:rPr>
        <w:t xml:space="preserve"> and trastuzumab in addition to neoadjuvant chemotherapy and as adjuvant therapy after surgery </w:t>
      </w:r>
      <w:r>
        <w:rPr>
          <w:color w:val="auto"/>
          <w:lang w:val="en-US"/>
        </w:rPr>
        <w:t xml:space="preserve">(see </w:t>
      </w:r>
      <w:r w:rsidRPr="006B2154">
        <w:rPr>
          <w:i/>
          <w:color w:val="auto"/>
          <w:lang w:val="en-US"/>
        </w:rPr>
        <w:t>5.1 Pharmacodynamic properties – Clinical trials</w:t>
      </w:r>
      <w:r>
        <w:rPr>
          <w:color w:val="auto"/>
          <w:lang w:val="en-US"/>
        </w:rPr>
        <w:t>)</w:t>
      </w:r>
      <w:r w:rsidRPr="00690083">
        <w:rPr>
          <w:color w:val="auto"/>
          <w:lang w:val="en-US"/>
        </w:rPr>
        <w:t>.</w:t>
      </w:r>
    </w:p>
    <w:p w14:paraId="1B604094" w14:textId="77777777" w:rsidR="00690083" w:rsidRDefault="00690083" w:rsidP="00C448E8">
      <w:pPr>
        <w:rPr>
          <w:color w:val="auto"/>
          <w:lang w:val="en-US"/>
        </w:rPr>
      </w:pPr>
    </w:p>
    <w:p w14:paraId="73882332" w14:textId="3391BD61" w:rsidR="00690083" w:rsidRDefault="00690083" w:rsidP="00C448E8">
      <w:pPr>
        <w:rPr>
          <w:color w:val="auto"/>
          <w:lang w:val="en-US"/>
        </w:rPr>
      </w:pPr>
      <w:r w:rsidRPr="00690083">
        <w:rPr>
          <w:color w:val="auto"/>
          <w:lang w:val="en-US"/>
        </w:rPr>
        <w:t xml:space="preserve">The median duration of treatment for PHESGO </w:t>
      </w:r>
      <w:r w:rsidR="0055709F">
        <w:rPr>
          <w:color w:val="auto"/>
          <w:lang w:val="en-US"/>
        </w:rPr>
        <w:t xml:space="preserve">amongst the 248 patients who received it </w:t>
      </w:r>
      <w:r w:rsidRPr="00690083">
        <w:rPr>
          <w:color w:val="auto"/>
          <w:lang w:val="en-US"/>
        </w:rPr>
        <w:t>was 24 weeks (range: 0-42 weeks).</w:t>
      </w:r>
    </w:p>
    <w:p w14:paraId="791AF9A4" w14:textId="77777777" w:rsidR="005428D2" w:rsidRPr="00690083" w:rsidRDefault="005428D2" w:rsidP="00C448E8">
      <w:pPr>
        <w:rPr>
          <w:color w:val="auto"/>
          <w:lang w:val="en-US"/>
        </w:rPr>
      </w:pPr>
    </w:p>
    <w:p w14:paraId="5203DB79" w14:textId="6827B64E" w:rsidR="0055709F" w:rsidRDefault="00690083" w:rsidP="00C448E8">
      <w:pPr>
        <w:rPr>
          <w:color w:val="auto"/>
          <w:lang w:val="en-US"/>
        </w:rPr>
      </w:pPr>
      <w:r w:rsidRPr="00690083">
        <w:rPr>
          <w:color w:val="auto"/>
          <w:lang w:val="en-US"/>
        </w:rPr>
        <w:t>Serious adverse reactions occurred in 16% of patients who received PHESGO. Serious adverse reactions in &gt;1% of patients included febrile neutropenia (4%), neutropenic sepsis (1%), and neutrophil count decreased (1%). One</w:t>
      </w:r>
      <w:r w:rsidR="0055709F">
        <w:rPr>
          <w:color w:val="auto"/>
          <w:lang w:val="en-US"/>
        </w:rPr>
        <w:t xml:space="preserve"> patient</w:t>
      </w:r>
      <w:r w:rsidRPr="00690083">
        <w:rPr>
          <w:color w:val="auto"/>
          <w:lang w:val="en-US"/>
        </w:rPr>
        <w:t xml:space="preserve"> </w:t>
      </w:r>
      <w:r w:rsidR="0055709F">
        <w:rPr>
          <w:color w:val="auto"/>
          <w:lang w:val="en-US"/>
        </w:rPr>
        <w:t xml:space="preserve">(0.4%) experienced a </w:t>
      </w:r>
      <w:r w:rsidRPr="00690083">
        <w:rPr>
          <w:color w:val="auto"/>
          <w:lang w:val="en-US"/>
        </w:rPr>
        <w:t>fatal adverse reaction</w:t>
      </w:r>
      <w:r w:rsidR="0055709F">
        <w:rPr>
          <w:color w:val="auto"/>
          <w:lang w:val="en-US"/>
        </w:rPr>
        <w:t xml:space="preserve"> (an</w:t>
      </w:r>
      <w:r w:rsidRPr="00690083">
        <w:rPr>
          <w:color w:val="auto"/>
          <w:lang w:val="en-US"/>
        </w:rPr>
        <w:t xml:space="preserve"> </w:t>
      </w:r>
      <w:r w:rsidR="0055709F">
        <w:rPr>
          <w:color w:val="auto"/>
          <w:lang w:val="en-US"/>
        </w:rPr>
        <w:t xml:space="preserve">acute myocardial infarction), but this </w:t>
      </w:r>
      <w:r w:rsidR="0055709F" w:rsidRPr="0055709F">
        <w:rPr>
          <w:color w:val="auto"/>
          <w:lang w:val="en-US"/>
        </w:rPr>
        <w:t>occu</w:t>
      </w:r>
      <w:r w:rsidR="0055709F">
        <w:rPr>
          <w:color w:val="auto"/>
          <w:lang w:val="en-US"/>
        </w:rPr>
        <w:t xml:space="preserve">rred prior to the start of </w:t>
      </w:r>
      <w:r w:rsidR="0055709F" w:rsidRPr="0055709F">
        <w:rPr>
          <w:color w:val="auto"/>
          <w:lang w:val="en-US"/>
        </w:rPr>
        <w:t>treatment with PHESGO.</w:t>
      </w:r>
    </w:p>
    <w:p w14:paraId="64F8F04A" w14:textId="77777777" w:rsidR="005428D2" w:rsidRPr="0055709F" w:rsidRDefault="005428D2" w:rsidP="00C448E8">
      <w:pPr>
        <w:rPr>
          <w:color w:val="auto"/>
          <w:lang w:val="en-US"/>
        </w:rPr>
      </w:pPr>
    </w:p>
    <w:p w14:paraId="79078639" w14:textId="69EF4505" w:rsidR="0055709F" w:rsidRPr="0055709F" w:rsidRDefault="0055709F" w:rsidP="00C448E8">
      <w:pPr>
        <w:rPr>
          <w:color w:val="auto"/>
          <w:lang w:val="en-US"/>
        </w:rPr>
      </w:pPr>
      <w:r w:rsidRPr="0055709F">
        <w:rPr>
          <w:color w:val="auto"/>
          <w:lang w:val="en-US"/>
        </w:rPr>
        <w:t>Adverse reactions resulting in permanent discontinuation of any study d</w:t>
      </w:r>
      <w:r w:rsidR="005428D2">
        <w:rPr>
          <w:color w:val="auto"/>
          <w:lang w:val="en-US"/>
        </w:rPr>
        <w:t>rug occurred in 8% of patients i</w:t>
      </w:r>
      <w:r w:rsidRPr="0055709F">
        <w:rPr>
          <w:color w:val="auto"/>
          <w:lang w:val="en-US"/>
        </w:rPr>
        <w:t>n the PHESGO arm. Adverse reactions which resulted in permanent discontinuation of PHESGO were ejection fraction decreased (1.2%), cardiac failure (0.8%), and pneumonitis/pulmonary fibrosis (0.8%).</w:t>
      </w:r>
    </w:p>
    <w:p w14:paraId="6ED4DC71" w14:textId="77777777" w:rsidR="00E64517" w:rsidRDefault="00E64517" w:rsidP="00C448E8">
      <w:pPr>
        <w:rPr>
          <w:color w:val="auto"/>
          <w:lang w:val="en-US"/>
        </w:rPr>
      </w:pPr>
    </w:p>
    <w:p w14:paraId="30B52DAC" w14:textId="68250244" w:rsidR="0055709F" w:rsidRDefault="0055709F" w:rsidP="00C448E8">
      <w:pPr>
        <w:rPr>
          <w:color w:val="auto"/>
          <w:lang w:val="en-US"/>
        </w:rPr>
      </w:pPr>
      <w:r w:rsidRPr="0055709F">
        <w:rPr>
          <w:color w:val="auto"/>
          <w:lang w:val="en-US"/>
        </w:rPr>
        <w:t>Dosage interruptions due to an adverse reaction occurred in 40% of patients who received PHESGO. Adverse reactions which re</w:t>
      </w:r>
      <w:r w:rsidR="005428D2">
        <w:rPr>
          <w:color w:val="auto"/>
          <w:lang w:val="en-US"/>
        </w:rPr>
        <w:t>quired dosage interruption in &gt;</w:t>
      </w:r>
      <w:r w:rsidRPr="0055709F">
        <w:rPr>
          <w:color w:val="auto"/>
          <w:lang w:val="en-US"/>
        </w:rPr>
        <w:t xml:space="preserve">1% of patients who received PHESGO included neutropenia (8%), neutrophil count decreased (4%), and </w:t>
      </w:r>
      <w:proofErr w:type="spellStart"/>
      <w:r w:rsidRPr="0055709F">
        <w:rPr>
          <w:color w:val="auto"/>
          <w:lang w:val="en-US"/>
        </w:rPr>
        <w:t>diarrh</w:t>
      </w:r>
      <w:r w:rsidR="005428D2">
        <w:rPr>
          <w:color w:val="auto"/>
          <w:lang w:val="en-US"/>
        </w:rPr>
        <w:t>o</w:t>
      </w:r>
      <w:r w:rsidRPr="0055709F">
        <w:rPr>
          <w:color w:val="auto"/>
          <w:lang w:val="en-US"/>
        </w:rPr>
        <w:t>ea</w:t>
      </w:r>
      <w:proofErr w:type="spellEnd"/>
      <w:r w:rsidRPr="0055709F">
        <w:rPr>
          <w:color w:val="auto"/>
          <w:lang w:val="en-US"/>
        </w:rPr>
        <w:t xml:space="preserve"> (7%).</w:t>
      </w:r>
    </w:p>
    <w:p w14:paraId="0E5FE07B" w14:textId="77777777" w:rsidR="005428D2" w:rsidRPr="0055709F" w:rsidRDefault="005428D2" w:rsidP="00C448E8">
      <w:pPr>
        <w:rPr>
          <w:color w:val="auto"/>
          <w:lang w:val="en-US"/>
        </w:rPr>
      </w:pPr>
    </w:p>
    <w:p w14:paraId="36277B7B" w14:textId="0961B12D" w:rsidR="00CC25DA" w:rsidRDefault="00F6227E" w:rsidP="00C448E8">
      <w:pPr>
        <w:rPr>
          <w:color w:val="auto"/>
          <w:lang w:val="en-US"/>
        </w:rPr>
      </w:pPr>
      <w:r>
        <w:rPr>
          <w:color w:val="auto"/>
          <w:lang w:val="en-US"/>
        </w:rPr>
        <w:fldChar w:fldCharType="begin"/>
      </w:r>
      <w:r>
        <w:rPr>
          <w:color w:val="auto"/>
          <w:lang w:val="en-US"/>
        </w:rPr>
        <w:instrText xml:space="preserve"> REF _Ref66710744 \h </w:instrText>
      </w:r>
      <w:r>
        <w:rPr>
          <w:color w:val="auto"/>
          <w:lang w:val="en-US"/>
        </w:rPr>
      </w:r>
      <w:r w:rsidR="00C448E8">
        <w:rPr>
          <w:color w:val="auto"/>
          <w:lang w:val="en-US"/>
        </w:rPr>
        <w:instrText xml:space="preserve"> \* MERGEFORMAT </w:instrText>
      </w:r>
      <w:r>
        <w:rPr>
          <w:color w:val="auto"/>
          <w:lang w:val="en-US"/>
        </w:rPr>
        <w:fldChar w:fldCharType="separate"/>
      </w:r>
      <w:r w:rsidR="00C840A1">
        <w:t xml:space="preserve">Table </w:t>
      </w:r>
      <w:r w:rsidR="00C840A1">
        <w:rPr>
          <w:noProof/>
        </w:rPr>
        <w:t>3</w:t>
      </w:r>
      <w:r>
        <w:rPr>
          <w:color w:val="auto"/>
          <w:lang w:val="en-US"/>
        </w:rPr>
        <w:fldChar w:fldCharType="end"/>
      </w:r>
      <w:r w:rsidR="0055709F" w:rsidRPr="0055709F">
        <w:rPr>
          <w:color w:val="auto"/>
          <w:lang w:val="en-US"/>
        </w:rPr>
        <w:t xml:space="preserve"> </w:t>
      </w:r>
      <w:r w:rsidR="005428D2">
        <w:rPr>
          <w:color w:val="auto"/>
          <w:lang w:val="en-US"/>
        </w:rPr>
        <w:t xml:space="preserve">and </w:t>
      </w:r>
      <w:r w:rsidR="00001BD4">
        <w:rPr>
          <w:color w:val="auto"/>
          <w:lang w:val="en-US"/>
        </w:rPr>
        <w:fldChar w:fldCharType="begin"/>
      </w:r>
      <w:r w:rsidR="00001BD4">
        <w:rPr>
          <w:color w:val="auto"/>
          <w:lang w:val="en-US"/>
        </w:rPr>
        <w:instrText xml:space="preserve"> REF _Ref66711668 \h </w:instrText>
      </w:r>
      <w:r w:rsidR="00001BD4">
        <w:rPr>
          <w:color w:val="auto"/>
          <w:lang w:val="en-US"/>
        </w:rPr>
      </w:r>
      <w:r w:rsidR="00C448E8">
        <w:rPr>
          <w:color w:val="auto"/>
          <w:lang w:val="en-US"/>
        </w:rPr>
        <w:instrText xml:space="preserve"> \* MERGEFORMAT </w:instrText>
      </w:r>
      <w:r w:rsidR="00001BD4">
        <w:rPr>
          <w:color w:val="auto"/>
          <w:lang w:val="en-US"/>
        </w:rPr>
        <w:fldChar w:fldCharType="separate"/>
      </w:r>
      <w:r w:rsidR="00C840A1">
        <w:t xml:space="preserve">Table </w:t>
      </w:r>
      <w:r w:rsidR="00C840A1">
        <w:rPr>
          <w:noProof/>
        </w:rPr>
        <w:t>4</w:t>
      </w:r>
      <w:r w:rsidR="00001BD4">
        <w:rPr>
          <w:color w:val="auto"/>
          <w:lang w:val="en-US"/>
        </w:rPr>
        <w:fldChar w:fldCharType="end"/>
      </w:r>
      <w:r w:rsidR="005428D2">
        <w:rPr>
          <w:color w:val="auto"/>
          <w:lang w:val="en-US"/>
        </w:rPr>
        <w:t xml:space="preserve"> </w:t>
      </w:r>
      <w:proofErr w:type="spellStart"/>
      <w:r w:rsidR="0055709F" w:rsidRPr="0055709F">
        <w:rPr>
          <w:color w:val="auto"/>
          <w:lang w:val="en-US"/>
        </w:rPr>
        <w:t>su</w:t>
      </w:r>
      <w:r w:rsidR="0055709F">
        <w:rPr>
          <w:color w:val="auto"/>
          <w:lang w:val="en-US"/>
        </w:rPr>
        <w:t>mmaris</w:t>
      </w:r>
      <w:r w:rsidR="0055709F" w:rsidRPr="0055709F">
        <w:rPr>
          <w:color w:val="auto"/>
          <w:lang w:val="en-US"/>
        </w:rPr>
        <w:t>e</w:t>
      </w:r>
      <w:proofErr w:type="spellEnd"/>
      <w:r w:rsidR="0055709F" w:rsidRPr="0055709F">
        <w:rPr>
          <w:color w:val="auto"/>
          <w:lang w:val="en-US"/>
        </w:rPr>
        <w:t xml:space="preserve"> the </w:t>
      </w:r>
      <w:r w:rsidR="005428D2">
        <w:rPr>
          <w:color w:val="auto"/>
          <w:lang w:val="en-US"/>
        </w:rPr>
        <w:t xml:space="preserve">most common </w:t>
      </w:r>
      <w:r w:rsidR="0055709F" w:rsidRPr="0055709F">
        <w:rPr>
          <w:color w:val="auto"/>
          <w:lang w:val="en-US"/>
        </w:rPr>
        <w:t xml:space="preserve">adverse </w:t>
      </w:r>
      <w:r w:rsidR="00DD7430">
        <w:rPr>
          <w:color w:val="auto"/>
          <w:lang w:val="en-US"/>
        </w:rPr>
        <w:t>events</w:t>
      </w:r>
      <w:r w:rsidR="00F117CC" w:rsidRPr="0055709F">
        <w:rPr>
          <w:color w:val="auto"/>
          <w:lang w:val="en-US"/>
        </w:rPr>
        <w:t xml:space="preserve"> </w:t>
      </w:r>
      <w:r w:rsidR="005428D2">
        <w:rPr>
          <w:color w:val="auto"/>
          <w:lang w:val="en-US"/>
        </w:rPr>
        <w:t xml:space="preserve">and laboratory abnormalities (worsening from baseline) seen </w:t>
      </w:r>
      <w:r w:rsidR="0055709F" w:rsidRPr="0055709F">
        <w:rPr>
          <w:color w:val="auto"/>
          <w:lang w:val="en-US"/>
        </w:rPr>
        <w:t xml:space="preserve">in </w:t>
      </w:r>
      <w:r w:rsidR="0055709F">
        <w:rPr>
          <w:color w:val="auto"/>
          <w:lang w:val="en-US"/>
        </w:rPr>
        <w:t>FEDERICA</w:t>
      </w:r>
      <w:r w:rsidR="005428D2">
        <w:rPr>
          <w:color w:val="auto"/>
          <w:lang w:val="en-US"/>
        </w:rPr>
        <w:t>: those with incidence of at least 5%</w:t>
      </w:r>
      <w:r w:rsidR="0055709F" w:rsidRPr="0055709F">
        <w:rPr>
          <w:color w:val="auto"/>
          <w:lang w:val="en-US"/>
        </w:rPr>
        <w:t>.</w:t>
      </w:r>
      <w:r w:rsidR="005428D2">
        <w:rPr>
          <w:color w:val="auto"/>
          <w:lang w:val="en-US"/>
        </w:rPr>
        <w:t xml:space="preserve"> </w:t>
      </w:r>
      <w:r w:rsidR="005428D2" w:rsidRPr="005428D2">
        <w:rPr>
          <w:color w:val="auto"/>
          <w:lang w:val="en-US"/>
        </w:rPr>
        <w:t xml:space="preserve">Clinically relevant </w:t>
      </w:r>
      <w:proofErr w:type="gramStart"/>
      <w:r w:rsidR="005428D2" w:rsidRPr="005428D2">
        <w:rPr>
          <w:color w:val="auto"/>
          <w:lang w:val="en-US"/>
        </w:rPr>
        <w:t xml:space="preserve">adverse </w:t>
      </w:r>
      <w:r w:rsidR="00BB6C2B">
        <w:rPr>
          <w:color w:val="auto"/>
          <w:lang w:val="en-US"/>
        </w:rPr>
        <w:t xml:space="preserve"> events</w:t>
      </w:r>
      <w:proofErr w:type="gramEnd"/>
      <w:r w:rsidR="00BB6C2B">
        <w:rPr>
          <w:color w:val="auto"/>
          <w:lang w:val="en-US"/>
        </w:rPr>
        <w:t xml:space="preserve"> </w:t>
      </w:r>
      <w:r w:rsidR="005428D2">
        <w:rPr>
          <w:color w:val="auto"/>
          <w:lang w:val="en-US"/>
        </w:rPr>
        <w:t xml:space="preserve">that occurred in less than </w:t>
      </w:r>
      <w:r w:rsidR="005428D2" w:rsidRPr="005428D2">
        <w:rPr>
          <w:color w:val="auto"/>
          <w:lang w:val="en-US"/>
        </w:rPr>
        <w:t>5% of patients who received PHESGO include ejection fraction decreased (3.6%) and pruritus (3.2%).</w:t>
      </w:r>
    </w:p>
    <w:p w14:paraId="21453018" w14:textId="77777777" w:rsidR="00CC25DA" w:rsidRDefault="00CC25DA" w:rsidP="00C448E8">
      <w:pPr>
        <w:rPr>
          <w:color w:val="auto"/>
          <w:lang w:val="en-US"/>
        </w:rPr>
      </w:pPr>
    </w:p>
    <w:p w14:paraId="6ACF77E9" w14:textId="02A0CE26" w:rsidR="00F6227E" w:rsidRDefault="00F6227E" w:rsidP="00C448E8">
      <w:pPr>
        <w:pStyle w:val="Caption"/>
        <w:keepNext/>
      </w:pPr>
      <w:bookmarkStart w:id="3" w:name="_Ref66710744"/>
      <w:r>
        <w:t xml:space="preserve">Table </w:t>
      </w:r>
      <w:r>
        <w:fldChar w:fldCharType="begin"/>
      </w:r>
      <w:r>
        <w:instrText xml:space="preserve"> SEQ Table \* ARABIC </w:instrText>
      </w:r>
      <w:r>
        <w:fldChar w:fldCharType="separate"/>
      </w:r>
      <w:r w:rsidR="00C840A1">
        <w:rPr>
          <w:noProof/>
        </w:rPr>
        <w:t>3</w:t>
      </w:r>
      <w:r>
        <w:fldChar w:fldCharType="end"/>
      </w:r>
      <w:bookmarkEnd w:id="3"/>
      <w:r>
        <w:t xml:space="preserve">: Adverse </w:t>
      </w:r>
      <w:r w:rsidR="00D3324E">
        <w:t>events</w:t>
      </w:r>
      <w:r>
        <w:t xml:space="preserve"> that occurred in at least 5% of patients who r</w:t>
      </w:r>
      <w:r w:rsidRPr="005428D2">
        <w:t xml:space="preserve">eceived PHESGO in </w:t>
      </w:r>
      <w:r>
        <w:t>FEDERICA</w:t>
      </w:r>
    </w:p>
    <w:tbl>
      <w:tblPr>
        <w:tblStyle w:val="TableGrid"/>
        <w:tblW w:w="0" w:type="auto"/>
        <w:tblInd w:w="0" w:type="dxa"/>
        <w:tblLook w:val="04A0" w:firstRow="1" w:lastRow="0" w:firstColumn="1" w:lastColumn="0" w:noHBand="0" w:noVBand="1"/>
      </w:tblPr>
      <w:tblGrid>
        <w:gridCol w:w="9016"/>
      </w:tblGrid>
      <w:tr w:rsidR="00F6227E" w14:paraId="22830955" w14:textId="77777777" w:rsidTr="00F6227E">
        <w:tc>
          <w:tcPr>
            <w:tcW w:w="9016" w:type="dxa"/>
          </w:tcPr>
          <w:p w14:paraId="130784EC" w14:textId="77777777" w:rsidR="00F6227E" w:rsidRDefault="00F6227E" w:rsidP="00C448E8">
            <w:pPr>
              <w:rPr>
                <w:lang w:val="en-US"/>
              </w:rPr>
            </w:pPr>
          </w:p>
        </w:tc>
      </w:tr>
    </w:tbl>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533"/>
        <w:gridCol w:w="1362"/>
        <w:gridCol w:w="1428"/>
        <w:gridCol w:w="1440"/>
      </w:tblGrid>
      <w:tr w:rsidR="00406434" w:rsidRPr="005F3E0B" w14:paraId="0D09F1DE" w14:textId="77777777" w:rsidTr="00721257">
        <w:trPr>
          <w:trHeight w:val="290"/>
          <w:tblHeader/>
        </w:trPr>
        <w:tc>
          <w:tcPr>
            <w:tcW w:w="3592" w:type="dxa"/>
            <w:shd w:val="clear" w:color="auto" w:fill="auto"/>
            <w:noWrap/>
            <w:vAlign w:val="bottom"/>
            <w:hideMark/>
          </w:tcPr>
          <w:p w14:paraId="33255AE0" w14:textId="644855C0" w:rsidR="00406434" w:rsidRPr="005F3E0B" w:rsidRDefault="00406434" w:rsidP="00C448E8">
            <w:pPr>
              <w:rPr>
                <w:lang w:eastAsia="ja-JP"/>
              </w:rPr>
            </w:pPr>
            <w:r w:rsidRPr="005F3E0B">
              <w:rPr>
                <w:b/>
                <w:lang w:bidi="x-none"/>
              </w:rPr>
              <w:t>Body System/Adverse Reactions</w:t>
            </w:r>
          </w:p>
        </w:tc>
        <w:tc>
          <w:tcPr>
            <w:tcW w:w="2895" w:type="dxa"/>
            <w:gridSpan w:val="2"/>
            <w:shd w:val="clear" w:color="auto" w:fill="auto"/>
            <w:noWrap/>
            <w:vAlign w:val="bottom"/>
            <w:hideMark/>
          </w:tcPr>
          <w:p w14:paraId="3B1C0DC8" w14:textId="77777777" w:rsidR="00406434" w:rsidRPr="005F3E0B" w:rsidRDefault="00406434" w:rsidP="00C448E8">
            <w:pPr>
              <w:autoSpaceDE w:val="0"/>
              <w:autoSpaceDN w:val="0"/>
              <w:adjustRightInd w:val="0"/>
              <w:rPr>
                <w:b/>
                <w:i/>
                <w:vertAlign w:val="superscript"/>
                <w:lang w:bidi="x-none"/>
              </w:rPr>
            </w:pPr>
            <w:r w:rsidRPr="005F3E0B">
              <w:rPr>
                <w:b/>
                <w:lang w:bidi="x-none"/>
              </w:rPr>
              <w:t>PHESGO</w:t>
            </w:r>
          </w:p>
          <w:p w14:paraId="3E49734B" w14:textId="77777777" w:rsidR="00406434" w:rsidRPr="005F3E0B" w:rsidRDefault="00406434" w:rsidP="00C448E8">
            <w:pPr>
              <w:autoSpaceDE w:val="0"/>
              <w:autoSpaceDN w:val="0"/>
              <w:adjustRightInd w:val="0"/>
              <w:rPr>
                <w:b/>
                <w:bCs/>
                <w:lang w:bidi="x-none"/>
              </w:rPr>
            </w:pPr>
            <w:r w:rsidRPr="005F3E0B">
              <w:rPr>
                <w:b/>
                <w:bCs/>
                <w:lang w:bidi="x-none"/>
              </w:rPr>
              <w:t>(n=248)</w:t>
            </w:r>
          </w:p>
          <w:p w14:paraId="22D8E295" w14:textId="77777777" w:rsidR="00406434" w:rsidRPr="005F3E0B" w:rsidRDefault="00406434" w:rsidP="00C448E8">
            <w:pPr>
              <w:autoSpaceDE w:val="0"/>
              <w:autoSpaceDN w:val="0"/>
              <w:adjustRightInd w:val="0"/>
              <w:rPr>
                <w:b/>
                <w:bCs/>
                <w:lang w:bidi="x-none"/>
              </w:rPr>
            </w:pPr>
          </w:p>
          <w:p w14:paraId="75793BE7" w14:textId="77777777" w:rsidR="00406434" w:rsidRPr="005F3E0B" w:rsidRDefault="00406434" w:rsidP="00C448E8">
            <w:pPr>
              <w:autoSpaceDE w:val="0"/>
              <w:autoSpaceDN w:val="0"/>
              <w:adjustRightInd w:val="0"/>
              <w:rPr>
                <w:b/>
                <w:bCs/>
                <w:lang w:bidi="x-none"/>
              </w:rPr>
            </w:pPr>
          </w:p>
          <w:p w14:paraId="46FBFB96" w14:textId="77777777" w:rsidR="00406434" w:rsidRPr="005F3E0B" w:rsidRDefault="00406434" w:rsidP="00C448E8">
            <w:pPr>
              <w:rPr>
                <w:lang w:eastAsia="ja-JP"/>
              </w:rPr>
            </w:pPr>
          </w:p>
        </w:tc>
        <w:tc>
          <w:tcPr>
            <w:tcW w:w="2868" w:type="dxa"/>
            <w:gridSpan w:val="2"/>
            <w:shd w:val="clear" w:color="auto" w:fill="auto"/>
            <w:noWrap/>
            <w:vAlign w:val="bottom"/>
            <w:hideMark/>
          </w:tcPr>
          <w:p w14:paraId="4BEF8E45" w14:textId="77777777" w:rsidR="00406434" w:rsidRPr="00554AAF" w:rsidRDefault="00406434" w:rsidP="00C448E8">
            <w:pPr>
              <w:spacing w:before="40" w:after="40"/>
              <w:rPr>
                <w:b/>
                <w:lang w:val="fr-FR" w:bidi="x-none"/>
              </w:rPr>
            </w:pPr>
            <w:proofErr w:type="spellStart"/>
            <w:r w:rsidRPr="00554AAF">
              <w:rPr>
                <w:b/>
                <w:lang w:val="fr-FR" w:bidi="x-none"/>
              </w:rPr>
              <w:t>Intravenous</w:t>
            </w:r>
            <w:proofErr w:type="spellEnd"/>
            <w:r w:rsidRPr="00554AAF">
              <w:rPr>
                <w:b/>
                <w:lang w:val="fr-FR" w:bidi="x-none"/>
              </w:rPr>
              <w:t xml:space="preserve"> </w:t>
            </w:r>
            <w:proofErr w:type="spellStart"/>
            <w:r w:rsidRPr="00554AAF">
              <w:rPr>
                <w:b/>
                <w:lang w:val="fr-FR" w:bidi="x-none"/>
              </w:rPr>
              <w:t>pertuzumab</w:t>
            </w:r>
            <w:proofErr w:type="spellEnd"/>
            <w:r w:rsidRPr="00554AAF">
              <w:rPr>
                <w:b/>
                <w:lang w:val="fr-FR" w:bidi="x-none"/>
              </w:rPr>
              <w:t xml:space="preserve"> </w:t>
            </w:r>
            <w:r w:rsidRPr="00554AAF">
              <w:rPr>
                <w:b/>
                <w:lang w:val="fr-FR" w:bidi="x-none"/>
              </w:rPr>
              <w:br/>
              <w:t>plus </w:t>
            </w:r>
            <w:proofErr w:type="spellStart"/>
            <w:r w:rsidRPr="00554AAF">
              <w:rPr>
                <w:b/>
                <w:lang w:val="fr-FR" w:bidi="x-none"/>
              </w:rPr>
              <w:t>intravenous</w:t>
            </w:r>
            <w:proofErr w:type="spellEnd"/>
            <w:r w:rsidRPr="00554AAF">
              <w:rPr>
                <w:b/>
                <w:lang w:val="fr-FR" w:bidi="x-none"/>
              </w:rPr>
              <w:t xml:space="preserve"> or </w:t>
            </w:r>
            <w:proofErr w:type="spellStart"/>
            <w:r w:rsidRPr="00554AAF">
              <w:rPr>
                <w:b/>
                <w:lang w:val="fr-FR" w:bidi="x-none"/>
              </w:rPr>
              <w:t>subcutaneous</w:t>
            </w:r>
            <w:proofErr w:type="spellEnd"/>
            <w:r w:rsidRPr="00554AAF">
              <w:rPr>
                <w:b/>
                <w:lang w:val="fr-FR" w:bidi="x-none"/>
              </w:rPr>
              <w:t xml:space="preserve"> trastuzumab </w:t>
            </w:r>
          </w:p>
          <w:p w14:paraId="4031D2AB" w14:textId="77777777" w:rsidR="00406434" w:rsidRPr="00554AAF" w:rsidRDefault="00406434" w:rsidP="00C448E8">
            <w:pPr>
              <w:autoSpaceDE w:val="0"/>
              <w:autoSpaceDN w:val="0"/>
              <w:adjustRightInd w:val="0"/>
              <w:rPr>
                <w:b/>
                <w:bCs/>
                <w:lang w:bidi="x-none"/>
              </w:rPr>
            </w:pPr>
            <w:r w:rsidRPr="00554AAF">
              <w:rPr>
                <w:b/>
                <w:bCs/>
                <w:lang w:val="fr-FR" w:bidi="x-none"/>
              </w:rPr>
              <w:t>(</w:t>
            </w:r>
            <w:proofErr w:type="gramStart"/>
            <w:r w:rsidRPr="00554AAF">
              <w:rPr>
                <w:b/>
                <w:bCs/>
                <w:lang w:bidi="x-none"/>
              </w:rPr>
              <w:t>n</w:t>
            </w:r>
            <w:proofErr w:type="gramEnd"/>
            <w:r w:rsidRPr="00554AAF">
              <w:rPr>
                <w:b/>
                <w:bCs/>
                <w:lang w:bidi="x-none"/>
              </w:rPr>
              <w:t>=252)</w:t>
            </w:r>
          </w:p>
          <w:p w14:paraId="526BCFA6" w14:textId="77777777" w:rsidR="00406434" w:rsidRPr="005F3E0B" w:rsidRDefault="00406434" w:rsidP="00C448E8">
            <w:pPr>
              <w:rPr>
                <w:lang w:eastAsia="ja-JP"/>
              </w:rPr>
            </w:pPr>
          </w:p>
        </w:tc>
      </w:tr>
      <w:tr w:rsidR="00406434" w:rsidRPr="005F3E0B" w14:paraId="7CCD8A96" w14:textId="77777777" w:rsidTr="00721257">
        <w:trPr>
          <w:trHeight w:val="290"/>
          <w:tblHeader/>
        </w:trPr>
        <w:tc>
          <w:tcPr>
            <w:tcW w:w="3592" w:type="dxa"/>
            <w:shd w:val="clear" w:color="auto" w:fill="auto"/>
            <w:noWrap/>
            <w:vAlign w:val="bottom"/>
            <w:hideMark/>
          </w:tcPr>
          <w:p w14:paraId="51908DF7" w14:textId="77777777" w:rsidR="00406434" w:rsidRPr="005F3E0B" w:rsidRDefault="00406434" w:rsidP="00C448E8">
            <w:pPr>
              <w:rPr>
                <w:lang w:eastAsia="ja-JP"/>
              </w:rPr>
            </w:pPr>
          </w:p>
        </w:tc>
        <w:tc>
          <w:tcPr>
            <w:tcW w:w="1533" w:type="dxa"/>
            <w:shd w:val="clear" w:color="auto" w:fill="auto"/>
            <w:noWrap/>
            <w:hideMark/>
          </w:tcPr>
          <w:p w14:paraId="31A31F0A" w14:textId="77777777" w:rsidR="00406434" w:rsidRPr="005F3E0B" w:rsidRDefault="00406434" w:rsidP="00C448E8">
            <w:pPr>
              <w:rPr>
                <w:lang w:eastAsia="ja-JP"/>
              </w:rPr>
            </w:pPr>
            <w:r w:rsidRPr="005F3E0B">
              <w:rPr>
                <w:b/>
                <w:lang w:eastAsia="de-DE" w:bidi="x-none"/>
              </w:rPr>
              <w:t xml:space="preserve">All </w:t>
            </w:r>
            <w:r w:rsidRPr="005F3E0B">
              <w:rPr>
                <w:b/>
                <w:lang w:eastAsia="de-DE" w:bidi="x-none"/>
              </w:rPr>
              <w:br/>
              <w:t xml:space="preserve">Grades </w:t>
            </w:r>
            <w:r w:rsidRPr="005F3E0B">
              <w:rPr>
                <w:b/>
                <w:lang w:eastAsia="de-DE" w:bidi="x-none"/>
              </w:rPr>
              <w:br/>
              <w:t>%</w:t>
            </w:r>
          </w:p>
        </w:tc>
        <w:tc>
          <w:tcPr>
            <w:tcW w:w="1362" w:type="dxa"/>
            <w:shd w:val="clear" w:color="auto" w:fill="auto"/>
            <w:noWrap/>
            <w:hideMark/>
          </w:tcPr>
          <w:p w14:paraId="59EA8219" w14:textId="77777777" w:rsidR="00406434" w:rsidRPr="005F3E0B" w:rsidRDefault="00406434" w:rsidP="00C448E8">
            <w:pPr>
              <w:rPr>
                <w:lang w:eastAsia="ja-JP"/>
              </w:rPr>
            </w:pPr>
            <w:r w:rsidRPr="005F3E0B">
              <w:rPr>
                <w:b/>
                <w:lang w:eastAsia="de-DE" w:bidi="x-none"/>
              </w:rPr>
              <w:t>Grades</w:t>
            </w:r>
            <w:r w:rsidRPr="005F3E0B">
              <w:rPr>
                <w:b/>
                <w:lang w:eastAsia="de-DE" w:bidi="x-none"/>
              </w:rPr>
              <w:br/>
              <w:t xml:space="preserve">3 – 4 </w:t>
            </w:r>
            <w:r w:rsidRPr="005F3E0B">
              <w:rPr>
                <w:b/>
                <w:lang w:eastAsia="de-DE" w:bidi="x-none"/>
              </w:rPr>
              <w:br/>
              <w:t>%</w:t>
            </w:r>
          </w:p>
        </w:tc>
        <w:tc>
          <w:tcPr>
            <w:tcW w:w="1428" w:type="dxa"/>
            <w:shd w:val="clear" w:color="auto" w:fill="auto"/>
            <w:noWrap/>
            <w:hideMark/>
          </w:tcPr>
          <w:p w14:paraId="148DCD28" w14:textId="77777777" w:rsidR="00406434" w:rsidRPr="005F3E0B" w:rsidRDefault="00406434" w:rsidP="00C448E8">
            <w:pPr>
              <w:rPr>
                <w:lang w:eastAsia="ja-JP"/>
              </w:rPr>
            </w:pPr>
            <w:r w:rsidRPr="005F3E0B">
              <w:rPr>
                <w:b/>
                <w:lang w:eastAsia="de-DE" w:bidi="x-none"/>
              </w:rPr>
              <w:t xml:space="preserve">All </w:t>
            </w:r>
            <w:r w:rsidRPr="005F3E0B">
              <w:rPr>
                <w:b/>
                <w:lang w:eastAsia="de-DE" w:bidi="x-none"/>
              </w:rPr>
              <w:br/>
              <w:t xml:space="preserve">Grades </w:t>
            </w:r>
            <w:r w:rsidRPr="005F3E0B">
              <w:rPr>
                <w:b/>
                <w:lang w:eastAsia="de-DE" w:bidi="x-none"/>
              </w:rPr>
              <w:br/>
              <w:t>%</w:t>
            </w:r>
          </w:p>
        </w:tc>
        <w:tc>
          <w:tcPr>
            <w:tcW w:w="1440" w:type="dxa"/>
            <w:shd w:val="clear" w:color="auto" w:fill="auto"/>
            <w:noWrap/>
            <w:hideMark/>
          </w:tcPr>
          <w:p w14:paraId="1F04235E" w14:textId="77777777" w:rsidR="00406434" w:rsidRPr="005F3E0B" w:rsidRDefault="00406434" w:rsidP="00C448E8">
            <w:pPr>
              <w:rPr>
                <w:lang w:eastAsia="ja-JP"/>
              </w:rPr>
            </w:pPr>
            <w:r w:rsidRPr="005F3E0B">
              <w:rPr>
                <w:b/>
                <w:lang w:eastAsia="de-DE" w:bidi="x-none"/>
              </w:rPr>
              <w:t>Grades</w:t>
            </w:r>
            <w:r w:rsidRPr="005F3E0B">
              <w:rPr>
                <w:b/>
                <w:lang w:eastAsia="de-DE" w:bidi="x-none"/>
              </w:rPr>
              <w:br/>
              <w:t xml:space="preserve">3 – 4 </w:t>
            </w:r>
            <w:r w:rsidRPr="005F3E0B">
              <w:rPr>
                <w:b/>
                <w:lang w:eastAsia="de-DE" w:bidi="x-none"/>
              </w:rPr>
              <w:br/>
              <w:t>%</w:t>
            </w:r>
          </w:p>
        </w:tc>
      </w:tr>
      <w:tr w:rsidR="00406434" w:rsidRPr="005F3E0B" w14:paraId="6D19AE08" w14:textId="77777777" w:rsidTr="00721257">
        <w:trPr>
          <w:trHeight w:val="290"/>
        </w:trPr>
        <w:tc>
          <w:tcPr>
            <w:tcW w:w="9355" w:type="dxa"/>
            <w:gridSpan w:val="5"/>
            <w:shd w:val="clear" w:color="auto" w:fill="auto"/>
            <w:noWrap/>
            <w:vAlign w:val="bottom"/>
            <w:hideMark/>
          </w:tcPr>
          <w:p w14:paraId="744A9A98" w14:textId="77777777" w:rsidR="00406434" w:rsidRPr="005F3E0B" w:rsidRDefault="00406434" w:rsidP="00C448E8">
            <w:pPr>
              <w:rPr>
                <w:lang w:eastAsia="ja-JP"/>
              </w:rPr>
            </w:pPr>
            <w:r w:rsidRPr="005F3E0B">
              <w:rPr>
                <w:b/>
                <w:lang w:eastAsia="ja-JP"/>
              </w:rPr>
              <w:t xml:space="preserve">Skin and subcutaneous tissue disorders   </w:t>
            </w:r>
          </w:p>
        </w:tc>
      </w:tr>
      <w:tr w:rsidR="00406434" w:rsidRPr="005F3E0B" w14:paraId="365E9A3E" w14:textId="77777777" w:rsidTr="00721257">
        <w:trPr>
          <w:trHeight w:val="290"/>
        </w:trPr>
        <w:tc>
          <w:tcPr>
            <w:tcW w:w="3592" w:type="dxa"/>
            <w:shd w:val="clear" w:color="auto" w:fill="auto"/>
            <w:noWrap/>
            <w:vAlign w:val="bottom"/>
            <w:hideMark/>
          </w:tcPr>
          <w:p w14:paraId="0D3649A4" w14:textId="77777777" w:rsidR="00406434" w:rsidRPr="005F3E0B" w:rsidRDefault="00406434" w:rsidP="00C448E8">
            <w:pPr>
              <w:rPr>
                <w:lang w:eastAsia="ja-JP"/>
              </w:rPr>
            </w:pPr>
            <w:r w:rsidRPr="005F3E0B">
              <w:rPr>
                <w:lang w:eastAsia="ja-JP"/>
              </w:rPr>
              <w:t>Alopecia</w:t>
            </w:r>
          </w:p>
        </w:tc>
        <w:tc>
          <w:tcPr>
            <w:tcW w:w="1533" w:type="dxa"/>
            <w:shd w:val="clear" w:color="auto" w:fill="auto"/>
            <w:noWrap/>
            <w:vAlign w:val="bottom"/>
            <w:hideMark/>
          </w:tcPr>
          <w:p w14:paraId="76B3DF3C" w14:textId="77777777" w:rsidR="00406434" w:rsidRPr="005F3E0B" w:rsidRDefault="00406434" w:rsidP="00C448E8">
            <w:pPr>
              <w:rPr>
                <w:lang w:eastAsia="ja-JP"/>
              </w:rPr>
            </w:pPr>
            <w:r w:rsidRPr="005F3E0B">
              <w:rPr>
                <w:lang w:eastAsia="ja-JP"/>
              </w:rPr>
              <w:t>77</w:t>
            </w:r>
          </w:p>
        </w:tc>
        <w:tc>
          <w:tcPr>
            <w:tcW w:w="1362" w:type="dxa"/>
            <w:shd w:val="clear" w:color="auto" w:fill="auto"/>
            <w:noWrap/>
            <w:vAlign w:val="bottom"/>
            <w:hideMark/>
          </w:tcPr>
          <w:p w14:paraId="6D87E5A6"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1181FE07" w14:textId="77777777" w:rsidR="00406434" w:rsidRPr="005F3E0B" w:rsidRDefault="00406434" w:rsidP="00C448E8">
            <w:pPr>
              <w:rPr>
                <w:lang w:eastAsia="ja-JP"/>
              </w:rPr>
            </w:pPr>
            <w:r w:rsidRPr="005F3E0B">
              <w:rPr>
                <w:lang w:eastAsia="ja-JP"/>
              </w:rPr>
              <w:t>71</w:t>
            </w:r>
          </w:p>
        </w:tc>
        <w:tc>
          <w:tcPr>
            <w:tcW w:w="1440" w:type="dxa"/>
            <w:shd w:val="clear" w:color="auto" w:fill="auto"/>
            <w:noWrap/>
            <w:vAlign w:val="bottom"/>
            <w:hideMark/>
          </w:tcPr>
          <w:p w14:paraId="42FB1B99" w14:textId="77777777" w:rsidR="00406434" w:rsidRPr="005F3E0B" w:rsidRDefault="00406434" w:rsidP="00C448E8">
            <w:pPr>
              <w:rPr>
                <w:lang w:eastAsia="ja-JP"/>
              </w:rPr>
            </w:pPr>
            <w:r w:rsidRPr="005F3E0B">
              <w:rPr>
                <w:lang w:eastAsia="ja-JP"/>
              </w:rPr>
              <w:t>0.4</w:t>
            </w:r>
          </w:p>
        </w:tc>
      </w:tr>
      <w:tr w:rsidR="00406434" w:rsidRPr="005F3E0B" w14:paraId="108B806A" w14:textId="77777777" w:rsidTr="00721257">
        <w:trPr>
          <w:trHeight w:val="290"/>
        </w:trPr>
        <w:tc>
          <w:tcPr>
            <w:tcW w:w="3592" w:type="dxa"/>
            <w:shd w:val="clear" w:color="auto" w:fill="auto"/>
            <w:noWrap/>
            <w:vAlign w:val="bottom"/>
            <w:hideMark/>
          </w:tcPr>
          <w:p w14:paraId="6650184F" w14:textId="77777777" w:rsidR="00406434" w:rsidRPr="005F3E0B" w:rsidRDefault="00406434" w:rsidP="00C448E8">
            <w:pPr>
              <w:rPr>
                <w:lang w:eastAsia="ja-JP"/>
              </w:rPr>
            </w:pPr>
            <w:r w:rsidRPr="005F3E0B">
              <w:rPr>
                <w:lang w:eastAsia="ja-JP"/>
              </w:rPr>
              <w:t>Dry skin</w:t>
            </w:r>
          </w:p>
        </w:tc>
        <w:tc>
          <w:tcPr>
            <w:tcW w:w="1533" w:type="dxa"/>
            <w:shd w:val="clear" w:color="auto" w:fill="auto"/>
            <w:noWrap/>
            <w:vAlign w:val="bottom"/>
            <w:hideMark/>
          </w:tcPr>
          <w:p w14:paraId="29C17C19" w14:textId="77777777" w:rsidR="00406434" w:rsidRPr="005F3E0B" w:rsidRDefault="00406434" w:rsidP="00C448E8">
            <w:pPr>
              <w:rPr>
                <w:lang w:eastAsia="ja-JP"/>
              </w:rPr>
            </w:pPr>
            <w:r w:rsidRPr="005F3E0B">
              <w:rPr>
                <w:lang w:eastAsia="ja-JP"/>
              </w:rPr>
              <w:t>15</w:t>
            </w:r>
          </w:p>
        </w:tc>
        <w:tc>
          <w:tcPr>
            <w:tcW w:w="1362" w:type="dxa"/>
            <w:shd w:val="clear" w:color="auto" w:fill="auto"/>
            <w:noWrap/>
            <w:vAlign w:val="bottom"/>
            <w:hideMark/>
          </w:tcPr>
          <w:p w14:paraId="7EC2860C"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079D78B1" w14:textId="77777777" w:rsidR="00406434" w:rsidRPr="005F3E0B" w:rsidRDefault="00406434" w:rsidP="00C448E8">
            <w:pPr>
              <w:rPr>
                <w:lang w:eastAsia="ja-JP"/>
              </w:rPr>
            </w:pPr>
            <w:r w:rsidRPr="005F3E0B">
              <w:rPr>
                <w:lang w:eastAsia="ja-JP"/>
              </w:rPr>
              <w:t>13</w:t>
            </w:r>
          </w:p>
        </w:tc>
        <w:tc>
          <w:tcPr>
            <w:tcW w:w="1440" w:type="dxa"/>
            <w:shd w:val="clear" w:color="auto" w:fill="auto"/>
            <w:noWrap/>
            <w:vAlign w:val="bottom"/>
            <w:hideMark/>
          </w:tcPr>
          <w:p w14:paraId="3F2BDB5E" w14:textId="77777777" w:rsidR="00406434" w:rsidRPr="005F3E0B" w:rsidRDefault="00406434" w:rsidP="00C448E8">
            <w:pPr>
              <w:rPr>
                <w:lang w:eastAsia="ja-JP"/>
              </w:rPr>
            </w:pPr>
            <w:r w:rsidRPr="005F3E0B">
              <w:rPr>
                <w:lang w:eastAsia="ja-JP"/>
              </w:rPr>
              <w:t>0</w:t>
            </w:r>
          </w:p>
        </w:tc>
      </w:tr>
      <w:tr w:rsidR="00406434" w:rsidRPr="005F3E0B" w14:paraId="589B41E3" w14:textId="77777777" w:rsidTr="00721257">
        <w:trPr>
          <w:trHeight w:val="290"/>
        </w:trPr>
        <w:tc>
          <w:tcPr>
            <w:tcW w:w="3592" w:type="dxa"/>
            <w:shd w:val="clear" w:color="auto" w:fill="auto"/>
            <w:noWrap/>
            <w:vAlign w:val="bottom"/>
            <w:hideMark/>
          </w:tcPr>
          <w:p w14:paraId="52CA1F20" w14:textId="77777777" w:rsidR="00406434" w:rsidRPr="005F3E0B" w:rsidRDefault="00406434" w:rsidP="00C448E8">
            <w:pPr>
              <w:rPr>
                <w:lang w:eastAsia="ja-JP"/>
              </w:rPr>
            </w:pPr>
            <w:r w:rsidRPr="005F3E0B">
              <w:rPr>
                <w:lang w:eastAsia="ja-JP"/>
              </w:rPr>
              <w:t>Rash</w:t>
            </w:r>
          </w:p>
        </w:tc>
        <w:tc>
          <w:tcPr>
            <w:tcW w:w="1533" w:type="dxa"/>
            <w:shd w:val="clear" w:color="auto" w:fill="auto"/>
            <w:noWrap/>
            <w:vAlign w:val="bottom"/>
            <w:hideMark/>
          </w:tcPr>
          <w:p w14:paraId="2F18E671" w14:textId="77777777" w:rsidR="00406434" w:rsidRPr="005F3E0B" w:rsidRDefault="00406434" w:rsidP="00C448E8">
            <w:pPr>
              <w:rPr>
                <w:lang w:eastAsia="ja-JP"/>
              </w:rPr>
            </w:pPr>
            <w:r w:rsidRPr="005F3E0B">
              <w:rPr>
                <w:lang w:eastAsia="ja-JP"/>
              </w:rPr>
              <w:t>16</w:t>
            </w:r>
          </w:p>
        </w:tc>
        <w:tc>
          <w:tcPr>
            <w:tcW w:w="1362" w:type="dxa"/>
            <w:shd w:val="clear" w:color="auto" w:fill="auto"/>
            <w:noWrap/>
            <w:vAlign w:val="bottom"/>
            <w:hideMark/>
          </w:tcPr>
          <w:p w14:paraId="694D5264"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565EC242" w14:textId="77777777" w:rsidR="00406434" w:rsidRPr="005F3E0B" w:rsidRDefault="00406434" w:rsidP="00C448E8">
            <w:pPr>
              <w:rPr>
                <w:lang w:eastAsia="ja-JP"/>
              </w:rPr>
            </w:pPr>
            <w:r w:rsidRPr="005F3E0B">
              <w:rPr>
                <w:lang w:eastAsia="ja-JP"/>
              </w:rPr>
              <w:t>21</w:t>
            </w:r>
          </w:p>
        </w:tc>
        <w:tc>
          <w:tcPr>
            <w:tcW w:w="1440" w:type="dxa"/>
            <w:shd w:val="clear" w:color="auto" w:fill="auto"/>
            <w:noWrap/>
            <w:vAlign w:val="bottom"/>
            <w:hideMark/>
          </w:tcPr>
          <w:p w14:paraId="0C4F4874" w14:textId="77777777" w:rsidR="00406434" w:rsidRPr="005F3E0B" w:rsidRDefault="00406434" w:rsidP="00C448E8">
            <w:pPr>
              <w:rPr>
                <w:lang w:eastAsia="ja-JP"/>
              </w:rPr>
            </w:pPr>
            <w:r w:rsidRPr="005F3E0B">
              <w:rPr>
                <w:lang w:eastAsia="ja-JP"/>
              </w:rPr>
              <w:t>0</w:t>
            </w:r>
          </w:p>
        </w:tc>
      </w:tr>
      <w:tr w:rsidR="00406434" w:rsidRPr="005F3E0B" w14:paraId="47C1357B" w14:textId="77777777" w:rsidTr="00721257">
        <w:trPr>
          <w:trHeight w:val="290"/>
        </w:trPr>
        <w:tc>
          <w:tcPr>
            <w:tcW w:w="3592" w:type="dxa"/>
            <w:shd w:val="clear" w:color="auto" w:fill="auto"/>
            <w:noWrap/>
            <w:vAlign w:val="bottom"/>
            <w:hideMark/>
          </w:tcPr>
          <w:p w14:paraId="573B80B3" w14:textId="0747E0FE" w:rsidR="00406434" w:rsidRPr="005F3E0B" w:rsidRDefault="00406434" w:rsidP="00C448E8">
            <w:pPr>
              <w:rPr>
                <w:lang w:eastAsia="ja-JP"/>
              </w:rPr>
            </w:pPr>
            <w:r w:rsidRPr="005F3E0B">
              <w:rPr>
                <w:lang w:eastAsia="ja-JP"/>
              </w:rPr>
              <w:lastRenderedPageBreak/>
              <w:t>Nail discolo</w:t>
            </w:r>
            <w:r w:rsidR="00D21305">
              <w:rPr>
                <w:lang w:eastAsia="ja-JP"/>
              </w:rPr>
              <w:t>u</w:t>
            </w:r>
            <w:r w:rsidRPr="005F3E0B">
              <w:rPr>
                <w:lang w:eastAsia="ja-JP"/>
              </w:rPr>
              <w:t>ration</w:t>
            </w:r>
          </w:p>
        </w:tc>
        <w:tc>
          <w:tcPr>
            <w:tcW w:w="1533" w:type="dxa"/>
            <w:shd w:val="clear" w:color="auto" w:fill="auto"/>
            <w:noWrap/>
            <w:vAlign w:val="bottom"/>
            <w:hideMark/>
          </w:tcPr>
          <w:p w14:paraId="20C527B3" w14:textId="77777777" w:rsidR="00406434" w:rsidRPr="005F3E0B" w:rsidRDefault="00406434" w:rsidP="00C448E8">
            <w:pPr>
              <w:rPr>
                <w:lang w:eastAsia="ja-JP"/>
              </w:rPr>
            </w:pPr>
            <w:r w:rsidRPr="005F3E0B">
              <w:rPr>
                <w:lang w:eastAsia="ja-JP"/>
              </w:rPr>
              <w:t>9</w:t>
            </w:r>
          </w:p>
        </w:tc>
        <w:tc>
          <w:tcPr>
            <w:tcW w:w="1362" w:type="dxa"/>
            <w:shd w:val="clear" w:color="auto" w:fill="auto"/>
            <w:noWrap/>
            <w:vAlign w:val="bottom"/>
            <w:hideMark/>
          </w:tcPr>
          <w:p w14:paraId="4690BB3E"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396C22B9"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047CEDF3" w14:textId="77777777" w:rsidR="00406434" w:rsidRPr="005F3E0B" w:rsidRDefault="00406434" w:rsidP="00C448E8">
            <w:pPr>
              <w:rPr>
                <w:lang w:eastAsia="ja-JP"/>
              </w:rPr>
            </w:pPr>
            <w:r w:rsidRPr="005F3E0B">
              <w:rPr>
                <w:lang w:eastAsia="ja-JP"/>
              </w:rPr>
              <w:t>0</w:t>
            </w:r>
          </w:p>
        </w:tc>
      </w:tr>
      <w:tr w:rsidR="00406434" w:rsidRPr="005F3E0B" w14:paraId="3C126E78" w14:textId="77777777" w:rsidTr="00721257">
        <w:trPr>
          <w:trHeight w:val="290"/>
        </w:trPr>
        <w:tc>
          <w:tcPr>
            <w:tcW w:w="3592" w:type="dxa"/>
            <w:shd w:val="clear" w:color="auto" w:fill="auto"/>
            <w:noWrap/>
            <w:vAlign w:val="bottom"/>
            <w:hideMark/>
          </w:tcPr>
          <w:p w14:paraId="5A2D7DFB" w14:textId="77777777" w:rsidR="00406434" w:rsidRPr="005F3E0B" w:rsidRDefault="00406434" w:rsidP="00C448E8">
            <w:pPr>
              <w:rPr>
                <w:lang w:eastAsia="ja-JP"/>
              </w:rPr>
            </w:pPr>
            <w:r w:rsidRPr="005F3E0B">
              <w:rPr>
                <w:lang w:eastAsia="ja-JP"/>
              </w:rPr>
              <w:t>Erythema</w:t>
            </w:r>
          </w:p>
        </w:tc>
        <w:tc>
          <w:tcPr>
            <w:tcW w:w="1533" w:type="dxa"/>
            <w:shd w:val="clear" w:color="auto" w:fill="auto"/>
            <w:noWrap/>
            <w:vAlign w:val="bottom"/>
            <w:hideMark/>
          </w:tcPr>
          <w:p w14:paraId="1E46FF45" w14:textId="77777777" w:rsidR="00406434" w:rsidRPr="005F3E0B" w:rsidRDefault="00406434" w:rsidP="00C448E8">
            <w:pPr>
              <w:rPr>
                <w:lang w:eastAsia="ja-JP"/>
              </w:rPr>
            </w:pPr>
            <w:r w:rsidRPr="005F3E0B">
              <w:rPr>
                <w:lang w:eastAsia="ja-JP"/>
              </w:rPr>
              <w:t>9</w:t>
            </w:r>
          </w:p>
        </w:tc>
        <w:tc>
          <w:tcPr>
            <w:tcW w:w="1362" w:type="dxa"/>
            <w:shd w:val="clear" w:color="auto" w:fill="auto"/>
            <w:noWrap/>
            <w:vAlign w:val="bottom"/>
            <w:hideMark/>
          </w:tcPr>
          <w:p w14:paraId="24BBC1ED"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520B5BFE" w14:textId="77777777" w:rsidR="00406434" w:rsidRPr="005F3E0B" w:rsidRDefault="00406434" w:rsidP="00C448E8">
            <w:pPr>
              <w:rPr>
                <w:lang w:eastAsia="ja-JP"/>
              </w:rPr>
            </w:pPr>
            <w:r w:rsidRPr="005F3E0B">
              <w:rPr>
                <w:lang w:eastAsia="ja-JP"/>
              </w:rPr>
              <w:t>5</w:t>
            </w:r>
          </w:p>
        </w:tc>
        <w:tc>
          <w:tcPr>
            <w:tcW w:w="1440" w:type="dxa"/>
            <w:shd w:val="clear" w:color="auto" w:fill="auto"/>
            <w:noWrap/>
            <w:vAlign w:val="bottom"/>
            <w:hideMark/>
          </w:tcPr>
          <w:p w14:paraId="18D4F046" w14:textId="77777777" w:rsidR="00406434" w:rsidRPr="005F3E0B" w:rsidRDefault="00406434" w:rsidP="00C448E8">
            <w:pPr>
              <w:rPr>
                <w:lang w:eastAsia="ja-JP"/>
              </w:rPr>
            </w:pPr>
            <w:r w:rsidRPr="005F3E0B">
              <w:rPr>
                <w:lang w:eastAsia="ja-JP"/>
              </w:rPr>
              <w:t>0</w:t>
            </w:r>
          </w:p>
        </w:tc>
      </w:tr>
      <w:tr w:rsidR="00406434" w:rsidRPr="005F3E0B" w14:paraId="368EDADC" w14:textId="77777777" w:rsidTr="00721257">
        <w:trPr>
          <w:trHeight w:val="290"/>
        </w:trPr>
        <w:tc>
          <w:tcPr>
            <w:tcW w:w="3592" w:type="dxa"/>
            <w:shd w:val="clear" w:color="auto" w:fill="auto"/>
            <w:noWrap/>
            <w:vAlign w:val="bottom"/>
            <w:hideMark/>
          </w:tcPr>
          <w:p w14:paraId="2A24BE8C" w14:textId="77777777" w:rsidR="00406434" w:rsidRPr="005F3E0B" w:rsidRDefault="00406434" w:rsidP="00C448E8">
            <w:pPr>
              <w:rPr>
                <w:lang w:eastAsia="ja-JP"/>
              </w:rPr>
            </w:pPr>
            <w:r w:rsidRPr="005F3E0B">
              <w:rPr>
                <w:lang w:eastAsia="ja-JP"/>
              </w:rPr>
              <w:t>Dermatitis</w:t>
            </w:r>
          </w:p>
        </w:tc>
        <w:tc>
          <w:tcPr>
            <w:tcW w:w="1533" w:type="dxa"/>
            <w:shd w:val="clear" w:color="auto" w:fill="auto"/>
            <w:noWrap/>
            <w:vAlign w:val="bottom"/>
            <w:hideMark/>
          </w:tcPr>
          <w:p w14:paraId="5EAEC93D"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726B14D4"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110B09E5"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6F8759D9" w14:textId="77777777" w:rsidR="00406434" w:rsidRPr="005F3E0B" w:rsidRDefault="00406434" w:rsidP="00C448E8">
            <w:pPr>
              <w:rPr>
                <w:lang w:eastAsia="ja-JP"/>
              </w:rPr>
            </w:pPr>
            <w:r w:rsidRPr="005F3E0B">
              <w:rPr>
                <w:lang w:eastAsia="ja-JP"/>
              </w:rPr>
              <w:t>0</w:t>
            </w:r>
          </w:p>
        </w:tc>
      </w:tr>
      <w:tr w:rsidR="00406434" w:rsidRPr="005F3E0B" w14:paraId="5E4B6AA3" w14:textId="77777777" w:rsidTr="00721257">
        <w:trPr>
          <w:trHeight w:val="290"/>
        </w:trPr>
        <w:tc>
          <w:tcPr>
            <w:tcW w:w="3592" w:type="dxa"/>
            <w:shd w:val="clear" w:color="auto" w:fill="auto"/>
            <w:noWrap/>
            <w:vAlign w:val="bottom"/>
            <w:hideMark/>
          </w:tcPr>
          <w:p w14:paraId="216EFBAC" w14:textId="77777777" w:rsidR="00406434" w:rsidRPr="005F3E0B" w:rsidRDefault="00406434" w:rsidP="00C448E8">
            <w:pPr>
              <w:rPr>
                <w:lang w:eastAsia="ja-JP"/>
              </w:rPr>
            </w:pPr>
            <w:r w:rsidRPr="005F3E0B">
              <w:rPr>
                <w:lang w:eastAsia="ja-JP"/>
              </w:rPr>
              <w:t>Nail disorder</w:t>
            </w:r>
          </w:p>
        </w:tc>
        <w:tc>
          <w:tcPr>
            <w:tcW w:w="1533" w:type="dxa"/>
            <w:shd w:val="clear" w:color="auto" w:fill="auto"/>
            <w:noWrap/>
            <w:vAlign w:val="bottom"/>
            <w:hideMark/>
          </w:tcPr>
          <w:p w14:paraId="39B9AF7B"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238DCBCA"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11CFD083" w14:textId="77777777" w:rsidR="00406434" w:rsidRPr="005F3E0B" w:rsidRDefault="00406434" w:rsidP="00C448E8">
            <w:pPr>
              <w:rPr>
                <w:lang w:eastAsia="ja-JP"/>
              </w:rPr>
            </w:pPr>
            <w:r w:rsidRPr="005F3E0B">
              <w:rPr>
                <w:lang w:eastAsia="ja-JP"/>
              </w:rPr>
              <w:t>7</w:t>
            </w:r>
          </w:p>
        </w:tc>
        <w:tc>
          <w:tcPr>
            <w:tcW w:w="1440" w:type="dxa"/>
            <w:shd w:val="clear" w:color="auto" w:fill="auto"/>
            <w:noWrap/>
            <w:vAlign w:val="bottom"/>
            <w:hideMark/>
          </w:tcPr>
          <w:p w14:paraId="6C7EFA0B" w14:textId="77777777" w:rsidR="00406434" w:rsidRPr="005F3E0B" w:rsidRDefault="00406434" w:rsidP="00C448E8">
            <w:pPr>
              <w:rPr>
                <w:lang w:eastAsia="ja-JP"/>
              </w:rPr>
            </w:pPr>
            <w:r w:rsidRPr="005F3E0B">
              <w:rPr>
                <w:lang w:eastAsia="ja-JP"/>
              </w:rPr>
              <w:t>0.4</w:t>
            </w:r>
          </w:p>
        </w:tc>
      </w:tr>
      <w:tr w:rsidR="00406434" w:rsidRPr="005F3E0B" w14:paraId="547ADF15" w14:textId="77777777" w:rsidTr="00721257">
        <w:trPr>
          <w:trHeight w:val="290"/>
        </w:trPr>
        <w:tc>
          <w:tcPr>
            <w:tcW w:w="3592" w:type="dxa"/>
            <w:shd w:val="clear" w:color="auto" w:fill="auto"/>
            <w:noWrap/>
            <w:vAlign w:val="bottom"/>
            <w:hideMark/>
          </w:tcPr>
          <w:p w14:paraId="0E46C5C3" w14:textId="33E51B75" w:rsidR="00406434" w:rsidRPr="005F3E0B" w:rsidRDefault="00406434" w:rsidP="00C448E8">
            <w:pPr>
              <w:rPr>
                <w:lang w:eastAsia="ja-JP"/>
              </w:rPr>
            </w:pPr>
            <w:r w:rsidRPr="005F3E0B">
              <w:rPr>
                <w:lang w:eastAsia="ja-JP"/>
              </w:rPr>
              <w:t xml:space="preserve">Palmar-plantar </w:t>
            </w:r>
            <w:proofErr w:type="spellStart"/>
            <w:r w:rsidRPr="005F3E0B">
              <w:rPr>
                <w:lang w:eastAsia="ja-JP"/>
              </w:rPr>
              <w:t>erythrodys</w:t>
            </w:r>
            <w:r w:rsidR="00D21305">
              <w:rPr>
                <w:lang w:eastAsia="ja-JP"/>
              </w:rPr>
              <w:t>a</w:t>
            </w:r>
            <w:r w:rsidRPr="005F3E0B">
              <w:rPr>
                <w:lang w:eastAsia="ja-JP"/>
              </w:rPr>
              <w:t>esthesia</w:t>
            </w:r>
            <w:proofErr w:type="spellEnd"/>
            <w:r w:rsidRPr="005F3E0B">
              <w:rPr>
                <w:lang w:eastAsia="ja-JP"/>
              </w:rPr>
              <w:t xml:space="preserve"> syndrome</w:t>
            </w:r>
          </w:p>
        </w:tc>
        <w:tc>
          <w:tcPr>
            <w:tcW w:w="1533" w:type="dxa"/>
            <w:shd w:val="clear" w:color="auto" w:fill="auto"/>
            <w:noWrap/>
            <w:vAlign w:val="bottom"/>
            <w:hideMark/>
          </w:tcPr>
          <w:p w14:paraId="4C1D7573" w14:textId="77777777" w:rsidR="00406434" w:rsidRPr="005F3E0B" w:rsidRDefault="00406434" w:rsidP="00C448E8">
            <w:pPr>
              <w:rPr>
                <w:lang w:eastAsia="ja-JP"/>
              </w:rPr>
            </w:pPr>
            <w:r w:rsidRPr="005F3E0B">
              <w:rPr>
                <w:lang w:eastAsia="ja-JP"/>
              </w:rPr>
              <w:t>6</w:t>
            </w:r>
          </w:p>
        </w:tc>
        <w:tc>
          <w:tcPr>
            <w:tcW w:w="1362" w:type="dxa"/>
            <w:shd w:val="clear" w:color="auto" w:fill="auto"/>
            <w:noWrap/>
            <w:vAlign w:val="bottom"/>
            <w:hideMark/>
          </w:tcPr>
          <w:p w14:paraId="212F8BAE"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380E4FF4" w14:textId="77777777" w:rsidR="00406434" w:rsidRPr="005F3E0B" w:rsidRDefault="00406434" w:rsidP="00C448E8">
            <w:pPr>
              <w:rPr>
                <w:lang w:eastAsia="ja-JP"/>
              </w:rPr>
            </w:pPr>
            <w:r w:rsidRPr="005F3E0B">
              <w:rPr>
                <w:lang w:eastAsia="ja-JP"/>
              </w:rPr>
              <w:t>5</w:t>
            </w:r>
          </w:p>
        </w:tc>
        <w:tc>
          <w:tcPr>
            <w:tcW w:w="1440" w:type="dxa"/>
            <w:shd w:val="clear" w:color="auto" w:fill="auto"/>
            <w:noWrap/>
            <w:vAlign w:val="bottom"/>
            <w:hideMark/>
          </w:tcPr>
          <w:p w14:paraId="181E10E5" w14:textId="77777777" w:rsidR="00406434" w:rsidRPr="005F3E0B" w:rsidRDefault="00406434" w:rsidP="00C448E8">
            <w:pPr>
              <w:rPr>
                <w:lang w:eastAsia="ja-JP"/>
              </w:rPr>
            </w:pPr>
            <w:r w:rsidRPr="005F3E0B">
              <w:rPr>
                <w:lang w:eastAsia="ja-JP"/>
              </w:rPr>
              <w:t>0.4</w:t>
            </w:r>
          </w:p>
        </w:tc>
      </w:tr>
      <w:tr w:rsidR="00406434" w:rsidRPr="005F3E0B" w14:paraId="3C1844F0" w14:textId="77777777" w:rsidTr="00721257">
        <w:trPr>
          <w:trHeight w:val="290"/>
        </w:trPr>
        <w:tc>
          <w:tcPr>
            <w:tcW w:w="9355" w:type="dxa"/>
            <w:gridSpan w:val="5"/>
            <w:shd w:val="clear" w:color="auto" w:fill="auto"/>
            <w:noWrap/>
            <w:vAlign w:val="bottom"/>
            <w:hideMark/>
          </w:tcPr>
          <w:p w14:paraId="08CD03D2" w14:textId="77777777" w:rsidR="00406434" w:rsidRPr="005F3E0B" w:rsidRDefault="00406434" w:rsidP="00C448E8">
            <w:pPr>
              <w:rPr>
                <w:lang w:eastAsia="ja-JP"/>
              </w:rPr>
            </w:pPr>
            <w:r w:rsidRPr="005F3E0B">
              <w:rPr>
                <w:b/>
                <w:lang w:eastAsia="ja-JP"/>
              </w:rPr>
              <w:t xml:space="preserve">Gastrointestinal disorders      </w:t>
            </w:r>
          </w:p>
        </w:tc>
      </w:tr>
      <w:tr w:rsidR="00406434" w:rsidRPr="005F3E0B" w14:paraId="119E91DE" w14:textId="77777777" w:rsidTr="00721257">
        <w:trPr>
          <w:trHeight w:val="290"/>
        </w:trPr>
        <w:tc>
          <w:tcPr>
            <w:tcW w:w="3592" w:type="dxa"/>
            <w:shd w:val="clear" w:color="auto" w:fill="auto"/>
            <w:noWrap/>
            <w:vAlign w:val="bottom"/>
            <w:hideMark/>
          </w:tcPr>
          <w:p w14:paraId="0A198721" w14:textId="77777777" w:rsidR="00406434" w:rsidRPr="005F3E0B" w:rsidRDefault="00406434" w:rsidP="00C448E8">
            <w:pPr>
              <w:rPr>
                <w:lang w:eastAsia="ja-JP"/>
              </w:rPr>
            </w:pPr>
            <w:r w:rsidRPr="005F3E0B">
              <w:rPr>
                <w:lang w:eastAsia="ja-JP"/>
              </w:rPr>
              <w:t>Nausea</w:t>
            </w:r>
          </w:p>
        </w:tc>
        <w:tc>
          <w:tcPr>
            <w:tcW w:w="1533" w:type="dxa"/>
            <w:shd w:val="clear" w:color="auto" w:fill="auto"/>
            <w:noWrap/>
            <w:vAlign w:val="bottom"/>
            <w:hideMark/>
          </w:tcPr>
          <w:p w14:paraId="1061AB99" w14:textId="77777777" w:rsidR="00406434" w:rsidRPr="005F3E0B" w:rsidRDefault="00406434" w:rsidP="00C448E8">
            <w:pPr>
              <w:rPr>
                <w:lang w:eastAsia="ja-JP"/>
              </w:rPr>
            </w:pPr>
            <w:r w:rsidRPr="005F3E0B">
              <w:rPr>
                <w:lang w:eastAsia="ja-JP"/>
              </w:rPr>
              <w:t>60</w:t>
            </w:r>
          </w:p>
        </w:tc>
        <w:tc>
          <w:tcPr>
            <w:tcW w:w="1362" w:type="dxa"/>
            <w:shd w:val="clear" w:color="auto" w:fill="auto"/>
            <w:noWrap/>
            <w:vAlign w:val="bottom"/>
            <w:hideMark/>
          </w:tcPr>
          <w:p w14:paraId="0E00BF50" w14:textId="77777777" w:rsidR="00406434" w:rsidRPr="005F3E0B" w:rsidRDefault="00406434" w:rsidP="00C448E8">
            <w:pPr>
              <w:rPr>
                <w:lang w:eastAsia="ja-JP"/>
              </w:rPr>
            </w:pPr>
            <w:r w:rsidRPr="005F3E0B">
              <w:rPr>
                <w:lang w:eastAsia="ja-JP"/>
              </w:rPr>
              <w:t>2</w:t>
            </w:r>
          </w:p>
        </w:tc>
        <w:tc>
          <w:tcPr>
            <w:tcW w:w="1428" w:type="dxa"/>
            <w:shd w:val="clear" w:color="auto" w:fill="auto"/>
            <w:noWrap/>
            <w:vAlign w:val="bottom"/>
            <w:hideMark/>
          </w:tcPr>
          <w:p w14:paraId="4DB8126A" w14:textId="77777777" w:rsidR="00406434" w:rsidRPr="005F3E0B" w:rsidRDefault="00406434" w:rsidP="00C448E8">
            <w:pPr>
              <w:rPr>
                <w:lang w:eastAsia="ja-JP"/>
              </w:rPr>
            </w:pPr>
            <w:r w:rsidRPr="005F3E0B">
              <w:rPr>
                <w:lang w:eastAsia="ja-JP"/>
              </w:rPr>
              <w:t>61</w:t>
            </w:r>
          </w:p>
        </w:tc>
        <w:tc>
          <w:tcPr>
            <w:tcW w:w="1440" w:type="dxa"/>
            <w:shd w:val="clear" w:color="auto" w:fill="auto"/>
            <w:noWrap/>
            <w:vAlign w:val="bottom"/>
            <w:hideMark/>
          </w:tcPr>
          <w:p w14:paraId="29A748BF" w14:textId="77777777" w:rsidR="00406434" w:rsidRPr="005F3E0B" w:rsidRDefault="00406434" w:rsidP="00C448E8">
            <w:pPr>
              <w:rPr>
                <w:lang w:eastAsia="ja-JP"/>
              </w:rPr>
            </w:pPr>
            <w:r w:rsidRPr="005F3E0B">
              <w:rPr>
                <w:lang w:eastAsia="ja-JP"/>
              </w:rPr>
              <w:t>1.6</w:t>
            </w:r>
          </w:p>
        </w:tc>
      </w:tr>
      <w:tr w:rsidR="00406434" w:rsidRPr="005F3E0B" w14:paraId="32D4073F" w14:textId="77777777" w:rsidTr="00721257">
        <w:trPr>
          <w:trHeight w:val="290"/>
        </w:trPr>
        <w:tc>
          <w:tcPr>
            <w:tcW w:w="3592" w:type="dxa"/>
            <w:shd w:val="clear" w:color="auto" w:fill="auto"/>
            <w:noWrap/>
            <w:vAlign w:val="bottom"/>
            <w:hideMark/>
          </w:tcPr>
          <w:p w14:paraId="0B4EBA42" w14:textId="23A281F9" w:rsidR="00406434" w:rsidRPr="005F3E0B" w:rsidRDefault="00406434" w:rsidP="00C448E8">
            <w:pPr>
              <w:rPr>
                <w:lang w:eastAsia="ja-JP"/>
              </w:rPr>
            </w:pPr>
            <w:r w:rsidRPr="005F3E0B">
              <w:rPr>
                <w:lang w:eastAsia="ja-JP"/>
              </w:rPr>
              <w:t>Diarrh</w:t>
            </w:r>
            <w:r w:rsidR="00D21305">
              <w:rPr>
                <w:lang w:eastAsia="ja-JP"/>
              </w:rPr>
              <w:t>o</w:t>
            </w:r>
            <w:r w:rsidRPr="005F3E0B">
              <w:rPr>
                <w:lang w:eastAsia="ja-JP"/>
              </w:rPr>
              <w:t>ea</w:t>
            </w:r>
          </w:p>
        </w:tc>
        <w:tc>
          <w:tcPr>
            <w:tcW w:w="1533" w:type="dxa"/>
            <w:shd w:val="clear" w:color="auto" w:fill="auto"/>
            <w:noWrap/>
            <w:vAlign w:val="bottom"/>
            <w:hideMark/>
          </w:tcPr>
          <w:p w14:paraId="664C29D3" w14:textId="77777777" w:rsidR="00406434" w:rsidRPr="005F3E0B" w:rsidRDefault="00406434" w:rsidP="00C448E8">
            <w:pPr>
              <w:rPr>
                <w:lang w:eastAsia="ja-JP"/>
              </w:rPr>
            </w:pPr>
            <w:r w:rsidRPr="005F3E0B">
              <w:rPr>
                <w:lang w:eastAsia="ja-JP"/>
              </w:rPr>
              <w:t>60</w:t>
            </w:r>
          </w:p>
        </w:tc>
        <w:tc>
          <w:tcPr>
            <w:tcW w:w="1362" w:type="dxa"/>
            <w:shd w:val="clear" w:color="auto" w:fill="auto"/>
            <w:noWrap/>
            <w:vAlign w:val="bottom"/>
            <w:hideMark/>
          </w:tcPr>
          <w:p w14:paraId="12ED782B" w14:textId="77777777" w:rsidR="00406434" w:rsidRPr="005F3E0B" w:rsidRDefault="00406434" w:rsidP="00C448E8">
            <w:pPr>
              <w:rPr>
                <w:lang w:eastAsia="ja-JP"/>
              </w:rPr>
            </w:pPr>
            <w:r w:rsidRPr="005F3E0B">
              <w:rPr>
                <w:lang w:eastAsia="ja-JP"/>
              </w:rPr>
              <w:t>7</w:t>
            </w:r>
          </w:p>
        </w:tc>
        <w:tc>
          <w:tcPr>
            <w:tcW w:w="1428" w:type="dxa"/>
            <w:shd w:val="clear" w:color="auto" w:fill="auto"/>
            <w:noWrap/>
            <w:vAlign w:val="bottom"/>
            <w:hideMark/>
          </w:tcPr>
          <w:p w14:paraId="3B27CE68" w14:textId="77777777" w:rsidR="00406434" w:rsidRPr="005F3E0B" w:rsidRDefault="00406434" w:rsidP="00C448E8">
            <w:pPr>
              <w:rPr>
                <w:lang w:eastAsia="ja-JP"/>
              </w:rPr>
            </w:pPr>
            <w:r w:rsidRPr="005F3E0B">
              <w:rPr>
                <w:lang w:eastAsia="ja-JP"/>
              </w:rPr>
              <w:t>57</w:t>
            </w:r>
          </w:p>
        </w:tc>
        <w:tc>
          <w:tcPr>
            <w:tcW w:w="1440" w:type="dxa"/>
            <w:shd w:val="clear" w:color="auto" w:fill="auto"/>
            <w:noWrap/>
            <w:vAlign w:val="bottom"/>
            <w:hideMark/>
          </w:tcPr>
          <w:p w14:paraId="01263BE2" w14:textId="77777777" w:rsidR="00406434" w:rsidRPr="005F3E0B" w:rsidRDefault="00406434" w:rsidP="00C448E8">
            <w:pPr>
              <w:rPr>
                <w:lang w:eastAsia="ja-JP"/>
              </w:rPr>
            </w:pPr>
            <w:r w:rsidRPr="005F3E0B">
              <w:rPr>
                <w:lang w:eastAsia="ja-JP"/>
              </w:rPr>
              <w:t>4.8</w:t>
            </w:r>
          </w:p>
        </w:tc>
      </w:tr>
      <w:tr w:rsidR="00406434" w:rsidRPr="005F3E0B" w14:paraId="08F4E66D" w14:textId="77777777" w:rsidTr="00721257">
        <w:trPr>
          <w:trHeight w:val="290"/>
        </w:trPr>
        <w:tc>
          <w:tcPr>
            <w:tcW w:w="3592" w:type="dxa"/>
            <w:shd w:val="clear" w:color="auto" w:fill="auto"/>
            <w:noWrap/>
            <w:vAlign w:val="bottom"/>
            <w:hideMark/>
          </w:tcPr>
          <w:p w14:paraId="0B26D3EF" w14:textId="77777777" w:rsidR="00406434" w:rsidRPr="005F3E0B" w:rsidRDefault="00406434" w:rsidP="00C448E8">
            <w:pPr>
              <w:rPr>
                <w:lang w:eastAsia="ja-JP"/>
              </w:rPr>
            </w:pPr>
            <w:r w:rsidRPr="005F3E0B">
              <w:rPr>
                <w:lang w:eastAsia="ja-JP"/>
              </w:rPr>
              <w:t>Stomatitis</w:t>
            </w:r>
          </w:p>
        </w:tc>
        <w:tc>
          <w:tcPr>
            <w:tcW w:w="1533" w:type="dxa"/>
            <w:shd w:val="clear" w:color="auto" w:fill="auto"/>
            <w:noWrap/>
            <w:vAlign w:val="bottom"/>
            <w:hideMark/>
          </w:tcPr>
          <w:p w14:paraId="6B9D20D8" w14:textId="77777777" w:rsidR="00406434" w:rsidRPr="005F3E0B" w:rsidRDefault="00406434" w:rsidP="00C448E8">
            <w:pPr>
              <w:rPr>
                <w:lang w:eastAsia="ja-JP"/>
              </w:rPr>
            </w:pPr>
            <w:r w:rsidRPr="005F3E0B">
              <w:rPr>
                <w:lang w:eastAsia="ja-JP"/>
              </w:rPr>
              <w:t>25</w:t>
            </w:r>
          </w:p>
        </w:tc>
        <w:tc>
          <w:tcPr>
            <w:tcW w:w="1362" w:type="dxa"/>
            <w:shd w:val="clear" w:color="auto" w:fill="auto"/>
            <w:noWrap/>
            <w:vAlign w:val="bottom"/>
            <w:hideMark/>
          </w:tcPr>
          <w:p w14:paraId="0601FCB0"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1547B1B3" w14:textId="77777777" w:rsidR="00406434" w:rsidRPr="005F3E0B" w:rsidRDefault="00406434" w:rsidP="00C448E8">
            <w:pPr>
              <w:rPr>
                <w:lang w:eastAsia="ja-JP"/>
              </w:rPr>
            </w:pPr>
            <w:r w:rsidRPr="005F3E0B">
              <w:rPr>
                <w:lang w:eastAsia="ja-JP"/>
              </w:rPr>
              <w:t>24</w:t>
            </w:r>
          </w:p>
        </w:tc>
        <w:tc>
          <w:tcPr>
            <w:tcW w:w="1440" w:type="dxa"/>
            <w:shd w:val="clear" w:color="auto" w:fill="auto"/>
            <w:noWrap/>
            <w:vAlign w:val="bottom"/>
            <w:hideMark/>
          </w:tcPr>
          <w:p w14:paraId="7A78D79F" w14:textId="77777777" w:rsidR="00406434" w:rsidRPr="005F3E0B" w:rsidRDefault="00406434" w:rsidP="00C448E8">
            <w:pPr>
              <w:rPr>
                <w:lang w:eastAsia="ja-JP"/>
              </w:rPr>
            </w:pPr>
            <w:r w:rsidRPr="005F3E0B">
              <w:rPr>
                <w:lang w:eastAsia="ja-JP"/>
              </w:rPr>
              <w:t>0.8</w:t>
            </w:r>
          </w:p>
        </w:tc>
      </w:tr>
      <w:tr w:rsidR="00406434" w:rsidRPr="005F3E0B" w14:paraId="0162BFAB" w14:textId="77777777" w:rsidTr="00721257">
        <w:trPr>
          <w:trHeight w:val="290"/>
        </w:trPr>
        <w:tc>
          <w:tcPr>
            <w:tcW w:w="3592" w:type="dxa"/>
            <w:shd w:val="clear" w:color="auto" w:fill="auto"/>
            <w:noWrap/>
            <w:vAlign w:val="bottom"/>
            <w:hideMark/>
          </w:tcPr>
          <w:p w14:paraId="36389A39" w14:textId="77777777" w:rsidR="00406434" w:rsidRPr="005F3E0B" w:rsidRDefault="00406434" w:rsidP="00C448E8">
            <w:pPr>
              <w:rPr>
                <w:lang w:eastAsia="ja-JP"/>
              </w:rPr>
            </w:pPr>
            <w:r w:rsidRPr="005F3E0B">
              <w:rPr>
                <w:lang w:eastAsia="ja-JP"/>
              </w:rPr>
              <w:t>Constipation</w:t>
            </w:r>
          </w:p>
        </w:tc>
        <w:tc>
          <w:tcPr>
            <w:tcW w:w="1533" w:type="dxa"/>
            <w:shd w:val="clear" w:color="auto" w:fill="auto"/>
            <w:noWrap/>
            <w:vAlign w:val="bottom"/>
            <w:hideMark/>
          </w:tcPr>
          <w:p w14:paraId="34814025" w14:textId="77777777" w:rsidR="00406434" w:rsidRPr="005F3E0B" w:rsidRDefault="00406434" w:rsidP="00C448E8">
            <w:pPr>
              <w:rPr>
                <w:lang w:eastAsia="ja-JP"/>
              </w:rPr>
            </w:pPr>
            <w:r w:rsidRPr="005F3E0B">
              <w:rPr>
                <w:lang w:eastAsia="ja-JP"/>
              </w:rPr>
              <w:t>22</w:t>
            </w:r>
          </w:p>
        </w:tc>
        <w:tc>
          <w:tcPr>
            <w:tcW w:w="1362" w:type="dxa"/>
            <w:shd w:val="clear" w:color="auto" w:fill="auto"/>
            <w:noWrap/>
            <w:vAlign w:val="bottom"/>
            <w:hideMark/>
          </w:tcPr>
          <w:p w14:paraId="5D869133"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0E7D2F7E" w14:textId="77777777" w:rsidR="00406434" w:rsidRPr="005F3E0B" w:rsidRDefault="00406434" w:rsidP="00C448E8">
            <w:pPr>
              <w:rPr>
                <w:lang w:eastAsia="ja-JP"/>
              </w:rPr>
            </w:pPr>
            <w:r w:rsidRPr="005F3E0B">
              <w:rPr>
                <w:lang w:eastAsia="ja-JP"/>
              </w:rPr>
              <w:t>21</w:t>
            </w:r>
          </w:p>
        </w:tc>
        <w:tc>
          <w:tcPr>
            <w:tcW w:w="1440" w:type="dxa"/>
            <w:shd w:val="clear" w:color="auto" w:fill="auto"/>
            <w:noWrap/>
            <w:vAlign w:val="bottom"/>
            <w:hideMark/>
          </w:tcPr>
          <w:p w14:paraId="73939FB4" w14:textId="77777777" w:rsidR="00406434" w:rsidRPr="005F3E0B" w:rsidRDefault="00406434" w:rsidP="00C448E8">
            <w:pPr>
              <w:rPr>
                <w:lang w:eastAsia="ja-JP"/>
              </w:rPr>
            </w:pPr>
            <w:r w:rsidRPr="005F3E0B">
              <w:rPr>
                <w:lang w:eastAsia="ja-JP"/>
              </w:rPr>
              <w:t>0</w:t>
            </w:r>
          </w:p>
        </w:tc>
      </w:tr>
      <w:tr w:rsidR="00406434" w:rsidRPr="005F3E0B" w14:paraId="5199A872" w14:textId="77777777" w:rsidTr="00721257">
        <w:trPr>
          <w:trHeight w:val="290"/>
        </w:trPr>
        <w:tc>
          <w:tcPr>
            <w:tcW w:w="3592" w:type="dxa"/>
            <w:shd w:val="clear" w:color="auto" w:fill="auto"/>
            <w:noWrap/>
            <w:vAlign w:val="bottom"/>
            <w:hideMark/>
          </w:tcPr>
          <w:p w14:paraId="445FBF97" w14:textId="77777777" w:rsidR="00406434" w:rsidRPr="005F3E0B" w:rsidRDefault="00406434" w:rsidP="00C448E8">
            <w:pPr>
              <w:rPr>
                <w:lang w:eastAsia="ja-JP"/>
              </w:rPr>
            </w:pPr>
            <w:r w:rsidRPr="005F3E0B">
              <w:rPr>
                <w:lang w:eastAsia="ja-JP"/>
              </w:rPr>
              <w:t>Vomiting</w:t>
            </w:r>
          </w:p>
        </w:tc>
        <w:tc>
          <w:tcPr>
            <w:tcW w:w="1533" w:type="dxa"/>
            <w:shd w:val="clear" w:color="auto" w:fill="auto"/>
            <w:noWrap/>
            <w:vAlign w:val="bottom"/>
            <w:hideMark/>
          </w:tcPr>
          <w:p w14:paraId="2845CDBD" w14:textId="77777777" w:rsidR="00406434" w:rsidRPr="005F3E0B" w:rsidRDefault="00406434" w:rsidP="00C448E8">
            <w:pPr>
              <w:rPr>
                <w:lang w:eastAsia="ja-JP"/>
              </w:rPr>
            </w:pPr>
            <w:r w:rsidRPr="005F3E0B">
              <w:rPr>
                <w:lang w:eastAsia="ja-JP"/>
              </w:rPr>
              <w:t>20</w:t>
            </w:r>
          </w:p>
        </w:tc>
        <w:tc>
          <w:tcPr>
            <w:tcW w:w="1362" w:type="dxa"/>
            <w:shd w:val="clear" w:color="auto" w:fill="auto"/>
            <w:noWrap/>
            <w:vAlign w:val="bottom"/>
            <w:hideMark/>
          </w:tcPr>
          <w:p w14:paraId="18F28E59"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2C4BB923" w14:textId="77777777" w:rsidR="00406434" w:rsidRPr="005F3E0B" w:rsidRDefault="00406434" w:rsidP="00C448E8">
            <w:pPr>
              <w:rPr>
                <w:lang w:eastAsia="ja-JP"/>
              </w:rPr>
            </w:pPr>
            <w:r w:rsidRPr="005F3E0B">
              <w:rPr>
                <w:lang w:eastAsia="ja-JP"/>
              </w:rPr>
              <w:t>19</w:t>
            </w:r>
          </w:p>
        </w:tc>
        <w:tc>
          <w:tcPr>
            <w:tcW w:w="1440" w:type="dxa"/>
            <w:shd w:val="clear" w:color="auto" w:fill="auto"/>
            <w:noWrap/>
            <w:vAlign w:val="bottom"/>
            <w:hideMark/>
          </w:tcPr>
          <w:p w14:paraId="700A2E28" w14:textId="77777777" w:rsidR="00406434" w:rsidRPr="005F3E0B" w:rsidRDefault="00406434" w:rsidP="00C448E8">
            <w:pPr>
              <w:rPr>
                <w:lang w:eastAsia="ja-JP"/>
              </w:rPr>
            </w:pPr>
            <w:r w:rsidRPr="005F3E0B">
              <w:rPr>
                <w:lang w:eastAsia="ja-JP"/>
              </w:rPr>
              <w:t>1.2</w:t>
            </w:r>
          </w:p>
        </w:tc>
      </w:tr>
      <w:tr w:rsidR="00406434" w:rsidRPr="005F3E0B" w14:paraId="2B759842" w14:textId="77777777" w:rsidTr="00721257">
        <w:trPr>
          <w:trHeight w:val="290"/>
        </w:trPr>
        <w:tc>
          <w:tcPr>
            <w:tcW w:w="3592" w:type="dxa"/>
            <w:shd w:val="clear" w:color="auto" w:fill="auto"/>
            <w:noWrap/>
            <w:vAlign w:val="bottom"/>
            <w:hideMark/>
          </w:tcPr>
          <w:p w14:paraId="0EDFF742" w14:textId="77777777" w:rsidR="00406434" w:rsidRPr="005F3E0B" w:rsidRDefault="00406434" w:rsidP="00C448E8">
            <w:pPr>
              <w:rPr>
                <w:lang w:eastAsia="ja-JP"/>
              </w:rPr>
            </w:pPr>
            <w:r w:rsidRPr="005F3E0B">
              <w:rPr>
                <w:lang w:eastAsia="ja-JP"/>
              </w:rPr>
              <w:t>Dyspepsia</w:t>
            </w:r>
          </w:p>
        </w:tc>
        <w:tc>
          <w:tcPr>
            <w:tcW w:w="1533" w:type="dxa"/>
            <w:shd w:val="clear" w:color="auto" w:fill="auto"/>
            <w:noWrap/>
            <w:vAlign w:val="bottom"/>
            <w:hideMark/>
          </w:tcPr>
          <w:p w14:paraId="411D4A49" w14:textId="77777777" w:rsidR="00406434" w:rsidRPr="005F3E0B" w:rsidRDefault="00406434" w:rsidP="00C448E8">
            <w:pPr>
              <w:rPr>
                <w:lang w:eastAsia="ja-JP"/>
              </w:rPr>
            </w:pPr>
            <w:r w:rsidRPr="005F3E0B">
              <w:rPr>
                <w:lang w:eastAsia="ja-JP"/>
              </w:rPr>
              <w:t>14</w:t>
            </w:r>
          </w:p>
        </w:tc>
        <w:tc>
          <w:tcPr>
            <w:tcW w:w="1362" w:type="dxa"/>
            <w:shd w:val="clear" w:color="auto" w:fill="auto"/>
            <w:noWrap/>
            <w:vAlign w:val="bottom"/>
            <w:hideMark/>
          </w:tcPr>
          <w:p w14:paraId="1BB7ABE9"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704AD7DE" w14:textId="77777777" w:rsidR="00406434" w:rsidRPr="005F3E0B" w:rsidRDefault="00406434" w:rsidP="00C448E8">
            <w:pPr>
              <w:rPr>
                <w:lang w:eastAsia="ja-JP"/>
              </w:rPr>
            </w:pPr>
            <w:r w:rsidRPr="005F3E0B">
              <w:rPr>
                <w:lang w:eastAsia="ja-JP"/>
              </w:rPr>
              <w:t>12</w:t>
            </w:r>
          </w:p>
        </w:tc>
        <w:tc>
          <w:tcPr>
            <w:tcW w:w="1440" w:type="dxa"/>
            <w:shd w:val="clear" w:color="auto" w:fill="auto"/>
            <w:noWrap/>
            <w:vAlign w:val="bottom"/>
            <w:hideMark/>
          </w:tcPr>
          <w:p w14:paraId="024851C5" w14:textId="77777777" w:rsidR="00406434" w:rsidRPr="005F3E0B" w:rsidRDefault="00406434" w:rsidP="00C448E8">
            <w:pPr>
              <w:rPr>
                <w:lang w:eastAsia="ja-JP"/>
              </w:rPr>
            </w:pPr>
            <w:r w:rsidRPr="005F3E0B">
              <w:rPr>
                <w:lang w:eastAsia="ja-JP"/>
              </w:rPr>
              <w:t>0</w:t>
            </w:r>
          </w:p>
        </w:tc>
      </w:tr>
      <w:tr w:rsidR="00406434" w:rsidRPr="005F3E0B" w14:paraId="04E8592F" w14:textId="77777777" w:rsidTr="00721257">
        <w:trPr>
          <w:trHeight w:val="290"/>
        </w:trPr>
        <w:tc>
          <w:tcPr>
            <w:tcW w:w="3592" w:type="dxa"/>
            <w:shd w:val="clear" w:color="auto" w:fill="auto"/>
            <w:noWrap/>
            <w:vAlign w:val="bottom"/>
            <w:hideMark/>
          </w:tcPr>
          <w:p w14:paraId="595EDD77" w14:textId="4A1139CB" w:rsidR="00406434" w:rsidRPr="005F3E0B" w:rsidRDefault="00406434" w:rsidP="00C448E8">
            <w:pPr>
              <w:rPr>
                <w:lang w:eastAsia="ja-JP"/>
              </w:rPr>
            </w:pPr>
            <w:r w:rsidRPr="005F3E0B">
              <w:rPr>
                <w:lang w:eastAsia="ja-JP"/>
              </w:rPr>
              <w:t>H</w:t>
            </w:r>
            <w:r w:rsidR="00D21305">
              <w:rPr>
                <w:lang w:eastAsia="ja-JP"/>
              </w:rPr>
              <w:t>a</w:t>
            </w:r>
            <w:r w:rsidRPr="005F3E0B">
              <w:rPr>
                <w:lang w:eastAsia="ja-JP"/>
              </w:rPr>
              <w:t>emorrhoids</w:t>
            </w:r>
          </w:p>
        </w:tc>
        <w:tc>
          <w:tcPr>
            <w:tcW w:w="1533" w:type="dxa"/>
            <w:shd w:val="clear" w:color="auto" w:fill="auto"/>
            <w:noWrap/>
            <w:vAlign w:val="bottom"/>
            <w:hideMark/>
          </w:tcPr>
          <w:p w14:paraId="276305A2" w14:textId="77777777" w:rsidR="00406434" w:rsidRPr="005F3E0B" w:rsidRDefault="00406434" w:rsidP="00C448E8">
            <w:pPr>
              <w:rPr>
                <w:lang w:eastAsia="ja-JP"/>
              </w:rPr>
            </w:pPr>
            <w:r w:rsidRPr="005F3E0B">
              <w:rPr>
                <w:lang w:eastAsia="ja-JP"/>
              </w:rPr>
              <w:t>9</w:t>
            </w:r>
          </w:p>
        </w:tc>
        <w:tc>
          <w:tcPr>
            <w:tcW w:w="1362" w:type="dxa"/>
            <w:shd w:val="clear" w:color="auto" w:fill="auto"/>
            <w:noWrap/>
            <w:vAlign w:val="bottom"/>
            <w:hideMark/>
          </w:tcPr>
          <w:p w14:paraId="1CDBE4CE"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3AE57B38" w14:textId="77777777" w:rsidR="00406434" w:rsidRPr="005F3E0B" w:rsidRDefault="00406434" w:rsidP="00C448E8">
            <w:pPr>
              <w:rPr>
                <w:lang w:eastAsia="ja-JP"/>
              </w:rPr>
            </w:pPr>
            <w:r w:rsidRPr="005F3E0B">
              <w:rPr>
                <w:lang w:eastAsia="ja-JP"/>
              </w:rPr>
              <w:t>4.0</w:t>
            </w:r>
          </w:p>
        </w:tc>
        <w:tc>
          <w:tcPr>
            <w:tcW w:w="1440" w:type="dxa"/>
            <w:shd w:val="clear" w:color="auto" w:fill="auto"/>
            <w:noWrap/>
            <w:vAlign w:val="bottom"/>
            <w:hideMark/>
          </w:tcPr>
          <w:p w14:paraId="10B4D8A8" w14:textId="77777777" w:rsidR="00406434" w:rsidRPr="005F3E0B" w:rsidRDefault="00406434" w:rsidP="00C448E8">
            <w:pPr>
              <w:rPr>
                <w:lang w:eastAsia="ja-JP"/>
              </w:rPr>
            </w:pPr>
            <w:r w:rsidRPr="005F3E0B">
              <w:rPr>
                <w:lang w:eastAsia="ja-JP"/>
              </w:rPr>
              <w:t>0</w:t>
            </w:r>
          </w:p>
        </w:tc>
      </w:tr>
      <w:tr w:rsidR="00406434" w:rsidRPr="005F3E0B" w14:paraId="55B20E54" w14:textId="77777777" w:rsidTr="00721257">
        <w:trPr>
          <w:trHeight w:val="290"/>
        </w:trPr>
        <w:tc>
          <w:tcPr>
            <w:tcW w:w="3592" w:type="dxa"/>
            <w:shd w:val="clear" w:color="auto" w:fill="auto"/>
            <w:noWrap/>
            <w:vAlign w:val="bottom"/>
            <w:hideMark/>
          </w:tcPr>
          <w:p w14:paraId="60B223BC" w14:textId="77777777" w:rsidR="00406434" w:rsidRPr="005F3E0B" w:rsidRDefault="00406434" w:rsidP="00C448E8">
            <w:pPr>
              <w:rPr>
                <w:lang w:eastAsia="ja-JP"/>
              </w:rPr>
            </w:pPr>
            <w:r w:rsidRPr="005F3E0B">
              <w:rPr>
                <w:lang w:eastAsia="ja-JP"/>
              </w:rPr>
              <w:t>Abdominal pain upper</w:t>
            </w:r>
          </w:p>
        </w:tc>
        <w:tc>
          <w:tcPr>
            <w:tcW w:w="1533" w:type="dxa"/>
            <w:shd w:val="clear" w:color="auto" w:fill="auto"/>
            <w:noWrap/>
            <w:vAlign w:val="bottom"/>
            <w:hideMark/>
          </w:tcPr>
          <w:p w14:paraId="2D11BDF6" w14:textId="77777777" w:rsidR="00406434" w:rsidRPr="005F3E0B" w:rsidRDefault="00406434" w:rsidP="00C448E8">
            <w:pPr>
              <w:rPr>
                <w:lang w:eastAsia="ja-JP"/>
              </w:rPr>
            </w:pPr>
            <w:r w:rsidRPr="005F3E0B">
              <w:rPr>
                <w:lang w:eastAsia="ja-JP"/>
              </w:rPr>
              <w:t>8</w:t>
            </w:r>
          </w:p>
        </w:tc>
        <w:tc>
          <w:tcPr>
            <w:tcW w:w="1362" w:type="dxa"/>
            <w:shd w:val="clear" w:color="auto" w:fill="auto"/>
            <w:noWrap/>
            <w:vAlign w:val="bottom"/>
            <w:hideMark/>
          </w:tcPr>
          <w:p w14:paraId="1CB157F7"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5A887126"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3F69B784" w14:textId="77777777" w:rsidR="00406434" w:rsidRPr="005F3E0B" w:rsidRDefault="00406434" w:rsidP="00C448E8">
            <w:pPr>
              <w:rPr>
                <w:lang w:eastAsia="ja-JP"/>
              </w:rPr>
            </w:pPr>
            <w:r w:rsidRPr="005F3E0B">
              <w:rPr>
                <w:lang w:eastAsia="ja-JP"/>
              </w:rPr>
              <w:t>0</w:t>
            </w:r>
          </w:p>
        </w:tc>
      </w:tr>
      <w:tr w:rsidR="00406434" w:rsidRPr="005F3E0B" w14:paraId="1EB83406" w14:textId="77777777" w:rsidTr="00721257">
        <w:trPr>
          <w:trHeight w:val="290"/>
        </w:trPr>
        <w:tc>
          <w:tcPr>
            <w:tcW w:w="3592" w:type="dxa"/>
            <w:shd w:val="clear" w:color="auto" w:fill="auto"/>
            <w:noWrap/>
            <w:vAlign w:val="bottom"/>
            <w:hideMark/>
          </w:tcPr>
          <w:p w14:paraId="2ADCA261" w14:textId="77777777" w:rsidR="00406434" w:rsidRPr="005F3E0B" w:rsidRDefault="00406434" w:rsidP="00C448E8">
            <w:pPr>
              <w:rPr>
                <w:lang w:eastAsia="ja-JP"/>
              </w:rPr>
            </w:pPr>
            <w:r w:rsidRPr="005F3E0B">
              <w:rPr>
                <w:lang w:eastAsia="ja-JP"/>
              </w:rPr>
              <w:t>Abdominal pain</w:t>
            </w:r>
          </w:p>
        </w:tc>
        <w:tc>
          <w:tcPr>
            <w:tcW w:w="1533" w:type="dxa"/>
            <w:shd w:val="clear" w:color="auto" w:fill="auto"/>
            <w:noWrap/>
            <w:vAlign w:val="bottom"/>
            <w:hideMark/>
          </w:tcPr>
          <w:p w14:paraId="6D4E325C" w14:textId="77777777" w:rsidR="00406434" w:rsidRPr="005F3E0B" w:rsidRDefault="00406434" w:rsidP="00C448E8">
            <w:pPr>
              <w:rPr>
                <w:lang w:eastAsia="ja-JP"/>
              </w:rPr>
            </w:pPr>
            <w:r w:rsidRPr="005F3E0B">
              <w:rPr>
                <w:lang w:eastAsia="ja-JP"/>
              </w:rPr>
              <w:t>9</w:t>
            </w:r>
          </w:p>
        </w:tc>
        <w:tc>
          <w:tcPr>
            <w:tcW w:w="1362" w:type="dxa"/>
            <w:shd w:val="clear" w:color="auto" w:fill="auto"/>
            <w:noWrap/>
            <w:vAlign w:val="bottom"/>
            <w:hideMark/>
          </w:tcPr>
          <w:p w14:paraId="6BEEEC6E"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47F11F49"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084A1FF2" w14:textId="77777777" w:rsidR="00406434" w:rsidRPr="005F3E0B" w:rsidRDefault="00406434" w:rsidP="00C448E8">
            <w:pPr>
              <w:rPr>
                <w:lang w:eastAsia="ja-JP"/>
              </w:rPr>
            </w:pPr>
            <w:r w:rsidRPr="005F3E0B">
              <w:rPr>
                <w:lang w:eastAsia="ja-JP"/>
              </w:rPr>
              <w:t>0</w:t>
            </w:r>
          </w:p>
        </w:tc>
      </w:tr>
      <w:tr w:rsidR="00406434" w:rsidRPr="005F3E0B" w14:paraId="5ED110AE" w14:textId="77777777" w:rsidTr="00721257">
        <w:trPr>
          <w:trHeight w:val="290"/>
        </w:trPr>
        <w:tc>
          <w:tcPr>
            <w:tcW w:w="9355" w:type="dxa"/>
            <w:gridSpan w:val="5"/>
            <w:shd w:val="clear" w:color="auto" w:fill="auto"/>
            <w:noWrap/>
            <w:vAlign w:val="bottom"/>
            <w:hideMark/>
          </w:tcPr>
          <w:p w14:paraId="1BB08AFF" w14:textId="77777777" w:rsidR="00406434" w:rsidRPr="005F3E0B" w:rsidRDefault="00406434" w:rsidP="00C448E8">
            <w:pPr>
              <w:rPr>
                <w:lang w:eastAsia="ja-JP"/>
              </w:rPr>
            </w:pPr>
            <w:r w:rsidRPr="005F3E0B">
              <w:rPr>
                <w:b/>
                <w:lang w:eastAsia="ja-JP"/>
              </w:rPr>
              <w:t xml:space="preserve">Blood and lymphatic system disorders </w:t>
            </w:r>
          </w:p>
        </w:tc>
      </w:tr>
      <w:tr w:rsidR="00406434" w:rsidRPr="005F3E0B" w14:paraId="715DFA64" w14:textId="77777777" w:rsidTr="00721257">
        <w:trPr>
          <w:trHeight w:val="290"/>
        </w:trPr>
        <w:tc>
          <w:tcPr>
            <w:tcW w:w="3592" w:type="dxa"/>
            <w:shd w:val="clear" w:color="auto" w:fill="auto"/>
            <w:noWrap/>
            <w:vAlign w:val="bottom"/>
            <w:hideMark/>
          </w:tcPr>
          <w:p w14:paraId="1579DE52" w14:textId="634167B8" w:rsidR="00406434" w:rsidRPr="005F3E0B" w:rsidRDefault="00406434" w:rsidP="00C448E8">
            <w:pPr>
              <w:rPr>
                <w:lang w:eastAsia="ja-JP"/>
              </w:rPr>
            </w:pPr>
            <w:r w:rsidRPr="005F3E0B">
              <w:rPr>
                <w:lang w:eastAsia="ja-JP"/>
              </w:rPr>
              <w:t>An</w:t>
            </w:r>
            <w:r w:rsidR="00D21305">
              <w:rPr>
                <w:lang w:eastAsia="ja-JP"/>
              </w:rPr>
              <w:t>a</w:t>
            </w:r>
            <w:r w:rsidRPr="005F3E0B">
              <w:rPr>
                <w:lang w:eastAsia="ja-JP"/>
              </w:rPr>
              <w:t>emia</w:t>
            </w:r>
          </w:p>
        </w:tc>
        <w:tc>
          <w:tcPr>
            <w:tcW w:w="1533" w:type="dxa"/>
            <w:shd w:val="clear" w:color="auto" w:fill="auto"/>
            <w:noWrap/>
            <w:vAlign w:val="bottom"/>
            <w:hideMark/>
          </w:tcPr>
          <w:p w14:paraId="7F52B3F8" w14:textId="77777777" w:rsidR="00406434" w:rsidRPr="005F3E0B" w:rsidRDefault="00406434" w:rsidP="00C448E8">
            <w:pPr>
              <w:rPr>
                <w:lang w:eastAsia="ja-JP"/>
              </w:rPr>
            </w:pPr>
            <w:r w:rsidRPr="005F3E0B">
              <w:rPr>
                <w:lang w:eastAsia="ja-JP"/>
              </w:rPr>
              <w:t>36</w:t>
            </w:r>
          </w:p>
        </w:tc>
        <w:tc>
          <w:tcPr>
            <w:tcW w:w="1362" w:type="dxa"/>
            <w:shd w:val="clear" w:color="auto" w:fill="auto"/>
            <w:noWrap/>
            <w:vAlign w:val="bottom"/>
            <w:hideMark/>
          </w:tcPr>
          <w:p w14:paraId="22CF3C8A" w14:textId="77777777" w:rsidR="00406434" w:rsidRPr="005F3E0B" w:rsidRDefault="00406434" w:rsidP="00C448E8">
            <w:pPr>
              <w:rPr>
                <w:lang w:eastAsia="ja-JP"/>
              </w:rPr>
            </w:pPr>
            <w:r w:rsidRPr="005F3E0B">
              <w:rPr>
                <w:lang w:eastAsia="ja-JP"/>
              </w:rPr>
              <w:t>1.6</w:t>
            </w:r>
          </w:p>
        </w:tc>
        <w:tc>
          <w:tcPr>
            <w:tcW w:w="1428" w:type="dxa"/>
            <w:shd w:val="clear" w:color="auto" w:fill="auto"/>
            <w:noWrap/>
            <w:vAlign w:val="bottom"/>
            <w:hideMark/>
          </w:tcPr>
          <w:p w14:paraId="03522EF6" w14:textId="77777777" w:rsidR="00406434" w:rsidRPr="005F3E0B" w:rsidRDefault="00406434" w:rsidP="00C448E8">
            <w:pPr>
              <w:rPr>
                <w:lang w:eastAsia="ja-JP"/>
              </w:rPr>
            </w:pPr>
            <w:r w:rsidRPr="005F3E0B">
              <w:rPr>
                <w:lang w:eastAsia="ja-JP"/>
              </w:rPr>
              <w:t>43</w:t>
            </w:r>
          </w:p>
        </w:tc>
        <w:tc>
          <w:tcPr>
            <w:tcW w:w="1440" w:type="dxa"/>
            <w:shd w:val="clear" w:color="auto" w:fill="auto"/>
            <w:noWrap/>
            <w:vAlign w:val="bottom"/>
            <w:hideMark/>
          </w:tcPr>
          <w:p w14:paraId="02E04905" w14:textId="77777777" w:rsidR="00406434" w:rsidRPr="005F3E0B" w:rsidRDefault="00406434" w:rsidP="00C448E8">
            <w:pPr>
              <w:rPr>
                <w:lang w:eastAsia="ja-JP"/>
              </w:rPr>
            </w:pPr>
            <w:r w:rsidRPr="005F3E0B">
              <w:rPr>
                <w:lang w:eastAsia="ja-JP"/>
              </w:rPr>
              <w:t>4.4</w:t>
            </w:r>
          </w:p>
        </w:tc>
      </w:tr>
      <w:tr w:rsidR="00406434" w:rsidRPr="005F3E0B" w14:paraId="47EA3B46" w14:textId="77777777" w:rsidTr="00721257">
        <w:trPr>
          <w:trHeight w:val="290"/>
        </w:trPr>
        <w:tc>
          <w:tcPr>
            <w:tcW w:w="3592" w:type="dxa"/>
            <w:shd w:val="clear" w:color="auto" w:fill="auto"/>
            <w:noWrap/>
            <w:vAlign w:val="bottom"/>
            <w:hideMark/>
          </w:tcPr>
          <w:p w14:paraId="3D5BBA4C" w14:textId="77777777" w:rsidR="00406434" w:rsidRPr="005F3E0B" w:rsidRDefault="00406434" w:rsidP="00C448E8">
            <w:pPr>
              <w:rPr>
                <w:lang w:eastAsia="ja-JP"/>
              </w:rPr>
            </w:pPr>
            <w:r w:rsidRPr="005F3E0B">
              <w:rPr>
                <w:lang w:eastAsia="ja-JP"/>
              </w:rPr>
              <w:t>Neutropenia</w:t>
            </w:r>
          </w:p>
        </w:tc>
        <w:tc>
          <w:tcPr>
            <w:tcW w:w="1533" w:type="dxa"/>
            <w:shd w:val="clear" w:color="auto" w:fill="auto"/>
            <w:noWrap/>
            <w:vAlign w:val="bottom"/>
            <w:hideMark/>
          </w:tcPr>
          <w:p w14:paraId="0306BE12" w14:textId="77777777" w:rsidR="00406434" w:rsidRPr="005F3E0B" w:rsidRDefault="00406434" w:rsidP="00C448E8">
            <w:pPr>
              <w:rPr>
                <w:lang w:eastAsia="ja-JP"/>
              </w:rPr>
            </w:pPr>
            <w:r w:rsidRPr="005F3E0B">
              <w:rPr>
                <w:lang w:eastAsia="ja-JP"/>
              </w:rPr>
              <w:t>22</w:t>
            </w:r>
          </w:p>
        </w:tc>
        <w:tc>
          <w:tcPr>
            <w:tcW w:w="1362" w:type="dxa"/>
            <w:shd w:val="clear" w:color="auto" w:fill="auto"/>
            <w:noWrap/>
            <w:vAlign w:val="bottom"/>
            <w:hideMark/>
          </w:tcPr>
          <w:p w14:paraId="34B65E74" w14:textId="77777777" w:rsidR="00406434" w:rsidRPr="005F3E0B" w:rsidRDefault="00406434" w:rsidP="00C448E8">
            <w:pPr>
              <w:rPr>
                <w:lang w:eastAsia="ja-JP"/>
              </w:rPr>
            </w:pPr>
            <w:r w:rsidRPr="005F3E0B">
              <w:rPr>
                <w:lang w:eastAsia="ja-JP"/>
              </w:rPr>
              <w:t>14</w:t>
            </w:r>
          </w:p>
        </w:tc>
        <w:tc>
          <w:tcPr>
            <w:tcW w:w="1428" w:type="dxa"/>
            <w:shd w:val="clear" w:color="auto" w:fill="auto"/>
            <w:noWrap/>
            <w:vAlign w:val="bottom"/>
            <w:hideMark/>
          </w:tcPr>
          <w:p w14:paraId="53525E89" w14:textId="77777777" w:rsidR="00406434" w:rsidRPr="005F3E0B" w:rsidRDefault="00406434" w:rsidP="00C448E8">
            <w:pPr>
              <w:rPr>
                <w:lang w:eastAsia="ja-JP"/>
              </w:rPr>
            </w:pPr>
            <w:r w:rsidRPr="005F3E0B">
              <w:rPr>
                <w:lang w:eastAsia="ja-JP"/>
              </w:rPr>
              <w:t>27</w:t>
            </w:r>
          </w:p>
        </w:tc>
        <w:tc>
          <w:tcPr>
            <w:tcW w:w="1440" w:type="dxa"/>
            <w:shd w:val="clear" w:color="auto" w:fill="auto"/>
            <w:noWrap/>
            <w:vAlign w:val="bottom"/>
            <w:hideMark/>
          </w:tcPr>
          <w:p w14:paraId="1A0188CF" w14:textId="77777777" w:rsidR="00406434" w:rsidRPr="005F3E0B" w:rsidRDefault="00406434" w:rsidP="00C448E8">
            <w:pPr>
              <w:rPr>
                <w:lang w:eastAsia="ja-JP"/>
              </w:rPr>
            </w:pPr>
            <w:r w:rsidRPr="005F3E0B">
              <w:rPr>
                <w:lang w:eastAsia="ja-JP"/>
              </w:rPr>
              <w:t>14</w:t>
            </w:r>
          </w:p>
        </w:tc>
      </w:tr>
      <w:tr w:rsidR="00406434" w:rsidRPr="005F3E0B" w14:paraId="6FE43FF8" w14:textId="77777777" w:rsidTr="00721257">
        <w:trPr>
          <w:trHeight w:val="290"/>
        </w:trPr>
        <w:tc>
          <w:tcPr>
            <w:tcW w:w="3592" w:type="dxa"/>
            <w:shd w:val="clear" w:color="auto" w:fill="auto"/>
            <w:noWrap/>
            <w:vAlign w:val="bottom"/>
            <w:hideMark/>
          </w:tcPr>
          <w:p w14:paraId="7FF0D09B" w14:textId="77777777" w:rsidR="00406434" w:rsidRPr="005F3E0B" w:rsidRDefault="00406434" w:rsidP="00C448E8">
            <w:pPr>
              <w:rPr>
                <w:lang w:eastAsia="ja-JP"/>
              </w:rPr>
            </w:pPr>
            <w:r w:rsidRPr="005F3E0B">
              <w:rPr>
                <w:lang w:eastAsia="ja-JP"/>
              </w:rPr>
              <w:t>Leukopenia</w:t>
            </w:r>
          </w:p>
        </w:tc>
        <w:tc>
          <w:tcPr>
            <w:tcW w:w="1533" w:type="dxa"/>
            <w:shd w:val="clear" w:color="auto" w:fill="auto"/>
            <w:noWrap/>
            <w:vAlign w:val="bottom"/>
            <w:hideMark/>
          </w:tcPr>
          <w:p w14:paraId="547FC4E4" w14:textId="77777777" w:rsidR="00406434" w:rsidRPr="005F3E0B" w:rsidRDefault="00406434" w:rsidP="00C448E8">
            <w:pPr>
              <w:rPr>
                <w:lang w:eastAsia="ja-JP"/>
              </w:rPr>
            </w:pPr>
            <w:r w:rsidRPr="005F3E0B">
              <w:rPr>
                <w:lang w:eastAsia="ja-JP"/>
              </w:rPr>
              <w:t>9</w:t>
            </w:r>
          </w:p>
        </w:tc>
        <w:tc>
          <w:tcPr>
            <w:tcW w:w="1362" w:type="dxa"/>
            <w:shd w:val="clear" w:color="auto" w:fill="auto"/>
            <w:noWrap/>
            <w:vAlign w:val="bottom"/>
            <w:hideMark/>
          </w:tcPr>
          <w:p w14:paraId="44B13EF6" w14:textId="77777777" w:rsidR="00406434" w:rsidRPr="005F3E0B" w:rsidRDefault="00406434" w:rsidP="00C448E8">
            <w:pPr>
              <w:rPr>
                <w:lang w:eastAsia="ja-JP"/>
              </w:rPr>
            </w:pPr>
            <w:r w:rsidRPr="005F3E0B">
              <w:rPr>
                <w:lang w:eastAsia="ja-JP"/>
              </w:rPr>
              <w:t>2.4</w:t>
            </w:r>
          </w:p>
        </w:tc>
        <w:tc>
          <w:tcPr>
            <w:tcW w:w="1428" w:type="dxa"/>
            <w:shd w:val="clear" w:color="auto" w:fill="auto"/>
            <w:noWrap/>
            <w:vAlign w:val="bottom"/>
            <w:hideMark/>
          </w:tcPr>
          <w:p w14:paraId="5EC93EEE" w14:textId="77777777" w:rsidR="00406434" w:rsidRPr="005F3E0B" w:rsidRDefault="00406434" w:rsidP="00C448E8">
            <w:pPr>
              <w:rPr>
                <w:lang w:eastAsia="ja-JP"/>
              </w:rPr>
            </w:pPr>
            <w:r w:rsidRPr="005F3E0B">
              <w:rPr>
                <w:lang w:eastAsia="ja-JP"/>
              </w:rPr>
              <w:t>14</w:t>
            </w:r>
          </w:p>
        </w:tc>
        <w:tc>
          <w:tcPr>
            <w:tcW w:w="1440" w:type="dxa"/>
            <w:shd w:val="clear" w:color="auto" w:fill="auto"/>
            <w:noWrap/>
            <w:vAlign w:val="bottom"/>
            <w:hideMark/>
          </w:tcPr>
          <w:p w14:paraId="698008F3" w14:textId="77777777" w:rsidR="00406434" w:rsidRPr="005F3E0B" w:rsidRDefault="00406434" w:rsidP="00C448E8">
            <w:pPr>
              <w:rPr>
                <w:lang w:eastAsia="ja-JP"/>
              </w:rPr>
            </w:pPr>
            <w:r w:rsidRPr="005F3E0B">
              <w:rPr>
                <w:lang w:eastAsia="ja-JP"/>
              </w:rPr>
              <w:t>2</w:t>
            </w:r>
          </w:p>
        </w:tc>
      </w:tr>
      <w:tr w:rsidR="00406434" w:rsidRPr="005F3E0B" w14:paraId="3FA8576C" w14:textId="77777777" w:rsidTr="00721257">
        <w:trPr>
          <w:trHeight w:val="290"/>
        </w:trPr>
        <w:tc>
          <w:tcPr>
            <w:tcW w:w="3592" w:type="dxa"/>
            <w:shd w:val="clear" w:color="auto" w:fill="auto"/>
            <w:noWrap/>
            <w:vAlign w:val="bottom"/>
            <w:hideMark/>
          </w:tcPr>
          <w:p w14:paraId="22770A4D" w14:textId="77777777" w:rsidR="00406434" w:rsidRPr="005F3E0B" w:rsidRDefault="00406434" w:rsidP="00C448E8">
            <w:pPr>
              <w:rPr>
                <w:lang w:eastAsia="ja-JP"/>
              </w:rPr>
            </w:pPr>
            <w:r w:rsidRPr="005F3E0B">
              <w:rPr>
                <w:lang w:eastAsia="ja-JP"/>
              </w:rPr>
              <w:t>Febrile neutropenia</w:t>
            </w:r>
          </w:p>
        </w:tc>
        <w:tc>
          <w:tcPr>
            <w:tcW w:w="1533" w:type="dxa"/>
            <w:shd w:val="clear" w:color="auto" w:fill="auto"/>
            <w:noWrap/>
            <w:vAlign w:val="bottom"/>
            <w:hideMark/>
          </w:tcPr>
          <w:p w14:paraId="4BD2F387"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76D56DC9" w14:textId="77777777" w:rsidR="00406434" w:rsidRPr="005F3E0B" w:rsidRDefault="00406434" w:rsidP="00C448E8">
            <w:pPr>
              <w:rPr>
                <w:lang w:eastAsia="ja-JP"/>
              </w:rPr>
            </w:pPr>
            <w:r w:rsidRPr="005F3E0B">
              <w:rPr>
                <w:lang w:eastAsia="ja-JP"/>
              </w:rPr>
              <w:t>7</w:t>
            </w:r>
          </w:p>
        </w:tc>
        <w:tc>
          <w:tcPr>
            <w:tcW w:w="1428" w:type="dxa"/>
            <w:shd w:val="clear" w:color="auto" w:fill="auto"/>
            <w:noWrap/>
            <w:vAlign w:val="bottom"/>
            <w:hideMark/>
          </w:tcPr>
          <w:p w14:paraId="74E1BFDD"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138A6744" w14:textId="77777777" w:rsidR="00406434" w:rsidRPr="005F3E0B" w:rsidRDefault="00406434" w:rsidP="00C448E8">
            <w:pPr>
              <w:rPr>
                <w:lang w:eastAsia="ja-JP"/>
              </w:rPr>
            </w:pPr>
            <w:r w:rsidRPr="005F3E0B">
              <w:rPr>
                <w:lang w:eastAsia="ja-JP"/>
              </w:rPr>
              <w:t>6</w:t>
            </w:r>
          </w:p>
        </w:tc>
      </w:tr>
      <w:tr w:rsidR="00406434" w:rsidRPr="005F3E0B" w14:paraId="6F032DF6" w14:textId="77777777" w:rsidTr="00721257">
        <w:trPr>
          <w:trHeight w:val="290"/>
        </w:trPr>
        <w:tc>
          <w:tcPr>
            <w:tcW w:w="9355" w:type="dxa"/>
            <w:gridSpan w:val="5"/>
            <w:shd w:val="clear" w:color="auto" w:fill="auto"/>
            <w:noWrap/>
            <w:vAlign w:val="bottom"/>
            <w:hideMark/>
          </w:tcPr>
          <w:p w14:paraId="382E9B28" w14:textId="77777777" w:rsidR="00406434" w:rsidRPr="005F3E0B" w:rsidRDefault="00406434" w:rsidP="00C448E8">
            <w:pPr>
              <w:rPr>
                <w:lang w:eastAsia="ja-JP"/>
              </w:rPr>
            </w:pPr>
            <w:r w:rsidRPr="005F3E0B">
              <w:rPr>
                <w:b/>
                <w:lang w:eastAsia="ja-JP"/>
              </w:rPr>
              <w:t>General disorders and administration site conditions</w:t>
            </w:r>
          </w:p>
        </w:tc>
      </w:tr>
      <w:tr w:rsidR="00406434" w:rsidRPr="005F3E0B" w14:paraId="746AAC22" w14:textId="77777777" w:rsidTr="00721257">
        <w:trPr>
          <w:trHeight w:val="290"/>
        </w:trPr>
        <w:tc>
          <w:tcPr>
            <w:tcW w:w="3592" w:type="dxa"/>
            <w:shd w:val="clear" w:color="auto" w:fill="auto"/>
            <w:noWrap/>
            <w:vAlign w:val="bottom"/>
            <w:hideMark/>
          </w:tcPr>
          <w:p w14:paraId="68072DCD" w14:textId="77777777" w:rsidR="00406434" w:rsidRPr="005F3E0B" w:rsidRDefault="00406434" w:rsidP="00C448E8">
            <w:pPr>
              <w:rPr>
                <w:lang w:eastAsia="ja-JP"/>
              </w:rPr>
            </w:pPr>
            <w:r w:rsidRPr="005F3E0B">
              <w:rPr>
                <w:lang w:eastAsia="ja-JP"/>
              </w:rPr>
              <w:t>Asthenia</w:t>
            </w:r>
          </w:p>
        </w:tc>
        <w:tc>
          <w:tcPr>
            <w:tcW w:w="1533" w:type="dxa"/>
            <w:shd w:val="clear" w:color="auto" w:fill="auto"/>
            <w:noWrap/>
            <w:vAlign w:val="bottom"/>
            <w:hideMark/>
          </w:tcPr>
          <w:p w14:paraId="7674FFFD" w14:textId="77777777" w:rsidR="00406434" w:rsidRPr="005F3E0B" w:rsidRDefault="00406434" w:rsidP="00C448E8">
            <w:pPr>
              <w:rPr>
                <w:lang w:eastAsia="ja-JP"/>
              </w:rPr>
            </w:pPr>
            <w:r w:rsidRPr="005F3E0B">
              <w:rPr>
                <w:lang w:eastAsia="ja-JP"/>
              </w:rPr>
              <w:t>31</w:t>
            </w:r>
          </w:p>
        </w:tc>
        <w:tc>
          <w:tcPr>
            <w:tcW w:w="1362" w:type="dxa"/>
            <w:shd w:val="clear" w:color="auto" w:fill="auto"/>
            <w:noWrap/>
            <w:vAlign w:val="bottom"/>
            <w:hideMark/>
          </w:tcPr>
          <w:p w14:paraId="018D8A0B"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2DF588A9" w14:textId="77777777" w:rsidR="00406434" w:rsidRPr="005F3E0B" w:rsidRDefault="00406434" w:rsidP="00C448E8">
            <w:pPr>
              <w:rPr>
                <w:lang w:eastAsia="ja-JP"/>
              </w:rPr>
            </w:pPr>
            <w:r w:rsidRPr="005F3E0B">
              <w:rPr>
                <w:lang w:eastAsia="ja-JP"/>
              </w:rPr>
              <w:t>32</w:t>
            </w:r>
          </w:p>
        </w:tc>
        <w:tc>
          <w:tcPr>
            <w:tcW w:w="1440" w:type="dxa"/>
            <w:shd w:val="clear" w:color="auto" w:fill="auto"/>
            <w:noWrap/>
            <w:vAlign w:val="bottom"/>
            <w:hideMark/>
          </w:tcPr>
          <w:p w14:paraId="3F888BDE" w14:textId="77777777" w:rsidR="00406434" w:rsidRPr="005F3E0B" w:rsidRDefault="00406434" w:rsidP="00C448E8">
            <w:pPr>
              <w:rPr>
                <w:lang w:eastAsia="ja-JP"/>
              </w:rPr>
            </w:pPr>
            <w:r w:rsidRPr="005F3E0B">
              <w:rPr>
                <w:lang w:eastAsia="ja-JP"/>
              </w:rPr>
              <w:t>2.4</w:t>
            </w:r>
          </w:p>
        </w:tc>
      </w:tr>
      <w:tr w:rsidR="00406434" w:rsidRPr="005F3E0B" w14:paraId="3AAED91A" w14:textId="77777777" w:rsidTr="00721257">
        <w:trPr>
          <w:trHeight w:val="290"/>
        </w:trPr>
        <w:tc>
          <w:tcPr>
            <w:tcW w:w="3592" w:type="dxa"/>
            <w:shd w:val="clear" w:color="auto" w:fill="auto"/>
            <w:noWrap/>
            <w:vAlign w:val="bottom"/>
            <w:hideMark/>
          </w:tcPr>
          <w:p w14:paraId="3B5A8CD6" w14:textId="77777777" w:rsidR="00406434" w:rsidRPr="005F3E0B" w:rsidRDefault="00406434" w:rsidP="00C448E8">
            <w:pPr>
              <w:rPr>
                <w:lang w:eastAsia="ja-JP"/>
              </w:rPr>
            </w:pPr>
            <w:r w:rsidRPr="005F3E0B">
              <w:rPr>
                <w:lang w:eastAsia="ja-JP"/>
              </w:rPr>
              <w:t>Fatigue</w:t>
            </w:r>
          </w:p>
        </w:tc>
        <w:tc>
          <w:tcPr>
            <w:tcW w:w="1533" w:type="dxa"/>
            <w:shd w:val="clear" w:color="auto" w:fill="auto"/>
            <w:noWrap/>
            <w:vAlign w:val="bottom"/>
            <w:hideMark/>
          </w:tcPr>
          <w:p w14:paraId="1BD9CA95" w14:textId="77777777" w:rsidR="00406434" w:rsidRPr="005F3E0B" w:rsidRDefault="00406434" w:rsidP="00C448E8">
            <w:pPr>
              <w:rPr>
                <w:lang w:eastAsia="ja-JP"/>
              </w:rPr>
            </w:pPr>
            <w:r w:rsidRPr="005F3E0B">
              <w:rPr>
                <w:lang w:eastAsia="ja-JP"/>
              </w:rPr>
              <w:t>29</w:t>
            </w:r>
          </w:p>
        </w:tc>
        <w:tc>
          <w:tcPr>
            <w:tcW w:w="1362" w:type="dxa"/>
            <w:shd w:val="clear" w:color="auto" w:fill="auto"/>
            <w:noWrap/>
            <w:vAlign w:val="bottom"/>
            <w:hideMark/>
          </w:tcPr>
          <w:p w14:paraId="0D3D6BA2" w14:textId="77777777" w:rsidR="00406434" w:rsidRPr="005F3E0B" w:rsidRDefault="00406434" w:rsidP="00C448E8">
            <w:pPr>
              <w:rPr>
                <w:lang w:eastAsia="ja-JP"/>
              </w:rPr>
            </w:pPr>
            <w:r w:rsidRPr="005F3E0B">
              <w:rPr>
                <w:lang w:eastAsia="ja-JP"/>
              </w:rPr>
              <w:t>2</w:t>
            </w:r>
          </w:p>
        </w:tc>
        <w:tc>
          <w:tcPr>
            <w:tcW w:w="1428" w:type="dxa"/>
            <w:shd w:val="clear" w:color="auto" w:fill="auto"/>
            <w:noWrap/>
            <w:vAlign w:val="bottom"/>
            <w:hideMark/>
          </w:tcPr>
          <w:p w14:paraId="0856CD7E" w14:textId="77777777" w:rsidR="00406434" w:rsidRPr="005F3E0B" w:rsidRDefault="00406434" w:rsidP="00C448E8">
            <w:pPr>
              <w:rPr>
                <w:lang w:eastAsia="ja-JP"/>
              </w:rPr>
            </w:pPr>
            <w:r w:rsidRPr="005F3E0B">
              <w:rPr>
                <w:lang w:eastAsia="ja-JP"/>
              </w:rPr>
              <w:t>24</w:t>
            </w:r>
          </w:p>
        </w:tc>
        <w:tc>
          <w:tcPr>
            <w:tcW w:w="1440" w:type="dxa"/>
            <w:shd w:val="clear" w:color="auto" w:fill="auto"/>
            <w:noWrap/>
            <w:vAlign w:val="bottom"/>
            <w:hideMark/>
          </w:tcPr>
          <w:p w14:paraId="051611A0" w14:textId="77777777" w:rsidR="00406434" w:rsidRPr="005F3E0B" w:rsidRDefault="00406434" w:rsidP="00C448E8">
            <w:pPr>
              <w:rPr>
                <w:lang w:eastAsia="ja-JP"/>
              </w:rPr>
            </w:pPr>
            <w:r w:rsidRPr="005F3E0B">
              <w:rPr>
                <w:lang w:eastAsia="ja-JP"/>
              </w:rPr>
              <w:t>2</w:t>
            </w:r>
          </w:p>
        </w:tc>
      </w:tr>
      <w:tr w:rsidR="00406434" w:rsidRPr="005F3E0B" w14:paraId="24E67E59" w14:textId="77777777" w:rsidTr="00721257">
        <w:trPr>
          <w:trHeight w:val="290"/>
        </w:trPr>
        <w:tc>
          <w:tcPr>
            <w:tcW w:w="3592" w:type="dxa"/>
            <w:shd w:val="clear" w:color="auto" w:fill="auto"/>
            <w:noWrap/>
            <w:vAlign w:val="bottom"/>
            <w:hideMark/>
          </w:tcPr>
          <w:p w14:paraId="60CB9A34" w14:textId="77777777" w:rsidR="00406434" w:rsidRPr="005F3E0B" w:rsidRDefault="00406434" w:rsidP="00C448E8">
            <w:pPr>
              <w:rPr>
                <w:lang w:eastAsia="ja-JP"/>
              </w:rPr>
            </w:pPr>
            <w:r w:rsidRPr="005F3E0B">
              <w:rPr>
                <w:lang w:eastAsia="ja-JP"/>
              </w:rPr>
              <w:t>Mucosal inflammation</w:t>
            </w:r>
          </w:p>
        </w:tc>
        <w:tc>
          <w:tcPr>
            <w:tcW w:w="1533" w:type="dxa"/>
            <w:shd w:val="clear" w:color="auto" w:fill="auto"/>
            <w:noWrap/>
            <w:vAlign w:val="bottom"/>
            <w:hideMark/>
          </w:tcPr>
          <w:p w14:paraId="7DE79BF9" w14:textId="77777777" w:rsidR="00406434" w:rsidRPr="005F3E0B" w:rsidRDefault="00406434" w:rsidP="00C448E8">
            <w:pPr>
              <w:rPr>
                <w:lang w:eastAsia="ja-JP"/>
              </w:rPr>
            </w:pPr>
            <w:r w:rsidRPr="005F3E0B">
              <w:rPr>
                <w:lang w:eastAsia="ja-JP"/>
              </w:rPr>
              <w:t>15</w:t>
            </w:r>
          </w:p>
        </w:tc>
        <w:tc>
          <w:tcPr>
            <w:tcW w:w="1362" w:type="dxa"/>
            <w:shd w:val="clear" w:color="auto" w:fill="auto"/>
            <w:noWrap/>
            <w:vAlign w:val="bottom"/>
            <w:hideMark/>
          </w:tcPr>
          <w:p w14:paraId="39578C8E"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6EB7E90B" w14:textId="77777777" w:rsidR="00406434" w:rsidRPr="005F3E0B" w:rsidRDefault="00406434" w:rsidP="00C448E8">
            <w:pPr>
              <w:rPr>
                <w:lang w:eastAsia="ja-JP"/>
              </w:rPr>
            </w:pPr>
            <w:r w:rsidRPr="005F3E0B">
              <w:rPr>
                <w:lang w:eastAsia="ja-JP"/>
              </w:rPr>
              <w:t>20</w:t>
            </w:r>
          </w:p>
        </w:tc>
        <w:tc>
          <w:tcPr>
            <w:tcW w:w="1440" w:type="dxa"/>
            <w:shd w:val="clear" w:color="auto" w:fill="auto"/>
            <w:noWrap/>
            <w:vAlign w:val="bottom"/>
            <w:hideMark/>
          </w:tcPr>
          <w:p w14:paraId="20743373" w14:textId="77777777" w:rsidR="00406434" w:rsidRPr="005F3E0B" w:rsidRDefault="00406434" w:rsidP="00C448E8">
            <w:pPr>
              <w:rPr>
                <w:lang w:eastAsia="ja-JP"/>
              </w:rPr>
            </w:pPr>
            <w:r w:rsidRPr="005F3E0B">
              <w:rPr>
                <w:lang w:eastAsia="ja-JP"/>
              </w:rPr>
              <w:t>1.2</w:t>
            </w:r>
          </w:p>
        </w:tc>
      </w:tr>
      <w:tr w:rsidR="00406434" w:rsidRPr="005F3E0B" w14:paraId="2EEF8C47" w14:textId="77777777" w:rsidTr="00721257">
        <w:trPr>
          <w:trHeight w:val="290"/>
        </w:trPr>
        <w:tc>
          <w:tcPr>
            <w:tcW w:w="3592" w:type="dxa"/>
            <w:shd w:val="clear" w:color="auto" w:fill="auto"/>
            <w:noWrap/>
            <w:vAlign w:val="bottom"/>
            <w:hideMark/>
          </w:tcPr>
          <w:p w14:paraId="3989DF52" w14:textId="77777777" w:rsidR="00406434" w:rsidRPr="005F3E0B" w:rsidRDefault="00406434" w:rsidP="00C448E8">
            <w:pPr>
              <w:rPr>
                <w:lang w:eastAsia="ja-JP"/>
              </w:rPr>
            </w:pPr>
            <w:r w:rsidRPr="005F3E0B">
              <w:rPr>
                <w:lang w:eastAsia="ja-JP"/>
              </w:rPr>
              <w:t>Injection site reaction</w:t>
            </w:r>
          </w:p>
        </w:tc>
        <w:tc>
          <w:tcPr>
            <w:tcW w:w="1533" w:type="dxa"/>
            <w:shd w:val="clear" w:color="auto" w:fill="auto"/>
            <w:noWrap/>
            <w:vAlign w:val="bottom"/>
            <w:hideMark/>
          </w:tcPr>
          <w:p w14:paraId="79490F19" w14:textId="77777777" w:rsidR="00406434" w:rsidRPr="005F3E0B" w:rsidRDefault="00406434" w:rsidP="00C448E8">
            <w:pPr>
              <w:rPr>
                <w:lang w:eastAsia="ja-JP"/>
              </w:rPr>
            </w:pPr>
            <w:r w:rsidRPr="005F3E0B">
              <w:rPr>
                <w:lang w:eastAsia="ja-JP"/>
              </w:rPr>
              <w:t>15</w:t>
            </w:r>
          </w:p>
        </w:tc>
        <w:tc>
          <w:tcPr>
            <w:tcW w:w="1362" w:type="dxa"/>
            <w:shd w:val="clear" w:color="auto" w:fill="auto"/>
            <w:noWrap/>
            <w:vAlign w:val="bottom"/>
            <w:hideMark/>
          </w:tcPr>
          <w:p w14:paraId="02D528C6"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4689DC9E" w14:textId="77777777" w:rsidR="00406434" w:rsidRPr="005F3E0B" w:rsidRDefault="00406434" w:rsidP="00C448E8">
            <w:pPr>
              <w:rPr>
                <w:lang w:eastAsia="ja-JP"/>
              </w:rPr>
            </w:pPr>
            <w:r w:rsidRPr="005F3E0B">
              <w:rPr>
                <w:lang w:eastAsia="ja-JP"/>
              </w:rPr>
              <w:t>0.8</w:t>
            </w:r>
          </w:p>
        </w:tc>
        <w:tc>
          <w:tcPr>
            <w:tcW w:w="1440" w:type="dxa"/>
            <w:shd w:val="clear" w:color="auto" w:fill="auto"/>
            <w:noWrap/>
            <w:vAlign w:val="bottom"/>
            <w:hideMark/>
          </w:tcPr>
          <w:p w14:paraId="31E16514" w14:textId="77777777" w:rsidR="00406434" w:rsidRPr="005F3E0B" w:rsidRDefault="00406434" w:rsidP="00C448E8">
            <w:pPr>
              <w:rPr>
                <w:lang w:eastAsia="ja-JP"/>
              </w:rPr>
            </w:pPr>
            <w:r w:rsidRPr="005F3E0B">
              <w:rPr>
                <w:lang w:eastAsia="ja-JP"/>
              </w:rPr>
              <w:t>0</w:t>
            </w:r>
          </w:p>
        </w:tc>
      </w:tr>
      <w:tr w:rsidR="00406434" w:rsidRPr="005F3E0B" w14:paraId="16CE3970" w14:textId="77777777" w:rsidTr="00721257">
        <w:trPr>
          <w:trHeight w:val="290"/>
        </w:trPr>
        <w:tc>
          <w:tcPr>
            <w:tcW w:w="3592" w:type="dxa"/>
            <w:shd w:val="clear" w:color="auto" w:fill="auto"/>
            <w:noWrap/>
            <w:vAlign w:val="bottom"/>
            <w:hideMark/>
          </w:tcPr>
          <w:p w14:paraId="36E55BBB" w14:textId="77777777" w:rsidR="00406434" w:rsidRPr="005F3E0B" w:rsidRDefault="00406434" w:rsidP="00C448E8">
            <w:pPr>
              <w:rPr>
                <w:lang w:eastAsia="ja-JP"/>
              </w:rPr>
            </w:pPr>
            <w:r w:rsidRPr="005F3E0B">
              <w:rPr>
                <w:lang w:eastAsia="ja-JP"/>
              </w:rPr>
              <w:t>Pyrexia</w:t>
            </w:r>
          </w:p>
        </w:tc>
        <w:tc>
          <w:tcPr>
            <w:tcW w:w="1533" w:type="dxa"/>
            <w:shd w:val="clear" w:color="auto" w:fill="auto"/>
            <w:noWrap/>
            <w:vAlign w:val="bottom"/>
            <w:hideMark/>
          </w:tcPr>
          <w:p w14:paraId="17FCE9E8" w14:textId="77777777" w:rsidR="00406434" w:rsidRPr="005F3E0B" w:rsidRDefault="00406434" w:rsidP="00C448E8">
            <w:pPr>
              <w:rPr>
                <w:lang w:eastAsia="ja-JP"/>
              </w:rPr>
            </w:pPr>
            <w:r w:rsidRPr="005F3E0B">
              <w:rPr>
                <w:lang w:eastAsia="ja-JP"/>
              </w:rPr>
              <w:t>13</w:t>
            </w:r>
          </w:p>
        </w:tc>
        <w:tc>
          <w:tcPr>
            <w:tcW w:w="1362" w:type="dxa"/>
            <w:shd w:val="clear" w:color="auto" w:fill="auto"/>
            <w:noWrap/>
            <w:vAlign w:val="bottom"/>
            <w:hideMark/>
          </w:tcPr>
          <w:p w14:paraId="5CA61C02"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6B8D5170" w14:textId="77777777" w:rsidR="00406434" w:rsidRPr="005F3E0B" w:rsidRDefault="00406434" w:rsidP="00C448E8">
            <w:pPr>
              <w:rPr>
                <w:lang w:eastAsia="ja-JP"/>
              </w:rPr>
            </w:pPr>
            <w:r w:rsidRPr="005F3E0B">
              <w:rPr>
                <w:lang w:eastAsia="ja-JP"/>
              </w:rPr>
              <w:t>16</w:t>
            </w:r>
          </w:p>
        </w:tc>
        <w:tc>
          <w:tcPr>
            <w:tcW w:w="1440" w:type="dxa"/>
            <w:shd w:val="clear" w:color="auto" w:fill="auto"/>
            <w:noWrap/>
            <w:vAlign w:val="bottom"/>
            <w:hideMark/>
          </w:tcPr>
          <w:p w14:paraId="277A384A" w14:textId="77777777" w:rsidR="00406434" w:rsidRPr="005F3E0B" w:rsidRDefault="00406434" w:rsidP="00C448E8">
            <w:pPr>
              <w:rPr>
                <w:lang w:eastAsia="ja-JP"/>
              </w:rPr>
            </w:pPr>
            <w:r w:rsidRPr="005F3E0B">
              <w:rPr>
                <w:lang w:eastAsia="ja-JP"/>
              </w:rPr>
              <w:t>0.4</w:t>
            </w:r>
          </w:p>
        </w:tc>
      </w:tr>
      <w:tr w:rsidR="00406434" w:rsidRPr="005F3E0B" w14:paraId="3FDF20D3" w14:textId="77777777" w:rsidTr="00721257">
        <w:trPr>
          <w:trHeight w:val="290"/>
        </w:trPr>
        <w:tc>
          <w:tcPr>
            <w:tcW w:w="3592" w:type="dxa"/>
            <w:shd w:val="clear" w:color="auto" w:fill="auto"/>
            <w:noWrap/>
            <w:vAlign w:val="bottom"/>
            <w:hideMark/>
          </w:tcPr>
          <w:p w14:paraId="007E4D44" w14:textId="6E11277F" w:rsidR="00406434" w:rsidRPr="005F3E0B" w:rsidRDefault="00D21305" w:rsidP="00C448E8">
            <w:pPr>
              <w:rPr>
                <w:lang w:eastAsia="ja-JP"/>
              </w:rPr>
            </w:pPr>
            <w:r>
              <w:rPr>
                <w:lang w:eastAsia="ja-JP"/>
              </w:rPr>
              <w:t>Oe</w:t>
            </w:r>
            <w:r w:rsidR="00406434" w:rsidRPr="005F3E0B">
              <w:rPr>
                <w:lang w:eastAsia="ja-JP"/>
              </w:rPr>
              <w:t>dema peripheral</w:t>
            </w:r>
          </w:p>
        </w:tc>
        <w:tc>
          <w:tcPr>
            <w:tcW w:w="1533" w:type="dxa"/>
            <w:shd w:val="clear" w:color="auto" w:fill="auto"/>
            <w:noWrap/>
            <w:vAlign w:val="bottom"/>
            <w:hideMark/>
          </w:tcPr>
          <w:p w14:paraId="0866D970" w14:textId="77777777" w:rsidR="00406434" w:rsidRPr="005F3E0B" w:rsidRDefault="00406434" w:rsidP="00C448E8">
            <w:pPr>
              <w:rPr>
                <w:lang w:eastAsia="ja-JP"/>
              </w:rPr>
            </w:pPr>
            <w:r w:rsidRPr="005F3E0B">
              <w:rPr>
                <w:lang w:eastAsia="ja-JP"/>
              </w:rPr>
              <w:t>8</w:t>
            </w:r>
          </w:p>
        </w:tc>
        <w:tc>
          <w:tcPr>
            <w:tcW w:w="1362" w:type="dxa"/>
            <w:shd w:val="clear" w:color="auto" w:fill="auto"/>
            <w:noWrap/>
            <w:vAlign w:val="bottom"/>
            <w:hideMark/>
          </w:tcPr>
          <w:p w14:paraId="6CB045D9"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417488F6" w14:textId="77777777" w:rsidR="00406434" w:rsidRPr="005F3E0B" w:rsidRDefault="00406434" w:rsidP="00C448E8">
            <w:pPr>
              <w:rPr>
                <w:lang w:eastAsia="ja-JP"/>
              </w:rPr>
            </w:pPr>
            <w:r w:rsidRPr="005F3E0B">
              <w:rPr>
                <w:lang w:eastAsia="ja-JP"/>
              </w:rPr>
              <w:t>10</w:t>
            </w:r>
          </w:p>
        </w:tc>
        <w:tc>
          <w:tcPr>
            <w:tcW w:w="1440" w:type="dxa"/>
            <w:shd w:val="clear" w:color="auto" w:fill="auto"/>
            <w:noWrap/>
            <w:vAlign w:val="bottom"/>
            <w:hideMark/>
          </w:tcPr>
          <w:p w14:paraId="2EB70F9F" w14:textId="77777777" w:rsidR="00406434" w:rsidRPr="005F3E0B" w:rsidRDefault="00406434" w:rsidP="00C448E8">
            <w:pPr>
              <w:rPr>
                <w:lang w:eastAsia="ja-JP"/>
              </w:rPr>
            </w:pPr>
            <w:r w:rsidRPr="005F3E0B">
              <w:rPr>
                <w:lang w:eastAsia="ja-JP"/>
              </w:rPr>
              <w:t>0</w:t>
            </w:r>
          </w:p>
        </w:tc>
      </w:tr>
      <w:tr w:rsidR="00406434" w:rsidRPr="005F3E0B" w14:paraId="4C5A97D3" w14:textId="77777777" w:rsidTr="00721257">
        <w:trPr>
          <w:trHeight w:val="290"/>
        </w:trPr>
        <w:tc>
          <w:tcPr>
            <w:tcW w:w="3592" w:type="dxa"/>
            <w:shd w:val="clear" w:color="auto" w:fill="auto"/>
            <w:noWrap/>
            <w:vAlign w:val="bottom"/>
            <w:hideMark/>
          </w:tcPr>
          <w:p w14:paraId="6DFB253A" w14:textId="77777777" w:rsidR="00406434" w:rsidRPr="005F3E0B" w:rsidRDefault="00406434" w:rsidP="00C448E8">
            <w:pPr>
              <w:rPr>
                <w:lang w:eastAsia="ja-JP"/>
              </w:rPr>
            </w:pPr>
            <w:r w:rsidRPr="005F3E0B">
              <w:rPr>
                <w:lang w:eastAsia="ja-JP"/>
              </w:rPr>
              <w:t>Malaise</w:t>
            </w:r>
          </w:p>
        </w:tc>
        <w:tc>
          <w:tcPr>
            <w:tcW w:w="1533" w:type="dxa"/>
            <w:shd w:val="clear" w:color="auto" w:fill="auto"/>
            <w:noWrap/>
            <w:vAlign w:val="bottom"/>
            <w:hideMark/>
          </w:tcPr>
          <w:p w14:paraId="56D01575"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07D41F38"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6FBE6887"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76BD044B" w14:textId="77777777" w:rsidR="00406434" w:rsidRPr="005F3E0B" w:rsidRDefault="00406434" w:rsidP="00C448E8">
            <w:pPr>
              <w:rPr>
                <w:lang w:eastAsia="ja-JP"/>
              </w:rPr>
            </w:pPr>
            <w:r w:rsidRPr="005F3E0B">
              <w:rPr>
                <w:lang w:eastAsia="ja-JP"/>
              </w:rPr>
              <w:t>0.4</w:t>
            </w:r>
          </w:p>
        </w:tc>
      </w:tr>
      <w:tr w:rsidR="00406434" w:rsidRPr="005F3E0B" w14:paraId="00485A90" w14:textId="77777777" w:rsidTr="00721257">
        <w:trPr>
          <w:trHeight w:val="290"/>
        </w:trPr>
        <w:tc>
          <w:tcPr>
            <w:tcW w:w="3592" w:type="dxa"/>
            <w:shd w:val="clear" w:color="auto" w:fill="auto"/>
            <w:noWrap/>
            <w:vAlign w:val="bottom"/>
          </w:tcPr>
          <w:p w14:paraId="4A7F46C1" w14:textId="77777777" w:rsidR="00406434" w:rsidRPr="005F3E0B" w:rsidRDefault="00406434" w:rsidP="00C448E8">
            <w:pPr>
              <w:rPr>
                <w:lang w:eastAsia="ja-JP"/>
              </w:rPr>
            </w:pPr>
            <w:r w:rsidRPr="005F3E0B">
              <w:rPr>
                <w:lang w:eastAsia="ja-JP"/>
              </w:rPr>
              <w:t>Influenza</w:t>
            </w:r>
            <w:r>
              <w:rPr>
                <w:lang w:eastAsia="ja-JP"/>
              </w:rPr>
              <w:t>-</w:t>
            </w:r>
            <w:r w:rsidRPr="005F3E0B">
              <w:rPr>
                <w:lang w:eastAsia="ja-JP"/>
              </w:rPr>
              <w:t>like illness</w:t>
            </w:r>
          </w:p>
        </w:tc>
        <w:tc>
          <w:tcPr>
            <w:tcW w:w="1533" w:type="dxa"/>
            <w:shd w:val="clear" w:color="auto" w:fill="auto"/>
            <w:noWrap/>
            <w:vAlign w:val="bottom"/>
          </w:tcPr>
          <w:p w14:paraId="0FCA306F" w14:textId="77777777" w:rsidR="00406434" w:rsidRPr="005F3E0B" w:rsidRDefault="00406434" w:rsidP="00C448E8">
            <w:pPr>
              <w:rPr>
                <w:lang w:eastAsia="ja-JP"/>
              </w:rPr>
            </w:pPr>
            <w:r w:rsidRPr="005F3E0B">
              <w:rPr>
                <w:lang w:eastAsia="ja-JP"/>
              </w:rPr>
              <w:t>5</w:t>
            </w:r>
          </w:p>
        </w:tc>
        <w:tc>
          <w:tcPr>
            <w:tcW w:w="1362" w:type="dxa"/>
            <w:shd w:val="clear" w:color="auto" w:fill="auto"/>
            <w:noWrap/>
            <w:vAlign w:val="bottom"/>
          </w:tcPr>
          <w:p w14:paraId="5AB0CF64"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tcPr>
          <w:p w14:paraId="4C110A97" w14:textId="77777777" w:rsidR="00406434" w:rsidRPr="005F3E0B" w:rsidRDefault="00406434" w:rsidP="00C448E8">
            <w:pPr>
              <w:rPr>
                <w:lang w:eastAsia="ja-JP"/>
              </w:rPr>
            </w:pPr>
            <w:r w:rsidRPr="005F3E0B">
              <w:rPr>
                <w:lang w:eastAsia="ja-JP"/>
              </w:rPr>
              <w:t>3.6</w:t>
            </w:r>
          </w:p>
        </w:tc>
        <w:tc>
          <w:tcPr>
            <w:tcW w:w="1440" w:type="dxa"/>
            <w:shd w:val="clear" w:color="auto" w:fill="auto"/>
            <w:noWrap/>
            <w:vAlign w:val="bottom"/>
          </w:tcPr>
          <w:p w14:paraId="44D025D6" w14:textId="77777777" w:rsidR="00406434" w:rsidRPr="005F3E0B" w:rsidRDefault="00406434" w:rsidP="00C448E8">
            <w:pPr>
              <w:rPr>
                <w:lang w:eastAsia="ja-JP"/>
              </w:rPr>
            </w:pPr>
            <w:r w:rsidRPr="005F3E0B">
              <w:rPr>
                <w:lang w:eastAsia="ja-JP"/>
              </w:rPr>
              <w:t>0</w:t>
            </w:r>
          </w:p>
        </w:tc>
      </w:tr>
      <w:tr w:rsidR="00406434" w:rsidRPr="005F3E0B" w14:paraId="51AE0B6C" w14:textId="77777777" w:rsidTr="00721257">
        <w:trPr>
          <w:trHeight w:val="290"/>
        </w:trPr>
        <w:tc>
          <w:tcPr>
            <w:tcW w:w="3592" w:type="dxa"/>
            <w:shd w:val="clear" w:color="auto" w:fill="auto"/>
            <w:noWrap/>
            <w:vAlign w:val="bottom"/>
            <w:hideMark/>
          </w:tcPr>
          <w:p w14:paraId="72C6F54A" w14:textId="77777777" w:rsidR="00406434" w:rsidRPr="005F3E0B" w:rsidRDefault="00406434" w:rsidP="00C448E8">
            <w:pPr>
              <w:rPr>
                <w:b/>
                <w:lang w:eastAsia="ja-JP"/>
              </w:rPr>
            </w:pPr>
            <w:r w:rsidRPr="005F3E0B">
              <w:rPr>
                <w:b/>
                <w:lang w:eastAsia="ja-JP"/>
              </w:rPr>
              <w:t xml:space="preserve">Nervous system disorders </w:t>
            </w:r>
          </w:p>
        </w:tc>
        <w:tc>
          <w:tcPr>
            <w:tcW w:w="5763" w:type="dxa"/>
            <w:gridSpan w:val="4"/>
            <w:shd w:val="clear" w:color="auto" w:fill="auto"/>
            <w:noWrap/>
            <w:vAlign w:val="bottom"/>
            <w:hideMark/>
          </w:tcPr>
          <w:p w14:paraId="55BD13D1" w14:textId="77777777" w:rsidR="00406434" w:rsidRPr="005F3E0B" w:rsidRDefault="00406434" w:rsidP="00C448E8">
            <w:pPr>
              <w:rPr>
                <w:b/>
                <w:lang w:eastAsia="ja-JP"/>
              </w:rPr>
            </w:pPr>
          </w:p>
        </w:tc>
      </w:tr>
      <w:tr w:rsidR="00406434" w:rsidRPr="005F3E0B" w14:paraId="66F48E3F" w14:textId="77777777" w:rsidTr="00721257">
        <w:trPr>
          <w:trHeight w:val="290"/>
        </w:trPr>
        <w:tc>
          <w:tcPr>
            <w:tcW w:w="3592" w:type="dxa"/>
            <w:shd w:val="clear" w:color="auto" w:fill="auto"/>
            <w:noWrap/>
            <w:vAlign w:val="bottom"/>
            <w:hideMark/>
          </w:tcPr>
          <w:p w14:paraId="1CF9078D" w14:textId="77777777" w:rsidR="00406434" w:rsidRPr="005F3E0B" w:rsidRDefault="00406434" w:rsidP="00C448E8">
            <w:pPr>
              <w:rPr>
                <w:lang w:eastAsia="ja-JP"/>
              </w:rPr>
            </w:pPr>
            <w:r w:rsidRPr="005F3E0B">
              <w:rPr>
                <w:lang w:eastAsia="ja-JP"/>
              </w:rPr>
              <w:t>Dysgeusia</w:t>
            </w:r>
          </w:p>
        </w:tc>
        <w:tc>
          <w:tcPr>
            <w:tcW w:w="1533" w:type="dxa"/>
            <w:shd w:val="clear" w:color="auto" w:fill="auto"/>
            <w:noWrap/>
            <w:vAlign w:val="bottom"/>
            <w:hideMark/>
          </w:tcPr>
          <w:p w14:paraId="18A3737B" w14:textId="77777777" w:rsidR="00406434" w:rsidRPr="005F3E0B" w:rsidRDefault="00406434" w:rsidP="00C448E8">
            <w:pPr>
              <w:rPr>
                <w:lang w:eastAsia="ja-JP"/>
              </w:rPr>
            </w:pPr>
            <w:r w:rsidRPr="005F3E0B">
              <w:rPr>
                <w:lang w:eastAsia="ja-JP"/>
              </w:rPr>
              <w:t>17</w:t>
            </w:r>
          </w:p>
        </w:tc>
        <w:tc>
          <w:tcPr>
            <w:tcW w:w="1362" w:type="dxa"/>
            <w:shd w:val="clear" w:color="auto" w:fill="auto"/>
            <w:noWrap/>
            <w:vAlign w:val="bottom"/>
            <w:hideMark/>
          </w:tcPr>
          <w:p w14:paraId="5192058E"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69EC0A8D" w14:textId="77777777" w:rsidR="00406434" w:rsidRPr="005F3E0B" w:rsidRDefault="00406434" w:rsidP="00C448E8">
            <w:pPr>
              <w:rPr>
                <w:lang w:eastAsia="ja-JP"/>
              </w:rPr>
            </w:pPr>
            <w:r w:rsidRPr="005F3E0B">
              <w:rPr>
                <w:lang w:eastAsia="ja-JP"/>
              </w:rPr>
              <w:t>14</w:t>
            </w:r>
          </w:p>
        </w:tc>
        <w:tc>
          <w:tcPr>
            <w:tcW w:w="1440" w:type="dxa"/>
            <w:shd w:val="clear" w:color="auto" w:fill="auto"/>
            <w:noWrap/>
            <w:vAlign w:val="bottom"/>
            <w:hideMark/>
          </w:tcPr>
          <w:p w14:paraId="1F5DA7A1" w14:textId="77777777" w:rsidR="00406434" w:rsidRPr="005F3E0B" w:rsidRDefault="00406434" w:rsidP="00C448E8">
            <w:pPr>
              <w:rPr>
                <w:lang w:eastAsia="ja-JP"/>
              </w:rPr>
            </w:pPr>
            <w:r w:rsidRPr="005F3E0B">
              <w:rPr>
                <w:lang w:eastAsia="ja-JP"/>
              </w:rPr>
              <w:t>0</w:t>
            </w:r>
          </w:p>
        </w:tc>
      </w:tr>
      <w:tr w:rsidR="00406434" w:rsidRPr="005F3E0B" w14:paraId="3FB83DE0" w14:textId="77777777" w:rsidTr="00721257">
        <w:trPr>
          <w:trHeight w:val="290"/>
        </w:trPr>
        <w:tc>
          <w:tcPr>
            <w:tcW w:w="3592" w:type="dxa"/>
            <w:shd w:val="clear" w:color="auto" w:fill="auto"/>
            <w:noWrap/>
            <w:vAlign w:val="bottom"/>
            <w:hideMark/>
          </w:tcPr>
          <w:p w14:paraId="4F020105" w14:textId="77777777" w:rsidR="00406434" w:rsidRPr="005F3E0B" w:rsidRDefault="00406434" w:rsidP="00C448E8">
            <w:pPr>
              <w:rPr>
                <w:lang w:eastAsia="ja-JP"/>
              </w:rPr>
            </w:pPr>
            <w:r w:rsidRPr="005F3E0B">
              <w:rPr>
                <w:lang w:eastAsia="ja-JP"/>
              </w:rPr>
              <w:t>Peripheral sensory neuropathy</w:t>
            </w:r>
          </w:p>
        </w:tc>
        <w:tc>
          <w:tcPr>
            <w:tcW w:w="1533" w:type="dxa"/>
            <w:shd w:val="clear" w:color="auto" w:fill="auto"/>
            <w:noWrap/>
            <w:vAlign w:val="bottom"/>
            <w:hideMark/>
          </w:tcPr>
          <w:p w14:paraId="1AEDF981" w14:textId="77777777" w:rsidR="00406434" w:rsidRPr="005F3E0B" w:rsidRDefault="00406434" w:rsidP="00C448E8">
            <w:pPr>
              <w:rPr>
                <w:lang w:eastAsia="ja-JP"/>
              </w:rPr>
            </w:pPr>
            <w:r w:rsidRPr="005F3E0B">
              <w:rPr>
                <w:lang w:eastAsia="ja-JP"/>
              </w:rPr>
              <w:t>16</w:t>
            </w:r>
          </w:p>
        </w:tc>
        <w:tc>
          <w:tcPr>
            <w:tcW w:w="1362" w:type="dxa"/>
            <w:shd w:val="clear" w:color="auto" w:fill="auto"/>
            <w:noWrap/>
            <w:vAlign w:val="bottom"/>
            <w:hideMark/>
          </w:tcPr>
          <w:p w14:paraId="368997CA"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5790F6A0" w14:textId="77777777" w:rsidR="00406434" w:rsidRPr="005F3E0B" w:rsidRDefault="00406434" w:rsidP="00C448E8">
            <w:pPr>
              <w:rPr>
                <w:lang w:eastAsia="ja-JP"/>
              </w:rPr>
            </w:pPr>
            <w:r w:rsidRPr="005F3E0B">
              <w:rPr>
                <w:lang w:eastAsia="ja-JP"/>
              </w:rPr>
              <w:t>14</w:t>
            </w:r>
          </w:p>
        </w:tc>
        <w:tc>
          <w:tcPr>
            <w:tcW w:w="1440" w:type="dxa"/>
            <w:shd w:val="clear" w:color="auto" w:fill="auto"/>
            <w:noWrap/>
            <w:vAlign w:val="bottom"/>
            <w:hideMark/>
          </w:tcPr>
          <w:p w14:paraId="6F523495" w14:textId="77777777" w:rsidR="00406434" w:rsidRPr="005F3E0B" w:rsidRDefault="00406434" w:rsidP="00C448E8">
            <w:pPr>
              <w:rPr>
                <w:lang w:eastAsia="ja-JP"/>
              </w:rPr>
            </w:pPr>
            <w:r w:rsidRPr="005F3E0B">
              <w:rPr>
                <w:lang w:eastAsia="ja-JP"/>
              </w:rPr>
              <w:t>0.4</w:t>
            </w:r>
          </w:p>
        </w:tc>
      </w:tr>
      <w:tr w:rsidR="00406434" w:rsidRPr="005F3E0B" w14:paraId="5D6AD0C6" w14:textId="77777777" w:rsidTr="00721257">
        <w:trPr>
          <w:trHeight w:val="290"/>
        </w:trPr>
        <w:tc>
          <w:tcPr>
            <w:tcW w:w="3592" w:type="dxa"/>
            <w:shd w:val="clear" w:color="auto" w:fill="auto"/>
            <w:noWrap/>
            <w:vAlign w:val="bottom"/>
            <w:hideMark/>
          </w:tcPr>
          <w:p w14:paraId="1A2A9D0F" w14:textId="77777777" w:rsidR="00406434" w:rsidRPr="005F3E0B" w:rsidRDefault="00406434" w:rsidP="00C448E8">
            <w:pPr>
              <w:rPr>
                <w:lang w:eastAsia="ja-JP"/>
              </w:rPr>
            </w:pPr>
            <w:r w:rsidRPr="005F3E0B">
              <w:rPr>
                <w:lang w:eastAsia="ja-JP"/>
              </w:rPr>
              <w:t>Headache</w:t>
            </w:r>
          </w:p>
        </w:tc>
        <w:tc>
          <w:tcPr>
            <w:tcW w:w="1533" w:type="dxa"/>
            <w:shd w:val="clear" w:color="auto" w:fill="auto"/>
            <w:noWrap/>
            <w:vAlign w:val="bottom"/>
            <w:hideMark/>
          </w:tcPr>
          <w:p w14:paraId="6FD80464" w14:textId="77777777" w:rsidR="00406434" w:rsidRPr="005F3E0B" w:rsidRDefault="00406434" w:rsidP="00C448E8">
            <w:pPr>
              <w:rPr>
                <w:lang w:eastAsia="ja-JP"/>
              </w:rPr>
            </w:pPr>
            <w:r w:rsidRPr="005F3E0B">
              <w:rPr>
                <w:lang w:eastAsia="ja-JP"/>
              </w:rPr>
              <w:t>17</w:t>
            </w:r>
          </w:p>
        </w:tc>
        <w:tc>
          <w:tcPr>
            <w:tcW w:w="1362" w:type="dxa"/>
            <w:shd w:val="clear" w:color="auto" w:fill="auto"/>
            <w:noWrap/>
            <w:vAlign w:val="bottom"/>
            <w:hideMark/>
          </w:tcPr>
          <w:p w14:paraId="4D2D5628"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5F4F10AD" w14:textId="77777777" w:rsidR="00406434" w:rsidRPr="005F3E0B" w:rsidRDefault="00406434" w:rsidP="00C448E8">
            <w:pPr>
              <w:rPr>
                <w:lang w:eastAsia="ja-JP"/>
              </w:rPr>
            </w:pPr>
            <w:r w:rsidRPr="005F3E0B">
              <w:rPr>
                <w:lang w:eastAsia="ja-JP"/>
              </w:rPr>
              <w:t>25</w:t>
            </w:r>
          </w:p>
        </w:tc>
        <w:tc>
          <w:tcPr>
            <w:tcW w:w="1440" w:type="dxa"/>
            <w:shd w:val="clear" w:color="auto" w:fill="auto"/>
            <w:noWrap/>
            <w:vAlign w:val="bottom"/>
            <w:hideMark/>
          </w:tcPr>
          <w:p w14:paraId="773F9602" w14:textId="77777777" w:rsidR="00406434" w:rsidRPr="005F3E0B" w:rsidRDefault="00406434" w:rsidP="00C448E8">
            <w:pPr>
              <w:rPr>
                <w:lang w:eastAsia="ja-JP"/>
              </w:rPr>
            </w:pPr>
            <w:r w:rsidRPr="005F3E0B">
              <w:rPr>
                <w:lang w:eastAsia="ja-JP"/>
              </w:rPr>
              <w:t>0.8</w:t>
            </w:r>
          </w:p>
        </w:tc>
      </w:tr>
      <w:tr w:rsidR="00406434" w:rsidRPr="005F3E0B" w14:paraId="6E86C82E" w14:textId="77777777" w:rsidTr="00721257">
        <w:trPr>
          <w:trHeight w:val="290"/>
        </w:trPr>
        <w:tc>
          <w:tcPr>
            <w:tcW w:w="3592" w:type="dxa"/>
            <w:shd w:val="clear" w:color="auto" w:fill="auto"/>
            <w:noWrap/>
            <w:vAlign w:val="bottom"/>
            <w:hideMark/>
          </w:tcPr>
          <w:p w14:paraId="65D8141E" w14:textId="77777777" w:rsidR="00406434" w:rsidRPr="005F3E0B" w:rsidRDefault="00406434" w:rsidP="00C448E8">
            <w:pPr>
              <w:rPr>
                <w:lang w:eastAsia="ja-JP"/>
              </w:rPr>
            </w:pPr>
            <w:r w:rsidRPr="005F3E0B">
              <w:rPr>
                <w:lang w:eastAsia="ja-JP"/>
              </w:rPr>
              <w:t>Neuropathy peripheral</w:t>
            </w:r>
          </w:p>
        </w:tc>
        <w:tc>
          <w:tcPr>
            <w:tcW w:w="1533" w:type="dxa"/>
            <w:shd w:val="clear" w:color="auto" w:fill="auto"/>
            <w:noWrap/>
            <w:vAlign w:val="bottom"/>
            <w:hideMark/>
          </w:tcPr>
          <w:p w14:paraId="2D88BB16" w14:textId="77777777" w:rsidR="00406434" w:rsidRPr="005F3E0B" w:rsidRDefault="00406434" w:rsidP="00C448E8">
            <w:pPr>
              <w:rPr>
                <w:lang w:eastAsia="ja-JP"/>
              </w:rPr>
            </w:pPr>
            <w:r w:rsidRPr="005F3E0B">
              <w:rPr>
                <w:lang w:eastAsia="ja-JP"/>
              </w:rPr>
              <w:t>12</w:t>
            </w:r>
          </w:p>
        </w:tc>
        <w:tc>
          <w:tcPr>
            <w:tcW w:w="1362" w:type="dxa"/>
            <w:shd w:val="clear" w:color="auto" w:fill="auto"/>
            <w:noWrap/>
            <w:vAlign w:val="bottom"/>
            <w:hideMark/>
          </w:tcPr>
          <w:p w14:paraId="717DFBF4"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0937ABFE" w14:textId="77777777" w:rsidR="00406434" w:rsidRPr="005F3E0B" w:rsidRDefault="00406434" w:rsidP="00C448E8">
            <w:pPr>
              <w:rPr>
                <w:lang w:eastAsia="ja-JP"/>
              </w:rPr>
            </w:pPr>
            <w:r w:rsidRPr="005F3E0B">
              <w:rPr>
                <w:lang w:eastAsia="ja-JP"/>
              </w:rPr>
              <w:t>15</w:t>
            </w:r>
          </w:p>
        </w:tc>
        <w:tc>
          <w:tcPr>
            <w:tcW w:w="1440" w:type="dxa"/>
            <w:shd w:val="clear" w:color="auto" w:fill="auto"/>
            <w:noWrap/>
            <w:vAlign w:val="bottom"/>
            <w:hideMark/>
          </w:tcPr>
          <w:p w14:paraId="37CDD590" w14:textId="77777777" w:rsidR="00406434" w:rsidRPr="005F3E0B" w:rsidRDefault="00406434" w:rsidP="00C448E8">
            <w:pPr>
              <w:rPr>
                <w:lang w:eastAsia="ja-JP"/>
              </w:rPr>
            </w:pPr>
            <w:r w:rsidRPr="005F3E0B">
              <w:rPr>
                <w:lang w:eastAsia="ja-JP"/>
              </w:rPr>
              <w:t>2</w:t>
            </w:r>
          </w:p>
        </w:tc>
      </w:tr>
      <w:tr w:rsidR="00406434" w:rsidRPr="005F3E0B" w14:paraId="02A6FC10" w14:textId="77777777" w:rsidTr="00721257">
        <w:trPr>
          <w:trHeight w:val="290"/>
        </w:trPr>
        <w:tc>
          <w:tcPr>
            <w:tcW w:w="3592" w:type="dxa"/>
            <w:shd w:val="clear" w:color="auto" w:fill="auto"/>
            <w:noWrap/>
            <w:vAlign w:val="bottom"/>
            <w:hideMark/>
          </w:tcPr>
          <w:p w14:paraId="43BA88DE" w14:textId="7244AF01" w:rsidR="00406434" w:rsidRPr="005F3E0B" w:rsidRDefault="00406434" w:rsidP="00C448E8">
            <w:pPr>
              <w:rPr>
                <w:lang w:eastAsia="ja-JP"/>
              </w:rPr>
            </w:pPr>
            <w:r w:rsidRPr="005F3E0B">
              <w:rPr>
                <w:lang w:eastAsia="ja-JP"/>
              </w:rPr>
              <w:t>Par</w:t>
            </w:r>
            <w:r w:rsidR="00D21305">
              <w:rPr>
                <w:lang w:eastAsia="ja-JP"/>
              </w:rPr>
              <w:t>a</w:t>
            </w:r>
            <w:r w:rsidRPr="005F3E0B">
              <w:rPr>
                <w:lang w:eastAsia="ja-JP"/>
              </w:rPr>
              <w:t>esthesia</w:t>
            </w:r>
          </w:p>
        </w:tc>
        <w:tc>
          <w:tcPr>
            <w:tcW w:w="1533" w:type="dxa"/>
            <w:shd w:val="clear" w:color="auto" w:fill="auto"/>
            <w:noWrap/>
            <w:vAlign w:val="bottom"/>
            <w:hideMark/>
          </w:tcPr>
          <w:p w14:paraId="662185BC" w14:textId="77777777" w:rsidR="00406434" w:rsidRPr="005F3E0B" w:rsidRDefault="00406434" w:rsidP="00C448E8">
            <w:pPr>
              <w:rPr>
                <w:lang w:eastAsia="ja-JP"/>
              </w:rPr>
            </w:pPr>
            <w:r w:rsidRPr="005F3E0B">
              <w:rPr>
                <w:lang w:eastAsia="ja-JP"/>
              </w:rPr>
              <w:t>10</w:t>
            </w:r>
          </w:p>
        </w:tc>
        <w:tc>
          <w:tcPr>
            <w:tcW w:w="1362" w:type="dxa"/>
            <w:shd w:val="clear" w:color="auto" w:fill="auto"/>
            <w:noWrap/>
            <w:vAlign w:val="bottom"/>
            <w:hideMark/>
          </w:tcPr>
          <w:p w14:paraId="2F147C60"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3FF44B1D" w14:textId="77777777" w:rsidR="00406434" w:rsidRPr="005F3E0B" w:rsidRDefault="00406434" w:rsidP="00C448E8">
            <w:pPr>
              <w:rPr>
                <w:lang w:eastAsia="ja-JP"/>
              </w:rPr>
            </w:pPr>
            <w:r w:rsidRPr="005F3E0B">
              <w:rPr>
                <w:lang w:eastAsia="ja-JP"/>
              </w:rPr>
              <w:t>8</w:t>
            </w:r>
          </w:p>
        </w:tc>
        <w:tc>
          <w:tcPr>
            <w:tcW w:w="1440" w:type="dxa"/>
            <w:shd w:val="clear" w:color="auto" w:fill="auto"/>
            <w:noWrap/>
            <w:vAlign w:val="bottom"/>
            <w:hideMark/>
          </w:tcPr>
          <w:p w14:paraId="19F26204" w14:textId="77777777" w:rsidR="00406434" w:rsidRPr="005F3E0B" w:rsidRDefault="00406434" w:rsidP="00C448E8">
            <w:pPr>
              <w:rPr>
                <w:lang w:eastAsia="ja-JP"/>
              </w:rPr>
            </w:pPr>
            <w:r w:rsidRPr="005F3E0B">
              <w:rPr>
                <w:lang w:eastAsia="ja-JP"/>
              </w:rPr>
              <w:t>0</w:t>
            </w:r>
          </w:p>
        </w:tc>
      </w:tr>
      <w:tr w:rsidR="00406434" w:rsidRPr="005F3E0B" w14:paraId="34C6CF4C" w14:textId="77777777" w:rsidTr="00721257">
        <w:trPr>
          <w:trHeight w:val="290"/>
        </w:trPr>
        <w:tc>
          <w:tcPr>
            <w:tcW w:w="3592" w:type="dxa"/>
            <w:shd w:val="clear" w:color="auto" w:fill="auto"/>
            <w:noWrap/>
            <w:vAlign w:val="bottom"/>
            <w:hideMark/>
          </w:tcPr>
          <w:p w14:paraId="5B20A5A9" w14:textId="77777777" w:rsidR="00406434" w:rsidRPr="005F3E0B" w:rsidRDefault="00406434" w:rsidP="00C448E8">
            <w:pPr>
              <w:rPr>
                <w:lang w:eastAsia="ja-JP"/>
              </w:rPr>
            </w:pPr>
            <w:r w:rsidRPr="005F3E0B">
              <w:rPr>
                <w:lang w:eastAsia="ja-JP"/>
              </w:rPr>
              <w:t>Dizziness</w:t>
            </w:r>
          </w:p>
        </w:tc>
        <w:tc>
          <w:tcPr>
            <w:tcW w:w="1533" w:type="dxa"/>
            <w:shd w:val="clear" w:color="auto" w:fill="auto"/>
            <w:noWrap/>
            <w:vAlign w:val="bottom"/>
            <w:hideMark/>
          </w:tcPr>
          <w:p w14:paraId="0E8038EA" w14:textId="77777777" w:rsidR="00406434" w:rsidRPr="005F3E0B" w:rsidRDefault="00406434" w:rsidP="00C448E8">
            <w:pPr>
              <w:rPr>
                <w:lang w:eastAsia="ja-JP"/>
              </w:rPr>
            </w:pPr>
            <w:r w:rsidRPr="005F3E0B">
              <w:rPr>
                <w:lang w:eastAsia="ja-JP"/>
              </w:rPr>
              <w:t>13</w:t>
            </w:r>
          </w:p>
        </w:tc>
        <w:tc>
          <w:tcPr>
            <w:tcW w:w="1362" w:type="dxa"/>
            <w:shd w:val="clear" w:color="auto" w:fill="auto"/>
            <w:noWrap/>
            <w:vAlign w:val="bottom"/>
            <w:hideMark/>
          </w:tcPr>
          <w:p w14:paraId="68141E6E"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66E04F5B" w14:textId="77777777" w:rsidR="00406434" w:rsidRPr="005F3E0B" w:rsidRDefault="00406434" w:rsidP="00C448E8">
            <w:pPr>
              <w:rPr>
                <w:lang w:eastAsia="ja-JP"/>
              </w:rPr>
            </w:pPr>
            <w:r w:rsidRPr="005F3E0B">
              <w:rPr>
                <w:lang w:eastAsia="ja-JP"/>
              </w:rPr>
              <w:t>11</w:t>
            </w:r>
          </w:p>
        </w:tc>
        <w:tc>
          <w:tcPr>
            <w:tcW w:w="1440" w:type="dxa"/>
            <w:shd w:val="clear" w:color="auto" w:fill="auto"/>
            <w:noWrap/>
            <w:vAlign w:val="bottom"/>
            <w:hideMark/>
          </w:tcPr>
          <w:p w14:paraId="46513764" w14:textId="77777777" w:rsidR="00406434" w:rsidRPr="005F3E0B" w:rsidRDefault="00406434" w:rsidP="00C448E8">
            <w:pPr>
              <w:rPr>
                <w:lang w:eastAsia="ja-JP"/>
              </w:rPr>
            </w:pPr>
            <w:r w:rsidRPr="005F3E0B">
              <w:rPr>
                <w:lang w:eastAsia="ja-JP"/>
              </w:rPr>
              <w:t>0</w:t>
            </w:r>
          </w:p>
        </w:tc>
      </w:tr>
      <w:tr w:rsidR="00406434" w:rsidRPr="005F3E0B" w14:paraId="4976145F" w14:textId="77777777" w:rsidTr="00721257">
        <w:trPr>
          <w:trHeight w:val="290"/>
        </w:trPr>
        <w:tc>
          <w:tcPr>
            <w:tcW w:w="3592" w:type="dxa"/>
            <w:shd w:val="clear" w:color="auto" w:fill="auto"/>
            <w:noWrap/>
            <w:vAlign w:val="bottom"/>
            <w:hideMark/>
          </w:tcPr>
          <w:p w14:paraId="4A0B5387" w14:textId="77777777" w:rsidR="00406434" w:rsidRPr="005F3E0B" w:rsidRDefault="00406434" w:rsidP="00C448E8">
            <w:pPr>
              <w:rPr>
                <w:b/>
                <w:lang w:eastAsia="ja-JP"/>
              </w:rPr>
            </w:pPr>
            <w:r w:rsidRPr="005F3E0B">
              <w:rPr>
                <w:b/>
                <w:lang w:eastAsia="ja-JP"/>
              </w:rPr>
              <w:lastRenderedPageBreak/>
              <w:t>Investigations</w:t>
            </w:r>
          </w:p>
        </w:tc>
        <w:tc>
          <w:tcPr>
            <w:tcW w:w="5763" w:type="dxa"/>
            <w:gridSpan w:val="4"/>
            <w:shd w:val="clear" w:color="auto" w:fill="auto"/>
            <w:noWrap/>
            <w:vAlign w:val="bottom"/>
            <w:hideMark/>
          </w:tcPr>
          <w:p w14:paraId="2F902F5F" w14:textId="77777777" w:rsidR="00406434" w:rsidRPr="005F3E0B" w:rsidRDefault="00406434" w:rsidP="00C448E8">
            <w:pPr>
              <w:rPr>
                <w:b/>
                <w:lang w:eastAsia="ja-JP"/>
              </w:rPr>
            </w:pPr>
          </w:p>
        </w:tc>
      </w:tr>
      <w:tr w:rsidR="00406434" w:rsidRPr="005F3E0B" w14:paraId="6F0606C9" w14:textId="77777777" w:rsidTr="00721257">
        <w:trPr>
          <w:trHeight w:val="290"/>
        </w:trPr>
        <w:tc>
          <w:tcPr>
            <w:tcW w:w="3592" w:type="dxa"/>
            <w:shd w:val="clear" w:color="auto" w:fill="auto"/>
            <w:noWrap/>
            <w:vAlign w:val="bottom"/>
          </w:tcPr>
          <w:p w14:paraId="51F85794" w14:textId="77777777" w:rsidR="00406434" w:rsidRPr="005F3E0B" w:rsidRDefault="00406434" w:rsidP="00C448E8">
            <w:pPr>
              <w:rPr>
                <w:lang w:eastAsia="ja-JP"/>
              </w:rPr>
            </w:pPr>
            <w:r w:rsidRPr="005F3E0B">
              <w:rPr>
                <w:lang w:eastAsia="ja-JP"/>
              </w:rPr>
              <w:t>Weight decreased</w:t>
            </w:r>
          </w:p>
        </w:tc>
        <w:tc>
          <w:tcPr>
            <w:tcW w:w="1533" w:type="dxa"/>
            <w:shd w:val="clear" w:color="auto" w:fill="auto"/>
            <w:noWrap/>
            <w:vAlign w:val="bottom"/>
          </w:tcPr>
          <w:p w14:paraId="3F44A527" w14:textId="77777777" w:rsidR="00406434" w:rsidRPr="005F3E0B" w:rsidRDefault="00406434" w:rsidP="00C448E8">
            <w:pPr>
              <w:rPr>
                <w:lang w:eastAsia="ja-JP"/>
              </w:rPr>
            </w:pPr>
            <w:r w:rsidRPr="005F3E0B">
              <w:rPr>
                <w:lang w:eastAsia="ja-JP"/>
              </w:rPr>
              <w:t>11</w:t>
            </w:r>
          </w:p>
        </w:tc>
        <w:tc>
          <w:tcPr>
            <w:tcW w:w="1362" w:type="dxa"/>
            <w:shd w:val="clear" w:color="auto" w:fill="auto"/>
            <w:noWrap/>
            <w:vAlign w:val="bottom"/>
          </w:tcPr>
          <w:p w14:paraId="4780A195"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tcPr>
          <w:p w14:paraId="2CC3B7DB"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tcPr>
          <w:p w14:paraId="6B712785" w14:textId="77777777" w:rsidR="00406434" w:rsidRPr="005F3E0B" w:rsidRDefault="00406434" w:rsidP="00C448E8">
            <w:pPr>
              <w:rPr>
                <w:lang w:eastAsia="ja-JP"/>
              </w:rPr>
            </w:pPr>
            <w:r w:rsidRPr="005F3E0B">
              <w:rPr>
                <w:lang w:eastAsia="ja-JP"/>
              </w:rPr>
              <w:t>0.8</w:t>
            </w:r>
          </w:p>
        </w:tc>
      </w:tr>
      <w:tr w:rsidR="00406434" w:rsidRPr="005F3E0B" w14:paraId="74F03E94" w14:textId="77777777" w:rsidTr="00721257">
        <w:trPr>
          <w:trHeight w:val="290"/>
        </w:trPr>
        <w:tc>
          <w:tcPr>
            <w:tcW w:w="9355" w:type="dxa"/>
            <w:gridSpan w:val="5"/>
            <w:shd w:val="clear" w:color="auto" w:fill="auto"/>
            <w:noWrap/>
            <w:vAlign w:val="bottom"/>
            <w:hideMark/>
          </w:tcPr>
          <w:p w14:paraId="553F3565" w14:textId="77777777" w:rsidR="00406434" w:rsidRPr="005F3E0B" w:rsidRDefault="00406434" w:rsidP="00C448E8">
            <w:pPr>
              <w:rPr>
                <w:b/>
                <w:lang w:eastAsia="ja-JP"/>
              </w:rPr>
            </w:pPr>
            <w:r w:rsidRPr="005F3E0B">
              <w:rPr>
                <w:b/>
                <w:lang w:eastAsia="ja-JP"/>
              </w:rPr>
              <w:t>Musculoskeletal and connective tissue disorders</w:t>
            </w:r>
          </w:p>
        </w:tc>
      </w:tr>
      <w:tr w:rsidR="00406434" w:rsidRPr="005F3E0B" w14:paraId="5C120CB0" w14:textId="77777777" w:rsidTr="00721257">
        <w:trPr>
          <w:trHeight w:val="290"/>
        </w:trPr>
        <w:tc>
          <w:tcPr>
            <w:tcW w:w="3592" w:type="dxa"/>
            <w:shd w:val="clear" w:color="auto" w:fill="auto"/>
            <w:noWrap/>
            <w:vAlign w:val="bottom"/>
            <w:hideMark/>
          </w:tcPr>
          <w:p w14:paraId="3F9D9A45" w14:textId="77777777" w:rsidR="00406434" w:rsidRPr="005F3E0B" w:rsidRDefault="00406434" w:rsidP="00C448E8">
            <w:pPr>
              <w:rPr>
                <w:lang w:eastAsia="ja-JP"/>
              </w:rPr>
            </w:pPr>
            <w:r w:rsidRPr="005F3E0B">
              <w:rPr>
                <w:lang w:eastAsia="ja-JP"/>
              </w:rPr>
              <w:t>Myalgia</w:t>
            </w:r>
          </w:p>
        </w:tc>
        <w:tc>
          <w:tcPr>
            <w:tcW w:w="1533" w:type="dxa"/>
            <w:shd w:val="clear" w:color="auto" w:fill="auto"/>
            <w:noWrap/>
            <w:vAlign w:val="bottom"/>
            <w:hideMark/>
          </w:tcPr>
          <w:p w14:paraId="1C340F20" w14:textId="77777777" w:rsidR="00406434" w:rsidRPr="005F3E0B" w:rsidRDefault="00406434" w:rsidP="00C448E8">
            <w:pPr>
              <w:rPr>
                <w:lang w:eastAsia="ja-JP"/>
              </w:rPr>
            </w:pPr>
            <w:r w:rsidRPr="005F3E0B">
              <w:rPr>
                <w:lang w:eastAsia="ja-JP"/>
              </w:rPr>
              <w:t>25</w:t>
            </w:r>
          </w:p>
        </w:tc>
        <w:tc>
          <w:tcPr>
            <w:tcW w:w="1362" w:type="dxa"/>
            <w:shd w:val="clear" w:color="auto" w:fill="auto"/>
            <w:noWrap/>
            <w:vAlign w:val="bottom"/>
            <w:hideMark/>
          </w:tcPr>
          <w:p w14:paraId="14351219"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530409E5" w14:textId="77777777" w:rsidR="00406434" w:rsidRPr="005F3E0B" w:rsidRDefault="00406434" w:rsidP="00C448E8">
            <w:pPr>
              <w:rPr>
                <w:lang w:eastAsia="ja-JP"/>
              </w:rPr>
            </w:pPr>
            <w:r w:rsidRPr="005F3E0B">
              <w:rPr>
                <w:lang w:eastAsia="ja-JP"/>
              </w:rPr>
              <w:t>19</w:t>
            </w:r>
          </w:p>
        </w:tc>
        <w:tc>
          <w:tcPr>
            <w:tcW w:w="1440" w:type="dxa"/>
            <w:shd w:val="clear" w:color="auto" w:fill="auto"/>
            <w:noWrap/>
            <w:vAlign w:val="bottom"/>
            <w:hideMark/>
          </w:tcPr>
          <w:p w14:paraId="5CFC749A" w14:textId="77777777" w:rsidR="00406434" w:rsidRPr="005F3E0B" w:rsidRDefault="00406434" w:rsidP="00C448E8">
            <w:pPr>
              <w:rPr>
                <w:lang w:eastAsia="ja-JP"/>
              </w:rPr>
            </w:pPr>
            <w:r w:rsidRPr="005F3E0B">
              <w:rPr>
                <w:lang w:eastAsia="ja-JP"/>
              </w:rPr>
              <w:t>0.4</w:t>
            </w:r>
          </w:p>
        </w:tc>
      </w:tr>
      <w:tr w:rsidR="00406434" w:rsidRPr="005F3E0B" w14:paraId="0FF6EA3F" w14:textId="77777777" w:rsidTr="00721257">
        <w:trPr>
          <w:trHeight w:val="290"/>
        </w:trPr>
        <w:tc>
          <w:tcPr>
            <w:tcW w:w="3592" w:type="dxa"/>
            <w:shd w:val="clear" w:color="auto" w:fill="auto"/>
            <w:noWrap/>
            <w:vAlign w:val="bottom"/>
            <w:hideMark/>
          </w:tcPr>
          <w:p w14:paraId="3B7DA67C" w14:textId="77777777" w:rsidR="00406434" w:rsidRPr="005F3E0B" w:rsidRDefault="00406434" w:rsidP="00C448E8">
            <w:pPr>
              <w:rPr>
                <w:lang w:eastAsia="ja-JP"/>
              </w:rPr>
            </w:pPr>
            <w:r w:rsidRPr="005F3E0B">
              <w:rPr>
                <w:lang w:eastAsia="ja-JP"/>
              </w:rPr>
              <w:t>Arthralgia</w:t>
            </w:r>
          </w:p>
        </w:tc>
        <w:tc>
          <w:tcPr>
            <w:tcW w:w="1533" w:type="dxa"/>
            <w:shd w:val="clear" w:color="auto" w:fill="auto"/>
            <w:noWrap/>
            <w:vAlign w:val="bottom"/>
            <w:hideMark/>
          </w:tcPr>
          <w:p w14:paraId="5E68C820" w14:textId="77777777" w:rsidR="00406434" w:rsidRPr="005F3E0B" w:rsidRDefault="00406434" w:rsidP="00C448E8">
            <w:pPr>
              <w:rPr>
                <w:lang w:eastAsia="ja-JP"/>
              </w:rPr>
            </w:pPr>
            <w:r w:rsidRPr="005F3E0B">
              <w:rPr>
                <w:lang w:eastAsia="ja-JP"/>
              </w:rPr>
              <w:t>24</w:t>
            </w:r>
          </w:p>
        </w:tc>
        <w:tc>
          <w:tcPr>
            <w:tcW w:w="1362" w:type="dxa"/>
            <w:shd w:val="clear" w:color="auto" w:fill="auto"/>
            <w:noWrap/>
            <w:vAlign w:val="bottom"/>
            <w:hideMark/>
          </w:tcPr>
          <w:p w14:paraId="74D24EBC"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43237DB4" w14:textId="77777777" w:rsidR="00406434" w:rsidRPr="005F3E0B" w:rsidRDefault="00406434" w:rsidP="00C448E8">
            <w:pPr>
              <w:rPr>
                <w:lang w:eastAsia="ja-JP"/>
              </w:rPr>
            </w:pPr>
            <w:r w:rsidRPr="005F3E0B">
              <w:rPr>
                <w:lang w:eastAsia="ja-JP"/>
              </w:rPr>
              <w:t>28</w:t>
            </w:r>
          </w:p>
        </w:tc>
        <w:tc>
          <w:tcPr>
            <w:tcW w:w="1440" w:type="dxa"/>
            <w:shd w:val="clear" w:color="auto" w:fill="auto"/>
            <w:noWrap/>
            <w:vAlign w:val="bottom"/>
            <w:hideMark/>
          </w:tcPr>
          <w:p w14:paraId="439A4286" w14:textId="77777777" w:rsidR="00406434" w:rsidRPr="005F3E0B" w:rsidRDefault="00406434" w:rsidP="00C448E8">
            <w:pPr>
              <w:rPr>
                <w:lang w:eastAsia="ja-JP"/>
              </w:rPr>
            </w:pPr>
            <w:r w:rsidRPr="005F3E0B">
              <w:rPr>
                <w:lang w:eastAsia="ja-JP"/>
              </w:rPr>
              <w:t>0.4</w:t>
            </w:r>
          </w:p>
        </w:tc>
      </w:tr>
      <w:tr w:rsidR="00406434" w:rsidRPr="005F3E0B" w14:paraId="2FD210CA" w14:textId="77777777" w:rsidTr="00721257">
        <w:trPr>
          <w:trHeight w:val="290"/>
        </w:trPr>
        <w:tc>
          <w:tcPr>
            <w:tcW w:w="3592" w:type="dxa"/>
            <w:shd w:val="clear" w:color="auto" w:fill="auto"/>
            <w:noWrap/>
            <w:vAlign w:val="bottom"/>
            <w:hideMark/>
          </w:tcPr>
          <w:p w14:paraId="0E852504" w14:textId="77777777" w:rsidR="00406434" w:rsidRPr="005F3E0B" w:rsidRDefault="00406434" w:rsidP="00C448E8">
            <w:pPr>
              <w:rPr>
                <w:lang w:eastAsia="ja-JP"/>
              </w:rPr>
            </w:pPr>
            <w:r w:rsidRPr="005F3E0B">
              <w:rPr>
                <w:lang w:eastAsia="ja-JP"/>
              </w:rPr>
              <w:t>Back pain</w:t>
            </w:r>
          </w:p>
        </w:tc>
        <w:tc>
          <w:tcPr>
            <w:tcW w:w="1533" w:type="dxa"/>
            <w:shd w:val="clear" w:color="auto" w:fill="auto"/>
            <w:noWrap/>
            <w:vAlign w:val="bottom"/>
            <w:hideMark/>
          </w:tcPr>
          <w:p w14:paraId="24E9D1C9" w14:textId="77777777" w:rsidR="00406434" w:rsidRPr="005F3E0B" w:rsidRDefault="00406434" w:rsidP="00C448E8">
            <w:pPr>
              <w:rPr>
                <w:lang w:eastAsia="ja-JP"/>
              </w:rPr>
            </w:pPr>
            <w:r w:rsidRPr="005F3E0B">
              <w:rPr>
                <w:lang w:eastAsia="ja-JP"/>
              </w:rPr>
              <w:t>10</w:t>
            </w:r>
          </w:p>
        </w:tc>
        <w:tc>
          <w:tcPr>
            <w:tcW w:w="1362" w:type="dxa"/>
            <w:shd w:val="clear" w:color="auto" w:fill="auto"/>
            <w:noWrap/>
            <w:vAlign w:val="bottom"/>
            <w:hideMark/>
          </w:tcPr>
          <w:p w14:paraId="3921E2DD"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6408FFC4" w14:textId="77777777" w:rsidR="00406434" w:rsidRPr="005F3E0B" w:rsidRDefault="00406434" w:rsidP="00C448E8">
            <w:pPr>
              <w:rPr>
                <w:lang w:eastAsia="ja-JP"/>
              </w:rPr>
            </w:pPr>
            <w:r w:rsidRPr="005F3E0B">
              <w:rPr>
                <w:lang w:eastAsia="ja-JP"/>
              </w:rPr>
              <w:t>4.8</w:t>
            </w:r>
          </w:p>
        </w:tc>
        <w:tc>
          <w:tcPr>
            <w:tcW w:w="1440" w:type="dxa"/>
            <w:shd w:val="clear" w:color="auto" w:fill="auto"/>
            <w:noWrap/>
            <w:vAlign w:val="bottom"/>
            <w:hideMark/>
          </w:tcPr>
          <w:p w14:paraId="4848E6FB" w14:textId="77777777" w:rsidR="00406434" w:rsidRPr="005F3E0B" w:rsidRDefault="00406434" w:rsidP="00C448E8">
            <w:pPr>
              <w:rPr>
                <w:lang w:eastAsia="ja-JP"/>
              </w:rPr>
            </w:pPr>
            <w:r w:rsidRPr="005F3E0B">
              <w:rPr>
                <w:lang w:eastAsia="ja-JP"/>
              </w:rPr>
              <w:t>0</w:t>
            </w:r>
          </w:p>
        </w:tc>
      </w:tr>
      <w:tr w:rsidR="00406434" w:rsidRPr="005F3E0B" w14:paraId="4988A7F9" w14:textId="77777777" w:rsidTr="00721257">
        <w:trPr>
          <w:trHeight w:val="290"/>
        </w:trPr>
        <w:tc>
          <w:tcPr>
            <w:tcW w:w="3592" w:type="dxa"/>
            <w:shd w:val="clear" w:color="auto" w:fill="auto"/>
            <w:noWrap/>
            <w:vAlign w:val="bottom"/>
            <w:hideMark/>
          </w:tcPr>
          <w:p w14:paraId="28DAD48D" w14:textId="77777777" w:rsidR="00406434" w:rsidRPr="005F3E0B" w:rsidRDefault="00406434" w:rsidP="00C448E8">
            <w:pPr>
              <w:rPr>
                <w:lang w:eastAsia="ja-JP"/>
              </w:rPr>
            </w:pPr>
            <w:r w:rsidRPr="005F3E0B">
              <w:rPr>
                <w:lang w:eastAsia="ja-JP"/>
              </w:rPr>
              <w:t>Bone pain</w:t>
            </w:r>
          </w:p>
        </w:tc>
        <w:tc>
          <w:tcPr>
            <w:tcW w:w="1533" w:type="dxa"/>
            <w:shd w:val="clear" w:color="auto" w:fill="auto"/>
            <w:noWrap/>
            <w:vAlign w:val="bottom"/>
            <w:hideMark/>
          </w:tcPr>
          <w:p w14:paraId="6E18DD6B"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4AF3348D"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6F33E79A" w14:textId="77777777" w:rsidR="00406434" w:rsidRPr="005F3E0B" w:rsidRDefault="00406434" w:rsidP="00C448E8">
            <w:pPr>
              <w:rPr>
                <w:lang w:eastAsia="ja-JP"/>
              </w:rPr>
            </w:pPr>
            <w:r w:rsidRPr="005F3E0B">
              <w:rPr>
                <w:lang w:eastAsia="ja-JP"/>
              </w:rPr>
              <w:t>5</w:t>
            </w:r>
          </w:p>
        </w:tc>
        <w:tc>
          <w:tcPr>
            <w:tcW w:w="1440" w:type="dxa"/>
            <w:shd w:val="clear" w:color="auto" w:fill="auto"/>
            <w:noWrap/>
            <w:vAlign w:val="bottom"/>
            <w:hideMark/>
          </w:tcPr>
          <w:p w14:paraId="3548EBBE" w14:textId="77777777" w:rsidR="00406434" w:rsidRPr="005F3E0B" w:rsidRDefault="00406434" w:rsidP="00C448E8">
            <w:pPr>
              <w:rPr>
                <w:lang w:eastAsia="ja-JP"/>
              </w:rPr>
            </w:pPr>
            <w:r w:rsidRPr="005F3E0B">
              <w:rPr>
                <w:lang w:eastAsia="ja-JP"/>
              </w:rPr>
              <w:t>0</w:t>
            </w:r>
          </w:p>
        </w:tc>
      </w:tr>
      <w:tr w:rsidR="00406434" w:rsidRPr="005F3E0B" w14:paraId="77CDE270" w14:textId="77777777" w:rsidTr="00721257">
        <w:trPr>
          <w:trHeight w:val="290"/>
        </w:trPr>
        <w:tc>
          <w:tcPr>
            <w:tcW w:w="3592" w:type="dxa"/>
            <w:shd w:val="clear" w:color="auto" w:fill="auto"/>
            <w:noWrap/>
            <w:vAlign w:val="bottom"/>
            <w:hideMark/>
          </w:tcPr>
          <w:p w14:paraId="1AA0CE08" w14:textId="77777777" w:rsidR="00406434" w:rsidRPr="005F3E0B" w:rsidRDefault="00406434" w:rsidP="00C448E8">
            <w:pPr>
              <w:rPr>
                <w:lang w:eastAsia="ja-JP"/>
              </w:rPr>
            </w:pPr>
            <w:r w:rsidRPr="005F3E0B">
              <w:rPr>
                <w:lang w:eastAsia="ja-JP"/>
              </w:rPr>
              <w:t>Pain in extremity</w:t>
            </w:r>
          </w:p>
        </w:tc>
        <w:tc>
          <w:tcPr>
            <w:tcW w:w="1533" w:type="dxa"/>
            <w:shd w:val="clear" w:color="auto" w:fill="auto"/>
            <w:noWrap/>
            <w:vAlign w:val="bottom"/>
            <w:hideMark/>
          </w:tcPr>
          <w:p w14:paraId="260CC2D4" w14:textId="77777777" w:rsidR="00406434" w:rsidRPr="005F3E0B" w:rsidRDefault="00406434" w:rsidP="00C448E8">
            <w:pPr>
              <w:rPr>
                <w:lang w:eastAsia="ja-JP"/>
              </w:rPr>
            </w:pPr>
            <w:r w:rsidRPr="005F3E0B">
              <w:rPr>
                <w:lang w:eastAsia="ja-JP"/>
              </w:rPr>
              <w:t>6</w:t>
            </w:r>
          </w:p>
        </w:tc>
        <w:tc>
          <w:tcPr>
            <w:tcW w:w="1362" w:type="dxa"/>
            <w:shd w:val="clear" w:color="auto" w:fill="auto"/>
            <w:noWrap/>
            <w:vAlign w:val="bottom"/>
            <w:hideMark/>
          </w:tcPr>
          <w:p w14:paraId="529B0227"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1FAE626B" w14:textId="77777777" w:rsidR="00406434" w:rsidRPr="005F3E0B" w:rsidRDefault="00406434" w:rsidP="00C448E8">
            <w:pPr>
              <w:rPr>
                <w:lang w:eastAsia="ja-JP"/>
              </w:rPr>
            </w:pPr>
            <w:r w:rsidRPr="005F3E0B">
              <w:rPr>
                <w:lang w:eastAsia="ja-JP"/>
              </w:rPr>
              <w:t>8</w:t>
            </w:r>
          </w:p>
        </w:tc>
        <w:tc>
          <w:tcPr>
            <w:tcW w:w="1440" w:type="dxa"/>
            <w:shd w:val="clear" w:color="auto" w:fill="auto"/>
            <w:noWrap/>
            <w:vAlign w:val="bottom"/>
            <w:hideMark/>
          </w:tcPr>
          <w:p w14:paraId="00026AF5" w14:textId="77777777" w:rsidR="00406434" w:rsidRPr="005F3E0B" w:rsidRDefault="00406434" w:rsidP="00C448E8">
            <w:pPr>
              <w:rPr>
                <w:lang w:eastAsia="ja-JP"/>
              </w:rPr>
            </w:pPr>
            <w:r w:rsidRPr="005F3E0B">
              <w:rPr>
                <w:lang w:eastAsia="ja-JP"/>
              </w:rPr>
              <w:t>0</w:t>
            </w:r>
          </w:p>
        </w:tc>
      </w:tr>
      <w:tr w:rsidR="00406434" w:rsidRPr="005F3E0B" w14:paraId="72F9F631" w14:textId="77777777" w:rsidTr="00721257">
        <w:trPr>
          <w:trHeight w:val="290"/>
        </w:trPr>
        <w:tc>
          <w:tcPr>
            <w:tcW w:w="3592" w:type="dxa"/>
            <w:shd w:val="clear" w:color="auto" w:fill="auto"/>
            <w:noWrap/>
            <w:vAlign w:val="bottom"/>
          </w:tcPr>
          <w:p w14:paraId="3074CDB0" w14:textId="77777777" w:rsidR="00406434" w:rsidRPr="005F3E0B" w:rsidRDefault="00406434" w:rsidP="00C448E8">
            <w:pPr>
              <w:rPr>
                <w:lang w:eastAsia="ja-JP"/>
              </w:rPr>
            </w:pPr>
            <w:r w:rsidRPr="005F3E0B">
              <w:rPr>
                <w:lang w:eastAsia="ja-JP"/>
              </w:rPr>
              <w:t>Muscle spasms</w:t>
            </w:r>
          </w:p>
        </w:tc>
        <w:tc>
          <w:tcPr>
            <w:tcW w:w="1533" w:type="dxa"/>
            <w:shd w:val="clear" w:color="auto" w:fill="auto"/>
            <w:noWrap/>
            <w:vAlign w:val="bottom"/>
          </w:tcPr>
          <w:p w14:paraId="0C03A90A" w14:textId="77777777" w:rsidR="00406434" w:rsidRPr="005F3E0B" w:rsidRDefault="00406434" w:rsidP="00C448E8">
            <w:pPr>
              <w:rPr>
                <w:lang w:eastAsia="ja-JP"/>
              </w:rPr>
            </w:pPr>
            <w:r w:rsidRPr="005F3E0B">
              <w:rPr>
                <w:lang w:eastAsia="ja-JP"/>
              </w:rPr>
              <w:t>6</w:t>
            </w:r>
          </w:p>
        </w:tc>
        <w:tc>
          <w:tcPr>
            <w:tcW w:w="1362" w:type="dxa"/>
            <w:shd w:val="clear" w:color="auto" w:fill="auto"/>
            <w:noWrap/>
            <w:vAlign w:val="bottom"/>
          </w:tcPr>
          <w:p w14:paraId="03789EC8"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tcPr>
          <w:p w14:paraId="45701055" w14:textId="77777777" w:rsidR="00406434" w:rsidRPr="005F3E0B" w:rsidRDefault="00406434" w:rsidP="00C448E8">
            <w:pPr>
              <w:rPr>
                <w:lang w:eastAsia="ja-JP"/>
              </w:rPr>
            </w:pPr>
            <w:r w:rsidRPr="005F3E0B">
              <w:rPr>
                <w:lang w:eastAsia="ja-JP"/>
              </w:rPr>
              <w:t>7</w:t>
            </w:r>
          </w:p>
        </w:tc>
        <w:tc>
          <w:tcPr>
            <w:tcW w:w="1440" w:type="dxa"/>
            <w:shd w:val="clear" w:color="auto" w:fill="auto"/>
            <w:noWrap/>
            <w:vAlign w:val="bottom"/>
          </w:tcPr>
          <w:p w14:paraId="772F7720" w14:textId="77777777" w:rsidR="00406434" w:rsidRPr="005F3E0B" w:rsidRDefault="00406434" w:rsidP="00C448E8">
            <w:pPr>
              <w:rPr>
                <w:lang w:eastAsia="ja-JP"/>
              </w:rPr>
            </w:pPr>
            <w:r w:rsidRPr="005F3E0B">
              <w:rPr>
                <w:lang w:eastAsia="ja-JP"/>
              </w:rPr>
              <w:t>0</w:t>
            </w:r>
          </w:p>
        </w:tc>
      </w:tr>
      <w:tr w:rsidR="00406434" w:rsidRPr="005F3E0B" w14:paraId="1E42BB37" w14:textId="77777777" w:rsidTr="00721257">
        <w:trPr>
          <w:trHeight w:val="290"/>
        </w:trPr>
        <w:tc>
          <w:tcPr>
            <w:tcW w:w="3592" w:type="dxa"/>
            <w:shd w:val="clear" w:color="auto" w:fill="auto"/>
            <w:noWrap/>
            <w:vAlign w:val="bottom"/>
          </w:tcPr>
          <w:p w14:paraId="7A66A178" w14:textId="77777777" w:rsidR="00406434" w:rsidRPr="005F3E0B" w:rsidRDefault="00406434" w:rsidP="00C448E8">
            <w:pPr>
              <w:rPr>
                <w:lang w:eastAsia="ja-JP"/>
              </w:rPr>
            </w:pPr>
            <w:r w:rsidRPr="005F3E0B">
              <w:rPr>
                <w:lang w:eastAsia="ja-JP"/>
              </w:rPr>
              <w:t>Musculoskeletal pain</w:t>
            </w:r>
          </w:p>
        </w:tc>
        <w:tc>
          <w:tcPr>
            <w:tcW w:w="1533" w:type="dxa"/>
            <w:shd w:val="clear" w:color="auto" w:fill="auto"/>
            <w:noWrap/>
            <w:vAlign w:val="bottom"/>
          </w:tcPr>
          <w:p w14:paraId="4E4D798B" w14:textId="77777777" w:rsidR="00406434" w:rsidRPr="005F3E0B" w:rsidRDefault="00406434" w:rsidP="00C448E8">
            <w:pPr>
              <w:rPr>
                <w:lang w:eastAsia="ja-JP"/>
              </w:rPr>
            </w:pPr>
            <w:r w:rsidRPr="005F3E0B">
              <w:rPr>
                <w:lang w:eastAsia="ja-JP"/>
              </w:rPr>
              <w:t>6</w:t>
            </w:r>
          </w:p>
        </w:tc>
        <w:tc>
          <w:tcPr>
            <w:tcW w:w="1362" w:type="dxa"/>
            <w:shd w:val="clear" w:color="auto" w:fill="auto"/>
            <w:noWrap/>
            <w:vAlign w:val="bottom"/>
          </w:tcPr>
          <w:p w14:paraId="0D3CBA91"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tcPr>
          <w:p w14:paraId="6DCE03D2" w14:textId="77777777" w:rsidR="00406434" w:rsidRPr="005F3E0B" w:rsidRDefault="00406434" w:rsidP="00C448E8">
            <w:pPr>
              <w:rPr>
                <w:lang w:eastAsia="ja-JP"/>
              </w:rPr>
            </w:pPr>
            <w:r w:rsidRPr="005F3E0B">
              <w:rPr>
                <w:lang w:eastAsia="ja-JP"/>
              </w:rPr>
              <w:t>8</w:t>
            </w:r>
          </w:p>
        </w:tc>
        <w:tc>
          <w:tcPr>
            <w:tcW w:w="1440" w:type="dxa"/>
            <w:shd w:val="clear" w:color="auto" w:fill="auto"/>
            <w:noWrap/>
            <w:vAlign w:val="bottom"/>
          </w:tcPr>
          <w:p w14:paraId="13758382" w14:textId="77777777" w:rsidR="00406434" w:rsidRPr="005F3E0B" w:rsidRDefault="00406434" w:rsidP="00C448E8">
            <w:pPr>
              <w:rPr>
                <w:lang w:eastAsia="ja-JP"/>
              </w:rPr>
            </w:pPr>
            <w:r w:rsidRPr="005F3E0B">
              <w:rPr>
                <w:lang w:eastAsia="ja-JP"/>
              </w:rPr>
              <w:t>0</w:t>
            </w:r>
          </w:p>
        </w:tc>
      </w:tr>
      <w:tr w:rsidR="00406434" w:rsidRPr="005F3E0B" w14:paraId="1B01C283" w14:textId="77777777" w:rsidTr="00721257">
        <w:trPr>
          <w:trHeight w:val="290"/>
        </w:trPr>
        <w:tc>
          <w:tcPr>
            <w:tcW w:w="9355" w:type="dxa"/>
            <w:gridSpan w:val="5"/>
            <w:shd w:val="clear" w:color="auto" w:fill="auto"/>
            <w:noWrap/>
            <w:vAlign w:val="bottom"/>
            <w:hideMark/>
          </w:tcPr>
          <w:p w14:paraId="0114EE2C" w14:textId="77777777" w:rsidR="00406434" w:rsidRPr="005F3E0B" w:rsidRDefault="00406434" w:rsidP="00C448E8">
            <w:pPr>
              <w:rPr>
                <w:b/>
                <w:lang w:eastAsia="ja-JP"/>
              </w:rPr>
            </w:pPr>
            <w:r w:rsidRPr="005F3E0B">
              <w:rPr>
                <w:b/>
                <w:lang w:eastAsia="ja-JP"/>
              </w:rPr>
              <w:t xml:space="preserve">Respiratory, </w:t>
            </w:r>
            <w:proofErr w:type="gramStart"/>
            <w:r w:rsidRPr="005F3E0B">
              <w:rPr>
                <w:b/>
                <w:lang w:eastAsia="ja-JP"/>
              </w:rPr>
              <w:t>thoracic</w:t>
            </w:r>
            <w:proofErr w:type="gramEnd"/>
            <w:r w:rsidRPr="005F3E0B">
              <w:rPr>
                <w:b/>
                <w:lang w:eastAsia="ja-JP"/>
              </w:rPr>
              <w:t xml:space="preserve"> and mediastinal disorder</w:t>
            </w:r>
          </w:p>
        </w:tc>
      </w:tr>
      <w:tr w:rsidR="00406434" w:rsidRPr="005F3E0B" w14:paraId="7E817A6E" w14:textId="77777777" w:rsidTr="00721257">
        <w:trPr>
          <w:trHeight w:val="290"/>
        </w:trPr>
        <w:tc>
          <w:tcPr>
            <w:tcW w:w="3592" w:type="dxa"/>
            <w:shd w:val="clear" w:color="auto" w:fill="auto"/>
            <w:noWrap/>
            <w:vAlign w:val="bottom"/>
            <w:hideMark/>
          </w:tcPr>
          <w:p w14:paraId="2D8FDBBB" w14:textId="77777777" w:rsidR="00406434" w:rsidRPr="005F3E0B" w:rsidRDefault="00406434" w:rsidP="00C448E8">
            <w:pPr>
              <w:rPr>
                <w:lang w:eastAsia="ja-JP"/>
              </w:rPr>
            </w:pPr>
            <w:r w:rsidRPr="005F3E0B">
              <w:rPr>
                <w:lang w:eastAsia="ja-JP"/>
              </w:rPr>
              <w:t>Cough</w:t>
            </w:r>
          </w:p>
        </w:tc>
        <w:tc>
          <w:tcPr>
            <w:tcW w:w="1533" w:type="dxa"/>
            <w:shd w:val="clear" w:color="auto" w:fill="auto"/>
            <w:noWrap/>
            <w:vAlign w:val="bottom"/>
            <w:hideMark/>
          </w:tcPr>
          <w:p w14:paraId="02ED667F" w14:textId="77777777" w:rsidR="00406434" w:rsidRPr="005F3E0B" w:rsidRDefault="00406434" w:rsidP="00C448E8">
            <w:pPr>
              <w:rPr>
                <w:lang w:eastAsia="ja-JP"/>
              </w:rPr>
            </w:pPr>
            <w:r w:rsidRPr="005F3E0B">
              <w:rPr>
                <w:lang w:eastAsia="ja-JP"/>
              </w:rPr>
              <w:t>15</w:t>
            </w:r>
          </w:p>
        </w:tc>
        <w:tc>
          <w:tcPr>
            <w:tcW w:w="1362" w:type="dxa"/>
            <w:shd w:val="clear" w:color="auto" w:fill="auto"/>
            <w:noWrap/>
            <w:vAlign w:val="bottom"/>
            <w:hideMark/>
          </w:tcPr>
          <w:p w14:paraId="6881D1E4"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575DFF6B" w14:textId="77777777" w:rsidR="00406434" w:rsidRPr="005F3E0B" w:rsidRDefault="00406434" w:rsidP="00C448E8">
            <w:pPr>
              <w:rPr>
                <w:lang w:eastAsia="ja-JP"/>
              </w:rPr>
            </w:pPr>
            <w:r w:rsidRPr="005F3E0B">
              <w:rPr>
                <w:lang w:eastAsia="ja-JP"/>
              </w:rPr>
              <w:t>13</w:t>
            </w:r>
          </w:p>
        </w:tc>
        <w:tc>
          <w:tcPr>
            <w:tcW w:w="1440" w:type="dxa"/>
            <w:shd w:val="clear" w:color="auto" w:fill="auto"/>
            <w:noWrap/>
            <w:vAlign w:val="bottom"/>
            <w:hideMark/>
          </w:tcPr>
          <w:p w14:paraId="4C1C8E07" w14:textId="77777777" w:rsidR="00406434" w:rsidRPr="005F3E0B" w:rsidRDefault="00406434" w:rsidP="00C448E8">
            <w:pPr>
              <w:rPr>
                <w:lang w:eastAsia="ja-JP"/>
              </w:rPr>
            </w:pPr>
            <w:r w:rsidRPr="005F3E0B">
              <w:rPr>
                <w:lang w:eastAsia="ja-JP"/>
              </w:rPr>
              <w:t>0</w:t>
            </w:r>
          </w:p>
        </w:tc>
      </w:tr>
      <w:tr w:rsidR="00406434" w:rsidRPr="005F3E0B" w14:paraId="725649CC" w14:textId="77777777" w:rsidTr="00721257">
        <w:trPr>
          <w:trHeight w:val="290"/>
        </w:trPr>
        <w:tc>
          <w:tcPr>
            <w:tcW w:w="3592" w:type="dxa"/>
            <w:shd w:val="clear" w:color="auto" w:fill="auto"/>
            <w:noWrap/>
            <w:vAlign w:val="bottom"/>
            <w:hideMark/>
          </w:tcPr>
          <w:p w14:paraId="4842D0A3" w14:textId="77777777" w:rsidR="00406434" w:rsidRPr="005F3E0B" w:rsidRDefault="00406434" w:rsidP="00C448E8">
            <w:pPr>
              <w:rPr>
                <w:lang w:eastAsia="ja-JP"/>
              </w:rPr>
            </w:pPr>
            <w:r w:rsidRPr="005F3E0B">
              <w:rPr>
                <w:lang w:eastAsia="ja-JP"/>
              </w:rPr>
              <w:t>Epistaxis</w:t>
            </w:r>
          </w:p>
        </w:tc>
        <w:tc>
          <w:tcPr>
            <w:tcW w:w="1533" w:type="dxa"/>
            <w:shd w:val="clear" w:color="auto" w:fill="auto"/>
            <w:noWrap/>
            <w:vAlign w:val="bottom"/>
            <w:hideMark/>
          </w:tcPr>
          <w:p w14:paraId="464ACEA9" w14:textId="77777777" w:rsidR="00406434" w:rsidRPr="005F3E0B" w:rsidRDefault="00406434" w:rsidP="00C448E8">
            <w:pPr>
              <w:rPr>
                <w:lang w:eastAsia="ja-JP"/>
              </w:rPr>
            </w:pPr>
            <w:r w:rsidRPr="005F3E0B">
              <w:rPr>
                <w:lang w:eastAsia="ja-JP"/>
              </w:rPr>
              <w:t>12</w:t>
            </w:r>
          </w:p>
        </w:tc>
        <w:tc>
          <w:tcPr>
            <w:tcW w:w="1362" w:type="dxa"/>
            <w:shd w:val="clear" w:color="auto" w:fill="auto"/>
            <w:noWrap/>
            <w:vAlign w:val="bottom"/>
            <w:hideMark/>
          </w:tcPr>
          <w:p w14:paraId="3EE7143E"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4200691D" w14:textId="77777777" w:rsidR="00406434" w:rsidRPr="005F3E0B" w:rsidRDefault="00406434" w:rsidP="00C448E8">
            <w:pPr>
              <w:rPr>
                <w:lang w:eastAsia="ja-JP"/>
              </w:rPr>
            </w:pPr>
            <w:r w:rsidRPr="005F3E0B">
              <w:rPr>
                <w:lang w:eastAsia="ja-JP"/>
              </w:rPr>
              <w:t>14</w:t>
            </w:r>
          </w:p>
        </w:tc>
        <w:tc>
          <w:tcPr>
            <w:tcW w:w="1440" w:type="dxa"/>
            <w:shd w:val="clear" w:color="auto" w:fill="auto"/>
            <w:noWrap/>
            <w:vAlign w:val="bottom"/>
            <w:hideMark/>
          </w:tcPr>
          <w:p w14:paraId="24CD482A" w14:textId="77777777" w:rsidR="00406434" w:rsidRPr="005F3E0B" w:rsidRDefault="00406434" w:rsidP="00C448E8">
            <w:pPr>
              <w:rPr>
                <w:lang w:eastAsia="ja-JP"/>
              </w:rPr>
            </w:pPr>
            <w:r w:rsidRPr="005F3E0B">
              <w:rPr>
                <w:lang w:eastAsia="ja-JP"/>
              </w:rPr>
              <w:t>0.4</w:t>
            </w:r>
          </w:p>
        </w:tc>
      </w:tr>
      <w:tr w:rsidR="00406434" w:rsidRPr="005F3E0B" w14:paraId="57DED7E8" w14:textId="77777777" w:rsidTr="00721257">
        <w:trPr>
          <w:trHeight w:val="290"/>
        </w:trPr>
        <w:tc>
          <w:tcPr>
            <w:tcW w:w="3592" w:type="dxa"/>
            <w:shd w:val="clear" w:color="auto" w:fill="auto"/>
            <w:noWrap/>
            <w:vAlign w:val="bottom"/>
            <w:hideMark/>
          </w:tcPr>
          <w:p w14:paraId="735A0F71" w14:textId="5B4303B7" w:rsidR="00406434" w:rsidRPr="005F3E0B" w:rsidRDefault="00406434" w:rsidP="00C448E8">
            <w:pPr>
              <w:rPr>
                <w:lang w:eastAsia="ja-JP"/>
              </w:rPr>
            </w:pPr>
            <w:r w:rsidRPr="005F3E0B">
              <w:rPr>
                <w:lang w:eastAsia="ja-JP"/>
              </w:rPr>
              <w:t>Dyspn</w:t>
            </w:r>
            <w:r w:rsidR="00D21305">
              <w:rPr>
                <w:lang w:eastAsia="ja-JP"/>
              </w:rPr>
              <w:t>o</w:t>
            </w:r>
            <w:r w:rsidRPr="005F3E0B">
              <w:rPr>
                <w:lang w:eastAsia="ja-JP"/>
              </w:rPr>
              <w:t>ea</w:t>
            </w:r>
          </w:p>
        </w:tc>
        <w:tc>
          <w:tcPr>
            <w:tcW w:w="1533" w:type="dxa"/>
            <w:shd w:val="clear" w:color="auto" w:fill="auto"/>
            <w:noWrap/>
            <w:vAlign w:val="bottom"/>
            <w:hideMark/>
          </w:tcPr>
          <w:p w14:paraId="610F5776" w14:textId="77777777" w:rsidR="00406434" w:rsidRPr="005F3E0B" w:rsidRDefault="00406434" w:rsidP="00C448E8">
            <w:pPr>
              <w:rPr>
                <w:lang w:eastAsia="ja-JP"/>
              </w:rPr>
            </w:pPr>
            <w:r w:rsidRPr="005F3E0B">
              <w:rPr>
                <w:lang w:eastAsia="ja-JP"/>
              </w:rPr>
              <w:t>10</w:t>
            </w:r>
          </w:p>
        </w:tc>
        <w:tc>
          <w:tcPr>
            <w:tcW w:w="1362" w:type="dxa"/>
            <w:shd w:val="clear" w:color="auto" w:fill="auto"/>
            <w:noWrap/>
            <w:vAlign w:val="bottom"/>
            <w:hideMark/>
          </w:tcPr>
          <w:p w14:paraId="249B3BFC" w14:textId="77777777" w:rsidR="00406434" w:rsidRPr="005F3E0B" w:rsidRDefault="00406434" w:rsidP="00C448E8">
            <w:pPr>
              <w:rPr>
                <w:lang w:eastAsia="ja-JP"/>
              </w:rPr>
            </w:pPr>
            <w:r w:rsidRPr="005F3E0B">
              <w:rPr>
                <w:lang w:eastAsia="ja-JP"/>
              </w:rPr>
              <w:t>1.2</w:t>
            </w:r>
          </w:p>
        </w:tc>
        <w:tc>
          <w:tcPr>
            <w:tcW w:w="1428" w:type="dxa"/>
            <w:shd w:val="clear" w:color="auto" w:fill="auto"/>
            <w:noWrap/>
            <w:vAlign w:val="bottom"/>
            <w:hideMark/>
          </w:tcPr>
          <w:p w14:paraId="7258FE85" w14:textId="77777777" w:rsidR="00406434" w:rsidRPr="005F3E0B" w:rsidRDefault="00406434" w:rsidP="00C448E8">
            <w:pPr>
              <w:rPr>
                <w:lang w:eastAsia="ja-JP"/>
              </w:rPr>
            </w:pPr>
            <w:r w:rsidRPr="005F3E0B">
              <w:rPr>
                <w:lang w:eastAsia="ja-JP"/>
              </w:rPr>
              <w:t>5</w:t>
            </w:r>
          </w:p>
        </w:tc>
        <w:tc>
          <w:tcPr>
            <w:tcW w:w="1440" w:type="dxa"/>
            <w:shd w:val="clear" w:color="auto" w:fill="auto"/>
            <w:noWrap/>
            <w:vAlign w:val="bottom"/>
            <w:hideMark/>
          </w:tcPr>
          <w:p w14:paraId="5B293B90" w14:textId="77777777" w:rsidR="00406434" w:rsidRPr="005F3E0B" w:rsidRDefault="00406434" w:rsidP="00C448E8">
            <w:pPr>
              <w:rPr>
                <w:lang w:eastAsia="ja-JP"/>
              </w:rPr>
            </w:pPr>
            <w:r w:rsidRPr="005F3E0B">
              <w:rPr>
                <w:lang w:eastAsia="ja-JP"/>
              </w:rPr>
              <w:t>0</w:t>
            </w:r>
          </w:p>
        </w:tc>
      </w:tr>
      <w:tr w:rsidR="00406434" w:rsidRPr="005F3E0B" w14:paraId="02699A07" w14:textId="77777777" w:rsidTr="00721257">
        <w:trPr>
          <w:trHeight w:val="290"/>
        </w:trPr>
        <w:tc>
          <w:tcPr>
            <w:tcW w:w="3592" w:type="dxa"/>
            <w:shd w:val="clear" w:color="auto" w:fill="auto"/>
            <w:noWrap/>
            <w:vAlign w:val="bottom"/>
            <w:hideMark/>
          </w:tcPr>
          <w:p w14:paraId="1B0DBBE5" w14:textId="3D2EB448" w:rsidR="00406434" w:rsidRPr="005F3E0B" w:rsidRDefault="00406434" w:rsidP="00C448E8">
            <w:pPr>
              <w:rPr>
                <w:lang w:eastAsia="ja-JP"/>
              </w:rPr>
            </w:pPr>
            <w:r w:rsidRPr="005F3E0B">
              <w:rPr>
                <w:lang w:eastAsia="ja-JP"/>
              </w:rPr>
              <w:t>Rhinorrh</w:t>
            </w:r>
            <w:r w:rsidR="00D21305">
              <w:rPr>
                <w:lang w:eastAsia="ja-JP"/>
              </w:rPr>
              <w:t>o</w:t>
            </w:r>
            <w:r w:rsidRPr="005F3E0B">
              <w:rPr>
                <w:lang w:eastAsia="ja-JP"/>
              </w:rPr>
              <w:t>ea</w:t>
            </w:r>
          </w:p>
        </w:tc>
        <w:tc>
          <w:tcPr>
            <w:tcW w:w="1533" w:type="dxa"/>
            <w:shd w:val="clear" w:color="auto" w:fill="auto"/>
            <w:noWrap/>
            <w:vAlign w:val="bottom"/>
            <w:hideMark/>
          </w:tcPr>
          <w:p w14:paraId="78EE0725"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5E95172B"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18A6A8DC" w14:textId="77777777" w:rsidR="00406434" w:rsidRPr="005F3E0B" w:rsidRDefault="00406434" w:rsidP="00C448E8">
            <w:pPr>
              <w:rPr>
                <w:lang w:eastAsia="ja-JP"/>
              </w:rPr>
            </w:pPr>
            <w:r w:rsidRPr="005F3E0B">
              <w:rPr>
                <w:lang w:eastAsia="ja-JP"/>
              </w:rPr>
              <w:t>4.4</w:t>
            </w:r>
          </w:p>
        </w:tc>
        <w:tc>
          <w:tcPr>
            <w:tcW w:w="1440" w:type="dxa"/>
            <w:shd w:val="clear" w:color="auto" w:fill="auto"/>
            <w:noWrap/>
            <w:vAlign w:val="bottom"/>
            <w:hideMark/>
          </w:tcPr>
          <w:p w14:paraId="4CA8CA66" w14:textId="77777777" w:rsidR="00406434" w:rsidRPr="005F3E0B" w:rsidRDefault="00406434" w:rsidP="00C448E8">
            <w:pPr>
              <w:rPr>
                <w:lang w:eastAsia="ja-JP"/>
              </w:rPr>
            </w:pPr>
            <w:r w:rsidRPr="005F3E0B">
              <w:rPr>
                <w:lang w:eastAsia="ja-JP"/>
              </w:rPr>
              <w:t>0</w:t>
            </w:r>
          </w:p>
        </w:tc>
      </w:tr>
      <w:tr w:rsidR="00406434" w:rsidRPr="005F3E0B" w14:paraId="3B369AD8" w14:textId="77777777" w:rsidTr="00721257">
        <w:trPr>
          <w:trHeight w:val="290"/>
        </w:trPr>
        <w:tc>
          <w:tcPr>
            <w:tcW w:w="9355" w:type="dxa"/>
            <w:gridSpan w:val="5"/>
            <w:shd w:val="clear" w:color="auto" w:fill="auto"/>
            <w:noWrap/>
            <w:vAlign w:val="bottom"/>
            <w:hideMark/>
          </w:tcPr>
          <w:p w14:paraId="2846B265" w14:textId="77777777" w:rsidR="00406434" w:rsidRPr="005F3E0B" w:rsidRDefault="00406434" w:rsidP="00C448E8">
            <w:pPr>
              <w:rPr>
                <w:lang w:eastAsia="ja-JP"/>
              </w:rPr>
            </w:pPr>
            <w:r w:rsidRPr="005F3E0B">
              <w:rPr>
                <w:b/>
                <w:lang w:eastAsia="ja-JP"/>
              </w:rPr>
              <w:t>Infections and infestations</w:t>
            </w:r>
          </w:p>
        </w:tc>
      </w:tr>
      <w:tr w:rsidR="00406434" w:rsidRPr="005F3E0B" w14:paraId="121CEFB6" w14:textId="77777777" w:rsidTr="00721257">
        <w:trPr>
          <w:trHeight w:val="290"/>
        </w:trPr>
        <w:tc>
          <w:tcPr>
            <w:tcW w:w="3592" w:type="dxa"/>
            <w:shd w:val="clear" w:color="auto" w:fill="auto"/>
            <w:noWrap/>
            <w:vAlign w:val="bottom"/>
            <w:hideMark/>
          </w:tcPr>
          <w:p w14:paraId="38DF2C42" w14:textId="77777777" w:rsidR="00406434" w:rsidRPr="005F3E0B" w:rsidRDefault="00406434" w:rsidP="00C448E8">
            <w:pPr>
              <w:rPr>
                <w:lang w:eastAsia="ja-JP"/>
              </w:rPr>
            </w:pPr>
            <w:r w:rsidRPr="005F3E0B">
              <w:rPr>
                <w:lang w:eastAsia="ja-JP"/>
              </w:rPr>
              <w:t>Upper respiratory tract infection</w:t>
            </w:r>
          </w:p>
        </w:tc>
        <w:tc>
          <w:tcPr>
            <w:tcW w:w="1533" w:type="dxa"/>
            <w:shd w:val="clear" w:color="auto" w:fill="auto"/>
            <w:noWrap/>
            <w:vAlign w:val="bottom"/>
            <w:hideMark/>
          </w:tcPr>
          <w:p w14:paraId="64B1A702" w14:textId="77777777" w:rsidR="00406434" w:rsidRPr="005F3E0B" w:rsidRDefault="00406434" w:rsidP="00C448E8">
            <w:pPr>
              <w:rPr>
                <w:lang w:eastAsia="ja-JP"/>
              </w:rPr>
            </w:pPr>
            <w:r w:rsidRPr="005F3E0B">
              <w:rPr>
                <w:lang w:eastAsia="ja-JP"/>
              </w:rPr>
              <w:t>11</w:t>
            </w:r>
          </w:p>
        </w:tc>
        <w:tc>
          <w:tcPr>
            <w:tcW w:w="1362" w:type="dxa"/>
            <w:shd w:val="clear" w:color="auto" w:fill="auto"/>
            <w:noWrap/>
            <w:vAlign w:val="bottom"/>
            <w:hideMark/>
          </w:tcPr>
          <w:p w14:paraId="0E60D910"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3473EC6B" w14:textId="77777777" w:rsidR="00406434" w:rsidRPr="005F3E0B" w:rsidRDefault="00406434" w:rsidP="00C448E8">
            <w:pPr>
              <w:rPr>
                <w:lang w:eastAsia="ja-JP"/>
              </w:rPr>
            </w:pPr>
            <w:r w:rsidRPr="005F3E0B">
              <w:rPr>
                <w:lang w:eastAsia="ja-JP"/>
              </w:rPr>
              <w:t>8</w:t>
            </w:r>
          </w:p>
        </w:tc>
        <w:tc>
          <w:tcPr>
            <w:tcW w:w="1440" w:type="dxa"/>
            <w:shd w:val="clear" w:color="auto" w:fill="auto"/>
            <w:noWrap/>
            <w:vAlign w:val="bottom"/>
            <w:hideMark/>
          </w:tcPr>
          <w:p w14:paraId="5E4181C9" w14:textId="77777777" w:rsidR="00406434" w:rsidRPr="005F3E0B" w:rsidRDefault="00406434" w:rsidP="00C448E8">
            <w:pPr>
              <w:rPr>
                <w:lang w:eastAsia="ja-JP"/>
              </w:rPr>
            </w:pPr>
            <w:r>
              <w:rPr>
                <w:lang w:eastAsia="ja-JP"/>
              </w:rPr>
              <w:t>0.8</w:t>
            </w:r>
          </w:p>
        </w:tc>
      </w:tr>
      <w:tr w:rsidR="00406434" w:rsidRPr="005F3E0B" w14:paraId="2F42406D" w14:textId="77777777" w:rsidTr="00721257">
        <w:trPr>
          <w:trHeight w:val="290"/>
        </w:trPr>
        <w:tc>
          <w:tcPr>
            <w:tcW w:w="3592" w:type="dxa"/>
            <w:shd w:val="clear" w:color="auto" w:fill="auto"/>
            <w:noWrap/>
            <w:vAlign w:val="bottom"/>
            <w:hideMark/>
          </w:tcPr>
          <w:p w14:paraId="7B24DDF9" w14:textId="77777777" w:rsidR="00406434" w:rsidRPr="005F3E0B" w:rsidRDefault="00406434" w:rsidP="00C448E8">
            <w:pPr>
              <w:rPr>
                <w:lang w:eastAsia="ja-JP"/>
              </w:rPr>
            </w:pPr>
            <w:r w:rsidRPr="005F3E0B">
              <w:rPr>
                <w:lang w:eastAsia="ja-JP"/>
              </w:rPr>
              <w:t>Nasopharyngitis</w:t>
            </w:r>
          </w:p>
        </w:tc>
        <w:tc>
          <w:tcPr>
            <w:tcW w:w="1533" w:type="dxa"/>
            <w:shd w:val="clear" w:color="auto" w:fill="auto"/>
            <w:noWrap/>
            <w:vAlign w:val="bottom"/>
            <w:hideMark/>
          </w:tcPr>
          <w:p w14:paraId="506496E3" w14:textId="77777777" w:rsidR="00406434" w:rsidRPr="005F3E0B" w:rsidRDefault="00406434" w:rsidP="00C448E8">
            <w:pPr>
              <w:rPr>
                <w:lang w:eastAsia="ja-JP"/>
              </w:rPr>
            </w:pPr>
            <w:r w:rsidRPr="005F3E0B">
              <w:rPr>
                <w:lang w:eastAsia="ja-JP"/>
              </w:rPr>
              <w:t>9</w:t>
            </w:r>
          </w:p>
        </w:tc>
        <w:tc>
          <w:tcPr>
            <w:tcW w:w="1362" w:type="dxa"/>
            <w:shd w:val="clear" w:color="auto" w:fill="auto"/>
            <w:noWrap/>
            <w:vAlign w:val="bottom"/>
            <w:hideMark/>
          </w:tcPr>
          <w:p w14:paraId="3DFD5F00"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3C32695A" w14:textId="77777777" w:rsidR="00406434" w:rsidRPr="005F3E0B" w:rsidRDefault="00406434" w:rsidP="00C448E8">
            <w:pPr>
              <w:rPr>
                <w:lang w:eastAsia="ja-JP"/>
              </w:rPr>
            </w:pPr>
            <w:r w:rsidRPr="005F3E0B">
              <w:rPr>
                <w:lang w:eastAsia="ja-JP"/>
              </w:rPr>
              <w:t>10</w:t>
            </w:r>
          </w:p>
        </w:tc>
        <w:tc>
          <w:tcPr>
            <w:tcW w:w="1440" w:type="dxa"/>
            <w:shd w:val="clear" w:color="auto" w:fill="auto"/>
            <w:noWrap/>
            <w:vAlign w:val="bottom"/>
            <w:hideMark/>
          </w:tcPr>
          <w:p w14:paraId="7500802D" w14:textId="77777777" w:rsidR="00406434" w:rsidRPr="005F3E0B" w:rsidRDefault="00406434" w:rsidP="00C448E8">
            <w:pPr>
              <w:rPr>
                <w:lang w:eastAsia="ja-JP"/>
              </w:rPr>
            </w:pPr>
            <w:r w:rsidRPr="005F3E0B">
              <w:rPr>
                <w:lang w:eastAsia="ja-JP"/>
              </w:rPr>
              <w:t>0</w:t>
            </w:r>
          </w:p>
        </w:tc>
      </w:tr>
      <w:tr w:rsidR="00406434" w:rsidRPr="005F3E0B" w14:paraId="7C6585BC" w14:textId="77777777" w:rsidTr="00721257">
        <w:trPr>
          <w:trHeight w:val="290"/>
        </w:trPr>
        <w:tc>
          <w:tcPr>
            <w:tcW w:w="3592" w:type="dxa"/>
            <w:shd w:val="clear" w:color="auto" w:fill="auto"/>
            <w:noWrap/>
            <w:vAlign w:val="bottom"/>
            <w:hideMark/>
          </w:tcPr>
          <w:p w14:paraId="1BAE55AA" w14:textId="77777777" w:rsidR="00406434" w:rsidRPr="005F3E0B" w:rsidRDefault="00406434" w:rsidP="00C448E8">
            <w:pPr>
              <w:rPr>
                <w:lang w:eastAsia="ja-JP"/>
              </w:rPr>
            </w:pPr>
            <w:r w:rsidRPr="005F3E0B">
              <w:rPr>
                <w:lang w:eastAsia="ja-JP"/>
              </w:rPr>
              <w:t>Paronychia</w:t>
            </w:r>
          </w:p>
        </w:tc>
        <w:tc>
          <w:tcPr>
            <w:tcW w:w="1533" w:type="dxa"/>
            <w:shd w:val="clear" w:color="auto" w:fill="auto"/>
            <w:noWrap/>
            <w:vAlign w:val="bottom"/>
            <w:hideMark/>
          </w:tcPr>
          <w:p w14:paraId="0A1919DA"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0001716D"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52692309" w14:textId="77777777" w:rsidR="00406434" w:rsidRPr="005F3E0B" w:rsidRDefault="00406434" w:rsidP="00C448E8">
            <w:pPr>
              <w:rPr>
                <w:lang w:eastAsia="ja-JP"/>
              </w:rPr>
            </w:pPr>
            <w:r w:rsidRPr="005F3E0B">
              <w:rPr>
                <w:lang w:eastAsia="ja-JP"/>
              </w:rPr>
              <w:t>3.6</w:t>
            </w:r>
          </w:p>
        </w:tc>
        <w:tc>
          <w:tcPr>
            <w:tcW w:w="1440" w:type="dxa"/>
            <w:shd w:val="clear" w:color="auto" w:fill="auto"/>
            <w:noWrap/>
            <w:vAlign w:val="bottom"/>
            <w:hideMark/>
          </w:tcPr>
          <w:p w14:paraId="2671F234" w14:textId="77777777" w:rsidR="00406434" w:rsidRPr="005F3E0B" w:rsidRDefault="00406434" w:rsidP="00C448E8">
            <w:pPr>
              <w:rPr>
                <w:lang w:eastAsia="ja-JP"/>
              </w:rPr>
            </w:pPr>
            <w:r w:rsidRPr="005F3E0B">
              <w:rPr>
                <w:lang w:eastAsia="ja-JP"/>
              </w:rPr>
              <w:t>0</w:t>
            </w:r>
          </w:p>
        </w:tc>
      </w:tr>
      <w:tr w:rsidR="00406434" w:rsidRPr="005F3E0B" w14:paraId="38F4385D" w14:textId="77777777" w:rsidTr="00721257">
        <w:trPr>
          <w:trHeight w:val="290"/>
        </w:trPr>
        <w:tc>
          <w:tcPr>
            <w:tcW w:w="3592" w:type="dxa"/>
            <w:shd w:val="clear" w:color="auto" w:fill="auto"/>
            <w:noWrap/>
            <w:vAlign w:val="bottom"/>
            <w:hideMark/>
          </w:tcPr>
          <w:p w14:paraId="5DC87D20" w14:textId="77777777" w:rsidR="00406434" w:rsidRPr="005F3E0B" w:rsidRDefault="00406434" w:rsidP="00C448E8">
            <w:pPr>
              <w:rPr>
                <w:lang w:eastAsia="ja-JP"/>
              </w:rPr>
            </w:pPr>
            <w:r w:rsidRPr="005F3E0B">
              <w:rPr>
                <w:lang w:eastAsia="ja-JP"/>
              </w:rPr>
              <w:t>Urinary tract infection</w:t>
            </w:r>
          </w:p>
        </w:tc>
        <w:tc>
          <w:tcPr>
            <w:tcW w:w="1533" w:type="dxa"/>
            <w:shd w:val="clear" w:color="auto" w:fill="auto"/>
            <w:noWrap/>
            <w:vAlign w:val="bottom"/>
            <w:hideMark/>
          </w:tcPr>
          <w:p w14:paraId="6F7509F7"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780C44A9"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09B2F205" w14:textId="77777777" w:rsidR="00406434" w:rsidRPr="005F3E0B" w:rsidRDefault="00406434" w:rsidP="00C448E8">
            <w:pPr>
              <w:rPr>
                <w:lang w:eastAsia="ja-JP"/>
              </w:rPr>
            </w:pPr>
            <w:r w:rsidRPr="005F3E0B">
              <w:rPr>
                <w:lang w:eastAsia="ja-JP"/>
              </w:rPr>
              <w:t>5</w:t>
            </w:r>
          </w:p>
        </w:tc>
        <w:tc>
          <w:tcPr>
            <w:tcW w:w="1440" w:type="dxa"/>
            <w:shd w:val="clear" w:color="auto" w:fill="auto"/>
            <w:noWrap/>
            <w:vAlign w:val="bottom"/>
            <w:hideMark/>
          </w:tcPr>
          <w:p w14:paraId="30FB6F93" w14:textId="77777777" w:rsidR="00406434" w:rsidRPr="005F3E0B" w:rsidRDefault="00406434" w:rsidP="00C448E8">
            <w:pPr>
              <w:rPr>
                <w:lang w:eastAsia="ja-JP"/>
              </w:rPr>
            </w:pPr>
            <w:r w:rsidRPr="005F3E0B">
              <w:rPr>
                <w:lang w:eastAsia="ja-JP"/>
              </w:rPr>
              <w:t>0</w:t>
            </w:r>
          </w:p>
        </w:tc>
      </w:tr>
      <w:tr w:rsidR="00406434" w:rsidRPr="005F3E0B" w14:paraId="3986178A" w14:textId="77777777" w:rsidTr="00721257">
        <w:trPr>
          <w:trHeight w:val="290"/>
        </w:trPr>
        <w:tc>
          <w:tcPr>
            <w:tcW w:w="9355" w:type="dxa"/>
            <w:gridSpan w:val="5"/>
            <w:shd w:val="clear" w:color="auto" w:fill="auto"/>
            <w:noWrap/>
            <w:vAlign w:val="bottom"/>
            <w:hideMark/>
          </w:tcPr>
          <w:p w14:paraId="0C231916" w14:textId="77777777" w:rsidR="00406434" w:rsidRPr="005F3E0B" w:rsidRDefault="00406434" w:rsidP="00C448E8">
            <w:pPr>
              <w:rPr>
                <w:b/>
                <w:lang w:eastAsia="ja-JP"/>
              </w:rPr>
            </w:pPr>
            <w:r w:rsidRPr="005F3E0B">
              <w:rPr>
                <w:b/>
                <w:lang w:eastAsia="ja-JP"/>
              </w:rPr>
              <w:t>Injury, poisoning and procedural complications</w:t>
            </w:r>
          </w:p>
        </w:tc>
      </w:tr>
      <w:tr w:rsidR="00406434" w:rsidRPr="005F3E0B" w14:paraId="33374E4C" w14:textId="77777777" w:rsidTr="00721257">
        <w:trPr>
          <w:trHeight w:val="290"/>
        </w:trPr>
        <w:tc>
          <w:tcPr>
            <w:tcW w:w="3592" w:type="dxa"/>
            <w:shd w:val="clear" w:color="auto" w:fill="auto"/>
            <w:noWrap/>
            <w:vAlign w:val="bottom"/>
            <w:hideMark/>
          </w:tcPr>
          <w:p w14:paraId="6841EBF6" w14:textId="77777777" w:rsidR="00406434" w:rsidRPr="005F3E0B" w:rsidRDefault="00406434" w:rsidP="00C448E8">
            <w:pPr>
              <w:rPr>
                <w:lang w:eastAsia="ja-JP"/>
              </w:rPr>
            </w:pPr>
            <w:r w:rsidRPr="005F3E0B">
              <w:rPr>
                <w:lang w:eastAsia="ja-JP"/>
              </w:rPr>
              <w:t>Procedural pain</w:t>
            </w:r>
          </w:p>
        </w:tc>
        <w:tc>
          <w:tcPr>
            <w:tcW w:w="1533" w:type="dxa"/>
            <w:shd w:val="clear" w:color="auto" w:fill="auto"/>
            <w:noWrap/>
            <w:vAlign w:val="bottom"/>
            <w:hideMark/>
          </w:tcPr>
          <w:p w14:paraId="44062C9C" w14:textId="77777777" w:rsidR="00406434" w:rsidRPr="005F3E0B" w:rsidRDefault="00406434" w:rsidP="00C448E8">
            <w:pPr>
              <w:rPr>
                <w:lang w:eastAsia="ja-JP"/>
              </w:rPr>
            </w:pPr>
            <w:r w:rsidRPr="005F3E0B">
              <w:rPr>
                <w:lang w:eastAsia="ja-JP"/>
              </w:rPr>
              <w:t>13</w:t>
            </w:r>
          </w:p>
        </w:tc>
        <w:tc>
          <w:tcPr>
            <w:tcW w:w="1362" w:type="dxa"/>
            <w:shd w:val="clear" w:color="auto" w:fill="auto"/>
            <w:noWrap/>
            <w:vAlign w:val="bottom"/>
            <w:hideMark/>
          </w:tcPr>
          <w:p w14:paraId="3BEA3A42"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23C9CACC" w14:textId="77777777" w:rsidR="00406434" w:rsidRPr="005F3E0B" w:rsidRDefault="00406434" w:rsidP="00C448E8">
            <w:pPr>
              <w:rPr>
                <w:lang w:eastAsia="ja-JP"/>
              </w:rPr>
            </w:pPr>
            <w:r w:rsidRPr="005F3E0B">
              <w:rPr>
                <w:lang w:eastAsia="ja-JP"/>
              </w:rPr>
              <w:t>10</w:t>
            </w:r>
          </w:p>
        </w:tc>
        <w:tc>
          <w:tcPr>
            <w:tcW w:w="1440" w:type="dxa"/>
            <w:shd w:val="clear" w:color="auto" w:fill="auto"/>
            <w:noWrap/>
            <w:vAlign w:val="bottom"/>
            <w:hideMark/>
          </w:tcPr>
          <w:p w14:paraId="0F75BF44" w14:textId="77777777" w:rsidR="00406434" w:rsidRPr="005F3E0B" w:rsidRDefault="00406434" w:rsidP="00C448E8">
            <w:pPr>
              <w:rPr>
                <w:lang w:eastAsia="ja-JP"/>
              </w:rPr>
            </w:pPr>
            <w:r w:rsidRPr="005F3E0B">
              <w:rPr>
                <w:lang w:eastAsia="ja-JP"/>
              </w:rPr>
              <w:t>0</w:t>
            </w:r>
          </w:p>
        </w:tc>
      </w:tr>
      <w:tr w:rsidR="00406434" w:rsidRPr="005F3E0B" w14:paraId="65A7AA7C" w14:textId="77777777" w:rsidTr="00721257">
        <w:trPr>
          <w:trHeight w:val="290"/>
        </w:trPr>
        <w:tc>
          <w:tcPr>
            <w:tcW w:w="3592" w:type="dxa"/>
            <w:shd w:val="clear" w:color="auto" w:fill="auto"/>
            <w:noWrap/>
            <w:vAlign w:val="bottom"/>
            <w:hideMark/>
          </w:tcPr>
          <w:p w14:paraId="6BC39518" w14:textId="77777777" w:rsidR="00406434" w:rsidRPr="005F3E0B" w:rsidRDefault="00406434" w:rsidP="00C448E8">
            <w:pPr>
              <w:rPr>
                <w:lang w:eastAsia="ja-JP"/>
              </w:rPr>
            </w:pPr>
            <w:r w:rsidRPr="005F3E0B">
              <w:rPr>
                <w:lang w:eastAsia="ja-JP"/>
              </w:rPr>
              <w:t>Radiation skin injury</w:t>
            </w:r>
          </w:p>
        </w:tc>
        <w:tc>
          <w:tcPr>
            <w:tcW w:w="1533" w:type="dxa"/>
            <w:shd w:val="clear" w:color="auto" w:fill="auto"/>
            <w:noWrap/>
            <w:vAlign w:val="bottom"/>
            <w:hideMark/>
          </w:tcPr>
          <w:p w14:paraId="493BB19B" w14:textId="77777777" w:rsidR="00406434" w:rsidRPr="005F3E0B" w:rsidRDefault="00406434" w:rsidP="00C448E8">
            <w:pPr>
              <w:rPr>
                <w:lang w:eastAsia="ja-JP"/>
              </w:rPr>
            </w:pPr>
            <w:r w:rsidRPr="005F3E0B">
              <w:rPr>
                <w:lang w:eastAsia="ja-JP"/>
              </w:rPr>
              <w:t>19</w:t>
            </w:r>
          </w:p>
        </w:tc>
        <w:tc>
          <w:tcPr>
            <w:tcW w:w="1362" w:type="dxa"/>
            <w:shd w:val="clear" w:color="auto" w:fill="auto"/>
            <w:noWrap/>
            <w:vAlign w:val="bottom"/>
            <w:hideMark/>
          </w:tcPr>
          <w:p w14:paraId="121952C4"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7088D94E" w14:textId="77777777" w:rsidR="00406434" w:rsidRPr="005F3E0B" w:rsidRDefault="00406434" w:rsidP="00C448E8">
            <w:pPr>
              <w:rPr>
                <w:lang w:eastAsia="ja-JP"/>
              </w:rPr>
            </w:pPr>
            <w:r w:rsidRPr="005F3E0B">
              <w:rPr>
                <w:lang w:eastAsia="ja-JP"/>
              </w:rPr>
              <w:t>19</w:t>
            </w:r>
          </w:p>
        </w:tc>
        <w:tc>
          <w:tcPr>
            <w:tcW w:w="1440" w:type="dxa"/>
            <w:shd w:val="clear" w:color="auto" w:fill="auto"/>
            <w:noWrap/>
            <w:vAlign w:val="bottom"/>
            <w:hideMark/>
          </w:tcPr>
          <w:p w14:paraId="4D0576B4" w14:textId="77777777" w:rsidR="00406434" w:rsidRPr="005F3E0B" w:rsidRDefault="00406434" w:rsidP="00C448E8">
            <w:pPr>
              <w:rPr>
                <w:lang w:eastAsia="ja-JP"/>
              </w:rPr>
            </w:pPr>
            <w:r w:rsidRPr="005F3E0B">
              <w:rPr>
                <w:lang w:eastAsia="ja-JP"/>
              </w:rPr>
              <w:t>0.4</w:t>
            </w:r>
          </w:p>
        </w:tc>
      </w:tr>
      <w:tr w:rsidR="00406434" w:rsidRPr="005F3E0B" w14:paraId="2EDB094F" w14:textId="77777777" w:rsidTr="00721257">
        <w:trPr>
          <w:trHeight w:val="290"/>
        </w:trPr>
        <w:tc>
          <w:tcPr>
            <w:tcW w:w="3592" w:type="dxa"/>
            <w:shd w:val="clear" w:color="auto" w:fill="auto"/>
            <w:noWrap/>
            <w:vAlign w:val="bottom"/>
          </w:tcPr>
          <w:p w14:paraId="6C4441BE" w14:textId="23252CF9" w:rsidR="00406434" w:rsidRPr="005F3E0B" w:rsidRDefault="00406434" w:rsidP="00C448E8">
            <w:pPr>
              <w:rPr>
                <w:lang w:eastAsia="ja-JP"/>
              </w:rPr>
            </w:pPr>
            <w:r w:rsidRPr="005F3E0B">
              <w:rPr>
                <w:lang w:eastAsia="ja-JP"/>
              </w:rPr>
              <w:t>Infusion</w:t>
            </w:r>
            <w:r w:rsidR="00D21305">
              <w:rPr>
                <w:lang w:eastAsia="ja-JP"/>
              </w:rPr>
              <w:t>-</w:t>
            </w:r>
            <w:r w:rsidRPr="005F3E0B">
              <w:rPr>
                <w:lang w:eastAsia="ja-JP"/>
              </w:rPr>
              <w:t>related reaction</w:t>
            </w:r>
          </w:p>
        </w:tc>
        <w:tc>
          <w:tcPr>
            <w:tcW w:w="1533" w:type="dxa"/>
            <w:shd w:val="clear" w:color="auto" w:fill="auto"/>
            <w:noWrap/>
            <w:vAlign w:val="bottom"/>
          </w:tcPr>
          <w:p w14:paraId="119B090B" w14:textId="77777777" w:rsidR="00406434" w:rsidRPr="005F3E0B" w:rsidRDefault="00406434" w:rsidP="00C448E8">
            <w:pPr>
              <w:rPr>
                <w:lang w:eastAsia="ja-JP"/>
              </w:rPr>
            </w:pPr>
            <w:r w:rsidRPr="005F3E0B">
              <w:rPr>
                <w:lang w:eastAsia="ja-JP"/>
              </w:rPr>
              <w:t>3.6</w:t>
            </w:r>
          </w:p>
        </w:tc>
        <w:tc>
          <w:tcPr>
            <w:tcW w:w="1362" w:type="dxa"/>
            <w:shd w:val="clear" w:color="auto" w:fill="auto"/>
            <w:noWrap/>
            <w:vAlign w:val="bottom"/>
          </w:tcPr>
          <w:p w14:paraId="03B69795"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tcPr>
          <w:p w14:paraId="0EE1E588" w14:textId="77777777" w:rsidR="00406434" w:rsidRPr="005F3E0B" w:rsidRDefault="00406434" w:rsidP="00C448E8">
            <w:pPr>
              <w:rPr>
                <w:lang w:eastAsia="ja-JP"/>
              </w:rPr>
            </w:pPr>
            <w:r w:rsidRPr="005F3E0B">
              <w:rPr>
                <w:lang w:eastAsia="ja-JP"/>
              </w:rPr>
              <w:t>15</w:t>
            </w:r>
          </w:p>
        </w:tc>
        <w:tc>
          <w:tcPr>
            <w:tcW w:w="1440" w:type="dxa"/>
            <w:shd w:val="clear" w:color="auto" w:fill="auto"/>
            <w:noWrap/>
            <w:vAlign w:val="bottom"/>
          </w:tcPr>
          <w:p w14:paraId="0B2F40F1" w14:textId="77777777" w:rsidR="00406434" w:rsidRPr="005F3E0B" w:rsidRDefault="00406434" w:rsidP="00C448E8">
            <w:pPr>
              <w:rPr>
                <w:lang w:eastAsia="ja-JP"/>
              </w:rPr>
            </w:pPr>
            <w:r w:rsidRPr="005F3E0B">
              <w:rPr>
                <w:lang w:eastAsia="ja-JP"/>
              </w:rPr>
              <w:t>0.8</w:t>
            </w:r>
          </w:p>
        </w:tc>
      </w:tr>
      <w:tr w:rsidR="00406434" w:rsidRPr="005F3E0B" w14:paraId="544B7BA1" w14:textId="77777777" w:rsidTr="00721257">
        <w:trPr>
          <w:trHeight w:val="290"/>
        </w:trPr>
        <w:tc>
          <w:tcPr>
            <w:tcW w:w="9355" w:type="dxa"/>
            <w:gridSpan w:val="5"/>
            <w:shd w:val="clear" w:color="auto" w:fill="auto"/>
            <w:noWrap/>
            <w:vAlign w:val="bottom"/>
            <w:hideMark/>
          </w:tcPr>
          <w:p w14:paraId="2400F88A" w14:textId="77777777" w:rsidR="00406434" w:rsidRPr="005F3E0B" w:rsidRDefault="00406434" w:rsidP="00C448E8">
            <w:pPr>
              <w:rPr>
                <w:b/>
                <w:lang w:eastAsia="ja-JP"/>
              </w:rPr>
            </w:pPr>
            <w:r w:rsidRPr="005F3E0B">
              <w:rPr>
                <w:b/>
                <w:lang w:eastAsia="ja-JP"/>
              </w:rPr>
              <w:t>Metabolism and nutrition disorders</w:t>
            </w:r>
          </w:p>
        </w:tc>
      </w:tr>
      <w:tr w:rsidR="00406434" w:rsidRPr="005F3E0B" w14:paraId="333CECA7" w14:textId="77777777" w:rsidTr="00721257">
        <w:trPr>
          <w:trHeight w:val="290"/>
        </w:trPr>
        <w:tc>
          <w:tcPr>
            <w:tcW w:w="3592" w:type="dxa"/>
            <w:shd w:val="clear" w:color="auto" w:fill="auto"/>
            <w:noWrap/>
            <w:vAlign w:val="bottom"/>
            <w:hideMark/>
          </w:tcPr>
          <w:p w14:paraId="6ED2C3D9" w14:textId="77777777" w:rsidR="00406434" w:rsidRPr="005F3E0B" w:rsidRDefault="00406434" w:rsidP="00C448E8">
            <w:pPr>
              <w:rPr>
                <w:lang w:eastAsia="ja-JP"/>
              </w:rPr>
            </w:pPr>
            <w:r w:rsidRPr="005F3E0B">
              <w:rPr>
                <w:lang w:eastAsia="ja-JP"/>
              </w:rPr>
              <w:t>Decreased appetite</w:t>
            </w:r>
          </w:p>
        </w:tc>
        <w:tc>
          <w:tcPr>
            <w:tcW w:w="1533" w:type="dxa"/>
            <w:shd w:val="clear" w:color="auto" w:fill="auto"/>
            <w:noWrap/>
            <w:vAlign w:val="bottom"/>
            <w:hideMark/>
          </w:tcPr>
          <w:p w14:paraId="26B05F68" w14:textId="77777777" w:rsidR="00406434" w:rsidRPr="005F3E0B" w:rsidRDefault="00406434" w:rsidP="00C448E8">
            <w:pPr>
              <w:rPr>
                <w:lang w:eastAsia="ja-JP"/>
              </w:rPr>
            </w:pPr>
            <w:r w:rsidRPr="005F3E0B">
              <w:rPr>
                <w:lang w:eastAsia="ja-JP"/>
              </w:rPr>
              <w:t>17</w:t>
            </w:r>
          </w:p>
        </w:tc>
        <w:tc>
          <w:tcPr>
            <w:tcW w:w="1362" w:type="dxa"/>
            <w:shd w:val="clear" w:color="auto" w:fill="auto"/>
            <w:noWrap/>
            <w:vAlign w:val="bottom"/>
            <w:hideMark/>
          </w:tcPr>
          <w:p w14:paraId="5748F11F" w14:textId="77777777" w:rsidR="00406434" w:rsidRPr="005F3E0B" w:rsidRDefault="00406434" w:rsidP="00C448E8">
            <w:pPr>
              <w:rPr>
                <w:lang w:eastAsia="ja-JP"/>
              </w:rPr>
            </w:pPr>
            <w:r w:rsidRPr="005F3E0B">
              <w:rPr>
                <w:lang w:eastAsia="ja-JP"/>
              </w:rPr>
              <w:t>0.8</w:t>
            </w:r>
          </w:p>
        </w:tc>
        <w:tc>
          <w:tcPr>
            <w:tcW w:w="1428" w:type="dxa"/>
            <w:shd w:val="clear" w:color="auto" w:fill="auto"/>
            <w:noWrap/>
            <w:vAlign w:val="bottom"/>
            <w:hideMark/>
          </w:tcPr>
          <w:p w14:paraId="24571206" w14:textId="77777777" w:rsidR="00406434" w:rsidRPr="005F3E0B" w:rsidRDefault="00406434" w:rsidP="00C448E8">
            <w:pPr>
              <w:rPr>
                <w:lang w:eastAsia="ja-JP"/>
              </w:rPr>
            </w:pPr>
            <w:r w:rsidRPr="005F3E0B">
              <w:rPr>
                <w:lang w:eastAsia="ja-JP"/>
              </w:rPr>
              <w:t>19</w:t>
            </w:r>
          </w:p>
        </w:tc>
        <w:tc>
          <w:tcPr>
            <w:tcW w:w="1440" w:type="dxa"/>
            <w:shd w:val="clear" w:color="auto" w:fill="auto"/>
            <w:noWrap/>
            <w:vAlign w:val="bottom"/>
            <w:hideMark/>
          </w:tcPr>
          <w:p w14:paraId="3B5B28E7" w14:textId="77777777" w:rsidR="00406434" w:rsidRPr="005F3E0B" w:rsidRDefault="00406434" w:rsidP="00C448E8">
            <w:pPr>
              <w:rPr>
                <w:lang w:eastAsia="ja-JP"/>
              </w:rPr>
            </w:pPr>
            <w:r w:rsidRPr="005F3E0B">
              <w:rPr>
                <w:lang w:eastAsia="ja-JP"/>
              </w:rPr>
              <w:t>0.4</w:t>
            </w:r>
          </w:p>
        </w:tc>
      </w:tr>
      <w:tr w:rsidR="00406434" w:rsidRPr="005F3E0B" w14:paraId="1AB43AE2" w14:textId="77777777" w:rsidTr="00721257">
        <w:trPr>
          <w:trHeight w:val="290"/>
        </w:trPr>
        <w:tc>
          <w:tcPr>
            <w:tcW w:w="3592" w:type="dxa"/>
            <w:shd w:val="clear" w:color="auto" w:fill="auto"/>
            <w:noWrap/>
            <w:vAlign w:val="bottom"/>
            <w:hideMark/>
          </w:tcPr>
          <w:p w14:paraId="434F8820" w14:textId="2494C32F" w:rsidR="00406434" w:rsidRPr="005F3E0B" w:rsidRDefault="00406434" w:rsidP="00C448E8">
            <w:pPr>
              <w:rPr>
                <w:lang w:eastAsia="ja-JP"/>
              </w:rPr>
            </w:pPr>
            <w:r w:rsidRPr="005F3E0B">
              <w:rPr>
                <w:lang w:eastAsia="ja-JP"/>
              </w:rPr>
              <w:t>Hypokal</w:t>
            </w:r>
            <w:r w:rsidR="00D21305">
              <w:rPr>
                <w:lang w:eastAsia="ja-JP"/>
              </w:rPr>
              <w:t>a</w:t>
            </w:r>
            <w:r w:rsidRPr="005F3E0B">
              <w:rPr>
                <w:lang w:eastAsia="ja-JP"/>
              </w:rPr>
              <w:t>emia</w:t>
            </w:r>
          </w:p>
        </w:tc>
        <w:tc>
          <w:tcPr>
            <w:tcW w:w="1533" w:type="dxa"/>
            <w:shd w:val="clear" w:color="auto" w:fill="auto"/>
            <w:noWrap/>
            <w:vAlign w:val="bottom"/>
            <w:hideMark/>
          </w:tcPr>
          <w:p w14:paraId="5D261C13" w14:textId="77777777" w:rsidR="00406434" w:rsidRPr="005F3E0B" w:rsidRDefault="00406434" w:rsidP="00C448E8">
            <w:pPr>
              <w:rPr>
                <w:lang w:eastAsia="ja-JP"/>
              </w:rPr>
            </w:pPr>
            <w:r w:rsidRPr="005F3E0B">
              <w:rPr>
                <w:lang w:eastAsia="ja-JP"/>
              </w:rPr>
              <w:t>7</w:t>
            </w:r>
          </w:p>
        </w:tc>
        <w:tc>
          <w:tcPr>
            <w:tcW w:w="1362" w:type="dxa"/>
            <w:shd w:val="clear" w:color="auto" w:fill="auto"/>
            <w:noWrap/>
            <w:vAlign w:val="bottom"/>
            <w:hideMark/>
          </w:tcPr>
          <w:p w14:paraId="1A0FE6B0" w14:textId="77777777" w:rsidR="00406434" w:rsidRPr="005F3E0B" w:rsidRDefault="00406434" w:rsidP="00C448E8">
            <w:pPr>
              <w:rPr>
                <w:lang w:eastAsia="ja-JP"/>
              </w:rPr>
            </w:pPr>
            <w:r w:rsidRPr="005F3E0B">
              <w:rPr>
                <w:lang w:eastAsia="ja-JP"/>
              </w:rPr>
              <w:t>1.6</w:t>
            </w:r>
          </w:p>
        </w:tc>
        <w:tc>
          <w:tcPr>
            <w:tcW w:w="1428" w:type="dxa"/>
            <w:shd w:val="clear" w:color="auto" w:fill="auto"/>
            <w:noWrap/>
            <w:vAlign w:val="bottom"/>
            <w:hideMark/>
          </w:tcPr>
          <w:p w14:paraId="6F11A2FC" w14:textId="77777777" w:rsidR="00406434" w:rsidRPr="005F3E0B" w:rsidRDefault="00406434" w:rsidP="00C448E8">
            <w:pPr>
              <w:rPr>
                <w:lang w:eastAsia="ja-JP"/>
              </w:rPr>
            </w:pPr>
            <w:r w:rsidRPr="005F3E0B">
              <w:rPr>
                <w:lang w:eastAsia="ja-JP"/>
              </w:rPr>
              <w:t>8</w:t>
            </w:r>
          </w:p>
        </w:tc>
        <w:tc>
          <w:tcPr>
            <w:tcW w:w="1440" w:type="dxa"/>
            <w:shd w:val="clear" w:color="auto" w:fill="auto"/>
            <w:noWrap/>
            <w:vAlign w:val="bottom"/>
            <w:hideMark/>
          </w:tcPr>
          <w:p w14:paraId="12A68E78" w14:textId="77777777" w:rsidR="00406434" w:rsidRPr="005F3E0B" w:rsidRDefault="00406434" w:rsidP="00C448E8">
            <w:pPr>
              <w:rPr>
                <w:lang w:eastAsia="ja-JP"/>
              </w:rPr>
            </w:pPr>
            <w:r w:rsidRPr="005F3E0B">
              <w:rPr>
                <w:lang w:eastAsia="ja-JP"/>
              </w:rPr>
              <w:t>0</w:t>
            </w:r>
          </w:p>
        </w:tc>
      </w:tr>
      <w:tr w:rsidR="00406434" w:rsidRPr="005F3E0B" w14:paraId="3162D0E1" w14:textId="77777777" w:rsidTr="00721257">
        <w:trPr>
          <w:trHeight w:val="290"/>
        </w:trPr>
        <w:tc>
          <w:tcPr>
            <w:tcW w:w="9355" w:type="dxa"/>
            <w:gridSpan w:val="5"/>
            <w:shd w:val="clear" w:color="auto" w:fill="auto"/>
            <w:noWrap/>
            <w:vAlign w:val="bottom"/>
            <w:hideMark/>
          </w:tcPr>
          <w:p w14:paraId="0F43A6CD" w14:textId="77777777" w:rsidR="00406434" w:rsidRPr="005F3E0B" w:rsidRDefault="00406434" w:rsidP="00C448E8">
            <w:pPr>
              <w:rPr>
                <w:b/>
                <w:lang w:eastAsia="ja-JP"/>
              </w:rPr>
            </w:pPr>
            <w:r w:rsidRPr="005F3E0B">
              <w:rPr>
                <w:b/>
                <w:lang w:eastAsia="ja-JP"/>
              </w:rPr>
              <w:t xml:space="preserve">Psychiatric disorders </w:t>
            </w:r>
          </w:p>
        </w:tc>
      </w:tr>
      <w:tr w:rsidR="00406434" w:rsidRPr="005F3E0B" w14:paraId="1399503E" w14:textId="77777777" w:rsidTr="00721257">
        <w:trPr>
          <w:trHeight w:val="290"/>
        </w:trPr>
        <w:tc>
          <w:tcPr>
            <w:tcW w:w="3592" w:type="dxa"/>
            <w:shd w:val="clear" w:color="auto" w:fill="auto"/>
            <w:noWrap/>
            <w:vAlign w:val="bottom"/>
            <w:hideMark/>
          </w:tcPr>
          <w:p w14:paraId="36F40960" w14:textId="77777777" w:rsidR="00406434" w:rsidRPr="005F3E0B" w:rsidRDefault="00406434" w:rsidP="00C448E8">
            <w:pPr>
              <w:rPr>
                <w:lang w:eastAsia="ja-JP"/>
              </w:rPr>
            </w:pPr>
            <w:r w:rsidRPr="005F3E0B">
              <w:rPr>
                <w:lang w:eastAsia="ja-JP"/>
              </w:rPr>
              <w:t>Insomnia</w:t>
            </w:r>
          </w:p>
        </w:tc>
        <w:tc>
          <w:tcPr>
            <w:tcW w:w="1533" w:type="dxa"/>
            <w:shd w:val="clear" w:color="auto" w:fill="auto"/>
            <w:noWrap/>
            <w:vAlign w:val="bottom"/>
            <w:hideMark/>
          </w:tcPr>
          <w:p w14:paraId="4B188636" w14:textId="77777777" w:rsidR="00406434" w:rsidRPr="005F3E0B" w:rsidRDefault="00406434" w:rsidP="00C448E8">
            <w:pPr>
              <w:rPr>
                <w:lang w:eastAsia="ja-JP"/>
              </w:rPr>
            </w:pPr>
            <w:r w:rsidRPr="005F3E0B">
              <w:rPr>
                <w:lang w:eastAsia="ja-JP"/>
              </w:rPr>
              <w:t>17</w:t>
            </w:r>
          </w:p>
        </w:tc>
        <w:tc>
          <w:tcPr>
            <w:tcW w:w="1362" w:type="dxa"/>
            <w:shd w:val="clear" w:color="auto" w:fill="auto"/>
            <w:noWrap/>
            <w:vAlign w:val="bottom"/>
            <w:hideMark/>
          </w:tcPr>
          <w:p w14:paraId="06E19366"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16E05200" w14:textId="77777777" w:rsidR="00406434" w:rsidRPr="005F3E0B" w:rsidRDefault="00406434" w:rsidP="00C448E8">
            <w:pPr>
              <w:rPr>
                <w:lang w:eastAsia="ja-JP"/>
              </w:rPr>
            </w:pPr>
            <w:r w:rsidRPr="005F3E0B">
              <w:rPr>
                <w:lang w:eastAsia="ja-JP"/>
              </w:rPr>
              <w:t>13</w:t>
            </w:r>
          </w:p>
        </w:tc>
        <w:tc>
          <w:tcPr>
            <w:tcW w:w="1440" w:type="dxa"/>
            <w:shd w:val="clear" w:color="auto" w:fill="auto"/>
            <w:noWrap/>
            <w:vAlign w:val="bottom"/>
            <w:hideMark/>
          </w:tcPr>
          <w:p w14:paraId="36B68857" w14:textId="77777777" w:rsidR="00406434" w:rsidRPr="005F3E0B" w:rsidRDefault="00406434" w:rsidP="00C448E8">
            <w:pPr>
              <w:rPr>
                <w:lang w:eastAsia="ja-JP"/>
              </w:rPr>
            </w:pPr>
            <w:r w:rsidRPr="005F3E0B">
              <w:rPr>
                <w:lang w:eastAsia="ja-JP"/>
              </w:rPr>
              <w:t>0.4</w:t>
            </w:r>
          </w:p>
        </w:tc>
      </w:tr>
      <w:tr w:rsidR="00406434" w:rsidRPr="005F3E0B" w14:paraId="5526D1E1" w14:textId="77777777" w:rsidTr="00721257">
        <w:trPr>
          <w:trHeight w:val="290"/>
        </w:trPr>
        <w:tc>
          <w:tcPr>
            <w:tcW w:w="3592" w:type="dxa"/>
            <w:shd w:val="clear" w:color="auto" w:fill="auto"/>
            <w:noWrap/>
            <w:vAlign w:val="bottom"/>
            <w:hideMark/>
          </w:tcPr>
          <w:p w14:paraId="7BA81DCE" w14:textId="77777777" w:rsidR="00406434" w:rsidRPr="005F3E0B" w:rsidRDefault="00406434" w:rsidP="00C448E8">
            <w:pPr>
              <w:rPr>
                <w:b/>
                <w:lang w:eastAsia="ja-JP"/>
              </w:rPr>
            </w:pPr>
            <w:r w:rsidRPr="005F3E0B">
              <w:rPr>
                <w:b/>
                <w:lang w:eastAsia="ja-JP"/>
              </w:rPr>
              <w:t xml:space="preserve">Eye disorders </w:t>
            </w:r>
          </w:p>
        </w:tc>
        <w:tc>
          <w:tcPr>
            <w:tcW w:w="5763" w:type="dxa"/>
            <w:gridSpan w:val="4"/>
            <w:shd w:val="clear" w:color="auto" w:fill="auto"/>
            <w:noWrap/>
            <w:vAlign w:val="bottom"/>
            <w:hideMark/>
          </w:tcPr>
          <w:p w14:paraId="7B8C6C61" w14:textId="77777777" w:rsidR="00406434" w:rsidRPr="005F3E0B" w:rsidRDefault="00406434" w:rsidP="00C448E8">
            <w:pPr>
              <w:rPr>
                <w:b/>
                <w:lang w:eastAsia="ja-JP"/>
              </w:rPr>
            </w:pPr>
          </w:p>
        </w:tc>
      </w:tr>
      <w:tr w:rsidR="00406434" w:rsidRPr="005F3E0B" w14:paraId="3497FCD4" w14:textId="77777777" w:rsidTr="00721257">
        <w:trPr>
          <w:trHeight w:val="290"/>
        </w:trPr>
        <w:tc>
          <w:tcPr>
            <w:tcW w:w="3592" w:type="dxa"/>
            <w:shd w:val="clear" w:color="auto" w:fill="auto"/>
            <w:noWrap/>
            <w:vAlign w:val="bottom"/>
            <w:hideMark/>
          </w:tcPr>
          <w:p w14:paraId="4D4E7C54" w14:textId="77777777" w:rsidR="00406434" w:rsidRPr="005F3E0B" w:rsidRDefault="00406434" w:rsidP="00C448E8">
            <w:pPr>
              <w:rPr>
                <w:lang w:eastAsia="ja-JP"/>
              </w:rPr>
            </w:pPr>
            <w:r w:rsidRPr="005F3E0B">
              <w:rPr>
                <w:lang w:eastAsia="ja-JP"/>
              </w:rPr>
              <w:t>Lacrimation increased</w:t>
            </w:r>
          </w:p>
        </w:tc>
        <w:tc>
          <w:tcPr>
            <w:tcW w:w="1533" w:type="dxa"/>
            <w:shd w:val="clear" w:color="auto" w:fill="auto"/>
            <w:noWrap/>
            <w:vAlign w:val="bottom"/>
            <w:hideMark/>
          </w:tcPr>
          <w:p w14:paraId="57048951" w14:textId="77777777" w:rsidR="00406434" w:rsidRPr="005F3E0B" w:rsidRDefault="00406434" w:rsidP="00C448E8">
            <w:pPr>
              <w:rPr>
                <w:lang w:eastAsia="ja-JP"/>
              </w:rPr>
            </w:pPr>
            <w:r w:rsidRPr="005F3E0B">
              <w:rPr>
                <w:lang w:eastAsia="ja-JP"/>
              </w:rPr>
              <w:t>5</w:t>
            </w:r>
          </w:p>
        </w:tc>
        <w:tc>
          <w:tcPr>
            <w:tcW w:w="1362" w:type="dxa"/>
            <w:shd w:val="clear" w:color="auto" w:fill="auto"/>
            <w:noWrap/>
            <w:vAlign w:val="bottom"/>
            <w:hideMark/>
          </w:tcPr>
          <w:p w14:paraId="6414CA5B"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0CA3EE69" w14:textId="77777777" w:rsidR="00406434" w:rsidRPr="005F3E0B" w:rsidRDefault="00406434" w:rsidP="00C448E8">
            <w:pPr>
              <w:rPr>
                <w:lang w:eastAsia="ja-JP"/>
              </w:rPr>
            </w:pPr>
            <w:r w:rsidRPr="005F3E0B">
              <w:rPr>
                <w:lang w:eastAsia="ja-JP"/>
              </w:rPr>
              <w:t>6</w:t>
            </w:r>
          </w:p>
        </w:tc>
        <w:tc>
          <w:tcPr>
            <w:tcW w:w="1440" w:type="dxa"/>
            <w:shd w:val="clear" w:color="auto" w:fill="auto"/>
            <w:noWrap/>
            <w:vAlign w:val="bottom"/>
            <w:hideMark/>
          </w:tcPr>
          <w:p w14:paraId="07FDF476" w14:textId="77777777" w:rsidR="00406434" w:rsidRPr="005F3E0B" w:rsidRDefault="00406434" w:rsidP="00C448E8">
            <w:pPr>
              <w:rPr>
                <w:lang w:eastAsia="ja-JP"/>
              </w:rPr>
            </w:pPr>
            <w:r w:rsidRPr="005F3E0B">
              <w:rPr>
                <w:lang w:eastAsia="ja-JP"/>
              </w:rPr>
              <w:t>0</w:t>
            </w:r>
          </w:p>
        </w:tc>
      </w:tr>
      <w:tr w:rsidR="00406434" w:rsidRPr="005F3E0B" w14:paraId="303FD339" w14:textId="77777777" w:rsidTr="00721257">
        <w:trPr>
          <w:trHeight w:val="290"/>
        </w:trPr>
        <w:tc>
          <w:tcPr>
            <w:tcW w:w="3592" w:type="dxa"/>
            <w:shd w:val="clear" w:color="auto" w:fill="auto"/>
            <w:noWrap/>
            <w:vAlign w:val="bottom"/>
            <w:hideMark/>
          </w:tcPr>
          <w:p w14:paraId="45CB2011" w14:textId="77777777" w:rsidR="00406434" w:rsidRPr="005F3E0B" w:rsidRDefault="00406434" w:rsidP="00C448E8">
            <w:pPr>
              <w:rPr>
                <w:lang w:eastAsia="ja-JP"/>
              </w:rPr>
            </w:pPr>
            <w:r w:rsidRPr="005F3E0B">
              <w:rPr>
                <w:lang w:eastAsia="ja-JP"/>
              </w:rPr>
              <w:t>Dry eye</w:t>
            </w:r>
          </w:p>
        </w:tc>
        <w:tc>
          <w:tcPr>
            <w:tcW w:w="1533" w:type="dxa"/>
            <w:shd w:val="clear" w:color="auto" w:fill="auto"/>
            <w:noWrap/>
            <w:vAlign w:val="bottom"/>
            <w:hideMark/>
          </w:tcPr>
          <w:p w14:paraId="1C99F7DB" w14:textId="77777777" w:rsidR="00406434" w:rsidRPr="005F3E0B" w:rsidRDefault="00406434" w:rsidP="00C448E8">
            <w:pPr>
              <w:rPr>
                <w:lang w:eastAsia="ja-JP"/>
              </w:rPr>
            </w:pPr>
            <w:r w:rsidRPr="005F3E0B">
              <w:rPr>
                <w:lang w:eastAsia="ja-JP"/>
              </w:rPr>
              <w:t>5</w:t>
            </w:r>
          </w:p>
        </w:tc>
        <w:tc>
          <w:tcPr>
            <w:tcW w:w="1362" w:type="dxa"/>
            <w:shd w:val="clear" w:color="auto" w:fill="auto"/>
            <w:noWrap/>
            <w:vAlign w:val="bottom"/>
            <w:hideMark/>
          </w:tcPr>
          <w:p w14:paraId="59C65191" w14:textId="77777777" w:rsidR="00406434" w:rsidRPr="005F3E0B" w:rsidRDefault="00406434" w:rsidP="00C448E8">
            <w:pPr>
              <w:rPr>
                <w:lang w:eastAsia="ja-JP"/>
              </w:rPr>
            </w:pPr>
            <w:r w:rsidRPr="005F3E0B">
              <w:rPr>
                <w:lang w:eastAsia="ja-JP"/>
              </w:rPr>
              <w:t>0.4</w:t>
            </w:r>
          </w:p>
        </w:tc>
        <w:tc>
          <w:tcPr>
            <w:tcW w:w="1428" w:type="dxa"/>
            <w:shd w:val="clear" w:color="auto" w:fill="auto"/>
            <w:noWrap/>
            <w:vAlign w:val="bottom"/>
            <w:hideMark/>
          </w:tcPr>
          <w:p w14:paraId="28340CAE" w14:textId="77777777" w:rsidR="00406434" w:rsidRPr="005F3E0B" w:rsidRDefault="00406434" w:rsidP="00C448E8">
            <w:pPr>
              <w:rPr>
                <w:lang w:eastAsia="ja-JP"/>
              </w:rPr>
            </w:pPr>
            <w:r w:rsidRPr="005F3E0B">
              <w:rPr>
                <w:lang w:eastAsia="ja-JP"/>
              </w:rPr>
              <w:t>3.2</w:t>
            </w:r>
          </w:p>
        </w:tc>
        <w:tc>
          <w:tcPr>
            <w:tcW w:w="1440" w:type="dxa"/>
            <w:shd w:val="clear" w:color="auto" w:fill="auto"/>
            <w:noWrap/>
            <w:vAlign w:val="bottom"/>
            <w:hideMark/>
          </w:tcPr>
          <w:p w14:paraId="6FD7435A" w14:textId="77777777" w:rsidR="00406434" w:rsidRPr="005F3E0B" w:rsidRDefault="00406434" w:rsidP="00C448E8">
            <w:pPr>
              <w:rPr>
                <w:lang w:eastAsia="ja-JP"/>
              </w:rPr>
            </w:pPr>
            <w:r w:rsidRPr="005F3E0B">
              <w:rPr>
                <w:lang w:eastAsia="ja-JP"/>
              </w:rPr>
              <w:t>0</w:t>
            </w:r>
          </w:p>
        </w:tc>
      </w:tr>
      <w:tr w:rsidR="00406434" w:rsidRPr="005F3E0B" w14:paraId="0D88C130" w14:textId="77777777" w:rsidTr="00721257">
        <w:trPr>
          <w:trHeight w:val="290"/>
        </w:trPr>
        <w:tc>
          <w:tcPr>
            <w:tcW w:w="9355" w:type="dxa"/>
            <w:gridSpan w:val="5"/>
            <w:shd w:val="clear" w:color="auto" w:fill="auto"/>
            <w:noWrap/>
            <w:vAlign w:val="bottom"/>
            <w:hideMark/>
          </w:tcPr>
          <w:p w14:paraId="1B97118B" w14:textId="77777777" w:rsidR="00406434" w:rsidRPr="005F3E0B" w:rsidRDefault="00406434" w:rsidP="00C448E8">
            <w:pPr>
              <w:rPr>
                <w:b/>
                <w:lang w:eastAsia="ja-JP"/>
              </w:rPr>
            </w:pPr>
            <w:r w:rsidRPr="005F3E0B">
              <w:rPr>
                <w:b/>
                <w:lang w:eastAsia="ja-JP"/>
              </w:rPr>
              <w:t xml:space="preserve">Vascular disorders </w:t>
            </w:r>
          </w:p>
        </w:tc>
      </w:tr>
      <w:tr w:rsidR="00406434" w:rsidRPr="005F3E0B" w14:paraId="4F10C7A1" w14:textId="77777777" w:rsidTr="00721257">
        <w:trPr>
          <w:trHeight w:val="290"/>
        </w:trPr>
        <w:tc>
          <w:tcPr>
            <w:tcW w:w="3592" w:type="dxa"/>
            <w:shd w:val="clear" w:color="auto" w:fill="auto"/>
            <w:noWrap/>
            <w:vAlign w:val="bottom"/>
            <w:hideMark/>
          </w:tcPr>
          <w:p w14:paraId="5268110C" w14:textId="77777777" w:rsidR="00406434" w:rsidRPr="005F3E0B" w:rsidRDefault="00406434" w:rsidP="00C448E8">
            <w:pPr>
              <w:rPr>
                <w:lang w:eastAsia="ja-JP"/>
              </w:rPr>
            </w:pPr>
            <w:r w:rsidRPr="005F3E0B">
              <w:rPr>
                <w:lang w:eastAsia="ja-JP"/>
              </w:rPr>
              <w:t>Hot flush</w:t>
            </w:r>
          </w:p>
        </w:tc>
        <w:tc>
          <w:tcPr>
            <w:tcW w:w="1533" w:type="dxa"/>
            <w:shd w:val="clear" w:color="auto" w:fill="auto"/>
            <w:noWrap/>
            <w:vAlign w:val="bottom"/>
            <w:hideMark/>
          </w:tcPr>
          <w:p w14:paraId="7D62E58D" w14:textId="77777777" w:rsidR="00406434" w:rsidRPr="005F3E0B" w:rsidRDefault="00406434" w:rsidP="00C448E8">
            <w:pPr>
              <w:rPr>
                <w:lang w:eastAsia="ja-JP"/>
              </w:rPr>
            </w:pPr>
            <w:r w:rsidRPr="005F3E0B">
              <w:rPr>
                <w:lang w:eastAsia="ja-JP"/>
              </w:rPr>
              <w:t>12</w:t>
            </w:r>
          </w:p>
        </w:tc>
        <w:tc>
          <w:tcPr>
            <w:tcW w:w="1362" w:type="dxa"/>
            <w:shd w:val="clear" w:color="auto" w:fill="auto"/>
            <w:noWrap/>
            <w:vAlign w:val="bottom"/>
            <w:hideMark/>
          </w:tcPr>
          <w:p w14:paraId="560D5D83" w14:textId="77777777" w:rsidR="00406434" w:rsidRPr="005F3E0B" w:rsidRDefault="00406434" w:rsidP="00C448E8">
            <w:pPr>
              <w:rPr>
                <w:lang w:eastAsia="ja-JP"/>
              </w:rPr>
            </w:pPr>
            <w:r w:rsidRPr="005F3E0B">
              <w:rPr>
                <w:lang w:eastAsia="ja-JP"/>
              </w:rPr>
              <w:t>0</w:t>
            </w:r>
          </w:p>
        </w:tc>
        <w:tc>
          <w:tcPr>
            <w:tcW w:w="1428" w:type="dxa"/>
            <w:shd w:val="clear" w:color="auto" w:fill="auto"/>
            <w:noWrap/>
            <w:vAlign w:val="bottom"/>
            <w:hideMark/>
          </w:tcPr>
          <w:p w14:paraId="59C95E34" w14:textId="77777777" w:rsidR="00406434" w:rsidRPr="005F3E0B" w:rsidRDefault="00406434" w:rsidP="00C448E8">
            <w:pPr>
              <w:rPr>
                <w:lang w:eastAsia="ja-JP"/>
              </w:rPr>
            </w:pPr>
            <w:r w:rsidRPr="005F3E0B">
              <w:rPr>
                <w:lang w:eastAsia="ja-JP"/>
              </w:rPr>
              <w:t>13</w:t>
            </w:r>
          </w:p>
        </w:tc>
        <w:tc>
          <w:tcPr>
            <w:tcW w:w="1440" w:type="dxa"/>
            <w:shd w:val="clear" w:color="auto" w:fill="auto"/>
            <w:noWrap/>
            <w:vAlign w:val="bottom"/>
            <w:hideMark/>
          </w:tcPr>
          <w:p w14:paraId="1D2FD526" w14:textId="77777777" w:rsidR="00406434" w:rsidRPr="005F3E0B" w:rsidRDefault="00406434" w:rsidP="00C448E8">
            <w:pPr>
              <w:rPr>
                <w:lang w:eastAsia="ja-JP"/>
              </w:rPr>
            </w:pPr>
            <w:r w:rsidRPr="005F3E0B">
              <w:rPr>
                <w:lang w:eastAsia="ja-JP"/>
              </w:rPr>
              <w:t>0</w:t>
            </w:r>
          </w:p>
        </w:tc>
      </w:tr>
    </w:tbl>
    <w:p w14:paraId="27F2F369" w14:textId="19232B7B" w:rsidR="00F6227E" w:rsidRDefault="00F6227E" w:rsidP="00C448E8">
      <w:pPr>
        <w:rPr>
          <w:lang w:val="en-US"/>
        </w:rPr>
      </w:pPr>
    </w:p>
    <w:p w14:paraId="4E0CE7A3" w14:textId="77777777" w:rsidR="00A75980" w:rsidRPr="001C61E3" w:rsidRDefault="00A75980" w:rsidP="00C448E8">
      <w:pPr>
        <w:rPr>
          <w:color w:val="auto"/>
          <w:lang w:val="en-US"/>
        </w:rPr>
      </w:pPr>
    </w:p>
    <w:p w14:paraId="6BE79178" w14:textId="5050DC83" w:rsidR="0055228E" w:rsidRPr="002C749A" w:rsidRDefault="0055228E" w:rsidP="00C448E8">
      <w:pPr>
        <w:rPr>
          <w:sz w:val="20"/>
          <w:szCs w:val="20"/>
        </w:rPr>
      </w:pPr>
    </w:p>
    <w:p w14:paraId="771C49F7" w14:textId="0520C4A7" w:rsidR="005428D2" w:rsidRPr="005E3242" w:rsidRDefault="005428D2" w:rsidP="00C448E8">
      <w:pPr>
        <w:rPr>
          <w:sz w:val="20"/>
          <w:szCs w:val="20"/>
          <w:vertAlign w:val="superscript"/>
        </w:rPr>
      </w:pPr>
    </w:p>
    <w:p w14:paraId="79DFF9C9" w14:textId="76D17BB1" w:rsidR="00F6227E" w:rsidRDefault="00F6227E" w:rsidP="00C448E8">
      <w:pPr>
        <w:pStyle w:val="Caption"/>
        <w:keepNext/>
      </w:pPr>
      <w:bookmarkStart w:id="4" w:name="_Ref66711668"/>
      <w:r>
        <w:lastRenderedPageBreak/>
        <w:t xml:space="preserve">Table </w:t>
      </w:r>
      <w:r>
        <w:fldChar w:fldCharType="begin"/>
      </w:r>
      <w:r>
        <w:instrText xml:space="preserve"> SEQ Table \* ARABIC </w:instrText>
      </w:r>
      <w:r>
        <w:fldChar w:fldCharType="separate"/>
      </w:r>
      <w:r w:rsidR="00C840A1">
        <w:rPr>
          <w:noProof/>
        </w:rPr>
        <w:t>4</w:t>
      </w:r>
      <w:r>
        <w:fldChar w:fldCharType="end"/>
      </w:r>
      <w:bookmarkEnd w:id="4"/>
      <w:r w:rsidRPr="005E3242">
        <w:t xml:space="preserve">: </w:t>
      </w:r>
      <w:r>
        <w:t>L</w:t>
      </w:r>
      <w:r w:rsidRPr="005428D2">
        <w:t xml:space="preserve">aboratory </w:t>
      </w:r>
      <w:r>
        <w:t xml:space="preserve">abnormalities </w:t>
      </w:r>
      <w:r w:rsidRPr="005428D2">
        <w:t xml:space="preserve">that </w:t>
      </w:r>
      <w:r>
        <w:t>w</w:t>
      </w:r>
      <w:r w:rsidRPr="005428D2">
        <w:t xml:space="preserve">orsened from </w:t>
      </w:r>
      <w:r>
        <w:t>b</w:t>
      </w:r>
      <w:r w:rsidRPr="005428D2">
        <w:t xml:space="preserve">aseline in </w:t>
      </w:r>
      <w:r>
        <w:t>at least 5% of patients w</w:t>
      </w:r>
      <w:r w:rsidRPr="005428D2">
        <w:t xml:space="preserve">ho </w:t>
      </w:r>
      <w:r>
        <w:t>r</w:t>
      </w:r>
      <w:r w:rsidRPr="005428D2">
        <w:t xml:space="preserve">eceived PHESGO in </w:t>
      </w:r>
      <w:r>
        <w:t>FEDERICA</w:t>
      </w:r>
    </w:p>
    <w:p w14:paraId="233C64C2" w14:textId="08C9B99F" w:rsidR="005428D2" w:rsidRDefault="005428D2" w:rsidP="00C448E8">
      <w:pPr>
        <w:rPr>
          <w:color w:val="auto"/>
          <w:lang w:val="en-US"/>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440"/>
        <w:gridCol w:w="1260"/>
        <w:gridCol w:w="1417"/>
        <w:gridCol w:w="1193"/>
      </w:tblGrid>
      <w:tr w:rsidR="00263A4F" w:rsidRPr="00194527" w14:paraId="159A15C3" w14:textId="77777777" w:rsidTr="00721257">
        <w:trPr>
          <w:trHeight w:val="290"/>
          <w:tblHeader/>
        </w:trPr>
        <w:tc>
          <w:tcPr>
            <w:tcW w:w="4140" w:type="dxa"/>
            <w:vMerge w:val="restart"/>
            <w:shd w:val="clear" w:color="auto" w:fill="auto"/>
            <w:noWrap/>
            <w:vAlign w:val="bottom"/>
            <w:hideMark/>
          </w:tcPr>
          <w:p w14:paraId="7778A1F1" w14:textId="77777777" w:rsidR="00263A4F" w:rsidRPr="00194527" w:rsidRDefault="00263A4F" w:rsidP="00C448E8">
            <w:pPr>
              <w:rPr>
                <w:lang w:eastAsia="ja-JP"/>
              </w:rPr>
            </w:pPr>
            <w:r w:rsidRPr="00194527">
              <w:rPr>
                <w:b/>
                <w:lang w:bidi="x-none"/>
              </w:rPr>
              <w:t>Laboratory Abnormality</w:t>
            </w:r>
          </w:p>
        </w:tc>
        <w:tc>
          <w:tcPr>
            <w:tcW w:w="2700" w:type="dxa"/>
            <w:gridSpan w:val="2"/>
            <w:shd w:val="clear" w:color="auto" w:fill="auto"/>
            <w:noWrap/>
            <w:vAlign w:val="bottom"/>
            <w:hideMark/>
          </w:tcPr>
          <w:p w14:paraId="69E9A2C5" w14:textId="77777777" w:rsidR="00263A4F" w:rsidRPr="00194527" w:rsidRDefault="00263A4F" w:rsidP="00C448E8">
            <w:pPr>
              <w:autoSpaceDE w:val="0"/>
              <w:autoSpaceDN w:val="0"/>
              <w:adjustRightInd w:val="0"/>
            </w:pPr>
            <w:r w:rsidRPr="00194527">
              <w:rPr>
                <w:b/>
              </w:rPr>
              <w:t>PHESGO</w:t>
            </w:r>
            <w:r w:rsidRPr="00194527">
              <w:t xml:space="preserve"> </w:t>
            </w:r>
          </w:p>
          <w:p w14:paraId="43164219" w14:textId="77777777" w:rsidR="00263A4F" w:rsidRPr="00194527" w:rsidRDefault="00263A4F" w:rsidP="00C448E8">
            <w:pPr>
              <w:autoSpaceDE w:val="0"/>
              <w:autoSpaceDN w:val="0"/>
              <w:adjustRightInd w:val="0"/>
              <w:rPr>
                <w:b/>
                <w:lang w:bidi="x-none"/>
              </w:rPr>
            </w:pPr>
            <w:r w:rsidRPr="00194527">
              <w:rPr>
                <w:b/>
                <w:lang w:bidi="x-none"/>
              </w:rPr>
              <w:t>(n=248)</w:t>
            </w:r>
          </w:p>
          <w:p w14:paraId="47F28D73" w14:textId="77777777" w:rsidR="00263A4F" w:rsidRPr="00194527" w:rsidRDefault="00263A4F" w:rsidP="00C448E8">
            <w:pPr>
              <w:autoSpaceDE w:val="0"/>
              <w:autoSpaceDN w:val="0"/>
              <w:adjustRightInd w:val="0"/>
              <w:rPr>
                <w:b/>
                <w:lang w:bidi="x-none"/>
              </w:rPr>
            </w:pPr>
          </w:p>
          <w:p w14:paraId="3F2962D9" w14:textId="77777777" w:rsidR="00263A4F" w:rsidRPr="00194527" w:rsidRDefault="00263A4F" w:rsidP="00C448E8">
            <w:pPr>
              <w:autoSpaceDE w:val="0"/>
              <w:autoSpaceDN w:val="0"/>
              <w:adjustRightInd w:val="0"/>
              <w:rPr>
                <w:b/>
                <w:lang w:bidi="x-none"/>
              </w:rPr>
            </w:pPr>
          </w:p>
          <w:p w14:paraId="31C1F227" w14:textId="77777777" w:rsidR="00263A4F" w:rsidRPr="00194527" w:rsidRDefault="00263A4F" w:rsidP="00C448E8">
            <w:pPr>
              <w:rPr>
                <w:lang w:eastAsia="ja-JP"/>
              </w:rPr>
            </w:pPr>
          </w:p>
        </w:tc>
        <w:tc>
          <w:tcPr>
            <w:tcW w:w="2610" w:type="dxa"/>
            <w:gridSpan w:val="2"/>
            <w:shd w:val="clear" w:color="auto" w:fill="auto"/>
            <w:noWrap/>
            <w:vAlign w:val="bottom"/>
            <w:hideMark/>
          </w:tcPr>
          <w:p w14:paraId="78739B68" w14:textId="77777777" w:rsidR="00263A4F" w:rsidRPr="00194527" w:rsidRDefault="00263A4F" w:rsidP="00C448E8">
            <w:pPr>
              <w:spacing w:before="40" w:after="40"/>
              <w:rPr>
                <w:b/>
                <w:lang w:val="fr-FR" w:bidi="x-none"/>
              </w:rPr>
            </w:pPr>
            <w:proofErr w:type="spellStart"/>
            <w:r w:rsidRPr="00194527">
              <w:rPr>
                <w:b/>
                <w:lang w:val="fr-FR" w:bidi="x-none"/>
              </w:rPr>
              <w:t>Intravenous</w:t>
            </w:r>
            <w:proofErr w:type="spellEnd"/>
            <w:r w:rsidRPr="00194527">
              <w:rPr>
                <w:b/>
                <w:lang w:val="fr-FR" w:bidi="x-none"/>
              </w:rPr>
              <w:t xml:space="preserve"> </w:t>
            </w:r>
            <w:proofErr w:type="spellStart"/>
            <w:r w:rsidRPr="00194527">
              <w:rPr>
                <w:b/>
                <w:lang w:val="fr-FR" w:bidi="x-none"/>
              </w:rPr>
              <w:t>pertuzumab</w:t>
            </w:r>
            <w:proofErr w:type="spellEnd"/>
            <w:r w:rsidRPr="00194527">
              <w:rPr>
                <w:b/>
                <w:lang w:val="fr-FR" w:bidi="x-none"/>
              </w:rPr>
              <w:t xml:space="preserve"> </w:t>
            </w:r>
            <w:r w:rsidRPr="00194527">
              <w:rPr>
                <w:b/>
                <w:lang w:val="fr-FR" w:bidi="x-none"/>
              </w:rPr>
              <w:br/>
              <w:t>plus </w:t>
            </w:r>
            <w:proofErr w:type="spellStart"/>
            <w:r w:rsidRPr="00194527">
              <w:rPr>
                <w:b/>
                <w:lang w:val="fr-FR" w:bidi="x-none"/>
              </w:rPr>
              <w:t>intravenous</w:t>
            </w:r>
            <w:proofErr w:type="spellEnd"/>
            <w:r w:rsidRPr="00194527">
              <w:rPr>
                <w:b/>
                <w:lang w:val="fr-FR" w:bidi="x-none"/>
              </w:rPr>
              <w:t xml:space="preserve"> or </w:t>
            </w:r>
            <w:proofErr w:type="spellStart"/>
            <w:r w:rsidRPr="00194527">
              <w:rPr>
                <w:b/>
                <w:lang w:val="fr-FR" w:bidi="x-none"/>
              </w:rPr>
              <w:t>subcutaneous</w:t>
            </w:r>
            <w:proofErr w:type="spellEnd"/>
            <w:r w:rsidRPr="00194527">
              <w:rPr>
                <w:b/>
                <w:lang w:val="fr-FR" w:bidi="x-none"/>
              </w:rPr>
              <w:t xml:space="preserve"> trastuzumab </w:t>
            </w:r>
          </w:p>
          <w:p w14:paraId="061DCB70" w14:textId="77777777" w:rsidR="00263A4F" w:rsidRPr="00194527" w:rsidRDefault="00263A4F" w:rsidP="00C448E8">
            <w:pPr>
              <w:autoSpaceDE w:val="0"/>
              <w:autoSpaceDN w:val="0"/>
              <w:adjustRightInd w:val="0"/>
              <w:rPr>
                <w:b/>
                <w:lang w:bidi="x-none"/>
              </w:rPr>
            </w:pPr>
            <w:r w:rsidRPr="00194527">
              <w:rPr>
                <w:b/>
                <w:lang w:val="fr-FR" w:bidi="x-none"/>
              </w:rPr>
              <w:t>(</w:t>
            </w:r>
            <w:proofErr w:type="gramStart"/>
            <w:r w:rsidRPr="00194527">
              <w:rPr>
                <w:b/>
                <w:lang w:bidi="x-none"/>
              </w:rPr>
              <w:t>n</w:t>
            </w:r>
            <w:proofErr w:type="gramEnd"/>
            <w:r w:rsidRPr="00194527">
              <w:rPr>
                <w:b/>
                <w:lang w:bidi="x-none"/>
              </w:rPr>
              <w:t>=252)</w:t>
            </w:r>
          </w:p>
          <w:p w14:paraId="40123578" w14:textId="77777777" w:rsidR="00263A4F" w:rsidRPr="00194527" w:rsidRDefault="00263A4F" w:rsidP="00C448E8">
            <w:pPr>
              <w:rPr>
                <w:lang w:eastAsia="ja-JP"/>
              </w:rPr>
            </w:pPr>
          </w:p>
        </w:tc>
      </w:tr>
      <w:tr w:rsidR="00263A4F" w:rsidRPr="00194527" w14:paraId="4209A7C5" w14:textId="77777777" w:rsidTr="00721257">
        <w:trPr>
          <w:trHeight w:val="290"/>
          <w:tblHeader/>
        </w:trPr>
        <w:tc>
          <w:tcPr>
            <w:tcW w:w="4140" w:type="dxa"/>
            <w:vMerge/>
            <w:shd w:val="clear" w:color="auto" w:fill="auto"/>
            <w:noWrap/>
            <w:vAlign w:val="bottom"/>
            <w:hideMark/>
          </w:tcPr>
          <w:p w14:paraId="53419329" w14:textId="77777777" w:rsidR="00263A4F" w:rsidRPr="00194527" w:rsidRDefault="00263A4F" w:rsidP="00C448E8">
            <w:pPr>
              <w:rPr>
                <w:lang w:eastAsia="ja-JP"/>
              </w:rPr>
            </w:pPr>
          </w:p>
        </w:tc>
        <w:tc>
          <w:tcPr>
            <w:tcW w:w="1440" w:type="dxa"/>
            <w:shd w:val="clear" w:color="auto" w:fill="auto"/>
            <w:noWrap/>
            <w:hideMark/>
          </w:tcPr>
          <w:p w14:paraId="15B76403" w14:textId="77777777" w:rsidR="00263A4F" w:rsidRPr="00194527" w:rsidRDefault="00263A4F" w:rsidP="00C448E8">
            <w:pPr>
              <w:rPr>
                <w:lang w:eastAsia="ja-JP"/>
              </w:rPr>
            </w:pPr>
            <w:r w:rsidRPr="00194527">
              <w:rPr>
                <w:b/>
                <w:lang w:eastAsia="de-DE" w:bidi="x-none"/>
              </w:rPr>
              <w:t xml:space="preserve">All </w:t>
            </w:r>
            <w:r w:rsidRPr="00194527">
              <w:rPr>
                <w:b/>
                <w:lang w:eastAsia="de-DE" w:bidi="x-none"/>
              </w:rPr>
              <w:br/>
              <w:t xml:space="preserve">Grades </w:t>
            </w:r>
            <w:r w:rsidRPr="00194527">
              <w:rPr>
                <w:b/>
                <w:lang w:eastAsia="de-DE" w:bidi="x-none"/>
              </w:rPr>
              <w:br/>
              <w:t>%</w:t>
            </w:r>
          </w:p>
        </w:tc>
        <w:tc>
          <w:tcPr>
            <w:tcW w:w="1260" w:type="dxa"/>
            <w:shd w:val="clear" w:color="auto" w:fill="auto"/>
            <w:noWrap/>
            <w:hideMark/>
          </w:tcPr>
          <w:p w14:paraId="378491F2" w14:textId="77777777" w:rsidR="00263A4F" w:rsidRPr="00194527" w:rsidRDefault="00263A4F" w:rsidP="00C448E8">
            <w:pPr>
              <w:rPr>
                <w:lang w:eastAsia="ja-JP"/>
              </w:rPr>
            </w:pPr>
            <w:r w:rsidRPr="00194527">
              <w:rPr>
                <w:b/>
                <w:lang w:eastAsia="de-DE" w:bidi="x-none"/>
              </w:rPr>
              <w:t>Grades</w:t>
            </w:r>
            <w:r w:rsidRPr="00194527">
              <w:rPr>
                <w:b/>
                <w:lang w:eastAsia="de-DE" w:bidi="x-none"/>
              </w:rPr>
              <w:br/>
              <w:t xml:space="preserve">3 – 4 </w:t>
            </w:r>
            <w:r w:rsidRPr="00194527">
              <w:rPr>
                <w:b/>
                <w:lang w:eastAsia="de-DE" w:bidi="x-none"/>
              </w:rPr>
              <w:br/>
              <w:t>%</w:t>
            </w:r>
          </w:p>
        </w:tc>
        <w:tc>
          <w:tcPr>
            <w:tcW w:w="1417" w:type="dxa"/>
            <w:shd w:val="clear" w:color="auto" w:fill="auto"/>
            <w:noWrap/>
            <w:hideMark/>
          </w:tcPr>
          <w:p w14:paraId="73DFB5FF" w14:textId="77777777" w:rsidR="00263A4F" w:rsidRPr="00194527" w:rsidRDefault="00263A4F" w:rsidP="00C448E8">
            <w:pPr>
              <w:rPr>
                <w:lang w:eastAsia="ja-JP"/>
              </w:rPr>
            </w:pPr>
            <w:r w:rsidRPr="00194527">
              <w:rPr>
                <w:b/>
                <w:lang w:eastAsia="de-DE" w:bidi="x-none"/>
              </w:rPr>
              <w:t xml:space="preserve">All </w:t>
            </w:r>
            <w:r w:rsidRPr="00194527">
              <w:rPr>
                <w:b/>
                <w:lang w:eastAsia="de-DE" w:bidi="x-none"/>
              </w:rPr>
              <w:br/>
              <w:t xml:space="preserve">Grades </w:t>
            </w:r>
            <w:r w:rsidRPr="00194527">
              <w:rPr>
                <w:b/>
                <w:lang w:eastAsia="de-DE" w:bidi="x-none"/>
              </w:rPr>
              <w:br/>
              <w:t>%</w:t>
            </w:r>
          </w:p>
        </w:tc>
        <w:tc>
          <w:tcPr>
            <w:tcW w:w="1193" w:type="dxa"/>
            <w:shd w:val="clear" w:color="auto" w:fill="auto"/>
            <w:noWrap/>
            <w:hideMark/>
          </w:tcPr>
          <w:p w14:paraId="6855E39B" w14:textId="77777777" w:rsidR="00263A4F" w:rsidRPr="00194527" w:rsidRDefault="00263A4F" w:rsidP="00C448E8">
            <w:pPr>
              <w:rPr>
                <w:lang w:eastAsia="ja-JP"/>
              </w:rPr>
            </w:pPr>
            <w:r w:rsidRPr="00194527">
              <w:rPr>
                <w:b/>
                <w:lang w:eastAsia="de-DE" w:bidi="x-none"/>
              </w:rPr>
              <w:t>Grades</w:t>
            </w:r>
            <w:r w:rsidRPr="00194527">
              <w:rPr>
                <w:b/>
                <w:lang w:eastAsia="de-DE" w:bidi="x-none"/>
              </w:rPr>
              <w:br/>
              <w:t xml:space="preserve">3 – 4 </w:t>
            </w:r>
            <w:r w:rsidRPr="00194527">
              <w:rPr>
                <w:b/>
                <w:lang w:eastAsia="de-DE" w:bidi="x-none"/>
              </w:rPr>
              <w:br/>
              <w:t>%</w:t>
            </w:r>
          </w:p>
        </w:tc>
      </w:tr>
      <w:tr w:rsidR="00263A4F" w:rsidRPr="00194527" w14:paraId="5779DDF1" w14:textId="77777777" w:rsidTr="00721257">
        <w:trPr>
          <w:trHeight w:val="290"/>
        </w:trPr>
        <w:tc>
          <w:tcPr>
            <w:tcW w:w="9450" w:type="dxa"/>
            <w:gridSpan w:val="5"/>
            <w:shd w:val="clear" w:color="auto" w:fill="auto"/>
            <w:noWrap/>
            <w:vAlign w:val="bottom"/>
            <w:hideMark/>
          </w:tcPr>
          <w:p w14:paraId="07761114" w14:textId="27E39819" w:rsidR="00263A4F" w:rsidRPr="00194527" w:rsidRDefault="00263A4F" w:rsidP="00C448E8">
            <w:pPr>
              <w:rPr>
                <w:lang w:eastAsia="ja-JP"/>
              </w:rPr>
            </w:pPr>
            <w:r w:rsidRPr="00194527">
              <w:rPr>
                <w:b/>
                <w:lang w:eastAsia="ja-JP"/>
              </w:rPr>
              <w:t>H</w:t>
            </w:r>
            <w:r w:rsidR="001C61E3">
              <w:rPr>
                <w:b/>
                <w:lang w:eastAsia="ja-JP"/>
              </w:rPr>
              <w:t>a</w:t>
            </w:r>
            <w:r w:rsidRPr="00194527">
              <w:rPr>
                <w:b/>
                <w:lang w:eastAsia="ja-JP"/>
              </w:rPr>
              <w:t>ematology</w:t>
            </w:r>
          </w:p>
        </w:tc>
      </w:tr>
      <w:tr w:rsidR="00263A4F" w:rsidRPr="00194527" w14:paraId="5B948E4B" w14:textId="77777777" w:rsidTr="00721257">
        <w:trPr>
          <w:trHeight w:val="290"/>
        </w:trPr>
        <w:tc>
          <w:tcPr>
            <w:tcW w:w="4140" w:type="dxa"/>
            <w:shd w:val="clear" w:color="auto" w:fill="auto"/>
            <w:noWrap/>
            <w:vAlign w:val="center"/>
          </w:tcPr>
          <w:p w14:paraId="794450CC" w14:textId="780FD8F9" w:rsidR="00263A4F" w:rsidRPr="00194527" w:rsidRDefault="00263A4F" w:rsidP="00C448E8">
            <w:pPr>
              <w:rPr>
                <w:lang w:eastAsia="ja-JP"/>
              </w:rPr>
            </w:pPr>
            <w:r w:rsidRPr="00194527">
              <w:rPr>
                <w:lang w:eastAsia="ja-JP"/>
              </w:rPr>
              <w:t>H</w:t>
            </w:r>
            <w:r w:rsidR="001C61E3">
              <w:rPr>
                <w:lang w:eastAsia="ja-JP"/>
              </w:rPr>
              <w:t>a</w:t>
            </w:r>
            <w:r w:rsidRPr="00194527">
              <w:rPr>
                <w:lang w:eastAsia="ja-JP"/>
              </w:rPr>
              <w:t>emoglobin (low)</w:t>
            </w:r>
          </w:p>
        </w:tc>
        <w:tc>
          <w:tcPr>
            <w:tcW w:w="1440" w:type="dxa"/>
            <w:shd w:val="clear" w:color="auto" w:fill="auto"/>
            <w:noWrap/>
            <w:vAlign w:val="center"/>
          </w:tcPr>
          <w:p w14:paraId="4CDC91AD" w14:textId="77777777" w:rsidR="00263A4F" w:rsidRPr="00194527" w:rsidRDefault="00263A4F" w:rsidP="00C448E8">
            <w:pPr>
              <w:rPr>
                <w:lang w:eastAsia="ja-JP"/>
              </w:rPr>
            </w:pPr>
            <w:r w:rsidRPr="00194527">
              <w:t>90</w:t>
            </w:r>
          </w:p>
        </w:tc>
        <w:tc>
          <w:tcPr>
            <w:tcW w:w="1260" w:type="dxa"/>
            <w:shd w:val="clear" w:color="auto" w:fill="auto"/>
            <w:noWrap/>
            <w:vAlign w:val="center"/>
          </w:tcPr>
          <w:p w14:paraId="44CD8585" w14:textId="77777777" w:rsidR="00263A4F" w:rsidRPr="00194527" w:rsidRDefault="00263A4F" w:rsidP="00C448E8">
            <w:pPr>
              <w:rPr>
                <w:lang w:eastAsia="ja-JP"/>
              </w:rPr>
            </w:pPr>
            <w:r w:rsidRPr="00194527">
              <w:t>2.8</w:t>
            </w:r>
          </w:p>
        </w:tc>
        <w:tc>
          <w:tcPr>
            <w:tcW w:w="1417" w:type="dxa"/>
            <w:shd w:val="clear" w:color="auto" w:fill="auto"/>
            <w:noWrap/>
            <w:vAlign w:val="center"/>
          </w:tcPr>
          <w:p w14:paraId="1B8819D5" w14:textId="77777777" w:rsidR="00263A4F" w:rsidRPr="00194527" w:rsidRDefault="00263A4F" w:rsidP="00C448E8">
            <w:pPr>
              <w:rPr>
                <w:lang w:eastAsia="ja-JP"/>
              </w:rPr>
            </w:pPr>
            <w:r w:rsidRPr="00194527">
              <w:t>92</w:t>
            </w:r>
          </w:p>
        </w:tc>
        <w:tc>
          <w:tcPr>
            <w:tcW w:w="1193" w:type="dxa"/>
            <w:shd w:val="clear" w:color="auto" w:fill="auto"/>
            <w:noWrap/>
            <w:vAlign w:val="center"/>
          </w:tcPr>
          <w:p w14:paraId="4F53C40A" w14:textId="77777777" w:rsidR="00263A4F" w:rsidRPr="00194527" w:rsidRDefault="00263A4F" w:rsidP="00C448E8">
            <w:pPr>
              <w:rPr>
                <w:lang w:eastAsia="ja-JP"/>
              </w:rPr>
            </w:pPr>
            <w:r w:rsidRPr="00194527">
              <w:t>4.4</w:t>
            </w:r>
          </w:p>
        </w:tc>
      </w:tr>
      <w:tr w:rsidR="00263A4F" w:rsidRPr="00194527" w14:paraId="06086AC4" w14:textId="77777777" w:rsidTr="00721257">
        <w:trPr>
          <w:trHeight w:val="290"/>
        </w:trPr>
        <w:tc>
          <w:tcPr>
            <w:tcW w:w="4140" w:type="dxa"/>
            <w:shd w:val="clear" w:color="auto" w:fill="auto"/>
            <w:noWrap/>
            <w:vAlign w:val="center"/>
          </w:tcPr>
          <w:p w14:paraId="6D23CB34" w14:textId="77777777" w:rsidR="00263A4F" w:rsidRPr="00194527" w:rsidRDefault="00263A4F" w:rsidP="00C448E8">
            <w:pPr>
              <w:rPr>
                <w:lang w:eastAsia="ja-JP"/>
              </w:rPr>
            </w:pPr>
            <w:r w:rsidRPr="00194527">
              <w:rPr>
                <w:lang w:eastAsia="ja-JP"/>
              </w:rPr>
              <w:t>Lymphocytes, Absolute (low)</w:t>
            </w:r>
          </w:p>
        </w:tc>
        <w:tc>
          <w:tcPr>
            <w:tcW w:w="1440" w:type="dxa"/>
            <w:shd w:val="clear" w:color="auto" w:fill="auto"/>
            <w:noWrap/>
            <w:vAlign w:val="center"/>
          </w:tcPr>
          <w:p w14:paraId="113782AE" w14:textId="77777777" w:rsidR="00263A4F" w:rsidRPr="00194527" w:rsidRDefault="00263A4F" w:rsidP="00C448E8">
            <w:pPr>
              <w:rPr>
                <w:lang w:eastAsia="ja-JP"/>
              </w:rPr>
            </w:pPr>
            <w:r w:rsidRPr="00194527">
              <w:t>89</w:t>
            </w:r>
          </w:p>
        </w:tc>
        <w:tc>
          <w:tcPr>
            <w:tcW w:w="1260" w:type="dxa"/>
            <w:shd w:val="clear" w:color="auto" w:fill="auto"/>
            <w:noWrap/>
            <w:vAlign w:val="center"/>
          </w:tcPr>
          <w:p w14:paraId="199CF932" w14:textId="77777777" w:rsidR="00263A4F" w:rsidRPr="00194527" w:rsidRDefault="00263A4F" w:rsidP="00C448E8">
            <w:pPr>
              <w:rPr>
                <w:lang w:eastAsia="ja-JP"/>
              </w:rPr>
            </w:pPr>
            <w:r w:rsidRPr="00194527">
              <w:t>37</w:t>
            </w:r>
          </w:p>
        </w:tc>
        <w:tc>
          <w:tcPr>
            <w:tcW w:w="1417" w:type="dxa"/>
            <w:shd w:val="clear" w:color="auto" w:fill="auto"/>
            <w:noWrap/>
            <w:vAlign w:val="center"/>
          </w:tcPr>
          <w:p w14:paraId="3610BE8B" w14:textId="77777777" w:rsidR="00263A4F" w:rsidRPr="00194527" w:rsidRDefault="00263A4F" w:rsidP="00C448E8">
            <w:pPr>
              <w:rPr>
                <w:lang w:eastAsia="ja-JP"/>
              </w:rPr>
            </w:pPr>
            <w:r w:rsidRPr="00194527">
              <w:t>88</w:t>
            </w:r>
          </w:p>
        </w:tc>
        <w:tc>
          <w:tcPr>
            <w:tcW w:w="1193" w:type="dxa"/>
            <w:shd w:val="clear" w:color="auto" w:fill="auto"/>
            <w:noWrap/>
            <w:vAlign w:val="center"/>
          </w:tcPr>
          <w:p w14:paraId="3B6AA9FF" w14:textId="77777777" w:rsidR="00263A4F" w:rsidRPr="00194527" w:rsidRDefault="00263A4F" w:rsidP="00C448E8">
            <w:pPr>
              <w:rPr>
                <w:lang w:eastAsia="ja-JP"/>
              </w:rPr>
            </w:pPr>
            <w:r w:rsidRPr="00194527">
              <w:t>36</w:t>
            </w:r>
          </w:p>
        </w:tc>
      </w:tr>
      <w:tr w:rsidR="00263A4F" w:rsidRPr="00194527" w14:paraId="21E44B13" w14:textId="77777777" w:rsidTr="00721257">
        <w:trPr>
          <w:trHeight w:val="290"/>
        </w:trPr>
        <w:tc>
          <w:tcPr>
            <w:tcW w:w="4140" w:type="dxa"/>
            <w:shd w:val="clear" w:color="auto" w:fill="auto"/>
            <w:noWrap/>
            <w:vAlign w:val="center"/>
          </w:tcPr>
          <w:p w14:paraId="0BF48D7D" w14:textId="77777777" w:rsidR="00263A4F" w:rsidRPr="00194527" w:rsidRDefault="00263A4F" w:rsidP="00C448E8">
            <w:pPr>
              <w:rPr>
                <w:lang w:eastAsia="ja-JP"/>
              </w:rPr>
            </w:pPr>
            <w:r w:rsidRPr="00194527">
              <w:rPr>
                <w:lang w:eastAsia="ja-JP"/>
              </w:rPr>
              <w:t>Total Leukocyte Count (low)</w:t>
            </w:r>
          </w:p>
        </w:tc>
        <w:tc>
          <w:tcPr>
            <w:tcW w:w="1440" w:type="dxa"/>
            <w:shd w:val="clear" w:color="auto" w:fill="auto"/>
            <w:noWrap/>
            <w:vAlign w:val="center"/>
          </w:tcPr>
          <w:p w14:paraId="3FE4B54C" w14:textId="77777777" w:rsidR="00263A4F" w:rsidRPr="00194527" w:rsidRDefault="00263A4F" w:rsidP="00C448E8">
            <w:pPr>
              <w:rPr>
                <w:lang w:eastAsia="ja-JP"/>
              </w:rPr>
            </w:pPr>
            <w:r>
              <w:t>82</w:t>
            </w:r>
          </w:p>
        </w:tc>
        <w:tc>
          <w:tcPr>
            <w:tcW w:w="1260" w:type="dxa"/>
            <w:shd w:val="clear" w:color="auto" w:fill="auto"/>
            <w:noWrap/>
            <w:vAlign w:val="center"/>
          </w:tcPr>
          <w:p w14:paraId="440C09FD" w14:textId="77777777" w:rsidR="00263A4F" w:rsidRPr="00194527" w:rsidRDefault="00263A4F" w:rsidP="00C448E8">
            <w:pPr>
              <w:rPr>
                <w:lang w:eastAsia="ja-JP"/>
              </w:rPr>
            </w:pPr>
            <w:r w:rsidRPr="00194527">
              <w:t>25</w:t>
            </w:r>
          </w:p>
        </w:tc>
        <w:tc>
          <w:tcPr>
            <w:tcW w:w="1417" w:type="dxa"/>
            <w:shd w:val="clear" w:color="auto" w:fill="auto"/>
            <w:noWrap/>
            <w:vAlign w:val="center"/>
          </w:tcPr>
          <w:p w14:paraId="1CE7FF89" w14:textId="77777777" w:rsidR="00263A4F" w:rsidRPr="00194527" w:rsidRDefault="00263A4F" w:rsidP="00C448E8">
            <w:pPr>
              <w:rPr>
                <w:lang w:eastAsia="ja-JP"/>
              </w:rPr>
            </w:pPr>
            <w:r>
              <w:t>78</w:t>
            </w:r>
          </w:p>
        </w:tc>
        <w:tc>
          <w:tcPr>
            <w:tcW w:w="1193" w:type="dxa"/>
            <w:shd w:val="clear" w:color="auto" w:fill="auto"/>
            <w:noWrap/>
            <w:vAlign w:val="center"/>
          </w:tcPr>
          <w:p w14:paraId="0B42EF55" w14:textId="77777777" w:rsidR="00263A4F" w:rsidRPr="00194527" w:rsidRDefault="00263A4F" w:rsidP="00C448E8">
            <w:pPr>
              <w:rPr>
                <w:lang w:eastAsia="ja-JP"/>
              </w:rPr>
            </w:pPr>
            <w:r w:rsidRPr="00194527">
              <w:t>25</w:t>
            </w:r>
          </w:p>
        </w:tc>
      </w:tr>
      <w:tr w:rsidR="00263A4F" w:rsidRPr="00194527" w14:paraId="797D9BDB" w14:textId="77777777" w:rsidTr="00721257">
        <w:trPr>
          <w:trHeight w:val="290"/>
        </w:trPr>
        <w:tc>
          <w:tcPr>
            <w:tcW w:w="4140" w:type="dxa"/>
            <w:shd w:val="clear" w:color="auto" w:fill="auto"/>
            <w:noWrap/>
            <w:vAlign w:val="center"/>
          </w:tcPr>
          <w:p w14:paraId="4E20DE69" w14:textId="77777777" w:rsidR="00263A4F" w:rsidRPr="00194527" w:rsidRDefault="00263A4F" w:rsidP="00C448E8">
            <w:pPr>
              <w:rPr>
                <w:lang w:eastAsia="ja-JP"/>
              </w:rPr>
            </w:pPr>
            <w:r w:rsidRPr="00194527">
              <w:rPr>
                <w:lang w:eastAsia="ja-JP"/>
              </w:rPr>
              <w:t>Neutrophils, Total Absolute (low)</w:t>
            </w:r>
          </w:p>
        </w:tc>
        <w:tc>
          <w:tcPr>
            <w:tcW w:w="1440" w:type="dxa"/>
            <w:shd w:val="clear" w:color="auto" w:fill="auto"/>
            <w:noWrap/>
            <w:vAlign w:val="center"/>
          </w:tcPr>
          <w:p w14:paraId="5E01390F" w14:textId="77777777" w:rsidR="00263A4F" w:rsidRPr="00194527" w:rsidRDefault="00263A4F" w:rsidP="00C448E8">
            <w:pPr>
              <w:rPr>
                <w:lang w:eastAsia="ja-JP"/>
              </w:rPr>
            </w:pPr>
            <w:r w:rsidRPr="00194527">
              <w:t>68</w:t>
            </w:r>
          </w:p>
        </w:tc>
        <w:tc>
          <w:tcPr>
            <w:tcW w:w="1260" w:type="dxa"/>
            <w:shd w:val="clear" w:color="auto" w:fill="auto"/>
            <w:noWrap/>
            <w:vAlign w:val="center"/>
          </w:tcPr>
          <w:p w14:paraId="6FF6E943" w14:textId="77777777" w:rsidR="00263A4F" w:rsidRPr="00194527" w:rsidRDefault="00263A4F" w:rsidP="00C448E8">
            <w:pPr>
              <w:rPr>
                <w:lang w:eastAsia="ja-JP"/>
              </w:rPr>
            </w:pPr>
            <w:r w:rsidRPr="00194527">
              <w:t>30</w:t>
            </w:r>
          </w:p>
        </w:tc>
        <w:tc>
          <w:tcPr>
            <w:tcW w:w="1417" w:type="dxa"/>
            <w:shd w:val="clear" w:color="auto" w:fill="auto"/>
            <w:noWrap/>
            <w:vAlign w:val="center"/>
          </w:tcPr>
          <w:p w14:paraId="6E5F8FFF" w14:textId="77777777" w:rsidR="00263A4F" w:rsidRPr="00194527" w:rsidRDefault="00263A4F" w:rsidP="00C448E8">
            <w:pPr>
              <w:rPr>
                <w:lang w:eastAsia="ja-JP"/>
              </w:rPr>
            </w:pPr>
            <w:r w:rsidRPr="00194527">
              <w:t>67</w:t>
            </w:r>
          </w:p>
        </w:tc>
        <w:tc>
          <w:tcPr>
            <w:tcW w:w="1193" w:type="dxa"/>
            <w:shd w:val="clear" w:color="auto" w:fill="auto"/>
            <w:noWrap/>
            <w:vAlign w:val="center"/>
          </w:tcPr>
          <w:p w14:paraId="63240FC3" w14:textId="77777777" w:rsidR="00263A4F" w:rsidRPr="00194527" w:rsidRDefault="00263A4F" w:rsidP="00C448E8">
            <w:pPr>
              <w:rPr>
                <w:lang w:eastAsia="ja-JP"/>
              </w:rPr>
            </w:pPr>
            <w:r w:rsidRPr="00194527">
              <w:t>33</w:t>
            </w:r>
          </w:p>
        </w:tc>
      </w:tr>
      <w:tr w:rsidR="00263A4F" w:rsidRPr="00194527" w14:paraId="7E5B3290" w14:textId="77777777" w:rsidTr="00721257">
        <w:trPr>
          <w:trHeight w:val="290"/>
        </w:trPr>
        <w:tc>
          <w:tcPr>
            <w:tcW w:w="4140" w:type="dxa"/>
            <w:shd w:val="clear" w:color="auto" w:fill="auto"/>
            <w:noWrap/>
            <w:vAlign w:val="center"/>
          </w:tcPr>
          <w:p w14:paraId="62D10F9A" w14:textId="77777777" w:rsidR="00263A4F" w:rsidRPr="00194527" w:rsidRDefault="00263A4F" w:rsidP="00C448E8">
            <w:pPr>
              <w:rPr>
                <w:lang w:eastAsia="ja-JP"/>
              </w:rPr>
            </w:pPr>
            <w:r w:rsidRPr="00194527">
              <w:rPr>
                <w:lang w:eastAsia="ja-JP"/>
              </w:rPr>
              <w:t>Platelet (low)</w:t>
            </w:r>
          </w:p>
        </w:tc>
        <w:tc>
          <w:tcPr>
            <w:tcW w:w="1440" w:type="dxa"/>
            <w:shd w:val="clear" w:color="auto" w:fill="auto"/>
            <w:noWrap/>
            <w:vAlign w:val="center"/>
          </w:tcPr>
          <w:p w14:paraId="09506848" w14:textId="77777777" w:rsidR="00263A4F" w:rsidRPr="00194527" w:rsidRDefault="00263A4F" w:rsidP="00C448E8">
            <w:pPr>
              <w:rPr>
                <w:lang w:eastAsia="ja-JP"/>
              </w:rPr>
            </w:pPr>
            <w:r w:rsidRPr="00194527">
              <w:t>27</w:t>
            </w:r>
          </w:p>
        </w:tc>
        <w:tc>
          <w:tcPr>
            <w:tcW w:w="1260" w:type="dxa"/>
            <w:shd w:val="clear" w:color="auto" w:fill="auto"/>
            <w:noWrap/>
            <w:vAlign w:val="center"/>
          </w:tcPr>
          <w:p w14:paraId="6CBD43C2" w14:textId="77777777" w:rsidR="00263A4F" w:rsidRPr="00194527" w:rsidRDefault="00263A4F" w:rsidP="00C448E8">
            <w:pPr>
              <w:rPr>
                <w:lang w:eastAsia="ja-JP"/>
              </w:rPr>
            </w:pPr>
            <w:r w:rsidRPr="00194527">
              <w:t>0</w:t>
            </w:r>
          </w:p>
        </w:tc>
        <w:tc>
          <w:tcPr>
            <w:tcW w:w="1417" w:type="dxa"/>
            <w:shd w:val="clear" w:color="auto" w:fill="auto"/>
            <w:noWrap/>
            <w:vAlign w:val="center"/>
          </w:tcPr>
          <w:p w14:paraId="33DD4CC2" w14:textId="77777777" w:rsidR="00263A4F" w:rsidRPr="00194527" w:rsidRDefault="00263A4F" w:rsidP="00C448E8">
            <w:pPr>
              <w:rPr>
                <w:lang w:eastAsia="ja-JP"/>
              </w:rPr>
            </w:pPr>
            <w:r w:rsidRPr="00194527">
              <w:t>28</w:t>
            </w:r>
          </w:p>
        </w:tc>
        <w:tc>
          <w:tcPr>
            <w:tcW w:w="1193" w:type="dxa"/>
            <w:shd w:val="clear" w:color="auto" w:fill="auto"/>
            <w:noWrap/>
            <w:vAlign w:val="center"/>
          </w:tcPr>
          <w:p w14:paraId="4BD67BE1" w14:textId="77777777" w:rsidR="00263A4F" w:rsidRPr="00194527" w:rsidRDefault="00263A4F" w:rsidP="00C448E8">
            <w:pPr>
              <w:rPr>
                <w:lang w:eastAsia="ja-JP"/>
              </w:rPr>
            </w:pPr>
            <w:r w:rsidRPr="00194527">
              <w:t>0.4</w:t>
            </w:r>
          </w:p>
        </w:tc>
      </w:tr>
      <w:tr w:rsidR="00263A4F" w:rsidRPr="00194527" w14:paraId="6F242B98" w14:textId="77777777" w:rsidTr="00721257">
        <w:trPr>
          <w:trHeight w:val="290"/>
        </w:trPr>
        <w:tc>
          <w:tcPr>
            <w:tcW w:w="9450" w:type="dxa"/>
            <w:gridSpan w:val="5"/>
            <w:shd w:val="clear" w:color="auto" w:fill="auto"/>
            <w:noWrap/>
            <w:vAlign w:val="bottom"/>
            <w:hideMark/>
          </w:tcPr>
          <w:p w14:paraId="0BAFB7A0" w14:textId="77777777" w:rsidR="00263A4F" w:rsidRPr="00194527" w:rsidRDefault="00263A4F" w:rsidP="00C448E8">
            <w:pPr>
              <w:rPr>
                <w:lang w:eastAsia="ja-JP"/>
              </w:rPr>
            </w:pPr>
            <w:r w:rsidRPr="00194527">
              <w:rPr>
                <w:b/>
                <w:lang w:eastAsia="ja-JP"/>
              </w:rPr>
              <w:t>Chemistry</w:t>
            </w:r>
          </w:p>
        </w:tc>
      </w:tr>
      <w:tr w:rsidR="00263A4F" w:rsidRPr="00194527" w14:paraId="7FDCB411" w14:textId="77777777" w:rsidTr="00721257">
        <w:trPr>
          <w:trHeight w:val="290"/>
        </w:trPr>
        <w:tc>
          <w:tcPr>
            <w:tcW w:w="4140" w:type="dxa"/>
            <w:shd w:val="clear" w:color="auto" w:fill="auto"/>
            <w:noWrap/>
            <w:vAlign w:val="center"/>
          </w:tcPr>
          <w:p w14:paraId="59A96871" w14:textId="77777777" w:rsidR="00263A4F" w:rsidRPr="00194527" w:rsidRDefault="00263A4F" w:rsidP="00C448E8">
            <w:pPr>
              <w:rPr>
                <w:lang w:eastAsia="ja-JP"/>
              </w:rPr>
            </w:pPr>
            <w:r w:rsidRPr="00194527">
              <w:rPr>
                <w:lang w:eastAsia="ja-JP"/>
              </w:rPr>
              <w:t>Creatinine (high)</w:t>
            </w:r>
          </w:p>
        </w:tc>
        <w:tc>
          <w:tcPr>
            <w:tcW w:w="1440" w:type="dxa"/>
            <w:shd w:val="clear" w:color="auto" w:fill="auto"/>
            <w:noWrap/>
            <w:vAlign w:val="center"/>
          </w:tcPr>
          <w:p w14:paraId="5318AB90" w14:textId="77777777" w:rsidR="00263A4F" w:rsidRPr="00194527" w:rsidRDefault="00263A4F" w:rsidP="00C448E8">
            <w:pPr>
              <w:rPr>
                <w:lang w:eastAsia="ja-JP"/>
              </w:rPr>
            </w:pPr>
            <w:r w:rsidRPr="00194527">
              <w:t>84</w:t>
            </w:r>
          </w:p>
        </w:tc>
        <w:tc>
          <w:tcPr>
            <w:tcW w:w="1260" w:type="dxa"/>
            <w:shd w:val="clear" w:color="auto" w:fill="auto"/>
            <w:noWrap/>
            <w:vAlign w:val="center"/>
          </w:tcPr>
          <w:p w14:paraId="747A9E75" w14:textId="77777777" w:rsidR="00263A4F" w:rsidRPr="00194527" w:rsidRDefault="00263A4F" w:rsidP="00C448E8">
            <w:pPr>
              <w:rPr>
                <w:lang w:eastAsia="ja-JP"/>
              </w:rPr>
            </w:pPr>
            <w:r w:rsidRPr="00194527">
              <w:t>0</w:t>
            </w:r>
          </w:p>
        </w:tc>
        <w:tc>
          <w:tcPr>
            <w:tcW w:w="1417" w:type="dxa"/>
            <w:shd w:val="clear" w:color="auto" w:fill="auto"/>
            <w:noWrap/>
            <w:vAlign w:val="center"/>
          </w:tcPr>
          <w:p w14:paraId="1F1DE4F8" w14:textId="77777777" w:rsidR="00263A4F" w:rsidRPr="00194527" w:rsidRDefault="00263A4F" w:rsidP="00C448E8">
            <w:pPr>
              <w:rPr>
                <w:lang w:eastAsia="ja-JP"/>
              </w:rPr>
            </w:pPr>
            <w:r w:rsidRPr="00194527">
              <w:t>87</w:t>
            </w:r>
          </w:p>
        </w:tc>
        <w:tc>
          <w:tcPr>
            <w:tcW w:w="1193" w:type="dxa"/>
            <w:shd w:val="clear" w:color="auto" w:fill="auto"/>
            <w:noWrap/>
            <w:vAlign w:val="center"/>
          </w:tcPr>
          <w:p w14:paraId="58E5B850" w14:textId="77777777" w:rsidR="00263A4F" w:rsidRPr="00194527" w:rsidRDefault="00263A4F" w:rsidP="00C448E8">
            <w:pPr>
              <w:rPr>
                <w:lang w:eastAsia="ja-JP"/>
              </w:rPr>
            </w:pPr>
            <w:r w:rsidRPr="00194527">
              <w:t>0.4</w:t>
            </w:r>
          </w:p>
        </w:tc>
      </w:tr>
      <w:tr w:rsidR="00263A4F" w:rsidRPr="00194527" w14:paraId="1BB76ED5" w14:textId="77777777" w:rsidTr="00721257">
        <w:trPr>
          <w:trHeight w:val="290"/>
        </w:trPr>
        <w:tc>
          <w:tcPr>
            <w:tcW w:w="4140" w:type="dxa"/>
            <w:shd w:val="clear" w:color="auto" w:fill="auto"/>
            <w:noWrap/>
            <w:vAlign w:val="center"/>
          </w:tcPr>
          <w:p w14:paraId="50F4FCAA" w14:textId="77777777" w:rsidR="00263A4F" w:rsidRPr="00194527" w:rsidRDefault="00263A4F" w:rsidP="00C448E8">
            <w:pPr>
              <w:rPr>
                <w:lang w:eastAsia="ja-JP"/>
              </w:rPr>
            </w:pPr>
            <w:r w:rsidRPr="00194527">
              <w:t>Alanine aminotransferase (high)</w:t>
            </w:r>
          </w:p>
        </w:tc>
        <w:tc>
          <w:tcPr>
            <w:tcW w:w="1440" w:type="dxa"/>
            <w:shd w:val="clear" w:color="auto" w:fill="auto"/>
            <w:noWrap/>
            <w:vAlign w:val="center"/>
          </w:tcPr>
          <w:p w14:paraId="618DF5C6" w14:textId="77777777" w:rsidR="00263A4F" w:rsidRPr="00194527" w:rsidRDefault="00263A4F" w:rsidP="00C448E8">
            <w:pPr>
              <w:rPr>
                <w:lang w:eastAsia="ja-JP"/>
              </w:rPr>
            </w:pPr>
            <w:r w:rsidRPr="00194527">
              <w:t>58</w:t>
            </w:r>
          </w:p>
        </w:tc>
        <w:tc>
          <w:tcPr>
            <w:tcW w:w="1260" w:type="dxa"/>
            <w:shd w:val="clear" w:color="auto" w:fill="auto"/>
            <w:noWrap/>
            <w:vAlign w:val="center"/>
          </w:tcPr>
          <w:p w14:paraId="1E1A9BFA" w14:textId="77777777" w:rsidR="00263A4F" w:rsidRPr="00194527" w:rsidRDefault="00263A4F" w:rsidP="00C448E8">
            <w:pPr>
              <w:rPr>
                <w:lang w:eastAsia="ja-JP"/>
              </w:rPr>
            </w:pPr>
            <w:r w:rsidRPr="00194527">
              <w:t>1.6</w:t>
            </w:r>
          </w:p>
        </w:tc>
        <w:tc>
          <w:tcPr>
            <w:tcW w:w="1417" w:type="dxa"/>
            <w:shd w:val="clear" w:color="auto" w:fill="auto"/>
            <w:noWrap/>
            <w:vAlign w:val="center"/>
          </w:tcPr>
          <w:p w14:paraId="7DDE80A3" w14:textId="77777777" w:rsidR="00263A4F" w:rsidRPr="00194527" w:rsidRDefault="00263A4F" w:rsidP="00C448E8">
            <w:pPr>
              <w:rPr>
                <w:lang w:eastAsia="ja-JP"/>
              </w:rPr>
            </w:pPr>
            <w:r w:rsidRPr="00194527">
              <w:t>68</w:t>
            </w:r>
          </w:p>
        </w:tc>
        <w:tc>
          <w:tcPr>
            <w:tcW w:w="1193" w:type="dxa"/>
            <w:shd w:val="clear" w:color="auto" w:fill="auto"/>
            <w:noWrap/>
            <w:vAlign w:val="center"/>
          </w:tcPr>
          <w:p w14:paraId="5BF9DD9B" w14:textId="77777777" w:rsidR="00263A4F" w:rsidRPr="00194527" w:rsidRDefault="00263A4F" w:rsidP="00C448E8">
            <w:pPr>
              <w:rPr>
                <w:lang w:eastAsia="ja-JP"/>
              </w:rPr>
            </w:pPr>
            <w:r w:rsidRPr="00194527">
              <w:t>2.4</w:t>
            </w:r>
          </w:p>
        </w:tc>
      </w:tr>
      <w:tr w:rsidR="00263A4F" w:rsidRPr="00194527" w14:paraId="00492590" w14:textId="77777777" w:rsidTr="00721257">
        <w:trPr>
          <w:trHeight w:val="290"/>
        </w:trPr>
        <w:tc>
          <w:tcPr>
            <w:tcW w:w="4140" w:type="dxa"/>
            <w:shd w:val="clear" w:color="auto" w:fill="auto"/>
            <w:noWrap/>
            <w:vAlign w:val="center"/>
          </w:tcPr>
          <w:p w14:paraId="6723ADF4" w14:textId="77777777" w:rsidR="00263A4F" w:rsidRPr="00194527" w:rsidRDefault="00263A4F" w:rsidP="00C448E8">
            <w:pPr>
              <w:rPr>
                <w:lang w:eastAsia="ja-JP"/>
              </w:rPr>
            </w:pPr>
            <w:r w:rsidRPr="00194527">
              <w:t>Aspartate aminotransferase (high)</w:t>
            </w:r>
          </w:p>
        </w:tc>
        <w:tc>
          <w:tcPr>
            <w:tcW w:w="1440" w:type="dxa"/>
            <w:shd w:val="clear" w:color="auto" w:fill="auto"/>
            <w:noWrap/>
            <w:vAlign w:val="center"/>
          </w:tcPr>
          <w:p w14:paraId="5ED55BE8" w14:textId="77777777" w:rsidR="00263A4F" w:rsidRPr="00194527" w:rsidRDefault="00263A4F" w:rsidP="00C448E8">
            <w:pPr>
              <w:rPr>
                <w:lang w:eastAsia="ja-JP"/>
              </w:rPr>
            </w:pPr>
            <w:r w:rsidRPr="00194527">
              <w:t>50</w:t>
            </w:r>
          </w:p>
        </w:tc>
        <w:tc>
          <w:tcPr>
            <w:tcW w:w="1260" w:type="dxa"/>
            <w:shd w:val="clear" w:color="auto" w:fill="auto"/>
            <w:noWrap/>
            <w:vAlign w:val="center"/>
          </w:tcPr>
          <w:p w14:paraId="3A33AD32" w14:textId="77777777" w:rsidR="00263A4F" w:rsidRPr="00194527" w:rsidRDefault="00263A4F" w:rsidP="00C448E8">
            <w:pPr>
              <w:rPr>
                <w:lang w:eastAsia="ja-JP"/>
              </w:rPr>
            </w:pPr>
            <w:r w:rsidRPr="00194527">
              <w:t>0.8</w:t>
            </w:r>
          </w:p>
        </w:tc>
        <w:tc>
          <w:tcPr>
            <w:tcW w:w="1417" w:type="dxa"/>
            <w:shd w:val="clear" w:color="auto" w:fill="auto"/>
            <w:noWrap/>
            <w:vAlign w:val="center"/>
          </w:tcPr>
          <w:p w14:paraId="6B882FCD" w14:textId="77777777" w:rsidR="00263A4F" w:rsidRPr="00194527" w:rsidRDefault="00263A4F" w:rsidP="00C448E8">
            <w:pPr>
              <w:rPr>
                <w:lang w:eastAsia="ja-JP"/>
              </w:rPr>
            </w:pPr>
            <w:r w:rsidRPr="00194527">
              <w:t>58</w:t>
            </w:r>
          </w:p>
        </w:tc>
        <w:tc>
          <w:tcPr>
            <w:tcW w:w="1193" w:type="dxa"/>
            <w:shd w:val="clear" w:color="auto" w:fill="auto"/>
            <w:noWrap/>
            <w:vAlign w:val="center"/>
          </w:tcPr>
          <w:p w14:paraId="629EC71A" w14:textId="77777777" w:rsidR="00263A4F" w:rsidRPr="00194527" w:rsidRDefault="00263A4F" w:rsidP="00C448E8">
            <w:pPr>
              <w:rPr>
                <w:lang w:eastAsia="ja-JP"/>
              </w:rPr>
            </w:pPr>
            <w:r w:rsidRPr="00194527">
              <w:t>0.8</w:t>
            </w:r>
          </w:p>
        </w:tc>
      </w:tr>
      <w:tr w:rsidR="00263A4F" w:rsidRPr="00194527" w14:paraId="04B93F07" w14:textId="77777777" w:rsidTr="00721257">
        <w:trPr>
          <w:trHeight w:val="290"/>
        </w:trPr>
        <w:tc>
          <w:tcPr>
            <w:tcW w:w="4140" w:type="dxa"/>
            <w:shd w:val="clear" w:color="auto" w:fill="auto"/>
            <w:noWrap/>
            <w:vAlign w:val="center"/>
          </w:tcPr>
          <w:p w14:paraId="1132B51F" w14:textId="77777777" w:rsidR="00263A4F" w:rsidRPr="00194527" w:rsidRDefault="00263A4F" w:rsidP="00C448E8">
            <w:pPr>
              <w:rPr>
                <w:lang w:eastAsia="ja-JP"/>
              </w:rPr>
            </w:pPr>
            <w:r w:rsidRPr="00194527">
              <w:rPr>
                <w:lang w:eastAsia="ja-JP"/>
              </w:rPr>
              <w:t>Potassium (low)</w:t>
            </w:r>
          </w:p>
        </w:tc>
        <w:tc>
          <w:tcPr>
            <w:tcW w:w="1440" w:type="dxa"/>
            <w:shd w:val="clear" w:color="auto" w:fill="auto"/>
            <w:noWrap/>
            <w:vAlign w:val="center"/>
          </w:tcPr>
          <w:p w14:paraId="615B1564" w14:textId="77777777" w:rsidR="00263A4F" w:rsidRPr="00194527" w:rsidRDefault="00263A4F" w:rsidP="00C448E8">
            <w:pPr>
              <w:rPr>
                <w:lang w:eastAsia="ja-JP"/>
              </w:rPr>
            </w:pPr>
            <w:r w:rsidRPr="00194527">
              <w:t>17</w:t>
            </w:r>
          </w:p>
        </w:tc>
        <w:tc>
          <w:tcPr>
            <w:tcW w:w="1260" w:type="dxa"/>
            <w:shd w:val="clear" w:color="auto" w:fill="auto"/>
            <w:noWrap/>
            <w:vAlign w:val="center"/>
          </w:tcPr>
          <w:p w14:paraId="7E508F32" w14:textId="77777777" w:rsidR="00263A4F" w:rsidRPr="00194527" w:rsidRDefault="00263A4F" w:rsidP="00C448E8">
            <w:pPr>
              <w:rPr>
                <w:lang w:eastAsia="ja-JP"/>
              </w:rPr>
            </w:pPr>
            <w:r w:rsidRPr="00194527">
              <w:t>5.2</w:t>
            </w:r>
          </w:p>
        </w:tc>
        <w:tc>
          <w:tcPr>
            <w:tcW w:w="1417" w:type="dxa"/>
            <w:shd w:val="clear" w:color="auto" w:fill="auto"/>
            <w:noWrap/>
            <w:vAlign w:val="center"/>
          </w:tcPr>
          <w:p w14:paraId="73927CD4" w14:textId="77777777" w:rsidR="00263A4F" w:rsidRPr="00194527" w:rsidRDefault="00263A4F" w:rsidP="00C448E8">
            <w:pPr>
              <w:rPr>
                <w:lang w:eastAsia="ja-JP"/>
              </w:rPr>
            </w:pPr>
            <w:r w:rsidRPr="00194527">
              <w:t>17</w:t>
            </w:r>
          </w:p>
        </w:tc>
        <w:tc>
          <w:tcPr>
            <w:tcW w:w="1193" w:type="dxa"/>
            <w:shd w:val="clear" w:color="auto" w:fill="auto"/>
            <w:noWrap/>
            <w:vAlign w:val="center"/>
          </w:tcPr>
          <w:p w14:paraId="55CBC108" w14:textId="77777777" w:rsidR="00263A4F" w:rsidRPr="00194527" w:rsidRDefault="00263A4F" w:rsidP="00C448E8">
            <w:pPr>
              <w:rPr>
                <w:lang w:eastAsia="ja-JP"/>
              </w:rPr>
            </w:pPr>
            <w:r w:rsidRPr="00194527">
              <w:t>2.8</w:t>
            </w:r>
          </w:p>
        </w:tc>
      </w:tr>
      <w:tr w:rsidR="00263A4F" w:rsidRPr="00194527" w14:paraId="031377C5" w14:textId="77777777" w:rsidTr="00721257">
        <w:trPr>
          <w:trHeight w:val="290"/>
        </w:trPr>
        <w:tc>
          <w:tcPr>
            <w:tcW w:w="4140" w:type="dxa"/>
            <w:shd w:val="clear" w:color="auto" w:fill="auto"/>
            <w:noWrap/>
            <w:vAlign w:val="center"/>
          </w:tcPr>
          <w:p w14:paraId="51B3B154" w14:textId="77777777" w:rsidR="00263A4F" w:rsidRPr="00194527" w:rsidRDefault="00263A4F" w:rsidP="00C448E8">
            <w:pPr>
              <w:rPr>
                <w:lang w:eastAsia="ja-JP"/>
              </w:rPr>
            </w:pPr>
            <w:r w:rsidRPr="00194527">
              <w:rPr>
                <w:lang w:eastAsia="ja-JP"/>
              </w:rPr>
              <w:t>Albumin (low)</w:t>
            </w:r>
          </w:p>
        </w:tc>
        <w:tc>
          <w:tcPr>
            <w:tcW w:w="1440" w:type="dxa"/>
            <w:shd w:val="clear" w:color="auto" w:fill="auto"/>
            <w:noWrap/>
            <w:vAlign w:val="center"/>
          </w:tcPr>
          <w:p w14:paraId="75A6CFC9" w14:textId="77777777" w:rsidR="00263A4F" w:rsidRPr="00194527" w:rsidRDefault="00263A4F" w:rsidP="00C448E8">
            <w:pPr>
              <w:rPr>
                <w:lang w:eastAsia="ja-JP"/>
              </w:rPr>
            </w:pPr>
            <w:r w:rsidRPr="00194527">
              <w:t>16</w:t>
            </w:r>
          </w:p>
        </w:tc>
        <w:tc>
          <w:tcPr>
            <w:tcW w:w="1260" w:type="dxa"/>
            <w:shd w:val="clear" w:color="auto" w:fill="auto"/>
            <w:noWrap/>
            <w:vAlign w:val="center"/>
          </w:tcPr>
          <w:p w14:paraId="1B7E3DEB" w14:textId="77777777" w:rsidR="00263A4F" w:rsidRPr="00194527" w:rsidRDefault="00263A4F" w:rsidP="00C448E8">
            <w:pPr>
              <w:rPr>
                <w:lang w:eastAsia="ja-JP"/>
              </w:rPr>
            </w:pPr>
            <w:r w:rsidRPr="00194527">
              <w:t>0</w:t>
            </w:r>
          </w:p>
        </w:tc>
        <w:tc>
          <w:tcPr>
            <w:tcW w:w="1417" w:type="dxa"/>
            <w:shd w:val="clear" w:color="auto" w:fill="auto"/>
            <w:noWrap/>
            <w:vAlign w:val="center"/>
          </w:tcPr>
          <w:p w14:paraId="551A296D" w14:textId="77777777" w:rsidR="00263A4F" w:rsidRPr="00194527" w:rsidRDefault="00263A4F" w:rsidP="00C448E8">
            <w:pPr>
              <w:rPr>
                <w:lang w:eastAsia="ja-JP"/>
              </w:rPr>
            </w:pPr>
            <w:r w:rsidRPr="00194527">
              <w:t>20</w:t>
            </w:r>
          </w:p>
        </w:tc>
        <w:tc>
          <w:tcPr>
            <w:tcW w:w="1193" w:type="dxa"/>
            <w:shd w:val="clear" w:color="auto" w:fill="auto"/>
            <w:noWrap/>
            <w:vAlign w:val="center"/>
          </w:tcPr>
          <w:p w14:paraId="67B41842" w14:textId="77777777" w:rsidR="00263A4F" w:rsidRPr="00194527" w:rsidRDefault="00263A4F" w:rsidP="00C448E8">
            <w:pPr>
              <w:rPr>
                <w:lang w:eastAsia="ja-JP"/>
              </w:rPr>
            </w:pPr>
            <w:r w:rsidRPr="00194527">
              <w:t>0.4</w:t>
            </w:r>
          </w:p>
        </w:tc>
      </w:tr>
      <w:tr w:rsidR="00263A4F" w:rsidRPr="00194527" w14:paraId="7EA80BEB" w14:textId="77777777" w:rsidTr="00721257">
        <w:trPr>
          <w:trHeight w:val="290"/>
        </w:trPr>
        <w:tc>
          <w:tcPr>
            <w:tcW w:w="4140" w:type="dxa"/>
            <w:shd w:val="clear" w:color="auto" w:fill="auto"/>
            <w:noWrap/>
            <w:vAlign w:val="center"/>
          </w:tcPr>
          <w:p w14:paraId="1CE6613D" w14:textId="77777777" w:rsidR="00263A4F" w:rsidRPr="00194527" w:rsidRDefault="00263A4F" w:rsidP="00C448E8">
            <w:pPr>
              <w:rPr>
                <w:lang w:eastAsia="ja-JP"/>
              </w:rPr>
            </w:pPr>
            <w:r w:rsidRPr="00194527">
              <w:rPr>
                <w:lang w:eastAsia="ja-JP"/>
              </w:rPr>
              <w:t>Potassium (high)</w:t>
            </w:r>
          </w:p>
        </w:tc>
        <w:tc>
          <w:tcPr>
            <w:tcW w:w="1440" w:type="dxa"/>
            <w:shd w:val="clear" w:color="auto" w:fill="auto"/>
            <w:noWrap/>
            <w:vAlign w:val="center"/>
          </w:tcPr>
          <w:p w14:paraId="4D2D1C21" w14:textId="77777777" w:rsidR="00263A4F" w:rsidRPr="00194527" w:rsidRDefault="00263A4F" w:rsidP="00C448E8">
            <w:pPr>
              <w:rPr>
                <w:lang w:eastAsia="ja-JP"/>
              </w:rPr>
            </w:pPr>
            <w:r w:rsidRPr="00194527">
              <w:t>13</w:t>
            </w:r>
          </w:p>
        </w:tc>
        <w:tc>
          <w:tcPr>
            <w:tcW w:w="1260" w:type="dxa"/>
            <w:shd w:val="clear" w:color="auto" w:fill="auto"/>
            <w:noWrap/>
            <w:vAlign w:val="center"/>
          </w:tcPr>
          <w:p w14:paraId="569D0CF5" w14:textId="77777777" w:rsidR="00263A4F" w:rsidRPr="00194527" w:rsidRDefault="00263A4F" w:rsidP="00C448E8">
            <w:pPr>
              <w:rPr>
                <w:lang w:eastAsia="ja-JP"/>
              </w:rPr>
            </w:pPr>
            <w:r w:rsidRPr="00194527">
              <w:t>1.2</w:t>
            </w:r>
          </w:p>
        </w:tc>
        <w:tc>
          <w:tcPr>
            <w:tcW w:w="1417" w:type="dxa"/>
            <w:shd w:val="clear" w:color="auto" w:fill="auto"/>
            <w:noWrap/>
            <w:vAlign w:val="center"/>
          </w:tcPr>
          <w:p w14:paraId="6206ED37" w14:textId="77777777" w:rsidR="00263A4F" w:rsidRPr="00194527" w:rsidRDefault="00263A4F" w:rsidP="00C448E8">
            <w:pPr>
              <w:rPr>
                <w:lang w:eastAsia="ja-JP"/>
              </w:rPr>
            </w:pPr>
            <w:r w:rsidRPr="00194527">
              <w:t>9</w:t>
            </w:r>
          </w:p>
        </w:tc>
        <w:tc>
          <w:tcPr>
            <w:tcW w:w="1193" w:type="dxa"/>
            <w:shd w:val="clear" w:color="auto" w:fill="auto"/>
            <w:noWrap/>
            <w:vAlign w:val="center"/>
          </w:tcPr>
          <w:p w14:paraId="3EC74B7F" w14:textId="77777777" w:rsidR="00263A4F" w:rsidRPr="00194527" w:rsidRDefault="00263A4F" w:rsidP="00C448E8">
            <w:pPr>
              <w:rPr>
                <w:lang w:eastAsia="ja-JP"/>
              </w:rPr>
            </w:pPr>
            <w:r w:rsidRPr="00194527">
              <w:t>0</w:t>
            </w:r>
          </w:p>
        </w:tc>
      </w:tr>
      <w:tr w:rsidR="00263A4F" w:rsidRPr="00194527" w14:paraId="6BC82C7F" w14:textId="77777777" w:rsidTr="00721257">
        <w:trPr>
          <w:trHeight w:val="290"/>
        </w:trPr>
        <w:tc>
          <w:tcPr>
            <w:tcW w:w="4140" w:type="dxa"/>
            <w:shd w:val="clear" w:color="auto" w:fill="auto"/>
            <w:noWrap/>
            <w:vAlign w:val="center"/>
          </w:tcPr>
          <w:p w14:paraId="0FDE2CD6" w14:textId="77777777" w:rsidR="00263A4F" w:rsidRPr="00194527" w:rsidRDefault="00263A4F" w:rsidP="00C448E8">
            <w:pPr>
              <w:rPr>
                <w:lang w:eastAsia="ja-JP"/>
              </w:rPr>
            </w:pPr>
            <w:r w:rsidRPr="00194527">
              <w:rPr>
                <w:lang w:eastAsia="ja-JP"/>
              </w:rPr>
              <w:t>Sodium (low)</w:t>
            </w:r>
          </w:p>
        </w:tc>
        <w:tc>
          <w:tcPr>
            <w:tcW w:w="1440" w:type="dxa"/>
            <w:shd w:val="clear" w:color="auto" w:fill="auto"/>
            <w:noWrap/>
            <w:vAlign w:val="center"/>
          </w:tcPr>
          <w:p w14:paraId="596AC7F6" w14:textId="77777777" w:rsidR="00263A4F" w:rsidRPr="00194527" w:rsidRDefault="00263A4F" w:rsidP="00C448E8">
            <w:pPr>
              <w:rPr>
                <w:lang w:eastAsia="ja-JP"/>
              </w:rPr>
            </w:pPr>
            <w:r w:rsidRPr="00194527">
              <w:t>13</w:t>
            </w:r>
          </w:p>
        </w:tc>
        <w:tc>
          <w:tcPr>
            <w:tcW w:w="1260" w:type="dxa"/>
            <w:shd w:val="clear" w:color="auto" w:fill="auto"/>
            <w:noWrap/>
            <w:vAlign w:val="center"/>
          </w:tcPr>
          <w:p w14:paraId="70860760" w14:textId="77777777" w:rsidR="00263A4F" w:rsidRPr="00194527" w:rsidRDefault="00263A4F" w:rsidP="00C448E8">
            <w:pPr>
              <w:rPr>
                <w:lang w:eastAsia="ja-JP"/>
              </w:rPr>
            </w:pPr>
            <w:r w:rsidRPr="00194527">
              <w:t>0.4</w:t>
            </w:r>
          </w:p>
        </w:tc>
        <w:tc>
          <w:tcPr>
            <w:tcW w:w="1417" w:type="dxa"/>
            <w:shd w:val="clear" w:color="auto" w:fill="auto"/>
            <w:noWrap/>
            <w:vAlign w:val="center"/>
          </w:tcPr>
          <w:p w14:paraId="60D5D400" w14:textId="77777777" w:rsidR="00263A4F" w:rsidRPr="00194527" w:rsidRDefault="00263A4F" w:rsidP="00C448E8">
            <w:pPr>
              <w:rPr>
                <w:lang w:eastAsia="ja-JP"/>
              </w:rPr>
            </w:pPr>
            <w:r w:rsidRPr="00194527">
              <w:t>10</w:t>
            </w:r>
          </w:p>
        </w:tc>
        <w:tc>
          <w:tcPr>
            <w:tcW w:w="1193" w:type="dxa"/>
            <w:shd w:val="clear" w:color="auto" w:fill="auto"/>
            <w:noWrap/>
            <w:vAlign w:val="center"/>
          </w:tcPr>
          <w:p w14:paraId="0632F406" w14:textId="77777777" w:rsidR="00263A4F" w:rsidRPr="00194527" w:rsidRDefault="00263A4F" w:rsidP="00C448E8">
            <w:pPr>
              <w:rPr>
                <w:lang w:eastAsia="ja-JP"/>
              </w:rPr>
            </w:pPr>
            <w:r w:rsidRPr="00194527">
              <w:t>1.6</w:t>
            </w:r>
          </w:p>
        </w:tc>
      </w:tr>
      <w:tr w:rsidR="00263A4F" w:rsidRPr="00194527" w14:paraId="2B653BBF" w14:textId="77777777" w:rsidTr="00721257">
        <w:trPr>
          <w:trHeight w:val="290"/>
        </w:trPr>
        <w:tc>
          <w:tcPr>
            <w:tcW w:w="4140" w:type="dxa"/>
            <w:shd w:val="clear" w:color="auto" w:fill="auto"/>
            <w:noWrap/>
            <w:vAlign w:val="center"/>
          </w:tcPr>
          <w:p w14:paraId="795FE551" w14:textId="77777777" w:rsidR="00263A4F" w:rsidRPr="00194527" w:rsidRDefault="00263A4F" w:rsidP="00C448E8">
            <w:pPr>
              <w:rPr>
                <w:lang w:eastAsia="ja-JP"/>
              </w:rPr>
            </w:pPr>
            <w:r w:rsidRPr="00194527">
              <w:rPr>
                <w:lang w:eastAsia="ja-JP"/>
              </w:rPr>
              <w:t>Bilirubin (high)</w:t>
            </w:r>
          </w:p>
        </w:tc>
        <w:tc>
          <w:tcPr>
            <w:tcW w:w="1440" w:type="dxa"/>
            <w:shd w:val="clear" w:color="auto" w:fill="auto"/>
            <w:noWrap/>
            <w:vAlign w:val="center"/>
          </w:tcPr>
          <w:p w14:paraId="6EED44E4" w14:textId="77777777" w:rsidR="00263A4F" w:rsidRPr="00194527" w:rsidRDefault="00263A4F" w:rsidP="00C448E8">
            <w:pPr>
              <w:rPr>
                <w:lang w:eastAsia="ja-JP"/>
              </w:rPr>
            </w:pPr>
            <w:r w:rsidRPr="00194527">
              <w:t>9</w:t>
            </w:r>
          </w:p>
        </w:tc>
        <w:tc>
          <w:tcPr>
            <w:tcW w:w="1260" w:type="dxa"/>
            <w:shd w:val="clear" w:color="auto" w:fill="auto"/>
            <w:noWrap/>
            <w:vAlign w:val="center"/>
          </w:tcPr>
          <w:p w14:paraId="1F78D165" w14:textId="77777777" w:rsidR="00263A4F" w:rsidRPr="00194527" w:rsidRDefault="00263A4F" w:rsidP="00C448E8">
            <w:pPr>
              <w:rPr>
                <w:lang w:eastAsia="ja-JP"/>
              </w:rPr>
            </w:pPr>
            <w:r w:rsidRPr="00194527">
              <w:t>0</w:t>
            </w:r>
          </w:p>
        </w:tc>
        <w:tc>
          <w:tcPr>
            <w:tcW w:w="1417" w:type="dxa"/>
            <w:shd w:val="clear" w:color="auto" w:fill="auto"/>
            <w:noWrap/>
            <w:vAlign w:val="center"/>
          </w:tcPr>
          <w:p w14:paraId="7905DF30" w14:textId="77777777" w:rsidR="00263A4F" w:rsidRPr="00194527" w:rsidRDefault="00263A4F" w:rsidP="00C448E8">
            <w:pPr>
              <w:rPr>
                <w:lang w:eastAsia="ja-JP"/>
              </w:rPr>
            </w:pPr>
            <w:r w:rsidRPr="00194527">
              <w:t>9</w:t>
            </w:r>
          </w:p>
        </w:tc>
        <w:tc>
          <w:tcPr>
            <w:tcW w:w="1193" w:type="dxa"/>
            <w:shd w:val="clear" w:color="auto" w:fill="auto"/>
            <w:noWrap/>
            <w:vAlign w:val="center"/>
          </w:tcPr>
          <w:p w14:paraId="715029EC" w14:textId="77777777" w:rsidR="00263A4F" w:rsidRPr="00194527" w:rsidRDefault="00263A4F" w:rsidP="00C448E8">
            <w:pPr>
              <w:rPr>
                <w:lang w:eastAsia="ja-JP"/>
              </w:rPr>
            </w:pPr>
            <w:r w:rsidRPr="00194527">
              <w:t>0.4</w:t>
            </w:r>
          </w:p>
        </w:tc>
      </w:tr>
      <w:tr w:rsidR="00263A4F" w:rsidRPr="00194527" w14:paraId="44AE2FA7" w14:textId="77777777" w:rsidTr="00721257">
        <w:trPr>
          <w:trHeight w:val="290"/>
        </w:trPr>
        <w:tc>
          <w:tcPr>
            <w:tcW w:w="4140" w:type="dxa"/>
            <w:shd w:val="clear" w:color="auto" w:fill="auto"/>
            <w:noWrap/>
            <w:vAlign w:val="center"/>
          </w:tcPr>
          <w:p w14:paraId="65B1CF59" w14:textId="77777777" w:rsidR="00263A4F" w:rsidRPr="00194527" w:rsidRDefault="00263A4F" w:rsidP="00C448E8">
            <w:pPr>
              <w:rPr>
                <w:lang w:eastAsia="ja-JP"/>
              </w:rPr>
            </w:pPr>
            <w:r w:rsidRPr="00194527">
              <w:t>Glucose (low)</w:t>
            </w:r>
          </w:p>
        </w:tc>
        <w:tc>
          <w:tcPr>
            <w:tcW w:w="1440" w:type="dxa"/>
            <w:shd w:val="clear" w:color="auto" w:fill="auto"/>
            <w:noWrap/>
            <w:vAlign w:val="center"/>
          </w:tcPr>
          <w:p w14:paraId="716C75AD" w14:textId="77777777" w:rsidR="00263A4F" w:rsidRPr="00194527" w:rsidRDefault="00263A4F" w:rsidP="00C448E8">
            <w:pPr>
              <w:rPr>
                <w:lang w:eastAsia="ja-JP"/>
              </w:rPr>
            </w:pPr>
            <w:r w:rsidRPr="00194527">
              <w:t>9</w:t>
            </w:r>
          </w:p>
        </w:tc>
        <w:tc>
          <w:tcPr>
            <w:tcW w:w="1260" w:type="dxa"/>
            <w:shd w:val="clear" w:color="auto" w:fill="auto"/>
            <w:noWrap/>
            <w:vAlign w:val="center"/>
          </w:tcPr>
          <w:p w14:paraId="68EB60B6" w14:textId="77777777" w:rsidR="00263A4F" w:rsidRPr="00194527" w:rsidRDefault="00263A4F" w:rsidP="00C448E8">
            <w:pPr>
              <w:rPr>
                <w:lang w:eastAsia="ja-JP"/>
              </w:rPr>
            </w:pPr>
            <w:r w:rsidRPr="00194527">
              <w:t>0</w:t>
            </w:r>
          </w:p>
        </w:tc>
        <w:tc>
          <w:tcPr>
            <w:tcW w:w="1417" w:type="dxa"/>
            <w:shd w:val="clear" w:color="auto" w:fill="auto"/>
            <w:noWrap/>
            <w:vAlign w:val="center"/>
          </w:tcPr>
          <w:p w14:paraId="28EA117E" w14:textId="77777777" w:rsidR="00263A4F" w:rsidRPr="00194527" w:rsidRDefault="00263A4F" w:rsidP="00C448E8">
            <w:pPr>
              <w:rPr>
                <w:lang w:eastAsia="ja-JP"/>
              </w:rPr>
            </w:pPr>
            <w:r w:rsidRPr="00194527">
              <w:t>9</w:t>
            </w:r>
          </w:p>
        </w:tc>
        <w:tc>
          <w:tcPr>
            <w:tcW w:w="1193" w:type="dxa"/>
            <w:shd w:val="clear" w:color="auto" w:fill="auto"/>
            <w:noWrap/>
            <w:vAlign w:val="center"/>
          </w:tcPr>
          <w:p w14:paraId="36ADCD6A" w14:textId="77777777" w:rsidR="00263A4F" w:rsidRPr="00194527" w:rsidRDefault="00263A4F" w:rsidP="00C448E8">
            <w:pPr>
              <w:rPr>
                <w:lang w:eastAsia="ja-JP"/>
              </w:rPr>
            </w:pPr>
            <w:r w:rsidRPr="00194527">
              <w:t>0.4</w:t>
            </w:r>
          </w:p>
        </w:tc>
      </w:tr>
      <w:tr w:rsidR="00263A4F" w:rsidRPr="00194527" w14:paraId="05456213" w14:textId="77777777" w:rsidTr="00721257">
        <w:trPr>
          <w:trHeight w:val="290"/>
        </w:trPr>
        <w:tc>
          <w:tcPr>
            <w:tcW w:w="4140" w:type="dxa"/>
            <w:shd w:val="clear" w:color="auto" w:fill="auto"/>
            <w:noWrap/>
            <w:vAlign w:val="center"/>
          </w:tcPr>
          <w:p w14:paraId="6966F2D5" w14:textId="77777777" w:rsidR="00263A4F" w:rsidRPr="00194527" w:rsidRDefault="00263A4F" w:rsidP="00C448E8">
            <w:pPr>
              <w:rPr>
                <w:lang w:eastAsia="ja-JP"/>
              </w:rPr>
            </w:pPr>
            <w:r w:rsidRPr="00194527">
              <w:t>Sodium (high)</w:t>
            </w:r>
          </w:p>
        </w:tc>
        <w:tc>
          <w:tcPr>
            <w:tcW w:w="1440" w:type="dxa"/>
            <w:shd w:val="clear" w:color="auto" w:fill="auto"/>
            <w:noWrap/>
            <w:vAlign w:val="center"/>
          </w:tcPr>
          <w:p w14:paraId="2D7EB510" w14:textId="77777777" w:rsidR="00263A4F" w:rsidRPr="00194527" w:rsidRDefault="00263A4F" w:rsidP="00C448E8">
            <w:pPr>
              <w:rPr>
                <w:lang w:eastAsia="ja-JP"/>
              </w:rPr>
            </w:pPr>
            <w:r w:rsidRPr="00194527">
              <w:t>7</w:t>
            </w:r>
          </w:p>
        </w:tc>
        <w:tc>
          <w:tcPr>
            <w:tcW w:w="1260" w:type="dxa"/>
            <w:shd w:val="clear" w:color="auto" w:fill="auto"/>
            <w:noWrap/>
            <w:vAlign w:val="center"/>
          </w:tcPr>
          <w:p w14:paraId="70F4FEED" w14:textId="77777777" w:rsidR="00263A4F" w:rsidRPr="00194527" w:rsidRDefault="00263A4F" w:rsidP="00C448E8">
            <w:pPr>
              <w:rPr>
                <w:lang w:eastAsia="ja-JP"/>
              </w:rPr>
            </w:pPr>
            <w:r w:rsidRPr="00194527">
              <w:t>0.8</w:t>
            </w:r>
          </w:p>
        </w:tc>
        <w:tc>
          <w:tcPr>
            <w:tcW w:w="1417" w:type="dxa"/>
            <w:shd w:val="clear" w:color="auto" w:fill="auto"/>
            <w:noWrap/>
            <w:vAlign w:val="center"/>
          </w:tcPr>
          <w:p w14:paraId="01E4BB52" w14:textId="77777777" w:rsidR="00263A4F" w:rsidRPr="00194527" w:rsidRDefault="00263A4F" w:rsidP="00C448E8">
            <w:pPr>
              <w:rPr>
                <w:lang w:eastAsia="ja-JP"/>
              </w:rPr>
            </w:pPr>
            <w:r w:rsidRPr="00194527">
              <w:t>10</w:t>
            </w:r>
          </w:p>
        </w:tc>
        <w:tc>
          <w:tcPr>
            <w:tcW w:w="1193" w:type="dxa"/>
            <w:shd w:val="clear" w:color="auto" w:fill="auto"/>
            <w:noWrap/>
            <w:vAlign w:val="center"/>
          </w:tcPr>
          <w:p w14:paraId="3EF2D796" w14:textId="77777777" w:rsidR="00263A4F" w:rsidRPr="00194527" w:rsidRDefault="00263A4F" w:rsidP="00C448E8">
            <w:pPr>
              <w:rPr>
                <w:lang w:eastAsia="ja-JP"/>
              </w:rPr>
            </w:pPr>
            <w:r w:rsidRPr="00194527">
              <w:t>0.8</w:t>
            </w:r>
          </w:p>
        </w:tc>
      </w:tr>
    </w:tbl>
    <w:p w14:paraId="3DE2B8F1" w14:textId="77777777" w:rsidR="00263A4F" w:rsidRDefault="00263A4F" w:rsidP="00C448E8">
      <w:pPr>
        <w:rPr>
          <w:color w:val="auto"/>
          <w:lang w:val="en-US"/>
        </w:rPr>
      </w:pPr>
    </w:p>
    <w:p w14:paraId="14A50DAF" w14:textId="06853CF1" w:rsidR="002822F3" w:rsidRPr="005E3242" w:rsidRDefault="002822F3" w:rsidP="00C448E8">
      <w:pPr>
        <w:rPr>
          <w:color w:val="auto"/>
          <w:lang w:val="en-US"/>
        </w:rPr>
      </w:pPr>
      <w:r w:rsidRPr="005E3242">
        <w:rPr>
          <w:color w:val="auto"/>
          <w:lang w:val="en-US"/>
        </w:rPr>
        <w:t xml:space="preserve">The safety profile of </w:t>
      </w:r>
      <w:proofErr w:type="spellStart"/>
      <w:r>
        <w:rPr>
          <w:color w:val="auto"/>
          <w:lang w:val="en-US"/>
        </w:rPr>
        <w:t>Phesgo</w:t>
      </w:r>
      <w:proofErr w:type="spellEnd"/>
      <w:r w:rsidRPr="005E3242">
        <w:rPr>
          <w:color w:val="auto"/>
          <w:lang w:val="en-US"/>
        </w:rPr>
        <w:t xml:space="preserve"> </w:t>
      </w:r>
      <w:r>
        <w:rPr>
          <w:color w:val="auto"/>
          <w:lang w:val="en-US"/>
        </w:rPr>
        <w:t xml:space="preserve">seen in FEDERICA </w:t>
      </w:r>
      <w:r w:rsidRPr="005E3242">
        <w:rPr>
          <w:color w:val="auto"/>
          <w:lang w:val="en-US"/>
        </w:rPr>
        <w:t xml:space="preserve">was </w:t>
      </w:r>
      <w:r>
        <w:rPr>
          <w:color w:val="auto"/>
          <w:lang w:val="en-US"/>
        </w:rPr>
        <w:t>broadly</w:t>
      </w:r>
      <w:r w:rsidRPr="005E3242">
        <w:rPr>
          <w:color w:val="auto"/>
          <w:lang w:val="en-US"/>
        </w:rPr>
        <w:t xml:space="preserve"> consistent </w:t>
      </w:r>
      <w:r>
        <w:rPr>
          <w:color w:val="auto"/>
          <w:lang w:val="en-US"/>
        </w:rPr>
        <w:t>with</w:t>
      </w:r>
      <w:r w:rsidRPr="005E3242">
        <w:rPr>
          <w:color w:val="auto"/>
          <w:lang w:val="en-US"/>
        </w:rPr>
        <w:t xml:space="preserve"> the </w:t>
      </w:r>
      <w:r>
        <w:rPr>
          <w:color w:val="auto"/>
          <w:lang w:val="en-US"/>
        </w:rPr>
        <w:t>established</w:t>
      </w:r>
      <w:r w:rsidR="00CC25DA">
        <w:rPr>
          <w:color w:val="auto"/>
          <w:lang w:val="en-US"/>
        </w:rPr>
        <w:t xml:space="preserve"> </w:t>
      </w:r>
      <w:r w:rsidRPr="005E3242">
        <w:rPr>
          <w:color w:val="auto"/>
          <w:lang w:val="en-US"/>
        </w:rPr>
        <w:t xml:space="preserve">safety profile of intravenous </w:t>
      </w:r>
      <w:proofErr w:type="spellStart"/>
      <w:r w:rsidRPr="005E3242">
        <w:rPr>
          <w:color w:val="auto"/>
          <w:lang w:val="en-US"/>
        </w:rPr>
        <w:t>pertuzumab</w:t>
      </w:r>
      <w:proofErr w:type="spellEnd"/>
      <w:r w:rsidRPr="005E3242">
        <w:rPr>
          <w:color w:val="auto"/>
          <w:lang w:val="en-US"/>
        </w:rPr>
        <w:t xml:space="preserve"> in combination with trastuzumab and chemotherapy </w:t>
      </w:r>
      <w:r>
        <w:rPr>
          <w:color w:val="auto"/>
          <w:lang w:val="en-US"/>
        </w:rPr>
        <w:t xml:space="preserve">that was described in four pivotal </w:t>
      </w:r>
      <w:proofErr w:type="spellStart"/>
      <w:r w:rsidR="00CC25DA">
        <w:rPr>
          <w:color w:val="auto"/>
          <w:lang w:val="en-US"/>
        </w:rPr>
        <w:t>randomised</w:t>
      </w:r>
      <w:proofErr w:type="spellEnd"/>
      <w:r>
        <w:rPr>
          <w:color w:val="auto"/>
          <w:lang w:val="en-US"/>
        </w:rPr>
        <w:t xml:space="preserve"> studies (n=3344)</w:t>
      </w:r>
      <w:r w:rsidRPr="005E3242">
        <w:rPr>
          <w:color w:val="auto"/>
          <w:lang w:val="en-US"/>
        </w:rPr>
        <w:t xml:space="preserve">: </w:t>
      </w:r>
    </w:p>
    <w:p w14:paraId="1B0AC23A" w14:textId="77777777" w:rsidR="002822F3" w:rsidRPr="005E3242" w:rsidRDefault="002822F3" w:rsidP="00C448E8">
      <w:pPr>
        <w:rPr>
          <w:color w:val="auto"/>
          <w:lang w:val="en-US"/>
        </w:rPr>
      </w:pPr>
    </w:p>
    <w:p w14:paraId="06C9E1C6" w14:textId="0DC3F99F" w:rsidR="002822F3" w:rsidRPr="005E3242" w:rsidRDefault="002822F3" w:rsidP="00C448E8">
      <w:pPr>
        <w:numPr>
          <w:ilvl w:val="0"/>
          <w:numId w:val="6"/>
        </w:numPr>
        <w:rPr>
          <w:color w:val="auto"/>
          <w:lang w:val="en-US"/>
        </w:rPr>
      </w:pPr>
      <w:r w:rsidRPr="005E3242">
        <w:rPr>
          <w:color w:val="auto"/>
          <w:lang w:val="en-US"/>
        </w:rPr>
        <w:t xml:space="preserve">CLEOPATRA, in which </w:t>
      </w:r>
      <w:proofErr w:type="spellStart"/>
      <w:r w:rsidRPr="005E3242">
        <w:rPr>
          <w:color w:val="auto"/>
          <w:lang w:val="en-US"/>
        </w:rPr>
        <w:t>pertuzumab</w:t>
      </w:r>
      <w:proofErr w:type="spellEnd"/>
      <w:r w:rsidRPr="005E3242">
        <w:rPr>
          <w:color w:val="auto"/>
          <w:lang w:val="en-US"/>
        </w:rPr>
        <w:t xml:space="preserve"> was given in combination with trastuzumab and docetaxel to patients with MBC (n=453)</w:t>
      </w:r>
    </w:p>
    <w:p w14:paraId="09E70CF9" w14:textId="77777777" w:rsidR="002822F3" w:rsidRPr="005E3242" w:rsidRDefault="002822F3" w:rsidP="00C448E8">
      <w:pPr>
        <w:numPr>
          <w:ilvl w:val="0"/>
          <w:numId w:val="6"/>
        </w:numPr>
        <w:rPr>
          <w:color w:val="auto"/>
          <w:lang w:val="en-US"/>
        </w:rPr>
      </w:pPr>
      <w:r w:rsidRPr="005E3242">
        <w:rPr>
          <w:color w:val="auto"/>
          <w:lang w:val="en-US"/>
        </w:rPr>
        <w:t xml:space="preserve">NEOSPHERE (n=309) and TRYPHAENA (n=218), in which neoadjuvant </w:t>
      </w:r>
      <w:proofErr w:type="spellStart"/>
      <w:r w:rsidRPr="005E3242">
        <w:rPr>
          <w:color w:val="auto"/>
          <w:lang w:val="en-US"/>
        </w:rPr>
        <w:t>pertuzumab</w:t>
      </w:r>
      <w:proofErr w:type="spellEnd"/>
      <w:r w:rsidRPr="005E3242">
        <w:rPr>
          <w:color w:val="auto"/>
          <w:lang w:val="en-US"/>
        </w:rPr>
        <w:t xml:space="preserve"> was given in combination with trastuzumab and chemotherapy to patients with </w:t>
      </w:r>
      <w:r w:rsidRPr="005E3242">
        <w:rPr>
          <w:bCs/>
          <w:color w:val="auto"/>
          <w:lang w:val="en-US"/>
        </w:rPr>
        <w:t>locally advanced, inflammatory or</w:t>
      </w:r>
      <w:r w:rsidRPr="005E3242">
        <w:rPr>
          <w:color w:val="auto"/>
          <w:lang w:val="en-US"/>
        </w:rPr>
        <w:t xml:space="preserve"> EBC</w:t>
      </w:r>
    </w:p>
    <w:p w14:paraId="0CC4A7C6" w14:textId="69E6F443" w:rsidR="002822F3" w:rsidRDefault="002822F3" w:rsidP="00C448E8">
      <w:pPr>
        <w:numPr>
          <w:ilvl w:val="0"/>
          <w:numId w:val="6"/>
        </w:numPr>
        <w:rPr>
          <w:color w:val="auto"/>
          <w:lang w:val="en-US"/>
        </w:rPr>
      </w:pPr>
      <w:r w:rsidRPr="005E3242">
        <w:rPr>
          <w:color w:val="auto"/>
          <w:lang w:val="en-US"/>
        </w:rPr>
        <w:t xml:space="preserve">APHINITY, in which adjuvant </w:t>
      </w:r>
      <w:proofErr w:type="spellStart"/>
      <w:r w:rsidRPr="005E3242">
        <w:rPr>
          <w:color w:val="auto"/>
          <w:lang w:val="en-US"/>
        </w:rPr>
        <w:t>pertuzumab</w:t>
      </w:r>
      <w:proofErr w:type="spellEnd"/>
      <w:r w:rsidRPr="005E3242">
        <w:rPr>
          <w:color w:val="auto"/>
          <w:lang w:val="en-US"/>
        </w:rPr>
        <w:t xml:space="preserve"> was given in combination with trastuzumab and anthracycline-based or non-anthracycline-based, </w:t>
      </w:r>
      <w:proofErr w:type="spellStart"/>
      <w:r w:rsidRPr="005E3242">
        <w:rPr>
          <w:color w:val="auto"/>
          <w:lang w:val="en-US"/>
        </w:rPr>
        <w:t>taxane</w:t>
      </w:r>
      <w:proofErr w:type="spellEnd"/>
      <w:r w:rsidRPr="005E3242">
        <w:rPr>
          <w:color w:val="auto"/>
          <w:lang w:val="en-US"/>
        </w:rPr>
        <w:t>-containing chemotherapy to patients with EBC (n=2364)</w:t>
      </w:r>
    </w:p>
    <w:p w14:paraId="42582BCB" w14:textId="499515E5" w:rsidR="00CC25DA" w:rsidRDefault="00CC25DA" w:rsidP="00C448E8">
      <w:pPr>
        <w:rPr>
          <w:color w:val="auto"/>
          <w:lang w:val="en-US"/>
        </w:rPr>
      </w:pPr>
    </w:p>
    <w:p w14:paraId="41928478" w14:textId="2E6A1E7E" w:rsidR="00F36391" w:rsidRDefault="000B454E" w:rsidP="00C448E8">
      <w:r>
        <w:t>Across these four randomised studies, t</w:t>
      </w:r>
      <w:r w:rsidRPr="000B454E">
        <w:t xml:space="preserve">he most common (≥5%) adverse </w:t>
      </w:r>
      <w:r w:rsidR="00F117CC">
        <w:t>reactions</w:t>
      </w:r>
      <w:r>
        <w:t xml:space="preserve"> with</w:t>
      </w:r>
      <w:r w:rsidRPr="000B454E">
        <w:t xml:space="preserve"> </w:t>
      </w:r>
      <w:proofErr w:type="spellStart"/>
      <w:r w:rsidRPr="000B454E">
        <w:t>pertuzumab</w:t>
      </w:r>
      <w:proofErr w:type="spellEnd"/>
      <w:r w:rsidR="00CF049B">
        <w:t xml:space="preserve"> in combination with</w:t>
      </w:r>
      <w:r w:rsidRPr="000B454E">
        <w:t xml:space="preserve"> trastuzumab were diarrh</w:t>
      </w:r>
      <w:r>
        <w:t>o</w:t>
      </w:r>
      <w:r w:rsidRPr="000B454E">
        <w:t>ea, infusion-related reactions, asthenia, fatigue, rash, ejection fraction decreased, and an</w:t>
      </w:r>
      <w:r>
        <w:t>a</w:t>
      </w:r>
      <w:r w:rsidRPr="000B454E">
        <w:t>emia.</w:t>
      </w:r>
    </w:p>
    <w:p w14:paraId="29BB55FC" w14:textId="77777777" w:rsidR="00F02898" w:rsidRDefault="00F02898" w:rsidP="00C448E8"/>
    <w:p w14:paraId="12102D1F" w14:textId="38209BEB" w:rsidR="000B454E" w:rsidRDefault="000B454E" w:rsidP="00C448E8">
      <w:r w:rsidRPr="00D91F93">
        <w:t xml:space="preserve">The most common (≥1%) serious adverse events (SAEs) reported in patients treated with </w:t>
      </w:r>
      <w:proofErr w:type="spellStart"/>
      <w:r w:rsidRPr="00D91F93">
        <w:t>Phesgo</w:t>
      </w:r>
      <w:proofErr w:type="spellEnd"/>
      <w:r w:rsidRPr="00D91F93">
        <w:t xml:space="preserve"> or intravenous </w:t>
      </w:r>
      <w:proofErr w:type="spellStart"/>
      <w:r w:rsidRPr="00D91F93">
        <w:t>pertuzumab</w:t>
      </w:r>
      <w:proofErr w:type="spellEnd"/>
      <w:r w:rsidRPr="00D91F93">
        <w:t xml:space="preserve"> in combination with trastuzumab were febrile neutropenia, pyrexia, neutropenia, neutropenic sepsis, infusion-related </w:t>
      </w:r>
      <w:proofErr w:type="gramStart"/>
      <w:r w:rsidRPr="00D91F93">
        <w:t>reaction</w:t>
      </w:r>
      <w:proofErr w:type="gramEnd"/>
      <w:r w:rsidRPr="00D91F93">
        <w:t xml:space="preserve"> and neutrophil count decreased.</w:t>
      </w:r>
      <w:r w:rsidRPr="000B454E">
        <w:t xml:space="preserve"> </w:t>
      </w:r>
    </w:p>
    <w:p w14:paraId="16E42C7F" w14:textId="2E554EAF" w:rsidR="00CC25DA" w:rsidRPr="0000034B" w:rsidRDefault="00CC25DA" w:rsidP="00C448E8">
      <w:pPr>
        <w:pStyle w:val="Heading3"/>
        <w:rPr>
          <w:rFonts w:eastAsia="SimSun"/>
        </w:rPr>
      </w:pPr>
      <w:r w:rsidRPr="0000034B">
        <w:rPr>
          <w:rFonts w:eastAsia="SimSun"/>
        </w:rPr>
        <w:t>Further information on selected adverse drug reactions</w:t>
      </w:r>
    </w:p>
    <w:p w14:paraId="2B7AB451" w14:textId="77777777" w:rsidR="00DF2877" w:rsidRPr="005E3242" w:rsidRDefault="00DF2877" w:rsidP="00C448E8">
      <w:pPr>
        <w:pStyle w:val="Heading4"/>
        <w:rPr>
          <w:lang w:eastAsia="de-DE"/>
        </w:rPr>
      </w:pPr>
      <w:r w:rsidRPr="005E3242">
        <w:rPr>
          <w:lang w:eastAsia="de-DE"/>
        </w:rPr>
        <w:t>Left ventricular dysfunction</w:t>
      </w:r>
    </w:p>
    <w:p w14:paraId="71079808" w14:textId="7E805BCB" w:rsidR="0049399B" w:rsidRDefault="00DF2877"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de-DE"/>
        </w:rPr>
      </w:pPr>
      <w:r w:rsidRPr="005E3242">
        <w:rPr>
          <w:color w:val="auto"/>
          <w:lang w:val="en-US" w:eastAsia="de-DE"/>
        </w:rPr>
        <w:t xml:space="preserve">In FEDERICA, the incidence of symptomatic heart failure (NYHA class III or IV) with a LVEF decline of at least 10%-points from baseline and to &lt;50% was 0.4% </w:t>
      </w:r>
      <w:r w:rsidR="00372C0D">
        <w:rPr>
          <w:color w:val="auto"/>
          <w:lang w:val="en-US" w:eastAsia="de-DE"/>
        </w:rPr>
        <w:t>in the</w:t>
      </w:r>
      <w:r w:rsidR="00372C0D" w:rsidRPr="005E3242">
        <w:rPr>
          <w:color w:val="auto"/>
          <w:lang w:val="en-US" w:eastAsia="de-DE"/>
        </w:rPr>
        <w:t xml:space="preserve"> </w:t>
      </w:r>
      <w:proofErr w:type="spellStart"/>
      <w:r w:rsidR="00191B0B">
        <w:rPr>
          <w:color w:val="auto"/>
          <w:lang w:val="en-US" w:eastAsia="de-DE"/>
        </w:rPr>
        <w:t>Phesgo</w:t>
      </w:r>
      <w:proofErr w:type="spellEnd"/>
      <w:r w:rsidRPr="005E3242">
        <w:rPr>
          <w:color w:val="auto"/>
          <w:lang w:val="en-US" w:eastAsia="de-DE"/>
        </w:rPr>
        <w:t xml:space="preserve"> </w:t>
      </w:r>
      <w:r w:rsidR="00372C0D">
        <w:rPr>
          <w:color w:val="auto"/>
          <w:lang w:val="en-US" w:eastAsia="de-DE"/>
        </w:rPr>
        <w:t>arm and</w:t>
      </w:r>
      <w:r w:rsidRPr="005E3242">
        <w:rPr>
          <w:color w:val="auto"/>
          <w:lang w:val="en-US" w:eastAsia="de-DE"/>
        </w:rPr>
        <w:t xml:space="preserve"> 0% </w:t>
      </w:r>
      <w:r w:rsidR="00372C0D">
        <w:rPr>
          <w:color w:val="auto"/>
          <w:lang w:val="en-US" w:eastAsia="de-DE"/>
        </w:rPr>
        <w:t>in the comparator arm</w:t>
      </w:r>
      <w:r w:rsidRPr="005E3242">
        <w:rPr>
          <w:color w:val="auto"/>
          <w:lang w:val="en-US" w:eastAsia="de-DE"/>
        </w:rPr>
        <w:t xml:space="preserve">. </w:t>
      </w:r>
      <w:proofErr w:type="gramStart"/>
      <w:r w:rsidR="001C6A7E">
        <w:rPr>
          <w:color w:val="auto"/>
          <w:lang w:val="en-US" w:eastAsia="de-DE"/>
        </w:rPr>
        <w:t>All o</w:t>
      </w:r>
      <w:r w:rsidRPr="005E3242">
        <w:rPr>
          <w:color w:val="auto"/>
          <w:lang w:val="en-US" w:eastAsia="de-DE"/>
        </w:rPr>
        <w:t>f</w:t>
      </w:r>
      <w:proofErr w:type="gramEnd"/>
      <w:r w:rsidRPr="005E3242">
        <w:rPr>
          <w:color w:val="auto"/>
          <w:lang w:val="en-US" w:eastAsia="de-DE"/>
        </w:rPr>
        <w:t xml:space="preserve"> the patients who experienced symptomatic heart failure</w:t>
      </w:r>
      <w:r w:rsidR="005C1B9A">
        <w:rPr>
          <w:color w:val="auto"/>
          <w:lang w:val="en-US" w:eastAsia="de-DE"/>
        </w:rPr>
        <w:t xml:space="preserve"> </w:t>
      </w:r>
      <w:r w:rsidRPr="005E3242">
        <w:rPr>
          <w:color w:val="auto"/>
          <w:lang w:val="en-US" w:eastAsia="de-DE"/>
        </w:rPr>
        <w:t>recovered (defined as 2 consecutive LVEF measurements a</w:t>
      </w:r>
      <w:r w:rsidR="00222856">
        <w:rPr>
          <w:color w:val="auto"/>
          <w:lang w:val="en-US" w:eastAsia="de-DE"/>
        </w:rPr>
        <w:t>bove 50%)</w:t>
      </w:r>
      <w:r w:rsidRPr="005E3242">
        <w:rPr>
          <w:color w:val="auto"/>
          <w:lang w:val="en-US" w:eastAsia="de-DE"/>
        </w:rPr>
        <w:t xml:space="preserve">. Asymptomatic or mildly symptomatic (NYHA class II) declines in LVEF of at least 10%-points from baseline and to &lt;50% (confirmed by secondary LVEF) were reported in 0.4% of </w:t>
      </w:r>
      <w:r w:rsidR="001C6A7E">
        <w:rPr>
          <w:color w:val="auto"/>
          <w:lang w:val="en-US" w:eastAsia="de-DE"/>
        </w:rPr>
        <w:t xml:space="preserve">the </w:t>
      </w:r>
      <w:proofErr w:type="spellStart"/>
      <w:r w:rsidR="00191B0B">
        <w:rPr>
          <w:color w:val="auto"/>
          <w:lang w:val="en-US" w:eastAsia="de-DE"/>
        </w:rPr>
        <w:t>Phesgo</w:t>
      </w:r>
      <w:proofErr w:type="spellEnd"/>
      <w:r w:rsidR="001C6A7E">
        <w:rPr>
          <w:color w:val="auto"/>
          <w:lang w:val="en-US" w:eastAsia="de-DE"/>
        </w:rPr>
        <w:t xml:space="preserve"> arm</w:t>
      </w:r>
      <w:r w:rsidRPr="005E3242">
        <w:rPr>
          <w:color w:val="auto"/>
          <w:lang w:val="en-US" w:eastAsia="de-DE"/>
        </w:rPr>
        <w:t xml:space="preserve"> and 0.8% of </w:t>
      </w:r>
      <w:r w:rsidR="001C6A7E">
        <w:rPr>
          <w:color w:val="auto"/>
          <w:lang w:val="en-US" w:eastAsia="de-DE"/>
        </w:rPr>
        <w:t>the comparator arm. None of the cases of asymptomatic or mildly symptomatic declines in LVEF</w:t>
      </w:r>
      <w:r w:rsidRPr="005E3242">
        <w:rPr>
          <w:color w:val="auto"/>
          <w:lang w:val="en-US" w:eastAsia="de-DE"/>
        </w:rPr>
        <w:t xml:space="preserve"> had r</w:t>
      </w:r>
      <w:r w:rsidR="00222856">
        <w:rPr>
          <w:color w:val="auto"/>
          <w:lang w:val="en-US" w:eastAsia="de-DE"/>
        </w:rPr>
        <w:t>ecovered at the data cutoff</w:t>
      </w:r>
      <w:r w:rsidRPr="005E3242">
        <w:rPr>
          <w:color w:val="auto"/>
          <w:lang w:val="en-US" w:eastAsia="de-DE"/>
        </w:rPr>
        <w:t>.</w:t>
      </w:r>
    </w:p>
    <w:p w14:paraId="4EDA3541" w14:textId="0EDD8BDB" w:rsidR="0049399B" w:rsidRPr="005E3242" w:rsidRDefault="0049399B"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de-DE"/>
        </w:rPr>
      </w:pPr>
      <w:r w:rsidRPr="005E3242">
        <w:rPr>
          <w:color w:val="auto"/>
          <w:lang w:val="en-US" w:eastAsia="de-DE"/>
        </w:rPr>
        <w:t xml:space="preserve">In CLEOPATRA, the incidence of LVD during study treatment was higher in the placebo-treated group than the </w:t>
      </w:r>
      <w:proofErr w:type="spellStart"/>
      <w:r w:rsidRPr="005E3242">
        <w:rPr>
          <w:color w:val="auto"/>
          <w:lang w:val="en-US" w:eastAsia="de-DE"/>
        </w:rPr>
        <w:t>pertuzumab</w:t>
      </w:r>
      <w:proofErr w:type="spellEnd"/>
      <w:r w:rsidRPr="005E3242">
        <w:rPr>
          <w:color w:val="auto"/>
          <w:lang w:val="en-US" w:eastAsia="de-DE"/>
        </w:rPr>
        <w:t xml:space="preserve">-treated group (8.6% and 6.6%, respectively). The incidence of symptomatic LVD was also lower in the </w:t>
      </w:r>
      <w:proofErr w:type="spellStart"/>
      <w:r w:rsidRPr="005E3242">
        <w:rPr>
          <w:color w:val="auto"/>
          <w:lang w:val="en-US" w:eastAsia="de-DE"/>
        </w:rPr>
        <w:t>pertuzumab</w:t>
      </w:r>
      <w:proofErr w:type="spellEnd"/>
      <w:r w:rsidRPr="005E3242">
        <w:rPr>
          <w:color w:val="auto"/>
          <w:lang w:val="en-US" w:eastAsia="de-DE"/>
        </w:rPr>
        <w:t xml:space="preserve">-treated group (1.8% in the placebo-treated group vs. 1.5% in the </w:t>
      </w:r>
      <w:proofErr w:type="spellStart"/>
      <w:r w:rsidRPr="005E3242">
        <w:rPr>
          <w:color w:val="auto"/>
          <w:lang w:val="en-US" w:eastAsia="de-DE"/>
        </w:rPr>
        <w:t>pertuzumab</w:t>
      </w:r>
      <w:proofErr w:type="spellEnd"/>
      <w:r w:rsidRPr="005E3242">
        <w:rPr>
          <w:color w:val="auto"/>
          <w:lang w:val="en-US" w:eastAsia="de-DE"/>
        </w:rPr>
        <w:t>-treated group) (</w:t>
      </w:r>
      <w:r w:rsidRPr="005E3242">
        <w:rPr>
          <w:i/>
          <w:color w:val="auto"/>
          <w:lang w:val="en-US" w:eastAsia="de-DE"/>
        </w:rPr>
        <w:t>(see 4.4 Special warnings and precautions for use)</w:t>
      </w:r>
      <w:r>
        <w:rPr>
          <w:color w:val="auto"/>
          <w:lang w:val="en-US" w:eastAsia="de-DE"/>
        </w:rPr>
        <w:t>)</w:t>
      </w:r>
      <w:r w:rsidRPr="005E3242">
        <w:rPr>
          <w:color w:val="auto"/>
          <w:lang w:val="en-US" w:eastAsia="de-DE"/>
        </w:rPr>
        <w:t>.</w:t>
      </w:r>
    </w:p>
    <w:p w14:paraId="2439DEE6" w14:textId="77777777" w:rsidR="0049399B" w:rsidRPr="005E3242" w:rsidRDefault="0049399B" w:rsidP="00C448E8">
      <w:pPr>
        <w:pBdr>
          <w:top w:val="none" w:sz="0" w:space="0" w:color="auto"/>
          <w:left w:val="none" w:sz="0" w:space="0" w:color="auto"/>
          <w:bottom w:val="none" w:sz="0" w:space="0" w:color="auto"/>
          <w:right w:val="none" w:sz="0" w:space="0" w:color="auto"/>
          <w:between w:val="none" w:sz="0" w:space="0" w:color="auto"/>
        </w:pBdr>
        <w:spacing w:after="250" w:line="300" w:lineRule="atLeast"/>
        <w:rPr>
          <w:color w:val="auto"/>
          <w:lang w:val="en-US" w:eastAsia="en-US"/>
        </w:rPr>
      </w:pPr>
      <w:r w:rsidRPr="005E3242">
        <w:rPr>
          <w:color w:val="auto"/>
          <w:lang w:val="en-US" w:eastAsia="en-US"/>
        </w:rPr>
        <w:t xml:space="preserve">In NEOSPHERE, in which patients received four cycles of </w:t>
      </w:r>
      <w:proofErr w:type="spellStart"/>
      <w:r w:rsidRPr="005E3242">
        <w:rPr>
          <w:color w:val="auto"/>
          <w:lang w:val="en-US" w:eastAsia="en-US"/>
        </w:rPr>
        <w:t>pertuzumab</w:t>
      </w:r>
      <w:proofErr w:type="spellEnd"/>
      <w:r w:rsidRPr="005E3242">
        <w:rPr>
          <w:color w:val="auto"/>
          <w:lang w:val="en-US" w:eastAsia="en-US"/>
        </w:rPr>
        <w:t xml:space="preserve"> as neoadjuvant treatment, the incidence of LVD (during the overall treatment period) was higher in the </w:t>
      </w:r>
      <w:proofErr w:type="spellStart"/>
      <w:r w:rsidRPr="005E3242">
        <w:rPr>
          <w:color w:val="auto"/>
          <w:lang w:val="en-US" w:eastAsia="en-US"/>
        </w:rPr>
        <w:t>pertuzumab</w:t>
      </w:r>
      <w:proofErr w:type="spellEnd"/>
      <w:r w:rsidRPr="005E3242">
        <w:rPr>
          <w:color w:val="auto"/>
          <w:lang w:val="en-US" w:eastAsia="en-US"/>
        </w:rPr>
        <w:t>, trastuzumab and docetaxel-treated group (7.5%) compared to the trastuzumab and docetaxel-treated group (1.</w:t>
      </w:r>
      <w:r>
        <w:rPr>
          <w:color w:val="auto"/>
          <w:lang w:val="en-US" w:eastAsia="en-US"/>
        </w:rPr>
        <w:t>9%)</w:t>
      </w:r>
      <w:r w:rsidRPr="005E3242">
        <w:rPr>
          <w:color w:val="auto"/>
          <w:lang w:val="en-US" w:eastAsia="en-US"/>
        </w:rPr>
        <w:t xml:space="preserve">. There was one case of symptomatic LVD in the </w:t>
      </w:r>
      <w:proofErr w:type="spellStart"/>
      <w:r w:rsidRPr="005E3242">
        <w:rPr>
          <w:color w:val="auto"/>
          <w:lang w:val="en-US" w:eastAsia="en-US"/>
        </w:rPr>
        <w:t>pertuzumab</w:t>
      </w:r>
      <w:proofErr w:type="spellEnd"/>
      <w:r w:rsidRPr="005E3242">
        <w:rPr>
          <w:color w:val="auto"/>
          <w:lang w:val="en-US" w:eastAsia="en-US"/>
        </w:rPr>
        <w:t xml:space="preserve"> an</w:t>
      </w:r>
      <w:r>
        <w:rPr>
          <w:color w:val="auto"/>
          <w:lang w:val="en-US" w:eastAsia="en-US"/>
        </w:rPr>
        <w:t>d trastuzumab-treated group</w:t>
      </w:r>
      <w:r w:rsidRPr="005E3242">
        <w:rPr>
          <w:color w:val="auto"/>
          <w:lang w:val="en-US" w:eastAsia="en-US"/>
        </w:rPr>
        <w:t xml:space="preserve">. </w:t>
      </w:r>
    </w:p>
    <w:p w14:paraId="5B28E0B0" w14:textId="4CAB73D5" w:rsidR="0049399B" w:rsidRPr="005E3242" w:rsidRDefault="0049399B"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de-DE"/>
        </w:rPr>
      </w:pPr>
      <w:r w:rsidRPr="005E3242">
        <w:rPr>
          <w:color w:val="auto"/>
          <w:lang w:val="en-US" w:eastAsia="de-DE"/>
        </w:rPr>
        <w:t>In TRYPHAENA, the incidence of LVD (during the overall treatment period</w:t>
      </w:r>
      <w:r w:rsidRPr="005E3242">
        <w:rPr>
          <w:i/>
          <w:color w:val="auto"/>
          <w:lang w:val="en-US" w:eastAsia="de-DE"/>
        </w:rPr>
        <w:t>)</w:t>
      </w:r>
      <w:r w:rsidRPr="005E3242">
        <w:rPr>
          <w:color w:val="auto"/>
          <w:lang w:val="en-US" w:eastAsia="de-DE"/>
        </w:rPr>
        <w:t xml:space="preserve"> was 8.3% in the group treated with </w:t>
      </w:r>
      <w:proofErr w:type="spellStart"/>
      <w:r w:rsidRPr="005E3242">
        <w:rPr>
          <w:color w:val="auto"/>
          <w:lang w:val="en-US" w:eastAsia="de-DE"/>
        </w:rPr>
        <w:t>pertuzumab</w:t>
      </w:r>
      <w:proofErr w:type="spellEnd"/>
      <w:r w:rsidRPr="005E3242">
        <w:rPr>
          <w:color w:val="auto"/>
          <w:lang w:val="en-US" w:eastAsia="de-DE"/>
        </w:rPr>
        <w:t xml:space="preserve"> plus trastuzumab and 5-fluorouracil, </w:t>
      </w:r>
      <w:proofErr w:type="spellStart"/>
      <w:r w:rsidRPr="005E3242">
        <w:rPr>
          <w:color w:val="auto"/>
          <w:lang w:val="en-US" w:eastAsia="de-DE"/>
        </w:rPr>
        <w:t>epirubicin</w:t>
      </w:r>
      <w:proofErr w:type="spellEnd"/>
      <w:r w:rsidRPr="005E3242">
        <w:rPr>
          <w:color w:val="auto"/>
          <w:lang w:val="en-US" w:eastAsia="de-DE"/>
        </w:rPr>
        <w:t xml:space="preserve"> and cyclophosphamide (FEC) followed by </w:t>
      </w:r>
      <w:proofErr w:type="spellStart"/>
      <w:r w:rsidRPr="005E3242">
        <w:rPr>
          <w:color w:val="auto"/>
          <w:lang w:val="en-US" w:eastAsia="de-DE"/>
        </w:rPr>
        <w:t>pertuzumab</w:t>
      </w:r>
      <w:proofErr w:type="spellEnd"/>
      <w:r w:rsidRPr="005E3242">
        <w:rPr>
          <w:color w:val="auto"/>
          <w:lang w:val="en-US" w:eastAsia="de-DE"/>
        </w:rPr>
        <w:t xml:space="preserve"> plus trastuzumab and docetaxel; 9.3% in the group treated with </w:t>
      </w:r>
      <w:proofErr w:type="spellStart"/>
      <w:r w:rsidRPr="005E3242">
        <w:rPr>
          <w:color w:val="auto"/>
          <w:lang w:val="en-US" w:eastAsia="de-DE"/>
        </w:rPr>
        <w:t>pertuzumab</w:t>
      </w:r>
      <w:proofErr w:type="spellEnd"/>
      <w:r w:rsidRPr="005E3242">
        <w:rPr>
          <w:color w:val="auto"/>
          <w:lang w:val="en-US" w:eastAsia="de-DE"/>
        </w:rPr>
        <w:t xml:space="preserve"> plus trastuzumab and docetaxel following FEC; and 6.6% in the group treated with </w:t>
      </w:r>
      <w:proofErr w:type="spellStart"/>
      <w:r w:rsidRPr="005E3242">
        <w:rPr>
          <w:color w:val="auto"/>
          <w:lang w:val="en-US" w:eastAsia="de-DE"/>
        </w:rPr>
        <w:t>pertu</w:t>
      </w:r>
      <w:r>
        <w:rPr>
          <w:color w:val="auto"/>
          <w:lang w:val="en-US" w:eastAsia="de-DE"/>
        </w:rPr>
        <w:t>zumab</w:t>
      </w:r>
      <w:proofErr w:type="spellEnd"/>
      <w:r>
        <w:rPr>
          <w:color w:val="auto"/>
          <w:lang w:val="en-US" w:eastAsia="de-DE"/>
        </w:rPr>
        <w:t xml:space="preserve"> in combination with TCH</w:t>
      </w:r>
      <w:r w:rsidRPr="005E3242">
        <w:rPr>
          <w:color w:val="auto"/>
          <w:lang w:val="en-US" w:eastAsia="de-DE"/>
        </w:rPr>
        <w:t xml:space="preserve">. The incidence of symptomatic LVD (congestive heart failure) was 1.3% in the group treated with </w:t>
      </w:r>
      <w:proofErr w:type="spellStart"/>
      <w:r w:rsidRPr="005E3242">
        <w:rPr>
          <w:color w:val="auto"/>
          <w:lang w:val="en-US" w:eastAsia="de-DE"/>
        </w:rPr>
        <w:t>pertuzumab</w:t>
      </w:r>
      <w:proofErr w:type="spellEnd"/>
      <w:r w:rsidRPr="005E3242">
        <w:rPr>
          <w:color w:val="auto"/>
          <w:lang w:val="en-US" w:eastAsia="de-DE"/>
        </w:rPr>
        <w:t xml:space="preserve"> plus trastuzumab and docetaxel following FEC </w:t>
      </w:r>
      <w:r w:rsidRPr="005E3242">
        <w:rPr>
          <w:i/>
          <w:color w:val="auto"/>
          <w:lang w:val="en-US" w:eastAsia="de-DE"/>
        </w:rPr>
        <w:t xml:space="preserve">(this excludes a patient that experienced symptomatic LVD during FEC treatment prior to receiving </w:t>
      </w:r>
      <w:proofErr w:type="spellStart"/>
      <w:r w:rsidRPr="005E3242">
        <w:rPr>
          <w:i/>
          <w:color w:val="auto"/>
          <w:lang w:val="en-US" w:eastAsia="de-DE"/>
        </w:rPr>
        <w:t>pertuzumab</w:t>
      </w:r>
      <w:proofErr w:type="spellEnd"/>
      <w:r w:rsidRPr="005E3242">
        <w:rPr>
          <w:i/>
          <w:color w:val="auto"/>
          <w:lang w:val="en-US" w:eastAsia="de-DE"/>
        </w:rPr>
        <w:t xml:space="preserve"> plus trastuzumab and docetaxel)</w:t>
      </w:r>
      <w:r w:rsidRPr="005E3242">
        <w:rPr>
          <w:color w:val="auto"/>
          <w:lang w:val="en-US" w:eastAsia="de-DE"/>
        </w:rPr>
        <w:t xml:space="preserve"> and </w:t>
      </w:r>
      <w:r w:rsidR="00CE0CD3">
        <w:rPr>
          <w:color w:val="auto"/>
          <w:lang w:val="en-US" w:eastAsia="de-DE"/>
        </w:rPr>
        <w:t xml:space="preserve">was </w:t>
      </w:r>
      <w:r w:rsidRPr="005E3242">
        <w:rPr>
          <w:color w:val="auto"/>
          <w:lang w:val="en-US" w:eastAsia="de-DE"/>
        </w:rPr>
        <w:t xml:space="preserve">also 1.3% in the group treated with </w:t>
      </w:r>
      <w:proofErr w:type="spellStart"/>
      <w:r w:rsidRPr="005E3242">
        <w:rPr>
          <w:color w:val="auto"/>
          <w:lang w:val="en-US" w:eastAsia="de-DE"/>
        </w:rPr>
        <w:t>pertuzumab</w:t>
      </w:r>
      <w:proofErr w:type="spellEnd"/>
      <w:r w:rsidRPr="005E3242">
        <w:rPr>
          <w:color w:val="auto"/>
          <w:lang w:val="en-US" w:eastAsia="de-DE"/>
        </w:rPr>
        <w:t xml:space="preserve"> in combination with TCH. No patients in the group treated with </w:t>
      </w:r>
      <w:proofErr w:type="spellStart"/>
      <w:r w:rsidRPr="005E3242">
        <w:rPr>
          <w:color w:val="auto"/>
          <w:lang w:val="en-US" w:eastAsia="de-DE"/>
        </w:rPr>
        <w:t>pertuzumab</w:t>
      </w:r>
      <w:proofErr w:type="spellEnd"/>
      <w:r w:rsidRPr="005E3242">
        <w:rPr>
          <w:color w:val="auto"/>
          <w:lang w:val="en-US" w:eastAsia="de-DE"/>
        </w:rPr>
        <w:t xml:space="preserve"> plus trastuzumab and FEC followed by </w:t>
      </w:r>
      <w:proofErr w:type="spellStart"/>
      <w:r w:rsidRPr="005E3242">
        <w:rPr>
          <w:color w:val="auto"/>
          <w:lang w:val="en-US" w:eastAsia="de-DE"/>
        </w:rPr>
        <w:t>pertuzumab</w:t>
      </w:r>
      <w:proofErr w:type="spellEnd"/>
      <w:r w:rsidRPr="005E3242">
        <w:rPr>
          <w:color w:val="auto"/>
          <w:lang w:val="en-US" w:eastAsia="de-DE"/>
        </w:rPr>
        <w:t xml:space="preserve"> plus trastuzumab and docetaxel experienced </w:t>
      </w:r>
      <w:r>
        <w:rPr>
          <w:color w:val="auto"/>
          <w:lang w:val="en-US" w:eastAsia="de-DE"/>
        </w:rPr>
        <w:t>symptomatic LVD</w:t>
      </w:r>
      <w:r w:rsidRPr="005E3242">
        <w:rPr>
          <w:color w:val="auto"/>
          <w:lang w:val="en-US" w:eastAsia="de-DE"/>
        </w:rPr>
        <w:t>.</w:t>
      </w:r>
    </w:p>
    <w:p w14:paraId="4A40B68C" w14:textId="66791F51" w:rsidR="0049399B" w:rsidRDefault="00C840A1"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de-DE"/>
        </w:rPr>
      </w:pPr>
      <w:r>
        <w:rPr>
          <w:color w:val="auto"/>
          <w:lang w:val="en-US" w:eastAsia="de-DE"/>
        </w:rPr>
        <w:t>In the BERENICE study, two non-</w:t>
      </w:r>
      <w:proofErr w:type="spellStart"/>
      <w:r>
        <w:rPr>
          <w:color w:val="auto"/>
          <w:lang w:val="en-US" w:eastAsia="de-DE"/>
        </w:rPr>
        <w:t>randomised</w:t>
      </w:r>
      <w:proofErr w:type="spellEnd"/>
      <w:r>
        <w:rPr>
          <w:color w:val="auto"/>
          <w:lang w:val="en-US" w:eastAsia="de-DE"/>
        </w:rPr>
        <w:t xml:space="preserve"> cohorts of patients with EBC (n=401) received neoadjuvant </w:t>
      </w:r>
      <w:proofErr w:type="spellStart"/>
      <w:r>
        <w:rPr>
          <w:color w:val="auto"/>
          <w:lang w:val="en-US" w:eastAsia="de-DE"/>
        </w:rPr>
        <w:t>pertuzumab</w:t>
      </w:r>
      <w:proofErr w:type="spellEnd"/>
      <w:r>
        <w:rPr>
          <w:color w:val="auto"/>
          <w:lang w:val="en-US" w:eastAsia="de-DE"/>
        </w:rPr>
        <w:t xml:space="preserve"> and trastuzumab in combination with one of two different neoadjuvant chemotherapy regimens, followed by surgery and then up to one year of adjuvant </w:t>
      </w:r>
      <w:proofErr w:type="spellStart"/>
      <w:r>
        <w:rPr>
          <w:color w:val="auto"/>
          <w:lang w:val="en-US" w:eastAsia="de-DE"/>
        </w:rPr>
        <w:t>pertuzumab</w:t>
      </w:r>
      <w:proofErr w:type="spellEnd"/>
      <w:r>
        <w:rPr>
          <w:color w:val="auto"/>
          <w:lang w:val="en-US" w:eastAsia="de-DE"/>
        </w:rPr>
        <w:t xml:space="preserve"> and trastuzumab, with a primary outcome of cardiac safety during neoadjuvant treatment (see also </w:t>
      </w:r>
      <w:r w:rsidRPr="00D27721">
        <w:rPr>
          <w:i/>
          <w:color w:val="auto"/>
          <w:lang w:val="en-US"/>
        </w:rPr>
        <w:t>5.1 Pharmacodynamic properties – Clinical trials</w:t>
      </w:r>
      <w:r>
        <w:rPr>
          <w:color w:val="auto"/>
          <w:lang w:val="en-US" w:eastAsia="de-DE"/>
        </w:rPr>
        <w:t xml:space="preserve">). </w:t>
      </w:r>
      <w:r w:rsidR="0049399B" w:rsidRPr="005E3242">
        <w:rPr>
          <w:color w:val="auto"/>
          <w:lang w:val="en-US" w:eastAsia="de-DE"/>
        </w:rPr>
        <w:t xml:space="preserve">In the neoadjuvant period of the BERENICE trial, the incidence of NYHA Class III/IV </w:t>
      </w:r>
      <w:r w:rsidR="0049399B" w:rsidRPr="005E3242">
        <w:rPr>
          <w:color w:val="auto"/>
          <w:lang w:val="en-US" w:eastAsia="de-DE"/>
        </w:rPr>
        <w:lastRenderedPageBreak/>
        <w:t xml:space="preserve">symptomatic LVD (congestive heart failure according to NCI-CTCAE v.4) was 1.5% in the group treated with dose dense AC followed by </w:t>
      </w:r>
      <w:proofErr w:type="spellStart"/>
      <w:r w:rsidR="0049399B" w:rsidRPr="005E3242">
        <w:rPr>
          <w:color w:val="auto"/>
          <w:lang w:val="en-US" w:eastAsia="de-DE"/>
        </w:rPr>
        <w:t>pertuzumab</w:t>
      </w:r>
      <w:proofErr w:type="spellEnd"/>
      <w:r w:rsidR="0049399B" w:rsidRPr="005E3242">
        <w:rPr>
          <w:color w:val="auto"/>
          <w:lang w:val="en-US" w:eastAsia="de-DE"/>
        </w:rPr>
        <w:t xml:space="preserve"> plus trastuzumab and paclitaxel and none of the patients (0%) experienced symptomatic LVD in the group treated with FEC followed by </w:t>
      </w:r>
      <w:proofErr w:type="spellStart"/>
      <w:r w:rsidR="0049399B" w:rsidRPr="005E3242">
        <w:rPr>
          <w:color w:val="auto"/>
          <w:lang w:val="en-US" w:eastAsia="de-DE"/>
        </w:rPr>
        <w:t>pertuzumab</w:t>
      </w:r>
      <w:proofErr w:type="spellEnd"/>
      <w:r w:rsidR="0049399B" w:rsidRPr="005E3242">
        <w:rPr>
          <w:color w:val="auto"/>
          <w:lang w:val="en-US" w:eastAsia="de-DE"/>
        </w:rPr>
        <w:t xml:space="preserve"> in combination wi</w:t>
      </w:r>
      <w:r w:rsidR="0049399B">
        <w:rPr>
          <w:color w:val="auto"/>
          <w:lang w:val="en-US" w:eastAsia="de-DE"/>
        </w:rPr>
        <w:t>th trastuzumab and docetaxel</w:t>
      </w:r>
      <w:r w:rsidR="0049399B" w:rsidRPr="005E3242">
        <w:rPr>
          <w:color w:val="auto"/>
          <w:lang w:val="en-US" w:eastAsia="de-DE"/>
        </w:rPr>
        <w:t xml:space="preserve">. The incidence of asymptomatic LVD (PT ejection fraction decrease according to NCI-CTCAE v.4) was 7% in the group treated with dose dense AC followed by </w:t>
      </w:r>
      <w:proofErr w:type="spellStart"/>
      <w:r w:rsidR="0049399B" w:rsidRPr="005E3242">
        <w:rPr>
          <w:color w:val="auto"/>
          <w:lang w:val="en-US" w:eastAsia="de-DE"/>
        </w:rPr>
        <w:t>pertuzumab</w:t>
      </w:r>
      <w:proofErr w:type="spellEnd"/>
      <w:r w:rsidR="0049399B" w:rsidRPr="005E3242">
        <w:rPr>
          <w:color w:val="auto"/>
          <w:lang w:val="en-US" w:eastAsia="de-DE"/>
        </w:rPr>
        <w:t xml:space="preserve"> plus trastuzumab and paclitaxel and 3.5% in the group treated with FEC followed by </w:t>
      </w:r>
      <w:proofErr w:type="spellStart"/>
      <w:r w:rsidR="0049399B" w:rsidRPr="005E3242">
        <w:rPr>
          <w:color w:val="auto"/>
          <w:lang w:val="en-US" w:eastAsia="de-DE"/>
        </w:rPr>
        <w:t>pertuzumab</w:t>
      </w:r>
      <w:proofErr w:type="spellEnd"/>
      <w:r w:rsidR="0049399B" w:rsidRPr="005E3242">
        <w:rPr>
          <w:color w:val="auto"/>
          <w:lang w:val="en-US" w:eastAsia="de-DE"/>
        </w:rPr>
        <w:t xml:space="preserve"> plu</w:t>
      </w:r>
      <w:r w:rsidR="0049399B">
        <w:rPr>
          <w:color w:val="auto"/>
          <w:lang w:val="en-US" w:eastAsia="de-DE"/>
        </w:rPr>
        <w:t>s trastuzumab and docetaxel</w:t>
      </w:r>
      <w:r w:rsidR="0049399B" w:rsidRPr="005E3242">
        <w:rPr>
          <w:color w:val="auto"/>
          <w:lang w:val="en-US" w:eastAsia="de-DE"/>
        </w:rPr>
        <w:t>.</w:t>
      </w:r>
    </w:p>
    <w:p w14:paraId="1D64489E" w14:textId="565E7AD4" w:rsidR="00DF2877" w:rsidRPr="005E3242" w:rsidRDefault="0049399B"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de-DE"/>
        </w:rPr>
      </w:pPr>
      <w:r w:rsidRPr="005E3242">
        <w:rPr>
          <w:color w:val="auto"/>
          <w:lang w:val="en-US" w:eastAsia="de-DE"/>
        </w:rPr>
        <w:t xml:space="preserve">In APHINITY, the incidence of symptomatic heart failure (NYHA class III or IV) with a LVEF decline of at least 10%-points from baseline and to &lt;50% was &lt;1% (0.6% of </w:t>
      </w:r>
      <w:proofErr w:type="spellStart"/>
      <w:r w:rsidRPr="005E3242">
        <w:rPr>
          <w:color w:val="auto"/>
          <w:lang w:val="en-US" w:eastAsia="de-DE"/>
        </w:rPr>
        <w:t>pertuzumab</w:t>
      </w:r>
      <w:proofErr w:type="spellEnd"/>
      <w:r w:rsidRPr="005E3242">
        <w:rPr>
          <w:color w:val="auto"/>
          <w:lang w:val="en-US" w:eastAsia="de-DE"/>
        </w:rPr>
        <w:t>-treated patients vs 0.2% o</w:t>
      </w:r>
      <w:r>
        <w:rPr>
          <w:color w:val="auto"/>
          <w:lang w:val="en-US" w:eastAsia="de-DE"/>
        </w:rPr>
        <w:t>f placebo-treated patients)</w:t>
      </w:r>
      <w:r w:rsidRPr="005E3242">
        <w:rPr>
          <w:color w:val="auto"/>
          <w:lang w:val="en-US" w:eastAsia="de-DE"/>
        </w:rPr>
        <w:t xml:space="preserve">. Of the patients who experienced symptomatic heart failure, 47% of </w:t>
      </w:r>
      <w:proofErr w:type="spellStart"/>
      <w:r w:rsidRPr="005E3242">
        <w:rPr>
          <w:color w:val="auto"/>
          <w:lang w:val="en-US" w:eastAsia="de-DE"/>
        </w:rPr>
        <w:t>pertuzumab</w:t>
      </w:r>
      <w:proofErr w:type="spellEnd"/>
      <w:r w:rsidRPr="005E3242">
        <w:rPr>
          <w:color w:val="auto"/>
          <w:lang w:val="en-US" w:eastAsia="de-DE"/>
        </w:rPr>
        <w:t xml:space="preserve">-treated patients and 67% of placebo-treated patients had recovered (defined as 2 consecutive LVEF measurements above 50%) at the data cutoff. </w:t>
      </w:r>
      <w:proofErr w:type="gramStart"/>
      <w:r w:rsidRPr="005E3242">
        <w:rPr>
          <w:color w:val="auto"/>
          <w:lang w:val="en-US" w:eastAsia="de-DE"/>
        </w:rPr>
        <w:t>The majority of</w:t>
      </w:r>
      <w:proofErr w:type="gramEnd"/>
      <w:r w:rsidRPr="005E3242">
        <w:rPr>
          <w:color w:val="auto"/>
          <w:lang w:val="en-US" w:eastAsia="de-DE"/>
        </w:rPr>
        <w:t xml:space="preserve"> the events were reported in an</w:t>
      </w:r>
      <w:r>
        <w:rPr>
          <w:color w:val="auto"/>
          <w:lang w:val="en-US" w:eastAsia="de-DE"/>
        </w:rPr>
        <w:t>thracycline-treated patients</w:t>
      </w:r>
      <w:r w:rsidRPr="005E3242">
        <w:rPr>
          <w:color w:val="auto"/>
          <w:lang w:val="en-US" w:eastAsia="de-DE"/>
        </w:rPr>
        <w:t xml:space="preserve">. Asymptomatic or mildly symptomatic (NYHA class II) declines in LVEF of at least 10%-points from baseline and to &lt;50% were reported in 2.7% of </w:t>
      </w:r>
      <w:proofErr w:type="spellStart"/>
      <w:r w:rsidRPr="005E3242">
        <w:rPr>
          <w:color w:val="auto"/>
          <w:lang w:val="en-US" w:eastAsia="de-DE"/>
        </w:rPr>
        <w:t>pertuzumab</w:t>
      </w:r>
      <w:proofErr w:type="spellEnd"/>
      <w:r w:rsidRPr="005E3242">
        <w:rPr>
          <w:color w:val="auto"/>
          <w:lang w:val="en-US" w:eastAsia="de-DE"/>
        </w:rPr>
        <w:t xml:space="preserve">-treated patients and 2.8% of placebo-treated patients, of whom </w:t>
      </w:r>
      <w:r w:rsidR="00574922">
        <w:rPr>
          <w:color w:val="auto"/>
          <w:lang w:val="en-US" w:eastAsia="de-DE"/>
        </w:rPr>
        <w:t>80</w:t>
      </w:r>
      <w:r w:rsidRPr="005E3242">
        <w:rPr>
          <w:color w:val="auto"/>
          <w:lang w:val="en-US" w:eastAsia="de-DE"/>
        </w:rPr>
        <w:t xml:space="preserve">% of </w:t>
      </w:r>
      <w:proofErr w:type="spellStart"/>
      <w:r w:rsidRPr="005E3242">
        <w:rPr>
          <w:color w:val="auto"/>
          <w:lang w:val="en-US" w:eastAsia="de-DE"/>
        </w:rPr>
        <w:t>pertuzumab</w:t>
      </w:r>
      <w:proofErr w:type="spellEnd"/>
      <w:r w:rsidRPr="005E3242">
        <w:rPr>
          <w:color w:val="auto"/>
          <w:lang w:val="en-US" w:eastAsia="de-DE"/>
        </w:rPr>
        <w:t>-treated patients and 8</w:t>
      </w:r>
      <w:r w:rsidR="00574922">
        <w:rPr>
          <w:color w:val="auto"/>
          <w:lang w:val="en-US" w:eastAsia="de-DE"/>
        </w:rPr>
        <w:t>1</w:t>
      </w:r>
      <w:r w:rsidRPr="005E3242">
        <w:rPr>
          <w:color w:val="auto"/>
          <w:lang w:val="en-US" w:eastAsia="de-DE"/>
        </w:rPr>
        <w:t>% of placebo-treated patients had re</w:t>
      </w:r>
      <w:r>
        <w:rPr>
          <w:color w:val="auto"/>
          <w:lang w:val="en-US" w:eastAsia="de-DE"/>
        </w:rPr>
        <w:t>covered at the data cutoff</w:t>
      </w:r>
      <w:r w:rsidRPr="005E3242">
        <w:rPr>
          <w:color w:val="auto"/>
          <w:lang w:val="en-US" w:eastAsia="de-DE"/>
        </w:rPr>
        <w:t>.</w:t>
      </w:r>
    </w:p>
    <w:p w14:paraId="2B4289ED" w14:textId="2EBBB5FB" w:rsidR="00DF2877" w:rsidRPr="005E3242" w:rsidRDefault="00DF2877" w:rsidP="00C448E8">
      <w:pPr>
        <w:pStyle w:val="Heading4"/>
        <w:rPr>
          <w:lang w:eastAsia="de-DE"/>
        </w:rPr>
      </w:pPr>
      <w:r w:rsidRPr="005E3242">
        <w:rPr>
          <w:lang w:eastAsia="de-DE"/>
        </w:rPr>
        <w:t xml:space="preserve">Injection/infusion-related </w:t>
      </w:r>
      <w:r w:rsidR="001C6A7E">
        <w:rPr>
          <w:lang w:eastAsia="de-DE"/>
        </w:rPr>
        <w:t>r</w:t>
      </w:r>
      <w:r w:rsidRPr="005E3242">
        <w:rPr>
          <w:lang w:eastAsia="de-DE"/>
        </w:rPr>
        <w:t>eactions</w:t>
      </w:r>
    </w:p>
    <w:p w14:paraId="1B8F5823" w14:textId="57004627" w:rsidR="00351FC8" w:rsidRDefault="0049399B"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rFonts w:eastAsia="PMingLiU"/>
          <w:color w:val="auto"/>
          <w:lang w:val="en-US" w:eastAsia="en-US"/>
        </w:rPr>
      </w:pPr>
      <w:r>
        <w:rPr>
          <w:rFonts w:eastAsia="PMingLiU"/>
          <w:color w:val="auto"/>
          <w:lang w:val="en-US" w:eastAsia="en-US"/>
        </w:rPr>
        <w:t>I</w:t>
      </w:r>
      <w:r w:rsidR="00DF2877" w:rsidRPr="005E3242">
        <w:rPr>
          <w:rFonts w:eastAsia="PMingLiU"/>
          <w:color w:val="auto"/>
          <w:lang w:val="en-US" w:eastAsia="en-US"/>
        </w:rPr>
        <w:t>njection/infusion-related reaction</w:t>
      </w:r>
      <w:r>
        <w:rPr>
          <w:rFonts w:eastAsia="PMingLiU"/>
          <w:color w:val="auto"/>
          <w:lang w:val="en-US" w:eastAsia="en-US"/>
        </w:rPr>
        <w:t>s</w:t>
      </w:r>
      <w:r w:rsidR="00DF2877" w:rsidRPr="005E3242">
        <w:rPr>
          <w:rFonts w:eastAsia="PMingLiU"/>
          <w:color w:val="auto"/>
          <w:lang w:val="en-US" w:eastAsia="en-US"/>
        </w:rPr>
        <w:t xml:space="preserve"> </w:t>
      </w:r>
      <w:r w:rsidR="00220320">
        <w:rPr>
          <w:rFonts w:eastAsia="PMingLiU"/>
          <w:color w:val="auto"/>
          <w:lang w:val="en-US" w:eastAsia="en-US"/>
        </w:rPr>
        <w:t>w</w:t>
      </w:r>
      <w:r w:rsidR="00C840A1">
        <w:rPr>
          <w:rFonts w:eastAsia="PMingLiU"/>
          <w:color w:val="auto"/>
          <w:lang w:val="en-US" w:eastAsia="en-US"/>
        </w:rPr>
        <w:t>ere</w:t>
      </w:r>
      <w:r w:rsidR="00220320">
        <w:rPr>
          <w:rFonts w:eastAsia="PMingLiU"/>
          <w:color w:val="auto"/>
          <w:lang w:val="en-US" w:eastAsia="en-US"/>
        </w:rPr>
        <w:t xml:space="preserve"> defined as</w:t>
      </w:r>
      <w:r>
        <w:rPr>
          <w:rFonts w:eastAsia="PMingLiU"/>
          <w:color w:val="auto"/>
          <w:lang w:val="en-US" w:eastAsia="en-US"/>
        </w:rPr>
        <w:t xml:space="preserve"> events of </w:t>
      </w:r>
      <w:r w:rsidRPr="005E3242">
        <w:rPr>
          <w:rFonts w:eastAsia="PMingLiU"/>
          <w:color w:val="auto"/>
          <w:lang w:val="en-US" w:eastAsia="en-US"/>
        </w:rPr>
        <w:t xml:space="preserve">hypersensitivity, anaphylactic reaction, acute infusion reaction or cytokine release syndrome </w:t>
      </w:r>
      <w:r>
        <w:rPr>
          <w:rFonts w:eastAsia="PMingLiU"/>
          <w:color w:val="auto"/>
          <w:lang w:val="en-US" w:eastAsia="en-US"/>
        </w:rPr>
        <w:t>(or in FEDERICA,</w:t>
      </w:r>
      <w:r w:rsidR="00DF2877" w:rsidRPr="005E3242">
        <w:rPr>
          <w:rFonts w:eastAsia="PMingLiU"/>
          <w:color w:val="auto"/>
          <w:lang w:val="en-US" w:eastAsia="en-US"/>
        </w:rPr>
        <w:t xml:space="preserve"> any systemic reaction</w:t>
      </w:r>
      <w:r>
        <w:rPr>
          <w:rFonts w:eastAsia="PMingLiU"/>
          <w:color w:val="auto"/>
          <w:lang w:val="en-US" w:eastAsia="en-US"/>
        </w:rPr>
        <w:t>)</w:t>
      </w:r>
      <w:r w:rsidR="00DF2877" w:rsidRPr="005E3242">
        <w:rPr>
          <w:rFonts w:eastAsia="PMingLiU"/>
          <w:color w:val="auto"/>
          <w:lang w:val="en-US" w:eastAsia="en-US"/>
        </w:rPr>
        <w:t xml:space="preserve"> reported </w:t>
      </w:r>
      <w:r>
        <w:rPr>
          <w:rFonts w:eastAsia="PMingLiU"/>
          <w:color w:val="auto"/>
          <w:lang w:val="en-US" w:eastAsia="en-US"/>
        </w:rPr>
        <w:t xml:space="preserve">during or </w:t>
      </w:r>
      <w:r w:rsidR="00DF2877" w:rsidRPr="005E3242">
        <w:rPr>
          <w:rFonts w:eastAsia="PMingLiU"/>
          <w:color w:val="auto"/>
          <w:lang w:val="en-US" w:eastAsia="en-US"/>
        </w:rPr>
        <w:t>within 24</w:t>
      </w:r>
      <w:r>
        <w:rPr>
          <w:rFonts w:eastAsia="PMingLiU"/>
          <w:color w:val="auto"/>
          <w:lang w:val="en-US" w:eastAsia="en-US"/>
        </w:rPr>
        <w:t xml:space="preserve"> </w:t>
      </w:r>
      <w:r w:rsidR="00DF2877" w:rsidRPr="005E3242">
        <w:rPr>
          <w:rFonts w:eastAsia="PMingLiU"/>
          <w:color w:val="auto"/>
          <w:lang w:val="en-US" w:eastAsia="en-US"/>
        </w:rPr>
        <w:t>h</w:t>
      </w:r>
      <w:r>
        <w:rPr>
          <w:rFonts w:eastAsia="PMingLiU"/>
          <w:color w:val="auto"/>
          <w:lang w:val="en-US" w:eastAsia="en-US"/>
        </w:rPr>
        <w:t>ou</w:t>
      </w:r>
      <w:r w:rsidR="00DF2877" w:rsidRPr="005E3242">
        <w:rPr>
          <w:rFonts w:eastAsia="PMingLiU"/>
          <w:color w:val="auto"/>
          <w:lang w:val="en-US" w:eastAsia="en-US"/>
        </w:rPr>
        <w:t xml:space="preserve">rs of </w:t>
      </w:r>
      <w:r w:rsidR="001C6A7E">
        <w:rPr>
          <w:rFonts w:eastAsia="PMingLiU"/>
          <w:color w:val="auto"/>
          <w:lang w:val="en-US" w:eastAsia="en-US"/>
        </w:rPr>
        <w:t xml:space="preserve">administration of </w:t>
      </w:r>
      <w:proofErr w:type="spellStart"/>
      <w:r w:rsidR="00DF2877" w:rsidRPr="005E3242">
        <w:rPr>
          <w:rFonts w:eastAsia="PMingLiU"/>
          <w:color w:val="auto"/>
          <w:lang w:val="en-US" w:eastAsia="en-US"/>
        </w:rPr>
        <w:t>pertuzumab</w:t>
      </w:r>
      <w:proofErr w:type="spellEnd"/>
      <w:r w:rsidR="00DF2877" w:rsidRPr="005E3242">
        <w:rPr>
          <w:rFonts w:eastAsia="PMingLiU"/>
          <w:color w:val="auto"/>
          <w:lang w:val="en-US" w:eastAsia="en-US"/>
        </w:rPr>
        <w:t xml:space="preserve"> </w:t>
      </w:r>
      <w:r w:rsidR="00351FC8">
        <w:rPr>
          <w:rFonts w:eastAsia="PMingLiU"/>
          <w:color w:val="auto"/>
          <w:lang w:val="en-US" w:eastAsia="en-US"/>
        </w:rPr>
        <w:t>or</w:t>
      </w:r>
      <w:r w:rsidR="00DF2877" w:rsidRPr="005E3242">
        <w:rPr>
          <w:rFonts w:eastAsia="PMingLiU"/>
          <w:color w:val="auto"/>
          <w:lang w:val="en-US" w:eastAsia="en-US"/>
        </w:rPr>
        <w:t xml:space="preserve"> trastuzumab. </w:t>
      </w:r>
    </w:p>
    <w:p w14:paraId="18B3EE11" w14:textId="0763E666" w:rsidR="0049399B" w:rsidRDefault="00351FC8"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rFonts w:eastAsia="PMingLiU"/>
          <w:color w:val="auto"/>
          <w:lang w:val="en-US" w:eastAsia="en-US"/>
        </w:rPr>
      </w:pPr>
      <w:r>
        <w:rPr>
          <w:rFonts w:eastAsia="PMingLiU"/>
          <w:color w:val="auto"/>
          <w:lang w:val="en-US" w:eastAsia="en-US"/>
        </w:rPr>
        <w:t>In FEDERICA, i</w:t>
      </w:r>
      <w:r w:rsidRPr="005E3242">
        <w:rPr>
          <w:rFonts w:eastAsia="PMingLiU"/>
          <w:color w:val="auto"/>
          <w:lang w:val="en-US" w:eastAsia="en-US"/>
        </w:rPr>
        <w:t>njection</w:t>
      </w:r>
      <w:r w:rsidR="00DF2877" w:rsidRPr="005E3242">
        <w:rPr>
          <w:rFonts w:eastAsia="PMingLiU"/>
          <w:color w:val="auto"/>
          <w:lang w:val="en-US" w:eastAsia="en-US"/>
        </w:rPr>
        <w:t xml:space="preserve">-related reactions were reported in 1.2% of </w:t>
      </w:r>
      <w:proofErr w:type="spellStart"/>
      <w:r w:rsidR="00191B0B">
        <w:rPr>
          <w:rFonts w:eastAsia="PMingLiU"/>
          <w:color w:val="auto"/>
          <w:lang w:val="en-US" w:eastAsia="en-US"/>
        </w:rPr>
        <w:t>Phesgo</w:t>
      </w:r>
      <w:proofErr w:type="spellEnd"/>
      <w:r w:rsidR="00DF2877" w:rsidRPr="005E3242">
        <w:rPr>
          <w:rFonts w:eastAsia="PMingLiU"/>
          <w:color w:val="auto"/>
          <w:lang w:val="en-US" w:eastAsia="en-US"/>
        </w:rPr>
        <w:t xml:space="preserve">-treated patients and infusion-related reactions were reported in 10.3% </w:t>
      </w:r>
      <w:r w:rsidR="001C6A7E">
        <w:rPr>
          <w:rFonts w:eastAsia="PMingLiU"/>
          <w:color w:val="auto"/>
          <w:lang w:val="en-US" w:eastAsia="en-US"/>
        </w:rPr>
        <w:t>of the comparator arm</w:t>
      </w:r>
      <w:r w:rsidR="00DF2877" w:rsidRPr="005E3242">
        <w:rPr>
          <w:rFonts w:eastAsia="PMingLiU"/>
          <w:color w:val="auto"/>
          <w:lang w:val="en-US" w:eastAsia="en-US"/>
        </w:rPr>
        <w:t xml:space="preserve">. Injection site reactions (defined as any local reaction reported within 24 hours of </w:t>
      </w:r>
      <w:proofErr w:type="spellStart"/>
      <w:r w:rsidR="00191B0B">
        <w:rPr>
          <w:rFonts w:eastAsia="PMingLiU"/>
          <w:color w:val="auto"/>
          <w:lang w:val="en-US" w:eastAsia="en-US"/>
        </w:rPr>
        <w:t>Phesgo</w:t>
      </w:r>
      <w:proofErr w:type="spellEnd"/>
      <w:r w:rsidR="00DF2877" w:rsidRPr="005E3242">
        <w:rPr>
          <w:rFonts w:eastAsia="PMingLiU"/>
          <w:color w:val="auto"/>
          <w:lang w:val="en-US" w:eastAsia="en-US"/>
        </w:rPr>
        <w:t xml:space="preserve">) were reported in 12.9% of </w:t>
      </w:r>
      <w:proofErr w:type="spellStart"/>
      <w:r w:rsidR="00191B0B">
        <w:rPr>
          <w:rFonts w:eastAsia="PMingLiU"/>
          <w:color w:val="auto"/>
          <w:lang w:val="en-US" w:eastAsia="en-US"/>
        </w:rPr>
        <w:t>Phesgo</w:t>
      </w:r>
      <w:proofErr w:type="spellEnd"/>
      <w:r w:rsidR="00220320">
        <w:rPr>
          <w:rFonts w:eastAsia="PMingLiU"/>
          <w:color w:val="auto"/>
          <w:lang w:val="en-US" w:eastAsia="en-US"/>
        </w:rPr>
        <w:t>-</w:t>
      </w:r>
      <w:r w:rsidR="00DF2877" w:rsidRPr="005E3242">
        <w:rPr>
          <w:rFonts w:eastAsia="PMingLiU"/>
          <w:color w:val="auto"/>
          <w:lang w:val="en-US" w:eastAsia="en-US"/>
        </w:rPr>
        <w:t xml:space="preserve">treated patients and </w:t>
      </w:r>
      <w:r w:rsidR="00222856">
        <w:rPr>
          <w:rFonts w:eastAsia="PMingLiU"/>
          <w:color w:val="auto"/>
          <w:lang w:val="en-US" w:eastAsia="en-US"/>
        </w:rPr>
        <w:t>were all grade 1 or 2 events</w:t>
      </w:r>
      <w:r w:rsidR="00DF2877" w:rsidRPr="005E3242">
        <w:rPr>
          <w:rFonts w:eastAsia="PMingLiU"/>
          <w:color w:val="auto"/>
          <w:lang w:val="en-US" w:eastAsia="en-US"/>
        </w:rPr>
        <w:t>.</w:t>
      </w:r>
      <w:r w:rsidR="0049399B" w:rsidRPr="0049399B">
        <w:rPr>
          <w:rFonts w:eastAsia="PMingLiU"/>
          <w:color w:val="auto"/>
          <w:lang w:val="en-US" w:eastAsia="en-US"/>
        </w:rPr>
        <w:t xml:space="preserve"> </w:t>
      </w:r>
    </w:p>
    <w:p w14:paraId="6DE2E029" w14:textId="7A81F35F" w:rsidR="0049399B" w:rsidRPr="005E3242" w:rsidRDefault="00574922"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rFonts w:eastAsia="PMingLiU"/>
          <w:color w:val="auto"/>
          <w:lang w:val="en-US" w:eastAsia="en-US"/>
        </w:rPr>
      </w:pPr>
      <w:r>
        <w:rPr>
          <w:rFonts w:eastAsia="PMingLiU"/>
          <w:color w:val="auto"/>
          <w:lang w:val="en-US" w:eastAsia="en-US"/>
        </w:rPr>
        <w:t>I</w:t>
      </w:r>
      <w:r w:rsidR="0049399B" w:rsidRPr="005E3242">
        <w:rPr>
          <w:rFonts w:eastAsia="PMingLiU"/>
          <w:color w:val="auto"/>
          <w:lang w:val="en-US" w:eastAsia="en-US"/>
        </w:rPr>
        <w:t xml:space="preserve">nfusion-related reaction was defined in the pivotal trials as any event reported as hypersensitivity, anaphylactic reaction, acute infusion reaction or cytokine release syndrome occurring during an infusion or on the same day as the infusion. In CLEOPATRA, the initial dose of </w:t>
      </w:r>
      <w:proofErr w:type="spellStart"/>
      <w:r w:rsidR="0049399B" w:rsidRPr="005E3242">
        <w:rPr>
          <w:rFonts w:eastAsia="PMingLiU"/>
          <w:color w:val="auto"/>
          <w:lang w:val="en-US" w:eastAsia="en-US"/>
        </w:rPr>
        <w:t>pertuzumab</w:t>
      </w:r>
      <w:proofErr w:type="spellEnd"/>
      <w:r w:rsidR="0049399B" w:rsidRPr="005E3242">
        <w:rPr>
          <w:rFonts w:eastAsia="PMingLiU"/>
          <w:color w:val="auto"/>
          <w:lang w:val="en-US" w:eastAsia="en-US"/>
        </w:rPr>
        <w:t xml:space="preserve"> was given the day before trastuzumab and docetaxel to allow for the examination of </w:t>
      </w:r>
      <w:proofErr w:type="spellStart"/>
      <w:r w:rsidR="0049399B" w:rsidRPr="005E3242">
        <w:rPr>
          <w:rFonts w:eastAsia="PMingLiU"/>
          <w:color w:val="auto"/>
          <w:lang w:val="en-US" w:eastAsia="en-US"/>
        </w:rPr>
        <w:t>pertuzumab</w:t>
      </w:r>
      <w:proofErr w:type="spellEnd"/>
      <w:r w:rsidR="00351FC8">
        <w:rPr>
          <w:rFonts w:eastAsia="PMingLiU"/>
          <w:color w:val="auto"/>
          <w:lang w:val="en-US" w:eastAsia="en-US"/>
        </w:rPr>
        <w:t>-</w:t>
      </w:r>
      <w:r w:rsidR="0049399B" w:rsidRPr="005E3242">
        <w:rPr>
          <w:rFonts w:eastAsia="PMingLiU"/>
          <w:color w:val="auto"/>
          <w:lang w:val="en-US" w:eastAsia="en-US"/>
        </w:rPr>
        <w:t xml:space="preserve">associated reactions. On the first day </w:t>
      </w:r>
      <w:r>
        <w:rPr>
          <w:rFonts w:eastAsia="PMingLiU"/>
          <w:color w:val="auto"/>
          <w:lang w:val="en-US" w:eastAsia="en-US"/>
        </w:rPr>
        <w:t>(</w:t>
      </w:r>
      <w:r w:rsidR="0049399B" w:rsidRPr="005E3242">
        <w:rPr>
          <w:rFonts w:eastAsia="PMingLiU"/>
          <w:color w:val="auto"/>
          <w:lang w:val="en-US" w:eastAsia="en-US"/>
        </w:rPr>
        <w:t xml:space="preserve">when only </w:t>
      </w:r>
      <w:proofErr w:type="spellStart"/>
      <w:r w:rsidR="0049399B" w:rsidRPr="005E3242">
        <w:rPr>
          <w:rFonts w:eastAsia="PMingLiU"/>
          <w:color w:val="auto"/>
          <w:lang w:val="en-US" w:eastAsia="en-US"/>
        </w:rPr>
        <w:t>pertuzumab</w:t>
      </w:r>
      <w:proofErr w:type="spellEnd"/>
      <w:r w:rsidR="0049399B" w:rsidRPr="005E3242">
        <w:rPr>
          <w:rFonts w:eastAsia="PMingLiU"/>
          <w:color w:val="auto"/>
          <w:lang w:val="en-US" w:eastAsia="en-US"/>
        </w:rPr>
        <w:t xml:space="preserve"> was administered</w:t>
      </w:r>
      <w:r>
        <w:rPr>
          <w:rFonts w:eastAsia="PMingLiU"/>
          <w:color w:val="auto"/>
          <w:lang w:val="en-US" w:eastAsia="en-US"/>
        </w:rPr>
        <w:t>)</w:t>
      </w:r>
      <w:r w:rsidR="0049399B" w:rsidRPr="005E3242">
        <w:rPr>
          <w:rFonts w:eastAsia="PMingLiU"/>
          <w:color w:val="auto"/>
          <w:lang w:val="en-US" w:eastAsia="en-US"/>
        </w:rPr>
        <w:t xml:space="preserve"> the overall frequency of infusion-related reactions was 9.8% in the placebo-treated group and 13.2% in the </w:t>
      </w:r>
      <w:proofErr w:type="spellStart"/>
      <w:r w:rsidR="0049399B" w:rsidRPr="005E3242">
        <w:rPr>
          <w:rFonts w:eastAsia="PMingLiU"/>
          <w:color w:val="auto"/>
          <w:lang w:val="en-US" w:eastAsia="en-US"/>
        </w:rPr>
        <w:t>pertuzumab</w:t>
      </w:r>
      <w:proofErr w:type="spellEnd"/>
      <w:r w:rsidR="0049399B" w:rsidRPr="005E3242">
        <w:rPr>
          <w:rFonts w:eastAsia="PMingLiU"/>
          <w:color w:val="auto"/>
          <w:lang w:val="en-US" w:eastAsia="en-US"/>
        </w:rPr>
        <w:t xml:space="preserve">-treated group, with </w:t>
      </w:r>
      <w:proofErr w:type="gramStart"/>
      <w:r w:rsidR="0049399B" w:rsidRPr="005E3242">
        <w:rPr>
          <w:rFonts w:eastAsia="PMingLiU"/>
          <w:color w:val="auto"/>
          <w:lang w:val="en-US" w:eastAsia="en-US"/>
        </w:rPr>
        <w:t>the majority of</w:t>
      </w:r>
      <w:proofErr w:type="gramEnd"/>
      <w:r w:rsidR="0049399B" w:rsidRPr="005E3242">
        <w:rPr>
          <w:rFonts w:eastAsia="PMingLiU"/>
          <w:color w:val="auto"/>
          <w:lang w:val="en-US" w:eastAsia="en-US"/>
        </w:rPr>
        <w:t xml:space="preserve"> reac</w:t>
      </w:r>
      <w:r w:rsidR="0049399B">
        <w:rPr>
          <w:rFonts w:eastAsia="PMingLiU"/>
          <w:color w:val="auto"/>
          <w:lang w:val="en-US" w:eastAsia="en-US"/>
        </w:rPr>
        <w:t>tions being mild or moderate</w:t>
      </w:r>
      <w:r w:rsidR="0049399B" w:rsidRPr="005E3242">
        <w:rPr>
          <w:rFonts w:eastAsia="PMingLiU"/>
          <w:color w:val="auto"/>
          <w:lang w:val="en-US" w:eastAsia="en-US"/>
        </w:rPr>
        <w:t xml:space="preserve">. The most common infusion-related reactions (≥1%) in the </w:t>
      </w:r>
      <w:proofErr w:type="spellStart"/>
      <w:r w:rsidR="0049399B" w:rsidRPr="005E3242">
        <w:rPr>
          <w:rFonts w:eastAsia="PMingLiU"/>
          <w:color w:val="auto"/>
          <w:lang w:val="en-US" w:eastAsia="en-US"/>
        </w:rPr>
        <w:t>pertuzumab</w:t>
      </w:r>
      <w:proofErr w:type="spellEnd"/>
      <w:r w:rsidR="0049399B" w:rsidRPr="005E3242">
        <w:rPr>
          <w:rFonts w:eastAsia="PMingLiU"/>
          <w:color w:val="auto"/>
          <w:lang w:val="en-US" w:eastAsia="en-US"/>
        </w:rPr>
        <w:t>-treated group were pyrexia, chills, fatigue, headache, asthenia, hy</w:t>
      </w:r>
      <w:r w:rsidR="0049399B">
        <w:rPr>
          <w:rFonts w:eastAsia="PMingLiU"/>
          <w:color w:val="auto"/>
          <w:lang w:val="en-US" w:eastAsia="en-US"/>
        </w:rPr>
        <w:t>persensitivity, and vomiting</w:t>
      </w:r>
      <w:r w:rsidR="0049399B" w:rsidRPr="005E3242">
        <w:rPr>
          <w:rFonts w:eastAsia="PMingLiU"/>
          <w:color w:val="auto"/>
          <w:lang w:val="en-US" w:eastAsia="en-US"/>
        </w:rPr>
        <w:t xml:space="preserve">. During the second cycle when all drugs were administered on the same day, the most common infusion related reactions (≥1%) in the </w:t>
      </w:r>
      <w:proofErr w:type="spellStart"/>
      <w:r w:rsidR="0049399B" w:rsidRPr="005E3242">
        <w:rPr>
          <w:rFonts w:eastAsia="PMingLiU"/>
          <w:color w:val="auto"/>
          <w:lang w:val="en-US" w:eastAsia="en-US"/>
        </w:rPr>
        <w:t>pertuzumab</w:t>
      </w:r>
      <w:proofErr w:type="spellEnd"/>
      <w:r w:rsidR="0049399B" w:rsidRPr="005E3242">
        <w:rPr>
          <w:rFonts w:eastAsia="PMingLiU"/>
          <w:color w:val="auto"/>
          <w:lang w:val="en-US" w:eastAsia="en-US"/>
        </w:rPr>
        <w:t xml:space="preserve">-treated group were fatigue, drug hypersensitivity, dysgeusia, hypersensitivity, myalgia, and vomiting. </w:t>
      </w:r>
    </w:p>
    <w:p w14:paraId="33BE70F1" w14:textId="7C34AE38" w:rsidR="0049399B" w:rsidRPr="005E3242" w:rsidRDefault="0049399B"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rFonts w:eastAsia="PMingLiU"/>
          <w:color w:val="auto"/>
          <w:lang w:val="en-US" w:eastAsia="en-US"/>
        </w:rPr>
      </w:pPr>
      <w:r w:rsidRPr="005E3242">
        <w:rPr>
          <w:rFonts w:eastAsia="PMingLiU"/>
          <w:color w:val="auto"/>
          <w:lang w:val="en-US" w:eastAsia="en-US"/>
        </w:rPr>
        <w:t xml:space="preserve">In neoadjuvant and adjuvant trials, </w:t>
      </w:r>
      <w:proofErr w:type="spellStart"/>
      <w:r w:rsidRPr="005E3242">
        <w:rPr>
          <w:rFonts w:eastAsia="PMingLiU"/>
          <w:color w:val="auto"/>
          <w:lang w:val="en-US" w:eastAsia="en-US"/>
        </w:rPr>
        <w:t>pertuzumab</w:t>
      </w:r>
      <w:proofErr w:type="spellEnd"/>
      <w:r w:rsidRPr="005E3242">
        <w:rPr>
          <w:rFonts w:eastAsia="PMingLiU"/>
          <w:color w:val="auto"/>
          <w:lang w:val="en-US" w:eastAsia="en-US"/>
        </w:rPr>
        <w:t xml:space="preserve"> was administered on the same day as the other study treatment drugs. Infusion-related reactions occurred in 1</w:t>
      </w:r>
      <w:r w:rsidR="00D4561E">
        <w:rPr>
          <w:rFonts w:eastAsia="PMingLiU"/>
          <w:color w:val="auto"/>
          <w:lang w:val="en-US" w:eastAsia="en-US"/>
        </w:rPr>
        <w:t>9</w:t>
      </w:r>
      <w:r w:rsidRPr="005E3242">
        <w:rPr>
          <w:rFonts w:eastAsia="PMingLiU"/>
          <w:color w:val="auto"/>
          <w:lang w:val="en-US" w:eastAsia="en-US"/>
        </w:rPr>
        <w:t xml:space="preserve">% - 25% of patients on the first day of </w:t>
      </w:r>
      <w:proofErr w:type="spellStart"/>
      <w:r w:rsidRPr="005E3242">
        <w:rPr>
          <w:rFonts w:eastAsia="PMingLiU"/>
          <w:color w:val="auto"/>
          <w:lang w:val="en-US" w:eastAsia="en-US"/>
        </w:rPr>
        <w:t>pertuzumab</w:t>
      </w:r>
      <w:proofErr w:type="spellEnd"/>
      <w:r w:rsidRPr="005E3242">
        <w:rPr>
          <w:rFonts w:eastAsia="PMingLiU"/>
          <w:color w:val="auto"/>
          <w:lang w:val="en-US" w:eastAsia="en-US"/>
        </w:rPr>
        <w:t xml:space="preserve"> administration (in combination with trast</w:t>
      </w:r>
      <w:r>
        <w:rPr>
          <w:rFonts w:eastAsia="PMingLiU"/>
          <w:color w:val="auto"/>
          <w:lang w:val="en-US" w:eastAsia="en-US"/>
        </w:rPr>
        <w:t xml:space="preserve">uzumab and </w:t>
      </w:r>
      <w:r>
        <w:rPr>
          <w:rFonts w:eastAsia="PMingLiU"/>
          <w:color w:val="auto"/>
          <w:lang w:val="en-US" w:eastAsia="en-US"/>
        </w:rPr>
        <w:lastRenderedPageBreak/>
        <w:t>chemotherapy)</w:t>
      </w:r>
      <w:r w:rsidRPr="005E3242">
        <w:rPr>
          <w:rFonts w:eastAsia="PMingLiU"/>
          <w:color w:val="auto"/>
          <w:lang w:val="en-US" w:eastAsia="en-US"/>
        </w:rPr>
        <w:t xml:space="preserve">. The type and severity of events were consistent with those observed in CLEOPATRA, with </w:t>
      </w:r>
      <w:proofErr w:type="gramStart"/>
      <w:r w:rsidRPr="005E3242">
        <w:rPr>
          <w:rFonts w:eastAsia="PMingLiU"/>
          <w:color w:val="auto"/>
          <w:lang w:val="en-US" w:eastAsia="en-US"/>
        </w:rPr>
        <w:t>a majority of</w:t>
      </w:r>
      <w:proofErr w:type="gramEnd"/>
      <w:r w:rsidRPr="005E3242">
        <w:rPr>
          <w:rFonts w:eastAsia="PMingLiU"/>
          <w:color w:val="auto"/>
          <w:lang w:val="en-US" w:eastAsia="en-US"/>
        </w:rPr>
        <w:t xml:space="preserve"> reaction</w:t>
      </w:r>
      <w:r>
        <w:rPr>
          <w:rFonts w:eastAsia="PMingLiU"/>
          <w:color w:val="auto"/>
          <w:lang w:val="en-US" w:eastAsia="en-US"/>
        </w:rPr>
        <w:t>s being mild or moderate</w:t>
      </w:r>
      <w:r w:rsidRPr="005E3242">
        <w:rPr>
          <w:rFonts w:eastAsia="PMingLiU"/>
          <w:color w:val="auto"/>
          <w:lang w:val="en-US" w:eastAsia="en-US"/>
        </w:rPr>
        <w:t>.</w:t>
      </w:r>
    </w:p>
    <w:p w14:paraId="28354AD1" w14:textId="77777777" w:rsidR="00DF2877" w:rsidRPr="005E3242" w:rsidRDefault="00DF2877" w:rsidP="00C448E8">
      <w:pPr>
        <w:pStyle w:val="Heading4"/>
        <w:rPr>
          <w:rFonts w:eastAsia="PMingLiU"/>
          <w:lang w:eastAsia="en-US"/>
        </w:rPr>
      </w:pPr>
      <w:r w:rsidRPr="005E3242">
        <w:rPr>
          <w:rFonts w:eastAsia="PMingLiU"/>
          <w:lang w:eastAsia="en-US"/>
        </w:rPr>
        <w:t xml:space="preserve">Hypersensitivity reactions/anaphylaxis </w:t>
      </w:r>
    </w:p>
    <w:p w14:paraId="1F83F4E4" w14:textId="25A6AD3B" w:rsidR="00DF2877" w:rsidRPr="005E3242" w:rsidRDefault="00DF2877"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de-DE"/>
        </w:rPr>
      </w:pPr>
      <w:r w:rsidRPr="005E3242">
        <w:rPr>
          <w:color w:val="auto"/>
          <w:lang w:val="en-US" w:eastAsia="de-DE"/>
        </w:rPr>
        <w:t xml:space="preserve">In FEDERICA, the overall frequency of hypersensitivity/anaphylaxis reported events </w:t>
      </w:r>
      <w:r w:rsidRPr="005E3242">
        <w:rPr>
          <w:bCs/>
          <w:color w:val="auto"/>
          <w:lang w:val="en-GB" w:eastAsia="de-DE"/>
        </w:rPr>
        <w:t>related to HER2-targeted therapy</w:t>
      </w:r>
      <w:r w:rsidRPr="005E3242">
        <w:rPr>
          <w:color w:val="auto"/>
          <w:lang w:val="en-US" w:eastAsia="de-DE"/>
        </w:rPr>
        <w:t xml:space="preserve"> was 1.6% in both the </w:t>
      </w:r>
      <w:proofErr w:type="spellStart"/>
      <w:r w:rsidR="00191B0B">
        <w:rPr>
          <w:color w:val="auto"/>
          <w:lang w:val="en-US" w:eastAsia="de-DE"/>
        </w:rPr>
        <w:t>Phesgo</w:t>
      </w:r>
      <w:proofErr w:type="spellEnd"/>
      <w:r w:rsidR="001C6A7E">
        <w:rPr>
          <w:color w:val="auto"/>
          <w:lang w:val="en-US" w:eastAsia="de-DE"/>
        </w:rPr>
        <w:t xml:space="preserve"> arm and the comparator arm, with no events higher than</w:t>
      </w:r>
      <w:r w:rsidR="00220320">
        <w:rPr>
          <w:color w:val="auto"/>
          <w:lang w:val="en-US" w:eastAsia="de-DE"/>
        </w:rPr>
        <w:t xml:space="preserve"> </w:t>
      </w:r>
      <w:r w:rsidRPr="005E3242">
        <w:rPr>
          <w:color w:val="auto"/>
          <w:lang w:val="en-US" w:eastAsia="de-DE"/>
        </w:rPr>
        <w:t xml:space="preserve">NCI-CTCAE (version 4) Grade </w:t>
      </w:r>
      <w:r w:rsidR="001C6A7E">
        <w:rPr>
          <w:color w:val="auto"/>
          <w:lang w:val="en-US" w:eastAsia="de-DE"/>
        </w:rPr>
        <w:t>2</w:t>
      </w:r>
      <w:r w:rsidRPr="005E3242">
        <w:rPr>
          <w:color w:val="auto"/>
          <w:lang w:val="en-US" w:eastAsia="de-DE"/>
        </w:rPr>
        <w:t>.</w:t>
      </w:r>
    </w:p>
    <w:p w14:paraId="5E652EB4" w14:textId="62A96948" w:rsidR="00001BD4" w:rsidRDefault="00DF2877"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rFonts w:eastAsia="PMingLiU"/>
          <w:color w:val="auto"/>
          <w:lang w:val="en-US" w:eastAsia="en-US"/>
        </w:rPr>
      </w:pPr>
      <w:r w:rsidRPr="005E3242">
        <w:rPr>
          <w:rFonts w:eastAsia="PMingLiU"/>
          <w:color w:val="auto"/>
          <w:lang w:val="en-US" w:eastAsia="en-US"/>
        </w:rPr>
        <w:t xml:space="preserve">In CLEOPATRA, the overall frequency of hypersensitivity/anaphylaxis reported events was 9.3% in the placebo-treated patients and 11.3% in the </w:t>
      </w:r>
      <w:proofErr w:type="spellStart"/>
      <w:r w:rsidRPr="005E3242">
        <w:rPr>
          <w:rFonts w:eastAsia="PMingLiU"/>
          <w:color w:val="auto"/>
          <w:lang w:val="en-US" w:eastAsia="en-US"/>
        </w:rPr>
        <w:t>pertuzumab</w:t>
      </w:r>
      <w:proofErr w:type="spellEnd"/>
      <w:r w:rsidRPr="005E3242">
        <w:rPr>
          <w:rFonts w:eastAsia="PMingLiU"/>
          <w:color w:val="auto"/>
          <w:lang w:val="en-US" w:eastAsia="en-US"/>
        </w:rPr>
        <w:t>-treated patients, of which 2.5% and 2.0% were NCI-CTCAE (versio</w:t>
      </w:r>
      <w:r w:rsidR="00222856">
        <w:rPr>
          <w:rFonts w:eastAsia="PMingLiU"/>
          <w:color w:val="auto"/>
          <w:lang w:val="en-US" w:eastAsia="en-US"/>
        </w:rPr>
        <w:t>n 3) grade 3-4, respectively</w:t>
      </w:r>
      <w:r w:rsidRPr="005E3242">
        <w:rPr>
          <w:rFonts w:eastAsia="PMingLiU"/>
          <w:color w:val="auto"/>
          <w:lang w:val="en-US" w:eastAsia="en-US"/>
        </w:rPr>
        <w:t xml:space="preserve">. Overall, 2 patients in placebo-treated group and 4 patients in the </w:t>
      </w:r>
      <w:proofErr w:type="spellStart"/>
      <w:r w:rsidRPr="005E3242">
        <w:rPr>
          <w:rFonts w:eastAsia="PMingLiU"/>
          <w:color w:val="auto"/>
          <w:lang w:val="en-US" w:eastAsia="en-US"/>
        </w:rPr>
        <w:t>pertuzumab</w:t>
      </w:r>
      <w:proofErr w:type="spellEnd"/>
      <w:r w:rsidRPr="005E3242">
        <w:rPr>
          <w:rFonts w:eastAsia="PMingLiU"/>
          <w:color w:val="auto"/>
          <w:lang w:val="en-US" w:eastAsia="en-US"/>
        </w:rPr>
        <w:t>-treated group experienced anaphylaxis (</w:t>
      </w:r>
      <w:r w:rsidR="008E6625" w:rsidRPr="005E3242">
        <w:rPr>
          <w:rFonts w:eastAsia="PMingLiU"/>
          <w:i/>
          <w:color w:val="auto"/>
          <w:lang w:val="en-US" w:eastAsia="en-US"/>
        </w:rPr>
        <w:t>(see 4.4 Special warnings and precautions for use)</w:t>
      </w:r>
      <w:r w:rsidR="00222856">
        <w:rPr>
          <w:rFonts w:eastAsia="PMingLiU"/>
          <w:color w:val="auto"/>
          <w:lang w:val="en-US" w:eastAsia="en-US"/>
        </w:rPr>
        <w:t>)</w:t>
      </w:r>
      <w:r w:rsidRPr="005E3242">
        <w:rPr>
          <w:rFonts w:eastAsia="PMingLiU"/>
          <w:color w:val="auto"/>
          <w:lang w:val="en-US" w:eastAsia="en-US"/>
        </w:rPr>
        <w:t>.</w:t>
      </w:r>
      <w:r w:rsidR="00220320">
        <w:rPr>
          <w:rFonts w:eastAsia="PMingLiU"/>
          <w:color w:val="auto"/>
          <w:lang w:val="en-US" w:eastAsia="en-US"/>
        </w:rPr>
        <w:t xml:space="preserve"> </w:t>
      </w:r>
    </w:p>
    <w:p w14:paraId="67150800" w14:textId="77777777" w:rsidR="00DF2877" w:rsidRPr="005E3242" w:rsidRDefault="00DF2877" w:rsidP="00C448E8">
      <w:pPr>
        <w:pBdr>
          <w:top w:val="none" w:sz="0" w:space="0" w:color="auto"/>
          <w:left w:val="none" w:sz="0" w:space="0" w:color="auto"/>
          <w:bottom w:val="none" w:sz="0" w:space="0" w:color="auto"/>
          <w:right w:val="none" w:sz="0" w:space="0" w:color="auto"/>
          <w:between w:val="none" w:sz="0" w:space="0" w:color="auto"/>
        </w:pBdr>
        <w:spacing w:after="170" w:line="300" w:lineRule="atLeast"/>
        <w:rPr>
          <w:color w:val="auto"/>
          <w:lang w:val="en-US" w:eastAsia="en-US"/>
        </w:rPr>
      </w:pPr>
      <w:r w:rsidRPr="005E3242">
        <w:rPr>
          <w:color w:val="auto"/>
          <w:lang w:val="en-US" w:eastAsia="en-US"/>
        </w:rPr>
        <w:t xml:space="preserve">In neoadjuvant and adjuvant trials, hypersensitivity/anaphylaxis events were consistent with those observed in CLEOPATRA. In NEOSPHERE, two patients in the </w:t>
      </w:r>
      <w:proofErr w:type="spellStart"/>
      <w:r w:rsidRPr="005E3242">
        <w:rPr>
          <w:color w:val="auto"/>
          <w:lang w:val="en-US" w:eastAsia="en-US"/>
        </w:rPr>
        <w:t>pertuzumab</w:t>
      </w:r>
      <w:proofErr w:type="spellEnd"/>
      <w:r w:rsidRPr="005E3242">
        <w:rPr>
          <w:color w:val="auto"/>
          <w:lang w:val="en-US" w:eastAsia="en-US"/>
        </w:rPr>
        <w:t xml:space="preserve"> and docetaxel-treated group experience</w:t>
      </w:r>
      <w:r w:rsidR="00222856">
        <w:rPr>
          <w:color w:val="auto"/>
          <w:lang w:val="en-US" w:eastAsia="en-US"/>
        </w:rPr>
        <w:t>d anaphylaxis</w:t>
      </w:r>
      <w:r w:rsidRPr="005E3242">
        <w:rPr>
          <w:color w:val="auto"/>
          <w:lang w:val="en-US" w:eastAsia="en-US"/>
        </w:rPr>
        <w:t xml:space="preserve">. In both TRYPHAENA and APHINITY, the overall frequency of hypersensitivity/anaphylaxis was highest in the </w:t>
      </w:r>
      <w:proofErr w:type="spellStart"/>
      <w:r w:rsidRPr="005E3242">
        <w:rPr>
          <w:color w:val="auto"/>
          <w:lang w:val="en-US" w:eastAsia="en-US"/>
        </w:rPr>
        <w:t>pertuzumab</w:t>
      </w:r>
      <w:proofErr w:type="spellEnd"/>
      <w:r w:rsidRPr="005E3242">
        <w:rPr>
          <w:color w:val="auto"/>
          <w:lang w:val="en-US" w:eastAsia="en-US"/>
        </w:rPr>
        <w:t xml:space="preserve"> and TCH treated group (13.2% and 7.6% respectively), of which 2.6% and 1.3% of events, respectively were NCI-CTCAE Grade</w:t>
      </w:r>
      <w:r w:rsidR="00222856">
        <w:rPr>
          <w:color w:val="auto"/>
          <w:lang w:val="en-US" w:eastAsia="en-US"/>
        </w:rPr>
        <w:t xml:space="preserve"> 3-4.</w:t>
      </w:r>
    </w:p>
    <w:p w14:paraId="7408ECAA" w14:textId="3A434044" w:rsidR="000B454E" w:rsidRDefault="000B454E" w:rsidP="00C448E8">
      <w:pPr>
        <w:pStyle w:val="Heading4"/>
        <w:rPr>
          <w:rFonts w:eastAsia="PMingLiU"/>
          <w:lang w:eastAsia="en-US"/>
        </w:rPr>
      </w:pPr>
      <w:proofErr w:type="spellStart"/>
      <w:r>
        <w:rPr>
          <w:rFonts w:eastAsia="PMingLiU"/>
          <w:lang w:eastAsia="en-US"/>
        </w:rPr>
        <w:t>Diarrhoea</w:t>
      </w:r>
      <w:proofErr w:type="spellEnd"/>
    </w:p>
    <w:p w14:paraId="2CE0CFB4" w14:textId="74115F97" w:rsidR="00DF2877" w:rsidRPr="005E3242" w:rsidRDefault="008D003B" w:rsidP="00C448E8">
      <w:pPr>
        <w:rPr>
          <w:color w:val="auto"/>
          <w:lang w:val="en-US" w:eastAsia="en-US"/>
        </w:rPr>
      </w:pPr>
      <w:r>
        <w:t>D</w:t>
      </w:r>
      <w:r w:rsidR="00DC722C">
        <w:t xml:space="preserve">iarrhoea is </w:t>
      </w:r>
      <w:r>
        <w:t xml:space="preserve">very </w:t>
      </w:r>
      <w:r w:rsidR="00DC722C">
        <w:t>co</w:t>
      </w:r>
      <w:r>
        <w:t xml:space="preserve">mmon with </w:t>
      </w:r>
      <w:proofErr w:type="spellStart"/>
      <w:r>
        <w:t>pertuzumab</w:t>
      </w:r>
      <w:proofErr w:type="spellEnd"/>
      <w:r>
        <w:t xml:space="preserve"> treatment, more so</w:t>
      </w:r>
      <w:r w:rsidR="00DC722C">
        <w:t xml:space="preserve"> </w:t>
      </w:r>
      <w:r>
        <w:t xml:space="preserve">with concurrent </w:t>
      </w:r>
      <w:proofErr w:type="spellStart"/>
      <w:r>
        <w:t>taxane</w:t>
      </w:r>
      <w:proofErr w:type="spellEnd"/>
      <w:r>
        <w:t xml:space="preserve"> therapy, and in patients older than 65 years. Management is standard, including early intervention for severe cases (which are common) or patients at higher risk of complications</w:t>
      </w:r>
      <w:r w:rsidR="00EB2B34">
        <w:t xml:space="preserve"> (including frail or elderly patients)</w:t>
      </w:r>
      <w:r>
        <w:t xml:space="preserve">. </w:t>
      </w:r>
      <w:r w:rsidR="000B454E">
        <w:rPr>
          <w:rFonts w:eastAsia="PMingLiU"/>
          <w:lang w:val="en-US" w:eastAsia="en-US"/>
        </w:rPr>
        <w:t>In APHINITY, the rate of</w:t>
      </w:r>
      <w:r w:rsidR="00EF7ECC">
        <w:rPr>
          <w:rFonts w:eastAsia="PMingLiU"/>
          <w:lang w:val="en-US" w:eastAsia="en-US"/>
        </w:rPr>
        <w:t xml:space="preserve"> </w:t>
      </w:r>
      <w:proofErr w:type="spellStart"/>
      <w:r w:rsidR="000B454E">
        <w:rPr>
          <w:rFonts w:eastAsia="PMingLiU"/>
          <w:lang w:val="en-US" w:eastAsia="en-US"/>
        </w:rPr>
        <w:t>diarrhoea</w:t>
      </w:r>
      <w:proofErr w:type="spellEnd"/>
      <w:r w:rsidR="000B454E">
        <w:rPr>
          <w:rFonts w:eastAsia="PMingLiU"/>
          <w:lang w:val="en-US" w:eastAsia="en-US"/>
        </w:rPr>
        <w:t xml:space="preserve"> </w:t>
      </w:r>
      <w:r w:rsidR="00EF7ECC">
        <w:rPr>
          <w:rFonts w:eastAsia="PMingLiU"/>
          <w:lang w:val="en-US" w:eastAsia="en-US"/>
        </w:rPr>
        <w:t xml:space="preserve">was </w:t>
      </w:r>
      <w:r w:rsidR="000B454E">
        <w:rPr>
          <w:rFonts w:eastAsia="PMingLiU"/>
          <w:lang w:val="en-US" w:eastAsia="en-US"/>
        </w:rPr>
        <w:t>71%</w:t>
      </w:r>
      <w:r w:rsidR="00EF7ECC">
        <w:rPr>
          <w:rFonts w:eastAsia="PMingLiU"/>
          <w:lang w:val="en-US" w:eastAsia="en-US"/>
        </w:rPr>
        <w:t xml:space="preserve"> (10% grade 3-4 severity)</w:t>
      </w:r>
      <w:r w:rsidR="000B454E">
        <w:rPr>
          <w:rFonts w:eastAsia="PMingLiU"/>
          <w:lang w:val="en-US" w:eastAsia="en-US"/>
        </w:rPr>
        <w:t xml:space="preserve"> </w:t>
      </w:r>
      <w:r w:rsidR="00EF7ECC">
        <w:rPr>
          <w:rFonts w:eastAsia="PMingLiU"/>
          <w:lang w:val="en-US" w:eastAsia="en-US"/>
        </w:rPr>
        <w:t xml:space="preserve">in patients who received </w:t>
      </w:r>
      <w:proofErr w:type="spellStart"/>
      <w:r w:rsidR="00EF7ECC">
        <w:rPr>
          <w:rFonts w:eastAsia="PMingLiU"/>
          <w:lang w:val="en-US" w:eastAsia="en-US"/>
        </w:rPr>
        <w:t>pertuzumab</w:t>
      </w:r>
      <w:proofErr w:type="spellEnd"/>
      <w:r w:rsidR="00EF7ECC">
        <w:rPr>
          <w:rFonts w:eastAsia="PMingLiU"/>
          <w:lang w:val="en-US" w:eastAsia="en-US"/>
        </w:rPr>
        <w:t xml:space="preserve"> and 45% (4% grade 3-4) in those who did not.</w:t>
      </w:r>
    </w:p>
    <w:p w14:paraId="4A6BB37D" w14:textId="77777777" w:rsidR="006F052E" w:rsidRPr="005E3242" w:rsidRDefault="006F052E" w:rsidP="00C448E8">
      <w:pPr>
        <w:pStyle w:val="Heading3"/>
        <w:rPr>
          <w:color w:val="auto"/>
        </w:rPr>
      </w:pPr>
      <w:r w:rsidRPr="005E3242">
        <w:rPr>
          <w:color w:val="auto"/>
        </w:rPr>
        <w:t>Reporting of suspected adverse reactions</w:t>
      </w:r>
    </w:p>
    <w:p w14:paraId="20D1A6BE" w14:textId="4D7A7C24" w:rsidR="00E21CCD" w:rsidRPr="005E3242" w:rsidRDefault="00E21CCD" w:rsidP="00C448E8">
      <w:pPr>
        <w:rPr>
          <w:color w:val="auto"/>
        </w:rPr>
      </w:pPr>
      <w:r w:rsidRPr="005E3242">
        <w:rPr>
          <w:color w:val="auto"/>
        </w:rPr>
        <w:t>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00B1134D" w:rsidRPr="005E3242">
          <w:rPr>
            <w:rStyle w:val="Hyperlink"/>
            <w:color w:val="auto"/>
          </w:rPr>
          <w:t>www.tga.gov.au/reporting-problems</w:t>
        </w:r>
      </w:hyperlink>
      <w:r w:rsidR="00B1134D" w:rsidRPr="005E3242">
        <w:rPr>
          <w:color w:val="auto"/>
        </w:rPr>
        <w:t>.</w:t>
      </w:r>
    </w:p>
    <w:p w14:paraId="25F682D1" w14:textId="77777777" w:rsidR="009F4C5B" w:rsidRPr="005E3242" w:rsidRDefault="009F4C5B" w:rsidP="00C448E8">
      <w:pPr>
        <w:rPr>
          <w:color w:val="auto"/>
        </w:rPr>
      </w:pPr>
    </w:p>
    <w:p w14:paraId="7D0563D0" w14:textId="598D197E" w:rsidR="00D52399" w:rsidRPr="005E3242" w:rsidRDefault="00902EBE" w:rsidP="00C448E8">
      <w:pPr>
        <w:pStyle w:val="Heading2"/>
        <w:spacing w:before="0"/>
        <w:rPr>
          <w:color w:val="auto"/>
        </w:rPr>
      </w:pPr>
      <w:r w:rsidRPr="005E3242">
        <w:rPr>
          <w:color w:val="auto"/>
        </w:rPr>
        <w:t>4.9</w:t>
      </w:r>
      <w:r w:rsidRPr="005E3242">
        <w:rPr>
          <w:color w:val="auto"/>
        </w:rPr>
        <w:tab/>
        <w:t xml:space="preserve">OVERDOSE </w:t>
      </w:r>
    </w:p>
    <w:p w14:paraId="795F0A1E" w14:textId="4E29B0FE" w:rsidR="000F18DE" w:rsidRDefault="000F18DE" w:rsidP="00C448E8">
      <w:pPr>
        <w:spacing w:after="240"/>
        <w:rPr>
          <w:color w:val="auto"/>
        </w:rPr>
      </w:pPr>
      <w:r w:rsidRPr="000F18DE">
        <w:rPr>
          <w:color w:val="auto"/>
        </w:rPr>
        <w:t xml:space="preserve">There is no experience with overdose of </w:t>
      </w:r>
      <w:proofErr w:type="spellStart"/>
      <w:r>
        <w:rPr>
          <w:color w:val="auto"/>
        </w:rPr>
        <w:t>Phesgo</w:t>
      </w:r>
      <w:proofErr w:type="spellEnd"/>
      <w:r w:rsidRPr="000F18DE">
        <w:rPr>
          <w:color w:val="auto"/>
        </w:rPr>
        <w:t xml:space="preserve"> in human clinical trials. The highest </w:t>
      </w:r>
      <w:proofErr w:type="spellStart"/>
      <w:r>
        <w:rPr>
          <w:color w:val="auto"/>
        </w:rPr>
        <w:t>Phesgo</w:t>
      </w:r>
      <w:proofErr w:type="spellEnd"/>
      <w:r w:rsidRPr="000F18DE">
        <w:rPr>
          <w:color w:val="auto"/>
        </w:rPr>
        <w:t xml:space="preserve"> dose tested is 1200 mg </w:t>
      </w:r>
      <w:proofErr w:type="spellStart"/>
      <w:r w:rsidRPr="000F18DE">
        <w:rPr>
          <w:color w:val="auto"/>
        </w:rPr>
        <w:t>pertuzumab</w:t>
      </w:r>
      <w:proofErr w:type="spellEnd"/>
      <w:r w:rsidRPr="000F18DE">
        <w:rPr>
          <w:color w:val="auto"/>
        </w:rPr>
        <w:t>/600 mg trastuzumab</w:t>
      </w:r>
      <w:r w:rsidR="00DC4631">
        <w:rPr>
          <w:color w:val="auto"/>
        </w:rPr>
        <w:t>.</w:t>
      </w:r>
    </w:p>
    <w:p w14:paraId="52D3253D" w14:textId="4D455F1F" w:rsidR="008903F2" w:rsidRPr="005E3242" w:rsidRDefault="008903F2" w:rsidP="00C448E8">
      <w:pPr>
        <w:spacing w:after="240"/>
        <w:rPr>
          <w:color w:val="auto"/>
        </w:rPr>
      </w:pPr>
      <w:r w:rsidRPr="005E3242">
        <w:rPr>
          <w:color w:val="auto"/>
        </w:rPr>
        <w:t>For information on the management of overdose, contact the Poisons Information Centre on 13 11 26 (Australia).</w:t>
      </w:r>
      <w:r w:rsidR="00BA0878" w:rsidRPr="005E3242">
        <w:rPr>
          <w:color w:val="auto"/>
        </w:rPr>
        <w:t xml:space="preserve"> </w:t>
      </w:r>
    </w:p>
    <w:p w14:paraId="0948669C" w14:textId="77777777" w:rsidR="00D52399" w:rsidRPr="005E3242" w:rsidRDefault="00615052" w:rsidP="00C448E8">
      <w:pPr>
        <w:pStyle w:val="Heading1"/>
        <w:numPr>
          <w:ilvl w:val="0"/>
          <w:numId w:val="2"/>
        </w:numPr>
        <w:spacing w:before="0"/>
        <w:rPr>
          <w:color w:val="auto"/>
        </w:rPr>
      </w:pPr>
      <w:r w:rsidRPr="005E3242">
        <w:rPr>
          <w:color w:val="auto"/>
        </w:rPr>
        <w:t>PHARMACOLOGICAL PROPERTIES</w:t>
      </w:r>
    </w:p>
    <w:p w14:paraId="39953328" w14:textId="77777777" w:rsidR="00D52399" w:rsidRPr="005E3242" w:rsidRDefault="00CC6729" w:rsidP="00C448E8">
      <w:pPr>
        <w:pStyle w:val="Heading2"/>
        <w:spacing w:before="0"/>
        <w:rPr>
          <w:color w:val="auto"/>
        </w:rPr>
      </w:pPr>
      <w:r w:rsidRPr="005E3242">
        <w:rPr>
          <w:color w:val="auto"/>
        </w:rPr>
        <w:t xml:space="preserve">5.1 </w:t>
      </w:r>
      <w:r w:rsidRPr="005E3242">
        <w:rPr>
          <w:color w:val="auto"/>
        </w:rPr>
        <w:tab/>
      </w:r>
      <w:r w:rsidR="00902EBE" w:rsidRPr="005E3242">
        <w:rPr>
          <w:color w:val="auto"/>
        </w:rPr>
        <w:t>PHARMACODYNAMIC PROPERTIES</w:t>
      </w:r>
    </w:p>
    <w:p w14:paraId="2BD8601F" w14:textId="77777777" w:rsidR="00D52399" w:rsidRPr="005E3242" w:rsidRDefault="00615052" w:rsidP="00C448E8">
      <w:pPr>
        <w:rPr>
          <w:color w:val="auto"/>
          <w:sz w:val="28"/>
        </w:rPr>
      </w:pPr>
      <w:r w:rsidRPr="005E3242">
        <w:rPr>
          <w:color w:val="auto"/>
          <w:szCs w:val="22"/>
        </w:rPr>
        <w:t xml:space="preserve">ATC code: </w:t>
      </w:r>
      <w:r w:rsidR="00AF72E1" w:rsidRPr="005E3242">
        <w:rPr>
          <w:color w:val="auto"/>
          <w:szCs w:val="22"/>
        </w:rPr>
        <w:t>not yet assigned</w:t>
      </w:r>
    </w:p>
    <w:p w14:paraId="26EC4FE4" w14:textId="3575406B" w:rsidR="00D52399" w:rsidRPr="005E3242" w:rsidRDefault="00615052" w:rsidP="00C448E8">
      <w:pPr>
        <w:pStyle w:val="Heading3"/>
        <w:rPr>
          <w:color w:val="auto"/>
        </w:rPr>
      </w:pPr>
      <w:r w:rsidRPr="005E3242">
        <w:rPr>
          <w:color w:val="auto"/>
        </w:rPr>
        <w:t xml:space="preserve">Mechanism of </w:t>
      </w:r>
      <w:r w:rsidR="00A33186">
        <w:rPr>
          <w:color w:val="auto"/>
        </w:rPr>
        <w:t>a</w:t>
      </w:r>
      <w:r w:rsidRPr="005E3242">
        <w:rPr>
          <w:color w:val="auto"/>
        </w:rPr>
        <w:t>ction</w:t>
      </w:r>
    </w:p>
    <w:p w14:paraId="2F846BFD" w14:textId="1517D782" w:rsidR="002D4E94" w:rsidRDefault="002D4E94" w:rsidP="00C448E8">
      <w:pPr>
        <w:rPr>
          <w:color w:val="auto"/>
          <w:lang w:val="en-US"/>
        </w:rPr>
      </w:pPr>
      <w:proofErr w:type="spellStart"/>
      <w:r w:rsidRPr="002D4E94">
        <w:rPr>
          <w:color w:val="auto"/>
          <w:lang w:val="en-US"/>
        </w:rPr>
        <w:t>Phesgo</w:t>
      </w:r>
      <w:proofErr w:type="spellEnd"/>
      <w:r w:rsidRPr="002D4E94">
        <w:rPr>
          <w:color w:val="auto"/>
          <w:lang w:val="en-US"/>
        </w:rPr>
        <w:t xml:space="preserve"> contains </w:t>
      </w:r>
      <w:proofErr w:type="spellStart"/>
      <w:r w:rsidRPr="002D4E94">
        <w:rPr>
          <w:color w:val="auto"/>
          <w:lang w:val="en-US"/>
        </w:rPr>
        <w:t>pertuzumab</w:t>
      </w:r>
      <w:proofErr w:type="spellEnd"/>
      <w:r w:rsidRPr="002D4E94">
        <w:rPr>
          <w:color w:val="auto"/>
          <w:lang w:val="en-US"/>
        </w:rPr>
        <w:t xml:space="preserve"> and trastuzumab</w:t>
      </w:r>
      <w:r w:rsidR="00B95575">
        <w:rPr>
          <w:color w:val="auto"/>
          <w:lang w:val="en-US"/>
        </w:rPr>
        <w:t>,</w:t>
      </w:r>
      <w:r w:rsidRPr="002D4E94">
        <w:rPr>
          <w:color w:val="auto"/>
          <w:lang w:val="en-US"/>
        </w:rPr>
        <w:t xml:space="preserve"> which provide the therapeutic effect of this medicinal product</w:t>
      </w:r>
      <w:r w:rsidR="00B95575">
        <w:rPr>
          <w:color w:val="auto"/>
          <w:lang w:val="en-US"/>
        </w:rPr>
        <w:t>,</w:t>
      </w:r>
      <w:r w:rsidRPr="002D4E94">
        <w:rPr>
          <w:color w:val="auto"/>
          <w:lang w:val="en-US"/>
        </w:rPr>
        <w:t xml:space="preserve"> and </w:t>
      </w:r>
      <w:proofErr w:type="spellStart"/>
      <w:r w:rsidRPr="002D4E94">
        <w:rPr>
          <w:color w:val="auto"/>
          <w:lang w:val="en-US"/>
        </w:rPr>
        <w:t>vorhyaluronidase</w:t>
      </w:r>
      <w:proofErr w:type="spellEnd"/>
      <w:r w:rsidRPr="002D4E94">
        <w:rPr>
          <w:color w:val="auto"/>
          <w:lang w:val="en-US"/>
        </w:rPr>
        <w:t xml:space="preserve"> alfa,</w:t>
      </w:r>
      <w:r w:rsidR="00B95575">
        <w:rPr>
          <w:color w:val="auto"/>
          <w:lang w:val="en-US"/>
        </w:rPr>
        <w:t xml:space="preserve"> which is</w:t>
      </w:r>
      <w:r w:rsidRPr="002D4E94">
        <w:rPr>
          <w:color w:val="auto"/>
          <w:lang w:val="en-US"/>
        </w:rPr>
        <w:t xml:space="preserve"> an enzyme used to increase the dispersion and absorption of co-formulated substances when administered subcutaneously.</w:t>
      </w:r>
    </w:p>
    <w:p w14:paraId="52C1B45F" w14:textId="5772C952" w:rsidR="00AF72E1" w:rsidRPr="005E3242" w:rsidRDefault="00AF72E1" w:rsidP="00C448E8">
      <w:pPr>
        <w:rPr>
          <w:color w:val="auto"/>
          <w:lang w:val="en-US"/>
        </w:rPr>
      </w:pPr>
      <w:proofErr w:type="spellStart"/>
      <w:r w:rsidRPr="005E3242">
        <w:rPr>
          <w:color w:val="auto"/>
          <w:lang w:val="en-US"/>
        </w:rPr>
        <w:lastRenderedPageBreak/>
        <w:t>Pertuzumab</w:t>
      </w:r>
      <w:proofErr w:type="spellEnd"/>
      <w:r w:rsidRPr="005E3242">
        <w:rPr>
          <w:color w:val="auto"/>
          <w:lang w:val="en-US"/>
        </w:rPr>
        <w:t xml:space="preserve"> and trastuzumab are recombinant humanized immunoglobulin (Ig)G1κ monoclonal antibodies</w:t>
      </w:r>
      <w:r w:rsidR="00B95575">
        <w:rPr>
          <w:color w:val="auto"/>
          <w:lang w:val="en-US"/>
        </w:rPr>
        <w:t xml:space="preserve"> that</w:t>
      </w:r>
      <w:r w:rsidRPr="005E3242">
        <w:rPr>
          <w:color w:val="auto"/>
          <w:lang w:val="en-US"/>
        </w:rPr>
        <w:t xml:space="preserve"> target the human epidermal growth factor receptor 2 (HER2, also known as c-erbB-2)</w:t>
      </w:r>
      <w:r w:rsidR="00B95575">
        <w:rPr>
          <w:color w:val="auto"/>
          <w:lang w:val="en-US"/>
        </w:rPr>
        <w:t>:</w:t>
      </w:r>
      <w:r w:rsidRPr="005E3242">
        <w:rPr>
          <w:color w:val="auto"/>
          <w:lang w:val="en-US"/>
        </w:rPr>
        <w:t xml:space="preserve"> a transmembrane glycoprotein with intrinsic tyrosine kinase activity. </w:t>
      </w:r>
      <w:proofErr w:type="spellStart"/>
      <w:r w:rsidRPr="005E3242">
        <w:rPr>
          <w:color w:val="auto"/>
          <w:lang w:val="en-US"/>
        </w:rPr>
        <w:t>Pertuzumab</w:t>
      </w:r>
      <w:proofErr w:type="spellEnd"/>
      <w:r w:rsidRPr="005E3242">
        <w:rPr>
          <w:color w:val="auto"/>
          <w:lang w:val="en-US"/>
        </w:rPr>
        <w:t xml:space="preserve"> and trastuzumab bind to distinct HER2 epitopes, subdomains II and IV, respectively, </w:t>
      </w:r>
      <w:r w:rsidR="00D869B9">
        <w:rPr>
          <w:color w:val="auto"/>
          <w:lang w:val="en-US"/>
        </w:rPr>
        <w:t>with</w:t>
      </w:r>
      <w:r w:rsidRPr="005E3242">
        <w:rPr>
          <w:color w:val="auto"/>
          <w:lang w:val="en-US"/>
        </w:rPr>
        <w:t xml:space="preserve"> complementary mechanisms for disrupting HER2 signaling. </w:t>
      </w:r>
      <w:r w:rsidR="00D869B9" w:rsidRPr="00410F6E">
        <w:rPr>
          <w:iCs/>
        </w:rPr>
        <w:t xml:space="preserve">The binding of </w:t>
      </w:r>
      <w:proofErr w:type="spellStart"/>
      <w:r w:rsidR="00D869B9" w:rsidRPr="00410F6E">
        <w:rPr>
          <w:iCs/>
        </w:rPr>
        <w:t>pertuzumab</w:t>
      </w:r>
      <w:proofErr w:type="spellEnd"/>
      <w:r w:rsidR="00D869B9" w:rsidRPr="00410F6E">
        <w:rPr>
          <w:iCs/>
        </w:rPr>
        <w:t xml:space="preserve"> and trastuzumab to two separate epitopes</w:t>
      </w:r>
      <w:r w:rsidR="00D869B9">
        <w:rPr>
          <w:i/>
          <w:iCs/>
          <w:sz w:val="22"/>
          <w:szCs w:val="22"/>
        </w:rPr>
        <w:t xml:space="preserve"> </w:t>
      </w:r>
      <w:r w:rsidRPr="005E3242">
        <w:rPr>
          <w:color w:val="auto"/>
          <w:lang w:val="en-US"/>
        </w:rPr>
        <w:t xml:space="preserve">results in augmented anti-proliferative activity </w:t>
      </w:r>
      <w:r w:rsidRPr="005E3242">
        <w:rPr>
          <w:i/>
          <w:color w:val="auto"/>
          <w:lang w:val="en-US"/>
        </w:rPr>
        <w:t>in vitro</w:t>
      </w:r>
      <w:r w:rsidRPr="005E3242">
        <w:rPr>
          <w:color w:val="auto"/>
          <w:lang w:val="en-US"/>
        </w:rPr>
        <w:t xml:space="preserve"> and </w:t>
      </w:r>
      <w:r w:rsidRPr="005E3242">
        <w:rPr>
          <w:i/>
          <w:color w:val="auto"/>
          <w:lang w:val="en-US"/>
        </w:rPr>
        <w:t>in vivo</w:t>
      </w:r>
      <w:r w:rsidRPr="005E3242">
        <w:rPr>
          <w:color w:val="auto"/>
          <w:lang w:val="en-US"/>
        </w:rPr>
        <w:t xml:space="preserve"> when </w:t>
      </w:r>
      <w:proofErr w:type="spellStart"/>
      <w:r w:rsidRPr="005E3242">
        <w:rPr>
          <w:color w:val="auto"/>
          <w:lang w:val="en-US"/>
        </w:rPr>
        <w:t>pertuzumab</w:t>
      </w:r>
      <w:proofErr w:type="spellEnd"/>
      <w:r w:rsidRPr="005E3242">
        <w:rPr>
          <w:color w:val="auto"/>
          <w:lang w:val="en-US"/>
        </w:rPr>
        <w:t xml:space="preserve"> and trastuzumab are given in combination.</w:t>
      </w:r>
    </w:p>
    <w:p w14:paraId="6C31727B" w14:textId="77777777" w:rsidR="00AF72E1" w:rsidRPr="005E3242" w:rsidRDefault="00AF72E1" w:rsidP="00C448E8">
      <w:pPr>
        <w:rPr>
          <w:color w:val="auto"/>
          <w:lang w:val="en-US"/>
        </w:rPr>
      </w:pPr>
    </w:p>
    <w:p w14:paraId="4001CDF2" w14:textId="4FF8B388" w:rsidR="00D52399" w:rsidRPr="005E3242" w:rsidRDefault="00D869B9" w:rsidP="00C448E8">
      <w:pPr>
        <w:rPr>
          <w:color w:val="auto"/>
        </w:rPr>
      </w:pPr>
      <w:r>
        <w:rPr>
          <w:color w:val="auto"/>
          <w:lang w:val="en-US"/>
        </w:rPr>
        <w:t xml:space="preserve">Both </w:t>
      </w:r>
      <w:proofErr w:type="spellStart"/>
      <w:r>
        <w:rPr>
          <w:color w:val="auto"/>
          <w:lang w:val="en-US"/>
        </w:rPr>
        <w:t>pertuzumab</w:t>
      </w:r>
      <w:proofErr w:type="spellEnd"/>
      <w:r>
        <w:rPr>
          <w:color w:val="auto"/>
          <w:lang w:val="en-US"/>
        </w:rPr>
        <w:t xml:space="preserve"> and trastuzumab mediate</w:t>
      </w:r>
      <w:r w:rsidR="00B95575">
        <w:rPr>
          <w:color w:val="auto"/>
          <w:lang w:val="en-US"/>
        </w:rPr>
        <w:t xml:space="preserve"> </w:t>
      </w:r>
      <w:r w:rsidR="00AF72E1" w:rsidRPr="005E3242">
        <w:rPr>
          <w:color w:val="auto"/>
          <w:lang w:val="en-US"/>
        </w:rPr>
        <w:t xml:space="preserve">antibody-dependent cell-mediated cytotoxicity (ADCC). </w:t>
      </w:r>
      <w:r w:rsidR="00AF72E1" w:rsidRPr="005E3242">
        <w:rPr>
          <w:i/>
          <w:color w:val="auto"/>
          <w:lang w:val="en-US"/>
        </w:rPr>
        <w:t>In vitro</w:t>
      </w:r>
      <w:r w:rsidR="00AF72E1" w:rsidRPr="005E3242">
        <w:rPr>
          <w:color w:val="auto"/>
          <w:lang w:val="en-US"/>
        </w:rPr>
        <w:t>, ADCC are exerted preferentially on HER2-overexpressing cancer cells compared with cancer cells t</w:t>
      </w:r>
      <w:r w:rsidR="00222856">
        <w:rPr>
          <w:color w:val="auto"/>
          <w:lang w:val="en-US"/>
        </w:rPr>
        <w:t>hat do not overexpress HER2.</w:t>
      </w:r>
    </w:p>
    <w:p w14:paraId="2046A118" w14:textId="77777777" w:rsidR="00D52399" w:rsidRPr="005E3242" w:rsidRDefault="00D52399" w:rsidP="00C448E8">
      <w:pPr>
        <w:rPr>
          <w:color w:val="auto"/>
        </w:rPr>
      </w:pPr>
    </w:p>
    <w:p w14:paraId="509EE9F0" w14:textId="77777777" w:rsidR="00D52399" w:rsidRPr="005E3242" w:rsidRDefault="00615052" w:rsidP="00C448E8">
      <w:pPr>
        <w:pStyle w:val="Heading3"/>
        <w:rPr>
          <w:color w:val="auto"/>
        </w:rPr>
      </w:pPr>
      <w:r w:rsidRPr="005E3242">
        <w:rPr>
          <w:color w:val="auto"/>
        </w:rPr>
        <w:t xml:space="preserve">Clinical </w:t>
      </w:r>
      <w:r w:rsidR="00594C19" w:rsidRPr="005E3242">
        <w:rPr>
          <w:color w:val="auto"/>
        </w:rPr>
        <w:t>trials</w:t>
      </w:r>
    </w:p>
    <w:p w14:paraId="5C74E5A0" w14:textId="69187EA7" w:rsidR="00351FC8" w:rsidRDefault="002D39AA" w:rsidP="00C448E8">
      <w:pPr>
        <w:rPr>
          <w:color w:val="auto"/>
        </w:rPr>
      </w:pPr>
      <w:r w:rsidRPr="005E3242">
        <w:rPr>
          <w:color w:val="auto"/>
        </w:rPr>
        <w:t xml:space="preserve">This section presents clinical experience from </w:t>
      </w:r>
      <w:r w:rsidR="00001BD4">
        <w:rPr>
          <w:color w:val="auto"/>
        </w:rPr>
        <w:t xml:space="preserve">studies investigating the use of </w:t>
      </w:r>
      <w:proofErr w:type="spellStart"/>
      <w:r w:rsidRPr="005E3242">
        <w:rPr>
          <w:color w:val="auto"/>
        </w:rPr>
        <w:t>pertuzumab</w:t>
      </w:r>
      <w:proofErr w:type="spellEnd"/>
      <w:r w:rsidRPr="005E3242">
        <w:rPr>
          <w:color w:val="auto"/>
        </w:rPr>
        <w:t xml:space="preserve"> in combination with trastuzumab </w:t>
      </w:r>
      <w:r w:rsidR="00351FC8">
        <w:rPr>
          <w:color w:val="auto"/>
        </w:rPr>
        <w:t xml:space="preserve">in </w:t>
      </w:r>
      <w:r w:rsidRPr="005E3242">
        <w:rPr>
          <w:color w:val="auto"/>
        </w:rPr>
        <w:t xml:space="preserve">patients with HER2-positive early </w:t>
      </w:r>
      <w:r w:rsidR="002313A5">
        <w:rPr>
          <w:color w:val="auto"/>
        </w:rPr>
        <w:t xml:space="preserve">breast cancer (EBC) </w:t>
      </w:r>
      <w:r w:rsidRPr="005E3242">
        <w:rPr>
          <w:color w:val="auto"/>
        </w:rPr>
        <w:t>and metastatic breast cancer</w:t>
      </w:r>
      <w:r w:rsidR="002313A5">
        <w:rPr>
          <w:color w:val="auto"/>
        </w:rPr>
        <w:t xml:space="preserve"> (MBC)</w:t>
      </w:r>
      <w:r w:rsidR="00127AA5">
        <w:rPr>
          <w:color w:val="auto"/>
        </w:rPr>
        <w:t>.</w:t>
      </w:r>
      <w:r w:rsidR="00001BD4">
        <w:rPr>
          <w:color w:val="auto"/>
        </w:rPr>
        <w:t xml:space="preserve"> With the exception of FEDERICA, all of t</w:t>
      </w:r>
      <w:r w:rsidR="00127AA5">
        <w:rPr>
          <w:color w:val="auto"/>
        </w:rPr>
        <w:t xml:space="preserve">he studies </w:t>
      </w:r>
      <w:r w:rsidR="00001BD4">
        <w:rPr>
          <w:color w:val="auto"/>
        </w:rPr>
        <w:t xml:space="preserve">were conducted </w:t>
      </w:r>
      <w:r w:rsidR="00127AA5">
        <w:rPr>
          <w:color w:val="auto"/>
        </w:rPr>
        <w:t xml:space="preserve">using intravenous </w:t>
      </w:r>
      <w:proofErr w:type="spellStart"/>
      <w:r w:rsidR="00127AA5">
        <w:rPr>
          <w:color w:val="auto"/>
        </w:rPr>
        <w:t>pertuzumab</w:t>
      </w:r>
      <w:proofErr w:type="spellEnd"/>
      <w:r w:rsidR="00127AA5">
        <w:rPr>
          <w:color w:val="auto"/>
        </w:rPr>
        <w:t xml:space="preserve"> with trastuzumab</w:t>
      </w:r>
      <w:r w:rsidR="00001BD4">
        <w:rPr>
          <w:color w:val="auto"/>
        </w:rPr>
        <w:t>, and</w:t>
      </w:r>
      <w:r w:rsidR="00351FC8">
        <w:rPr>
          <w:color w:val="auto"/>
        </w:rPr>
        <w:t xml:space="preserve"> support the use of </w:t>
      </w:r>
      <w:proofErr w:type="spellStart"/>
      <w:r w:rsidR="00351FC8">
        <w:rPr>
          <w:color w:val="auto"/>
        </w:rPr>
        <w:t>Phesgo</w:t>
      </w:r>
      <w:proofErr w:type="spellEnd"/>
      <w:r w:rsidR="00351FC8">
        <w:rPr>
          <w:color w:val="auto"/>
        </w:rPr>
        <w:t xml:space="preserve"> for the</w:t>
      </w:r>
      <w:r w:rsidR="00127AA5">
        <w:rPr>
          <w:color w:val="auto"/>
        </w:rPr>
        <w:t xml:space="preserve"> studied</w:t>
      </w:r>
      <w:r w:rsidR="00001BD4">
        <w:rPr>
          <w:color w:val="auto"/>
        </w:rPr>
        <w:t xml:space="preserve"> indications</w:t>
      </w:r>
      <w:r w:rsidR="00351FC8">
        <w:rPr>
          <w:color w:val="auto"/>
        </w:rPr>
        <w:t xml:space="preserve"> based on </w:t>
      </w:r>
      <w:r w:rsidR="00001BD4">
        <w:rPr>
          <w:color w:val="auto"/>
        </w:rPr>
        <w:t xml:space="preserve">the </w:t>
      </w:r>
      <w:r w:rsidR="00351FC8">
        <w:rPr>
          <w:color w:val="auto"/>
        </w:rPr>
        <w:t>pharmacokinetic non</w:t>
      </w:r>
      <w:r w:rsidR="00001BD4">
        <w:rPr>
          <w:color w:val="auto"/>
        </w:rPr>
        <w:t>-</w:t>
      </w:r>
      <w:r w:rsidR="00351FC8">
        <w:rPr>
          <w:color w:val="auto"/>
        </w:rPr>
        <w:t xml:space="preserve">inferiority of </w:t>
      </w:r>
      <w:proofErr w:type="spellStart"/>
      <w:r w:rsidR="00351FC8">
        <w:rPr>
          <w:color w:val="auto"/>
        </w:rPr>
        <w:t>Phesgo</w:t>
      </w:r>
      <w:proofErr w:type="spellEnd"/>
      <w:r w:rsidR="00351FC8">
        <w:rPr>
          <w:color w:val="auto"/>
        </w:rPr>
        <w:t xml:space="preserve"> to intravenous </w:t>
      </w:r>
      <w:proofErr w:type="spellStart"/>
      <w:r w:rsidR="00351FC8">
        <w:rPr>
          <w:color w:val="auto"/>
        </w:rPr>
        <w:t>pertuzumab</w:t>
      </w:r>
      <w:proofErr w:type="spellEnd"/>
      <w:r w:rsidR="00351FC8">
        <w:rPr>
          <w:color w:val="auto"/>
        </w:rPr>
        <w:t xml:space="preserve"> plus trastuzumab, as demonstrated in FEDERICA (see </w:t>
      </w:r>
      <w:r w:rsidR="00351FC8" w:rsidRPr="006B2154">
        <w:rPr>
          <w:i/>
          <w:color w:val="auto"/>
        </w:rPr>
        <w:t>5.2 Pharmacokinetic properties</w:t>
      </w:r>
      <w:r w:rsidR="00351FC8">
        <w:rPr>
          <w:color w:val="auto"/>
        </w:rPr>
        <w:t>)</w:t>
      </w:r>
      <w:r w:rsidRPr="005E3242">
        <w:rPr>
          <w:color w:val="auto"/>
        </w:rPr>
        <w:t xml:space="preserve">. </w:t>
      </w:r>
      <w:r w:rsidR="00127AA5">
        <w:rPr>
          <w:color w:val="auto"/>
        </w:rPr>
        <w:t xml:space="preserve">Supporting efficacy data with </w:t>
      </w:r>
      <w:proofErr w:type="spellStart"/>
      <w:r w:rsidR="00127AA5">
        <w:rPr>
          <w:color w:val="auto"/>
        </w:rPr>
        <w:t>Phesgo</w:t>
      </w:r>
      <w:proofErr w:type="spellEnd"/>
      <w:r w:rsidR="00127AA5">
        <w:rPr>
          <w:color w:val="auto"/>
        </w:rPr>
        <w:t xml:space="preserve"> from FEDERICA is also </w:t>
      </w:r>
      <w:r w:rsidR="00001BD4">
        <w:rPr>
          <w:color w:val="auto"/>
        </w:rPr>
        <w:t>included</w:t>
      </w:r>
      <w:r w:rsidR="00127AA5">
        <w:rPr>
          <w:color w:val="auto"/>
        </w:rPr>
        <w:t xml:space="preserve"> below.</w:t>
      </w:r>
    </w:p>
    <w:p w14:paraId="50238FD9" w14:textId="69612E47" w:rsidR="00733D98" w:rsidRDefault="00733D98" w:rsidP="00C448E8">
      <w:pPr>
        <w:rPr>
          <w:color w:val="auto"/>
        </w:rPr>
      </w:pPr>
    </w:p>
    <w:p w14:paraId="7B817C51" w14:textId="288051EE" w:rsidR="00D52399" w:rsidRPr="005E3242" w:rsidRDefault="002D39AA" w:rsidP="00C448E8">
      <w:pPr>
        <w:rPr>
          <w:color w:val="auto"/>
        </w:rPr>
      </w:pPr>
      <w:r w:rsidRPr="005E3242">
        <w:rPr>
          <w:color w:val="auto"/>
        </w:rPr>
        <w:t xml:space="preserve">HER2 overexpression in all trials </w:t>
      </w:r>
      <w:r w:rsidR="00351FC8">
        <w:rPr>
          <w:color w:val="auto"/>
        </w:rPr>
        <w:t>described</w:t>
      </w:r>
      <w:r w:rsidR="00351FC8" w:rsidRPr="005E3242">
        <w:rPr>
          <w:color w:val="auto"/>
        </w:rPr>
        <w:t xml:space="preserve"> </w:t>
      </w:r>
      <w:r w:rsidRPr="005E3242">
        <w:rPr>
          <w:color w:val="auto"/>
        </w:rPr>
        <w:t>below was determined at a central laboratory and defined as a score of 3+ by IHC or an ISH amplification ratio ≥2.0.</w:t>
      </w:r>
    </w:p>
    <w:p w14:paraId="318B315A" w14:textId="77777777" w:rsidR="002D39AA" w:rsidRPr="005E3242" w:rsidRDefault="002D39AA" w:rsidP="00C448E8">
      <w:pPr>
        <w:rPr>
          <w:color w:val="auto"/>
        </w:rPr>
      </w:pPr>
    </w:p>
    <w:p w14:paraId="1A733352" w14:textId="7A43DA43" w:rsidR="00996A40" w:rsidRPr="005E3242" w:rsidRDefault="00996A40" w:rsidP="00C448E8">
      <w:pPr>
        <w:pStyle w:val="Heading4"/>
      </w:pPr>
      <w:r>
        <w:t>Early</w:t>
      </w:r>
      <w:r w:rsidRPr="005E3242">
        <w:t xml:space="preserve"> Breast Cancer </w:t>
      </w:r>
      <w:r>
        <w:t>(EBC)</w:t>
      </w:r>
    </w:p>
    <w:p w14:paraId="4110FAA5" w14:textId="68907CD3" w:rsidR="002D39AA" w:rsidRPr="005E3242" w:rsidRDefault="002D39AA" w:rsidP="00C448E8">
      <w:pPr>
        <w:pStyle w:val="Heading6"/>
        <w:rPr>
          <w:lang w:val="en-US"/>
        </w:rPr>
      </w:pPr>
      <w:r w:rsidRPr="005E3242">
        <w:rPr>
          <w:lang w:val="en-US"/>
        </w:rPr>
        <w:t>FEDERICA</w:t>
      </w:r>
      <w:r w:rsidR="0078210D" w:rsidRPr="005E3242">
        <w:rPr>
          <w:lang w:val="en-US"/>
        </w:rPr>
        <w:t xml:space="preserve"> </w:t>
      </w:r>
      <w:r w:rsidR="00B95575">
        <w:rPr>
          <w:lang w:val="en-US"/>
        </w:rPr>
        <w:t>(</w:t>
      </w:r>
      <w:r w:rsidR="0078210D" w:rsidRPr="00127AA5">
        <w:t>WO40324</w:t>
      </w:r>
      <w:r w:rsidR="00B95575">
        <w:t>)</w:t>
      </w:r>
    </w:p>
    <w:p w14:paraId="436C53D6" w14:textId="4C34D72B" w:rsidR="002D39AA" w:rsidRPr="005E3242" w:rsidRDefault="002D39AA" w:rsidP="00C448E8">
      <w:pPr>
        <w:rPr>
          <w:color w:val="auto"/>
          <w:lang w:val="en-US"/>
        </w:rPr>
      </w:pPr>
    </w:p>
    <w:p w14:paraId="2DD90A44" w14:textId="5106DFF0" w:rsidR="002D39AA" w:rsidRPr="005E3242" w:rsidRDefault="002D39AA" w:rsidP="00C448E8">
      <w:pPr>
        <w:rPr>
          <w:color w:val="auto"/>
          <w:lang w:val="en-US"/>
        </w:rPr>
      </w:pPr>
      <w:r w:rsidRPr="005E3242">
        <w:rPr>
          <w:color w:val="auto"/>
          <w:lang w:val="en-US"/>
        </w:rPr>
        <w:t xml:space="preserve">FEDERICA </w:t>
      </w:r>
      <w:r w:rsidR="00001BD4">
        <w:rPr>
          <w:color w:val="auto"/>
          <w:lang w:val="en-US"/>
        </w:rPr>
        <w:t>wa</w:t>
      </w:r>
      <w:r w:rsidRPr="005E3242">
        <w:rPr>
          <w:color w:val="auto"/>
          <w:lang w:val="en-US"/>
        </w:rPr>
        <w:t xml:space="preserve">s an open-label, </w:t>
      </w:r>
      <w:proofErr w:type="spellStart"/>
      <w:r w:rsidRPr="005E3242">
        <w:rPr>
          <w:color w:val="auto"/>
          <w:lang w:val="en-US"/>
        </w:rPr>
        <w:t>multicentr</w:t>
      </w:r>
      <w:r w:rsidR="00001BD4">
        <w:rPr>
          <w:color w:val="auto"/>
          <w:lang w:val="en-US"/>
        </w:rPr>
        <w:t>e</w:t>
      </w:r>
      <w:proofErr w:type="spellEnd"/>
      <w:r w:rsidRPr="005E3242">
        <w:rPr>
          <w:color w:val="auto"/>
          <w:lang w:val="en-US"/>
        </w:rPr>
        <w:t xml:space="preserve">, </w:t>
      </w:r>
      <w:proofErr w:type="spellStart"/>
      <w:r w:rsidRPr="005E3242">
        <w:rPr>
          <w:color w:val="auto"/>
          <w:lang w:val="en-US"/>
        </w:rPr>
        <w:t>randomi</w:t>
      </w:r>
      <w:r w:rsidR="00001BD4">
        <w:rPr>
          <w:color w:val="auto"/>
          <w:lang w:val="en-US"/>
        </w:rPr>
        <w:t>s</w:t>
      </w:r>
      <w:r w:rsidRPr="005E3242">
        <w:rPr>
          <w:color w:val="auto"/>
          <w:lang w:val="en-US"/>
        </w:rPr>
        <w:t>ed</w:t>
      </w:r>
      <w:proofErr w:type="spellEnd"/>
      <w:r w:rsidRPr="005E3242">
        <w:rPr>
          <w:color w:val="auto"/>
          <w:lang w:val="en-US"/>
        </w:rPr>
        <w:t xml:space="preserve"> study conducted in 500 patients with HER2-positive early breast cancer that is operable or locally advanced (including inflammatory) breast cancer with a </w:t>
      </w:r>
      <w:proofErr w:type="spellStart"/>
      <w:r w:rsidRPr="005E3242">
        <w:rPr>
          <w:color w:val="auto"/>
          <w:lang w:val="en-US"/>
        </w:rPr>
        <w:t>tumo</w:t>
      </w:r>
      <w:r w:rsidR="00001BD4">
        <w:rPr>
          <w:color w:val="auto"/>
          <w:lang w:val="en-US"/>
        </w:rPr>
        <w:t>u</w:t>
      </w:r>
      <w:r w:rsidRPr="005E3242">
        <w:rPr>
          <w:color w:val="auto"/>
          <w:lang w:val="en-US"/>
        </w:rPr>
        <w:t>r</w:t>
      </w:r>
      <w:proofErr w:type="spellEnd"/>
      <w:r w:rsidRPr="005E3242">
        <w:rPr>
          <w:color w:val="auto"/>
          <w:lang w:val="en-US"/>
        </w:rPr>
        <w:t xml:space="preserve"> size &gt;2 cm or node-positive in the neoadjuvant and adjuvant setting. Patients were </w:t>
      </w:r>
      <w:proofErr w:type="spellStart"/>
      <w:r w:rsidRPr="005E3242">
        <w:rPr>
          <w:color w:val="auto"/>
          <w:lang w:val="en-US"/>
        </w:rPr>
        <w:t>randomi</w:t>
      </w:r>
      <w:r w:rsidR="00001BD4">
        <w:rPr>
          <w:color w:val="auto"/>
          <w:lang w:val="en-US"/>
        </w:rPr>
        <w:t>s</w:t>
      </w:r>
      <w:r w:rsidRPr="005E3242">
        <w:rPr>
          <w:color w:val="auto"/>
          <w:lang w:val="en-US"/>
        </w:rPr>
        <w:t>ed</w:t>
      </w:r>
      <w:proofErr w:type="spellEnd"/>
      <w:r w:rsidRPr="005E3242">
        <w:rPr>
          <w:color w:val="auto"/>
          <w:lang w:val="en-US"/>
        </w:rPr>
        <w:t xml:space="preserve"> to receive 8 cycles of neoadjuvant chemotherapy with concurrent administration of 4 cycles of either </w:t>
      </w:r>
      <w:proofErr w:type="spellStart"/>
      <w:r w:rsidR="00191B0B">
        <w:rPr>
          <w:color w:val="auto"/>
          <w:lang w:val="en-US"/>
        </w:rPr>
        <w:t>Phesgo</w:t>
      </w:r>
      <w:proofErr w:type="spellEnd"/>
      <w:r w:rsidRPr="005E3242">
        <w:rPr>
          <w:color w:val="auto"/>
          <w:lang w:val="en-US"/>
        </w:rPr>
        <w:t xml:space="preserve"> or intravenous </w:t>
      </w:r>
      <w:proofErr w:type="spellStart"/>
      <w:r w:rsidRPr="005E3242">
        <w:rPr>
          <w:color w:val="auto"/>
          <w:lang w:val="en-US"/>
        </w:rPr>
        <w:t>pertuzumab</w:t>
      </w:r>
      <w:proofErr w:type="spellEnd"/>
      <w:r w:rsidRPr="005E3242">
        <w:rPr>
          <w:color w:val="auto"/>
          <w:lang w:val="en-US"/>
        </w:rPr>
        <w:t xml:space="preserve"> and trastuzumab during cycles 5-8. Investigators selected one of two of the following neoadjuvant chemotherapy regimens for individual patients: </w:t>
      </w:r>
    </w:p>
    <w:p w14:paraId="7A6B9E27" w14:textId="3BC86BB9" w:rsidR="002D39AA" w:rsidRPr="005E3242" w:rsidRDefault="002D39AA" w:rsidP="00C448E8">
      <w:pPr>
        <w:rPr>
          <w:color w:val="auto"/>
          <w:lang w:val="en-US"/>
        </w:rPr>
      </w:pPr>
    </w:p>
    <w:p w14:paraId="0D9F3B00" w14:textId="711C8CBE" w:rsidR="002D39AA" w:rsidRPr="005E3242" w:rsidRDefault="002D39AA" w:rsidP="00C448E8">
      <w:pPr>
        <w:numPr>
          <w:ilvl w:val="0"/>
          <w:numId w:val="7"/>
        </w:numPr>
        <w:rPr>
          <w:color w:val="auto"/>
          <w:lang w:val="en-US"/>
        </w:rPr>
      </w:pPr>
      <w:r w:rsidRPr="005E3242">
        <w:rPr>
          <w:color w:val="auto"/>
          <w:lang w:val="en-US"/>
        </w:rPr>
        <w:t>4 cycles of doxorubicin (60 mg/m</w:t>
      </w:r>
      <w:r w:rsidRPr="005E3242">
        <w:rPr>
          <w:color w:val="auto"/>
          <w:vertAlign w:val="superscript"/>
          <w:lang w:val="en-US"/>
        </w:rPr>
        <w:t>2</w:t>
      </w:r>
      <w:r w:rsidRPr="005E3242">
        <w:rPr>
          <w:color w:val="auto"/>
          <w:lang w:val="en-US"/>
        </w:rPr>
        <w:t>)</w:t>
      </w:r>
      <w:r w:rsidRPr="005E3242">
        <w:rPr>
          <w:color w:val="auto"/>
          <w:vertAlign w:val="superscript"/>
          <w:lang w:val="en-US"/>
        </w:rPr>
        <w:t xml:space="preserve"> </w:t>
      </w:r>
      <w:r w:rsidRPr="005E3242">
        <w:rPr>
          <w:color w:val="auto"/>
          <w:lang w:val="en-US"/>
        </w:rPr>
        <w:t>and cyclophosphamide (600 mg/m</w:t>
      </w:r>
      <w:r w:rsidRPr="005E3242">
        <w:rPr>
          <w:color w:val="auto"/>
          <w:vertAlign w:val="superscript"/>
          <w:lang w:val="en-US"/>
        </w:rPr>
        <w:t>2</w:t>
      </w:r>
      <w:r w:rsidRPr="005E3242">
        <w:rPr>
          <w:color w:val="auto"/>
          <w:lang w:val="en-US"/>
        </w:rPr>
        <w:t>) every 2 weeks followed by paclitaxel (80 mg/m</w:t>
      </w:r>
      <w:r w:rsidRPr="005E3242">
        <w:rPr>
          <w:color w:val="auto"/>
          <w:vertAlign w:val="superscript"/>
          <w:lang w:val="en-US"/>
        </w:rPr>
        <w:t>2</w:t>
      </w:r>
      <w:r w:rsidRPr="005E3242">
        <w:rPr>
          <w:color w:val="auto"/>
          <w:lang w:val="en-US"/>
        </w:rPr>
        <w:t xml:space="preserve">) weekly for 12 weeks </w:t>
      </w:r>
    </w:p>
    <w:p w14:paraId="30A73A28" w14:textId="08E091A9" w:rsidR="002D39AA" w:rsidRPr="005E3242" w:rsidRDefault="002D39AA" w:rsidP="00C448E8">
      <w:pPr>
        <w:numPr>
          <w:ilvl w:val="0"/>
          <w:numId w:val="7"/>
        </w:numPr>
        <w:rPr>
          <w:color w:val="auto"/>
          <w:lang w:val="en-US"/>
        </w:rPr>
      </w:pPr>
      <w:r w:rsidRPr="005E3242">
        <w:rPr>
          <w:color w:val="auto"/>
          <w:lang w:val="en-US"/>
        </w:rPr>
        <w:t>4 cycles of doxorubicin (60 mg/m</w:t>
      </w:r>
      <w:r w:rsidRPr="005E3242">
        <w:rPr>
          <w:color w:val="auto"/>
          <w:vertAlign w:val="superscript"/>
          <w:lang w:val="en-US"/>
        </w:rPr>
        <w:t>2</w:t>
      </w:r>
      <w:r w:rsidRPr="005E3242">
        <w:rPr>
          <w:color w:val="auto"/>
          <w:lang w:val="en-US"/>
        </w:rPr>
        <w:t>)</w:t>
      </w:r>
      <w:r w:rsidRPr="005E3242">
        <w:rPr>
          <w:color w:val="auto"/>
          <w:vertAlign w:val="superscript"/>
          <w:lang w:val="en-US"/>
        </w:rPr>
        <w:t xml:space="preserve"> </w:t>
      </w:r>
      <w:r w:rsidRPr="005E3242">
        <w:rPr>
          <w:color w:val="auto"/>
          <w:lang w:val="en-US"/>
        </w:rPr>
        <w:t>and cyclophosphamide (600 mg/m</w:t>
      </w:r>
      <w:r w:rsidRPr="005E3242">
        <w:rPr>
          <w:color w:val="auto"/>
          <w:vertAlign w:val="superscript"/>
          <w:lang w:val="en-US"/>
        </w:rPr>
        <w:t>2</w:t>
      </w:r>
      <w:r w:rsidRPr="005E3242">
        <w:rPr>
          <w:color w:val="auto"/>
          <w:lang w:val="en-US"/>
        </w:rPr>
        <w:t>) every 3 weeks followed by 4 cycles of docetaxel (75 mg/m</w:t>
      </w:r>
      <w:r w:rsidRPr="005E3242">
        <w:rPr>
          <w:color w:val="auto"/>
          <w:vertAlign w:val="superscript"/>
          <w:lang w:val="en-US"/>
        </w:rPr>
        <w:t>2</w:t>
      </w:r>
      <w:r w:rsidRPr="005E3242">
        <w:rPr>
          <w:color w:val="auto"/>
          <w:lang w:val="en-US"/>
        </w:rPr>
        <w:t xml:space="preserve"> for the first cycle and then 100 mg/m</w:t>
      </w:r>
      <w:r w:rsidRPr="005E3242">
        <w:rPr>
          <w:color w:val="auto"/>
          <w:vertAlign w:val="superscript"/>
          <w:lang w:val="en-US"/>
        </w:rPr>
        <w:t xml:space="preserve">2 </w:t>
      </w:r>
      <w:r w:rsidRPr="005E3242">
        <w:rPr>
          <w:color w:val="auto"/>
          <w:lang w:val="en-US"/>
        </w:rPr>
        <w:t>at subsequent cycles</w:t>
      </w:r>
      <w:r w:rsidRPr="005E3242">
        <w:rPr>
          <w:color w:val="auto"/>
          <w:vertAlign w:val="superscript"/>
          <w:lang w:val="en-US"/>
        </w:rPr>
        <w:t xml:space="preserve"> </w:t>
      </w:r>
      <w:r w:rsidRPr="005E3242">
        <w:rPr>
          <w:color w:val="auto"/>
          <w:lang w:val="en-US"/>
        </w:rPr>
        <w:t xml:space="preserve">at the investigator’s discretion) every 3 weeks </w:t>
      </w:r>
    </w:p>
    <w:p w14:paraId="1A6ECB21" w14:textId="2A40A39D" w:rsidR="002D39AA" w:rsidRPr="005E3242" w:rsidRDefault="002D39AA" w:rsidP="00C448E8">
      <w:pPr>
        <w:rPr>
          <w:color w:val="auto"/>
          <w:lang w:val="en-US"/>
        </w:rPr>
      </w:pPr>
    </w:p>
    <w:p w14:paraId="2773661D" w14:textId="03D6AE58" w:rsidR="002D39AA" w:rsidRPr="005E3242" w:rsidRDefault="002D39AA" w:rsidP="00C448E8">
      <w:pPr>
        <w:rPr>
          <w:color w:val="auto"/>
          <w:lang w:val="en-US"/>
        </w:rPr>
      </w:pPr>
      <w:r w:rsidRPr="005E3242">
        <w:rPr>
          <w:color w:val="auto"/>
          <w:lang w:val="en-US"/>
        </w:rPr>
        <w:t xml:space="preserve">Following surgery, patients continued therapy with </w:t>
      </w:r>
      <w:proofErr w:type="spellStart"/>
      <w:r w:rsidR="00191B0B">
        <w:rPr>
          <w:color w:val="auto"/>
          <w:lang w:val="en-US"/>
        </w:rPr>
        <w:t>Phesgo</w:t>
      </w:r>
      <w:proofErr w:type="spellEnd"/>
      <w:r w:rsidRPr="005E3242">
        <w:rPr>
          <w:color w:val="auto"/>
          <w:lang w:val="en-US"/>
        </w:rPr>
        <w:t xml:space="preserve"> or intravenous </w:t>
      </w:r>
      <w:proofErr w:type="spellStart"/>
      <w:proofErr w:type="gramStart"/>
      <w:r w:rsidRPr="005E3242">
        <w:rPr>
          <w:color w:val="auto"/>
          <w:lang w:val="en-US"/>
        </w:rPr>
        <w:t>pertuzumab</w:t>
      </w:r>
      <w:proofErr w:type="spellEnd"/>
      <w:r w:rsidRPr="005E3242">
        <w:rPr>
          <w:color w:val="auto"/>
          <w:lang w:val="en-US"/>
        </w:rPr>
        <w:t xml:space="preserve">  and</w:t>
      </w:r>
      <w:proofErr w:type="gramEnd"/>
      <w:r w:rsidRPr="005E3242">
        <w:rPr>
          <w:color w:val="auto"/>
          <w:lang w:val="en-US"/>
        </w:rPr>
        <w:t xml:space="preserve"> trastuzumab as treated prior to surgery, for an additional 14 cycles, to complete 18 cycles of HER2-targeted therapy. Patients also received adjuvant radiotherapy and endocrine therapy as per local practice. In the adjuvant setting, substitution of intravenous trastuzumab for subcutaneous trastuzumab SC was permitted at investigator discretion. HER2-targeted therapy was administered every 3 weeks according to </w:t>
      </w:r>
      <w:r w:rsidR="00001BD4">
        <w:rPr>
          <w:color w:val="auto"/>
          <w:lang w:val="en-US"/>
        </w:rPr>
        <w:fldChar w:fldCharType="begin"/>
      </w:r>
      <w:r w:rsidR="00001BD4">
        <w:rPr>
          <w:color w:val="auto"/>
          <w:lang w:val="en-US"/>
        </w:rPr>
        <w:instrText xml:space="preserve"> REF _Ref66712079 \h </w:instrText>
      </w:r>
      <w:r w:rsidR="00001BD4">
        <w:rPr>
          <w:color w:val="auto"/>
          <w:lang w:val="en-US"/>
        </w:rPr>
      </w:r>
      <w:r w:rsidR="00C448E8">
        <w:rPr>
          <w:color w:val="auto"/>
          <w:lang w:val="en-US"/>
        </w:rPr>
        <w:instrText xml:space="preserve"> \* MERGEFORMAT </w:instrText>
      </w:r>
      <w:r w:rsidR="00001BD4">
        <w:rPr>
          <w:color w:val="auto"/>
          <w:lang w:val="en-US"/>
        </w:rPr>
        <w:fldChar w:fldCharType="separate"/>
      </w:r>
      <w:r w:rsidR="00C840A1">
        <w:t xml:space="preserve">Table </w:t>
      </w:r>
      <w:r w:rsidR="00C840A1">
        <w:rPr>
          <w:noProof/>
        </w:rPr>
        <w:t>5</w:t>
      </w:r>
      <w:r w:rsidR="00001BD4">
        <w:rPr>
          <w:color w:val="auto"/>
          <w:lang w:val="en-US"/>
        </w:rPr>
        <w:fldChar w:fldCharType="end"/>
      </w:r>
      <w:r w:rsidRPr="005E3242">
        <w:rPr>
          <w:color w:val="auto"/>
          <w:lang w:val="en-US"/>
        </w:rPr>
        <w:t xml:space="preserve"> as follows: </w:t>
      </w:r>
    </w:p>
    <w:p w14:paraId="75CF6CBF" w14:textId="7B65DBDB" w:rsidR="00001BD4" w:rsidRDefault="00001BD4" w:rsidP="00C448E8">
      <w:pPr>
        <w:pStyle w:val="Caption"/>
      </w:pPr>
      <w:bookmarkStart w:id="5" w:name="_Ref66712079"/>
      <w:r>
        <w:lastRenderedPageBreak/>
        <w:t xml:space="preserve">Table </w:t>
      </w:r>
      <w:r>
        <w:fldChar w:fldCharType="begin"/>
      </w:r>
      <w:r>
        <w:instrText xml:space="preserve"> SEQ Table \* ARABIC </w:instrText>
      </w:r>
      <w:r>
        <w:fldChar w:fldCharType="separate"/>
      </w:r>
      <w:r w:rsidR="00C840A1">
        <w:rPr>
          <w:noProof/>
        </w:rPr>
        <w:t>5</w:t>
      </w:r>
      <w:r>
        <w:fldChar w:fldCharType="end"/>
      </w:r>
      <w:bookmarkEnd w:id="5"/>
      <w:r w:rsidRPr="005E3242">
        <w:t xml:space="preserve">: Dosing and </w:t>
      </w:r>
      <w:r w:rsidRPr="004C5CDE">
        <w:t>administration</w:t>
      </w:r>
      <w:r w:rsidRPr="005E3242">
        <w:t xml:space="preserve"> of </w:t>
      </w:r>
      <w:proofErr w:type="spellStart"/>
      <w:r>
        <w:t>Phesgo</w:t>
      </w:r>
      <w:proofErr w:type="spellEnd"/>
      <w:r w:rsidRPr="005E3242">
        <w:t xml:space="preserve">, intravenous </w:t>
      </w:r>
      <w:proofErr w:type="spellStart"/>
      <w:r w:rsidRPr="005E3242">
        <w:t>pertuzumab</w:t>
      </w:r>
      <w:proofErr w:type="spellEnd"/>
      <w:r w:rsidRPr="005E3242">
        <w:t>, intravenous trastuzumab, and subcutaneous trastuzumab</w:t>
      </w:r>
    </w:p>
    <w:tbl>
      <w:tblPr>
        <w:tblStyle w:val="TableGrid"/>
        <w:tblW w:w="0" w:type="auto"/>
        <w:tblInd w:w="0" w:type="dxa"/>
        <w:tblLook w:val="04A0" w:firstRow="1" w:lastRow="0" w:firstColumn="1" w:lastColumn="0" w:noHBand="0" w:noVBand="1"/>
      </w:tblPr>
      <w:tblGrid>
        <w:gridCol w:w="1900"/>
        <w:gridCol w:w="2610"/>
        <w:gridCol w:w="1956"/>
        <w:gridCol w:w="2164"/>
      </w:tblGrid>
      <w:tr w:rsidR="002D39AA" w:rsidRPr="005E3242" w14:paraId="6156EB22" w14:textId="3E8D692A" w:rsidTr="002D39AA">
        <w:tc>
          <w:tcPr>
            <w:tcW w:w="1900" w:type="dxa"/>
            <w:vMerge w:val="restart"/>
            <w:tcBorders>
              <w:top w:val="single" w:sz="4" w:space="0" w:color="auto"/>
              <w:left w:val="single" w:sz="4" w:space="0" w:color="auto"/>
              <w:bottom w:val="single" w:sz="4" w:space="0" w:color="auto"/>
              <w:right w:val="single" w:sz="4" w:space="0" w:color="auto"/>
            </w:tcBorders>
            <w:hideMark/>
          </w:tcPr>
          <w:p w14:paraId="6C8F0E62" w14:textId="13B56732" w:rsidR="002D39AA" w:rsidRPr="005E3242" w:rsidRDefault="002D39AA" w:rsidP="00C448E8">
            <w:pPr>
              <w:pBdr>
                <w:top w:val="nil"/>
                <w:left w:val="nil"/>
                <w:bottom w:val="nil"/>
                <w:right w:val="nil"/>
                <w:between w:val="nil"/>
              </w:pBdr>
              <w:rPr>
                <w:color w:val="auto"/>
                <w:lang w:val="en-US"/>
              </w:rPr>
            </w:pPr>
            <w:r w:rsidRPr="005E3242">
              <w:rPr>
                <w:color w:val="auto"/>
                <w:lang w:val="en-US"/>
              </w:rPr>
              <w:t>Medication</w:t>
            </w:r>
          </w:p>
        </w:tc>
        <w:tc>
          <w:tcPr>
            <w:tcW w:w="2610" w:type="dxa"/>
            <w:vMerge w:val="restart"/>
            <w:tcBorders>
              <w:top w:val="single" w:sz="4" w:space="0" w:color="auto"/>
              <w:left w:val="single" w:sz="4" w:space="0" w:color="auto"/>
              <w:bottom w:val="single" w:sz="4" w:space="0" w:color="auto"/>
              <w:right w:val="single" w:sz="4" w:space="0" w:color="auto"/>
            </w:tcBorders>
            <w:hideMark/>
          </w:tcPr>
          <w:p w14:paraId="4727B6F8" w14:textId="2F261DAB" w:rsidR="002D39AA" w:rsidRPr="005E3242" w:rsidRDefault="002D39AA" w:rsidP="00C448E8">
            <w:pPr>
              <w:pBdr>
                <w:top w:val="nil"/>
                <w:left w:val="nil"/>
                <w:bottom w:val="nil"/>
                <w:right w:val="nil"/>
                <w:between w:val="nil"/>
              </w:pBdr>
              <w:rPr>
                <w:color w:val="auto"/>
                <w:lang w:val="en-US"/>
              </w:rPr>
            </w:pPr>
            <w:r w:rsidRPr="005E3242">
              <w:rPr>
                <w:color w:val="auto"/>
                <w:lang w:val="en-US"/>
              </w:rPr>
              <w:t>Administration</w:t>
            </w:r>
          </w:p>
        </w:tc>
        <w:tc>
          <w:tcPr>
            <w:tcW w:w="4120" w:type="dxa"/>
            <w:gridSpan w:val="2"/>
            <w:tcBorders>
              <w:top w:val="single" w:sz="4" w:space="0" w:color="auto"/>
              <w:left w:val="single" w:sz="4" w:space="0" w:color="auto"/>
              <w:bottom w:val="single" w:sz="4" w:space="0" w:color="auto"/>
              <w:right w:val="single" w:sz="4" w:space="0" w:color="auto"/>
            </w:tcBorders>
            <w:hideMark/>
          </w:tcPr>
          <w:p w14:paraId="59A31B30" w14:textId="75725756" w:rsidR="002D39AA" w:rsidRPr="005E3242" w:rsidRDefault="002D39AA" w:rsidP="00C448E8">
            <w:pPr>
              <w:pBdr>
                <w:top w:val="nil"/>
                <w:left w:val="nil"/>
                <w:bottom w:val="nil"/>
                <w:right w:val="nil"/>
                <w:between w:val="nil"/>
              </w:pBdr>
              <w:rPr>
                <w:color w:val="auto"/>
                <w:lang w:val="en-US"/>
              </w:rPr>
            </w:pPr>
            <w:r w:rsidRPr="005E3242">
              <w:rPr>
                <w:color w:val="auto"/>
                <w:lang w:val="en-US"/>
              </w:rPr>
              <w:t>Dose</w:t>
            </w:r>
          </w:p>
        </w:tc>
      </w:tr>
      <w:tr w:rsidR="002D39AA" w:rsidRPr="005E3242" w14:paraId="4832FAAF" w14:textId="5644849F" w:rsidTr="002D39AA">
        <w:tc>
          <w:tcPr>
            <w:tcW w:w="0" w:type="auto"/>
            <w:vMerge/>
            <w:tcBorders>
              <w:top w:val="single" w:sz="4" w:space="0" w:color="auto"/>
              <w:left w:val="single" w:sz="4" w:space="0" w:color="auto"/>
              <w:bottom w:val="single" w:sz="4" w:space="0" w:color="auto"/>
              <w:right w:val="single" w:sz="4" w:space="0" w:color="auto"/>
            </w:tcBorders>
            <w:vAlign w:val="center"/>
            <w:hideMark/>
          </w:tcPr>
          <w:p w14:paraId="5E876A5D" w14:textId="520851E3" w:rsidR="002D39AA" w:rsidRPr="005E3242" w:rsidRDefault="002D39AA" w:rsidP="00C448E8">
            <w:pPr>
              <w:pBdr>
                <w:top w:val="nil"/>
                <w:left w:val="nil"/>
                <w:bottom w:val="nil"/>
                <w:right w:val="nil"/>
                <w:between w:val="nil"/>
              </w:pBdr>
              <w:rPr>
                <w:color w:val="auto"/>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86B06" w14:textId="243A654E" w:rsidR="002D39AA" w:rsidRPr="005E3242" w:rsidRDefault="002D39AA" w:rsidP="00C448E8">
            <w:pPr>
              <w:pBdr>
                <w:top w:val="nil"/>
                <w:left w:val="nil"/>
                <w:bottom w:val="nil"/>
                <w:right w:val="nil"/>
                <w:between w:val="nil"/>
              </w:pBdr>
              <w:rPr>
                <w:color w:val="auto"/>
                <w:lang w:val="en-US"/>
              </w:rPr>
            </w:pPr>
          </w:p>
        </w:tc>
        <w:tc>
          <w:tcPr>
            <w:tcW w:w="1956" w:type="dxa"/>
            <w:tcBorders>
              <w:top w:val="single" w:sz="4" w:space="0" w:color="auto"/>
              <w:left w:val="single" w:sz="4" w:space="0" w:color="auto"/>
              <w:bottom w:val="single" w:sz="4" w:space="0" w:color="auto"/>
              <w:right w:val="single" w:sz="4" w:space="0" w:color="auto"/>
            </w:tcBorders>
            <w:hideMark/>
          </w:tcPr>
          <w:p w14:paraId="39FE749C" w14:textId="7FD5CB2C" w:rsidR="002D39AA" w:rsidRPr="005E3242" w:rsidRDefault="002D39AA" w:rsidP="00C448E8">
            <w:pPr>
              <w:pBdr>
                <w:top w:val="nil"/>
                <w:left w:val="nil"/>
                <w:bottom w:val="nil"/>
                <w:right w:val="nil"/>
                <w:between w:val="nil"/>
              </w:pBdr>
              <w:rPr>
                <w:color w:val="auto"/>
                <w:lang w:val="en-US"/>
              </w:rPr>
            </w:pPr>
            <w:r w:rsidRPr="005E3242">
              <w:rPr>
                <w:color w:val="auto"/>
                <w:lang w:val="en-US"/>
              </w:rPr>
              <w:t>Loading</w:t>
            </w:r>
          </w:p>
        </w:tc>
        <w:tc>
          <w:tcPr>
            <w:tcW w:w="2164" w:type="dxa"/>
            <w:tcBorders>
              <w:top w:val="single" w:sz="4" w:space="0" w:color="auto"/>
              <w:left w:val="single" w:sz="4" w:space="0" w:color="auto"/>
              <w:bottom w:val="single" w:sz="4" w:space="0" w:color="auto"/>
              <w:right w:val="single" w:sz="4" w:space="0" w:color="auto"/>
            </w:tcBorders>
            <w:hideMark/>
          </w:tcPr>
          <w:p w14:paraId="71CC5DAF" w14:textId="04FC187F" w:rsidR="002D39AA" w:rsidRPr="005E3242" w:rsidRDefault="002D39AA" w:rsidP="00C448E8">
            <w:pPr>
              <w:pBdr>
                <w:top w:val="nil"/>
                <w:left w:val="nil"/>
                <w:bottom w:val="nil"/>
                <w:right w:val="nil"/>
                <w:between w:val="nil"/>
              </w:pBdr>
              <w:rPr>
                <w:color w:val="auto"/>
                <w:lang w:val="en-US"/>
              </w:rPr>
            </w:pPr>
            <w:r w:rsidRPr="005E3242">
              <w:rPr>
                <w:color w:val="auto"/>
                <w:lang w:val="en-US"/>
              </w:rPr>
              <w:t xml:space="preserve">Maintenance </w:t>
            </w:r>
          </w:p>
        </w:tc>
      </w:tr>
      <w:tr w:rsidR="002D39AA" w:rsidRPr="005E3242" w14:paraId="105E48B6" w14:textId="61D580FE" w:rsidTr="002D39AA">
        <w:tc>
          <w:tcPr>
            <w:tcW w:w="1900" w:type="dxa"/>
            <w:tcBorders>
              <w:top w:val="single" w:sz="4" w:space="0" w:color="auto"/>
              <w:left w:val="single" w:sz="4" w:space="0" w:color="auto"/>
              <w:bottom w:val="single" w:sz="4" w:space="0" w:color="auto"/>
              <w:right w:val="single" w:sz="4" w:space="0" w:color="auto"/>
            </w:tcBorders>
            <w:hideMark/>
          </w:tcPr>
          <w:p w14:paraId="66C7EC01" w14:textId="36812153" w:rsidR="002D39AA" w:rsidRPr="005E3242" w:rsidRDefault="00191B0B" w:rsidP="00C448E8">
            <w:pPr>
              <w:pBdr>
                <w:top w:val="nil"/>
                <w:left w:val="nil"/>
                <w:bottom w:val="nil"/>
                <w:right w:val="nil"/>
                <w:between w:val="nil"/>
              </w:pBdr>
              <w:rPr>
                <w:color w:val="auto"/>
                <w:lang w:val="en-US"/>
              </w:rPr>
            </w:pPr>
            <w:proofErr w:type="spellStart"/>
            <w:r>
              <w:rPr>
                <w:color w:val="auto"/>
                <w:lang w:val="en-US"/>
              </w:rPr>
              <w:t>Phesgo</w:t>
            </w:r>
            <w:proofErr w:type="spellEnd"/>
          </w:p>
        </w:tc>
        <w:tc>
          <w:tcPr>
            <w:tcW w:w="2610" w:type="dxa"/>
            <w:tcBorders>
              <w:top w:val="single" w:sz="4" w:space="0" w:color="auto"/>
              <w:left w:val="single" w:sz="4" w:space="0" w:color="auto"/>
              <w:bottom w:val="single" w:sz="4" w:space="0" w:color="auto"/>
              <w:right w:val="single" w:sz="4" w:space="0" w:color="auto"/>
            </w:tcBorders>
            <w:hideMark/>
          </w:tcPr>
          <w:p w14:paraId="1EB5D9CD" w14:textId="24059D1E" w:rsidR="002D39AA" w:rsidRPr="005E3242" w:rsidRDefault="002D39AA" w:rsidP="00C448E8">
            <w:pPr>
              <w:pBdr>
                <w:top w:val="nil"/>
                <w:left w:val="nil"/>
                <w:bottom w:val="nil"/>
                <w:right w:val="nil"/>
                <w:between w:val="nil"/>
              </w:pBdr>
              <w:rPr>
                <w:color w:val="auto"/>
                <w:lang w:val="en-US"/>
              </w:rPr>
            </w:pPr>
            <w:r w:rsidRPr="005E3242">
              <w:rPr>
                <w:color w:val="auto"/>
                <w:lang w:val="en-US"/>
              </w:rPr>
              <w:t>Subcutaneous injection</w:t>
            </w:r>
          </w:p>
        </w:tc>
        <w:tc>
          <w:tcPr>
            <w:tcW w:w="1956" w:type="dxa"/>
            <w:tcBorders>
              <w:top w:val="single" w:sz="4" w:space="0" w:color="auto"/>
              <w:left w:val="single" w:sz="4" w:space="0" w:color="auto"/>
              <w:bottom w:val="single" w:sz="4" w:space="0" w:color="auto"/>
              <w:right w:val="single" w:sz="4" w:space="0" w:color="auto"/>
            </w:tcBorders>
            <w:hideMark/>
          </w:tcPr>
          <w:p w14:paraId="4171557B" w14:textId="0FA451B4" w:rsidR="002D39AA" w:rsidRPr="005E3242" w:rsidRDefault="002D39AA" w:rsidP="00C448E8">
            <w:pPr>
              <w:pBdr>
                <w:top w:val="nil"/>
                <w:left w:val="nil"/>
                <w:bottom w:val="nil"/>
                <w:right w:val="nil"/>
                <w:between w:val="nil"/>
              </w:pBdr>
              <w:rPr>
                <w:color w:val="auto"/>
                <w:lang w:val="en-US"/>
              </w:rPr>
            </w:pPr>
            <w:r w:rsidRPr="005E3242">
              <w:rPr>
                <w:color w:val="auto"/>
                <w:lang w:val="en-US"/>
              </w:rPr>
              <w:t>1200 mg/600 mg</w:t>
            </w:r>
          </w:p>
        </w:tc>
        <w:tc>
          <w:tcPr>
            <w:tcW w:w="2164" w:type="dxa"/>
            <w:tcBorders>
              <w:top w:val="single" w:sz="4" w:space="0" w:color="auto"/>
              <w:left w:val="single" w:sz="4" w:space="0" w:color="auto"/>
              <w:bottom w:val="single" w:sz="4" w:space="0" w:color="auto"/>
              <w:right w:val="single" w:sz="4" w:space="0" w:color="auto"/>
            </w:tcBorders>
            <w:hideMark/>
          </w:tcPr>
          <w:p w14:paraId="33E91884" w14:textId="63E1A074" w:rsidR="002D39AA" w:rsidRPr="005E3242" w:rsidRDefault="002D39AA" w:rsidP="00C448E8">
            <w:pPr>
              <w:pBdr>
                <w:top w:val="nil"/>
                <w:left w:val="nil"/>
                <w:bottom w:val="nil"/>
                <w:right w:val="nil"/>
                <w:between w:val="nil"/>
              </w:pBdr>
              <w:rPr>
                <w:color w:val="auto"/>
                <w:lang w:val="en-US"/>
              </w:rPr>
            </w:pPr>
            <w:r w:rsidRPr="005E3242">
              <w:rPr>
                <w:color w:val="auto"/>
                <w:lang w:val="en-US"/>
              </w:rPr>
              <w:t>600 mg/600 mg</w:t>
            </w:r>
          </w:p>
        </w:tc>
      </w:tr>
      <w:tr w:rsidR="002D39AA" w:rsidRPr="005E3242" w14:paraId="668C9358" w14:textId="37E35EE7" w:rsidTr="002D39AA">
        <w:tc>
          <w:tcPr>
            <w:tcW w:w="1900" w:type="dxa"/>
            <w:tcBorders>
              <w:top w:val="single" w:sz="4" w:space="0" w:color="auto"/>
              <w:left w:val="single" w:sz="4" w:space="0" w:color="auto"/>
              <w:bottom w:val="single" w:sz="4" w:space="0" w:color="auto"/>
              <w:right w:val="single" w:sz="4" w:space="0" w:color="auto"/>
            </w:tcBorders>
            <w:hideMark/>
          </w:tcPr>
          <w:p w14:paraId="0C182FE8" w14:textId="7E6769EF" w:rsidR="002D39AA" w:rsidRPr="005E3242" w:rsidRDefault="002D39AA" w:rsidP="00C448E8">
            <w:pPr>
              <w:pBdr>
                <w:top w:val="nil"/>
                <w:left w:val="nil"/>
                <w:bottom w:val="nil"/>
                <w:right w:val="nil"/>
                <w:between w:val="nil"/>
              </w:pBdr>
              <w:rPr>
                <w:color w:val="auto"/>
                <w:lang w:val="en-US"/>
              </w:rPr>
            </w:pPr>
            <w:proofErr w:type="spellStart"/>
            <w:r w:rsidRPr="005E3242">
              <w:rPr>
                <w:color w:val="auto"/>
                <w:lang w:val="en-US"/>
              </w:rPr>
              <w:t>pertuzumab</w:t>
            </w:r>
            <w:proofErr w:type="spellEnd"/>
            <w:r w:rsidRPr="005E3242">
              <w:rPr>
                <w:color w:val="auto"/>
                <w:lang w:val="en-US"/>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16F29D31" w14:textId="26C5FC0D" w:rsidR="002D39AA" w:rsidRPr="005E3242" w:rsidRDefault="002D39AA" w:rsidP="00C448E8">
            <w:pPr>
              <w:pBdr>
                <w:top w:val="nil"/>
                <w:left w:val="nil"/>
                <w:bottom w:val="nil"/>
                <w:right w:val="nil"/>
                <w:between w:val="nil"/>
              </w:pBdr>
              <w:rPr>
                <w:color w:val="auto"/>
                <w:lang w:val="en-US"/>
              </w:rPr>
            </w:pPr>
            <w:r w:rsidRPr="005E3242">
              <w:rPr>
                <w:color w:val="auto"/>
                <w:lang w:val="en-US"/>
              </w:rPr>
              <w:t>Intravenous infusion</w:t>
            </w:r>
          </w:p>
        </w:tc>
        <w:tc>
          <w:tcPr>
            <w:tcW w:w="1956" w:type="dxa"/>
            <w:tcBorders>
              <w:top w:val="single" w:sz="4" w:space="0" w:color="auto"/>
              <w:left w:val="single" w:sz="4" w:space="0" w:color="auto"/>
              <w:bottom w:val="single" w:sz="4" w:space="0" w:color="auto"/>
              <w:right w:val="single" w:sz="4" w:space="0" w:color="auto"/>
            </w:tcBorders>
            <w:hideMark/>
          </w:tcPr>
          <w:p w14:paraId="74852655" w14:textId="406393D7" w:rsidR="002D39AA" w:rsidRPr="005E3242" w:rsidRDefault="002D39AA" w:rsidP="00C448E8">
            <w:pPr>
              <w:pBdr>
                <w:top w:val="nil"/>
                <w:left w:val="nil"/>
                <w:bottom w:val="nil"/>
                <w:right w:val="nil"/>
                <w:between w:val="nil"/>
              </w:pBdr>
              <w:rPr>
                <w:color w:val="auto"/>
                <w:lang w:val="en-US"/>
              </w:rPr>
            </w:pPr>
            <w:r w:rsidRPr="005E3242">
              <w:rPr>
                <w:color w:val="auto"/>
                <w:lang w:val="en-US"/>
              </w:rPr>
              <w:t>840 mg</w:t>
            </w:r>
          </w:p>
        </w:tc>
        <w:tc>
          <w:tcPr>
            <w:tcW w:w="2164" w:type="dxa"/>
            <w:tcBorders>
              <w:top w:val="single" w:sz="4" w:space="0" w:color="auto"/>
              <w:left w:val="single" w:sz="4" w:space="0" w:color="auto"/>
              <w:bottom w:val="single" w:sz="4" w:space="0" w:color="auto"/>
              <w:right w:val="single" w:sz="4" w:space="0" w:color="auto"/>
            </w:tcBorders>
            <w:hideMark/>
          </w:tcPr>
          <w:p w14:paraId="331C7A4C" w14:textId="6A9D8425" w:rsidR="002D39AA" w:rsidRPr="005E3242" w:rsidRDefault="002D39AA" w:rsidP="00C448E8">
            <w:pPr>
              <w:pBdr>
                <w:top w:val="nil"/>
                <w:left w:val="nil"/>
                <w:bottom w:val="nil"/>
                <w:right w:val="nil"/>
                <w:between w:val="nil"/>
              </w:pBdr>
              <w:rPr>
                <w:color w:val="auto"/>
                <w:lang w:val="en-US"/>
              </w:rPr>
            </w:pPr>
            <w:r w:rsidRPr="005E3242">
              <w:rPr>
                <w:color w:val="auto"/>
                <w:lang w:val="en-US"/>
              </w:rPr>
              <w:t>420 mg</w:t>
            </w:r>
          </w:p>
        </w:tc>
      </w:tr>
      <w:tr w:rsidR="002D39AA" w:rsidRPr="005E3242" w14:paraId="6EC4CDAD" w14:textId="57E2433A" w:rsidTr="002D39AA">
        <w:tc>
          <w:tcPr>
            <w:tcW w:w="1900" w:type="dxa"/>
            <w:tcBorders>
              <w:top w:val="single" w:sz="4" w:space="0" w:color="auto"/>
              <w:left w:val="single" w:sz="4" w:space="0" w:color="auto"/>
              <w:bottom w:val="single" w:sz="4" w:space="0" w:color="auto"/>
              <w:right w:val="single" w:sz="4" w:space="0" w:color="auto"/>
            </w:tcBorders>
            <w:hideMark/>
          </w:tcPr>
          <w:p w14:paraId="39FD79BA" w14:textId="6398D434" w:rsidR="002D39AA" w:rsidRPr="005E3242" w:rsidRDefault="002D39AA" w:rsidP="00C448E8">
            <w:pPr>
              <w:pBdr>
                <w:top w:val="nil"/>
                <w:left w:val="nil"/>
                <w:bottom w:val="nil"/>
                <w:right w:val="nil"/>
                <w:between w:val="nil"/>
              </w:pBdr>
              <w:rPr>
                <w:color w:val="auto"/>
                <w:lang w:val="en-US"/>
              </w:rPr>
            </w:pPr>
            <w:r w:rsidRPr="005E3242">
              <w:rPr>
                <w:color w:val="auto"/>
                <w:lang w:val="en-US"/>
              </w:rPr>
              <w:t xml:space="preserve">trastuzumab </w:t>
            </w:r>
          </w:p>
        </w:tc>
        <w:tc>
          <w:tcPr>
            <w:tcW w:w="2610" w:type="dxa"/>
            <w:tcBorders>
              <w:top w:val="single" w:sz="4" w:space="0" w:color="auto"/>
              <w:left w:val="single" w:sz="4" w:space="0" w:color="auto"/>
              <w:bottom w:val="single" w:sz="4" w:space="0" w:color="auto"/>
              <w:right w:val="single" w:sz="4" w:space="0" w:color="auto"/>
            </w:tcBorders>
            <w:hideMark/>
          </w:tcPr>
          <w:p w14:paraId="4C33977B" w14:textId="37FB4328" w:rsidR="002D39AA" w:rsidRPr="005E3242" w:rsidRDefault="002D39AA" w:rsidP="00C448E8">
            <w:pPr>
              <w:pBdr>
                <w:top w:val="nil"/>
                <w:left w:val="nil"/>
                <w:bottom w:val="nil"/>
                <w:right w:val="nil"/>
                <w:between w:val="nil"/>
              </w:pBdr>
              <w:rPr>
                <w:color w:val="auto"/>
                <w:lang w:val="en-US"/>
              </w:rPr>
            </w:pPr>
            <w:r w:rsidRPr="005E3242">
              <w:rPr>
                <w:color w:val="auto"/>
                <w:lang w:val="en-US"/>
              </w:rPr>
              <w:t>Intravenous infusion</w:t>
            </w:r>
          </w:p>
        </w:tc>
        <w:tc>
          <w:tcPr>
            <w:tcW w:w="1956" w:type="dxa"/>
            <w:tcBorders>
              <w:top w:val="single" w:sz="4" w:space="0" w:color="auto"/>
              <w:left w:val="single" w:sz="4" w:space="0" w:color="auto"/>
              <w:bottom w:val="single" w:sz="4" w:space="0" w:color="auto"/>
              <w:right w:val="single" w:sz="4" w:space="0" w:color="auto"/>
            </w:tcBorders>
            <w:hideMark/>
          </w:tcPr>
          <w:p w14:paraId="72472B63" w14:textId="2B134B9B" w:rsidR="002D39AA" w:rsidRPr="005E3242" w:rsidRDefault="002D39AA" w:rsidP="00C448E8">
            <w:pPr>
              <w:pBdr>
                <w:top w:val="nil"/>
                <w:left w:val="nil"/>
                <w:bottom w:val="nil"/>
                <w:right w:val="nil"/>
                <w:between w:val="nil"/>
              </w:pBdr>
              <w:rPr>
                <w:color w:val="auto"/>
                <w:lang w:val="en-US"/>
              </w:rPr>
            </w:pPr>
            <w:r w:rsidRPr="005E3242">
              <w:rPr>
                <w:color w:val="auto"/>
                <w:lang w:val="en-US"/>
              </w:rPr>
              <w:t>8 mg/kg</w:t>
            </w:r>
          </w:p>
        </w:tc>
        <w:tc>
          <w:tcPr>
            <w:tcW w:w="2164" w:type="dxa"/>
            <w:tcBorders>
              <w:top w:val="single" w:sz="4" w:space="0" w:color="auto"/>
              <w:left w:val="single" w:sz="4" w:space="0" w:color="auto"/>
              <w:bottom w:val="single" w:sz="4" w:space="0" w:color="auto"/>
              <w:right w:val="single" w:sz="4" w:space="0" w:color="auto"/>
            </w:tcBorders>
            <w:hideMark/>
          </w:tcPr>
          <w:p w14:paraId="2F586FC6" w14:textId="53329DF3" w:rsidR="002D39AA" w:rsidRPr="005E3242" w:rsidRDefault="002D39AA" w:rsidP="00C448E8">
            <w:pPr>
              <w:pBdr>
                <w:top w:val="nil"/>
                <w:left w:val="nil"/>
                <w:bottom w:val="nil"/>
                <w:right w:val="nil"/>
                <w:between w:val="nil"/>
              </w:pBdr>
              <w:rPr>
                <w:color w:val="auto"/>
                <w:lang w:val="en-US"/>
              </w:rPr>
            </w:pPr>
            <w:r w:rsidRPr="005E3242">
              <w:rPr>
                <w:color w:val="auto"/>
                <w:lang w:val="en-US"/>
              </w:rPr>
              <w:t>6 mg/kg</w:t>
            </w:r>
          </w:p>
        </w:tc>
      </w:tr>
      <w:tr w:rsidR="002D39AA" w:rsidRPr="005E3242" w14:paraId="3CF0DBDA" w14:textId="0E379905" w:rsidTr="002D39AA">
        <w:tc>
          <w:tcPr>
            <w:tcW w:w="1900" w:type="dxa"/>
            <w:tcBorders>
              <w:top w:val="single" w:sz="4" w:space="0" w:color="auto"/>
              <w:left w:val="single" w:sz="4" w:space="0" w:color="auto"/>
              <w:bottom w:val="single" w:sz="4" w:space="0" w:color="auto"/>
              <w:right w:val="single" w:sz="4" w:space="0" w:color="auto"/>
            </w:tcBorders>
            <w:hideMark/>
          </w:tcPr>
          <w:p w14:paraId="0F136262" w14:textId="2C85A5DD" w:rsidR="002D39AA" w:rsidRPr="005E3242" w:rsidRDefault="002D39AA" w:rsidP="00C448E8">
            <w:pPr>
              <w:pBdr>
                <w:top w:val="nil"/>
                <w:left w:val="nil"/>
                <w:bottom w:val="nil"/>
                <w:right w:val="nil"/>
                <w:between w:val="nil"/>
              </w:pBdr>
              <w:rPr>
                <w:color w:val="auto"/>
                <w:lang w:val="en-US"/>
              </w:rPr>
            </w:pPr>
            <w:r w:rsidRPr="005E3242">
              <w:rPr>
                <w:color w:val="auto"/>
                <w:lang w:val="en-US"/>
              </w:rPr>
              <w:t xml:space="preserve">trastuzumab  </w:t>
            </w:r>
          </w:p>
        </w:tc>
        <w:tc>
          <w:tcPr>
            <w:tcW w:w="2610" w:type="dxa"/>
            <w:tcBorders>
              <w:top w:val="single" w:sz="4" w:space="0" w:color="auto"/>
              <w:left w:val="single" w:sz="4" w:space="0" w:color="auto"/>
              <w:bottom w:val="single" w:sz="4" w:space="0" w:color="auto"/>
              <w:right w:val="single" w:sz="4" w:space="0" w:color="auto"/>
            </w:tcBorders>
            <w:hideMark/>
          </w:tcPr>
          <w:p w14:paraId="75B1F8E1" w14:textId="04ED497D" w:rsidR="002D39AA" w:rsidRPr="005E3242" w:rsidRDefault="002D39AA" w:rsidP="00C448E8">
            <w:pPr>
              <w:pBdr>
                <w:top w:val="nil"/>
                <w:left w:val="nil"/>
                <w:bottom w:val="nil"/>
                <w:right w:val="nil"/>
                <w:between w:val="nil"/>
              </w:pBdr>
              <w:rPr>
                <w:color w:val="auto"/>
                <w:lang w:val="en-US"/>
              </w:rPr>
            </w:pPr>
            <w:r w:rsidRPr="005E3242">
              <w:rPr>
                <w:color w:val="auto"/>
                <w:lang w:val="en-US"/>
              </w:rPr>
              <w:t>Subcutaneous injection</w:t>
            </w:r>
          </w:p>
        </w:tc>
        <w:tc>
          <w:tcPr>
            <w:tcW w:w="4120" w:type="dxa"/>
            <w:gridSpan w:val="2"/>
            <w:tcBorders>
              <w:top w:val="single" w:sz="4" w:space="0" w:color="auto"/>
              <w:left w:val="single" w:sz="4" w:space="0" w:color="auto"/>
              <w:bottom w:val="single" w:sz="4" w:space="0" w:color="auto"/>
              <w:right w:val="single" w:sz="4" w:space="0" w:color="auto"/>
            </w:tcBorders>
            <w:hideMark/>
          </w:tcPr>
          <w:p w14:paraId="47A5C12E" w14:textId="2177DBCA" w:rsidR="002D39AA" w:rsidRPr="005E3242" w:rsidRDefault="002D39AA" w:rsidP="00C448E8">
            <w:pPr>
              <w:pBdr>
                <w:top w:val="nil"/>
                <w:left w:val="nil"/>
                <w:bottom w:val="nil"/>
                <w:right w:val="nil"/>
                <w:between w:val="nil"/>
              </w:pBdr>
              <w:rPr>
                <w:color w:val="auto"/>
                <w:lang w:val="en-US"/>
              </w:rPr>
            </w:pPr>
            <w:r w:rsidRPr="005E3242">
              <w:rPr>
                <w:color w:val="auto"/>
                <w:lang w:val="en-US"/>
              </w:rPr>
              <w:t>600 mg</w:t>
            </w:r>
          </w:p>
        </w:tc>
      </w:tr>
    </w:tbl>
    <w:p w14:paraId="7F2F0160" w14:textId="05F616FB" w:rsidR="002D39AA" w:rsidRPr="005E3242" w:rsidRDefault="002D39AA" w:rsidP="00C448E8">
      <w:pPr>
        <w:rPr>
          <w:color w:val="auto"/>
          <w:lang w:val="en-US"/>
        </w:rPr>
      </w:pPr>
    </w:p>
    <w:p w14:paraId="4954AF25" w14:textId="77F79583" w:rsidR="002D39AA" w:rsidRPr="005E3242" w:rsidRDefault="002D39AA" w:rsidP="00C448E8">
      <w:pPr>
        <w:rPr>
          <w:color w:val="auto"/>
          <w:lang w:val="en-US"/>
        </w:rPr>
      </w:pPr>
      <w:r w:rsidRPr="005E3242">
        <w:rPr>
          <w:color w:val="auto"/>
          <w:lang w:val="en-US"/>
        </w:rPr>
        <w:t xml:space="preserve">FEDERICA was designed to demonstrate non-inferiority of the </w:t>
      </w:r>
      <w:proofErr w:type="spellStart"/>
      <w:r w:rsidRPr="005E3242">
        <w:rPr>
          <w:color w:val="auto"/>
          <w:lang w:val="en-US"/>
        </w:rPr>
        <w:t>pertuzumab</w:t>
      </w:r>
      <w:proofErr w:type="spellEnd"/>
      <w:r w:rsidRPr="005E3242">
        <w:rPr>
          <w:color w:val="auto"/>
          <w:lang w:val="en-US"/>
        </w:rPr>
        <w:t xml:space="preserve"> Cycle 7 (i.e., pre-dose Cycle 8) serum </w:t>
      </w:r>
      <w:proofErr w:type="spellStart"/>
      <w:r w:rsidRPr="005E3242">
        <w:rPr>
          <w:color w:val="auto"/>
          <w:lang w:val="en-US"/>
        </w:rPr>
        <w:t>C</w:t>
      </w:r>
      <w:r w:rsidRPr="005E3242">
        <w:rPr>
          <w:color w:val="auto"/>
          <w:vertAlign w:val="subscript"/>
          <w:lang w:val="en-US"/>
        </w:rPr>
        <w:t>trough</w:t>
      </w:r>
      <w:proofErr w:type="spellEnd"/>
      <w:r w:rsidRPr="005E3242">
        <w:rPr>
          <w:color w:val="auto"/>
          <w:lang w:val="en-US"/>
        </w:rPr>
        <w:t xml:space="preserve"> of </w:t>
      </w:r>
      <w:proofErr w:type="spellStart"/>
      <w:r w:rsidRPr="005E3242">
        <w:rPr>
          <w:color w:val="auto"/>
          <w:lang w:val="en-US"/>
        </w:rPr>
        <w:t>pertuzumab</w:t>
      </w:r>
      <w:proofErr w:type="spellEnd"/>
      <w:r w:rsidRPr="005E3242">
        <w:rPr>
          <w:color w:val="auto"/>
          <w:lang w:val="en-US"/>
        </w:rPr>
        <w:t xml:space="preserve"> within </w:t>
      </w:r>
      <w:proofErr w:type="spellStart"/>
      <w:r w:rsidR="00191B0B">
        <w:rPr>
          <w:color w:val="auto"/>
          <w:lang w:val="en-US"/>
        </w:rPr>
        <w:t>Phesgo</w:t>
      </w:r>
      <w:proofErr w:type="spellEnd"/>
      <w:r w:rsidRPr="005E3242">
        <w:rPr>
          <w:color w:val="auto"/>
          <w:lang w:val="en-US"/>
        </w:rPr>
        <w:t xml:space="preserve"> compared with intravenous </w:t>
      </w:r>
      <w:proofErr w:type="spellStart"/>
      <w:r w:rsidRPr="005E3242">
        <w:rPr>
          <w:color w:val="auto"/>
          <w:lang w:val="en-US"/>
        </w:rPr>
        <w:t>pertuzumab</w:t>
      </w:r>
      <w:proofErr w:type="spellEnd"/>
      <w:r w:rsidRPr="005E3242">
        <w:rPr>
          <w:color w:val="auto"/>
          <w:lang w:val="en-US"/>
        </w:rPr>
        <w:t xml:space="preserve"> (primary endpoint). Additional secondary endpoints included non-inferiority of the Cycle 7 serum trastuzumab </w:t>
      </w:r>
      <w:proofErr w:type="spellStart"/>
      <w:r w:rsidRPr="005E3242">
        <w:rPr>
          <w:color w:val="auto"/>
          <w:lang w:val="en-US"/>
        </w:rPr>
        <w:t>C</w:t>
      </w:r>
      <w:r w:rsidRPr="005E3242">
        <w:rPr>
          <w:color w:val="auto"/>
          <w:vertAlign w:val="subscript"/>
          <w:lang w:val="en-US"/>
        </w:rPr>
        <w:t>trough</w:t>
      </w:r>
      <w:proofErr w:type="spellEnd"/>
      <w:r w:rsidRPr="005E3242">
        <w:rPr>
          <w:color w:val="auto"/>
          <w:lang w:val="en-US"/>
        </w:rPr>
        <w:t xml:space="preserve"> of trastuzumab within </w:t>
      </w:r>
      <w:proofErr w:type="spellStart"/>
      <w:r w:rsidR="00191B0B">
        <w:rPr>
          <w:color w:val="auto"/>
          <w:lang w:val="en-US"/>
        </w:rPr>
        <w:t>Phesgo</w:t>
      </w:r>
      <w:proofErr w:type="spellEnd"/>
      <w:r w:rsidRPr="005E3242">
        <w:rPr>
          <w:color w:val="auto"/>
          <w:lang w:val="en-US"/>
        </w:rPr>
        <w:t xml:space="preserve"> compared with intravenous trastuzumab, efficacy [total pathological complete response (</w:t>
      </w:r>
      <w:proofErr w:type="spellStart"/>
      <w:r w:rsidRPr="005E3242">
        <w:rPr>
          <w:color w:val="auto"/>
          <w:lang w:val="en-US"/>
        </w:rPr>
        <w:t>tpCR</w:t>
      </w:r>
      <w:proofErr w:type="spellEnd"/>
      <w:r w:rsidRPr="005E3242">
        <w:rPr>
          <w:color w:val="auto"/>
          <w:lang w:val="en-US"/>
        </w:rPr>
        <w:t>)], and safety outcomes. Demographics were balanced between the two treatment arms and the median age of patients treate</w:t>
      </w:r>
      <w:r w:rsidR="00222856">
        <w:rPr>
          <w:color w:val="auto"/>
          <w:lang w:val="en-US"/>
        </w:rPr>
        <w:t>d in the study was 51 years</w:t>
      </w:r>
      <w:r w:rsidRPr="005E3242">
        <w:rPr>
          <w:color w:val="auto"/>
          <w:lang w:val="en-US"/>
        </w:rPr>
        <w:t xml:space="preserve">. </w:t>
      </w:r>
      <w:proofErr w:type="gramStart"/>
      <w:r w:rsidRPr="005E3242">
        <w:rPr>
          <w:color w:val="auto"/>
          <w:lang w:val="en-US"/>
        </w:rPr>
        <w:t>The majority of</w:t>
      </w:r>
      <w:proofErr w:type="gramEnd"/>
      <w:r w:rsidRPr="005E3242">
        <w:rPr>
          <w:color w:val="auto"/>
          <w:lang w:val="en-US"/>
        </w:rPr>
        <w:t xml:space="preserve"> patients had hormone receptor-positive disease (61.2%), node-positive disease (57.6%), and were Caucasian (65.8%).</w:t>
      </w:r>
    </w:p>
    <w:p w14:paraId="50CFEE3D" w14:textId="1E763C36" w:rsidR="002D39AA" w:rsidRPr="005E3242" w:rsidRDefault="002D39AA" w:rsidP="00C448E8">
      <w:pPr>
        <w:rPr>
          <w:color w:val="auto"/>
          <w:lang w:val="en-US"/>
        </w:rPr>
      </w:pPr>
    </w:p>
    <w:p w14:paraId="53F38528" w14:textId="5DEB12C6" w:rsidR="002D39AA" w:rsidRPr="005E3242" w:rsidRDefault="002D39AA" w:rsidP="00C448E8">
      <w:pPr>
        <w:rPr>
          <w:color w:val="auto"/>
        </w:rPr>
      </w:pPr>
      <w:r w:rsidRPr="005E3242">
        <w:rPr>
          <w:color w:val="auto"/>
        </w:rPr>
        <w:t xml:space="preserve">Non-inferiority of the </w:t>
      </w:r>
      <w:proofErr w:type="spellStart"/>
      <w:r w:rsidRPr="005E3242">
        <w:rPr>
          <w:color w:val="auto"/>
        </w:rPr>
        <w:t>pertuzumab</w:t>
      </w:r>
      <w:proofErr w:type="spellEnd"/>
      <w:r w:rsidRPr="005E3242">
        <w:rPr>
          <w:color w:val="auto"/>
        </w:rPr>
        <w:t xml:space="preserve"> and trastuzumab exposure from </w:t>
      </w:r>
      <w:proofErr w:type="spellStart"/>
      <w:r w:rsidR="00191B0B">
        <w:rPr>
          <w:color w:val="auto"/>
        </w:rPr>
        <w:t>Phesgo</w:t>
      </w:r>
      <w:proofErr w:type="spellEnd"/>
      <w:r w:rsidRPr="005E3242">
        <w:rPr>
          <w:color w:val="auto"/>
        </w:rPr>
        <w:t xml:space="preserve"> was demonstrated (</w:t>
      </w:r>
      <w:r w:rsidRPr="005E3242">
        <w:rPr>
          <w:i/>
          <w:color w:val="auto"/>
        </w:rPr>
        <w:t>see</w:t>
      </w:r>
      <w:r w:rsidRPr="005E3242">
        <w:rPr>
          <w:color w:val="auto"/>
        </w:rPr>
        <w:t xml:space="preserve"> </w:t>
      </w:r>
      <w:r w:rsidRPr="005E3242">
        <w:rPr>
          <w:i/>
          <w:color w:val="auto"/>
        </w:rPr>
        <w:t>5.2 Pharmacokinetic properties</w:t>
      </w:r>
      <w:r w:rsidRPr="005E3242">
        <w:rPr>
          <w:color w:val="auto"/>
        </w:rPr>
        <w:t xml:space="preserve">). The analysis of secondary efficacy endpoint, </w:t>
      </w:r>
      <w:proofErr w:type="spellStart"/>
      <w:r w:rsidRPr="005E3242">
        <w:rPr>
          <w:color w:val="auto"/>
        </w:rPr>
        <w:t>tpCR</w:t>
      </w:r>
      <w:proofErr w:type="spellEnd"/>
      <w:r w:rsidRPr="005E3242">
        <w:rPr>
          <w:color w:val="auto"/>
        </w:rPr>
        <w:t>, defined as an absence of invasive disease in the breast and axilla (ypT0/is, ypN0), is shown in</w:t>
      </w:r>
      <w:r w:rsidR="00C917E5">
        <w:rPr>
          <w:color w:val="auto"/>
        </w:rPr>
        <w:t xml:space="preserve"> </w:t>
      </w:r>
      <w:r w:rsidR="00D81F9E">
        <w:rPr>
          <w:color w:val="auto"/>
        </w:rPr>
        <w:fldChar w:fldCharType="begin"/>
      </w:r>
      <w:r w:rsidR="00D81F9E">
        <w:rPr>
          <w:color w:val="auto"/>
        </w:rPr>
        <w:instrText xml:space="preserve"> REF _Ref66715836 \h </w:instrText>
      </w:r>
      <w:r w:rsidR="00D81F9E">
        <w:rPr>
          <w:color w:val="auto"/>
        </w:rPr>
      </w:r>
      <w:r w:rsidR="00C448E8">
        <w:rPr>
          <w:color w:val="auto"/>
        </w:rPr>
        <w:instrText xml:space="preserve"> \* MERGEFORMAT </w:instrText>
      </w:r>
      <w:r w:rsidR="00D81F9E">
        <w:rPr>
          <w:color w:val="auto"/>
        </w:rPr>
        <w:fldChar w:fldCharType="separate"/>
      </w:r>
      <w:r w:rsidR="00C840A1">
        <w:t xml:space="preserve">Table </w:t>
      </w:r>
      <w:r w:rsidR="00C840A1">
        <w:rPr>
          <w:noProof/>
        </w:rPr>
        <w:t>6</w:t>
      </w:r>
      <w:r w:rsidR="00D81F9E">
        <w:rPr>
          <w:color w:val="auto"/>
        </w:rPr>
        <w:fldChar w:fldCharType="end"/>
      </w:r>
      <w:r w:rsidRPr="005E3242">
        <w:rPr>
          <w:color w:val="auto"/>
        </w:rPr>
        <w:t>.</w:t>
      </w:r>
    </w:p>
    <w:p w14:paraId="2D9B59D6" w14:textId="3D2F1039" w:rsidR="002D39AA" w:rsidRPr="005E3242" w:rsidRDefault="002D39AA" w:rsidP="00C448E8">
      <w:pPr>
        <w:rPr>
          <w:color w:val="auto"/>
          <w:lang w:val="en-GB"/>
        </w:rPr>
      </w:pPr>
    </w:p>
    <w:p w14:paraId="4B4E6C0E" w14:textId="33E7D490" w:rsidR="00D81F9E" w:rsidRDefault="00D81F9E" w:rsidP="00C448E8">
      <w:pPr>
        <w:pStyle w:val="Caption"/>
      </w:pPr>
      <w:bookmarkStart w:id="6" w:name="_Ref66715836"/>
      <w:r>
        <w:t xml:space="preserve">Table </w:t>
      </w:r>
      <w:r>
        <w:fldChar w:fldCharType="begin"/>
      </w:r>
      <w:r>
        <w:instrText xml:space="preserve"> SEQ Table \* ARABIC </w:instrText>
      </w:r>
      <w:r>
        <w:fldChar w:fldCharType="separate"/>
      </w:r>
      <w:r w:rsidR="00C840A1">
        <w:rPr>
          <w:noProof/>
        </w:rPr>
        <w:t>6</w:t>
      </w:r>
      <w:r>
        <w:fldChar w:fldCharType="end"/>
      </w:r>
      <w:bookmarkEnd w:id="6"/>
      <w:r>
        <w:t xml:space="preserve">: </w:t>
      </w:r>
      <w:r w:rsidRPr="005E3242">
        <w:rPr>
          <w:lang w:val="en-GB"/>
        </w:rPr>
        <w:t>Summary of total pathological Complete Response (</w:t>
      </w:r>
      <w:proofErr w:type="spellStart"/>
      <w:r w:rsidRPr="006B2154">
        <w:t>tpCR</w:t>
      </w:r>
      <w:proofErr w:type="spellEnd"/>
      <w:r w:rsidRPr="005E3242">
        <w:rPr>
          <w:lang w:val="en-GB"/>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340"/>
        <w:gridCol w:w="2160"/>
      </w:tblGrid>
      <w:tr w:rsidR="002D39AA" w:rsidRPr="005E3242" w14:paraId="02BA60F3" w14:textId="02FD3A49" w:rsidTr="002D39AA">
        <w:tc>
          <w:tcPr>
            <w:tcW w:w="4225" w:type="dxa"/>
            <w:tcBorders>
              <w:top w:val="single" w:sz="4" w:space="0" w:color="auto"/>
              <w:left w:val="single" w:sz="4" w:space="0" w:color="auto"/>
              <w:bottom w:val="single" w:sz="4" w:space="0" w:color="auto"/>
              <w:right w:val="single" w:sz="4" w:space="0" w:color="auto"/>
            </w:tcBorders>
          </w:tcPr>
          <w:p w14:paraId="3BD23E09" w14:textId="36DECA3C" w:rsidR="002D39AA" w:rsidRPr="005E3242" w:rsidRDefault="002D39AA" w:rsidP="00C448E8">
            <w:pPr>
              <w:rPr>
                <w:color w:val="auto"/>
                <w:lang w:val="en-GB"/>
              </w:rPr>
            </w:pPr>
          </w:p>
        </w:tc>
        <w:tc>
          <w:tcPr>
            <w:tcW w:w="2340" w:type="dxa"/>
            <w:tcBorders>
              <w:top w:val="single" w:sz="4" w:space="0" w:color="auto"/>
              <w:left w:val="single" w:sz="4" w:space="0" w:color="auto"/>
              <w:bottom w:val="single" w:sz="4" w:space="0" w:color="auto"/>
              <w:right w:val="single" w:sz="4" w:space="0" w:color="auto"/>
            </w:tcBorders>
            <w:hideMark/>
          </w:tcPr>
          <w:p w14:paraId="0BA2AA34" w14:textId="75355D95" w:rsidR="002D39AA" w:rsidRPr="005E3242" w:rsidRDefault="00191B0B" w:rsidP="00C448E8">
            <w:pPr>
              <w:rPr>
                <w:color w:val="auto"/>
                <w:lang w:val="en-GB"/>
              </w:rPr>
            </w:pPr>
            <w:proofErr w:type="spellStart"/>
            <w:r>
              <w:rPr>
                <w:color w:val="auto"/>
                <w:lang w:val="en-GB"/>
              </w:rPr>
              <w:t>Phesgo</w:t>
            </w:r>
            <w:proofErr w:type="spellEnd"/>
          </w:p>
          <w:p w14:paraId="7A683294" w14:textId="053834BB" w:rsidR="002D39AA" w:rsidRPr="005E3242" w:rsidRDefault="002D39AA" w:rsidP="00C448E8">
            <w:pPr>
              <w:rPr>
                <w:color w:val="auto"/>
                <w:lang w:val="en-GB"/>
              </w:rPr>
            </w:pPr>
            <w:r w:rsidRPr="005E3242">
              <w:rPr>
                <w:color w:val="auto"/>
                <w:lang w:val="en-GB"/>
              </w:rPr>
              <w:t>(n=248)</w:t>
            </w:r>
          </w:p>
        </w:tc>
        <w:tc>
          <w:tcPr>
            <w:tcW w:w="2160" w:type="dxa"/>
            <w:tcBorders>
              <w:top w:val="single" w:sz="4" w:space="0" w:color="auto"/>
              <w:left w:val="single" w:sz="4" w:space="0" w:color="auto"/>
              <w:bottom w:val="single" w:sz="4" w:space="0" w:color="auto"/>
              <w:right w:val="single" w:sz="4" w:space="0" w:color="auto"/>
            </w:tcBorders>
            <w:hideMark/>
          </w:tcPr>
          <w:p w14:paraId="0A693F9F" w14:textId="33F96DFC" w:rsidR="002D39AA" w:rsidRPr="005E3242" w:rsidRDefault="002D39AA" w:rsidP="00C448E8">
            <w:pPr>
              <w:rPr>
                <w:color w:val="auto"/>
                <w:lang w:val="fr-CH"/>
              </w:rPr>
            </w:pPr>
            <w:proofErr w:type="spellStart"/>
            <w:r w:rsidRPr="005E3242">
              <w:rPr>
                <w:color w:val="auto"/>
                <w:lang w:val="fr-CH"/>
              </w:rPr>
              <w:t>Intravenous</w:t>
            </w:r>
            <w:proofErr w:type="spellEnd"/>
            <w:r w:rsidRPr="005E3242">
              <w:rPr>
                <w:color w:val="auto"/>
                <w:lang w:val="fr-CH"/>
              </w:rPr>
              <w:t xml:space="preserve"> </w:t>
            </w:r>
            <w:proofErr w:type="spellStart"/>
            <w:proofErr w:type="gramStart"/>
            <w:r w:rsidRPr="005E3242">
              <w:rPr>
                <w:color w:val="auto"/>
                <w:lang w:val="fr-CH"/>
              </w:rPr>
              <w:t>pertuzumab</w:t>
            </w:r>
            <w:proofErr w:type="spellEnd"/>
            <w:r w:rsidRPr="005E3242">
              <w:rPr>
                <w:color w:val="auto"/>
                <w:lang w:val="fr-CH"/>
              </w:rPr>
              <w:t xml:space="preserve">  +</w:t>
            </w:r>
            <w:proofErr w:type="gramEnd"/>
            <w:r w:rsidRPr="005E3242">
              <w:rPr>
                <w:color w:val="auto"/>
                <w:lang w:val="fr-CH"/>
              </w:rPr>
              <w:t xml:space="preserve"> trastuzumab  (n=252)</w:t>
            </w:r>
          </w:p>
        </w:tc>
      </w:tr>
      <w:tr w:rsidR="002D39AA" w:rsidRPr="005E3242" w14:paraId="46EDBC0A" w14:textId="0A15A34F" w:rsidTr="002D39AA">
        <w:tc>
          <w:tcPr>
            <w:tcW w:w="4225" w:type="dxa"/>
            <w:tcBorders>
              <w:top w:val="single" w:sz="4" w:space="0" w:color="auto"/>
              <w:left w:val="single" w:sz="4" w:space="0" w:color="auto"/>
              <w:bottom w:val="single" w:sz="4" w:space="0" w:color="auto"/>
              <w:right w:val="single" w:sz="4" w:space="0" w:color="auto"/>
            </w:tcBorders>
            <w:hideMark/>
          </w:tcPr>
          <w:p w14:paraId="432607DE" w14:textId="13EDC203" w:rsidR="002D39AA" w:rsidRPr="005E3242" w:rsidRDefault="002D39AA" w:rsidP="00C448E8">
            <w:pPr>
              <w:rPr>
                <w:color w:val="auto"/>
                <w:lang w:val="en-GB"/>
              </w:rPr>
            </w:pPr>
            <w:proofErr w:type="spellStart"/>
            <w:r w:rsidRPr="005E3242">
              <w:rPr>
                <w:color w:val="auto"/>
                <w:lang w:val="en-GB"/>
              </w:rPr>
              <w:t>tpCR</w:t>
            </w:r>
            <w:proofErr w:type="spellEnd"/>
            <w:r w:rsidRPr="005E3242">
              <w:rPr>
                <w:color w:val="auto"/>
                <w:lang w:val="en-GB"/>
              </w:rPr>
              <w:t xml:space="preserve"> (y</w:t>
            </w:r>
            <w:r w:rsidRPr="005E3242">
              <w:rPr>
                <w:color w:val="auto"/>
                <w:lang w:val="en-US"/>
              </w:rPr>
              <w:t>pT0/is, ypN0</w:t>
            </w:r>
            <w:r w:rsidRPr="005E3242">
              <w:rPr>
                <w:color w:val="auto"/>
                <w:lang w:val="en-GB"/>
              </w:rPr>
              <w:t>)</w:t>
            </w:r>
          </w:p>
        </w:tc>
        <w:tc>
          <w:tcPr>
            <w:tcW w:w="2340" w:type="dxa"/>
            <w:tcBorders>
              <w:top w:val="single" w:sz="4" w:space="0" w:color="auto"/>
              <w:left w:val="single" w:sz="4" w:space="0" w:color="auto"/>
              <w:bottom w:val="single" w:sz="4" w:space="0" w:color="auto"/>
              <w:right w:val="single" w:sz="4" w:space="0" w:color="auto"/>
            </w:tcBorders>
            <w:hideMark/>
          </w:tcPr>
          <w:p w14:paraId="2508B555" w14:textId="4CE7FE32" w:rsidR="002D39AA" w:rsidRPr="005E3242" w:rsidRDefault="002D39AA" w:rsidP="00C448E8">
            <w:pPr>
              <w:rPr>
                <w:color w:val="auto"/>
                <w:lang w:val="en-GB"/>
              </w:rPr>
            </w:pPr>
            <w:r w:rsidRPr="005E3242">
              <w:rPr>
                <w:color w:val="auto"/>
                <w:lang w:val="en-GB"/>
              </w:rPr>
              <w:t>148 (59.7%)</w:t>
            </w:r>
          </w:p>
        </w:tc>
        <w:tc>
          <w:tcPr>
            <w:tcW w:w="2160" w:type="dxa"/>
            <w:tcBorders>
              <w:top w:val="single" w:sz="4" w:space="0" w:color="auto"/>
              <w:left w:val="single" w:sz="4" w:space="0" w:color="auto"/>
              <w:bottom w:val="single" w:sz="4" w:space="0" w:color="auto"/>
              <w:right w:val="single" w:sz="4" w:space="0" w:color="auto"/>
            </w:tcBorders>
            <w:hideMark/>
          </w:tcPr>
          <w:p w14:paraId="5A2134A6" w14:textId="20196A74" w:rsidR="002D39AA" w:rsidRPr="005E3242" w:rsidRDefault="002D39AA" w:rsidP="00C448E8">
            <w:pPr>
              <w:rPr>
                <w:color w:val="auto"/>
                <w:lang w:val="en-GB"/>
              </w:rPr>
            </w:pPr>
            <w:r w:rsidRPr="005E3242">
              <w:rPr>
                <w:color w:val="auto"/>
                <w:lang w:val="en-GB"/>
              </w:rPr>
              <w:t>150 (59.5%)</w:t>
            </w:r>
          </w:p>
        </w:tc>
      </w:tr>
      <w:tr w:rsidR="002D39AA" w:rsidRPr="005E3242" w14:paraId="46C2FA22" w14:textId="24935E99" w:rsidTr="002D39AA">
        <w:tc>
          <w:tcPr>
            <w:tcW w:w="4225" w:type="dxa"/>
            <w:tcBorders>
              <w:top w:val="single" w:sz="4" w:space="0" w:color="auto"/>
              <w:left w:val="single" w:sz="4" w:space="0" w:color="auto"/>
              <w:bottom w:val="single" w:sz="4" w:space="0" w:color="auto"/>
              <w:right w:val="single" w:sz="4" w:space="0" w:color="auto"/>
            </w:tcBorders>
            <w:hideMark/>
          </w:tcPr>
          <w:p w14:paraId="2953AF84" w14:textId="28BBC620" w:rsidR="002D39AA" w:rsidRPr="005E3242" w:rsidRDefault="002D39AA" w:rsidP="00C448E8">
            <w:pPr>
              <w:rPr>
                <w:color w:val="auto"/>
                <w:lang w:val="en-GB"/>
              </w:rPr>
            </w:pPr>
            <w:r w:rsidRPr="005E3242">
              <w:rPr>
                <w:color w:val="auto"/>
                <w:lang w:val="en-GB"/>
              </w:rPr>
              <w:t xml:space="preserve">Exact 95% CI for </w:t>
            </w:r>
            <w:proofErr w:type="spellStart"/>
            <w:r w:rsidRPr="005E3242">
              <w:rPr>
                <w:color w:val="auto"/>
                <w:lang w:val="en-GB"/>
              </w:rPr>
              <w:t>tpCR</w:t>
            </w:r>
            <w:proofErr w:type="spellEnd"/>
            <w:r w:rsidRPr="005E3242">
              <w:rPr>
                <w:color w:val="auto"/>
                <w:lang w:val="en-GB"/>
              </w:rPr>
              <w:t xml:space="preserve"> Rate</w:t>
            </w:r>
            <w:r w:rsidRPr="005E3242">
              <w:rPr>
                <w:color w:val="auto"/>
                <w:vertAlign w:val="superscript"/>
                <w:lang w:val="en-GB"/>
              </w:rPr>
              <w:t>1</w:t>
            </w:r>
            <w:r w:rsidRPr="005E3242">
              <w:rPr>
                <w:color w:val="auto"/>
                <w:lang w:val="en-GB"/>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A81134E" w14:textId="38AD96BE" w:rsidR="002D39AA" w:rsidRPr="005E3242" w:rsidRDefault="002D39AA" w:rsidP="00C448E8">
            <w:pPr>
              <w:rPr>
                <w:color w:val="auto"/>
                <w:lang w:val="en-GB"/>
              </w:rPr>
            </w:pPr>
            <w:r w:rsidRPr="005E3242">
              <w:rPr>
                <w:color w:val="auto"/>
                <w:lang w:val="en-US"/>
              </w:rPr>
              <w:t>(</w:t>
            </w:r>
            <w:r w:rsidRPr="005E3242">
              <w:rPr>
                <w:color w:val="auto"/>
                <w:lang w:val="en-GB"/>
              </w:rPr>
              <w:t>53.28, 65.84)</w:t>
            </w:r>
          </w:p>
        </w:tc>
        <w:tc>
          <w:tcPr>
            <w:tcW w:w="2160" w:type="dxa"/>
            <w:tcBorders>
              <w:top w:val="single" w:sz="4" w:space="0" w:color="auto"/>
              <w:left w:val="single" w:sz="4" w:space="0" w:color="auto"/>
              <w:bottom w:val="single" w:sz="4" w:space="0" w:color="auto"/>
              <w:right w:val="single" w:sz="4" w:space="0" w:color="auto"/>
            </w:tcBorders>
            <w:hideMark/>
          </w:tcPr>
          <w:p w14:paraId="14CE3B3B" w14:textId="29FE8725" w:rsidR="002D39AA" w:rsidRPr="005E3242" w:rsidRDefault="002D39AA" w:rsidP="00C448E8">
            <w:pPr>
              <w:rPr>
                <w:color w:val="auto"/>
                <w:lang w:val="en-GB"/>
              </w:rPr>
            </w:pPr>
            <w:r w:rsidRPr="005E3242">
              <w:rPr>
                <w:color w:val="auto"/>
                <w:lang w:val="en-GB"/>
              </w:rPr>
              <w:t>(52.18, 65.64)</w:t>
            </w:r>
          </w:p>
        </w:tc>
      </w:tr>
      <w:tr w:rsidR="002D39AA" w:rsidRPr="005E3242" w14:paraId="7C2A15C2" w14:textId="5AFA19BD" w:rsidTr="002D39AA">
        <w:tc>
          <w:tcPr>
            <w:tcW w:w="4225" w:type="dxa"/>
            <w:tcBorders>
              <w:top w:val="single" w:sz="4" w:space="0" w:color="auto"/>
              <w:left w:val="single" w:sz="4" w:space="0" w:color="auto"/>
              <w:bottom w:val="single" w:sz="4" w:space="0" w:color="auto"/>
              <w:right w:val="single" w:sz="4" w:space="0" w:color="auto"/>
            </w:tcBorders>
            <w:hideMark/>
          </w:tcPr>
          <w:p w14:paraId="4102D0EE" w14:textId="6C4B3F35" w:rsidR="002D39AA" w:rsidRPr="005E3242" w:rsidRDefault="002D39AA" w:rsidP="00C448E8">
            <w:pPr>
              <w:rPr>
                <w:color w:val="auto"/>
                <w:lang w:val="en-GB"/>
              </w:rPr>
            </w:pPr>
            <w:r w:rsidRPr="005E3242">
              <w:rPr>
                <w:color w:val="auto"/>
                <w:lang w:val="en-GB"/>
              </w:rPr>
              <w:t xml:space="preserve">Difference in </w:t>
            </w:r>
            <w:proofErr w:type="spellStart"/>
            <w:r w:rsidRPr="005E3242">
              <w:rPr>
                <w:color w:val="auto"/>
                <w:lang w:val="en-GB"/>
              </w:rPr>
              <w:t>tpCR</w:t>
            </w:r>
            <w:proofErr w:type="spellEnd"/>
            <w:r w:rsidRPr="005E3242">
              <w:rPr>
                <w:color w:val="auto"/>
                <w:lang w:val="en-GB"/>
              </w:rPr>
              <w:t xml:space="preserve"> rate (SC minus IV arm)</w:t>
            </w:r>
          </w:p>
        </w:tc>
        <w:tc>
          <w:tcPr>
            <w:tcW w:w="4500" w:type="dxa"/>
            <w:gridSpan w:val="2"/>
            <w:tcBorders>
              <w:top w:val="single" w:sz="4" w:space="0" w:color="auto"/>
              <w:left w:val="single" w:sz="4" w:space="0" w:color="auto"/>
              <w:bottom w:val="single" w:sz="4" w:space="0" w:color="auto"/>
              <w:right w:val="single" w:sz="4" w:space="0" w:color="auto"/>
            </w:tcBorders>
            <w:hideMark/>
          </w:tcPr>
          <w:p w14:paraId="2416077D" w14:textId="1F996666" w:rsidR="002D39AA" w:rsidRPr="005E3242" w:rsidRDefault="002D39AA" w:rsidP="00C448E8">
            <w:pPr>
              <w:rPr>
                <w:color w:val="auto"/>
                <w:lang w:val="en-GB"/>
              </w:rPr>
            </w:pPr>
            <w:r w:rsidRPr="005E3242">
              <w:rPr>
                <w:color w:val="auto"/>
                <w:lang w:val="en-GB"/>
              </w:rPr>
              <w:t>0.15</w:t>
            </w:r>
          </w:p>
        </w:tc>
      </w:tr>
      <w:tr w:rsidR="002D39AA" w:rsidRPr="005E3242" w14:paraId="733BC047" w14:textId="11205CEB" w:rsidTr="002D39AA">
        <w:tc>
          <w:tcPr>
            <w:tcW w:w="4225" w:type="dxa"/>
            <w:tcBorders>
              <w:top w:val="single" w:sz="4" w:space="0" w:color="auto"/>
              <w:left w:val="single" w:sz="4" w:space="0" w:color="auto"/>
              <w:bottom w:val="single" w:sz="4" w:space="0" w:color="auto"/>
              <w:right w:val="single" w:sz="4" w:space="0" w:color="auto"/>
            </w:tcBorders>
            <w:hideMark/>
          </w:tcPr>
          <w:p w14:paraId="75919B06" w14:textId="173E67A3" w:rsidR="002D39AA" w:rsidRPr="005E3242" w:rsidRDefault="002D39AA" w:rsidP="00C448E8">
            <w:pPr>
              <w:rPr>
                <w:color w:val="auto"/>
                <w:lang w:val="en-GB"/>
              </w:rPr>
            </w:pPr>
            <w:r w:rsidRPr="005E3242">
              <w:rPr>
                <w:color w:val="auto"/>
                <w:lang w:val="en-GB"/>
              </w:rPr>
              <w:t>95% CI for the difference in tpCR</w:t>
            </w:r>
            <w:r w:rsidRPr="005E3242">
              <w:rPr>
                <w:color w:val="auto"/>
                <w:vertAlign w:val="superscript"/>
                <w:lang w:val="en-GB"/>
              </w:rPr>
              <w:t xml:space="preserve">2 </w:t>
            </w:r>
            <w:r w:rsidRPr="005E3242">
              <w:rPr>
                <w:color w:val="auto"/>
                <w:lang w:val="en-GB"/>
              </w:rPr>
              <w:t>rate</w:t>
            </w:r>
          </w:p>
        </w:tc>
        <w:tc>
          <w:tcPr>
            <w:tcW w:w="4500" w:type="dxa"/>
            <w:gridSpan w:val="2"/>
            <w:tcBorders>
              <w:top w:val="single" w:sz="4" w:space="0" w:color="auto"/>
              <w:left w:val="single" w:sz="4" w:space="0" w:color="auto"/>
              <w:bottom w:val="single" w:sz="4" w:space="0" w:color="auto"/>
              <w:right w:val="single" w:sz="4" w:space="0" w:color="auto"/>
            </w:tcBorders>
            <w:hideMark/>
          </w:tcPr>
          <w:p w14:paraId="6DF53694" w14:textId="0B2121F5" w:rsidR="002D39AA" w:rsidRPr="005E3242" w:rsidRDefault="002D39AA" w:rsidP="00C448E8">
            <w:pPr>
              <w:rPr>
                <w:color w:val="auto"/>
                <w:lang w:val="en-GB"/>
              </w:rPr>
            </w:pPr>
            <w:r w:rsidRPr="005E3242">
              <w:rPr>
                <w:color w:val="auto"/>
                <w:lang w:val="en-GB"/>
              </w:rPr>
              <w:t xml:space="preserve">-8.67 </w:t>
            </w:r>
            <w:r w:rsidRPr="005E3242">
              <w:rPr>
                <w:color w:val="auto"/>
                <w:lang w:val="en-US"/>
              </w:rPr>
              <w:t>to 8.97</w:t>
            </w:r>
          </w:p>
        </w:tc>
      </w:tr>
    </w:tbl>
    <w:p w14:paraId="564C4F04" w14:textId="3A002C6A" w:rsidR="002D39AA" w:rsidRPr="005E3242" w:rsidRDefault="002D39AA" w:rsidP="00C448E8">
      <w:pPr>
        <w:rPr>
          <w:color w:val="auto"/>
          <w:sz w:val="20"/>
          <w:szCs w:val="20"/>
          <w:lang w:val="en-GB"/>
        </w:rPr>
      </w:pPr>
      <w:r w:rsidRPr="005E3242">
        <w:rPr>
          <w:color w:val="auto"/>
          <w:sz w:val="20"/>
          <w:szCs w:val="20"/>
          <w:vertAlign w:val="superscript"/>
          <w:lang w:val="en-GB"/>
        </w:rPr>
        <w:t>1</w:t>
      </w:r>
      <w:r w:rsidRPr="005E3242">
        <w:rPr>
          <w:color w:val="auto"/>
          <w:sz w:val="20"/>
          <w:szCs w:val="20"/>
          <w:lang w:val="en-GB"/>
        </w:rPr>
        <w:t xml:space="preserve"> Confidence interval for one sample binomial using Pearson-Clopper method</w:t>
      </w:r>
    </w:p>
    <w:p w14:paraId="48802398" w14:textId="288A3D7B" w:rsidR="002D39AA" w:rsidRPr="005E3242" w:rsidRDefault="002D39AA" w:rsidP="00C448E8">
      <w:pPr>
        <w:rPr>
          <w:color w:val="auto"/>
          <w:sz w:val="20"/>
          <w:szCs w:val="20"/>
          <w:lang w:val="en-GB"/>
        </w:rPr>
      </w:pPr>
      <w:r w:rsidRPr="005E3242">
        <w:rPr>
          <w:color w:val="auto"/>
          <w:sz w:val="20"/>
          <w:szCs w:val="20"/>
          <w:vertAlign w:val="superscript"/>
          <w:lang w:val="en-GB"/>
        </w:rPr>
        <w:t>2</w:t>
      </w:r>
      <w:r w:rsidRPr="005E3242">
        <w:rPr>
          <w:color w:val="auto"/>
          <w:sz w:val="20"/>
          <w:szCs w:val="20"/>
          <w:lang w:val="en-GB"/>
        </w:rPr>
        <w:t xml:space="preserve"> Hauck-Anderson continuity correction has been used in this calculation</w:t>
      </w:r>
    </w:p>
    <w:p w14:paraId="3CCC0036" w14:textId="73BFF2EF" w:rsidR="002D39AA" w:rsidRPr="003E0C52" w:rsidRDefault="0078210D" w:rsidP="00C448E8">
      <w:pPr>
        <w:pStyle w:val="Heading6"/>
      </w:pPr>
      <w:r w:rsidRPr="003E0C52">
        <w:t xml:space="preserve">NEOSPHERE (WO20697) </w:t>
      </w:r>
      <w:r w:rsidR="007B2707">
        <w:t>– neoadjuvant treatment of EBC</w:t>
      </w:r>
    </w:p>
    <w:p w14:paraId="7930FCB1" w14:textId="77777777" w:rsidR="0078210D" w:rsidRPr="005E3242" w:rsidRDefault="0078210D" w:rsidP="00C448E8">
      <w:pPr>
        <w:rPr>
          <w:b/>
          <w:color w:val="auto"/>
          <w:lang w:val="en-US"/>
        </w:rPr>
      </w:pPr>
    </w:p>
    <w:p w14:paraId="675B13C6" w14:textId="425858A4" w:rsidR="0078210D" w:rsidRPr="005E3242" w:rsidRDefault="002D39AA" w:rsidP="00C448E8">
      <w:pPr>
        <w:rPr>
          <w:color w:val="auto"/>
          <w:lang w:val="en-US"/>
        </w:rPr>
      </w:pPr>
      <w:r w:rsidRPr="005E3242">
        <w:rPr>
          <w:color w:val="auto"/>
          <w:lang w:val="en-US"/>
        </w:rPr>
        <w:t xml:space="preserve">NEOSPHERE </w:t>
      </w:r>
      <w:r w:rsidR="004C5CDE">
        <w:rPr>
          <w:color w:val="auto"/>
          <w:lang w:val="en-US"/>
        </w:rPr>
        <w:t>wa</w:t>
      </w:r>
      <w:r w:rsidRPr="005E3242">
        <w:rPr>
          <w:color w:val="auto"/>
          <w:lang w:val="en-US"/>
        </w:rPr>
        <w:t xml:space="preserve">s a </w:t>
      </w:r>
      <w:proofErr w:type="spellStart"/>
      <w:r w:rsidRPr="005E3242">
        <w:rPr>
          <w:color w:val="auto"/>
          <w:lang w:val="en-US"/>
        </w:rPr>
        <w:t>multicentr</w:t>
      </w:r>
      <w:r w:rsidR="002822F3">
        <w:rPr>
          <w:color w:val="auto"/>
          <w:lang w:val="en-US"/>
        </w:rPr>
        <w:t>e</w:t>
      </w:r>
      <w:proofErr w:type="spellEnd"/>
      <w:r w:rsidRPr="005E3242">
        <w:rPr>
          <w:color w:val="auto"/>
          <w:lang w:val="en-US"/>
        </w:rPr>
        <w:t xml:space="preserve">, </w:t>
      </w:r>
      <w:proofErr w:type="spellStart"/>
      <w:r w:rsidRPr="005E3242">
        <w:rPr>
          <w:color w:val="auto"/>
          <w:lang w:val="en-US"/>
        </w:rPr>
        <w:t>randomi</w:t>
      </w:r>
      <w:r w:rsidR="002822F3">
        <w:rPr>
          <w:color w:val="auto"/>
          <w:lang w:val="en-US"/>
        </w:rPr>
        <w:t>s</w:t>
      </w:r>
      <w:r w:rsidRPr="005E3242">
        <w:rPr>
          <w:color w:val="auto"/>
          <w:lang w:val="en-US"/>
        </w:rPr>
        <w:t>ed</w:t>
      </w:r>
      <w:proofErr w:type="spellEnd"/>
      <w:r w:rsidRPr="005E3242">
        <w:rPr>
          <w:color w:val="auto"/>
          <w:lang w:val="en-US"/>
        </w:rPr>
        <w:t xml:space="preserve"> Phase II clinical trial conducted in 417 patients with operable, locally advanced, or inflammatory HER2-positive breast cancer (T2-4d) who were scheduled for neoadjuvant therapy. Patients were </w:t>
      </w:r>
      <w:proofErr w:type="spellStart"/>
      <w:r w:rsidRPr="005E3242">
        <w:rPr>
          <w:color w:val="auto"/>
          <w:lang w:val="en-US"/>
        </w:rPr>
        <w:t>randomi</w:t>
      </w:r>
      <w:r w:rsidR="004C5CDE">
        <w:rPr>
          <w:color w:val="auto"/>
          <w:lang w:val="en-US"/>
        </w:rPr>
        <w:t>s</w:t>
      </w:r>
      <w:r w:rsidRPr="005E3242">
        <w:rPr>
          <w:color w:val="auto"/>
          <w:lang w:val="en-US"/>
        </w:rPr>
        <w:t>ed</w:t>
      </w:r>
      <w:proofErr w:type="spellEnd"/>
      <w:r w:rsidRPr="005E3242">
        <w:rPr>
          <w:color w:val="auto"/>
          <w:lang w:val="en-US"/>
        </w:rPr>
        <w:t xml:space="preserve"> to receive one of four neoadjuvant regimens prior to surgery as follows: trastuzumab plus docetaxel, </w:t>
      </w:r>
      <w:proofErr w:type="spellStart"/>
      <w:r w:rsidRPr="005E3242">
        <w:rPr>
          <w:color w:val="auto"/>
          <w:lang w:val="en-US"/>
        </w:rPr>
        <w:t>pertuzumab</w:t>
      </w:r>
      <w:proofErr w:type="spellEnd"/>
      <w:r w:rsidRPr="005E3242">
        <w:rPr>
          <w:color w:val="auto"/>
          <w:lang w:val="en-US"/>
        </w:rPr>
        <w:t xml:space="preserve"> plus trastuzumab and docetaxel, </w:t>
      </w:r>
      <w:proofErr w:type="spellStart"/>
      <w:r w:rsidRPr="005E3242">
        <w:rPr>
          <w:color w:val="auto"/>
          <w:lang w:val="en-US"/>
        </w:rPr>
        <w:t>pertuzumab</w:t>
      </w:r>
      <w:proofErr w:type="spellEnd"/>
      <w:r w:rsidRPr="005E3242">
        <w:rPr>
          <w:color w:val="auto"/>
          <w:lang w:val="en-US"/>
        </w:rPr>
        <w:t xml:space="preserve"> plus trastuzumab, or </w:t>
      </w:r>
      <w:proofErr w:type="spellStart"/>
      <w:r w:rsidRPr="005E3242">
        <w:rPr>
          <w:color w:val="auto"/>
          <w:lang w:val="en-US"/>
        </w:rPr>
        <w:t>pertuzumab</w:t>
      </w:r>
      <w:proofErr w:type="spellEnd"/>
      <w:r w:rsidRPr="005E3242">
        <w:rPr>
          <w:color w:val="auto"/>
          <w:lang w:val="en-US"/>
        </w:rPr>
        <w:t xml:space="preserve"> plus docetaxel. Randomization was stratified by breast cancer type (operable, locally advanced, or inflammatory) and estrogen (ER) or progesterone (</w:t>
      </w:r>
      <w:proofErr w:type="spellStart"/>
      <w:r w:rsidRPr="005E3242">
        <w:rPr>
          <w:color w:val="auto"/>
          <w:lang w:val="en-US"/>
        </w:rPr>
        <w:t>PgR</w:t>
      </w:r>
      <w:proofErr w:type="spellEnd"/>
      <w:r w:rsidRPr="005E3242">
        <w:rPr>
          <w:color w:val="auto"/>
          <w:lang w:val="en-US"/>
        </w:rPr>
        <w:t>) positivity.</w:t>
      </w:r>
    </w:p>
    <w:p w14:paraId="2C128E57" w14:textId="77777777" w:rsidR="002D39AA" w:rsidRPr="005E3242" w:rsidRDefault="002D39AA" w:rsidP="00C448E8">
      <w:pPr>
        <w:rPr>
          <w:color w:val="auto"/>
          <w:lang w:val="en-US"/>
        </w:rPr>
      </w:pPr>
      <w:r w:rsidRPr="005E3242">
        <w:rPr>
          <w:color w:val="auto"/>
          <w:lang w:val="en-US"/>
        </w:rPr>
        <w:t xml:space="preserve">  </w:t>
      </w:r>
    </w:p>
    <w:p w14:paraId="5EEB594C" w14:textId="1E3C2799" w:rsidR="002D39AA" w:rsidRPr="005E3242" w:rsidRDefault="002D39AA" w:rsidP="00C448E8">
      <w:pPr>
        <w:rPr>
          <w:color w:val="auto"/>
          <w:lang w:val="en-US"/>
        </w:rPr>
      </w:pPr>
      <w:proofErr w:type="spellStart"/>
      <w:r w:rsidRPr="005E3242">
        <w:rPr>
          <w:color w:val="auto"/>
          <w:lang w:val="en-US"/>
        </w:rPr>
        <w:t>Pertuzumab</w:t>
      </w:r>
      <w:proofErr w:type="spellEnd"/>
      <w:r w:rsidRPr="005E3242">
        <w:rPr>
          <w:color w:val="auto"/>
          <w:lang w:val="en-US"/>
        </w:rPr>
        <w:t xml:space="preserve"> and trastuzumab were administered intravenously as outlined in </w:t>
      </w:r>
      <w:r w:rsidR="004C5CDE">
        <w:rPr>
          <w:color w:val="auto"/>
          <w:lang w:val="en-US"/>
        </w:rPr>
        <w:fldChar w:fldCharType="begin"/>
      </w:r>
      <w:r w:rsidR="004C5CDE">
        <w:rPr>
          <w:color w:val="auto"/>
          <w:lang w:val="en-US"/>
        </w:rPr>
        <w:instrText xml:space="preserve"> REF _Ref66712079 \h </w:instrText>
      </w:r>
      <w:r w:rsidR="004C5CDE">
        <w:rPr>
          <w:color w:val="auto"/>
          <w:lang w:val="en-US"/>
        </w:rPr>
      </w:r>
      <w:r w:rsidR="00C448E8">
        <w:rPr>
          <w:color w:val="auto"/>
          <w:lang w:val="en-US"/>
        </w:rPr>
        <w:instrText xml:space="preserve"> \* MERGEFORMAT </w:instrText>
      </w:r>
      <w:r w:rsidR="004C5CDE">
        <w:rPr>
          <w:color w:val="auto"/>
          <w:lang w:val="en-US"/>
        </w:rPr>
        <w:fldChar w:fldCharType="separate"/>
      </w:r>
      <w:r w:rsidR="00C840A1">
        <w:t xml:space="preserve">Table </w:t>
      </w:r>
      <w:r w:rsidR="00C840A1">
        <w:rPr>
          <w:noProof/>
        </w:rPr>
        <w:t>5</w:t>
      </w:r>
      <w:r w:rsidR="004C5CDE">
        <w:rPr>
          <w:color w:val="auto"/>
          <w:lang w:val="en-US"/>
        </w:rPr>
        <w:fldChar w:fldCharType="end"/>
      </w:r>
      <w:r w:rsidRPr="005E3242">
        <w:rPr>
          <w:color w:val="auto"/>
          <w:lang w:val="en-US"/>
        </w:rPr>
        <w:t xml:space="preserve"> for 4 cycles. Following surgery all patients received three cycles of 5-</w:t>
      </w:r>
      <w:r w:rsidR="00420C3C">
        <w:rPr>
          <w:color w:val="auto"/>
          <w:lang w:val="en-US"/>
        </w:rPr>
        <w:t>f</w:t>
      </w:r>
      <w:r w:rsidRPr="005E3242">
        <w:rPr>
          <w:color w:val="auto"/>
          <w:lang w:val="en-US"/>
        </w:rPr>
        <w:t>luorouracil (600 mg/m</w:t>
      </w:r>
      <w:r w:rsidRPr="005E3242">
        <w:rPr>
          <w:color w:val="auto"/>
          <w:vertAlign w:val="superscript"/>
          <w:lang w:val="en-US"/>
        </w:rPr>
        <w:t>2</w:t>
      </w:r>
      <w:r w:rsidRPr="005E3242">
        <w:rPr>
          <w:color w:val="auto"/>
          <w:lang w:val="en-US"/>
        </w:rPr>
        <w:t xml:space="preserve">), </w:t>
      </w:r>
      <w:proofErr w:type="spellStart"/>
      <w:r w:rsidRPr="005E3242">
        <w:rPr>
          <w:color w:val="auto"/>
          <w:lang w:val="en-US"/>
        </w:rPr>
        <w:t>epirubicin</w:t>
      </w:r>
      <w:proofErr w:type="spellEnd"/>
      <w:r w:rsidRPr="005E3242">
        <w:rPr>
          <w:color w:val="auto"/>
          <w:lang w:val="en-US"/>
        </w:rPr>
        <w:t xml:space="preserve"> (90 mg/m</w:t>
      </w:r>
      <w:r w:rsidRPr="005E3242">
        <w:rPr>
          <w:color w:val="auto"/>
          <w:vertAlign w:val="superscript"/>
          <w:lang w:val="en-US"/>
        </w:rPr>
        <w:t>2</w:t>
      </w:r>
      <w:r w:rsidRPr="005E3242">
        <w:rPr>
          <w:color w:val="auto"/>
          <w:lang w:val="en-US"/>
        </w:rPr>
        <w:t>), cyclophosphamide (600 mg/m</w:t>
      </w:r>
      <w:r w:rsidRPr="005E3242">
        <w:rPr>
          <w:color w:val="auto"/>
          <w:vertAlign w:val="superscript"/>
          <w:lang w:val="en-US"/>
        </w:rPr>
        <w:t>2</w:t>
      </w:r>
      <w:r w:rsidRPr="005E3242">
        <w:rPr>
          <w:color w:val="auto"/>
          <w:lang w:val="en-US"/>
        </w:rPr>
        <w:t xml:space="preserve">) (FEC) given intravenously every three weeks and trastuzumab administered intravenously every three weeks to complete one </w:t>
      </w:r>
      <w:r w:rsidRPr="005E3242">
        <w:rPr>
          <w:color w:val="auto"/>
          <w:lang w:val="en-US"/>
        </w:rPr>
        <w:lastRenderedPageBreak/>
        <w:t xml:space="preserve">year of therapy. Patients in the </w:t>
      </w:r>
      <w:proofErr w:type="spellStart"/>
      <w:r w:rsidRPr="005E3242">
        <w:rPr>
          <w:color w:val="auto"/>
          <w:lang w:val="en-US"/>
        </w:rPr>
        <w:t>pertuzumab</w:t>
      </w:r>
      <w:proofErr w:type="spellEnd"/>
      <w:r w:rsidRPr="005E3242">
        <w:rPr>
          <w:color w:val="auto"/>
          <w:lang w:val="en-US"/>
        </w:rPr>
        <w:t xml:space="preserve"> plus trastuzumab and docetaxel arm received docetaxel every three weeks for four cycles prior to FEC after surgery so that all patients received equivalent cumulative doses of the chemotherapeu</w:t>
      </w:r>
      <w:r w:rsidR="00222856">
        <w:rPr>
          <w:color w:val="auto"/>
          <w:lang w:val="en-US"/>
        </w:rPr>
        <w:t>tic agents and trastuzumab</w:t>
      </w:r>
      <w:r w:rsidRPr="005E3242">
        <w:rPr>
          <w:color w:val="auto"/>
          <w:lang w:val="en-US"/>
        </w:rPr>
        <w:t>.</w:t>
      </w:r>
    </w:p>
    <w:p w14:paraId="05CDB392" w14:textId="77777777" w:rsidR="0078210D" w:rsidRPr="005E3242" w:rsidRDefault="0078210D" w:rsidP="00C448E8">
      <w:pPr>
        <w:rPr>
          <w:color w:val="auto"/>
          <w:lang w:val="en-US"/>
        </w:rPr>
      </w:pPr>
    </w:p>
    <w:p w14:paraId="3F6E9E4A" w14:textId="77777777" w:rsidR="002D39AA" w:rsidRPr="005E3242" w:rsidRDefault="002D39AA" w:rsidP="00C448E8">
      <w:pPr>
        <w:rPr>
          <w:color w:val="auto"/>
          <w:lang w:val="en-US"/>
        </w:rPr>
      </w:pPr>
      <w:r w:rsidRPr="005E3242">
        <w:rPr>
          <w:color w:val="auto"/>
          <w:lang w:val="en-US"/>
        </w:rPr>
        <w:t>The primary endpoint of the study was pathological complete response (</w:t>
      </w:r>
      <w:proofErr w:type="spellStart"/>
      <w:r w:rsidRPr="005E3242">
        <w:rPr>
          <w:color w:val="auto"/>
          <w:lang w:val="en-US"/>
        </w:rPr>
        <w:t>pCR</w:t>
      </w:r>
      <w:proofErr w:type="spellEnd"/>
      <w:r w:rsidRPr="005E3242">
        <w:rPr>
          <w:color w:val="auto"/>
          <w:lang w:val="en-US"/>
        </w:rPr>
        <w:t xml:space="preserve">) rate in the breast (ypT0/is). Secondary efficacy endpoints were clinical response rate, breast conserving surgery rate (T2-3 only), disease-free survival (DFS), and PFS. Additional exploratory </w:t>
      </w:r>
      <w:proofErr w:type="spellStart"/>
      <w:r w:rsidRPr="005E3242">
        <w:rPr>
          <w:color w:val="auto"/>
          <w:lang w:val="en-US"/>
        </w:rPr>
        <w:t>pCR</w:t>
      </w:r>
      <w:proofErr w:type="spellEnd"/>
      <w:r w:rsidRPr="005E3242">
        <w:rPr>
          <w:color w:val="auto"/>
          <w:lang w:val="en-US"/>
        </w:rPr>
        <w:t xml:space="preserve"> rates included nodal st</w:t>
      </w:r>
      <w:r w:rsidR="00222856">
        <w:rPr>
          <w:color w:val="auto"/>
          <w:lang w:val="en-US"/>
        </w:rPr>
        <w:t>atus (ypT0/isN0 and ypT0N0)</w:t>
      </w:r>
      <w:r w:rsidRPr="005E3242">
        <w:rPr>
          <w:color w:val="auto"/>
          <w:lang w:val="en-US"/>
        </w:rPr>
        <w:t>.</w:t>
      </w:r>
    </w:p>
    <w:p w14:paraId="11BB43D8" w14:textId="77777777" w:rsidR="002D39AA" w:rsidRPr="005E3242" w:rsidRDefault="002D39AA" w:rsidP="00C448E8">
      <w:pPr>
        <w:rPr>
          <w:color w:val="auto"/>
          <w:lang w:val="en-US"/>
        </w:rPr>
      </w:pPr>
    </w:p>
    <w:p w14:paraId="58266978" w14:textId="6BC5FF19" w:rsidR="002D39AA" w:rsidRPr="005E3242" w:rsidRDefault="002D39AA" w:rsidP="00C448E8">
      <w:pPr>
        <w:rPr>
          <w:color w:val="auto"/>
          <w:lang w:val="en-US"/>
        </w:rPr>
      </w:pPr>
      <w:r w:rsidRPr="005E3242">
        <w:rPr>
          <w:color w:val="auto"/>
          <w:lang w:val="en-US"/>
        </w:rPr>
        <w:t>Demographics were balanced</w:t>
      </w:r>
      <w:r w:rsidR="004C5CDE">
        <w:rPr>
          <w:color w:val="auto"/>
          <w:lang w:val="en-US"/>
        </w:rPr>
        <w:t xml:space="preserve"> between treatment arms. The </w:t>
      </w:r>
      <w:r w:rsidRPr="005E3242">
        <w:rPr>
          <w:color w:val="auto"/>
          <w:lang w:val="en-US"/>
        </w:rPr>
        <w:t xml:space="preserve">median age was 49-50 years, the majority were Caucasian (71%) and all </w:t>
      </w:r>
      <w:r w:rsidR="004C5CDE">
        <w:rPr>
          <w:color w:val="auto"/>
          <w:lang w:val="en-US"/>
        </w:rPr>
        <w:t xml:space="preserve">patients </w:t>
      </w:r>
      <w:r w:rsidRPr="005E3242">
        <w:rPr>
          <w:color w:val="auto"/>
          <w:lang w:val="en-US"/>
        </w:rPr>
        <w:t>were female. Overall</w:t>
      </w:r>
      <w:r w:rsidR="00420C3C">
        <w:rPr>
          <w:color w:val="auto"/>
          <w:lang w:val="en-US"/>
        </w:rPr>
        <w:t>,</w:t>
      </w:r>
      <w:r w:rsidRPr="005E3242">
        <w:rPr>
          <w:color w:val="auto"/>
          <w:lang w:val="en-US"/>
        </w:rPr>
        <w:t xml:space="preserve"> 7% of patients had inflammatory breast cancer, 32% had locally advanced breast cancer and 61% had operable breast cancer. Approximately half the patients in each treatment group had hormone receptor-positive disease (defined as ER positive and/or </w:t>
      </w:r>
      <w:proofErr w:type="spellStart"/>
      <w:r w:rsidRPr="005E3242">
        <w:rPr>
          <w:color w:val="auto"/>
          <w:lang w:val="en-US"/>
        </w:rPr>
        <w:t>PgR</w:t>
      </w:r>
      <w:proofErr w:type="spellEnd"/>
      <w:r w:rsidRPr="005E3242">
        <w:rPr>
          <w:color w:val="auto"/>
          <w:lang w:val="en-US"/>
        </w:rPr>
        <w:t xml:space="preserve"> posi</w:t>
      </w:r>
      <w:r w:rsidR="00222856">
        <w:rPr>
          <w:color w:val="auto"/>
          <w:lang w:val="en-US"/>
        </w:rPr>
        <w:t>tive)</w:t>
      </w:r>
      <w:r w:rsidRPr="005E3242">
        <w:rPr>
          <w:color w:val="auto"/>
          <w:lang w:val="en-US"/>
        </w:rPr>
        <w:t>.</w:t>
      </w:r>
    </w:p>
    <w:p w14:paraId="54A8FCAE" w14:textId="77777777" w:rsidR="002D39AA" w:rsidRPr="005E3242" w:rsidRDefault="002D39AA" w:rsidP="00C448E8">
      <w:pPr>
        <w:rPr>
          <w:b/>
          <w:color w:val="auto"/>
          <w:lang w:val="en-US"/>
        </w:rPr>
      </w:pPr>
    </w:p>
    <w:p w14:paraId="71F2821D" w14:textId="04C7E11E" w:rsidR="002D39AA" w:rsidRPr="005E3242" w:rsidRDefault="002D39AA" w:rsidP="00C448E8">
      <w:pPr>
        <w:rPr>
          <w:color w:val="auto"/>
          <w:lang w:val="en-US"/>
        </w:rPr>
      </w:pPr>
      <w:r w:rsidRPr="005E3242">
        <w:rPr>
          <w:color w:val="auto"/>
          <w:lang w:val="en-US"/>
        </w:rPr>
        <w:t xml:space="preserve">The efficacy results are </w:t>
      </w:r>
      <w:proofErr w:type="spellStart"/>
      <w:r w:rsidRPr="005E3242">
        <w:rPr>
          <w:color w:val="auto"/>
          <w:lang w:val="en-US"/>
        </w:rPr>
        <w:t>summari</w:t>
      </w:r>
      <w:r w:rsidR="00420C3C">
        <w:rPr>
          <w:color w:val="auto"/>
          <w:lang w:val="en-US"/>
        </w:rPr>
        <w:t>s</w:t>
      </w:r>
      <w:r w:rsidRPr="005E3242">
        <w:rPr>
          <w:color w:val="auto"/>
          <w:lang w:val="en-US"/>
        </w:rPr>
        <w:t>ed</w:t>
      </w:r>
      <w:proofErr w:type="spellEnd"/>
      <w:r w:rsidRPr="005E3242">
        <w:rPr>
          <w:color w:val="auto"/>
          <w:lang w:val="en-US"/>
        </w:rPr>
        <w:t xml:space="preserve"> in </w:t>
      </w:r>
      <w:r w:rsidR="004C5CDE">
        <w:rPr>
          <w:color w:val="auto"/>
          <w:lang w:val="en-US"/>
        </w:rPr>
        <w:fldChar w:fldCharType="begin"/>
      </w:r>
      <w:r w:rsidR="004C5CDE">
        <w:rPr>
          <w:color w:val="auto"/>
          <w:lang w:val="en-US"/>
        </w:rPr>
        <w:instrText xml:space="preserve"> REF _Ref66712349 \h </w:instrText>
      </w:r>
      <w:r w:rsidR="004C5CDE">
        <w:rPr>
          <w:color w:val="auto"/>
          <w:lang w:val="en-US"/>
        </w:rPr>
      </w:r>
      <w:r w:rsidR="00C448E8">
        <w:rPr>
          <w:color w:val="auto"/>
          <w:lang w:val="en-US"/>
        </w:rPr>
        <w:instrText xml:space="preserve"> \* MERGEFORMAT </w:instrText>
      </w:r>
      <w:r w:rsidR="004C5CDE">
        <w:rPr>
          <w:color w:val="auto"/>
          <w:lang w:val="en-US"/>
        </w:rPr>
        <w:fldChar w:fldCharType="separate"/>
      </w:r>
      <w:r w:rsidR="00C840A1">
        <w:t xml:space="preserve">Table </w:t>
      </w:r>
      <w:r w:rsidR="00C840A1">
        <w:rPr>
          <w:noProof/>
        </w:rPr>
        <w:t>7</w:t>
      </w:r>
      <w:r w:rsidR="004C5CDE">
        <w:rPr>
          <w:color w:val="auto"/>
          <w:lang w:val="en-US"/>
        </w:rPr>
        <w:fldChar w:fldCharType="end"/>
      </w:r>
      <w:r w:rsidR="004C5CDE">
        <w:rPr>
          <w:color w:val="auto"/>
          <w:lang w:val="en-US"/>
        </w:rPr>
        <w:t xml:space="preserve"> (with the results of the TRYPHAENA study)</w:t>
      </w:r>
      <w:r w:rsidRPr="005E3242">
        <w:rPr>
          <w:color w:val="auto"/>
          <w:lang w:val="en-US"/>
        </w:rPr>
        <w:t xml:space="preserve">. A statistically significant and clinically meaningful improvement in </w:t>
      </w:r>
      <w:proofErr w:type="spellStart"/>
      <w:r w:rsidRPr="005E3242">
        <w:rPr>
          <w:color w:val="auto"/>
          <w:lang w:val="en-US"/>
        </w:rPr>
        <w:t>pCR</w:t>
      </w:r>
      <w:proofErr w:type="spellEnd"/>
      <w:r w:rsidRPr="005E3242">
        <w:rPr>
          <w:color w:val="auto"/>
          <w:lang w:val="en-US"/>
        </w:rPr>
        <w:t xml:space="preserve"> rate (ypT0/is) was observed in patients receiving </w:t>
      </w:r>
      <w:proofErr w:type="spellStart"/>
      <w:r w:rsidRPr="005E3242">
        <w:rPr>
          <w:color w:val="auto"/>
          <w:lang w:val="en-US"/>
        </w:rPr>
        <w:t>pertuzumab</w:t>
      </w:r>
      <w:proofErr w:type="spellEnd"/>
      <w:r w:rsidRPr="005E3242">
        <w:rPr>
          <w:color w:val="auto"/>
          <w:lang w:val="en-US"/>
        </w:rPr>
        <w:t xml:space="preserve"> plus trastuzumab and docetaxel compared to patients receiving trastuzumab and docetaxel (45.8% vs 29.0%, p value = 0.0141). A consistent pattern of results was observed regardless of </w:t>
      </w:r>
      <w:proofErr w:type="spellStart"/>
      <w:r w:rsidRPr="005E3242">
        <w:rPr>
          <w:color w:val="auto"/>
          <w:lang w:val="en-US"/>
        </w:rPr>
        <w:t>pCR</w:t>
      </w:r>
      <w:proofErr w:type="spellEnd"/>
      <w:r w:rsidRPr="005E3242">
        <w:rPr>
          <w:color w:val="auto"/>
          <w:lang w:val="en-US"/>
        </w:rPr>
        <w:t xml:space="preserve"> definition.</w:t>
      </w:r>
    </w:p>
    <w:p w14:paraId="7F7689BE" w14:textId="77777777" w:rsidR="002D39AA" w:rsidRPr="005E3242" w:rsidRDefault="002D39AA" w:rsidP="00C448E8">
      <w:pPr>
        <w:rPr>
          <w:color w:val="auto"/>
          <w:lang w:val="en-US"/>
        </w:rPr>
      </w:pPr>
    </w:p>
    <w:p w14:paraId="018F3DEE" w14:textId="77777777" w:rsidR="002D39AA" w:rsidRPr="005E3242" w:rsidRDefault="002D39AA" w:rsidP="00C448E8">
      <w:pPr>
        <w:rPr>
          <w:color w:val="auto"/>
          <w:lang w:val="en-US"/>
        </w:rPr>
      </w:pPr>
      <w:r w:rsidRPr="005E3242">
        <w:rPr>
          <w:color w:val="auto"/>
          <w:lang w:val="en-US"/>
        </w:rPr>
        <w:t>Pathological complete response (</w:t>
      </w:r>
      <w:proofErr w:type="spellStart"/>
      <w:r w:rsidRPr="005E3242">
        <w:rPr>
          <w:color w:val="auto"/>
          <w:lang w:val="en-US"/>
        </w:rPr>
        <w:t>pCR</w:t>
      </w:r>
      <w:proofErr w:type="spellEnd"/>
      <w:r w:rsidRPr="005E3242">
        <w:rPr>
          <w:color w:val="auto"/>
          <w:lang w:val="en-US"/>
        </w:rPr>
        <w:t xml:space="preserve">) rates as well as the magnitude of improvement with </w:t>
      </w:r>
      <w:proofErr w:type="spellStart"/>
      <w:r w:rsidRPr="005E3242">
        <w:rPr>
          <w:color w:val="auto"/>
          <w:lang w:val="en-US"/>
        </w:rPr>
        <w:t>pertuzumab</w:t>
      </w:r>
      <w:proofErr w:type="spellEnd"/>
      <w:r w:rsidRPr="005E3242">
        <w:rPr>
          <w:color w:val="auto"/>
          <w:lang w:val="en-US"/>
        </w:rPr>
        <w:t xml:space="preserve"> were lower in the subgroup of patients with hormone receptor-positive tumors than in patients with hormone receptor-negative tumors (5.9% to 26.0% and 27.3% to 63.2%, respectively). </w:t>
      </w:r>
    </w:p>
    <w:p w14:paraId="266C72B9" w14:textId="01EA4F19" w:rsidR="002D39AA" w:rsidRPr="005E3242" w:rsidRDefault="002D39AA" w:rsidP="00C448E8">
      <w:pPr>
        <w:pStyle w:val="Heading6"/>
        <w:rPr>
          <w:lang w:val="en-US"/>
        </w:rPr>
      </w:pPr>
      <w:r w:rsidRPr="005E3242">
        <w:rPr>
          <w:lang w:val="en-US"/>
        </w:rPr>
        <w:t>TRYPHAENA</w:t>
      </w:r>
      <w:r w:rsidR="0078210D" w:rsidRPr="005E3242">
        <w:rPr>
          <w:lang w:val="en-US"/>
        </w:rPr>
        <w:t xml:space="preserve"> (</w:t>
      </w:r>
      <w:r w:rsidR="0078210D" w:rsidRPr="005E3242">
        <w:t>BO22280)</w:t>
      </w:r>
      <w:r w:rsidR="004C5CDE">
        <w:t xml:space="preserve"> – neoadjuvant</w:t>
      </w:r>
      <w:r w:rsidR="007B2707">
        <w:t xml:space="preserve"> treatment of EBC</w:t>
      </w:r>
      <w:r w:rsidR="004C5CDE">
        <w:t xml:space="preserve"> followed by adjuvant trastuzumab</w:t>
      </w:r>
    </w:p>
    <w:p w14:paraId="2979F75A" w14:textId="77777777" w:rsidR="0078210D" w:rsidRPr="005E3242" w:rsidRDefault="0078210D" w:rsidP="00C448E8">
      <w:pPr>
        <w:rPr>
          <w:color w:val="auto"/>
          <w:lang w:val="en-US"/>
        </w:rPr>
      </w:pPr>
    </w:p>
    <w:p w14:paraId="471310DC" w14:textId="409BEB53" w:rsidR="002D39AA" w:rsidRPr="005E3242" w:rsidRDefault="002D39AA" w:rsidP="00C448E8">
      <w:pPr>
        <w:rPr>
          <w:color w:val="auto"/>
          <w:lang w:val="en-US"/>
        </w:rPr>
      </w:pPr>
      <w:r w:rsidRPr="005E3242">
        <w:rPr>
          <w:color w:val="auto"/>
          <w:lang w:val="en-US"/>
        </w:rPr>
        <w:t xml:space="preserve">TRYPHAENA </w:t>
      </w:r>
      <w:r w:rsidR="00420C3C">
        <w:rPr>
          <w:color w:val="auto"/>
          <w:lang w:val="en-US"/>
        </w:rPr>
        <w:t>wa</w:t>
      </w:r>
      <w:r w:rsidR="00420C3C" w:rsidRPr="005E3242">
        <w:rPr>
          <w:color w:val="auto"/>
          <w:lang w:val="en-US"/>
        </w:rPr>
        <w:t xml:space="preserve">s </w:t>
      </w:r>
      <w:r w:rsidRPr="005E3242">
        <w:rPr>
          <w:color w:val="auto"/>
          <w:lang w:val="en-US"/>
        </w:rPr>
        <w:t xml:space="preserve">a </w:t>
      </w:r>
      <w:proofErr w:type="spellStart"/>
      <w:r w:rsidRPr="005E3242">
        <w:rPr>
          <w:color w:val="auto"/>
          <w:lang w:val="en-US"/>
        </w:rPr>
        <w:t>multicent</w:t>
      </w:r>
      <w:r w:rsidR="00420C3C">
        <w:rPr>
          <w:color w:val="auto"/>
          <w:lang w:val="en-US"/>
        </w:rPr>
        <w:t>r</w:t>
      </w:r>
      <w:r w:rsidRPr="005E3242">
        <w:rPr>
          <w:color w:val="auto"/>
          <w:lang w:val="en-US"/>
        </w:rPr>
        <w:t>e</w:t>
      </w:r>
      <w:proofErr w:type="spellEnd"/>
      <w:r w:rsidRPr="005E3242">
        <w:rPr>
          <w:color w:val="auto"/>
          <w:lang w:val="en-US"/>
        </w:rPr>
        <w:t xml:space="preserve">, </w:t>
      </w:r>
      <w:proofErr w:type="spellStart"/>
      <w:r w:rsidRPr="005E3242">
        <w:rPr>
          <w:color w:val="auto"/>
          <w:lang w:val="en-US"/>
        </w:rPr>
        <w:t>randomi</w:t>
      </w:r>
      <w:r w:rsidR="00420C3C">
        <w:rPr>
          <w:color w:val="auto"/>
          <w:lang w:val="en-US"/>
        </w:rPr>
        <w:t>s</w:t>
      </w:r>
      <w:r w:rsidRPr="005E3242">
        <w:rPr>
          <w:color w:val="auto"/>
          <w:lang w:val="en-US"/>
        </w:rPr>
        <w:t>ed</w:t>
      </w:r>
      <w:proofErr w:type="spellEnd"/>
      <w:r w:rsidR="00420C3C">
        <w:rPr>
          <w:color w:val="auto"/>
          <w:lang w:val="en-US"/>
        </w:rPr>
        <w:t>, open-label</w:t>
      </w:r>
      <w:r w:rsidRPr="005E3242">
        <w:rPr>
          <w:color w:val="auto"/>
          <w:lang w:val="en-US"/>
        </w:rPr>
        <w:t xml:space="preserve"> Phase </w:t>
      </w:r>
      <w:r w:rsidR="00420C3C">
        <w:rPr>
          <w:color w:val="auto"/>
          <w:lang w:val="en-US"/>
        </w:rPr>
        <w:t>II</w:t>
      </w:r>
      <w:r w:rsidRPr="005E3242">
        <w:rPr>
          <w:color w:val="auto"/>
          <w:lang w:val="en-US"/>
        </w:rPr>
        <w:t xml:space="preserve"> clinical study conducted in 225 patients with HER2-positive locally advanced, operable, or inflammatory (T2-4d) breast cancer. Patients were </w:t>
      </w:r>
      <w:proofErr w:type="spellStart"/>
      <w:r w:rsidRPr="005E3242">
        <w:rPr>
          <w:color w:val="auto"/>
          <w:lang w:val="en-US"/>
        </w:rPr>
        <w:t>randomi</w:t>
      </w:r>
      <w:r w:rsidR="004C5CDE">
        <w:rPr>
          <w:color w:val="auto"/>
          <w:lang w:val="en-US"/>
        </w:rPr>
        <w:t>s</w:t>
      </w:r>
      <w:r w:rsidRPr="005E3242">
        <w:rPr>
          <w:color w:val="auto"/>
          <w:lang w:val="en-US"/>
        </w:rPr>
        <w:t>ed</w:t>
      </w:r>
      <w:proofErr w:type="spellEnd"/>
      <w:r w:rsidRPr="005E3242">
        <w:rPr>
          <w:color w:val="auto"/>
          <w:lang w:val="en-US"/>
        </w:rPr>
        <w:t xml:space="preserve"> to receive one of three neoadjuvant regimens prior to surgery as follows: 3 cycles of FEC followed by 3 cycles of docetaxel all in combination with </w:t>
      </w:r>
      <w:proofErr w:type="spellStart"/>
      <w:r w:rsidRPr="005E3242">
        <w:rPr>
          <w:color w:val="auto"/>
          <w:lang w:val="en-US"/>
        </w:rPr>
        <w:t>pertuzumab</w:t>
      </w:r>
      <w:proofErr w:type="spellEnd"/>
      <w:r w:rsidRPr="005E3242">
        <w:rPr>
          <w:color w:val="auto"/>
          <w:lang w:val="en-US"/>
        </w:rPr>
        <w:t xml:space="preserve"> and trastuzumab, 3 cycles of FEC alone followed by 3 cycles of docetaxel and trastuzumab in combination with </w:t>
      </w:r>
      <w:proofErr w:type="spellStart"/>
      <w:r w:rsidRPr="005E3242">
        <w:rPr>
          <w:color w:val="auto"/>
          <w:lang w:val="en-US"/>
        </w:rPr>
        <w:t>pertuzumab</w:t>
      </w:r>
      <w:proofErr w:type="spellEnd"/>
      <w:r w:rsidRPr="005E3242">
        <w:rPr>
          <w:color w:val="auto"/>
          <w:lang w:val="en-US"/>
        </w:rPr>
        <w:t xml:space="preserve">, or 6 cycles of TCH in combination with </w:t>
      </w:r>
      <w:proofErr w:type="spellStart"/>
      <w:r w:rsidRPr="005E3242">
        <w:rPr>
          <w:color w:val="auto"/>
          <w:lang w:val="en-US"/>
        </w:rPr>
        <w:t>pertuzumab</w:t>
      </w:r>
      <w:proofErr w:type="spellEnd"/>
      <w:r w:rsidRPr="005E3242">
        <w:rPr>
          <w:color w:val="auto"/>
          <w:lang w:val="en-US"/>
        </w:rPr>
        <w:t xml:space="preserve">. </w:t>
      </w:r>
      <w:proofErr w:type="spellStart"/>
      <w:r w:rsidRPr="005E3242">
        <w:rPr>
          <w:color w:val="auto"/>
          <w:lang w:val="en-US"/>
        </w:rPr>
        <w:t>Randomi</w:t>
      </w:r>
      <w:r w:rsidR="004C5CDE">
        <w:rPr>
          <w:color w:val="auto"/>
          <w:lang w:val="en-US"/>
        </w:rPr>
        <w:t>s</w:t>
      </w:r>
      <w:r w:rsidRPr="005E3242">
        <w:rPr>
          <w:color w:val="auto"/>
          <w:lang w:val="en-US"/>
        </w:rPr>
        <w:t>ation</w:t>
      </w:r>
      <w:proofErr w:type="spellEnd"/>
      <w:r w:rsidRPr="005E3242">
        <w:rPr>
          <w:color w:val="auto"/>
          <w:lang w:val="en-US"/>
        </w:rPr>
        <w:t xml:space="preserve"> was stratified by breast cancer type (operable, locally advanced, or inflammatory) and ER and /or </w:t>
      </w:r>
      <w:proofErr w:type="spellStart"/>
      <w:r w:rsidRPr="005E3242">
        <w:rPr>
          <w:color w:val="auto"/>
          <w:lang w:val="en-US"/>
        </w:rPr>
        <w:t>PgR</w:t>
      </w:r>
      <w:proofErr w:type="spellEnd"/>
      <w:r w:rsidRPr="005E3242">
        <w:rPr>
          <w:color w:val="auto"/>
          <w:lang w:val="en-US"/>
        </w:rPr>
        <w:t xml:space="preserve"> positivity. </w:t>
      </w:r>
    </w:p>
    <w:p w14:paraId="417AA79B" w14:textId="77777777" w:rsidR="002D39AA" w:rsidRPr="005E3242" w:rsidRDefault="002D39AA" w:rsidP="00C448E8">
      <w:pPr>
        <w:rPr>
          <w:color w:val="auto"/>
          <w:lang w:val="en-US"/>
        </w:rPr>
      </w:pPr>
    </w:p>
    <w:p w14:paraId="197CBD6D" w14:textId="0313E8C9" w:rsidR="002D39AA" w:rsidRPr="005E3242" w:rsidRDefault="002D39AA" w:rsidP="00C448E8">
      <w:pPr>
        <w:rPr>
          <w:color w:val="auto"/>
          <w:lang w:val="en-US"/>
        </w:rPr>
      </w:pPr>
      <w:proofErr w:type="spellStart"/>
      <w:r w:rsidRPr="005E3242">
        <w:rPr>
          <w:color w:val="auto"/>
          <w:lang w:val="en-US"/>
        </w:rPr>
        <w:t>Pertuzumab</w:t>
      </w:r>
      <w:proofErr w:type="spellEnd"/>
      <w:r w:rsidRPr="005E3242">
        <w:rPr>
          <w:color w:val="auto"/>
          <w:lang w:val="en-US"/>
        </w:rPr>
        <w:t xml:space="preserve"> and trastuzumab were administered intravenously as outlined in</w:t>
      </w:r>
      <w:r w:rsidR="004C5CDE">
        <w:rPr>
          <w:color w:val="auto"/>
          <w:lang w:val="en-US"/>
        </w:rPr>
        <w:t xml:space="preserve"> </w:t>
      </w:r>
      <w:r w:rsidR="004C5CDE">
        <w:rPr>
          <w:color w:val="auto"/>
          <w:lang w:val="en-US"/>
        </w:rPr>
        <w:fldChar w:fldCharType="begin"/>
      </w:r>
      <w:r w:rsidR="004C5CDE">
        <w:rPr>
          <w:color w:val="auto"/>
          <w:lang w:val="en-US"/>
        </w:rPr>
        <w:instrText xml:space="preserve"> REF _Ref66712079 \h </w:instrText>
      </w:r>
      <w:r w:rsidR="004C5CDE">
        <w:rPr>
          <w:color w:val="auto"/>
          <w:lang w:val="en-US"/>
        </w:rPr>
      </w:r>
      <w:r w:rsidR="00C448E8">
        <w:rPr>
          <w:color w:val="auto"/>
          <w:lang w:val="en-US"/>
        </w:rPr>
        <w:instrText xml:space="preserve"> \* MERGEFORMAT </w:instrText>
      </w:r>
      <w:r w:rsidR="004C5CDE">
        <w:rPr>
          <w:color w:val="auto"/>
          <w:lang w:val="en-US"/>
        </w:rPr>
        <w:fldChar w:fldCharType="separate"/>
      </w:r>
      <w:r w:rsidR="00C840A1">
        <w:t xml:space="preserve">Table </w:t>
      </w:r>
      <w:r w:rsidR="00C840A1">
        <w:rPr>
          <w:noProof/>
        </w:rPr>
        <w:t>5</w:t>
      </w:r>
      <w:r w:rsidR="004C5CDE">
        <w:rPr>
          <w:color w:val="auto"/>
          <w:lang w:val="en-US"/>
        </w:rPr>
        <w:fldChar w:fldCharType="end"/>
      </w:r>
      <w:r w:rsidRPr="005E3242">
        <w:rPr>
          <w:color w:val="auto"/>
          <w:lang w:val="en-US"/>
        </w:rPr>
        <w:t>. 5-Fluorouracil (500 mg/m</w:t>
      </w:r>
      <w:r w:rsidRPr="005E3242">
        <w:rPr>
          <w:color w:val="auto"/>
          <w:vertAlign w:val="superscript"/>
          <w:lang w:val="en-US"/>
        </w:rPr>
        <w:t>2</w:t>
      </w:r>
      <w:r w:rsidRPr="005E3242">
        <w:rPr>
          <w:color w:val="auto"/>
          <w:lang w:val="en-US"/>
        </w:rPr>
        <w:t xml:space="preserve">), </w:t>
      </w:r>
      <w:proofErr w:type="spellStart"/>
      <w:r w:rsidRPr="005E3242">
        <w:rPr>
          <w:color w:val="auto"/>
          <w:lang w:val="en-US"/>
        </w:rPr>
        <w:t>epirubicin</w:t>
      </w:r>
      <w:proofErr w:type="spellEnd"/>
      <w:r w:rsidRPr="005E3242">
        <w:rPr>
          <w:color w:val="auto"/>
          <w:lang w:val="en-US"/>
        </w:rPr>
        <w:t xml:space="preserve"> (100 mg/m</w:t>
      </w:r>
      <w:r w:rsidRPr="005E3242">
        <w:rPr>
          <w:color w:val="auto"/>
          <w:vertAlign w:val="superscript"/>
          <w:lang w:val="en-US"/>
        </w:rPr>
        <w:t>2</w:t>
      </w:r>
      <w:r w:rsidRPr="005E3242">
        <w:rPr>
          <w:color w:val="auto"/>
          <w:lang w:val="en-US"/>
        </w:rPr>
        <w:t>), cyclophosphamide (600 mg/m</w:t>
      </w:r>
      <w:r w:rsidRPr="005E3242">
        <w:rPr>
          <w:color w:val="auto"/>
          <w:vertAlign w:val="superscript"/>
          <w:lang w:val="en-US"/>
        </w:rPr>
        <w:t>2</w:t>
      </w:r>
      <w:r w:rsidRPr="005E3242">
        <w:rPr>
          <w:color w:val="auto"/>
          <w:lang w:val="en-US"/>
        </w:rPr>
        <w:t>) were given intravenously every three weeks for 3 cycles.  Docetaxel was given as an initial dose of 75 mg/m</w:t>
      </w:r>
      <w:r w:rsidRPr="005E3242">
        <w:rPr>
          <w:color w:val="auto"/>
          <w:vertAlign w:val="superscript"/>
          <w:lang w:val="en-US"/>
        </w:rPr>
        <w:t>2</w:t>
      </w:r>
      <w:r w:rsidRPr="005E3242">
        <w:rPr>
          <w:color w:val="auto"/>
          <w:lang w:val="en-US"/>
        </w:rPr>
        <w:t xml:space="preserve"> IV infusion every three weeks with the option to escalate to 100 mg/m</w:t>
      </w:r>
      <w:r w:rsidRPr="005E3242">
        <w:rPr>
          <w:color w:val="auto"/>
          <w:vertAlign w:val="superscript"/>
          <w:lang w:val="en-US"/>
        </w:rPr>
        <w:t>2</w:t>
      </w:r>
      <w:r w:rsidRPr="005E3242">
        <w:rPr>
          <w:color w:val="auto"/>
          <w:lang w:val="en-US"/>
        </w:rPr>
        <w:t xml:space="preserve"> at the investigator’s discretion if the initial dose was well tolerated.  However, in the </w:t>
      </w:r>
      <w:proofErr w:type="spellStart"/>
      <w:r w:rsidRPr="005E3242">
        <w:rPr>
          <w:color w:val="auto"/>
          <w:lang w:val="en-US"/>
        </w:rPr>
        <w:t>pertuzumab</w:t>
      </w:r>
      <w:proofErr w:type="spellEnd"/>
      <w:r w:rsidRPr="005E3242">
        <w:rPr>
          <w:color w:val="auto"/>
          <w:lang w:val="en-US"/>
        </w:rPr>
        <w:t xml:space="preserve"> in combination with TCH arm, docetaxel was given intravenously at 75 mg/m</w:t>
      </w:r>
      <w:r w:rsidRPr="005E3242">
        <w:rPr>
          <w:color w:val="auto"/>
          <w:vertAlign w:val="superscript"/>
          <w:lang w:val="en-US"/>
        </w:rPr>
        <w:t>2</w:t>
      </w:r>
      <w:r w:rsidRPr="005E3242">
        <w:rPr>
          <w:color w:val="auto"/>
          <w:lang w:val="en-US"/>
        </w:rPr>
        <w:t xml:space="preserve"> and no escalation was permitted and carboplatin (AUC 6) was given intravenously every three weeks. Following surgery all patients received trastuzumab to complete one year of therapy, which was administered</w:t>
      </w:r>
      <w:r w:rsidR="00222856">
        <w:rPr>
          <w:color w:val="auto"/>
          <w:lang w:val="en-US"/>
        </w:rPr>
        <w:t xml:space="preserve"> intravenously every 3 weeks</w:t>
      </w:r>
      <w:r w:rsidRPr="005E3242">
        <w:rPr>
          <w:color w:val="auto"/>
          <w:lang w:val="en-US"/>
        </w:rPr>
        <w:t>.</w:t>
      </w:r>
    </w:p>
    <w:p w14:paraId="617BC973" w14:textId="77777777" w:rsidR="002D39AA" w:rsidRPr="005E3242" w:rsidRDefault="002D39AA" w:rsidP="00C448E8">
      <w:pPr>
        <w:rPr>
          <w:color w:val="auto"/>
          <w:lang w:val="en-US"/>
        </w:rPr>
      </w:pPr>
    </w:p>
    <w:p w14:paraId="64EC2C39" w14:textId="32E63464" w:rsidR="002D39AA" w:rsidRPr="005E3242" w:rsidRDefault="002D39AA" w:rsidP="00C448E8">
      <w:pPr>
        <w:rPr>
          <w:bCs/>
          <w:color w:val="auto"/>
          <w:lang w:val="en-US"/>
        </w:rPr>
      </w:pPr>
      <w:r w:rsidRPr="005E3242">
        <w:rPr>
          <w:color w:val="auto"/>
          <w:lang w:val="en-US"/>
        </w:rPr>
        <w:t xml:space="preserve">The primary endpoint of this study was cardiac safety during the neoadjuvant treatment period of the study </w:t>
      </w:r>
      <w:r w:rsidRPr="00107F79">
        <w:rPr>
          <w:color w:val="auto"/>
          <w:lang w:val="en-US"/>
        </w:rPr>
        <w:t>(</w:t>
      </w:r>
      <w:r w:rsidR="001E0DBF" w:rsidRPr="00107F79">
        <w:rPr>
          <w:color w:val="auto"/>
          <w:lang w:val="en-US"/>
        </w:rPr>
        <w:t xml:space="preserve">see </w:t>
      </w:r>
      <w:r w:rsidR="00107F79" w:rsidRPr="006B2154">
        <w:rPr>
          <w:i/>
          <w:color w:val="auto"/>
          <w:lang w:val="en-US"/>
        </w:rPr>
        <w:t>4.4 Special warnings and precautions for use</w:t>
      </w:r>
      <w:r w:rsidRPr="00107F79">
        <w:rPr>
          <w:color w:val="auto"/>
          <w:lang w:val="en-US"/>
        </w:rPr>
        <w:t>).</w:t>
      </w:r>
      <w:r w:rsidRPr="005E3242">
        <w:rPr>
          <w:color w:val="auto"/>
          <w:lang w:val="en-US"/>
        </w:rPr>
        <w:t xml:space="preserve">  Secondary efficacy endpoints were </w:t>
      </w:r>
      <w:proofErr w:type="spellStart"/>
      <w:r w:rsidRPr="005E3242">
        <w:rPr>
          <w:color w:val="auto"/>
          <w:lang w:val="en-US"/>
        </w:rPr>
        <w:t>pCR</w:t>
      </w:r>
      <w:proofErr w:type="spellEnd"/>
      <w:r w:rsidRPr="005E3242">
        <w:rPr>
          <w:color w:val="auto"/>
          <w:lang w:val="en-US"/>
        </w:rPr>
        <w:t xml:space="preserve"> rate in the breast (ypT0/is), DFS, PFS and OS</w:t>
      </w:r>
      <w:r w:rsidRPr="005E3242">
        <w:rPr>
          <w:bCs/>
          <w:color w:val="auto"/>
          <w:lang w:val="en-US"/>
        </w:rPr>
        <w:t>.</w:t>
      </w:r>
    </w:p>
    <w:p w14:paraId="0F614D3D" w14:textId="4339250D" w:rsidR="002D39AA" w:rsidRPr="005E3242" w:rsidRDefault="002D39AA" w:rsidP="00C448E8">
      <w:pPr>
        <w:rPr>
          <w:color w:val="auto"/>
          <w:lang w:val="en-US"/>
        </w:rPr>
      </w:pPr>
      <w:r w:rsidRPr="005E3242">
        <w:rPr>
          <w:color w:val="auto"/>
          <w:lang w:val="en-US"/>
        </w:rPr>
        <w:lastRenderedPageBreak/>
        <w:t xml:space="preserve">Demographics were balanced </w:t>
      </w:r>
      <w:r w:rsidR="004C5CDE">
        <w:rPr>
          <w:color w:val="auto"/>
          <w:lang w:val="en-US"/>
        </w:rPr>
        <w:t xml:space="preserve">between treatment arms. The </w:t>
      </w:r>
      <w:r w:rsidRPr="005E3242">
        <w:rPr>
          <w:color w:val="auto"/>
          <w:lang w:val="en-US"/>
        </w:rPr>
        <w:t xml:space="preserve">median age was 49-50 years, the majority were Caucasian (77%)) and all </w:t>
      </w:r>
      <w:r w:rsidR="004C5CDE">
        <w:rPr>
          <w:color w:val="auto"/>
          <w:lang w:val="en-US"/>
        </w:rPr>
        <w:t xml:space="preserve">patients </w:t>
      </w:r>
      <w:r w:rsidRPr="005E3242">
        <w:rPr>
          <w:color w:val="auto"/>
          <w:lang w:val="en-US"/>
        </w:rPr>
        <w:t xml:space="preserve">were female. </w:t>
      </w:r>
      <w:proofErr w:type="gramStart"/>
      <w:r w:rsidRPr="005E3242">
        <w:rPr>
          <w:color w:val="auto"/>
          <w:lang w:val="en-US"/>
        </w:rPr>
        <w:t>Overall</w:t>
      </w:r>
      <w:proofErr w:type="gramEnd"/>
      <w:r w:rsidRPr="005E3242">
        <w:rPr>
          <w:color w:val="auto"/>
          <w:lang w:val="en-US"/>
        </w:rPr>
        <w:t xml:space="preserve"> 6% of patients had inflammatory breast cancer, 25% had locally advanced breast cancer and 69% had operable breast cancer, with approximately half the patients in each treatment group had ER-positive </w:t>
      </w:r>
      <w:r w:rsidR="00222856">
        <w:rPr>
          <w:color w:val="auto"/>
          <w:lang w:val="en-US"/>
        </w:rPr>
        <w:t xml:space="preserve">and/or </w:t>
      </w:r>
      <w:proofErr w:type="spellStart"/>
      <w:r w:rsidR="00222856">
        <w:rPr>
          <w:color w:val="auto"/>
          <w:lang w:val="en-US"/>
        </w:rPr>
        <w:t>PgR</w:t>
      </w:r>
      <w:proofErr w:type="spellEnd"/>
      <w:r w:rsidR="00222856">
        <w:rPr>
          <w:color w:val="auto"/>
          <w:lang w:val="en-US"/>
        </w:rPr>
        <w:t>-positive disease</w:t>
      </w:r>
      <w:r w:rsidRPr="005E3242">
        <w:rPr>
          <w:color w:val="auto"/>
          <w:lang w:val="en-US"/>
        </w:rPr>
        <w:t>.</w:t>
      </w:r>
    </w:p>
    <w:p w14:paraId="22DCD057" w14:textId="77777777" w:rsidR="002D39AA" w:rsidRPr="005E3242" w:rsidRDefault="002D39AA" w:rsidP="00C448E8">
      <w:pPr>
        <w:rPr>
          <w:color w:val="auto"/>
          <w:lang w:val="en-US"/>
        </w:rPr>
      </w:pPr>
    </w:p>
    <w:p w14:paraId="0C314F68" w14:textId="2DD612EE" w:rsidR="002D39AA" w:rsidRPr="005E3242" w:rsidRDefault="002D39AA" w:rsidP="00C448E8">
      <w:pPr>
        <w:rPr>
          <w:color w:val="auto"/>
        </w:rPr>
      </w:pPr>
      <w:r w:rsidRPr="005E3242">
        <w:rPr>
          <w:color w:val="auto"/>
        </w:rPr>
        <w:t xml:space="preserve">High </w:t>
      </w:r>
      <w:proofErr w:type="spellStart"/>
      <w:r w:rsidRPr="005E3242">
        <w:rPr>
          <w:color w:val="auto"/>
        </w:rPr>
        <w:t>pCR</w:t>
      </w:r>
      <w:proofErr w:type="spellEnd"/>
      <w:r w:rsidRPr="005E3242">
        <w:rPr>
          <w:color w:val="auto"/>
        </w:rPr>
        <w:t xml:space="preserve"> rates were observed in all 3 treatment arms (see</w:t>
      </w:r>
      <w:r w:rsidR="004C5CDE">
        <w:rPr>
          <w:color w:val="auto"/>
        </w:rPr>
        <w:t xml:space="preserve"> </w:t>
      </w:r>
      <w:r w:rsidR="004C5CDE">
        <w:rPr>
          <w:color w:val="auto"/>
        </w:rPr>
        <w:fldChar w:fldCharType="begin"/>
      </w:r>
      <w:r w:rsidR="004C5CDE">
        <w:rPr>
          <w:color w:val="auto"/>
        </w:rPr>
        <w:instrText xml:space="preserve"> REF _Ref66712349 \h </w:instrText>
      </w:r>
      <w:r w:rsidR="004C5CDE">
        <w:rPr>
          <w:color w:val="auto"/>
        </w:rPr>
      </w:r>
      <w:r w:rsidR="00C448E8">
        <w:rPr>
          <w:color w:val="auto"/>
        </w:rPr>
        <w:instrText xml:space="preserve"> \* MERGEFORMAT </w:instrText>
      </w:r>
      <w:r w:rsidR="004C5CDE">
        <w:rPr>
          <w:color w:val="auto"/>
        </w:rPr>
        <w:fldChar w:fldCharType="separate"/>
      </w:r>
      <w:r w:rsidR="00C840A1">
        <w:t xml:space="preserve">Table </w:t>
      </w:r>
      <w:r w:rsidR="00C840A1">
        <w:rPr>
          <w:noProof/>
        </w:rPr>
        <w:t>7</w:t>
      </w:r>
      <w:r w:rsidR="004C5CDE">
        <w:rPr>
          <w:color w:val="auto"/>
        </w:rPr>
        <w:fldChar w:fldCharType="end"/>
      </w:r>
      <w:r w:rsidRPr="005E3242">
        <w:rPr>
          <w:color w:val="auto"/>
        </w:rPr>
        <w:t xml:space="preserve">).  A consistent pattern of results was observed regardless of </w:t>
      </w:r>
      <w:proofErr w:type="spellStart"/>
      <w:r w:rsidRPr="005E3242">
        <w:rPr>
          <w:color w:val="auto"/>
        </w:rPr>
        <w:t>pCR</w:t>
      </w:r>
      <w:proofErr w:type="spellEnd"/>
      <w:r w:rsidRPr="005E3242">
        <w:rPr>
          <w:color w:val="auto"/>
        </w:rPr>
        <w:t xml:space="preserve"> definition. </w:t>
      </w:r>
      <w:proofErr w:type="spellStart"/>
      <w:r w:rsidRPr="005E3242">
        <w:rPr>
          <w:color w:val="auto"/>
        </w:rPr>
        <w:t>pCR</w:t>
      </w:r>
      <w:proofErr w:type="spellEnd"/>
      <w:r w:rsidRPr="005E3242">
        <w:rPr>
          <w:color w:val="auto"/>
        </w:rPr>
        <w:t xml:space="preserve"> rates were lower in the subgroup of patients with hormone receptor-positive tumo</w:t>
      </w:r>
      <w:r w:rsidR="00C840A1">
        <w:rPr>
          <w:color w:val="auto"/>
        </w:rPr>
        <w:t>u</w:t>
      </w:r>
      <w:r w:rsidRPr="005E3242">
        <w:rPr>
          <w:color w:val="auto"/>
        </w:rPr>
        <w:t>rs than in patients with hormone receptor-negative tumo</w:t>
      </w:r>
      <w:r w:rsidR="00C840A1">
        <w:rPr>
          <w:color w:val="auto"/>
        </w:rPr>
        <w:t>u</w:t>
      </w:r>
      <w:r w:rsidRPr="005E3242">
        <w:rPr>
          <w:color w:val="auto"/>
        </w:rPr>
        <w:t>rs (46.2% to 50.0% and 65.0% to 83.8% respectively).</w:t>
      </w:r>
    </w:p>
    <w:p w14:paraId="5AC00C4A" w14:textId="77777777" w:rsidR="002D39AA" w:rsidRPr="005E3242" w:rsidRDefault="002D39AA" w:rsidP="00C448E8">
      <w:pPr>
        <w:rPr>
          <w:color w:val="auto"/>
        </w:rPr>
      </w:pPr>
    </w:p>
    <w:p w14:paraId="3B798848" w14:textId="1C71F46D" w:rsidR="004C5CDE" w:rsidRDefault="004C5CDE" w:rsidP="00C448E8">
      <w:pPr>
        <w:pStyle w:val="Caption"/>
      </w:pPr>
      <w:bookmarkStart w:id="7" w:name="_Ref66712349"/>
      <w:r>
        <w:t xml:space="preserve">Table </w:t>
      </w:r>
      <w:r>
        <w:fldChar w:fldCharType="begin"/>
      </w:r>
      <w:r>
        <w:instrText xml:space="preserve"> SEQ Table \* ARABIC </w:instrText>
      </w:r>
      <w:r>
        <w:fldChar w:fldCharType="separate"/>
      </w:r>
      <w:r w:rsidR="00C840A1">
        <w:rPr>
          <w:noProof/>
        </w:rPr>
        <w:t>7</w:t>
      </w:r>
      <w:r>
        <w:fldChar w:fldCharType="end"/>
      </w:r>
      <w:bookmarkEnd w:id="7"/>
      <w:r w:rsidRPr="005E3242">
        <w:t xml:space="preserve">: </w:t>
      </w:r>
      <w:r w:rsidRPr="004C5CDE">
        <w:t>NEOSPHERE</w:t>
      </w:r>
      <w:r w:rsidRPr="005E3242">
        <w:t xml:space="preserve"> (WO20697) and TRYPHAENA (BO22280): </w:t>
      </w:r>
      <w:r w:rsidR="00C840A1">
        <w:t>s</w:t>
      </w:r>
      <w:r w:rsidRPr="005E3242">
        <w:t>ummar</w:t>
      </w:r>
      <w:r>
        <w:t xml:space="preserve">y </w:t>
      </w:r>
      <w:proofErr w:type="gramStart"/>
      <w:r>
        <w:t xml:space="preserve">of  </w:t>
      </w:r>
      <w:r w:rsidR="00C840A1">
        <w:t>e</w:t>
      </w:r>
      <w:r>
        <w:t>fficacy</w:t>
      </w:r>
      <w:proofErr w:type="gramEnd"/>
      <w:r>
        <w:t xml:space="preserve">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6"/>
        <w:gridCol w:w="894"/>
        <w:gridCol w:w="1054"/>
        <w:gridCol w:w="894"/>
        <w:gridCol w:w="1092"/>
        <w:gridCol w:w="1428"/>
        <w:gridCol w:w="1054"/>
        <w:gridCol w:w="1104"/>
      </w:tblGrid>
      <w:tr w:rsidR="002D39AA" w:rsidRPr="005E3242" w14:paraId="1AB0FB17" w14:textId="77777777" w:rsidTr="006B2154">
        <w:trPr>
          <w:cantSplit/>
        </w:trPr>
        <w:tc>
          <w:tcPr>
            <w:tcW w:w="830" w:type="pct"/>
            <w:tcBorders>
              <w:top w:val="single" w:sz="4" w:space="0" w:color="auto"/>
              <w:left w:val="single" w:sz="4" w:space="0" w:color="auto"/>
              <w:bottom w:val="single" w:sz="4" w:space="0" w:color="auto"/>
              <w:right w:val="single" w:sz="4" w:space="0" w:color="auto"/>
            </w:tcBorders>
            <w:vAlign w:val="center"/>
          </w:tcPr>
          <w:p w14:paraId="01E8DB4D" w14:textId="77777777" w:rsidR="002D39AA" w:rsidRPr="005E3242" w:rsidRDefault="002D39AA" w:rsidP="00C448E8">
            <w:pPr>
              <w:rPr>
                <w:b/>
                <w:color w:val="auto"/>
                <w:lang w:val="en-GB"/>
              </w:rPr>
            </w:pPr>
          </w:p>
        </w:tc>
        <w:tc>
          <w:tcPr>
            <w:tcW w:w="2182" w:type="pct"/>
            <w:gridSpan w:val="4"/>
            <w:tcBorders>
              <w:top w:val="single" w:sz="4" w:space="0" w:color="auto"/>
              <w:left w:val="single" w:sz="4" w:space="0" w:color="auto"/>
              <w:bottom w:val="single" w:sz="4" w:space="0" w:color="auto"/>
              <w:right w:val="single" w:sz="4" w:space="0" w:color="auto"/>
            </w:tcBorders>
            <w:vAlign w:val="center"/>
            <w:hideMark/>
          </w:tcPr>
          <w:p w14:paraId="5D31C448" w14:textId="77777777" w:rsidR="002D39AA" w:rsidRPr="005E3242" w:rsidRDefault="002D39AA" w:rsidP="00C448E8">
            <w:pPr>
              <w:rPr>
                <w:b/>
                <w:color w:val="auto"/>
                <w:lang w:val="en-GB"/>
              </w:rPr>
            </w:pPr>
            <w:r w:rsidRPr="005E3242">
              <w:rPr>
                <w:b/>
                <w:color w:val="auto"/>
                <w:lang w:val="en-GB"/>
              </w:rPr>
              <w:t>NEOSPHERE (WO20697)</w:t>
            </w:r>
          </w:p>
        </w:tc>
        <w:tc>
          <w:tcPr>
            <w:tcW w:w="1989" w:type="pct"/>
            <w:gridSpan w:val="3"/>
            <w:tcBorders>
              <w:top w:val="single" w:sz="4" w:space="0" w:color="auto"/>
              <w:left w:val="single" w:sz="4" w:space="0" w:color="auto"/>
              <w:bottom w:val="single" w:sz="4" w:space="0" w:color="auto"/>
              <w:right w:val="single" w:sz="4" w:space="0" w:color="auto"/>
            </w:tcBorders>
            <w:vAlign w:val="center"/>
            <w:hideMark/>
          </w:tcPr>
          <w:p w14:paraId="5943D78C" w14:textId="77777777" w:rsidR="002D39AA" w:rsidRPr="005E3242" w:rsidRDefault="002D39AA" w:rsidP="00C448E8">
            <w:pPr>
              <w:rPr>
                <w:b/>
                <w:color w:val="auto"/>
                <w:lang w:val="en-GB"/>
              </w:rPr>
            </w:pPr>
            <w:r w:rsidRPr="005E3242">
              <w:rPr>
                <w:b/>
                <w:color w:val="auto"/>
                <w:lang w:val="en-GB"/>
              </w:rPr>
              <w:t>TRYPHAENA (BO22280)</w:t>
            </w:r>
          </w:p>
        </w:tc>
      </w:tr>
      <w:tr w:rsidR="002D39AA" w:rsidRPr="005E3242" w14:paraId="6BBBEEB5" w14:textId="77777777" w:rsidTr="006B2154">
        <w:trPr>
          <w:cantSplit/>
        </w:trPr>
        <w:tc>
          <w:tcPr>
            <w:tcW w:w="830" w:type="pct"/>
            <w:tcBorders>
              <w:top w:val="single" w:sz="4" w:space="0" w:color="auto"/>
              <w:left w:val="single" w:sz="4" w:space="0" w:color="auto"/>
              <w:bottom w:val="single" w:sz="4" w:space="0" w:color="auto"/>
              <w:right w:val="single" w:sz="4" w:space="0" w:color="auto"/>
            </w:tcBorders>
            <w:vAlign w:val="center"/>
            <w:hideMark/>
          </w:tcPr>
          <w:p w14:paraId="129D640B" w14:textId="77777777" w:rsidR="002D39AA" w:rsidRPr="005E3242" w:rsidRDefault="002D39AA" w:rsidP="00C448E8">
            <w:pPr>
              <w:rPr>
                <w:b/>
                <w:color w:val="auto"/>
                <w:lang w:val="en-GB"/>
              </w:rPr>
            </w:pPr>
            <w:r w:rsidRPr="005E3242">
              <w:rPr>
                <w:b/>
                <w:color w:val="auto"/>
                <w:lang w:val="en-GB"/>
              </w:rPr>
              <w:t>Parameter</w:t>
            </w:r>
          </w:p>
        </w:tc>
        <w:tc>
          <w:tcPr>
            <w:tcW w:w="496" w:type="pct"/>
            <w:tcBorders>
              <w:top w:val="single" w:sz="4" w:space="0" w:color="auto"/>
              <w:left w:val="single" w:sz="4" w:space="0" w:color="auto"/>
              <w:bottom w:val="single" w:sz="4" w:space="0" w:color="auto"/>
              <w:right w:val="single" w:sz="4" w:space="0" w:color="auto"/>
            </w:tcBorders>
            <w:vAlign w:val="center"/>
          </w:tcPr>
          <w:p w14:paraId="3B13C6CC" w14:textId="77777777" w:rsidR="002D39AA" w:rsidRPr="005E3242" w:rsidRDefault="002D39AA" w:rsidP="00C448E8">
            <w:pPr>
              <w:rPr>
                <w:b/>
                <w:color w:val="auto"/>
                <w:lang w:val="en-GB"/>
              </w:rPr>
            </w:pPr>
          </w:p>
          <w:p w14:paraId="00BE60EC" w14:textId="77777777" w:rsidR="002D39AA" w:rsidRPr="005E3242" w:rsidRDefault="002D39AA" w:rsidP="00C448E8">
            <w:pPr>
              <w:rPr>
                <w:b/>
                <w:color w:val="auto"/>
                <w:lang w:val="en-GB"/>
              </w:rPr>
            </w:pPr>
            <w:r w:rsidRPr="005E3242">
              <w:rPr>
                <w:b/>
                <w:color w:val="auto"/>
                <w:lang w:val="en-GB"/>
              </w:rPr>
              <w:t>T+D</w:t>
            </w:r>
          </w:p>
          <w:p w14:paraId="2298E4ED" w14:textId="77777777" w:rsidR="002D39AA" w:rsidRPr="005E3242" w:rsidRDefault="002D39AA" w:rsidP="00C448E8">
            <w:pPr>
              <w:rPr>
                <w:b/>
                <w:color w:val="auto"/>
                <w:lang w:val="en-GB"/>
              </w:rPr>
            </w:pPr>
            <w:r w:rsidRPr="005E3242">
              <w:rPr>
                <w:b/>
                <w:color w:val="auto"/>
                <w:lang w:val="en-GB"/>
              </w:rPr>
              <w:t>N=107</w:t>
            </w:r>
          </w:p>
        </w:tc>
        <w:tc>
          <w:tcPr>
            <w:tcW w:w="585" w:type="pct"/>
            <w:tcBorders>
              <w:top w:val="single" w:sz="4" w:space="0" w:color="auto"/>
              <w:left w:val="single" w:sz="4" w:space="0" w:color="auto"/>
              <w:bottom w:val="single" w:sz="4" w:space="0" w:color="auto"/>
              <w:right w:val="single" w:sz="4" w:space="0" w:color="auto"/>
            </w:tcBorders>
            <w:vAlign w:val="center"/>
          </w:tcPr>
          <w:p w14:paraId="5E930B80" w14:textId="77777777" w:rsidR="002D39AA" w:rsidRPr="005E3242" w:rsidRDefault="002D39AA" w:rsidP="00C448E8">
            <w:pPr>
              <w:rPr>
                <w:b/>
                <w:color w:val="auto"/>
                <w:lang w:val="en-GB"/>
              </w:rPr>
            </w:pPr>
          </w:p>
          <w:p w14:paraId="4A2D03B4" w14:textId="77777777" w:rsidR="002D39AA" w:rsidRPr="005E3242" w:rsidRDefault="002D39AA" w:rsidP="00C448E8">
            <w:pPr>
              <w:rPr>
                <w:b/>
                <w:color w:val="auto"/>
                <w:lang w:val="en-GB"/>
              </w:rPr>
            </w:pPr>
            <w:proofErr w:type="spellStart"/>
            <w:r w:rsidRPr="005E3242">
              <w:rPr>
                <w:b/>
                <w:color w:val="auto"/>
                <w:lang w:val="en-GB"/>
              </w:rPr>
              <w:t>Ptz+T+D</w:t>
            </w:r>
            <w:proofErr w:type="spellEnd"/>
          </w:p>
          <w:p w14:paraId="3BF3FC96" w14:textId="77777777" w:rsidR="002D39AA" w:rsidRPr="005E3242" w:rsidRDefault="002D39AA" w:rsidP="00C448E8">
            <w:pPr>
              <w:rPr>
                <w:b/>
                <w:color w:val="auto"/>
                <w:lang w:val="en-GB"/>
              </w:rPr>
            </w:pPr>
            <w:r w:rsidRPr="005E3242">
              <w:rPr>
                <w:b/>
                <w:color w:val="auto"/>
                <w:lang w:val="en-GB"/>
              </w:rPr>
              <w:t>N=107</w:t>
            </w:r>
          </w:p>
        </w:tc>
        <w:tc>
          <w:tcPr>
            <w:tcW w:w="496" w:type="pct"/>
            <w:tcBorders>
              <w:top w:val="single" w:sz="4" w:space="0" w:color="auto"/>
              <w:left w:val="single" w:sz="4" w:space="0" w:color="auto"/>
              <w:bottom w:val="single" w:sz="4" w:space="0" w:color="auto"/>
              <w:right w:val="single" w:sz="4" w:space="0" w:color="auto"/>
            </w:tcBorders>
            <w:vAlign w:val="center"/>
          </w:tcPr>
          <w:p w14:paraId="1A2DEB6C" w14:textId="77777777" w:rsidR="002D39AA" w:rsidRPr="005E3242" w:rsidRDefault="002D39AA" w:rsidP="00C448E8">
            <w:pPr>
              <w:rPr>
                <w:b/>
                <w:color w:val="auto"/>
                <w:lang w:val="en-GB"/>
              </w:rPr>
            </w:pPr>
          </w:p>
          <w:p w14:paraId="6EAD5B68" w14:textId="77777777" w:rsidR="002D39AA" w:rsidRPr="005E3242" w:rsidRDefault="002D39AA" w:rsidP="00C448E8">
            <w:pPr>
              <w:rPr>
                <w:b/>
                <w:color w:val="auto"/>
                <w:lang w:val="en-GB"/>
              </w:rPr>
            </w:pPr>
            <w:proofErr w:type="spellStart"/>
            <w:r w:rsidRPr="005E3242">
              <w:rPr>
                <w:b/>
                <w:color w:val="auto"/>
                <w:lang w:val="en-GB"/>
              </w:rPr>
              <w:t>Ptz+T</w:t>
            </w:r>
            <w:proofErr w:type="spellEnd"/>
          </w:p>
          <w:p w14:paraId="0B98A86F" w14:textId="77777777" w:rsidR="002D39AA" w:rsidRPr="005E3242" w:rsidRDefault="002D39AA" w:rsidP="00C448E8">
            <w:pPr>
              <w:rPr>
                <w:b/>
                <w:color w:val="auto"/>
                <w:lang w:val="en-GB"/>
              </w:rPr>
            </w:pPr>
            <w:r w:rsidRPr="005E3242">
              <w:rPr>
                <w:b/>
                <w:color w:val="auto"/>
                <w:lang w:val="en-GB"/>
              </w:rPr>
              <w:t>N=107</w:t>
            </w:r>
          </w:p>
        </w:tc>
        <w:tc>
          <w:tcPr>
            <w:tcW w:w="606" w:type="pct"/>
            <w:tcBorders>
              <w:top w:val="single" w:sz="4" w:space="0" w:color="auto"/>
              <w:left w:val="single" w:sz="4" w:space="0" w:color="auto"/>
              <w:bottom w:val="single" w:sz="4" w:space="0" w:color="auto"/>
              <w:right w:val="single" w:sz="4" w:space="0" w:color="auto"/>
            </w:tcBorders>
            <w:vAlign w:val="center"/>
          </w:tcPr>
          <w:p w14:paraId="7A826357" w14:textId="77777777" w:rsidR="002D39AA" w:rsidRPr="005E3242" w:rsidRDefault="002D39AA" w:rsidP="00C448E8">
            <w:pPr>
              <w:rPr>
                <w:b/>
                <w:color w:val="auto"/>
                <w:lang w:val="en-GB"/>
              </w:rPr>
            </w:pPr>
          </w:p>
          <w:p w14:paraId="772A0992" w14:textId="77777777" w:rsidR="002D39AA" w:rsidRPr="005E3242" w:rsidRDefault="002D39AA" w:rsidP="00C448E8">
            <w:pPr>
              <w:rPr>
                <w:b/>
                <w:color w:val="auto"/>
                <w:lang w:val="en-GB"/>
              </w:rPr>
            </w:pPr>
            <w:proofErr w:type="spellStart"/>
            <w:r w:rsidRPr="005E3242">
              <w:rPr>
                <w:b/>
                <w:color w:val="auto"/>
                <w:lang w:val="en-GB"/>
              </w:rPr>
              <w:t>Ptz+D</w:t>
            </w:r>
            <w:proofErr w:type="spellEnd"/>
          </w:p>
          <w:p w14:paraId="22BE27BE" w14:textId="77777777" w:rsidR="002D39AA" w:rsidRPr="005E3242" w:rsidRDefault="002D39AA" w:rsidP="00C448E8">
            <w:pPr>
              <w:rPr>
                <w:b/>
                <w:color w:val="auto"/>
                <w:lang w:val="en-GB"/>
              </w:rPr>
            </w:pPr>
            <w:r w:rsidRPr="005E3242">
              <w:rPr>
                <w:b/>
                <w:color w:val="auto"/>
                <w:lang w:val="en-GB"/>
              </w:rPr>
              <w:t>N=96</w:t>
            </w:r>
          </w:p>
        </w:tc>
        <w:tc>
          <w:tcPr>
            <w:tcW w:w="792" w:type="pct"/>
            <w:tcBorders>
              <w:top w:val="single" w:sz="4" w:space="0" w:color="auto"/>
              <w:left w:val="single" w:sz="4" w:space="0" w:color="auto"/>
              <w:bottom w:val="single" w:sz="4" w:space="0" w:color="auto"/>
              <w:right w:val="single" w:sz="4" w:space="0" w:color="auto"/>
            </w:tcBorders>
            <w:vAlign w:val="center"/>
            <w:hideMark/>
          </w:tcPr>
          <w:p w14:paraId="740767AE" w14:textId="77777777" w:rsidR="002D39AA" w:rsidRPr="005E3242" w:rsidRDefault="002D39AA" w:rsidP="00C448E8">
            <w:pPr>
              <w:rPr>
                <w:b/>
                <w:color w:val="auto"/>
                <w:lang w:val="de-CH"/>
              </w:rPr>
            </w:pPr>
            <w:r w:rsidRPr="005E3242">
              <w:rPr>
                <w:b/>
                <w:color w:val="auto"/>
                <w:lang w:val="de-CH"/>
              </w:rPr>
              <w:t>Ptz+T+FEC/</w:t>
            </w:r>
          </w:p>
          <w:p w14:paraId="5B217F3C" w14:textId="77777777" w:rsidR="002D39AA" w:rsidRPr="005E3242" w:rsidRDefault="002D39AA" w:rsidP="00C448E8">
            <w:pPr>
              <w:rPr>
                <w:b/>
                <w:color w:val="auto"/>
                <w:lang w:val="de-CH"/>
              </w:rPr>
            </w:pPr>
            <w:r w:rsidRPr="005E3242">
              <w:rPr>
                <w:b/>
                <w:color w:val="auto"/>
                <w:lang w:val="de-CH"/>
              </w:rPr>
              <w:t>Ptz+T+D</w:t>
            </w:r>
          </w:p>
          <w:p w14:paraId="2F1B18E9" w14:textId="77777777" w:rsidR="002D39AA" w:rsidRPr="005E3242" w:rsidRDefault="002D39AA" w:rsidP="00C448E8">
            <w:pPr>
              <w:rPr>
                <w:b/>
                <w:color w:val="auto"/>
                <w:lang w:val="en-GB"/>
              </w:rPr>
            </w:pPr>
            <w:r w:rsidRPr="005E3242">
              <w:rPr>
                <w:b/>
                <w:color w:val="auto"/>
                <w:lang w:val="en-GB"/>
              </w:rPr>
              <w:t>N=73</w:t>
            </w:r>
          </w:p>
        </w:tc>
        <w:tc>
          <w:tcPr>
            <w:tcW w:w="585" w:type="pct"/>
            <w:tcBorders>
              <w:top w:val="single" w:sz="4" w:space="0" w:color="auto"/>
              <w:left w:val="single" w:sz="4" w:space="0" w:color="auto"/>
              <w:bottom w:val="single" w:sz="4" w:space="0" w:color="auto"/>
              <w:right w:val="single" w:sz="4" w:space="0" w:color="auto"/>
            </w:tcBorders>
            <w:vAlign w:val="center"/>
            <w:hideMark/>
          </w:tcPr>
          <w:p w14:paraId="3D975CA4" w14:textId="77777777" w:rsidR="002D39AA" w:rsidRPr="005E3242" w:rsidRDefault="002D39AA" w:rsidP="00C448E8">
            <w:pPr>
              <w:rPr>
                <w:b/>
                <w:color w:val="auto"/>
                <w:lang w:val="en-GB"/>
              </w:rPr>
            </w:pPr>
            <w:r w:rsidRPr="005E3242">
              <w:rPr>
                <w:b/>
                <w:color w:val="auto"/>
                <w:lang w:val="en-GB"/>
              </w:rPr>
              <w:t>FEC/</w:t>
            </w:r>
          </w:p>
          <w:p w14:paraId="72C9C9AE" w14:textId="77777777" w:rsidR="002D39AA" w:rsidRPr="005E3242" w:rsidRDefault="002D39AA" w:rsidP="00C448E8">
            <w:pPr>
              <w:rPr>
                <w:b/>
                <w:color w:val="auto"/>
                <w:lang w:val="en-GB"/>
              </w:rPr>
            </w:pPr>
            <w:proofErr w:type="spellStart"/>
            <w:r w:rsidRPr="005E3242">
              <w:rPr>
                <w:b/>
                <w:color w:val="auto"/>
                <w:lang w:val="en-GB"/>
              </w:rPr>
              <w:t>Ptz+T+D</w:t>
            </w:r>
            <w:proofErr w:type="spellEnd"/>
          </w:p>
          <w:p w14:paraId="424B0AB4" w14:textId="77777777" w:rsidR="002D39AA" w:rsidRPr="005E3242" w:rsidRDefault="002D39AA" w:rsidP="00C448E8">
            <w:pPr>
              <w:rPr>
                <w:b/>
                <w:color w:val="auto"/>
                <w:lang w:val="en-GB"/>
              </w:rPr>
            </w:pPr>
            <w:r w:rsidRPr="005E3242">
              <w:rPr>
                <w:b/>
                <w:color w:val="auto"/>
                <w:lang w:val="en-GB"/>
              </w:rPr>
              <w:t>N=75</w:t>
            </w:r>
          </w:p>
        </w:tc>
        <w:tc>
          <w:tcPr>
            <w:tcW w:w="612" w:type="pct"/>
            <w:tcBorders>
              <w:top w:val="single" w:sz="4" w:space="0" w:color="auto"/>
              <w:left w:val="single" w:sz="4" w:space="0" w:color="auto"/>
              <w:bottom w:val="single" w:sz="4" w:space="0" w:color="auto"/>
              <w:right w:val="single" w:sz="4" w:space="0" w:color="auto"/>
            </w:tcBorders>
            <w:vAlign w:val="center"/>
          </w:tcPr>
          <w:p w14:paraId="53E663D8" w14:textId="77777777" w:rsidR="002D39AA" w:rsidRPr="005E3242" w:rsidRDefault="002D39AA" w:rsidP="00C448E8">
            <w:pPr>
              <w:rPr>
                <w:b/>
                <w:color w:val="auto"/>
                <w:lang w:val="en-GB"/>
              </w:rPr>
            </w:pPr>
          </w:p>
          <w:p w14:paraId="4891481C" w14:textId="77777777" w:rsidR="002D39AA" w:rsidRPr="005E3242" w:rsidRDefault="002D39AA" w:rsidP="00C448E8">
            <w:pPr>
              <w:rPr>
                <w:b/>
                <w:color w:val="auto"/>
                <w:lang w:val="en-GB"/>
              </w:rPr>
            </w:pPr>
            <w:proofErr w:type="spellStart"/>
            <w:r w:rsidRPr="005E3242">
              <w:rPr>
                <w:b/>
                <w:color w:val="auto"/>
                <w:lang w:val="en-GB"/>
              </w:rPr>
              <w:t>Ptz+TCH</w:t>
            </w:r>
            <w:proofErr w:type="spellEnd"/>
          </w:p>
          <w:p w14:paraId="08883091" w14:textId="77777777" w:rsidR="002D39AA" w:rsidRPr="005E3242" w:rsidRDefault="002D39AA" w:rsidP="00C448E8">
            <w:pPr>
              <w:rPr>
                <w:b/>
                <w:color w:val="auto"/>
                <w:lang w:val="en-GB"/>
              </w:rPr>
            </w:pPr>
            <w:r w:rsidRPr="005E3242">
              <w:rPr>
                <w:b/>
                <w:color w:val="auto"/>
                <w:lang w:val="en-GB"/>
              </w:rPr>
              <w:t>N=77</w:t>
            </w:r>
          </w:p>
        </w:tc>
      </w:tr>
      <w:tr w:rsidR="002D39AA" w:rsidRPr="005E3242" w14:paraId="02698D67" w14:textId="77777777" w:rsidTr="006B2154">
        <w:trPr>
          <w:cantSplit/>
          <w:trHeight w:val="964"/>
        </w:trPr>
        <w:tc>
          <w:tcPr>
            <w:tcW w:w="830" w:type="pct"/>
            <w:tcBorders>
              <w:top w:val="single" w:sz="4" w:space="0" w:color="auto"/>
              <w:left w:val="single" w:sz="4" w:space="0" w:color="auto"/>
              <w:bottom w:val="single" w:sz="4" w:space="0" w:color="auto"/>
              <w:right w:val="single" w:sz="4" w:space="0" w:color="auto"/>
            </w:tcBorders>
            <w:hideMark/>
          </w:tcPr>
          <w:p w14:paraId="23C19343" w14:textId="77777777" w:rsidR="002D39AA" w:rsidRPr="005E3242" w:rsidRDefault="002D39AA" w:rsidP="00C448E8">
            <w:pPr>
              <w:rPr>
                <w:color w:val="auto"/>
                <w:lang w:val="en-US"/>
              </w:rPr>
            </w:pPr>
            <w:r w:rsidRPr="005E3242">
              <w:rPr>
                <w:color w:val="auto"/>
                <w:lang w:val="en-US"/>
              </w:rPr>
              <w:t>ypT0/is</w:t>
            </w:r>
          </w:p>
          <w:p w14:paraId="543B2E68" w14:textId="77777777" w:rsidR="002D39AA" w:rsidRPr="005E3242" w:rsidRDefault="002D39AA" w:rsidP="00C448E8">
            <w:pPr>
              <w:rPr>
                <w:color w:val="auto"/>
                <w:lang w:val="en-US"/>
              </w:rPr>
            </w:pPr>
            <w:r w:rsidRPr="005E3242">
              <w:rPr>
                <w:color w:val="auto"/>
                <w:lang w:val="en-US"/>
              </w:rPr>
              <w:t>n (%)</w:t>
            </w:r>
          </w:p>
          <w:p w14:paraId="7D70270A" w14:textId="77777777" w:rsidR="002D39AA" w:rsidRPr="005E3242" w:rsidRDefault="002D39AA" w:rsidP="00C448E8">
            <w:pPr>
              <w:rPr>
                <w:color w:val="auto"/>
                <w:lang w:val="en-US"/>
              </w:rPr>
            </w:pPr>
            <w:r w:rsidRPr="005E3242">
              <w:rPr>
                <w:color w:val="auto"/>
                <w:lang w:val="en-US"/>
              </w:rPr>
              <w:t>[95% CI]</w:t>
            </w:r>
            <w:r w:rsidRPr="005E3242">
              <w:rPr>
                <w:color w:val="auto"/>
                <w:vertAlign w:val="superscript"/>
                <w:lang w:val="en-US"/>
              </w:rPr>
              <w:t>1</w:t>
            </w:r>
          </w:p>
        </w:tc>
        <w:tc>
          <w:tcPr>
            <w:tcW w:w="496" w:type="pct"/>
            <w:tcBorders>
              <w:top w:val="single" w:sz="4" w:space="0" w:color="auto"/>
              <w:left w:val="single" w:sz="4" w:space="0" w:color="auto"/>
              <w:bottom w:val="single" w:sz="4" w:space="0" w:color="auto"/>
              <w:right w:val="single" w:sz="4" w:space="0" w:color="auto"/>
            </w:tcBorders>
          </w:tcPr>
          <w:p w14:paraId="5296B3FA" w14:textId="77777777" w:rsidR="002D39AA" w:rsidRPr="005E3242" w:rsidRDefault="002D39AA" w:rsidP="00C448E8">
            <w:pPr>
              <w:rPr>
                <w:color w:val="auto"/>
                <w:lang w:val="en-US"/>
              </w:rPr>
            </w:pPr>
          </w:p>
          <w:p w14:paraId="7A8355B5" w14:textId="77777777" w:rsidR="002D39AA" w:rsidRPr="005E3242" w:rsidRDefault="002D39AA" w:rsidP="00C448E8">
            <w:pPr>
              <w:rPr>
                <w:color w:val="auto"/>
                <w:lang w:val="en-US"/>
              </w:rPr>
            </w:pPr>
            <w:r w:rsidRPr="005E3242">
              <w:rPr>
                <w:color w:val="auto"/>
                <w:lang w:val="en-US"/>
              </w:rPr>
              <w:t>31 (29.0%)</w:t>
            </w:r>
          </w:p>
          <w:p w14:paraId="1B7C036E" w14:textId="77777777" w:rsidR="002D39AA" w:rsidRPr="005E3242" w:rsidRDefault="002D39AA" w:rsidP="00C448E8">
            <w:pPr>
              <w:rPr>
                <w:color w:val="auto"/>
                <w:lang w:val="en-US"/>
              </w:rPr>
            </w:pPr>
            <w:r w:rsidRPr="005E3242">
              <w:rPr>
                <w:color w:val="auto"/>
                <w:lang w:val="en-US"/>
              </w:rPr>
              <w:t>[20.6; 38.5]</w:t>
            </w:r>
          </w:p>
        </w:tc>
        <w:tc>
          <w:tcPr>
            <w:tcW w:w="585" w:type="pct"/>
            <w:tcBorders>
              <w:top w:val="single" w:sz="4" w:space="0" w:color="auto"/>
              <w:left w:val="single" w:sz="4" w:space="0" w:color="auto"/>
              <w:bottom w:val="single" w:sz="4" w:space="0" w:color="auto"/>
              <w:right w:val="single" w:sz="4" w:space="0" w:color="auto"/>
            </w:tcBorders>
          </w:tcPr>
          <w:p w14:paraId="7F9C6468" w14:textId="77777777" w:rsidR="002D39AA" w:rsidRPr="005E3242" w:rsidRDefault="002D39AA" w:rsidP="00C448E8">
            <w:pPr>
              <w:rPr>
                <w:color w:val="auto"/>
                <w:lang w:val="en-US"/>
              </w:rPr>
            </w:pPr>
          </w:p>
          <w:p w14:paraId="2DC4D4A1" w14:textId="77777777" w:rsidR="002D39AA" w:rsidRPr="005E3242" w:rsidRDefault="002D39AA" w:rsidP="00C448E8">
            <w:pPr>
              <w:rPr>
                <w:color w:val="auto"/>
                <w:lang w:val="en-US"/>
              </w:rPr>
            </w:pPr>
            <w:r w:rsidRPr="005E3242">
              <w:rPr>
                <w:color w:val="auto"/>
                <w:lang w:val="en-US"/>
              </w:rPr>
              <w:t>49 (45.8%)</w:t>
            </w:r>
          </w:p>
          <w:p w14:paraId="731DFF39" w14:textId="77777777" w:rsidR="002D39AA" w:rsidRPr="005E3242" w:rsidRDefault="002D39AA" w:rsidP="00C448E8">
            <w:pPr>
              <w:rPr>
                <w:color w:val="auto"/>
                <w:lang w:val="en-US"/>
              </w:rPr>
            </w:pPr>
            <w:r w:rsidRPr="005E3242">
              <w:rPr>
                <w:color w:val="auto"/>
                <w:lang w:val="en-US"/>
              </w:rPr>
              <w:t>[36.1; 55.7]</w:t>
            </w:r>
          </w:p>
        </w:tc>
        <w:tc>
          <w:tcPr>
            <w:tcW w:w="496" w:type="pct"/>
            <w:tcBorders>
              <w:top w:val="single" w:sz="4" w:space="0" w:color="auto"/>
              <w:left w:val="single" w:sz="4" w:space="0" w:color="auto"/>
              <w:bottom w:val="single" w:sz="4" w:space="0" w:color="auto"/>
              <w:right w:val="single" w:sz="4" w:space="0" w:color="auto"/>
            </w:tcBorders>
          </w:tcPr>
          <w:p w14:paraId="60D52CA2" w14:textId="77777777" w:rsidR="002D39AA" w:rsidRPr="005E3242" w:rsidRDefault="002D39AA" w:rsidP="00C448E8">
            <w:pPr>
              <w:rPr>
                <w:color w:val="auto"/>
                <w:lang w:val="en-US"/>
              </w:rPr>
            </w:pPr>
          </w:p>
          <w:p w14:paraId="6D1E37AA" w14:textId="77777777" w:rsidR="002D39AA" w:rsidRPr="005E3242" w:rsidRDefault="002D39AA" w:rsidP="00C448E8">
            <w:pPr>
              <w:rPr>
                <w:color w:val="auto"/>
                <w:lang w:val="en-US"/>
              </w:rPr>
            </w:pPr>
            <w:r w:rsidRPr="005E3242">
              <w:rPr>
                <w:color w:val="auto"/>
                <w:lang w:val="en-US"/>
              </w:rPr>
              <w:t>18 (16.8%)</w:t>
            </w:r>
          </w:p>
          <w:p w14:paraId="3B4A556A" w14:textId="77777777" w:rsidR="002D39AA" w:rsidRPr="005E3242" w:rsidRDefault="002D39AA" w:rsidP="00C448E8">
            <w:pPr>
              <w:rPr>
                <w:color w:val="auto"/>
                <w:lang w:val="en-US"/>
              </w:rPr>
            </w:pPr>
            <w:r w:rsidRPr="005E3242">
              <w:rPr>
                <w:color w:val="auto"/>
                <w:lang w:val="en-US"/>
              </w:rPr>
              <w:t>[10.3; 25.3]</w:t>
            </w:r>
          </w:p>
        </w:tc>
        <w:tc>
          <w:tcPr>
            <w:tcW w:w="606" w:type="pct"/>
            <w:tcBorders>
              <w:top w:val="single" w:sz="4" w:space="0" w:color="auto"/>
              <w:left w:val="single" w:sz="4" w:space="0" w:color="auto"/>
              <w:bottom w:val="single" w:sz="4" w:space="0" w:color="auto"/>
              <w:right w:val="single" w:sz="4" w:space="0" w:color="auto"/>
            </w:tcBorders>
          </w:tcPr>
          <w:p w14:paraId="2DBBA9A3" w14:textId="77777777" w:rsidR="002D39AA" w:rsidRPr="005E3242" w:rsidRDefault="002D39AA" w:rsidP="00C448E8">
            <w:pPr>
              <w:rPr>
                <w:color w:val="auto"/>
                <w:lang w:val="en-US"/>
              </w:rPr>
            </w:pPr>
          </w:p>
          <w:p w14:paraId="13679BCC" w14:textId="77777777" w:rsidR="002D39AA" w:rsidRPr="005E3242" w:rsidRDefault="002D39AA" w:rsidP="00C448E8">
            <w:pPr>
              <w:rPr>
                <w:color w:val="auto"/>
                <w:lang w:val="en-US"/>
              </w:rPr>
            </w:pPr>
            <w:r w:rsidRPr="005E3242">
              <w:rPr>
                <w:color w:val="auto"/>
                <w:lang w:val="en-US"/>
              </w:rPr>
              <w:t>23 (24.0%)</w:t>
            </w:r>
          </w:p>
          <w:p w14:paraId="08D0A2D3" w14:textId="77777777" w:rsidR="002D39AA" w:rsidRPr="005E3242" w:rsidRDefault="002D39AA" w:rsidP="00C448E8">
            <w:pPr>
              <w:rPr>
                <w:color w:val="auto"/>
                <w:lang w:val="en-US"/>
              </w:rPr>
            </w:pPr>
            <w:r w:rsidRPr="005E3242">
              <w:rPr>
                <w:color w:val="auto"/>
                <w:lang w:val="en-US"/>
              </w:rPr>
              <w:t>[15.8; 33.7]</w:t>
            </w:r>
          </w:p>
        </w:tc>
        <w:tc>
          <w:tcPr>
            <w:tcW w:w="792" w:type="pct"/>
            <w:tcBorders>
              <w:top w:val="single" w:sz="4" w:space="0" w:color="auto"/>
              <w:left w:val="single" w:sz="4" w:space="0" w:color="auto"/>
              <w:bottom w:val="single" w:sz="4" w:space="0" w:color="auto"/>
              <w:right w:val="single" w:sz="4" w:space="0" w:color="auto"/>
            </w:tcBorders>
          </w:tcPr>
          <w:p w14:paraId="47033798" w14:textId="77777777" w:rsidR="002D39AA" w:rsidRPr="005E3242" w:rsidRDefault="002D39AA" w:rsidP="00C448E8">
            <w:pPr>
              <w:rPr>
                <w:color w:val="auto"/>
                <w:lang w:val="en-US"/>
              </w:rPr>
            </w:pPr>
          </w:p>
          <w:p w14:paraId="61788BDF" w14:textId="77777777" w:rsidR="002D39AA" w:rsidRPr="005E3242" w:rsidRDefault="002D39AA" w:rsidP="00C448E8">
            <w:pPr>
              <w:rPr>
                <w:color w:val="auto"/>
                <w:lang w:val="en-US"/>
              </w:rPr>
            </w:pPr>
            <w:r w:rsidRPr="005E3242">
              <w:rPr>
                <w:color w:val="auto"/>
                <w:lang w:val="en-US"/>
              </w:rPr>
              <w:t>45 (61.6%)</w:t>
            </w:r>
          </w:p>
          <w:p w14:paraId="689AD90E" w14:textId="77777777" w:rsidR="002D39AA" w:rsidRPr="005E3242" w:rsidRDefault="002D39AA" w:rsidP="00C448E8">
            <w:pPr>
              <w:rPr>
                <w:color w:val="auto"/>
                <w:lang w:val="en-US"/>
              </w:rPr>
            </w:pPr>
            <w:r w:rsidRPr="005E3242">
              <w:rPr>
                <w:color w:val="auto"/>
                <w:lang w:val="en-US"/>
              </w:rPr>
              <w:t>[49.5; 72.8]</w:t>
            </w:r>
          </w:p>
        </w:tc>
        <w:tc>
          <w:tcPr>
            <w:tcW w:w="585" w:type="pct"/>
            <w:tcBorders>
              <w:top w:val="single" w:sz="4" w:space="0" w:color="auto"/>
              <w:left w:val="single" w:sz="4" w:space="0" w:color="auto"/>
              <w:bottom w:val="single" w:sz="4" w:space="0" w:color="auto"/>
              <w:right w:val="single" w:sz="4" w:space="0" w:color="auto"/>
            </w:tcBorders>
          </w:tcPr>
          <w:p w14:paraId="1785CF45" w14:textId="77777777" w:rsidR="002D39AA" w:rsidRPr="005E3242" w:rsidRDefault="002D39AA" w:rsidP="00C448E8">
            <w:pPr>
              <w:rPr>
                <w:color w:val="auto"/>
                <w:lang w:val="en-US"/>
              </w:rPr>
            </w:pPr>
          </w:p>
          <w:p w14:paraId="036D5419" w14:textId="77777777" w:rsidR="002D39AA" w:rsidRPr="005E3242" w:rsidRDefault="002D39AA" w:rsidP="00C448E8">
            <w:pPr>
              <w:rPr>
                <w:color w:val="auto"/>
                <w:lang w:val="en-US"/>
              </w:rPr>
            </w:pPr>
            <w:r w:rsidRPr="005E3242">
              <w:rPr>
                <w:color w:val="auto"/>
                <w:lang w:val="en-US"/>
              </w:rPr>
              <w:t>43 (57.3%)</w:t>
            </w:r>
          </w:p>
          <w:p w14:paraId="1440083E" w14:textId="77777777" w:rsidR="002D39AA" w:rsidRPr="005E3242" w:rsidRDefault="002D39AA" w:rsidP="00C448E8">
            <w:pPr>
              <w:rPr>
                <w:color w:val="auto"/>
                <w:lang w:val="en-US"/>
              </w:rPr>
            </w:pPr>
            <w:r w:rsidRPr="005E3242">
              <w:rPr>
                <w:color w:val="auto"/>
                <w:lang w:val="en-US"/>
              </w:rPr>
              <w:t>[45.4; 68.7]</w:t>
            </w:r>
          </w:p>
        </w:tc>
        <w:tc>
          <w:tcPr>
            <w:tcW w:w="612" w:type="pct"/>
            <w:tcBorders>
              <w:top w:val="single" w:sz="4" w:space="0" w:color="auto"/>
              <w:left w:val="single" w:sz="4" w:space="0" w:color="auto"/>
              <w:bottom w:val="single" w:sz="4" w:space="0" w:color="auto"/>
              <w:right w:val="single" w:sz="4" w:space="0" w:color="auto"/>
            </w:tcBorders>
          </w:tcPr>
          <w:p w14:paraId="7788FF19" w14:textId="77777777" w:rsidR="002D39AA" w:rsidRPr="005E3242" w:rsidRDefault="002D39AA" w:rsidP="00C448E8">
            <w:pPr>
              <w:rPr>
                <w:color w:val="auto"/>
                <w:lang w:val="en-US"/>
              </w:rPr>
            </w:pPr>
          </w:p>
          <w:p w14:paraId="5DAF5459" w14:textId="77777777" w:rsidR="002D39AA" w:rsidRPr="005E3242" w:rsidRDefault="002D39AA" w:rsidP="00C448E8">
            <w:pPr>
              <w:rPr>
                <w:color w:val="auto"/>
                <w:lang w:val="en-US"/>
              </w:rPr>
            </w:pPr>
            <w:r w:rsidRPr="005E3242">
              <w:rPr>
                <w:color w:val="auto"/>
                <w:lang w:val="en-US"/>
              </w:rPr>
              <w:t>51 (66.2%)</w:t>
            </w:r>
          </w:p>
          <w:p w14:paraId="2A43B453" w14:textId="77777777" w:rsidR="002D39AA" w:rsidRPr="005E3242" w:rsidRDefault="002D39AA" w:rsidP="00C448E8">
            <w:pPr>
              <w:rPr>
                <w:color w:val="auto"/>
                <w:lang w:val="en-US"/>
              </w:rPr>
            </w:pPr>
            <w:r w:rsidRPr="005E3242">
              <w:rPr>
                <w:color w:val="auto"/>
                <w:lang w:val="en-US"/>
              </w:rPr>
              <w:t>[54.6; 76.6]</w:t>
            </w:r>
          </w:p>
        </w:tc>
      </w:tr>
      <w:tr w:rsidR="002D39AA" w:rsidRPr="005E3242" w14:paraId="6290FDD8" w14:textId="77777777" w:rsidTr="006B2154">
        <w:trPr>
          <w:cantSplit/>
        </w:trPr>
        <w:tc>
          <w:tcPr>
            <w:tcW w:w="830" w:type="pct"/>
            <w:tcBorders>
              <w:top w:val="single" w:sz="4" w:space="0" w:color="auto"/>
              <w:left w:val="single" w:sz="4" w:space="0" w:color="auto"/>
              <w:bottom w:val="single" w:sz="4" w:space="0" w:color="auto"/>
              <w:right w:val="single" w:sz="4" w:space="0" w:color="auto"/>
            </w:tcBorders>
            <w:hideMark/>
          </w:tcPr>
          <w:p w14:paraId="26625334" w14:textId="77777777" w:rsidR="002D39AA" w:rsidRPr="005E3242" w:rsidRDefault="002D39AA" w:rsidP="00C448E8">
            <w:pPr>
              <w:rPr>
                <w:color w:val="auto"/>
                <w:vertAlign w:val="superscript"/>
                <w:lang w:val="en-US"/>
              </w:rPr>
            </w:pPr>
            <w:r w:rsidRPr="005E3242">
              <w:rPr>
                <w:color w:val="auto"/>
                <w:lang w:val="en-US"/>
              </w:rPr>
              <w:t xml:space="preserve">Difference in </w:t>
            </w:r>
            <w:proofErr w:type="spellStart"/>
            <w:r w:rsidRPr="005E3242">
              <w:rPr>
                <w:color w:val="auto"/>
                <w:lang w:val="en-US"/>
              </w:rPr>
              <w:t>pCR</w:t>
            </w:r>
            <w:proofErr w:type="spellEnd"/>
            <w:r w:rsidRPr="005E3242">
              <w:rPr>
                <w:color w:val="auto"/>
                <w:lang w:val="en-US"/>
              </w:rPr>
              <w:t xml:space="preserve"> rates</w:t>
            </w:r>
            <w:r w:rsidRPr="005E3242">
              <w:rPr>
                <w:color w:val="auto"/>
                <w:vertAlign w:val="superscript"/>
                <w:lang w:val="en-US"/>
              </w:rPr>
              <w:t>2</w:t>
            </w:r>
          </w:p>
          <w:p w14:paraId="251EC0DF" w14:textId="77777777" w:rsidR="002D39AA" w:rsidRPr="005E3242" w:rsidRDefault="002D39AA" w:rsidP="00C448E8">
            <w:pPr>
              <w:rPr>
                <w:b/>
                <w:color w:val="auto"/>
                <w:lang w:val="en-US"/>
              </w:rPr>
            </w:pPr>
            <w:r w:rsidRPr="005E3242">
              <w:rPr>
                <w:color w:val="auto"/>
                <w:lang w:val="en-US"/>
              </w:rPr>
              <w:t>[95% CI]</w:t>
            </w:r>
            <w:r w:rsidRPr="005E3242">
              <w:rPr>
                <w:color w:val="auto"/>
                <w:vertAlign w:val="superscript"/>
                <w:lang w:val="en-US"/>
              </w:rPr>
              <w:t>3</w:t>
            </w:r>
          </w:p>
        </w:tc>
        <w:tc>
          <w:tcPr>
            <w:tcW w:w="496" w:type="pct"/>
            <w:tcBorders>
              <w:top w:val="single" w:sz="4" w:space="0" w:color="auto"/>
              <w:left w:val="single" w:sz="4" w:space="0" w:color="auto"/>
              <w:bottom w:val="single" w:sz="4" w:space="0" w:color="auto"/>
              <w:right w:val="single" w:sz="4" w:space="0" w:color="auto"/>
            </w:tcBorders>
          </w:tcPr>
          <w:p w14:paraId="27D9E05D" w14:textId="77777777" w:rsidR="002D39AA" w:rsidRPr="005E3242" w:rsidRDefault="002D39AA" w:rsidP="00C448E8">
            <w:pPr>
              <w:rPr>
                <w:color w:val="auto"/>
                <w:lang w:val="en-US"/>
              </w:rPr>
            </w:pPr>
          </w:p>
        </w:tc>
        <w:tc>
          <w:tcPr>
            <w:tcW w:w="585" w:type="pct"/>
            <w:tcBorders>
              <w:top w:val="single" w:sz="4" w:space="0" w:color="auto"/>
              <w:left w:val="single" w:sz="4" w:space="0" w:color="auto"/>
              <w:bottom w:val="single" w:sz="4" w:space="0" w:color="auto"/>
              <w:right w:val="single" w:sz="4" w:space="0" w:color="auto"/>
            </w:tcBorders>
            <w:hideMark/>
          </w:tcPr>
          <w:p w14:paraId="6C810FD9" w14:textId="77777777" w:rsidR="002D39AA" w:rsidRPr="005E3242" w:rsidRDefault="002D39AA" w:rsidP="00C448E8">
            <w:pPr>
              <w:rPr>
                <w:b/>
                <w:color w:val="auto"/>
                <w:lang w:val="en-US"/>
              </w:rPr>
            </w:pPr>
            <w:r w:rsidRPr="005E3242">
              <w:rPr>
                <w:color w:val="auto"/>
                <w:lang w:val="en-US"/>
              </w:rPr>
              <w:t>+16.8 %</w:t>
            </w:r>
          </w:p>
          <w:p w14:paraId="2E49DD49" w14:textId="77777777" w:rsidR="002D39AA" w:rsidRPr="005E3242" w:rsidRDefault="002D39AA" w:rsidP="00C448E8">
            <w:pPr>
              <w:rPr>
                <w:color w:val="auto"/>
                <w:lang w:val="en-US"/>
              </w:rPr>
            </w:pPr>
            <w:r w:rsidRPr="005E3242">
              <w:rPr>
                <w:color w:val="auto"/>
                <w:lang w:val="en-US"/>
              </w:rPr>
              <w:t>[3.5; 30.1]</w:t>
            </w:r>
          </w:p>
        </w:tc>
        <w:tc>
          <w:tcPr>
            <w:tcW w:w="496" w:type="pct"/>
            <w:tcBorders>
              <w:top w:val="single" w:sz="4" w:space="0" w:color="auto"/>
              <w:left w:val="single" w:sz="4" w:space="0" w:color="auto"/>
              <w:bottom w:val="single" w:sz="4" w:space="0" w:color="auto"/>
              <w:right w:val="single" w:sz="4" w:space="0" w:color="auto"/>
            </w:tcBorders>
            <w:hideMark/>
          </w:tcPr>
          <w:p w14:paraId="62BB1142" w14:textId="77777777" w:rsidR="002D39AA" w:rsidRPr="005E3242" w:rsidRDefault="002D39AA" w:rsidP="00C448E8">
            <w:pPr>
              <w:rPr>
                <w:b/>
                <w:color w:val="auto"/>
                <w:lang w:val="en-US"/>
              </w:rPr>
            </w:pPr>
            <w:r w:rsidRPr="005E3242">
              <w:rPr>
                <w:color w:val="auto"/>
                <w:lang w:val="en-US"/>
              </w:rPr>
              <w:t>-12.2 %</w:t>
            </w:r>
          </w:p>
          <w:p w14:paraId="3D9205B7" w14:textId="77777777" w:rsidR="002D39AA" w:rsidRPr="005E3242" w:rsidRDefault="002D39AA" w:rsidP="00C448E8">
            <w:pPr>
              <w:rPr>
                <w:b/>
                <w:color w:val="auto"/>
                <w:lang w:val="en-US"/>
              </w:rPr>
            </w:pPr>
            <w:r w:rsidRPr="005E3242">
              <w:rPr>
                <w:color w:val="auto"/>
                <w:lang w:val="en-US"/>
              </w:rPr>
              <w:t>[-23.8; -0.5]</w:t>
            </w:r>
          </w:p>
        </w:tc>
        <w:tc>
          <w:tcPr>
            <w:tcW w:w="606" w:type="pct"/>
            <w:tcBorders>
              <w:top w:val="single" w:sz="4" w:space="0" w:color="auto"/>
              <w:left w:val="single" w:sz="4" w:space="0" w:color="auto"/>
              <w:bottom w:val="single" w:sz="4" w:space="0" w:color="auto"/>
              <w:right w:val="single" w:sz="4" w:space="0" w:color="auto"/>
            </w:tcBorders>
            <w:hideMark/>
          </w:tcPr>
          <w:p w14:paraId="25F2172C" w14:textId="77777777" w:rsidR="002D39AA" w:rsidRPr="005E3242" w:rsidRDefault="002D39AA" w:rsidP="00C448E8">
            <w:pPr>
              <w:rPr>
                <w:b/>
                <w:color w:val="auto"/>
                <w:lang w:val="en-US"/>
              </w:rPr>
            </w:pPr>
            <w:r w:rsidRPr="005E3242">
              <w:rPr>
                <w:color w:val="auto"/>
                <w:lang w:val="en-US"/>
              </w:rPr>
              <w:t>-21.8 %</w:t>
            </w:r>
          </w:p>
          <w:p w14:paraId="536FB6B8" w14:textId="77777777" w:rsidR="002D39AA" w:rsidRPr="005E3242" w:rsidRDefault="002D39AA" w:rsidP="00C448E8">
            <w:pPr>
              <w:rPr>
                <w:b/>
                <w:color w:val="auto"/>
                <w:lang w:val="en-US"/>
              </w:rPr>
            </w:pPr>
            <w:r w:rsidRPr="005E3242">
              <w:rPr>
                <w:color w:val="auto"/>
                <w:lang w:val="en-US"/>
              </w:rPr>
              <w:t>[-35.1; -8.5]</w:t>
            </w:r>
          </w:p>
        </w:tc>
        <w:tc>
          <w:tcPr>
            <w:tcW w:w="792" w:type="pct"/>
            <w:tcBorders>
              <w:top w:val="single" w:sz="4" w:space="0" w:color="auto"/>
              <w:left w:val="single" w:sz="4" w:space="0" w:color="auto"/>
              <w:bottom w:val="single" w:sz="4" w:space="0" w:color="auto"/>
              <w:right w:val="single" w:sz="4" w:space="0" w:color="auto"/>
            </w:tcBorders>
            <w:vAlign w:val="center"/>
            <w:hideMark/>
          </w:tcPr>
          <w:p w14:paraId="7FC19279" w14:textId="77777777" w:rsidR="002D39AA" w:rsidRPr="005E3242" w:rsidRDefault="002D39AA" w:rsidP="00C448E8">
            <w:pPr>
              <w:rPr>
                <w:color w:val="auto"/>
                <w:lang w:val="en-US"/>
              </w:rPr>
            </w:pPr>
            <w:r w:rsidRPr="005E3242">
              <w:rPr>
                <w:color w:val="auto"/>
                <w:lang w:val="en-US"/>
              </w:rPr>
              <w:t>NA</w:t>
            </w:r>
          </w:p>
        </w:tc>
        <w:tc>
          <w:tcPr>
            <w:tcW w:w="585" w:type="pct"/>
            <w:tcBorders>
              <w:top w:val="single" w:sz="4" w:space="0" w:color="auto"/>
              <w:left w:val="single" w:sz="4" w:space="0" w:color="auto"/>
              <w:bottom w:val="single" w:sz="4" w:space="0" w:color="auto"/>
              <w:right w:val="single" w:sz="4" w:space="0" w:color="auto"/>
            </w:tcBorders>
            <w:vAlign w:val="center"/>
            <w:hideMark/>
          </w:tcPr>
          <w:p w14:paraId="401D1FCC" w14:textId="77777777" w:rsidR="002D39AA" w:rsidRPr="005E3242" w:rsidRDefault="002D39AA" w:rsidP="00C448E8">
            <w:pPr>
              <w:rPr>
                <w:color w:val="auto"/>
                <w:lang w:val="en-US"/>
              </w:rPr>
            </w:pPr>
            <w:r w:rsidRPr="005E3242">
              <w:rPr>
                <w:color w:val="auto"/>
                <w:lang w:val="en-US"/>
              </w:rPr>
              <w:t>NA</w:t>
            </w:r>
          </w:p>
        </w:tc>
        <w:tc>
          <w:tcPr>
            <w:tcW w:w="612" w:type="pct"/>
            <w:tcBorders>
              <w:top w:val="single" w:sz="4" w:space="0" w:color="auto"/>
              <w:left w:val="single" w:sz="4" w:space="0" w:color="auto"/>
              <w:bottom w:val="single" w:sz="4" w:space="0" w:color="auto"/>
              <w:right w:val="single" w:sz="4" w:space="0" w:color="auto"/>
            </w:tcBorders>
            <w:vAlign w:val="center"/>
            <w:hideMark/>
          </w:tcPr>
          <w:p w14:paraId="3859A80E" w14:textId="77777777" w:rsidR="002D39AA" w:rsidRPr="005E3242" w:rsidRDefault="002D39AA" w:rsidP="00C448E8">
            <w:pPr>
              <w:rPr>
                <w:color w:val="auto"/>
                <w:lang w:val="en-US"/>
              </w:rPr>
            </w:pPr>
            <w:r w:rsidRPr="005E3242">
              <w:rPr>
                <w:color w:val="auto"/>
                <w:lang w:val="en-US"/>
              </w:rPr>
              <w:t>NA</w:t>
            </w:r>
          </w:p>
        </w:tc>
      </w:tr>
      <w:tr w:rsidR="002D39AA" w:rsidRPr="005E3242" w14:paraId="4CEBD645" w14:textId="77777777" w:rsidTr="006B2154">
        <w:trPr>
          <w:cantSplit/>
        </w:trPr>
        <w:tc>
          <w:tcPr>
            <w:tcW w:w="830" w:type="pct"/>
            <w:tcBorders>
              <w:top w:val="single" w:sz="4" w:space="0" w:color="auto"/>
              <w:left w:val="single" w:sz="4" w:space="0" w:color="auto"/>
              <w:bottom w:val="single" w:sz="4" w:space="0" w:color="auto"/>
              <w:right w:val="single" w:sz="4" w:space="0" w:color="auto"/>
            </w:tcBorders>
            <w:hideMark/>
          </w:tcPr>
          <w:p w14:paraId="6F6742B9" w14:textId="77777777" w:rsidR="002D39AA" w:rsidRPr="005E3242" w:rsidRDefault="002D39AA" w:rsidP="00C448E8">
            <w:pPr>
              <w:rPr>
                <w:color w:val="auto"/>
                <w:lang w:val="en-US"/>
              </w:rPr>
            </w:pPr>
            <w:r w:rsidRPr="005E3242">
              <w:rPr>
                <w:color w:val="auto"/>
                <w:lang w:val="en-US"/>
              </w:rPr>
              <w:t xml:space="preserve">p-value (with </w:t>
            </w:r>
            <w:proofErr w:type="spellStart"/>
            <w:r w:rsidRPr="005E3242">
              <w:rPr>
                <w:color w:val="auto"/>
                <w:lang w:val="en-US"/>
              </w:rPr>
              <w:t>Simes</w:t>
            </w:r>
            <w:proofErr w:type="spellEnd"/>
            <w:r w:rsidRPr="005E3242">
              <w:rPr>
                <w:color w:val="auto"/>
                <w:lang w:val="en-US"/>
              </w:rPr>
              <w:t xml:space="preserve"> corr. for CMH test)</w:t>
            </w:r>
            <w:r w:rsidRPr="005E3242">
              <w:rPr>
                <w:color w:val="auto"/>
                <w:vertAlign w:val="superscript"/>
                <w:lang w:val="en-US"/>
              </w:rPr>
              <w:t>4</w:t>
            </w:r>
          </w:p>
        </w:tc>
        <w:tc>
          <w:tcPr>
            <w:tcW w:w="496" w:type="pct"/>
            <w:tcBorders>
              <w:top w:val="single" w:sz="4" w:space="0" w:color="auto"/>
              <w:left w:val="single" w:sz="4" w:space="0" w:color="auto"/>
              <w:bottom w:val="single" w:sz="4" w:space="0" w:color="auto"/>
              <w:right w:val="single" w:sz="4" w:space="0" w:color="auto"/>
            </w:tcBorders>
            <w:vAlign w:val="center"/>
          </w:tcPr>
          <w:p w14:paraId="6777ABB1" w14:textId="77777777" w:rsidR="002D39AA" w:rsidRPr="005E3242" w:rsidRDefault="002D39AA" w:rsidP="00C448E8">
            <w:pPr>
              <w:rPr>
                <w:color w:val="auto"/>
                <w:lang w:val="en-US"/>
              </w:rPr>
            </w:pPr>
          </w:p>
        </w:tc>
        <w:tc>
          <w:tcPr>
            <w:tcW w:w="585" w:type="pct"/>
            <w:tcBorders>
              <w:top w:val="single" w:sz="4" w:space="0" w:color="auto"/>
              <w:left w:val="single" w:sz="4" w:space="0" w:color="auto"/>
              <w:bottom w:val="single" w:sz="4" w:space="0" w:color="auto"/>
              <w:right w:val="single" w:sz="4" w:space="0" w:color="auto"/>
            </w:tcBorders>
            <w:vAlign w:val="center"/>
            <w:hideMark/>
          </w:tcPr>
          <w:p w14:paraId="75028222" w14:textId="77777777" w:rsidR="002D39AA" w:rsidRPr="005E3242" w:rsidRDefault="002D39AA" w:rsidP="00C448E8">
            <w:pPr>
              <w:rPr>
                <w:color w:val="auto"/>
                <w:lang w:val="en-US"/>
              </w:rPr>
            </w:pPr>
            <w:r w:rsidRPr="005E3242">
              <w:rPr>
                <w:color w:val="auto"/>
                <w:lang w:val="en-US"/>
              </w:rPr>
              <w:t>0.0141</w:t>
            </w:r>
          </w:p>
          <w:p w14:paraId="7C475493" w14:textId="77777777" w:rsidR="002D39AA" w:rsidRPr="005E3242" w:rsidRDefault="002D39AA" w:rsidP="00C448E8">
            <w:pPr>
              <w:rPr>
                <w:color w:val="auto"/>
                <w:lang w:val="en-US"/>
              </w:rPr>
            </w:pPr>
            <w:r w:rsidRPr="005E3242">
              <w:rPr>
                <w:color w:val="auto"/>
                <w:lang w:val="en-US"/>
              </w:rPr>
              <w:t>(vs. T+D)</w:t>
            </w:r>
          </w:p>
        </w:tc>
        <w:tc>
          <w:tcPr>
            <w:tcW w:w="496" w:type="pct"/>
            <w:tcBorders>
              <w:top w:val="single" w:sz="4" w:space="0" w:color="auto"/>
              <w:left w:val="single" w:sz="4" w:space="0" w:color="auto"/>
              <w:bottom w:val="single" w:sz="4" w:space="0" w:color="auto"/>
              <w:right w:val="single" w:sz="4" w:space="0" w:color="auto"/>
            </w:tcBorders>
            <w:vAlign w:val="center"/>
            <w:hideMark/>
          </w:tcPr>
          <w:p w14:paraId="57847FEA" w14:textId="77777777" w:rsidR="002D39AA" w:rsidRPr="005E3242" w:rsidRDefault="002D39AA" w:rsidP="00C448E8">
            <w:pPr>
              <w:rPr>
                <w:color w:val="auto"/>
                <w:lang w:val="en-US"/>
              </w:rPr>
            </w:pPr>
            <w:r w:rsidRPr="005E3242">
              <w:rPr>
                <w:color w:val="auto"/>
                <w:lang w:val="en-US"/>
              </w:rPr>
              <w:t>0.0198</w:t>
            </w:r>
          </w:p>
          <w:p w14:paraId="112C1F3C" w14:textId="77777777" w:rsidR="002D39AA" w:rsidRPr="005E3242" w:rsidRDefault="002D39AA" w:rsidP="00C448E8">
            <w:pPr>
              <w:rPr>
                <w:color w:val="auto"/>
                <w:lang w:val="en-US"/>
              </w:rPr>
            </w:pPr>
            <w:r w:rsidRPr="005E3242">
              <w:rPr>
                <w:color w:val="auto"/>
                <w:lang w:val="en-US"/>
              </w:rPr>
              <w:t>(vs. T+D)</w:t>
            </w:r>
          </w:p>
        </w:tc>
        <w:tc>
          <w:tcPr>
            <w:tcW w:w="606" w:type="pct"/>
            <w:tcBorders>
              <w:top w:val="single" w:sz="4" w:space="0" w:color="auto"/>
              <w:left w:val="single" w:sz="4" w:space="0" w:color="auto"/>
              <w:bottom w:val="single" w:sz="4" w:space="0" w:color="auto"/>
              <w:right w:val="single" w:sz="4" w:space="0" w:color="auto"/>
            </w:tcBorders>
            <w:vAlign w:val="center"/>
            <w:hideMark/>
          </w:tcPr>
          <w:p w14:paraId="64B6F180" w14:textId="77777777" w:rsidR="002D39AA" w:rsidRPr="005E3242" w:rsidRDefault="002D39AA" w:rsidP="00C448E8">
            <w:pPr>
              <w:rPr>
                <w:color w:val="auto"/>
                <w:lang w:val="en-US"/>
              </w:rPr>
            </w:pPr>
            <w:r w:rsidRPr="005E3242">
              <w:rPr>
                <w:color w:val="auto"/>
                <w:lang w:val="en-US"/>
              </w:rPr>
              <w:t>0.0030</w:t>
            </w:r>
          </w:p>
          <w:p w14:paraId="595B97E3" w14:textId="77777777" w:rsidR="002D39AA" w:rsidRPr="005E3242" w:rsidRDefault="002D39AA" w:rsidP="00C448E8">
            <w:pPr>
              <w:rPr>
                <w:b/>
                <w:color w:val="auto"/>
                <w:lang w:val="en-US"/>
              </w:rPr>
            </w:pPr>
            <w:r w:rsidRPr="005E3242">
              <w:rPr>
                <w:color w:val="auto"/>
                <w:lang w:val="en-US"/>
              </w:rPr>
              <w:t xml:space="preserve">(vs </w:t>
            </w:r>
            <w:proofErr w:type="spellStart"/>
            <w:r w:rsidRPr="005E3242">
              <w:rPr>
                <w:color w:val="auto"/>
                <w:lang w:val="en-US"/>
              </w:rPr>
              <w:t>Ptz+T+D</w:t>
            </w:r>
            <w:proofErr w:type="spellEnd"/>
            <w:r w:rsidRPr="005E3242">
              <w:rPr>
                <w:color w:val="auto"/>
                <w:lang w:val="en-US"/>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29DEB7E2" w14:textId="77777777" w:rsidR="002D39AA" w:rsidRPr="005E3242" w:rsidRDefault="002D39AA" w:rsidP="00C448E8">
            <w:pPr>
              <w:rPr>
                <w:color w:val="auto"/>
                <w:lang w:val="en-US"/>
              </w:rPr>
            </w:pPr>
            <w:r w:rsidRPr="005E3242">
              <w:rPr>
                <w:color w:val="auto"/>
                <w:lang w:val="en-US"/>
              </w:rPr>
              <w:t>NA</w:t>
            </w:r>
          </w:p>
        </w:tc>
        <w:tc>
          <w:tcPr>
            <w:tcW w:w="585" w:type="pct"/>
            <w:tcBorders>
              <w:top w:val="single" w:sz="4" w:space="0" w:color="auto"/>
              <w:left w:val="single" w:sz="4" w:space="0" w:color="auto"/>
              <w:bottom w:val="single" w:sz="4" w:space="0" w:color="auto"/>
              <w:right w:val="single" w:sz="4" w:space="0" w:color="auto"/>
            </w:tcBorders>
            <w:vAlign w:val="center"/>
            <w:hideMark/>
          </w:tcPr>
          <w:p w14:paraId="60411977" w14:textId="77777777" w:rsidR="002D39AA" w:rsidRPr="005E3242" w:rsidRDefault="002D39AA" w:rsidP="00C448E8">
            <w:pPr>
              <w:rPr>
                <w:color w:val="auto"/>
                <w:lang w:val="en-US"/>
              </w:rPr>
            </w:pPr>
            <w:r w:rsidRPr="005E3242">
              <w:rPr>
                <w:color w:val="auto"/>
                <w:lang w:val="en-US"/>
              </w:rPr>
              <w:t>NA</w:t>
            </w:r>
          </w:p>
        </w:tc>
        <w:tc>
          <w:tcPr>
            <w:tcW w:w="612" w:type="pct"/>
            <w:tcBorders>
              <w:top w:val="single" w:sz="4" w:space="0" w:color="auto"/>
              <w:left w:val="single" w:sz="4" w:space="0" w:color="auto"/>
              <w:bottom w:val="single" w:sz="4" w:space="0" w:color="auto"/>
              <w:right w:val="single" w:sz="4" w:space="0" w:color="auto"/>
            </w:tcBorders>
            <w:vAlign w:val="center"/>
            <w:hideMark/>
          </w:tcPr>
          <w:p w14:paraId="3C7AC532" w14:textId="77777777" w:rsidR="002D39AA" w:rsidRPr="005E3242" w:rsidRDefault="002D39AA" w:rsidP="00C448E8">
            <w:pPr>
              <w:rPr>
                <w:color w:val="auto"/>
                <w:lang w:val="en-US"/>
              </w:rPr>
            </w:pPr>
            <w:r w:rsidRPr="005E3242">
              <w:rPr>
                <w:color w:val="auto"/>
                <w:lang w:val="en-US"/>
              </w:rPr>
              <w:t>NA</w:t>
            </w:r>
          </w:p>
        </w:tc>
      </w:tr>
      <w:tr w:rsidR="002D39AA" w:rsidRPr="005E3242" w14:paraId="435A0504" w14:textId="77777777" w:rsidTr="006B2154">
        <w:trPr>
          <w:cantSplit/>
        </w:trPr>
        <w:tc>
          <w:tcPr>
            <w:tcW w:w="830" w:type="pct"/>
            <w:tcBorders>
              <w:top w:val="single" w:sz="4" w:space="0" w:color="auto"/>
              <w:left w:val="single" w:sz="4" w:space="0" w:color="auto"/>
              <w:bottom w:val="single" w:sz="4" w:space="0" w:color="auto"/>
              <w:right w:val="single" w:sz="4" w:space="0" w:color="auto"/>
            </w:tcBorders>
            <w:hideMark/>
          </w:tcPr>
          <w:p w14:paraId="0E87FD5F" w14:textId="77777777" w:rsidR="002D39AA" w:rsidRPr="005E3242" w:rsidRDefault="002D39AA" w:rsidP="00C448E8">
            <w:pPr>
              <w:rPr>
                <w:color w:val="auto"/>
                <w:lang w:val="en-US"/>
              </w:rPr>
            </w:pPr>
            <w:r w:rsidRPr="005E3242">
              <w:rPr>
                <w:color w:val="auto"/>
                <w:lang w:val="en-US"/>
              </w:rPr>
              <w:t>ypT0/is N0</w:t>
            </w:r>
          </w:p>
          <w:p w14:paraId="120FD2FF" w14:textId="77777777" w:rsidR="002D39AA" w:rsidRPr="005E3242" w:rsidRDefault="002D39AA" w:rsidP="00C448E8">
            <w:pPr>
              <w:rPr>
                <w:b/>
                <w:color w:val="auto"/>
                <w:lang w:val="en-US"/>
              </w:rPr>
            </w:pPr>
            <w:r w:rsidRPr="005E3242">
              <w:rPr>
                <w:color w:val="auto"/>
                <w:lang w:val="en-US"/>
              </w:rPr>
              <w:t>n (%)</w:t>
            </w:r>
          </w:p>
          <w:p w14:paraId="041E3DEF" w14:textId="77777777" w:rsidR="002D39AA" w:rsidRPr="005E3242" w:rsidRDefault="002D39AA" w:rsidP="00C448E8">
            <w:pPr>
              <w:rPr>
                <w:color w:val="auto"/>
                <w:lang w:val="en-US"/>
              </w:rPr>
            </w:pPr>
            <w:r w:rsidRPr="005E3242">
              <w:rPr>
                <w:color w:val="auto"/>
                <w:lang w:val="en-US"/>
              </w:rPr>
              <w:t>[95% CI]</w:t>
            </w:r>
          </w:p>
        </w:tc>
        <w:tc>
          <w:tcPr>
            <w:tcW w:w="496" w:type="pct"/>
            <w:tcBorders>
              <w:top w:val="single" w:sz="4" w:space="0" w:color="auto"/>
              <w:left w:val="single" w:sz="4" w:space="0" w:color="auto"/>
              <w:bottom w:val="single" w:sz="4" w:space="0" w:color="auto"/>
              <w:right w:val="single" w:sz="4" w:space="0" w:color="auto"/>
            </w:tcBorders>
            <w:vAlign w:val="center"/>
          </w:tcPr>
          <w:p w14:paraId="173A9D45" w14:textId="77777777" w:rsidR="002D39AA" w:rsidRPr="005E3242" w:rsidRDefault="002D39AA" w:rsidP="00C448E8">
            <w:pPr>
              <w:rPr>
                <w:color w:val="auto"/>
                <w:lang w:val="en-US"/>
              </w:rPr>
            </w:pPr>
          </w:p>
          <w:p w14:paraId="3EB01052" w14:textId="77777777" w:rsidR="002D39AA" w:rsidRPr="005E3242" w:rsidRDefault="002D39AA" w:rsidP="00C448E8">
            <w:pPr>
              <w:rPr>
                <w:color w:val="auto"/>
                <w:lang w:val="en-US"/>
              </w:rPr>
            </w:pPr>
            <w:r w:rsidRPr="005E3242">
              <w:rPr>
                <w:color w:val="auto"/>
                <w:lang w:val="en-US"/>
              </w:rPr>
              <w:t>23 (21.5%)</w:t>
            </w:r>
          </w:p>
          <w:p w14:paraId="036EF2BC" w14:textId="77777777" w:rsidR="002D39AA" w:rsidRPr="005E3242" w:rsidRDefault="002D39AA" w:rsidP="00C448E8">
            <w:pPr>
              <w:rPr>
                <w:color w:val="auto"/>
                <w:lang w:val="en-GB"/>
              </w:rPr>
            </w:pPr>
            <w:r w:rsidRPr="005E3242">
              <w:rPr>
                <w:color w:val="auto"/>
                <w:lang w:val="en-GB"/>
              </w:rPr>
              <w:t>[14.1; 30.5]</w:t>
            </w:r>
          </w:p>
        </w:tc>
        <w:tc>
          <w:tcPr>
            <w:tcW w:w="585" w:type="pct"/>
            <w:tcBorders>
              <w:top w:val="single" w:sz="4" w:space="0" w:color="auto"/>
              <w:left w:val="single" w:sz="4" w:space="0" w:color="auto"/>
              <w:bottom w:val="single" w:sz="4" w:space="0" w:color="auto"/>
              <w:right w:val="single" w:sz="4" w:space="0" w:color="auto"/>
            </w:tcBorders>
            <w:vAlign w:val="center"/>
          </w:tcPr>
          <w:p w14:paraId="5262BAB6" w14:textId="77777777" w:rsidR="002D39AA" w:rsidRPr="005E3242" w:rsidRDefault="002D39AA" w:rsidP="00C448E8">
            <w:pPr>
              <w:rPr>
                <w:color w:val="auto"/>
                <w:lang w:val="en-US"/>
              </w:rPr>
            </w:pPr>
          </w:p>
          <w:p w14:paraId="30A1BC99" w14:textId="77777777" w:rsidR="002D39AA" w:rsidRPr="005E3242" w:rsidRDefault="002D39AA" w:rsidP="00C448E8">
            <w:pPr>
              <w:rPr>
                <w:color w:val="auto"/>
                <w:lang w:val="en-US"/>
              </w:rPr>
            </w:pPr>
            <w:r w:rsidRPr="005E3242">
              <w:rPr>
                <w:color w:val="auto"/>
                <w:lang w:val="en-US"/>
              </w:rPr>
              <w:t>42 (39.3%)</w:t>
            </w:r>
          </w:p>
          <w:p w14:paraId="47CD0350" w14:textId="77777777" w:rsidR="002D39AA" w:rsidRPr="005E3242" w:rsidRDefault="002D39AA" w:rsidP="00C448E8">
            <w:pPr>
              <w:rPr>
                <w:color w:val="auto"/>
                <w:lang w:val="en-GB"/>
              </w:rPr>
            </w:pPr>
            <w:r w:rsidRPr="005E3242">
              <w:rPr>
                <w:color w:val="auto"/>
                <w:lang w:val="en-GB"/>
              </w:rPr>
              <w:t>[30.3; 49.2]</w:t>
            </w:r>
          </w:p>
        </w:tc>
        <w:tc>
          <w:tcPr>
            <w:tcW w:w="496" w:type="pct"/>
            <w:tcBorders>
              <w:top w:val="single" w:sz="4" w:space="0" w:color="auto"/>
              <w:left w:val="single" w:sz="4" w:space="0" w:color="auto"/>
              <w:bottom w:val="single" w:sz="4" w:space="0" w:color="auto"/>
              <w:right w:val="single" w:sz="4" w:space="0" w:color="auto"/>
            </w:tcBorders>
            <w:vAlign w:val="center"/>
          </w:tcPr>
          <w:p w14:paraId="1F04E3B7" w14:textId="77777777" w:rsidR="002D39AA" w:rsidRPr="005E3242" w:rsidRDefault="002D39AA" w:rsidP="00C448E8">
            <w:pPr>
              <w:rPr>
                <w:color w:val="auto"/>
                <w:lang w:val="en-US"/>
              </w:rPr>
            </w:pPr>
          </w:p>
          <w:p w14:paraId="19A09A2E" w14:textId="77777777" w:rsidR="002D39AA" w:rsidRPr="005E3242" w:rsidRDefault="002D39AA" w:rsidP="00C448E8">
            <w:pPr>
              <w:rPr>
                <w:color w:val="auto"/>
                <w:lang w:val="en-US"/>
              </w:rPr>
            </w:pPr>
            <w:r w:rsidRPr="005E3242">
              <w:rPr>
                <w:color w:val="auto"/>
                <w:lang w:val="en-US"/>
              </w:rPr>
              <w:t>12 (11.2%)</w:t>
            </w:r>
          </w:p>
          <w:p w14:paraId="4147A11D" w14:textId="77777777" w:rsidR="002D39AA" w:rsidRPr="005E3242" w:rsidRDefault="002D39AA" w:rsidP="00C448E8">
            <w:pPr>
              <w:rPr>
                <w:color w:val="auto"/>
                <w:lang w:val="en-GB"/>
              </w:rPr>
            </w:pPr>
            <w:r w:rsidRPr="005E3242">
              <w:rPr>
                <w:color w:val="auto"/>
                <w:lang w:val="en-GB"/>
              </w:rPr>
              <w:t>[5.9; 18.8]</w:t>
            </w:r>
          </w:p>
        </w:tc>
        <w:tc>
          <w:tcPr>
            <w:tcW w:w="606" w:type="pct"/>
            <w:tcBorders>
              <w:top w:val="single" w:sz="4" w:space="0" w:color="auto"/>
              <w:left w:val="single" w:sz="4" w:space="0" w:color="auto"/>
              <w:bottom w:val="single" w:sz="4" w:space="0" w:color="auto"/>
              <w:right w:val="single" w:sz="4" w:space="0" w:color="auto"/>
            </w:tcBorders>
            <w:vAlign w:val="center"/>
          </w:tcPr>
          <w:p w14:paraId="73FCBD88" w14:textId="77777777" w:rsidR="002D39AA" w:rsidRPr="005E3242" w:rsidRDefault="002D39AA" w:rsidP="00C448E8">
            <w:pPr>
              <w:rPr>
                <w:color w:val="auto"/>
                <w:lang w:val="en-US"/>
              </w:rPr>
            </w:pPr>
          </w:p>
          <w:p w14:paraId="42000F1B" w14:textId="77777777" w:rsidR="002D39AA" w:rsidRPr="005E3242" w:rsidRDefault="002D39AA" w:rsidP="00C448E8">
            <w:pPr>
              <w:rPr>
                <w:color w:val="auto"/>
                <w:lang w:val="en-US"/>
              </w:rPr>
            </w:pPr>
            <w:r w:rsidRPr="005E3242">
              <w:rPr>
                <w:color w:val="auto"/>
                <w:lang w:val="en-US"/>
              </w:rPr>
              <w:t>17 (17.7%)</w:t>
            </w:r>
          </w:p>
          <w:p w14:paraId="17504CA9" w14:textId="77777777" w:rsidR="002D39AA" w:rsidRPr="005E3242" w:rsidRDefault="002D39AA" w:rsidP="00C448E8">
            <w:pPr>
              <w:rPr>
                <w:color w:val="auto"/>
                <w:lang w:val="en-GB"/>
              </w:rPr>
            </w:pPr>
            <w:r w:rsidRPr="005E3242">
              <w:rPr>
                <w:color w:val="auto"/>
                <w:lang w:val="en-GB"/>
              </w:rPr>
              <w:t>[10.7; 26.8]</w:t>
            </w:r>
          </w:p>
        </w:tc>
        <w:tc>
          <w:tcPr>
            <w:tcW w:w="792" w:type="pct"/>
            <w:tcBorders>
              <w:top w:val="single" w:sz="4" w:space="0" w:color="auto"/>
              <w:left w:val="single" w:sz="4" w:space="0" w:color="auto"/>
              <w:bottom w:val="single" w:sz="4" w:space="0" w:color="auto"/>
              <w:right w:val="single" w:sz="4" w:space="0" w:color="auto"/>
            </w:tcBorders>
          </w:tcPr>
          <w:p w14:paraId="7E99BEAA" w14:textId="77777777" w:rsidR="002D39AA" w:rsidRPr="005E3242" w:rsidRDefault="002D39AA" w:rsidP="00C448E8">
            <w:pPr>
              <w:rPr>
                <w:color w:val="auto"/>
                <w:lang w:val="en-US"/>
              </w:rPr>
            </w:pPr>
          </w:p>
          <w:p w14:paraId="6B3486B4" w14:textId="77777777" w:rsidR="002D39AA" w:rsidRPr="005E3242" w:rsidRDefault="002D39AA" w:rsidP="00C448E8">
            <w:pPr>
              <w:rPr>
                <w:color w:val="auto"/>
                <w:lang w:val="en-US"/>
              </w:rPr>
            </w:pPr>
            <w:r w:rsidRPr="005E3242">
              <w:rPr>
                <w:color w:val="auto"/>
                <w:lang w:val="en-US"/>
              </w:rPr>
              <w:t>41 (56.2%)</w:t>
            </w:r>
          </w:p>
          <w:p w14:paraId="59208679" w14:textId="77777777" w:rsidR="002D39AA" w:rsidRPr="005E3242" w:rsidRDefault="002D39AA" w:rsidP="00C448E8">
            <w:pPr>
              <w:rPr>
                <w:color w:val="auto"/>
                <w:lang w:val="en-US"/>
              </w:rPr>
            </w:pPr>
            <w:r w:rsidRPr="005E3242">
              <w:rPr>
                <w:color w:val="auto"/>
                <w:lang w:val="en-US"/>
              </w:rPr>
              <w:t>[44.1; 67.8]</w:t>
            </w:r>
          </w:p>
        </w:tc>
        <w:tc>
          <w:tcPr>
            <w:tcW w:w="585" w:type="pct"/>
            <w:tcBorders>
              <w:top w:val="single" w:sz="4" w:space="0" w:color="auto"/>
              <w:left w:val="single" w:sz="4" w:space="0" w:color="auto"/>
              <w:bottom w:val="single" w:sz="4" w:space="0" w:color="auto"/>
              <w:right w:val="single" w:sz="4" w:space="0" w:color="auto"/>
            </w:tcBorders>
          </w:tcPr>
          <w:p w14:paraId="4FD3BD20" w14:textId="77777777" w:rsidR="002D39AA" w:rsidRPr="005E3242" w:rsidRDefault="002D39AA" w:rsidP="00C448E8">
            <w:pPr>
              <w:rPr>
                <w:color w:val="auto"/>
                <w:lang w:val="en-US"/>
              </w:rPr>
            </w:pPr>
          </w:p>
          <w:p w14:paraId="090B676B" w14:textId="77777777" w:rsidR="002D39AA" w:rsidRPr="005E3242" w:rsidRDefault="002D39AA" w:rsidP="00C448E8">
            <w:pPr>
              <w:rPr>
                <w:color w:val="auto"/>
                <w:lang w:val="en-US"/>
              </w:rPr>
            </w:pPr>
            <w:r w:rsidRPr="005E3242">
              <w:rPr>
                <w:color w:val="auto"/>
                <w:lang w:val="en-US"/>
              </w:rPr>
              <w:t>41 (54.7%)</w:t>
            </w:r>
          </w:p>
          <w:p w14:paraId="158B31D7" w14:textId="77777777" w:rsidR="002D39AA" w:rsidRPr="005E3242" w:rsidRDefault="002D39AA" w:rsidP="00C448E8">
            <w:pPr>
              <w:rPr>
                <w:color w:val="auto"/>
                <w:lang w:val="en-US"/>
              </w:rPr>
            </w:pPr>
            <w:r w:rsidRPr="005E3242">
              <w:rPr>
                <w:color w:val="auto"/>
                <w:lang w:val="en-US"/>
              </w:rPr>
              <w:t>[42.7; 66.2]</w:t>
            </w:r>
          </w:p>
        </w:tc>
        <w:tc>
          <w:tcPr>
            <w:tcW w:w="612" w:type="pct"/>
            <w:tcBorders>
              <w:top w:val="single" w:sz="4" w:space="0" w:color="auto"/>
              <w:left w:val="single" w:sz="4" w:space="0" w:color="auto"/>
              <w:bottom w:val="single" w:sz="4" w:space="0" w:color="auto"/>
              <w:right w:val="single" w:sz="4" w:space="0" w:color="auto"/>
            </w:tcBorders>
          </w:tcPr>
          <w:p w14:paraId="1803C0E7" w14:textId="77777777" w:rsidR="002D39AA" w:rsidRPr="005E3242" w:rsidRDefault="002D39AA" w:rsidP="00C448E8">
            <w:pPr>
              <w:rPr>
                <w:color w:val="auto"/>
                <w:lang w:val="en-US"/>
              </w:rPr>
            </w:pPr>
          </w:p>
          <w:p w14:paraId="630C0F72" w14:textId="77777777" w:rsidR="002D39AA" w:rsidRPr="005E3242" w:rsidRDefault="002D39AA" w:rsidP="00C448E8">
            <w:pPr>
              <w:rPr>
                <w:color w:val="auto"/>
                <w:lang w:val="en-US"/>
              </w:rPr>
            </w:pPr>
            <w:r w:rsidRPr="005E3242">
              <w:rPr>
                <w:color w:val="auto"/>
                <w:lang w:val="en-US"/>
              </w:rPr>
              <w:t>49 (63.6%)</w:t>
            </w:r>
          </w:p>
          <w:p w14:paraId="60B964B9" w14:textId="77777777" w:rsidR="002D39AA" w:rsidRPr="005E3242" w:rsidRDefault="002D39AA" w:rsidP="00C448E8">
            <w:pPr>
              <w:rPr>
                <w:color w:val="auto"/>
                <w:lang w:val="en-US"/>
              </w:rPr>
            </w:pPr>
            <w:r w:rsidRPr="005E3242">
              <w:rPr>
                <w:color w:val="auto"/>
                <w:lang w:val="en-US"/>
              </w:rPr>
              <w:t>[51.9; 74.3]</w:t>
            </w:r>
          </w:p>
        </w:tc>
      </w:tr>
      <w:tr w:rsidR="002D39AA" w:rsidRPr="005E3242" w14:paraId="12C42811" w14:textId="77777777" w:rsidTr="006B2154">
        <w:trPr>
          <w:cantSplit/>
          <w:trHeight w:val="1331"/>
        </w:trPr>
        <w:tc>
          <w:tcPr>
            <w:tcW w:w="830" w:type="pct"/>
            <w:tcBorders>
              <w:top w:val="single" w:sz="4" w:space="0" w:color="auto"/>
              <w:left w:val="single" w:sz="4" w:space="0" w:color="auto"/>
              <w:bottom w:val="single" w:sz="4" w:space="0" w:color="auto"/>
              <w:right w:val="single" w:sz="4" w:space="0" w:color="auto"/>
            </w:tcBorders>
            <w:hideMark/>
          </w:tcPr>
          <w:p w14:paraId="6F7F554C" w14:textId="77777777" w:rsidR="002D39AA" w:rsidRPr="005E3242" w:rsidRDefault="002D39AA" w:rsidP="00C448E8">
            <w:pPr>
              <w:rPr>
                <w:color w:val="auto"/>
                <w:lang w:val="en-US"/>
              </w:rPr>
            </w:pPr>
            <w:r w:rsidRPr="005E3242">
              <w:rPr>
                <w:color w:val="auto"/>
                <w:lang w:val="en-US"/>
              </w:rPr>
              <w:t xml:space="preserve">ypT0 N0 </w:t>
            </w:r>
          </w:p>
          <w:p w14:paraId="02F84591" w14:textId="77777777" w:rsidR="002D39AA" w:rsidRPr="005E3242" w:rsidRDefault="002D39AA" w:rsidP="00C448E8">
            <w:pPr>
              <w:rPr>
                <w:b/>
                <w:color w:val="auto"/>
                <w:lang w:val="en-US"/>
              </w:rPr>
            </w:pPr>
            <w:r w:rsidRPr="005E3242">
              <w:rPr>
                <w:color w:val="auto"/>
                <w:lang w:val="en-US"/>
              </w:rPr>
              <w:t>n (%)</w:t>
            </w:r>
          </w:p>
          <w:p w14:paraId="09917005" w14:textId="77777777" w:rsidR="002D39AA" w:rsidRPr="005E3242" w:rsidRDefault="002D39AA" w:rsidP="00C448E8">
            <w:pPr>
              <w:rPr>
                <w:color w:val="auto"/>
                <w:lang w:val="en-US"/>
              </w:rPr>
            </w:pPr>
            <w:r w:rsidRPr="005E3242">
              <w:rPr>
                <w:color w:val="auto"/>
                <w:lang w:val="en-US"/>
              </w:rPr>
              <w:t>[95% CI]</w:t>
            </w:r>
          </w:p>
        </w:tc>
        <w:tc>
          <w:tcPr>
            <w:tcW w:w="496" w:type="pct"/>
            <w:tcBorders>
              <w:top w:val="single" w:sz="4" w:space="0" w:color="auto"/>
              <w:left w:val="single" w:sz="4" w:space="0" w:color="auto"/>
              <w:bottom w:val="single" w:sz="4" w:space="0" w:color="auto"/>
              <w:right w:val="single" w:sz="4" w:space="0" w:color="auto"/>
            </w:tcBorders>
            <w:vAlign w:val="center"/>
          </w:tcPr>
          <w:p w14:paraId="2B8326F8" w14:textId="77777777" w:rsidR="002D39AA" w:rsidRPr="005E3242" w:rsidRDefault="002D39AA" w:rsidP="00C448E8">
            <w:pPr>
              <w:rPr>
                <w:color w:val="auto"/>
                <w:lang w:val="en-GB"/>
              </w:rPr>
            </w:pPr>
          </w:p>
          <w:p w14:paraId="617AB693" w14:textId="77777777" w:rsidR="002D39AA" w:rsidRPr="005E3242" w:rsidRDefault="002D39AA" w:rsidP="00C448E8">
            <w:pPr>
              <w:rPr>
                <w:b/>
                <w:color w:val="auto"/>
                <w:lang w:val="en-GB"/>
              </w:rPr>
            </w:pPr>
            <w:r w:rsidRPr="005E3242">
              <w:rPr>
                <w:color w:val="auto"/>
                <w:lang w:val="en-GB"/>
              </w:rPr>
              <w:t>13 (12.1%) [6.6; 19.9]</w:t>
            </w:r>
          </w:p>
        </w:tc>
        <w:tc>
          <w:tcPr>
            <w:tcW w:w="585" w:type="pct"/>
            <w:tcBorders>
              <w:top w:val="single" w:sz="4" w:space="0" w:color="auto"/>
              <w:left w:val="single" w:sz="4" w:space="0" w:color="auto"/>
              <w:bottom w:val="single" w:sz="4" w:space="0" w:color="auto"/>
              <w:right w:val="single" w:sz="4" w:space="0" w:color="auto"/>
            </w:tcBorders>
            <w:vAlign w:val="center"/>
          </w:tcPr>
          <w:p w14:paraId="3BBB02BA" w14:textId="77777777" w:rsidR="002D39AA" w:rsidRPr="005E3242" w:rsidRDefault="002D39AA" w:rsidP="00C448E8">
            <w:pPr>
              <w:rPr>
                <w:color w:val="auto"/>
                <w:lang w:val="en-GB"/>
              </w:rPr>
            </w:pPr>
          </w:p>
          <w:p w14:paraId="10646926" w14:textId="77777777" w:rsidR="002D39AA" w:rsidRPr="005E3242" w:rsidRDefault="002D39AA" w:rsidP="00C448E8">
            <w:pPr>
              <w:rPr>
                <w:color w:val="auto"/>
                <w:lang w:val="en-GB"/>
              </w:rPr>
            </w:pPr>
            <w:r w:rsidRPr="005E3242">
              <w:rPr>
                <w:color w:val="auto"/>
                <w:lang w:val="en-GB"/>
              </w:rPr>
              <w:t>35 (32.7%) [24.0; 42.5]</w:t>
            </w:r>
          </w:p>
        </w:tc>
        <w:tc>
          <w:tcPr>
            <w:tcW w:w="496" w:type="pct"/>
            <w:tcBorders>
              <w:top w:val="single" w:sz="4" w:space="0" w:color="auto"/>
              <w:left w:val="single" w:sz="4" w:space="0" w:color="auto"/>
              <w:bottom w:val="single" w:sz="4" w:space="0" w:color="auto"/>
              <w:right w:val="single" w:sz="4" w:space="0" w:color="auto"/>
            </w:tcBorders>
            <w:vAlign w:val="center"/>
          </w:tcPr>
          <w:p w14:paraId="77228688" w14:textId="77777777" w:rsidR="002D39AA" w:rsidRPr="005E3242" w:rsidRDefault="002D39AA" w:rsidP="00C448E8">
            <w:pPr>
              <w:rPr>
                <w:color w:val="auto"/>
                <w:lang w:val="en-GB"/>
              </w:rPr>
            </w:pPr>
          </w:p>
          <w:p w14:paraId="0290044C" w14:textId="77777777" w:rsidR="002D39AA" w:rsidRPr="005E3242" w:rsidRDefault="002D39AA" w:rsidP="00C448E8">
            <w:pPr>
              <w:rPr>
                <w:color w:val="auto"/>
                <w:lang w:val="en-GB"/>
              </w:rPr>
            </w:pPr>
            <w:r w:rsidRPr="005E3242">
              <w:rPr>
                <w:color w:val="auto"/>
                <w:lang w:val="en-GB"/>
              </w:rPr>
              <w:t>6 (5.6%) [2.1; 11.8]</w:t>
            </w:r>
          </w:p>
        </w:tc>
        <w:tc>
          <w:tcPr>
            <w:tcW w:w="606" w:type="pct"/>
            <w:tcBorders>
              <w:top w:val="single" w:sz="4" w:space="0" w:color="auto"/>
              <w:left w:val="single" w:sz="4" w:space="0" w:color="auto"/>
              <w:bottom w:val="single" w:sz="4" w:space="0" w:color="auto"/>
              <w:right w:val="single" w:sz="4" w:space="0" w:color="auto"/>
            </w:tcBorders>
            <w:vAlign w:val="center"/>
          </w:tcPr>
          <w:p w14:paraId="6A0198DF" w14:textId="77777777" w:rsidR="002D39AA" w:rsidRPr="005E3242" w:rsidRDefault="002D39AA" w:rsidP="00C448E8">
            <w:pPr>
              <w:rPr>
                <w:color w:val="auto"/>
                <w:lang w:val="en-GB"/>
              </w:rPr>
            </w:pPr>
          </w:p>
          <w:p w14:paraId="5A5284DE" w14:textId="77777777" w:rsidR="002D39AA" w:rsidRPr="005E3242" w:rsidRDefault="002D39AA" w:rsidP="00C448E8">
            <w:pPr>
              <w:rPr>
                <w:b/>
                <w:color w:val="auto"/>
                <w:lang w:val="en-GB"/>
              </w:rPr>
            </w:pPr>
            <w:r w:rsidRPr="005E3242">
              <w:rPr>
                <w:color w:val="auto"/>
                <w:lang w:val="en-GB"/>
              </w:rPr>
              <w:t>13 (13.2%) [7.4; 22.0]</w:t>
            </w:r>
          </w:p>
        </w:tc>
        <w:tc>
          <w:tcPr>
            <w:tcW w:w="792" w:type="pct"/>
            <w:tcBorders>
              <w:top w:val="single" w:sz="4" w:space="0" w:color="auto"/>
              <w:left w:val="single" w:sz="4" w:space="0" w:color="auto"/>
              <w:bottom w:val="single" w:sz="4" w:space="0" w:color="auto"/>
              <w:right w:val="single" w:sz="4" w:space="0" w:color="auto"/>
            </w:tcBorders>
          </w:tcPr>
          <w:p w14:paraId="2AC03209" w14:textId="77777777" w:rsidR="002D39AA" w:rsidRPr="005E3242" w:rsidRDefault="002D39AA" w:rsidP="00C448E8">
            <w:pPr>
              <w:rPr>
                <w:color w:val="auto"/>
                <w:lang w:val="en-US"/>
              </w:rPr>
            </w:pPr>
          </w:p>
          <w:p w14:paraId="2A4C40A3" w14:textId="77777777" w:rsidR="002D39AA" w:rsidRPr="005E3242" w:rsidRDefault="002D39AA" w:rsidP="00C448E8">
            <w:pPr>
              <w:rPr>
                <w:color w:val="auto"/>
                <w:lang w:val="en-US"/>
              </w:rPr>
            </w:pPr>
            <w:r w:rsidRPr="005E3242">
              <w:rPr>
                <w:color w:val="auto"/>
                <w:lang w:val="en-US"/>
              </w:rPr>
              <w:t>37 (50.7%)</w:t>
            </w:r>
          </w:p>
          <w:p w14:paraId="4A587DFD" w14:textId="77777777" w:rsidR="002D39AA" w:rsidRPr="005E3242" w:rsidRDefault="002D39AA" w:rsidP="00C448E8">
            <w:pPr>
              <w:rPr>
                <w:color w:val="auto"/>
                <w:lang w:val="en-US"/>
              </w:rPr>
            </w:pPr>
            <w:r w:rsidRPr="005E3242">
              <w:rPr>
                <w:color w:val="auto"/>
                <w:lang w:val="en-US"/>
              </w:rPr>
              <w:t>[38.7; 62.6]</w:t>
            </w:r>
          </w:p>
        </w:tc>
        <w:tc>
          <w:tcPr>
            <w:tcW w:w="585" w:type="pct"/>
            <w:tcBorders>
              <w:top w:val="single" w:sz="4" w:space="0" w:color="auto"/>
              <w:left w:val="single" w:sz="4" w:space="0" w:color="auto"/>
              <w:bottom w:val="single" w:sz="4" w:space="0" w:color="auto"/>
              <w:right w:val="single" w:sz="4" w:space="0" w:color="auto"/>
            </w:tcBorders>
          </w:tcPr>
          <w:p w14:paraId="3FE62568" w14:textId="77777777" w:rsidR="002D39AA" w:rsidRPr="005E3242" w:rsidRDefault="002D39AA" w:rsidP="00C448E8">
            <w:pPr>
              <w:rPr>
                <w:color w:val="auto"/>
                <w:lang w:val="en-US"/>
              </w:rPr>
            </w:pPr>
          </w:p>
          <w:p w14:paraId="7B35E018" w14:textId="77777777" w:rsidR="002D39AA" w:rsidRPr="005E3242" w:rsidRDefault="002D39AA" w:rsidP="00C448E8">
            <w:pPr>
              <w:rPr>
                <w:color w:val="auto"/>
                <w:lang w:val="en-US"/>
              </w:rPr>
            </w:pPr>
            <w:r w:rsidRPr="005E3242">
              <w:rPr>
                <w:color w:val="auto"/>
                <w:lang w:val="en-US"/>
              </w:rPr>
              <w:t>34 (45.3%)</w:t>
            </w:r>
          </w:p>
          <w:p w14:paraId="5CE2E656" w14:textId="77777777" w:rsidR="002D39AA" w:rsidRPr="005E3242" w:rsidRDefault="002D39AA" w:rsidP="00C448E8">
            <w:pPr>
              <w:rPr>
                <w:color w:val="auto"/>
                <w:lang w:val="en-US"/>
              </w:rPr>
            </w:pPr>
            <w:r w:rsidRPr="005E3242">
              <w:rPr>
                <w:color w:val="auto"/>
                <w:lang w:val="en-US"/>
              </w:rPr>
              <w:t>[33.8; 57.3]</w:t>
            </w:r>
          </w:p>
        </w:tc>
        <w:tc>
          <w:tcPr>
            <w:tcW w:w="612" w:type="pct"/>
            <w:tcBorders>
              <w:top w:val="single" w:sz="4" w:space="0" w:color="auto"/>
              <w:left w:val="single" w:sz="4" w:space="0" w:color="auto"/>
              <w:bottom w:val="single" w:sz="4" w:space="0" w:color="auto"/>
              <w:right w:val="single" w:sz="4" w:space="0" w:color="auto"/>
            </w:tcBorders>
          </w:tcPr>
          <w:p w14:paraId="07AB678F" w14:textId="77777777" w:rsidR="002D39AA" w:rsidRPr="005E3242" w:rsidRDefault="002D39AA" w:rsidP="00C448E8">
            <w:pPr>
              <w:rPr>
                <w:color w:val="auto"/>
                <w:lang w:val="en-US"/>
              </w:rPr>
            </w:pPr>
          </w:p>
          <w:p w14:paraId="55B08528" w14:textId="77777777" w:rsidR="002D39AA" w:rsidRPr="005E3242" w:rsidRDefault="002D39AA" w:rsidP="00C448E8">
            <w:pPr>
              <w:rPr>
                <w:color w:val="auto"/>
                <w:lang w:val="en-US"/>
              </w:rPr>
            </w:pPr>
            <w:r w:rsidRPr="005E3242">
              <w:rPr>
                <w:color w:val="auto"/>
                <w:lang w:val="en-US"/>
              </w:rPr>
              <w:t>40 (51.9%)</w:t>
            </w:r>
          </w:p>
          <w:p w14:paraId="6FF12FD0" w14:textId="77777777" w:rsidR="002D39AA" w:rsidRPr="005E3242" w:rsidRDefault="002D39AA" w:rsidP="00C448E8">
            <w:pPr>
              <w:rPr>
                <w:color w:val="auto"/>
                <w:lang w:val="en-US"/>
              </w:rPr>
            </w:pPr>
            <w:r w:rsidRPr="005E3242">
              <w:rPr>
                <w:color w:val="auto"/>
                <w:lang w:val="en-US"/>
              </w:rPr>
              <w:t>[40.3; 63.5]</w:t>
            </w:r>
          </w:p>
        </w:tc>
      </w:tr>
      <w:tr w:rsidR="002D39AA" w:rsidRPr="005E3242" w14:paraId="557A5654" w14:textId="77777777" w:rsidTr="006B2154">
        <w:trPr>
          <w:cantSplit/>
        </w:trPr>
        <w:tc>
          <w:tcPr>
            <w:tcW w:w="830" w:type="pct"/>
            <w:tcBorders>
              <w:top w:val="single" w:sz="4" w:space="0" w:color="auto"/>
              <w:left w:val="single" w:sz="4" w:space="0" w:color="auto"/>
              <w:bottom w:val="single" w:sz="4" w:space="0" w:color="auto"/>
              <w:right w:val="single" w:sz="4" w:space="0" w:color="auto"/>
            </w:tcBorders>
            <w:hideMark/>
          </w:tcPr>
          <w:p w14:paraId="0A41BE10" w14:textId="77777777" w:rsidR="002D39AA" w:rsidRPr="005E3242" w:rsidRDefault="002D39AA" w:rsidP="00C448E8">
            <w:pPr>
              <w:rPr>
                <w:color w:val="auto"/>
                <w:lang w:val="en-US"/>
              </w:rPr>
            </w:pPr>
            <w:r w:rsidRPr="005E3242">
              <w:rPr>
                <w:color w:val="auto"/>
                <w:lang w:val="en-US"/>
              </w:rPr>
              <w:t>Clinical Response</w:t>
            </w:r>
            <w:r w:rsidRPr="005E3242">
              <w:rPr>
                <w:color w:val="auto"/>
                <w:vertAlign w:val="superscript"/>
                <w:lang w:val="en-US"/>
              </w:rPr>
              <w:t>5</w:t>
            </w:r>
          </w:p>
        </w:tc>
        <w:tc>
          <w:tcPr>
            <w:tcW w:w="496" w:type="pct"/>
            <w:tcBorders>
              <w:top w:val="single" w:sz="4" w:space="0" w:color="auto"/>
              <w:left w:val="single" w:sz="4" w:space="0" w:color="auto"/>
              <w:bottom w:val="single" w:sz="4" w:space="0" w:color="auto"/>
              <w:right w:val="single" w:sz="4" w:space="0" w:color="auto"/>
            </w:tcBorders>
            <w:vAlign w:val="center"/>
            <w:hideMark/>
          </w:tcPr>
          <w:p w14:paraId="172533E5" w14:textId="77777777" w:rsidR="002D39AA" w:rsidRPr="005E3242" w:rsidRDefault="002D39AA" w:rsidP="00C448E8">
            <w:pPr>
              <w:rPr>
                <w:color w:val="auto"/>
                <w:lang w:val="en-US"/>
              </w:rPr>
            </w:pPr>
            <w:r w:rsidRPr="005E3242">
              <w:rPr>
                <w:color w:val="auto"/>
                <w:lang w:val="en-US"/>
              </w:rPr>
              <w:t>79 (79.8%)</w:t>
            </w:r>
          </w:p>
        </w:tc>
        <w:tc>
          <w:tcPr>
            <w:tcW w:w="585" w:type="pct"/>
            <w:tcBorders>
              <w:top w:val="single" w:sz="4" w:space="0" w:color="auto"/>
              <w:left w:val="single" w:sz="4" w:space="0" w:color="auto"/>
              <w:bottom w:val="single" w:sz="4" w:space="0" w:color="auto"/>
              <w:right w:val="single" w:sz="4" w:space="0" w:color="auto"/>
            </w:tcBorders>
            <w:vAlign w:val="center"/>
            <w:hideMark/>
          </w:tcPr>
          <w:p w14:paraId="0944A7FE" w14:textId="77777777" w:rsidR="002D39AA" w:rsidRPr="005E3242" w:rsidRDefault="002D39AA" w:rsidP="00C448E8">
            <w:pPr>
              <w:rPr>
                <w:color w:val="auto"/>
                <w:lang w:val="en-US"/>
              </w:rPr>
            </w:pPr>
            <w:r w:rsidRPr="005E3242">
              <w:rPr>
                <w:color w:val="auto"/>
                <w:lang w:val="en-US"/>
              </w:rPr>
              <w:t>89 (88.1%)</w:t>
            </w:r>
          </w:p>
        </w:tc>
        <w:tc>
          <w:tcPr>
            <w:tcW w:w="496" w:type="pct"/>
            <w:tcBorders>
              <w:top w:val="single" w:sz="4" w:space="0" w:color="auto"/>
              <w:left w:val="single" w:sz="4" w:space="0" w:color="auto"/>
              <w:bottom w:val="single" w:sz="4" w:space="0" w:color="auto"/>
              <w:right w:val="single" w:sz="4" w:space="0" w:color="auto"/>
            </w:tcBorders>
            <w:vAlign w:val="center"/>
            <w:hideMark/>
          </w:tcPr>
          <w:p w14:paraId="29ED7FE9" w14:textId="77777777" w:rsidR="002D39AA" w:rsidRPr="005E3242" w:rsidRDefault="002D39AA" w:rsidP="00C448E8">
            <w:pPr>
              <w:rPr>
                <w:color w:val="auto"/>
                <w:lang w:val="en-US"/>
              </w:rPr>
            </w:pPr>
            <w:r w:rsidRPr="005E3242">
              <w:rPr>
                <w:color w:val="auto"/>
                <w:lang w:val="en-US"/>
              </w:rPr>
              <w:t>69 (67.6%)</w:t>
            </w:r>
          </w:p>
        </w:tc>
        <w:tc>
          <w:tcPr>
            <w:tcW w:w="606" w:type="pct"/>
            <w:tcBorders>
              <w:top w:val="single" w:sz="4" w:space="0" w:color="auto"/>
              <w:left w:val="single" w:sz="4" w:space="0" w:color="auto"/>
              <w:bottom w:val="single" w:sz="4" w:space="0" w:color="auto"/>
              <w:right w:val="single" w:sz="4" w:space="0" w:color="auto"/>
            </w:tcBorders>
            <w:vAlign w:val="center"/>
            <w:hideMark/>
          </w:tcPr>
          <w:p w14:paraId="1750CFCF" w14:textId="77777777" w:rsidR="002D39AA" w:rsidRPr="005E3242" w:rsidRDefault="002D39AA" w:rsidP="00C448E8">
            <w:pPr>
              <w:rPr>
                <w:color w:val="auto"/>
                <w:lang w:val="en-US"/>
              </w:rPr>
            </w:pPr>
            <w:r w:rsidRPr="005E3242">
              <w:rPr>
                <w:color w:val="auto"/>
                <w:lang w:val="en-US"/>
              </w:rPr>
              <w:t>65 (71.4%)</w:t>
            </w:r>
          </w:p>
        </w:tc>
        <w:tc>
          <w:tcPr>
            <w:tcW w:w="792" w:type="pct"/>
            <w:tcBorders>
              <w:top w:val="single" w:sz="4" w:space="0" w:color="auto"/>
              <w:left w:val="single" w:sz="4" w:space="0" w:color="auto"/>
              <w:bottom w:val="single" w:sz="4" w:space="0" w:color="auto"/>
              <w:right w:val="single" w:sz="4" w:space="0" w:color="auto"/>
            </w:tcBorders>
            <w:vAlign w:val="center"/>
            <w:hideMark/>
          </w:tcPr>
          <w:p w14:paraId="1240FA97" w14:textId="77777777" w:rsidR="002D39AA" w:rsidRPr="005E3242" w:rsidRDefault="002D39AA" w:rsidP="00C448E8">
            <w:pPr>
              <w:rPr>
                <w:color w:val="auto"/>
                <w:lang w:val="en-US"/>
              </w:rPr>
            </w:pPr>
            <w:r w:rsidRPr="005E3242">
              <w:rPr>
                <w:color w:val="auto"/>
                <w:lang w:val="en-US"/>
              </w:rPr>
              <w:t>67 (91.8%)</w:t>
            </w:r>
          </w:p>
        </w:tc>
        <w:tc>
          <w:tcPr>
            <w:tcW w:w="585" w:type="pct"/>
            <w:tcBorders>
              <w:top w:val="single" w:sz="4" w:space="0" w:color="auto"/>
              <w:left w:val="single" w:sz="4" w:space="0" w:color="auto"/>
              <w:bottom w:val="single" w:sz="4" w:space="0" w:color="auto"/>
              <w:right w:val="single" w:sz="4" w:space="0" w:color="auto"/>
            </w:tcBorders>
            <w:vAlign w:val="center"/>
            <w:hideMark/>
          </w:tcPr>
          <w:p w14:paraId="61DA23C8" w14:textId="77777777" w:rsidR="002D39AA" w:rsidRPr="005E3242" w:rsidRDefault="002D39AA" w:rsidP="00C448E8">
            <w:pPr>
              <w:rPr>
                <w:color w:val="auto"/>
                <w:lang w:val="en-US"/>
              </w:rPr>
            </w:pPr>
            <w:r w:rsidRPr="005E3242">
              <w:rPr>
                <w:color w:val="auto"/>
                <w:lang w:val="en-US"/>
              </w:rPr>
              <w:t>71 (94.7%)</w:t>
            </w:r>
          </w:p>
        </w:tc>
        <w:tc>
          <w:tcPr>
            <w:tcW w:w="612" w:type="pct"/>
            <w:tcBorders>
              <w:top w:val="single" w:sz="4" w:space="0" w:color="auto"/>
              <w:left w:val="single" w:sz="4" w:space="0" w:color="auto"/>
              <w:bottom w:val="single" w:sz="4" w:space="0" w:color="auto"/>
              <w:right w:val="single" w:sz="4" w:space="0" w:color="auto"/>
            </w:tcBorders>
            <w:vAlign w:val="center"/>
            <w:hideMark/>
          </w:tcPr>
          <w:p w14:paraId="089BA0F4" w14:textId="77777777" w:rsidR="002D39AA" w:rsidRPr="005E3242" w:rsidRDefault="002D39AA" w:rsidP="00C448E8">
            <w:pPr>
              <w:rPr>
                <w:color w:val="auto"/>
                <w:lang w:val="en-US"/>
              </w:rPr>
            </w:pPr>
            <w:r w:rsidRPr="005E3242">
              <w:rPr>
                <w:color w:val="auto"/>
                <w:lang w:val="en-US"/>
              </w:rPr>
              <w:t>69 (89.6%)</w:t>
            </w:r>
          </w:p>
        </w:tc>
      </w:tr>
    </w:tbl>
    <w:p w14:paraId="514EBC5E" w14:textId="5ABABC0F" w:rsidR="002D39AA" w:rsidRPr="005E3242" w:rsidRDefault="002D39AA" w:rsidP="00C448E8">
      <w:pPr>
        <w:rPr>
          <w:color w:val="auto"/>
          <w:sz w:val="20"/>
          <w:szCs w:val="20"/>
          <w:lang w:val="en-US"/>
        </w:rPr>
      </w:pPr>
      <w:r w:rsidRPr="005E3242">
        <w:rPr>
          <w:b/>
          <w:color w:val="auto"/>
          <w:sz w:val="20"/>
          <w:szCs w:val="20"/>
          <w:lang w:val="en-US"/>
        </w:rPr>
        <w:t>Key to abbreviations (</w:t>
      </w:r>
      <w:r w:rsidR="004C5CDE">
        <w:rPr>
          <w:b/>
          <w:color w:val="auto"/>
          <w:sz w:val="20"/>
          <w:szCs w:val="20"/>
          <w:lang w:val="en-US"/>
        </w:rPr>
        <w:fldChar w:fldCharType="begin"/>
      </w:r>
      <w:r w:rsidR="004C5CDE">
        <w:rPr>
          <w:b/>
          <w:color w:val="auto"/>
          <w:sz w:val="20"/>
          <w:szCs w:val="20"/>
          <w:lang w:val="en-US"/>
        </w:rPr>
        <w:instrText xml:space="preserve"> REF _Ref66712349 \h  \* MERGEFORMAT </w:instrText>
      </w:r>
      <w:r w:rsidR="004C5CDE">
        <w:rPr>
          <w:b/>
          <w:color w:val="auto"/>
          <w:sz w:val="20"/>
          <w:szCs w:val="20"/>
          <w:lang w:val="en-US"/>
        </w:rPr>
      </w:r>
      <w:r w:rsidR="004C5CDE">
        <w:rPr>
          <w:b/>
          <w:color w:val="auto"/>
          <w:sz w:val="20"/>
          <w:szCs w:val="20"/>
          <w:lang w:val="en-US"/>
        </w:rPr>
        <w:fldChar w:fldCharType="separate"/>
      </w:r>
      <w:r w:rsidR="00C840A1" w:rsidRPr="006B2154">
        <w:rPr>
          <w:b/>
          <w:color w:val="auto"/>
          <w:sz w:val="20"/>
          <w:szCs w:val="20"/>
          <w:lang w:val="en-US"/>
        </w:rPr>
        <w:t>Table 7</w:t>
      </w:r>
      <w:r w:rsidR="004C5CDE">
        <w:rPr>
          <w:b/>
          <w:color w:val="auto"/>
          <w:sz w:val="20"/>
          <w:szCs w:val="20"/>
          <w:lang w:val="en-US"/>
        </w:rPr>
        <w:fldChar w:fldCharType="end"/>
      </w:r>
      <w:r w:rsidRPr="005E3242">
        <w:rPr>
          <w:b/>
          <w:color w:val="auto"/>
          <w:sz w:val="20"/>
          <w:szCs w:val="20"/>
          <w:lang w:val="en-US"/>
        </w:rPr>
        <w:t>)</w:t>
      </w:r>
      <w:r w:rsidRPr="005E3242">
        <w:rPr>
          <w:color w:val="auto"/>
          <w:sz w:val="20"/>
          <w:szCs w:val="20"/>
          <w:lang w:val="en-US"/>
        </w:rPr>
        <w:t xml:space="preserve">: T: Trastuzumab; D: docetaxel; </w:t>
      </w:r>
      <w:proofErr w:type="spellStart"/>
      <w:r w:rsidRPr="005E3242">
        <w:rPr>
          <w:color w:val="auto"/>
          <w:sz w:val="20"/>
          <w:szCs w:val="20"/>
          <w:lang w:val="en-US"/>
        </w:rPr>
        <w:t>Ptz</w:t>
      </w:r>
      <w:proofErr w:type="spellEnd"/>
      <w:r w:rsidRPr="005E3242">
        <w:rPr>
          <w:color w:val="auto"/>
          <w:sz w:val="20"/>
          <w:szCs w:val="20"/>
          <w:lang w:val="en-US"/>
        </w:rPr>
        <w:t xml:space="preserve">: </w:t>
      </w:r>
      <w:proofErr w:type="spellStart"/>
      <w:r w:rsidRPr="005E3242">
        <w:rPr>
          <w:color w:val="auto"/>
          <w:sz w:val="20"/>
          <w:szCs w:val="20"/>
          <w:lang w:val="en-US"/>
        </w:rPr>
        <w:t>Pertuzumab</w:t>
      </w:r>
      <w:proofErr w:type="spellEnd"/>
      <w:r w:rsidRPr="005E3242">
        <w:rPr>
          <w:color w:val="auto"/>
          <w:sz w:val="20"/>
          <w:szCs w:val="20"/>
          <w:lang w:val="en-US"/>
        </w:rPr>
        <w:t xml:space="preserve">; FEC: 5-fluorouracil, </w:t>
      </w:r>
      <w:proofErr w:type="spellStart"/>
      <w:r w:rsidRPr="005E3242">
        <w:rPr>
          <w:color w:val="auto"/>
          <w:sz w:val="20"/>
          <w:szCs w:val="20"/>
          <w:lang w:val="en-US"/>
        </w:rPr>
        <w:t>epirubicin</w:t>
      </w:r>
      <w:proofErr w:type="spellEnd"/>
      <w:r w:rsidRPr="005E3242">
        <w:rPr>
          <w:color w:val="auto"/>
          <w:sz w:val="20"/>
          <w:szCs w:val="20"/>
          <w:lang w:val="en-US"/>
        </w:rPr>
        <w:t>, cyclophosphamide; TCH: docetaxel, carboplatin and trastuzumab.</w:t>
      </w:r>
    </w:p>
    <w:p w14:paraId="549D328C" w14:textId="77777777" w:rsidR="002D39AA" w:rsidRPr="005E3242" w:rsidRDefault="002D39AA" w:rsidP="00C448E8">
      <w:pPr>
        <w:rPr>
          <w:color w:val="auto"/>
          <w:sz w:val="20"/>
          <w:szCs w:val="20"/>
          <w:lang w:val="en-US"/>
        </w:rPr>
      </w:pPr>
    </w:p>
    <w:p w14:paraId="2DA8FAE1" w14:textId="77777777" w:rsidR="002D39AA" w:rsidRPr="005E3242" w:rsidRDefault="002D39AA" w:rsidP="00C448E8">
      <w:pPr>
        <w:rPr>
          <w:color w:val="auto"/>
          <w:sz w:val="20"/>
          <w:szCs w:val="20"/>
          <w:lang w:val="en-US"/>
        </w:rPr>
      </w:pPr>
      <w:r w:rsidRPr="005E3242">
        <w:rPr>
          <w:color w:val="auto"/>
          <w:sz w:val="20"/>
          <w:szCs w:val="20"/>
          <w:lang w:val="en-US"/>
        </w:rPr>
        <w:t>1. 95% CI for one sample binomial using Pearson-Clopper method.</w:t>
      </w:r>
    </w:p>
    <w:p w14:paraId="46AD514B" w14:textId="77777777" w:rsidR="002D39AA" w:rsidRPr="005E3242" w:rsidRDefault="002D39AA" w:rsidP="00C448E8">
      <w:pPr>
        <w:rPr>
          <w:color w:val="auto"/>
          <w:sz w:val="20"/>
          <w:szCs w:val="20"/>
          <w:lang w:val="en-US"/>
        </w:rPr>
      </w:pPr>
      <w:r w:rsidRPr="005E3242">
        <w:rPr>
          <w:color w:val="auto"/>
          <w:sz w:val="20"/>
          <w:szCs w:val="20"/>
          <w:lang w:val="en-US"/>
        </w:rPr>
        <w:t xml:space="preserve">2. Treatment </w:t>
      </w:r>
      <w:proofErr w:type="spellStart"/>
      <w:r w:rsidRPr="005E3242">
        <w:rPr>
          <w:color w:val="auto"/>
          <w:sz w:val="20"/>
          <w:szCs w:val="20"/>
          <w:lang w:val="en-US"/>
        </w:rPr>
        <w:t>Ptz+T+D</w:t>
      </w:r>
      <w:proofErr w:type="spellEnd"/>
      <w:r w:rsidRPr="005E3242">
        <w:rPr>
          <w:color w:val="auto"/>
          <w:sz w:val="20"/>
          <w:szCs w:val="20"/>
          <w:lang w:val="en-US"/>
        </w:rPr>
        <w:t xml:space="preserve"> and </w:t>
      </w:r>
      <w:proofErr w:type="spellStart"/>
      <w:r w:rsidRPr="005E3242">
        <w:rPr>
          <w:color w:val="auto"/>
          <w:sz w:val="20"/>
          <w:szCs w:val="20"/>
          <w:lang w:val="en-US"/>
        </w:rPr>
        <w:t>Ptz+T</w:t>
      </w:r>
      <w:proofErr w:type="spellEnd"/>
      <w:r w:rsidRPr="005E3242">
        <w:rPr>
          <w:color w:val="auto"/>
          <w:sz w:val="20"/>
          <w:szCs w:val="20"/>
          <w:lang w:val="en-US"/>
        </w:rPr>
        <w:t xml:space="preserve"> are compared with T+D, while </w:t>
      </w:r>
      <w:proofErr w:type="spellStart"/>
      <w:r w:rsidRPr="005E3242">
        <w:rPr>
          <w:color w:val="auto"/>
          <w:sz w:val="20"/>
          <w:szCs w:val="20"/>
          <w:lang w:val="en-US"/>
        </w:rPr>
        <w:t>Ptz+D</w:t>
      </w:r>
      <w:proofErr w:type="spellEnd"/>
      <w:r w:rsidRPr="005E3242">
        <w:rPr>
          <w:color w:val="auto"/>
          <w:sz w:val="20"/>
          <w:szCs w:val="20"/>
          <w:lang w:val="en-US"/>
        </w:rPr>
        <w:t xml:space="preserve"> is compared </w:t>
      </w:r>
      <w:proofErr w:type="gramStart"/>
      <w:r w:rsidRPr="005E3242">
        <w:rPr>
          <w:color w:val="auto"/>
          <w:sz w:val="20"/>
          <w:szCs w:val="20"/>
          <w:lang w:val="en-US"/>
        </w:rPr>
        <w:t xml:space="preserve">with  </w:t>
      </w:r>
      <w:proofErr w:type="spellStart"/>
      <w:r w:rsidRPr="005E3242">
        <w:rPr>
          <w:color w:val="auto"/>
          <w:sz w:val="20"/>
          <w:szCs w:val="20"/>
          <w:lang w:val="en-US"/>
        </w:rPr>
        <w:t>Ptz</w:t>
      </w:r>
      <w:proofErr w:type="gramEnd"/>
      <w:r w:rsidRPr="005E3242">
        <w:rPr>
          <w:color w:val="auto"/>
          <w:sz w:val="20"/>
          <w:szCs w:val="20"/>
          <w:lang w:val="en-US"/>
        </w:rPr>
        <w:t>+T+D</w:t>
      </w:r>
      <w:proofErr w:type="spellEnd"/>
    </w:p>
    <w:p w14:paraId="021495FF" w14:textId="77777777" w:rsidR="002D39AA" w:rsidRPr="005E3242" w:rsidRDefault="002D39AA" w:rsidP="00C448E8">
      <w:pPr>
        <w:rPr>
          <w:color w:val="auto"/>
          <w:sz w:val="20"/>
          <w:szCs w:val="20"/>
          <w:lang w:val="en-US"/>
        </w:rPr>
      </w:pPr>
      <w:r w:rsidRPr="005E3242">
        <w:rPr>
          <w:color w:val="auto"/>
          <w:sz w:val="20"/>
          <w:szCs w:val="20"/>
          <w:lang w:val="en-US"/>
        </w:rPr>
        <w:t>3. Approximate 95% CI for difference of two rates using Hauck-Anderson method.</w:t>
      </w:r>
    </w:p>
    <w:p w14:paraId="6ACB12C1" w14:textId="77777777" w:rsidR="002D39AA" w:rsidRPr="005E3242" w:rsidRDefault="002D39AA" w:rsidP="00C448E8">
      <w:pPr>
        <w:rPr>
          <w:color w:val="auto"/>
          <w:sz w:val="20"/>
          <w:szCs w:val="20"/>
          <w:lang w:val="en-US"/>
        </w:rPr>
      </w:pPr>
      <w:r w:rsidRPr="005E3242">
        <w:rPr>
          <w:color w:val="auto"/>
          <w:sz w:val="20"/>
          <w:szCs w:val="20"/>
          <w:lang w:val="en-US"/>
        </w:rPr>
        <w:t>4. p-value from Cochran-Mantel-</w:t>
      </w:r>
      <w:proofErr w:type="gramStart"/>
      <w:r w:rsidRPr="005E3242">
        <w:rPr>
          <w:color w:val="auto"/>
          <w:sz w:val="20"/>
          <w:szCs w:val="20"/>
          <w:lang w:val="en-US"/>
        </w:rPr>
        <w:t>Haenszel  test</w:t>
      </w:r>
      <w:proofErr w:type="gramEnd"/>
      <w:r w:rsidRPr="005E3242">
        <w:rPr>
          <w:color w:val="auto"/>
          <w:sz w:val="20"/>
          <w:szCs w:val="20"/>
          <w:lang w:val="en-US"/>
        </w:rPr>
        <w:t xml:space="preserve">, with </w:t>
      </w:r>
      <w:proofErr w:type="spellStart"/>
      <w:r w:rsidRPr="005E3242">
        <w:rPr>
          <w:color w:val="auto"/>
          <w:sz w:val="20"/>
          <w:szCs w:val="20"/>
          <w:lang w:val="en-US"/>
        </w:rPr>
        <w:t>Simes</w:t>
      </w:r>
      <w:proofErr w:type="spellEnd"/>
      <w:r w:rsidRPr="005E3242">
        <w:rPr>
          <w:color w:val="auto"/>
          <w:sz w:val="20"/>
          <w:szCs w:val="20"/>
          <w:lang w:val="en-US"/>
        </w:rPr>
        <w:t xml:space="preserve"> multiplicity adjustment </w:t>
      </w:r>
    </w:p>
    <w:p w14:paraId="0B9B5C06" w14:textId="77777777" w:rsidR="002D39AA" w:rsidRPr="005E3242" w:rsidRDefault="002D39AA" w:rsidP="00C448E8">
      <w:pPr>
        <w:rPr>
          <w:color w:val="auto"/>
          <w:lang w:val="en-US"/>
        </w:rPr>
      </w:pPr>
      <w:r w:rsidRPr="005E3242">
        <w:rPr>
          <w:color w:val="auto"/>
          <w:sz w:val="20"/>
          <w:szCs w:val="20"/>
          <w:lang w:val="en-US"/>
        </w:rPr>
        <w:t xml:space="preserve">5. Clinical response represents patients with a best overall response of CR or PR during the neoadjuvant period (in the primary breast lesion) </w:t>
      </w:r>
    </w:p>
    <w:p w14:paraId="6225F791" w14:textId="77777777" w:rsidR="002D39AA" w:rsidRPr="005E3242" w:rsidRDefault="002D39AA" w:rsidP="00C448E8">
      <w:pPr>
        <w:rPr>
          <w:color w:val="auto"/>
          <w:lang w:val="en-US"/>
        </w:rPr>
      </w:pPr>
    </w:p>
    <w:p w14:paraId="65976804" w14:textId="04F623BB" w:rsidR="002D39AA" w:rsidRPr="005E3242" w:rsidRDefault="002D39AA" w:rsidP="00C448E8">
      <w:pPr>
        <w:pStyle w:val="Heading6"/>
        <w:rPr>
          <w:lang w:val="en-US"/>
        </w:rPr>
      </w:pPr>
      <w:r w:rsidRPr="005E3242">
        <w:rPr>
          <w:lang w:val="en-US"/>
        </w:rPr>
        <w:lastRenderedPageBreak/>
        <w:t>BERENICE (WO29217)</w:t>
      </w:r>
      <w:r w:rsidR="007B2707">
        <w:rPr>
          <w:lang w:val="en-US"/>
        </w:rPr>
        <w:t xml:space="preserve"> - </w:t>
      </w:r>
      <w:r w:rsidR="007B2707">
        <w:t>neoadjuvant and adjuvant treatment of EBC</w:t>
      </w:r>
    </w:p>
    <w:p w14:paraId="7C7E4255" w14:textId="77777777" w:rsidR="0078210D" w:rsidRPr="005E3242" w:rsidRDefault="0078210D" w:rsidP="00C448E8">
      <w:pPr>
        <w:rPr>
          <w:b/>
          <w:color w:val="auto"/>
          <w:lang w:val="en-US"/>
        </w:rPr>
      </w:pPr>
    </w:p>
    <w:p w14:paraId="12C3B1C4" w14:textId="11511D87" w:rsidR="002D39AA" w:rsidRPr="005E3242" w:rsidRDefault="002D39AA" w:rsidP="00C448E8">
      <w:pPr>
        <w:rPr>
          <w:color w:val="auto"/>
          <w:lang w:val="en-US"/>
        </w:rPr>
      </w:pPr>
      <w:r w:rsidRPr="005E3242">
        <w:rPr>
          <w:color w:val="auto"/>
          <w:lang w:val="en-US"/>
        </w:rPr>
        <w:t xml:space="preserve">BERENICE </w:t>
      </w:r>
      <w:r w:rsidR="004C5CDE">
        <w:rPr>
          <w:color w:val="auto"/>
          <w:lang w:val="en-US"/>
        </w:rPr>
        <w:t>wa</w:t>
      </w:r>
      <w:r w:rsidRPr="005E3242">
        <w:rPr>
          <w:color w:val="auto"/>
          <w:lang w:val="en-US"/>
        </w:rPr>
        <w:t>s a non-</w:t>
      </w:r>
      <w:proofErr w:type="spellStart"/>
      <w:r w:rsidRPr="005E3242">
        <w:rPr>
          <w:color w:val="auto"/>
          <w:lang w:val="en-US"/>
        </w:rPr>
        <w:t>randomi</w:t>
      </w:r>
      <w:r w:rsidR="004C5CDE">
        <w:rPr>
          <w:color w:val="auto"/>
          <w:lang w:val="en-US"/>
        </w:rPr>
        <w:t>s</w:t>
      </w:r>
      <w:r w:rsidRPr="005E3242">
        <w:rPr>
          <w:color w:val="auto"/>
          <w:lang w:val="en-US"/>
        </w:rPr>
        <w:t>ed</w:t>
      </w:r>
      <w:proofErr w:type="spellEnd"/>
      <w:r w:rsidRPr="005E3242">
        <w:rPr>
          <w:color w:val="auto"/>
          <w:lang w:val="en-US"/>
        </w:rPr>
        <w:t xml:space="preserve">, open-label, </w:t>
      </w:r>
      <w:proofErr w:type="spellStart"/>
      <w:r w:rsidRPr="005E3242">
        <w:rPr>
          <w:color w:val="auto"/>
          <w:lang w:val="en-US"/>
        </w:rPr>
        <w:t>multicent</w:t>
      </w:r>
      <w:r w:rsidR="004C5CDE">
        <w:rPr>
          <w:color w:val="auto"/>
          <w:lang w:val="en-US"/>
        </w:rPr>
        <w:t>re</w:t>
      </w:r>
      <w:proofErr w:type="spellEnd"/>
      <w:r w:rsidRPr="005E3242">
        <w:rPr>
          <w:color w:val="auto"/>
          <w:lang w:val="en-US"/>
        </w:rPr>
        <w:t xml:space="preserve">, multinational, Phase II trial conducted in 401 patients with HER2-positive locally advanced, inflammatory, or early-stage HER2-positive breast cancer. </w:t>
      </w:r>
    </w:p>
    <w:p w14:paraId="78875B7B" w14:textId="77777777" w:rsidR="002D39AA" w:rsidRPr="005E3242" w:rsidRDefault="002D39AA" w:rsidP="00C448E8">
      <w:pPr>
        <w:rPr>
          <w:color w:val="auto"/>
          <w:lang w:val="en-US"/>
        </w:rPr>
      </w:pPr>
    </w:p>
    <w:p w14:paraId="7BCD6F1F" w14:textId="0E116DC0" w:rsidR="002D39AA" w:rsidRPr="005E3242" w:rsidRDefault="002D39AA" w:rsidP="00C448E8">
      <w:pPr>
        <w:rPr>
          <w:color w:val="auto"/>
          <w:lang w:val="en-US"/>
        </w:rPr>
      </w:pPr>
      <w:r w:rsidRPr="005E3242">
        <w:rPr>
          <w:color w:val="auto"/>
          <w:lang w:val="en-US"/>
        </w:rPr>
        <w:t>Patients considered suitable for neoadjuvant treatment with trastuzumab plus anthracycline/</w:t>
      </w:r>
      <w:proofErr w:type="spellStart"/>
      <w:r w:rsidRPr="005E3242">
        <w:rPr>
          <w:color w:val="auto"/>
          <w:lang w:val="en-US"/>
        </w:rPr>
        <w:t>taxane</w:t>
      </w:r>
      <w:proofErr w:type="spellEnd"/>
      <w:r w:rsidRPr="005E3242">
        <w:rPr>
          <w:color w:val="auto"/>
          <w:lang w:val="en-US"/>
        </w:rPr>
        <w:t xml:space="preserve">-based chemotherapy were allocated to receive one of the two following regimens prior to surgery as follows: </w:t>
      </w:r>
    </w:p>
    <w:p w14:paraId="132CF8C4" w14:textId="77777777" w:rsidR="003048E9" w:rsidRDefault="003048E9" w:rsidP="00C448E8">
      <w:pPr>
        <w:rPr>
          <w:color w:val="auto"/>
          <w:lang w:val="en-US"/>
        </w:rPr>
      </w:pPr>
    </w:p>
    <w:p w14:paraId="3F503E76" w14:textId="77777777" w:rsidR="002D39AA" w:rsidRPr="006B2154" w:rsidRDefault="002D39AA" w:rsidP="00C448E8">
      <w:pPr>
        <w:pStyle w:val="ListParagraph"/>
        <w:numPr>
          <w:ilvl w:val="0"/>
          <w:numId w:val="13"/>
        </w:numPr>
        <w:rPr>
          <w:color w:val="auto"/>
          <w:lang w:val="en-US"/>
        </w:rPr>
      </w:pPr>
      <w:r w:rsidRPr="006B2154">
        <w:rPr>
          <w:color w:val="auto"/>
          <w:lang w:val="en-US"/>
        </w:rPr>
        <w:t xml:space="preserve">Cohort A - 4 cycles of two-weekly doxorubicin and cyclophosphamide (dose dense AC) followed by 4 cycles of </w:t>
      </w:r>
      <w:proofErr w:type="spellStart"/>
      <w:r w:rsidRPr="006B2154">
        <w:rPr>
          <w:color w:val="auto"/>
          <w:lang w:val="en-US"/>
        </w:rPr>
        <w:t>pertuzumab</w:t>
      </w:r>
      <w:proofErr w:type="spellEnd"/>
      <w:r w:rsidRPr="006B2154">
        <w:rPr>
          <w:color w:val="auto"/>
          <w:lang w:val="en-US"/>
        </w:rPr>
        <w:t xml:space="preserve"> in combination with trastuzumab and paclitaxel</w:t>
      </w:r>
    </w:p>
    <w:p w14:paraId="047904BF" w14:textId="77777777" w:rsidR="002D39AA" w:rsidRPr="006B2154" w:rsidRDefault="002D39AA" w:rsidP="00C448E8">
      <w:pPr>
        <w:pStyle w:val="ListParagraph"/>
        <w:numPr>
          <w:ilvl w:val="0"/>
          <w:numId w:val="13"/>
        </w:numPr>
        <w:rPr>
          <w:color w:val="auto"/>
          <w:lang w:val="en-US"/>
        </w:rPr>
      </w:pPr>
      <w:r w:rsidRPr="006B2154">
        <w:rPr>
          <w:color w:val="auto"/>
          <w:lang w:val="en-US"/>
        </w:rPr>
        <w:t xml:space="preserve">Cohort B - 4 cycles of FEC followed by 4 cycles of </w:t>
      </w:r>
      <w:proofErr w:type="spellStart"/>
      <w:r w:rsidRPr="006B2154">
        <w:rPr>
          <w:color w:val="auto"/>
          <w:lang w:val="en-US"/>
        </w:rPr>
        <w:t>pertuzumab</w:t>
      </w:r>
      <w:proofErr w:type="spellEnd"/>
      <w:r w:rsidRPr="006B2154">
        <w:rPr>
          <w:color w:val="auto"/>
          <w:lang w:val="en-US"/>
        </w:rPr>
        <w:t xml:space="preserve"> in combination with trastuzumab and docetaxel. </w:t>
      </w:r>
    </w:p>
    <w:p w14:paraId="31B7B8A1" w14:textId="77777777" w:rsidR="002D39AA" w:rsidRPr="005E3242" w:rsidRDefault="002D39AA" w:rsidP="00C448E8">
      <w:pPr>
        <w:rPr>
          <w:color w:val="auto"/>
          <w:lang w:val="en-US"/>
        </w:rPr>
      </w:pPr>
    </w:p>
    <w:p w14:paraId="7032B687" w14:textId="08A0F8E0" w:rsidR="002D39AA" w:rsidRPr="005E3242" w:rsidRDefault="002D39AA" w:rsidP="00C448E8">
      <w:pPr>
        <w:rPr>
          <w:color w:val="auto"/>
          <w:lang w:val="en-US"/>
        </w:rPr>
      </w:pPr>
      <w:proofErr w:type="spellStart"/>
      <w:r w:rsidRPr="005E3242">
        <w:rPr>
          <w:color w:val="auto"/>
          <w:lang w:val="en-US"/>
        </w:rPr>
        <w:t>Pertuzumab</w:t>
      </w:r>
      <w:proofErr w:type="spellEnd"/>
      <w:r w:rsidRPr="005E3242">
        <w:rPr>
          <w:color w:val="auto"/>
          <w:lang w:val="en-US"/>
        </w:rPr>
        <w:t xml:space="preserve"> and trastuzumab were administered intravenously as outlined in</w:t>
      </w:r>
      <w:r w:rsidR="004C5CDE">
        <w:rPr>
          <w:color w:val="auto"/>
          <w:lang w:val="en-US"/>
        </w:rPr>
        <w:t xml:space="preserve"> </w:t>
      </w:r>
      <w:r w:rsidR="004C5CDE">
        <w:rPr>
          <w:color w:val="auto"/>
          <w:lang w:val="en-US"/>
        </w:rPr>
        <w:fldChar w:fldCharType="begin"/>
      </w:r>
      <w:r w:rsidR="004C5CDE">
        <w:rPr>
          <w:color w:val="auto"/>
          <w:lang w:val="en-US"/>
        </w:rPr>
        <w:instrText xml:space="preserve"> REF _Ref66712079 \h </w:instrText>
      </w:r>
      <w:r w:rsidR="004C5CDE">
        <w:rPr>
          <w:color w:val="auto"/>
          <w:lang w:val="en-US"/>
        </w:rPr>
      </w:r>
      <w:r w:rsidR="00C448E8">
        <w:rPr>
          <w:color w:val="auto"/>
          <w:lang w:val="en-US"/>
        </w:rPr>
        <w:instrText xml:space="preserve"> \* MERGEFORMAT </w:instrText>
      </w:r>
      <w:r w:rsidR="004C5CDE">
        <w:rPr>
          <w:color w:val="auto"/>
          <w:lang w:val="en-US"/>
        </w:rPr>
        <w:fldChar w:fldCharType="separate"/>
      </w:r>
      <w:r w:rsidR="00C840A1">
        <w:t xml:space="preserve">Table </w:t>
      </w:r>
      <w:r w:rsidR="00C840A1">
        <w:rPr>
          <w:noProof/>
        </w:rPr>
        <w:t>5</w:t>
      </w:r>
      <w:r w:rsidR="004C5CDE">
        <w:rPr>
          <w:color w:val="auto"/>
          <w:lang w:val="en-US"/>
        </w:rPr>
        <w:fldChar w:fldCharType="end"/>
      </w:r>
      <w:r w:rsidRPr="005E3242">
        <w:rPr>
          <w:color w:val="auto"/>
          <w:lang w:val="en-US"/>
        </w:rPr>
        <w:t>. Doxorubicin 60 mg/m</w:t>
      </w:r>
      <w:r w:rsidRPr="005E3242">
        <w:rPr>
          <w:color w:val="auto"/>
          <w:vertAlign w:val="superscript"/>
          <w:lang w:val="en-US"/>
        </w:rPr>
        <w:t>2</w:t>
      </w:r>
      <w:r w:rsidRPr="005E3242">
        <w:rPr>
          <w:color w:val="auto"/>
          <w:lang w:val="en-US"/>
        </w:rPr>
        <w:t> IV and cyclophosphamide 600 mg/m</w:t>
      </w:r>
      <w:r w:rsidRPr="005E3242">
        <w:rPr>
          <w:color w:val="auto"/>
          <w:vertAlign w:val="superscript"/>
          <w:lang w:val="en-US"/>
        </w:rPr>
        <w:t>2</w:t>
      </w:r>
      <w:r w:rsidRPr="005E3242">
        <w:rPr>
          <w:color w:val="auto"/>
          <w:lang w:val="en-US"/>
        </w:rPr>
        <w:t> IV were administered every 2 weeks (</w:t>
      </w:r>
      <w:proofErr w:type="spellStart"/>
      <w:r w:rsidRPr="005E3242">
        <w:rPr>
          <w:color w:val="auto"/>
          <w:lang w:val="en-US"/>
        </w:rPr>
        <w:t>ddAC</w:t>
      </w:r>
      <w:proofErr w:type="spellEnd"/>
      <w:r w:rsidRPr="005E3242">
        <w:rPr>
          <w:color w:val="auto"/>
          <w:lang w:val="en-US"/>
        </w:rPr>
        <w:t>) for four cycles (Cycles 1-4) with G-CSF (granulocyte colony stimulating factor) support at investigator discretion, followed by paclitaxel 80 mg/m</w:t>
      </w:r>
      <w:r w:rsidRPr="005E3242">
        <w:rPr>
          <w:color w:val="auto"/>
          <w:vertAlign w:val="superscript"/>
          <w:lang w:val="en-US"/>
        </w:rPr>
        <w:t>2</w:t>
      </w:r>
      <w:r w:rsidRPr="005E3242">
        <w:rPr>
          <w:color w:val="auto"/>
          <w:lang w:val="en-US"/>
        </w:rPr>
        <w:t xml:space="preserve"> IV weekly for 12 weeks (Cycles 5-8), with </w:t>
      </w:r>
      <w:proofErr w:type="spellStart"/>
      <w:r w:rsidRPr="005E3242">
        <w:rPr>
          <w:color w:val="auto"/>
          <w:lang w:val="en-US"/>
        </w:rPr>
        <w:t>pertuzumab</w:t>
      </w:r>
      <w:proofErr w:type="spellEnd"/>
      <w:r w:rsidRPr="005E3242">
        <w:rPr>
          <w:color w:val="auto"/>
          <w:lang w:val="en-US"/>
        </w:rPr>
        <w:t xml:space="preserve"> and trastuzumab every 3 weeks during Cycles 5-8 (from the start of paclitaxel; four cycles of </w:t>
      </w:r>
      <w:proofErr w:type="spellStart"/>
      <w:r w:rsidRPr="005E3242">
        <w:rPr>
          <w:color w:val="auto"/>
          <w:lang w:val="en-US"/>
        </w:rPr>
        <w:t>pertuzumab</w:t>
      </w:r>
      <w:proofErr w:type="spellEnd"/>
      <w:r w:rsidRPr="005E3242">
        <w:rPr>
          <w:color w:val="auto"/>
          <w:lang w:val="en-US"/>
        </w:rPr>
        <w:t xml:space="preserve"> and trastuzumab in total during the neoadjuvant period). 5-Fluorouracil (500 mg/m</w:t>
      </w:r>
      <w:r w:rsidRPr="005E3242">
        <w:rPr>
          <w:color w:val="auto"/>
          <w:vertAlign w:val="superscript"/>
          <w:lang w:val="en-US"/>
        </w:rPr>
        <w:t>2</w:t>
      </w:r>
      <w:r w:rsidRPr="005E3242">
        <w:rPr>
          <w:color w:val="auto"/>
          <w:lang w:val="en-US"/>
        </w:rPr>
        <w:t xml:space="preserve">), </w:t>
      </w:r>
      <w:proofErr w:type="spellStart"/>
      <w:r w:rsidRPr="005E3242">
        <w:rPr>
          <w:color w:val="auto"/>
          <w:lang w:val="en-US"/>
        </w:rPr>
        <w:t>epirubicin</w:t>
      </w:r>
      <w:proofErr w:type="spellEnd"/>
      <w:r w:rsidRPr="005E3242">
        <w:rPr>
          <w:color w:val="auto"/>
          <w:lang w:val="en-US"/>
        </w:rPr>
        <w:t xml:space="preserve"> (100 mg/m</w:t>
      </w:r>
      <w:r w:rsidRPr="005E3242">
        <w:rPr>
          <w:color w:val="auto"/>
          <w:vertAlign w:val="superscript"/>
          <w:lang w:val="en-US"/>
        </w:rPr>
        <w:t>2</w:t>
      </w:r>
      <w:r w:rsidRPr="005E3242">
        <w:rPr>
          <w:color w:val="auto"/>
          <w:lang w:val="en-US"/>
        </w:rPr>
        <w:t>), cyclophosphamide (600 mg/m</w:t>
      </w:r>
      <w:r w:rsidRPr="005E3242">
        <w:rPr>
          <w:color w:val="auto"/>
          <w:vertAlign w:val="superscript"/>
          <w:lang w:val="en-US"/>
        </w:rPr>
        <w:t>2</w:t>
      </w:r>
      <w:r w:rsidRPr="005E3242">
        <w:rPr>
          <w:color w:val="auto"/>
          <w:lang w:val="en-US"/>
        </w:rPr>
        <w:t>) were given intravenously every three weeks for 4 cycles.  Docetaxel was given at an initial dose of 75 mg/m</w:t>
      </w:r>
      <w:r w:rsidRPr="005E3242">
        <w:rPr>
          <w:color w:val="auto"/>
          <w:vertAlign w:val="superscript"/>
          <w:lang w:val="en-US"/>
        </w:rPr>
        <w:t>2</w:t>
      </w:r>
      <w:r w:rsidRPr="005E3242">
        <w:rPr>
          <w:color w:val="auto"/>
          <w:lang w:val="en-US"/>
        </w:rPr>
        <w:t xml:space="preserve"> IV infusion every three weeks with the option to escalate to 100 mg/m</w:t>
      </w:r>
      <w:r w:rsidRPr="005E3242">
        <w:rPr>
          <w:color w:val="auto"/>
          <w:vertAlign w:val="superscript"/>
          <w:lang w:val="en-US"/>
        </w:rPr>
        <w:t>2</w:t>
      </w:r>
      <w:r w:rsidRPr="005E3242">
        <w:rPr>
          <w:color w:val="auto"/>
          <w:lang w:val="en-US"/>
        </w:rPr>
        <w:t xml:space="preserve"> at the investigator’s discretion if the initial dose was well tolerated. Following surgery all patients received </w:t>
      </w:r>
      <w:proofErr w:type="spellStart"/>
      <w:r w:rsidRPr="005E3242">
        <w:rPr>
          <w:color w:val="auto"/>
          <w:lang w:val="en-US"/>
        </w:rPr>
        <w:t>pertuzumab</w:t>
      </w:r>
      <w:proofErr w:type="spellEnd"/>
      <w:r w:rsidRPr="005E3242">
        <w:rPr>
          <w:color w:val="auto"/>
          <w:lang w:val="en-US"/>
        </w:rPr>
        <w:t xml:space="preserve"> and trastuzumab which were administered intravenously every 3 weeks, to complete one year of</w:t>
      </w:r>
      <w:r w:rsidR="00271DBF">
        <w:rPr>
          <w:color w:val="auto"/>
          <w:lang w:val="en-US"/>
        </w:rPr>
        <w:t xml:space="preserve"> therapy</w:t>
      </w:r>
      <w:r w:rsidRPr="005E3242">
        <w:rPr>
          <w:color w:val="auto"/>
          <w:lang w:val="en-US"/>
        </w:rPr>
        <w:t>.</w:t>
      </w:r>
    </w:p>
    <w:p w14:paraId="6491422A" w14:textId="77777777" w:rsidR="002D39AA" w:rsidRPr="005E3242" w:rsidRDefault="002D39AA" w:rsidP="00C448E8">
      <w:pPr>
        <w:rPr>
          <w:color w:val="auto"/>
          <w:lang w:val="en-US"/>
        </w:rPr>
      </w:pPr>
    </w:p>
    <w:p w14:paraId="0F2B1196" w14:textId="5B66E235" w:rsidR="000C03B0" w:rsidRDefault="002D39AA" w:rsidP="00C448E8">
      <w:pPr>
        <w:rPr>
          <w:shd w:val="clear" w:color="auto" w:fill="FFFFFF"/>
        </w:rPr>
      </w:pPr>
      <w:r w:rsidRPr="005E3242">
        <w:rPr>
          <w:color w:val="auto"/>
          <w:lang w:val="en-US"/>
        </w:rPr>
        <w:t>The primary endpoint of this study was cardiac safety during the neoadjuvant treatment period of the study</w:t>
      </w:r>
      <w:r w:rsidR="005C290A">
        <w:rPr>
          <w:color w:val="auto"/>
          <w:lang w:val="en-US"/>
        </w:rPr>
        <w:t xml:space="preserve">. </w:t>
      </w:r>
      <w:r w:rsidR="000C03B0">
        <w:rPr>
          <w:shd w:val="clear" w:color="auto" w:fill="FFFFFF"/>
        </w:rPr>
        <w:t xml:space="preserve">A secondary endpoint was </w:t>
      </w:r>
      <w:proofErr w:type="spellStart"/>
      <w:r w:rsidR="000C03B0">
        <w:rPr>
          <w:shd w:val="clear" w:color="auto" w:fill="FFFFFF"/>
        </w:rPr>
        <w:t>pCR</w:t>
      </w:r>
      <w:proofErr w:type="spellEnd"/>
      <w:r w:rsidR="000C03B0">
        <w:rPr>
          <w:shd w:val="clear" w:color="auto" w:fill="FFFFFF"/>
        </w:rPr>
        <w:t xml:space="preserve"> </w:t>
      </w:r>
      <w:r w:rsidR="003B5FD9">
        <w:rPr>
          <w:shd w:val="clear" w:color="auto" w:fill="FFFFFF"/>
        </w:rPr>
        <w:t>rate (</w:t>
      </w:r>
      <w:r w:rsidR="003B5FD9" w:rsidRPr="003B5FD9">
        <w:rPr>
          <w:shd w:val="clear" w:color="auto" w:fill="FFFFFF"/>
        </w:rPr>
        <w:t>defined as eradication of invasive di</w:t>
      </w:r>
      <w:r w:rsidR="003B5FD9">
        <w:rPr>
          <w:shd w:val="clear" w:color="auto" w:fill="FFFFFF"/>
        </w:rPr>
        <w:t>sease in the breast and axilla [</w:t>
      </w:r>
      <w:r w:rsidR="003B5FD9" w:rsidRPr="003B5FD9">
        <w:rPr>
          <w:shd w:val="clear" w:color="auto" w:fill="FFFFFF"/>
        </w:rPr>
        <w:t>i.e., ypT0/is ypN0</w:t>
      </w:r>
      <w:r w:rsidR="003B5FD9">
        <w:rPr>
          <w:shd w:val="clear" w:color="auto" w:fill="FFFFFF"/>
        </w:rPr>
        <w:t>]</w:t>
      </w:r>
      <w:r w:rsidR="003B5FD9" w:rsidRPr="003B5FD9">
        <w:rPr>
          <w:shd w:val="clear" w:color="auto" w:fill="FFFFFF"/>
        </w:rPr>
        <w:t>, or total pathologic comple</w:t>
      </w:r>
      <w:r w:rsidR="003B5FD9">
        <w:rPr>
          <w:shd w:val="clear" w:color="auto" w:fill="FFFFFF"/>
        </w:rPr>
        <w:t>te response [</w:t>
      </w:r>
      <w:proofErr w:type="spellStart"/>
      <w:r w:rsidR="003B5FD9">
        <w:rPr>
          <w:shd w:val="clear" w:color="auto" w:fill="FFFFFF"/>
        </w:rPr>
        <w:t>tpCR</w:t>
      </w:r>
      <w:proofErr w:type="spellEnd"/>
      <w:r w:rsidR="003B5FD9">
        <w:rPr>
          <w:shd w:val="clear" w:color="auto" w:fill="FFFFFF"/>
        </w:rPr>
        <w:t>]</w:t>
      </w:r>
      <w:r w:rsidR="000C03B0">
        <w:rPr>
          <w:shd w:val="clear" w:color="auto" w:fill="FFFFFF"/>
        </w:rPr>
        <w:t>), assessed by an external pathology expert.</w:t>
      </w:r>
    </w:p>
    <w:p w14:paraId="797E8016" w14:textId="45281124" w:rsidR="000C03B0" w:rsidRDefault="000C03B0" w:rsidP="00C448E8">
      <w:pPr>
        <w:rPr>
          <w:shd w:val="clear" w:color="auto" w:fill="FFFFFF"/>
        </w:rPr>
      </w:pPr>
    </w:p>
    <w:p w14:paraId="2D267669" w14:textId="0558379F" w:rsidR="000C03B0" w:rsidRDefault="000C03B0" w:rsidP="00C448E8">
      <w:pPr>
        <w:rPr>
          <w:color w:val="auto"/>
          <w:lang w:val="en-US"/>
        </w:rPr>
      </w:pPr>
      <w:r w:rsidRPr="005E3242">
        <w:rPr>
          <w:color w:val="auto"/>
          <w:lang w:val="en-US"/>
        </w:rPr>
        <w:t xml:space="preserve">The median age of </w:t>
      </w:r>
      <w:r>
        <w:rPr>
          <w:color w:val="auto"/>
          <w:lang w:val="en-US"/>
        </w:rPr>
        <w:t>enrolled</w:t>
      </w:r>
      <w:r w:rsidRPr="005E3242">
        <w:rPr>
          <w:color w:val="auto"/>
          <w:lang w:val="en-US"/>
        </w:rPr>
        <w:t xml:space="preserve"> patients was 49 years</w:t>
      </w:r>
      <w:r>
        <w:rPr>
          <w:color w:val="auto"/>
          <w:lang w:val="en-US"/>
        </w:rPr>
        <w:t xml:space="preserve"> in both </w:t>
      </w:r>
      <w:r w:rsidR="001727F5">
        <w:rPr>
          <w:color w:val="auto"/>
          <w:lang w:val="en-US"/>
        </w:rPr>
        <w:t xml:space="preserve">Cohort A (n=128) and Cohort B (n=124). </w:t>
      </w:r>
      <w:proofErr w:type="gramStart"/>
      <w:r w:rsidR="001727F5">
        <w:rPr>
          <w:color w:val="auto"/>
          <w:lang w:val="en-US"/>
        </w:rPr>
        <w:t>The majority of</w:t>
      </w:r>
      <w:proofErr w:type="gramEnd"/>
      <w:r w:rsidR="001727F5">
        <w:rPr>
          <w:color w:val="auto"/>
          <w:lang w:val="en-US"/>
        </w:rPr>
        <w:t xml:space="preserve"> patients </w:t>
      </w:r>
      <w:r w:rsidRPr="005E3242">
        <w:rPr>
          <w:color w:val="auto"/>
          <w:lang w:val="en-US"/>
        </w:rPr>
        <w:t>were Caucasian (83%)</w:t>
      </w:r>
      <w:r w:rsidR="001727F5">
        <w:rPr>
          <w:color w:val="auto"/>
          <w:lang w:val="en-US"/>
        </w:rPr>
        <w:t>,</w:t>
      </w:r>
      <w:r w:rsidRPr="005E3242">
        <w:rPr>
          <w:color w:val="auto"/>
          <w:lang w:val="en-US"/>
        </w:rPr>
        <w:t xml:space="preserve"> female</w:t>
      </w:r>
      <w:r w:rsidR="001727F5">
        <w:rPr>
          <w:color w:val="auto"/>
          <w:lang w:val="en-US"/>
        </w:rPr>
        <w:t xml:space="preserve"> (all but one), and </w:t>
      </w:r>
      <w:r w:rsidR="001727F5" w:rsidRPr="005E3242">
        <w:rPr>
          <w:color w:val="auto"/>
          <w:lang w:val="en-US"/>
        </w:rPr>
        <w:t>had hormon</w:t>
      </w:r>
      <w:r w:rsidR="001727F5">
        <w:rPr>
          <w:color w:val="auto"/>
          <w:lang w:val="en-US"/>
        </w:rPr>
        <w:t xml:space="preserve">e receptor-positive disease </w:t>
      </w:r>
      <w:r w:rsidRPr="005E3242">
        <w:rPr>
          <w:color w:val="auto"/>
          <w:lang w:val="en-US"/>
        </w:rPr>
        <w:t xml:space="preserve">(64% </w:t>
      </w:r>
      <w:r w:rsidR="001727F5">
        <w:rPr>
          <w:color w:val="auto"/>
          <w:lang w:val="en-US"/>
        </w:rPr>
        <w:t xml:space="preserve">of </w:t>
      </w:r>
      <w:r w:rsidRPr="005E3242">
        <w:rPr>
          <w:color w:val="auto"/>
          <w:lang w:val="en-US"/>
        </w:rPr>
        <w:t>Cohort A and 6</w:t>
      </w:r>
      <w:r w:rsidR="001727F5">
        <w:rPr>
          <w:color w:val="auto"/>
          <w:lang w:val="en-US"/>
        </w:rPr>
        <w:t>2</w:t>
      </w:r>
      <w:r w:rsidRPr="005E3242">
        <w:rPr>
          <w:color w:val="auto"/>
          <w:lang w:val="en-US"/>
        </w:rPr>
        <w:t xml:space="preserve">% </w:t>
      </w:r>
      <w:r w:rsidR="001727F5">
        <w:rPr>
          <w:color w:val="auto"/>
          <w:lang w:val="en-US"/>
        </w:rPr>
        <w:t xml:space="preserve">of </w:t>
      </w:r>
      <w:r w:rsidRPr="005E3242">
        <w:rPr>
          <w:color w:val="auto"/>
          <w:lang w:val="en-US"/>
        </w:rPr>
        <w:t>Cohort B)</w:t>
      </w:r>
      <w:r w:rsidR="001727F5">
        <w:rPr>
          <w:color w:val="auto"/>
          <w:lang w:val="en-US"/>
        </w:rPr>
        <w:t>.</w:t>
      </w:r>
      <w:r w:rsidRPr="005E3242">
        <w:rPr>
          <w:color w:val="auto"/>
          <w:lang w:val="en-US"/>
        </w:rPr>
        <w:t xml:space="preserve"> </w:t>
      </w:r>
    </w:p>
    <w:p w14:paraId="08871657" w14:textId="77777777" w:rsidR="000C03B0" w:rsidRDefault="000C03B0" w:rsidP="00C448E8">
      <w:pPr>
        <w:rPr>
          <w:color w:val="auto"/>
          <w:lang w:val="en-US"/>
        </w:rPr>
      </w:pPr>
    </w:p>
    <w:p w14:paraId="557BAD34" w14:textId="77777777" w:rsidR="00BA48DC" w:rsidRDefault="005C290A" w:rsidP="00C448E8">
      <w:pPr>
        <w:rPr>
          <w:color w:val="auto"/>
          <w:lang w:val="en-US"/>
        </w:rPr>
      </w:pPr>
      <w:r w:rsidRPr="005C290A">
        <w:rPr>
          <w:color w:val="auto"/>
          <w:lang w:val="en-US"/>
        </w:rPr>
        <w:t xml:space="preserve">The primary endpoint of cardiac safety, i.e. the incidence of NYHA Class III/IV LVD and LVEF declines, was consistent with previous data in the neoadjuvant setting </w:t>
      </w:r>
      <w:r w:rsidR="002D39AA" w:rsidRPr="005E3242">
        <w:rPr>
          <w:color w:val="auto"/>
          <w:lang w:val="en-US"/>
        </w:rPr>
        <w:t>(</w:t>
      </w:r>
      <w:r w:rsidR="001E0DBF" w:rsidRPr="00107F79">
        <w:rPr>
          <w:color w:val="auto"/>
          <w:lang w:val="en-US"/>
        </w:rPr>
        <w:t xml:space="preserve">see </w:t>
      </w:r>
      <w:r w:rsidR="001E0DBF" w:rsidRPr="00107F79">
        <w:rPr>
          <w:i/>
          <w:color w:val="auto"/>
          <w:lang w:val="en-GB"/>
        </w:rPr>
        <w:t>4.8 Adverse Events (Undesirable effects)</w:t>
      </w:r>
      <w:r>
        <w:rPr>
          <w:i/>
          <w:color w:val="auto"/>
          <w:lang w:val="en-GB"/>
        </w:rPr>
        <w:t xml:space="preserve"> – Further information on selected adverse drug reactions</w:t>
      </w:r>
      <w:r w:rsidR="002D39AA" w:rsidRPr="00107F79">
        <w:rPr>
          <w:color w:val="auto"/>
          <w:lang w:val="en-US"/>
        </w:rPr>
        <w:t>).</w:t>
      </w:r>
      <w:r w:rsidR="002D39AA" w:rsidRPr="005E3242">
        <w:rPr>
          <w:color w:val="auto"/>
          <w:lang w:val="en-US"/>
        </w:rPr>
        <w:t> </w:t>
      </w:r>
    </w:p>
    <w:p w14:paraId="03BB536A" w14:textId="77777777" w:rsidR="00BA48DC" w:rsidRDefault="00BA48DC" w:rsidP="00C448E8">
      <w:pPr>
        <w:rPr>
          <w:color w:val="auto"/>
          <w:lang w:val="en-US"/>
        </w:rPr>
      </w:pPr>
    </w:p>
    <w:p w14:paraId="48E03084" w14:textId="4B7D6F7F" w:rsidR="002D39AA" w:rsidRPr="005E3242" w:rsidRDefault="00885946" w:rsidP="00C448E8">
      <w:pPr>
        <w:rPr>
          <w:color w:val="auto"/>
          <w:lang w:val="en-US"/>
        </w:rPr>
      </w:pPr>
      <w:r>
        <w:rPr>
          <w:color w:val="auto"/>
          <w:lang w:val="en-US"/>
        </w:rPr>
        <w:t xml:space="preserve">The </w:t>
      </w:r>
      <w:r w:rsidR="000E71A5">
        <w:rPr>
          <w:color w:val="auto"/>
          <w:lang w:val="en-US"/>
        </w:rPr>
        <w:t xml:space="preserve">rate of </w:t>
      </w:r>
      <w:proofErr w:type="spellStart"/>
      <w:r w:rsidR="003B5FD9">
        <w:rPr>
          <w:color w:val="auto"/>
          <w:lang w:val="en-US"/>
        </w:rPr>
        <w:t>pCR</w:t>
      </w:r>
      <w:proofErr w:type="spellEnd"/>
      <w:r w:rsidR="000E71A5">
        <w:rPr>
          <w:color w:val="auto"/>
          <w:lang w:val="en-US"/>
        </w:rPr>
        <w:t xml:space="preserve"> (</w:t>
      </w:r>
      <w:proofErr w:type="spellStart"/>
      <w:r w:rsidR="000E71A5">
        <w:rPr>
          <w:color w:val="auto"/>
          <w:lang w:val="en-US"/>
        </w:rPr>
        <w:t>tpCR</w:t>
      </w:r>
      <w:proofErr w:type="spellEnd"/>
      <w:r w:rsidR="000E71A5">
        <w:rPr>
          <w:color w:val="auto"/>
          <w:lang w:val="en-US"/>
        </w:rPr>
        <w:t xml:space="preserve"> or </w:t>
      </w:r>
      <w:r w:rsidR="000E71A5" w:rsidRPr="000E71A5">
        <w:rPr>
          <w:color w:val="auto"/>
          <w:lang w:val="en-US"/>
        </w:rPr>
        <w:t>ypT0/is ypN0)</w:t>
      </w:r>
      <w:r w:rsidR="003B5FD9">
        <w:rPr>
          <w:color w:val="auto"/>
          <w:lang w:val="en-US"/>
        </w:rPr>
        <w:t xml:space="preserve"> </w:t>
      </w:r>
      <w:r w:rsidR="000E71A5">
        <w:rPr>
          <w:color w:val="auto"/>
          <w:lang w:val="en-US"/>
        </w:rPr>
        <w:t>was</w:t>
      </w:r>
      <w:r w:rsidR="003B5FD9">
        <w:rPr>
          <w:color w:val="auto"/>
          <w:lang w:val="en-US"/>
        </w:rPr>
        <w:t xml:space="preserve"> </w:t>
      </w:r>
      <w:r>
        <w:rPr>
          <w:color w:val="auto"/>
          <w:lang w:val="en-US"/>
        </w:rPr>
        <w:t>62% in Cohort A and 61% in Cohort B</w:t>
      </w:r>
      <w:r w:rsidR="006D0B40">
        <w:rPr>
          <w:color w:val="auto"/>
          <w:lang w:val="en-US"/>
        </w:rPr>
        <w:t>.</w:t>
      </w:r>
      <w:r w:rsidR="002D39AA" w:rsidRPr="005E3242">
        <w:rPr>
          <w:color w:val="auto"/>
          <w:lang w:val="en-US"/>
        </w:rPr>
        <w:t xml:space="preserve"> </w:t>
      </w:r>
      <w:r w:rsidR="003B5FD9">
        <w:rPr>
          <w:color w:val="auto"/>
          <w:lang w:val="en-US"/>
        </w:rPr>
        <w:t>The</w:t>
      </w:r>
      <w:r w:rsidR="00BA48DC">
        <w:rPr>
          <w:color w:val="auto"/>
          <w:lang w:val="en-US"/>
        </w:rPr>
        <w:t xml:space="preserve"> </w:t>
      </w:r>
      <w:proofErr w:type="spellStart"/>
      <w:r w:rsidR="002D39AA" w:rsidRPr="005E3242">
        <w:rPr>
          <w:color w:val="auto"/>
          <w:lang w:val="en-US"/>
        </w:rPr>
        <w:t>pCR</w:t>
      </w:r>
      <w:proofErr w:type="spellEnd"/>
      <w:r w:rsidR="002D39AA" w:rsidRPr="005E3242">
        <w:rPr>
          <w:color w:val="auto"/>
          <w:lang w:val="en-US"/>
        </w:rPr>
        <w:t xml:space="preserve"> rates </w:t>
      </w:r>
      <w:r w:rsidR="00BA48DC">
        <w:rPr>
          <w:color w:val="auto"/>
          <w:lang w:val="en-US"/>
        </w:rPr>
        <w:t xml:space="preserve">in Cohort A and Cohort B, respectively, </w:t>
      </w:r>
      <w:r w:rsidR="002D39AA" w:rsidRPr="005E3242">
        <w:rPr>
          <w:color w:val="auto"/>
          <w:lang w:val="en-US"/>
        </w:rPr>
        <w:t>were</w:t>
      </w:r>
      <w:r w:rsidR="00BA48DC">
        <w:rPr>
          <w:color w:val="auto"/>
          <w:lang w:val="en-US"/>
        </w:rPr>
        <w:t xml:space="preserve"> 52% and 57% for patients with </w:t>
      </w:r>
      <w:r w:rsidR="002D39AA" w:rsidRPr="005E3242">
        <w:rPr>
          <w:color w:val="auto"/>
          <w:lang w:val="en-US"/>
        </w:rPr>
        <w:t xml:space="preserve">hormone receptor-positive </w:t>
      </w:r>
      <w:proofErr w:type="spellStart"/>
      <w:r w:rsidR="002D39AA" w:rsidRPr="005E3242">
        <w:rPr>
          <w:color w:val="auto"/>
          <w:lang w:val="en-US"/>
        </w:rPr>
        <w:t>tumo</w:t>
      </w:r>
      <w:r w:rsidR="00BA48DC">
        <w:rPr>
          <w:color w:val="auto"/>
          <w:lang w:val="en-US"/>
        </w:rPr>
        <w:t>u</w:t>
      </w:r>
      <w:r w:rsidR="002D39AA" w:rsidRPr="005E3242">
        <w:rPr>
          <w:color w:val="auto"/>
          <w:lang w:val="en-US"/>
        </w:rPr>
        <w:t>rs</w:t>
      </w:r>
      <w:proofErr w:type="spellEnd"/>
      <w:r w:rsidR="00BA48DC">
        <w:rPr>
          <w:color w:val="auto"/>
          <w:lang w:val="en-US"/>
        </w:rPr>
        <w:t>, and 82% and 68% for</w:t>
      </w:r>
      <w:r w:rsidR="002D39AA" w:rsidRPr="005E3242">
        <w:rPr>
          <w:color w:val="auto"/>
          <w:lang w:val="en-US"/>
        </w:rPr>
        <w:t xml:space="preserve"> patients with hormone receptor-negative </w:t>
      </w:r>
      <w:proofErr w:type="spellStart"/>
      <w:r w:rsidR="002D39AA" w:rsidRPr="005E3242">
        <w:rPr>
          <w:color w:val="auto"/>
          <w:lang w:val="en-US"/>
        </w:rPr>
        <w:t>tumo</w:t>
      </w:r>
      <w:r w:rsidR="00BA48DC">
        <w:rPr>
          <w:color w:val="auto"/>
          <w:lang w:val="en-US"/>
        </w:rPr>
        <w:t>u</w:t>
      </w:r>
      <w:r w:rsidR="002D39AA" w:rsidRPr="005E3242">
        <w:rPr>
          <w:color w:val="auto"/>
          <w:lang w:val="en-US"/>
        </w:rPr>
        <w:t>rs</w:t>
      </w:r>
      <w:proofErr w:type="spellEnd"/>
      <w:r w:rsidR="0082049F" w:rsidRPr="005E3242">
        <w:rPr>
          <w:color w:val="auto"/>
          <w:lang w:val="en-US"/>
        </w:rPr>
        <w:t>.</w:t>
      </w:r>
    </w:p>
    <w:p w14:paraId="6239AA20" w14:textId="262B3F8B" w:rsidR="0082049F" w:rsidRPr="005E3242" w:rsidRDefault="0082049F" w:rsidP="00C448E8">
      <w:pPr>
        <w:rPr>
          <w:color w:val="auto"/>
          <w:lang w:val="en-US"/>
        </w:rPr>
      </w:pPr>
    </w:p>
    <w:p w14:paraId="59408403" w14:textId="4363FEE3" w:rsidR="0082049F" w:rsidRPr="005E3242" w:rsidRDefault="0078210D" w:rsidP="00C448E8">
      <w:pPr>
        <w:pStyle w:val="Heading6"/>
        <w:pageBreakBefore/>
        <w:rPr>
          <w:lang w:val="en-US"/>
        </w:rPr>
      </w:pPr>
      <w:r w:rsidRPr="005E3242">
        <w:rPr>
          <w:lang w:val="en-US"/>
        </w:rPr>
        <w:lastRenderedPageBreak/>
        <w:t>APHINITY (BO25126)</w:t>
      </w:r>
      <w:r w:rsidR="00996A40">
        <w:rPr>
          <w:lang w:val="en-US"/>
        </w:rPr>
        <w:t xml:space="preserve"> – adjuvant treatment of EBC</w:t>
      </w:r>
    </w:p>
    <w:p w14:paraId="1B1540A2" w14:textId="30F40B90" w:rsidR="0078210D" w:rsidRPr="005E3242" w:rsidRDefault="0078210D" w:rsidP="00C448E8">
      <w:pPr>
        <w:rPr>
          <w:b/>
          <w:color w:val="auto"/>
          <w:lang w:val="en-US"/>
        </w:rPr>
      </w:pPr>
    </w:p>
    <w:p w14:paraId="195D3CA7" w14:textId="64B1C3C7" w:rsidR="0082049F" w:rsidRPr="005E3242" w:rsidRDefault="0082049F" w:rsidP="00C448E8">
      <w:pPr>
        <w:rPr>
          <w:color w:val="auto"/>
          <w:lang w:val="en-US"/>
        </w:rPr>
      </w:pPr>
      <w:r w:rsidRPr="005E3242">
        <w:rPr>
          <w:color w:val="auto"/>
          <w:lang w:val="en-US"/>
        </w:rPr>
        <w:t xml:space="preserve">APHINITY </w:t>
      </w:r>
      <w:r w:rsidR="00D81F9E">
        <w:rPr>
          <w:color w:val="auto"/>
          <w:lang w:val="en-US"/>
        </w:rPr>
        <w:t>wa</w:t>
      </w:r>
      <w:r w:rsidRPr="005E3242">
        <w:rPr>
          <w:color w:val="auto"/>
          <w:lang w:val="en-US"/>
        </w:rPr>
        <w:t xml:space="preserve">s a </w:t>
      </w:r>
      <w:proofErr w:type="spellStart"/>
      <w:r w:rsidRPr="005E3242">
        <w:rPr>
          <w:color w:val="auto"/>
          <w:lang w:val="en-US"/>
        </w:rPr>
        <w:t>multicentr</w:t>
      </w:r>
      <w:r w:rsidR="00D81F9E">
        <w:rPr>
          <w:color w:val="auto"/>
          <w:lang w:val="en-US"/>
        </w:rPr>
        <w:t>e</w:t>
      </w:r>
      <w:proofErr w:type="spellEnd"/>
      <w:r w:rsidRPr="005E3242">
        <w:rPr>
          <w:color w:val="auto"/>
          <w:lang w:val="en-US"/>
        </w:rPr>
        <w:t xml:space="preserve">, </w:t>
      </w:r>
      <w:proofErr w:type="spellStart"/>
      <w:r w:rsidRPr="005E3242">
        <w:rPr>
          <w:color w:val="auto"/>
          <w:lang w:val="en-US"/>
        </w:rPr>
        <w:t>randomi</w:t>
      </w:r>
      <w:r w:rsidR="00D81F9E">
        <w:rPr>
          <w:color w:val="auto"/>
          <w:lang w:val="en-US"/>
        </w:rPr>
        <w:t>s</w:t>
      </w:r>
      <w:r w:rsidRPr="005E3242">
        <w:rPr>
          <w:color w:val="auto"/>
          <w:lang w:val="en-US"/>
        </w:rPr>
        <w:t>ed</w:t>
      </w:r>
      <w:proofErr w:type="spellEnd"/>
      <w:r w:rsidRPr="005E3242">
        <w:rPr>
          <w:color w:val="auto"/>
          <w:lang w:val="en-US"/>
        </w:rPr>
        <w:t xml:space="preserve">, double-blind, placebo-controlled Phase III trial conducted in 4804 patients with HER2-positive early breast cancer who had their primary </w:t>
      </w:r>
      <w:proofErr w:type="spellStart"/>
      <w:r w:rsidRPr="005E3242">
        <w:rPr>
          <w:color w:val="auto"/>
          <w:lang w:val="en-US"/>
        </w:rPr>
        <w:t>tumo</w:t>
      </w:r>
      <w:r w:rsidR="00D81F9E">
        <w:rPr>
          <w:color w:val="auto"/>
          <w:lang w:val="en-US"/>
        </w:rPr>
        <w:t>u</w:t>
      </w:r>
      <w:r w:rsidRPr="005E3242">
        <w:rPr>
          <w:color w:val="auto"/>
          <w:lang w:val="en-US"/>
        </w:rPr>
        <w:t>r</w:t>
      </w:r>
      <w:proofErr w:type="spellEnd"/>
      <w:r w:rsidRPr="005E3242">
        <w:rPr>
          <w:color w:val="auto"/>
          <w:lang w:val="en-US"/>
        </w:rPr>
        <w:t xml:space="preserve"> excised prior to </w:t>
      </w:r>
      <w:proofErr w:type="spellStart"/>
      <w:r w:rsidRPr="005E3242">
        <w:rPr>
          <w:color w:val="auto"/>
          <w:lang w:val="en-US"/>
        </w:rPr>
        <w:t>randomi</w:t>
      </w:r>
      <w:r w:rsidR="00D81F9E">
        <w:rPr>
          <w:color w:val="auto"/>
          <w:lang w:val="en-US"/>
        </w:rPr>
        <w:t>s</w:t>
      </w:r>
      <w:r w:rsidRPr="005E3242">
        <w:rPr>
          <w:color w:val="auto"/>
          <w:lang w:val="en-US"/>
        </w:rPr>
        <w:t>ation</w:t>
      </w:r>
      <w:proofErr w:type="spellEnd"/>
      <w:r w:rsidRPr="005E3242">
        <w:rPr>
          <w:color w:val="auto"/>
          <w:lang w:val="en-US"/>
        </w:rPr>
        <w:t xml:space="preserve">. Patients were then </w:t>
      </w:r>
      <w:proofErr w:type="spellStart"/>
      <w:r w:rsidRPr="005E3242">
        <w:rPr>
          <w:color w:val="auto"/>
          <w:lang w:val="en-US"/>
        </w:rPr>
        <w:t>randomi</w:t>
      </w:r>
      <w:r w:rsidR="00D81F9E">
        <w:rPr>
          <w:color w:val="auto"/>
          <w:lang w:val="en-US"/>
        </w:rPr>
        <w:t>s</w:t>
      </w:r>
      <w:r w:rsidRPr="005E3242">
        <w:rPr>
          <w:color w:val="auto"/>
          <w:lang w:val="en-US"/>
        </w:rPr>
        <w:t>ed</w:t>
      </w:r>
      <w:proofErr w:type="spellEnd"/>
      <w:r w:rsidRPr="005E3242">
        <w:rPr>
          <w:color w:val="auto"/>
          <w:lang w:val="en-US"/>
        </w:rPr>
        <w:t xml:space="preserve"> to receive </w:t>
      </w:r>
      <w:proofErr w:type="spellStart"/>
      <w:r w:rsidRPr="005E3242">
        <w:rPr>
          <w:color w:val="auto"/>
          <w:lang w:val="en-US"/>
        </w:rPr>
        <w:t>pertuzumab</w:t>
      </w:r>
      <w:proofErr w:type="spellEnd"/>
      <w:r w:rsidRPr="005E3242">
        <w:rPr>
          <w:color w:val="auto"/>
          <w:lang w:val="en-US"/>
        </w:rPr>
        <w:t xml:space="preserve"> or placebo, in combination with adjuvant trastuzumab and chemotherapy. Investigators selected one of the following anthracycline-based or non-anthracycline-based chemotherapy regimens for individual patients:</w:t>
      </w:r>
    </w:p>
    <w:p w14:paraId="28EC962E" w14:textId="2B0CE183" w:rsidR="0082049F" w:rsidRPr="005E3242" w:rsidRDefault="0082049F" w:rsidP="00C448E8">
      <w:pPr>
        <w:rPr>
          <w:color w:val="auto"/>
          <w:lang w:val="en-US"/>
        </w:rPr>
      </w:pPr>
    </w:p>
    <w:p w14:paraId="174A2F71" w14:textId="28342088" w:rsidR="0082049F" w:rsidRPr="005E3242" w:rsidRDefault="0082049F" w:rsidP="00C448E8">
      <w:pPr>
        <w:numPr>
          <w:ilvl w:val="0"/>
          <w:numId w:val="8"/>
        </w:numPr>
        <w:rPr>
          <w:color w:val="auto"/>
          <w:lang w:val="en-US"/>
        </w:rPr>
      </w:pPr>
      <w:r w:rsidRPr="005E3242">
        <w:rPr>
          <w:color w:val="auto"/>
          <w:lang w:val="en-US"/>
        </w:rPr>
        <w:t xml:space="preserve">3 or 4 cycles of FEC or 5-fluorouracil, </w:t>
      </w:r>
      <w:proofErr w:type="gramStart"/>
      <w:r w:rsidRPr="005E3242">
        <w:rPr>
          <w:color w:val="auto"/>
          <w:lang w:val="en-US"/>
        </w:rPr>
        <w:t>doxorubicin</w:t>
      </w:r>
      <w:proofErr w:type="gramEnd"/>
      <w:r w:rsidRPr="005E3242">
        <w:rPr>
          <w:color w:val="auto"/>
          <w:lang w:val="en-US"/>
        </w:rPr>
        <w:t xml:space="preserve"> and cyclophosphamide (FAC), followed by 3 or 4 cycles of docetaxel or 12 cycles of weekly paclitaxel</w:t>
      </w:r>
    </w:p>
    <w:p w14:paraId="140AB588" w14:textId="4C8B5A44" w:rsidR="0082049F" w:rsidRPr="005E3242" w:rsidRDefault="0082049F" w:rsidP="00C448E8">
      <w:pPr>
        <w:numPr>
          <w:ilvl w:val="0"/>
          <w:numId w:val="8"/>
        </w:numPr>
        <w:rPr>
          <w:color w:val="auto"/>
          <w:lang w:val="en-US"/>
        </w:rPr>
      </w:pPr>
      <w:r w:rsidRPr="005E3242">
        <w:rPr>
          <w:color w:val="auto"/>
          <w:lang w:val="en-US"/>
        </w:rPr>
        <w:t xml:space="preserve">4 cycles of AC or EC, followed by 3 or 4 cycles of docetaxel or 12 cycles </w:t>
      </w:r>
      <w:proofErr w:type="gramStart"/>
      <w:r w:rsidRPr="005E3242">
        <w:rPr>
          <w:color w:val="auto"/>
          <w:lang w:val="en-US"/>
        </w:rPr>
        <w:t>of  weekly</w:t>
      </w:r>
      <w:proofErr w:type="gramEnd"/>
      <w:r w:rsidRPr="005E3242">
        <w:rPr>
          <w:color w:val="auto"/>
          <w:lang w:val="en-US"/>
        </w:rPr>
        <w:t xml:space="preserve"> paclitaxel </w:t>
      </w:r>
    </w:p>
    <w:p w14:paraId="79E2CDB6" w14:textId="1912D353" w:rsidR="0082049F" w:rsidRPr="005E3242" w:rsidRDefault="0082049F" w:rsidP="00C448E8">
      <w:pPr>
        <w:numPr>
          <w:ilvl w:val="0"/>
          <w:numId w:val="8"/>
        </w:numPr>
        <w:rPr>
          <w:color w:val="auto"/>
          <w:lang w:val="en-US"/>
        </w:rPr>
      </w:pPr>
      <w:r w:rsidRPr="005E3242">
        <w:rPr>
          <w:color w:val="auto"/>
          <w:lang w:val="en-US"/>
        </w:rPr>
        <w:t xml:space="preserve">6 cycles of docetaxel in combination with carboplatin  </w:t>
      </w:r>
    </w:p>
    <w:p w14:paraId="0CFABEE0" w14:textId="0241CADB" w:rsidR="0082049F" w:rsidRPr="005E3242" w:rsidRDefault="0082049F" w:rsidP="00C448E8">
      <w:pPr>
        <w:rPr>
          <w:color w:val="auto"/>
          <w:lang w:val="en-US"/>
        </w:rPr>
      </w:pPr>
    </w:p>
    <w:p w14:paraId="0A793F51" w14:textId="22786DA3" w:rsidR="0082049F" w:rsidRPr="005E3242" w:rsidRDefault="0082049F" w:rsidP="00C448E8">
      <w:pPr>
        <w:rPr>
          <w:color w:val="auto"/>
          <w:lang w:val="en-US"/>
        </w:rPr>
      </w:pPr>
      <w:proofErr w:type="spellStart"/>
      <w:r w:rsidRPr="005E3242">
        <w:rPr>
          <w:color w:val="auto"/>
          <w:lang w:val="en-US"/>
        </w:rPr>
        <w:t>Pertuzumab</w:t>
      </w:r>
      <w:proofErr w:type="spellEnd"/>
      <w:r w:rsidRPr="005E3242">
        <w:rPr>
          <w:color w:val="auto"/>
          <w:lang w:val="en-US"/>
        </w:rPr>
        <w:t xml:space="preserve"> and trastuzumab were administered intravenously as outlined in </w:t>
      </w:r>
      <w:r w:rsidR="00D81F9E">
        <w:rPr>
          <w:color w:val="auto"/>
          <w:lang w:val="en-US"/>
        </w:rPr>
        <w:fldChar w:fldCharType="begin"/>
      </w:r>
      <w:r w:rsidR="00D81F9E">
        <w:rPr>
          <w:color w:val="auto"/>
          <w:lang w:val="en-US"/>
        </w:rPr>
        <w:instrText xml:space="preserve"> REF _Ref66712079 \h </w:instrText>
      </w:r>
      <w:r w:rsidR="00D81F9E">
        <w:rPr>
          <w:color w:val="auto"/>
          <w:lang w:val="en-US"/>
        </w:rPr>
      </w:r>
      <w:r w:rsidR="00C448E8">
        <w:rPr>
          <w:color w:val="auto"/>
          <w:lang w:val="en-US"/>
        </w:rPr>
        <w:instrText xml:space="preserve"> \* MERGEFORMAT </w:instrText>
      </w:r>
      <w:r w:rsidR="00D81F9E">
        <w:rPr>
          <w:color w:val="auto"/>
          <w:lang w:val="en-US"/>
        </w:rPr>
        <w:fldChar w:fldCharType="separate"/>
      </w:r>
      <w:r w:rsidR="00C840A1">
        <w:t xml:space="preserve">Table </w:t>
      </w:r>
      <w:r w:rsidR="00C840A1">
        <w:rPr>
          <w:noProof/>
        </w:rPr>
        <w:t>5</w:t>
      </w:r>
      <w:r w:rsidR="00D81F9E">
        <w:rPr>
          <w:color w:val="auto"/>
          <w:lang w:val="en-US"/>
        </w:rPr>
        <w:fldChar w:fldCharType="end"/>
      </w:r>
      <w:r w:rsidR="00503923">
        <w:rPr>
          <w:color w:val="auto"/>
          <w:lang w:val="en-US"/>
        </w:rPr>
        <w:t xml:space="preserve">, </w:t>
      </w:r>
      <w:r w:rsidRPr="005E3242">
        <w:rPr>
          <w:color w:val="auto"/>
          <w:lang w:val="en-US"/>
        </w:rPr>
        <w:t>starting</w:t>
      </w:r>
      <w:r w:rsidRPr="005E3242">
        <w:rPr>
          <w:i/>
          <w:color w:val="auto"/>
          <w:lang w:val="en-US"/>
        </w:rPr>
        <w:t xml:space="preserve"> </w:t>
      </w:r>
      <w:r w:rsidRPr="005E3242">
        <w:rPr>
          <w:color w:val="auto"/>
          <w:lang w:val="en-US"/>
        </w:rPr>
        <w:t xml:space="preserve">on Day 1 of the first </w:t>
      </w:r>
      <w:proofErr w:type="spellStart"/>
      <w:r w:rsidRPr="005E3242">
        <w:rPr>
          <w:color w:val="auto"/>
          <w:lang w:val="en-US"/>
        </w:rPr>
        <w:t>taxane</w:t>
      </w:r>
      <w:proofErr w:type="spellEnd"/>
      <w:r w:rsidRPr="005E3242">
        <w:rPr>
          <w:color w:val="auto"/>
          <w:lang w:val="en-US"/>
        </w:rPr>
        <w:t xml:space="preserve">-containing cycle, for a total of 52 weeks (maximum 18 cycles) or until recurrence, withdrawal of consent or unmanageable toxicity. Standard doses of 5-fluorouracil, </w:t>
      </w:r>
      <w:proofErr w:type="spellStart"/>
      <w:r w:rsidRPr="005E3242">
        <w:rPr>
          <w:color w:val="auto"/>
          <w:lang w:val="en-US"/>
        </w:rPr>
        <w:t>epirubicin</w:t>
      </w:r>
      <w:proofErr w:type="spellEnd"/>
      <w:r w:rsidRPr="005E3242">
        <w:rPr>
          <w:color w:val="auto"/>
          <w:lang w:val="en-US"/>
        </w:rPr>
        <w:t xml:space="preserve">, doxorubicin, cyclophosphamide, docetaxel, </w:t>
      </w:r>
      <w:proofErr w:type="gramStart"/>
      <w:r w:rsidRPr="005E3242">
        <w:rPr>
          <w:color w:val="auto"/>
          <w:lang w:val="en-US"/>
        </w:rPr>
        <w:t>paclitaxel</w:t>
      </w:r>
      <w:proofErr w:type="gramEnd"/>
      <w:r w:rsidRPr="005E3242">
        <w:rPr>
          <w:color w:val="auto"/>
          <w:lang w:val="en-US"/>
        </w:rPr>
        <w:t xml:space="preserve"> and carboplatin were administered. After completion of chemotherapy, patients received radiotherapy and/or hormone therapy as per local clinical standard. </w:t>
      </w:r>
    </w:p>
    <w:p w14:paraId="687EB2C8" w14:textId="504A10AE" w:rsidR="0082049F" w:rsidRPr="005E3242" w:rsidRDefault="0082049F" w:rsidP="00C448E8">
      <w:pPr>
        <w:rPr>
          <w:color w:val="auto"/>
          <w:lang w:val="en-US"/>
        </w:rPr>
      </w:pPr>
    </w:p>
    <w:p w14:paraId="5F9D90E0" w14:textId="1DEA843E" w:rsidR="0082049F" w:rsidRPr="005E3242" w:rsidRDefault="0082049F" w:rsidP="00C448E8">
      <w:pPr>
        <w:rPr>
          <w:color w:val="auto"/>
          <w:lang w:val="en-US"/>
        </w:rPr>
      </w:pPr>
      <w:r w:rsidRPr="005E3242">
        <w:rPr>
          <w:color w:val="auto"/>
          <w:lang w:val="en-US"/>
        </w:rPr>
        <w:t xml:space="preserve">The primary endpoint of the study was invasive disease-free survival (IDFS), defined as the time from </w:t>
      </w:r>
      <w:proofErr w:type="spellStart"/>
      <w:r w:rsidRPr="005E3242">
        <w:rPr>
          <w:color w:val="auto"/>
          <w:lang w:val="en-US"/>
        </w:rPr>
        <w:t>randomi</w:t>
      </w:r>
      <w:r w:rsidR="004C0855">
        <w:rPr>
          <w:color w:val="auto"/>
          <w:lang w:val="en-US"/>
        </w:rPr>
        <w:t>s</w:t>
      </w:r>
      <w:r w:rsidRPr="005E3242">
        <w:rPr>
          <w:color w:val="auto"/>
          <w:lang w:val="en-US"/>
        </w:rPr>
        <w:t>ation</w:t>
      </w:r>
      <w:proofErr w:type="spellEnd"/>
      <w:r w:rsidRPr="005E3242">
        <w:rPr>
          <w:color w:val="auto"/>
          <w:lang w:val="en-US"/>
        </w:rPr>
        <w:t xml:space="preserve"> to first occurrence of ipsilateral local or regional invasive breast cancer recurrence, distant recurrence, contralateral invasive breast canc</w:t>
      </w:r>
      <w:r w:rsidR="00271DBF">
        <w:rPr>
          <w:color w:val="auto"/>
          <w:lang w:val="en-US"/>
        </w:rPr>
        <w:t>er, or death from any cause</w:t>
      </w:r>
      <w:r w:rsidRPr="005E3242">
        <w:rPr>
          <w:color w:val="auto"/>
          <w:lang w:val="en-US"/>
        </w:rPr>
        <w:t xml:space="preserve">. </w:t>
      </w:r>
    </w:p>
    <w:p w14:paraId="3ACBC2A2" w14:textId="76F01EDF" w:rsidR="0082049F" w:rsidRPr="005E3242" w:rsidRDefault="0082049F" w:rsidP="00C448E8">
      <w:pPr>
        <w:rPr>
          <w:color w:val="auto"/>
          <w:lang w:val="en-US"/>
        </w:rPr>
      </w:pPr>
    </w:p>
    <w:p w14:paraId="35F691DA" w14:textId="48E0052E" w:rsidR="0082049F" w:rsidRPr="005E3242" w:rsidRDefault="0082049F" w:rsidP="00C448E8">
      <w:pPr>
        <w:rPr>
          <w:color w:val="auto"/>
          <w:lang w:val="en-US"/>
        </w:rPr>
      </w:pPr>
      <w:r w:rsidRPr="005E3242">
        <w:rPr>
          <w:color w:val="auto"/>
          <w:lang w:val="en-US"/>
        </w:rPr>
        <w:t>Demographics were balanced between the two treatment arms. The median age was 51 years, and over 99% of patients were female. The majority of patients had node-positive (63%) and/or hormone receptor-positive disease (64%</w:t>
      </w:r>
      <w:proofErr w:type="gramStart"/>
      <w:r w:rsidR="00271DBF">
        <w:rPr>
          <w:color w:val="auto"/>
          <w:lang w:val="en-US"/>
        </w:rPr>
        <w:t>), and</w:t>
      </w:r>
      <w:proofErr w:type="gramEnd"/>
      <w:r w:rsidR="00271DBF">
        <w:rPr>
          <w:color w:val="auto"/>
          <w:lang w:val="en-US"/>
        </w:rPr>
        <w:t xml:space="preserve"> were Caucasian (71%)</w:t>
      </w:r>
      <w:r w:rsidRPr="005E3242">
        <w:rPr>
          <w:color w:val="auto"/>
          <w:lang w:val="en-US"/>
        </w:rPr>
        <w:t>.</w:t>
      </w:r>
    </w:p>
    <w:p w14:paraId="0C84F139" w14:textId="77777777" w:rsidR="004C0855" w:rsidRDefault="004C0855" w:rsidP="00C448E8">
      <w:pPr>
        <w:rPr>
          <w:color w:val="auto"/>
          <w:lang w:val="en-US"/>
        </w:rPr>
      </w:pPr>
    </w:p>
    <w:p w14:paraId="4F46193C" w14:textId="2CA9E721" w:rsidR="0082049F" w:rsidRPr="005E3242" w:rsidRDefault="004C0855" w:rsidP="00C448E8">
      <w:pPr>
        <w:rPr>
          <w:color w:val="auto"/>
          <w:lang w:val="en-US"/>
        </w:rPr>
      </w:pPr>
      <w:proofErr w:type="spellStart"/>
      <w:r>
        <w:rPr>
          <w:color w:val="auto"/>
          <w:lang w:val="en-US"/>
        </w:rPr>
        <w:t>Pertuzumab</w:t>
      </w:r>
      <w:proofErr w:type="spellEnd"/>
      <w:r w:rsidRPr="004C0855">
        <w:rPr>
          <w:color w:val="auto"/>
          <w:lang w:val="en-US"/>
        </w:rPr>
        <w:t>-treated patients and placebo-treated patients both received a median number of 18</w:t>
      </w:r>
      <w:r>
        <w:rPr>
          <w:color w:val="auto"/>
          <w:lang w:val="en-US"/>
        </w:rPr>
        <w:t xml:space="preserve"> </w:t>
      </w:r>
      <w:r w:rsidRPr="004C0855">
        <w:rPr>
          <w:color w:val="auto"/>
          <w:lang w:val="en-US"/>
        </w:rPr>
        <w:t>cycles of anti-HER2 therapy</w:t>
      </w:r>
      <w:r>
        <w:rPr>
          <w:color w:val="auto"/>
          <w:lang w:val="en-US"/>
        </w:rPr>
        <w:t>.</w:t>
      </w:r>
      <w:r w:rsidRPr="004C0855">
        <w:rPr>
          <w:color w:val="auto"/>
          <w:lang w:val="en-US"/>
        </w:rPr>
        <w:t xml:space="preserve"> </w:t>
      </w:r>
      <w:r w:rsidR="0082049F" w:rsidRPr="005E3242">
        <w:rPr>
          <w:color w:val="auto"/>
          <w:lang w:val="en-US"/>
        </w:rPr>
        <w:t xml:space="preserve">After a median follow-up to 45.4 months, the APHINITY study demonstrated </w:t>
      </w:r>
      <w:r>
        <w:rPr>
          <w:color w:val="auto"/>
          <w:lang w:val="en-US"/>
        </w:rPr>
        <w:t>a statistically significant</w:t>
      </w:r>
      <w:r w:rsidR="0082049F" w:rsidRPr="005E3242">
        <w:rPr>
          <w:color w:val="auto"/>
          <w:lang w:val="en-US"/>
        </w:rPr>
        <w:t xml:space="preserve"> </w:t>
      </w:r>
      <w:r>
        <w:rPr>
          <w:color w:val="auto"/>
          <w:lang w:val="en-US"/>
        </w:rPr>
        <w:t>improvement in IDFS</w:t>
      </w:r>
      <w:r w:rsidR="0082049F" w:rsidRPr="005E3242">
        <w:rPr>
          <w:color w:val="auto"/>
          <w:lang w:val="en-US"/>
        </w:rPr>
        <w:t xml:space="preserve"> in patients </w:t>
      </w:r>
      <w:proofErr w:type="spellStart"/>
      <w:r w:rsidR="0082049F" w:rsidRPr="005E3242">
        <w:rPr>
          <w:color w:val="auto"/>
          <w:lang w:val="en-US"/>
        </w:rPr>
        <w:t>randomi</w:t>
      </w:r>
      <w:r>
        <w:rPr>
          <w:color w:val="auto"/>
          <w:lang w:val="en-US"/>
        </w:rPr>
        <w:t>s</w:t>
      </w:r>
      <w:r w:rsidR="0082049F" w:rsidRPr="005E3242">
        <w:rPr>
          <w:color w:val="auto"/>
          <w:lang w:val="en-US"/>
        </w:rPr>
        <w:t>ed</w:t>
      </w:r>
      <w:proofErr w:type="spellEnd"/>
      <w:r w:rsidR="0082049F" w:rsidRPr="005E3242">
        <w:rPr>
          <w:color w:val="auto"/>
          <w:lang w:val="en-US"/>
        </w:rPr>
        <w:t xml:space="preserve"> to receive </w:t>
      </w:r>
      <w:proofErr w:type="spellStart"/>
      <w:r w:rsidR="0082049F" w:rsidRPr="005E3242">
        <w:rPr>
          <w:color w:val="auto"/>
          <w:lang w:val="en-US"/>
        </w:rPr>
        <w:t>pertuzumab</w:t>
      </w:r>
      <w:proofErr w:type="spellEnd"/>
      <w:r w:rsidR="0082049F" w:rsidRPr="005E3242">
        <w:rPr>
          <w:color w:val="auto"/>
          <w:lang w:val="en-US"/>
        </w:rPr>
        <w:t xml:space="preserve"> compared with patients </w:t>
      </w:r>
      <w:proofErr w:type="spellStart"/>
      <w:r w:rsidR="0082049F" w:rsidRPr="005E3242">
        <w:rPr>
          <w:color w:val="auto"/>
          <w:lang w:val="en-US"/>
        </w:rPr>
        <w:t>ra</w:t>
      </w:r>
      <w:r w:rsidR="00271DBF">
        <w:rPr>
          <w:color w:val="auto"/>
          <w:lang w:val="en-US"/>
        </w:rPr>
        <w:t>ndomi</w:t>
      </w:r>
      <w:r>
        <w:rPr>
          <w:color w:val="auto"/>
          <w:lang w:val="en-US"/>
        </w:rPr>
        <w:t>s</w:t>
      </w:r>
      <w:r w:rsidR="00271DBF">
        <w:rPr>
          <w:color w:val="auto"/>
          <w:lang w:val="en-US"/>
        </w:rPr>
        <w:t>ed</w:t>
      </w:r>
      <w:proofErr w:type="spellEnd"/>
      <w:r w:rsidR="00271DBF">
        <w:rPr>
          <w:color w:val="auto"/>
          <w:lang w:val="en-US"/>
        </w:rPr>
        <w:t xml:space="preserve"> to receive placebo</w:t>
      </w:r>
      <w:r w:rsidR="0082049F" w:rsidRPr="005E3242">
        <w:rPr>
          <w:color w:val="auto"/>
          <w:lang w:val="en-US"/>
        </w:rPr>
        <w:t xml:space="preserve">. </w:t>
      </w:r>
    </w:p>
    <w:p w14:paraId="4F42DFBF" w14:textId="35F1BE1A" w:rsidR="0082049F" w:rsidRPr="005E3242" w:rsidRDefault="0082049F" w:rsidP="00C448E8">
      <w:pPr>
        <w:rPr>
          <w:color w:val="auto"/>
          <w:lang w:val="en-US"/>
        </w:rPr>
      </w:pPr>
    </w:p>
    <w:p w14:paraId="538E9121" w14:textId="49250D8C" w:rsidR="0082049F" w:rsidRPr="005E3242" w:rsidRDefault="0082049F" w:rsidP="00C448E8">
      <w:pPr>
        <w:rPr>
          <w:color w:val="auto"/>
          <w:lang w:val="en-US"/>
        </w:rPr>
      </w:pPr>
      <w:r w:rsidRPr="005E3242">
        <w:rPr>
          <w:color w:val="auto"/>
          <w:lang w:val="en-US"/>
        </w:rPr>
        <w:t xml:space="preserve">The efficacy results from the APHINITY trial are </w:t>
      </w:r>
      <w:proofErr w:type="spellStart"/>
      <w:r w:rsidRPr="005E3242">
        <w:rPr>
          <w:color w:val="auto"/>
          <w:lang w:val="en-US"/>
        </w:rPr>
        <w:t>summari</w:t>
      </w:r>
      <w:r w:rsidR="00D81F9E">
        <w:rPr>
          <w:color w:val="auto"/>
          <w:lang w:val="en-US"/>
        </w:rPr>
        <w:t>s</w:t>
      </w:r>
      <w:r w:rsidRPr="005E3242">
        <w:rPr>
          <w:color w:val="auto"/>
          <w:lang w:val="en-US"/>
        </w:rPr>
        <w:t>ed</w:t>
      </w:r>
      <w:proofErr w:type="spellEnd"/>
      <w:r w:rsidRPr="005E3242">
        <w:rPr>
          <w:color w:val="auto"/>
          <w:lang w:val="en-US"/>
        </w:rPr>
        <w:t xml:space="preserve"> in </w:t>
      </w:r>
      <w:r w:rsidR="00D81F9E">
        <w:rPr>
          <w:color w:val="auto"/>
          <w:lang w:val="en-US"/>
        </w:rPr>
        <w:fldChar w:fldCharType="begin"/>
      </w:r>
      <w:r w:rsidR="00D81F9E">
        <w:rPr>
          <w:color w:val="auto"/>
          <w:lang w:val="en-US"/>
        </w:rPr>
        <w:instrText xml:space="preserve"> REF _Ref66715927 \h </w:instrText>
      </w:r>
      <w:r w:rsidR="00D81F9E">
        <w:rPr>
          <w:color w:val="auto"/>
          <w:lang w:val="en-US"/>
        </w:rPr>
      </w:r>
      <w:r w:rsidR="00C448E8">
        <w:rPr>
          <w:color w:val="auto"/>
          <w:lang w:val="en-US"/>
        </w:rPr>
        <w:instrText xml:space="preserve"> \* MERGEFORMAT </w:instrText>
      </w:r>
      <w:r w:rsidR="00D81F9E">
        <w:rPr>
          <w:color w:val="auto"/>
          <w:lang w:val="en-US"/>
        </w:rPr>
        <w:fldChar w:fldCharType="separate"/>
      </w:r>
      <w:r w:rsidR="00C840A1">
        <w:t xml:space="preserve">Table </w:t>
      </w:r>
      <w:r w:rsidR="00C840A1">
        <w:rPr>
          <w:noProof/>
        </w:rPr>
        <w:t>8</w:t>
      </w:r>
      <w:r w:rsidR="00D81F9E">
        <w:rPr>
          <w:color w:val="auto"/>
          <w:lang w:val="en-US"/>
        </w:rPr>
        <w:fldChar w:fldCharType="end"/>
      </w:r>
      <w:r w:rsidR="002E47D0">
        <w:rPr>
          <w:color w:val="auto"/>
          <w:lang w:val="en-US"/>
        </w:rPr>
        <w:t xml:space="preserve">, </w:t>
      </w:r>
      <w:r w:rsidR="00271DBF">
        <w:rPr>
          <w:color w:val="auto"/>
          <w:lang w:val="en-US"/>
        </w:rPr>
        <w:t>Figure 1</w:t>
      </w:r>
      <w:r w:rsidR="00EF7ECC">
        <w:rPr>
          <w:color w:val="auto"/>
          <w:lang w:val="en-US"/>
        </w:rPr>
        <w:t xml:space="preserve"> and </w:t>
      </w:r>
      <w:r w:rsidR="00EF7ECC">
        <w:rPr>
          <w:color w:val="auto"/>
          <w:lang w:val="en-US"/>
        </w:rPr>
        <w:fldChar w:fldCharType="begin"/>
      </w:r>
      <w:r w:rsidR="00EF7ECC">
        <w:rPr>
          <w:color w:val="auto"/>
          <w:lang w:val="en-US"/>
        </w:rPr>
        <w:instrText xml:space="preserve"> REF _Ref66717105 \h </w:instrText>
      </w:r>
      <w:r w:rsidR="00EF7ECC">
        <w:rPr>
          <w:color w:val="auto"/>
          <w:lang w:val="en-US"/>
        </w:rPr>
      </w:r>
      <w:r w:rsidR="00C448E8">
        <w:rPr>
          <w:color w:val="auto"/>
          <w:lang w:val="en-US"/>
        </w:rPr>
        <w:instrText xml:space="preserve"> \* MERGEFORMAT </w:instrText>
      </w:r>
      <w:r w:rsidR="00EF7ECC">
        <w:rPr>
          <w:color w:val="auto"/>
          <w:lang w:val="en-US"/>
        </w:rPr>
        <w:fldChar w:fldCharType="separate"/>
      </w:r>
      <w:r w:rsidR="00C840A1">
        <w:t xml:space="preserve">Table </w:t>
      </w:r>
      <w:r w:rsidR="00C840A1">
        <w:rPr>
          <w:noProof/>
        </w:rPr>
        <w:t>9</w:t>
      </w:r>
      <w:r w:rsidR="00EF7ECC">
        <w:rPr>
          <w:color w:val="auto"/>
          <w:lang w:val="en-US"/>
        </w:rPr>
        <w:fldChar w:fldCharType="end"/>
      </w:r>
      <w:r w:rsidRPr="005E3242">
        <w:rPr>
          <w:color w:val="auto"/>
          <w:lang w:val="en-US"/>
        </w:rPr>
        <w:t>.</w:t>
      </w:r>
    </w:p>
    <w:p w14:paraId="226E4FE9" w14:textId="217F49F7" w:rsidR="0082049F" w:rsidRPr="005E3242" w:rsidRDefault="0082049F" w:rsidP="00C448E8">
      <w:pPr>
        <w:rPr>
          <w:b/>
          <w:bCs/>
          <w:color w:val="auto"/>
          <w:lang w:val="en-US"/>
        </w:rPr>
      </w:pPr>
    </w:p>
    <w:p w14:paraId="076C222F" w14:textId="778DFE8B" w:rsidR="00D81F9E" w:rsidRDefault="00D81F9E" w:rsidP="00C448E8">
      <w:pPr>
        <w:pStyle w:val="Caption"/>
        <w:keepNext/>
        <w:pageBreakBefore/>
      </w:pPr>
      <w:bookmarkStart w:id="8" w:name="_Ref66715927"/>
      <w:r>
        <w:lastRenderedPageBreak/>
        <w:t xml:space="preserve">Table </w:t>
      </w:r>
      <w:r>
        <w:fldChar w:fldCharType="begin"/>
      </w:r>
      <w:r>
        <w:instrText xml:space="preserve"> SEQ Table \* ARABIC </w:instrText>
      </w:r>
      <w:r>
        <w:fldChar w:fldCharType="separate"/>
      </w:r>
      <w:r w:rsidR="00C840A1">
        <w:rPr>
          <w:noProof/>
        </w:rPr>
        <w:t>8</w:t>
      </w:r>
      <w:r>
        <w:fldChar w:fldCharType="end"/>
      </w:r>
      <w:bookmarkEnd w:id="8"/>
      <w:r>
        <w:t>:</w:t>
      </w:r>
      <w:r w:rsidRPr="00D81F9E">
        <w:t xml:space="preserve"> Efficacy</w:t>
      </w:r>
      <w:r>
        <w:t xml:space="preserve"> in the APHINITY trial (ITT population)</w:t>
      </w:r>
    </w:p>
    <w:tbl>
      <w:tblPr>
        <w:tblW w:w="87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377"/>
        <w:gridCol w:w="2250"/>
        <w:gridCol w:w="2127"/>
      </w:tblGrid>
      <w:tr w:rsidR="0082049F" w:rsidRPr="005E3242" w14:paraId="6BC230BC" w14:textId="1F4BAF45" w:rsidTr="0082049F">
        <w:trPr>
          <w:cantSplit/>
          <w:tblHeader/>
          <w:jc w:val="right"/>
        </w:trPr>
        <w:tc>
          <w:tcPr>
            <w:tcW w:w="4377" w:type="dxa"/>
            <w:tcBorders>
              <w:top w:val="single" w:sz="4" w:space="0" w:color="auto"/>
              <w:left w:val="single" w:sz="4" w:space="0" w:color="auto"/>
              <w:bottom w:val="single" w:sz="4" w:space="0" w:color="auto"/>
              <w:right w:val="single" w:sz="4" w:space="0" w:color="auto"/>
            </w:tcBorders>
            <w:vAlign w:val="bottom"/>
          </w:tcPr>
          <w:p w14:paraId="7CFC614D" w14:textId="2268E3B3" w:rsidR="0082049F" w:rsidRPr="005E3242" w:rsidRDefault="0082049F" w:rsidP="00C448E8">
            <w:pPr>
              <w:rPr>
                <w:color w:val="auto"/>
                <w:lang w:val="en-GB"/>
              </w:rPr>
            </w:pPr>
          </w:p>
        </w:tc>
        <w:tc>
          <w:tcPr>
            <w:tcW w:w="2250" w:type="dxa"/>
            <w:tcBorders>
              <w:top w:val="single" w:sz="4" w:space="0" w:color="auto"/>
              <w:left w:val="single" w:sz="4" w:space="0" w:color="auto"/>
              <w:bottom w:val="single" w:sz="4" w:space="0" w:color="auto"/>
              <w:right w:val="single" w:sz="4" w:space="0" w:color="auto"/>
            </w:tcBorders>
            <w:vAlign w:val="bottom"/>
            <w:hideMark/>
          </w:tcPr>
          <w:p w14:paraId="792DC7FF" w14:textId="6CC49C58" w:rsidR="0082049F" w:rsidRPr="005E3242" w:rsidRDefault="0082049F" w:rsidP="00C448E8">
            <w:pPr>
              <w:rPr>
                <w:b/>
                <w:color w:val="auto"/>
                <w:lang w:val="en-GB"/>
              </w:rPr>
            </w:pPr>
            <w:proofErr w:type="spellStart"/>
            <w:r w:rsidRPr="005E3242">
              <w:rPr>
                <w:b/>
                <w:color w:val="auto"/>
                <w:lang w:val="en-GB"/>
              </w:rPr>
              <w:t>Pertuzumab</w:t>
            </w:r>
            <w:proofErr w:type="spellEnd"/>
            <w:r w:rsidRPr="005E3242">
              <w:rPr>
                <w:b/>
                <w:color w:val="auto"/>
                <w:lang w:val="en-GB"/>
              </w:rPr>
              <w:t xml:space="preserve"> + </w:t>
            </w:r>
            <w:r w:rsidR="00D00193">
              <w:rPr>
                <w:b/>
                <w:color w:val="auto"/>
                <w:lang w:val="en-GB"/>
              </w:rPr>
              <w:t>t</w:t>
            </w:r>
            <w:r w:rsidRPr="005E3242">
              <w:rPr>
                <w:b/>
                <w:color w:val="auto"/>
                <w:lang w:val="en-GB"/>
              </w:rPr>
              <w:t>rastuzumab + chemotherapy</w:t>
            </w:r>
          </w:p>
          <w:p w14:paraId="6C5E79BF" w14:textId="2A64AC1A" w:rsidR="0082049F" w:rsidRPr="005E3242" w:rsidRDefault="0082049F" w:rsidP="00C448E8">
            <w:pPr>
              <w:rPr>
                <w:b/>
                <w:color w:val="auto"/>
                <w:lang w:val="en-GB"/>
              </w:rPr>
            </w:pPr>
            <w:r w:rsidRPr="005E3242">
              <w:rPr>
                <w:b/>
                <w:color w:val="auto"/>
                <w:lang w:val="en-GB"/>
              </w:rPr>
              <w:t>N=2400</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F7174D1" w14:textId="4DAED833" w:rsidR="0082049F" w:rsidRPr="005E3242" w:rsidRDefault="0082049F" w:rsidP="00C448E8">
            <w:pPr>
              <w:rPr>
                <w:b/>
                <w:color w:val="auto"/>
                <w:lang w:val="en-GB"/>
              </w:rPr>
            </w:pPr>
            <w:r w:rsidRPr="005E3242">
              <w:rPr>
                <w:b/>
                <w:color w:val="auto"/>
                <w:lang w:val="en-GB"/>
              </w:rPr>
              <w:t xml:space="preserve">Placebo + </w:t>
            </w:r>
            <w:r w:rsidR="00D00193">
              <w:rPr>
                <w:b/>
                <w:color w:val="auto"/>
                <w:lang w:val="en-GB"/>
              </w:rPr>
              <w:t>t</w:t>
            </w:r>
            <w:r w:rsidRPr="005E3242">
              <w:rPr>
                <w:b/>
                <w:color w:val="auto"/>
                <w:lang w:val="en-GB"/>
              </w:rPr>
              <w:t>rastuzumab + chemotherapy</w:t>
            </w:r>
          </w:p>
          <w:p w14:paraId="3E9B6D70" w14:textId="59FECEAD" w:rsidR="0082049F" w:rsidRPr="005E3242" w:rsidRDefault="0082049F" w:rsidP="00C448E8">
            <w:pPr>
              <w:rPr>
                <w:b/>
                <w:color w:val="auto"/>
                <w:lang w:val="en-GB"/>
              </w:rPr>
            </w:pPr>
            <w:r w:rsidRPr="005E3242">
              <w:rPr>
                <w:b/>
                <w:color w:val="auto"/>
                <w:lang w:val="en-GB"/>
              </w:rPr>
              <w:t>N=2404</w:t>
            </w:r>
          </w:p>
        </w:tc>
      </w:tr>
      <w:tr w:rsidR="0082049F" w:rsidRPr="005E3242" w14:paraId="38D77FC8" w14:textId="1C0E7D54" w:rsidTr="0082049F">
        <w:trPr>
          <w:cantSplit/>
          <w:jc w:val="right"/>
        </w:trPr>
        <w:tc>
          <w:tcPr>
            <w:tcW w:w="4377" w:type="dxa"/>
            <w:tcBorders>
              <w:top w:val="single" w:sz="4" w:space="0" w:color="auto"/>
              <w:left w:val="single" w:sz="4" w:space="0" w:color="auto"/>
              <w:bottom w:val="single" w:sz="4" w:space="0" w:color="auto"/>
              <w:right w:val="single" w:sz="4" w:space="0" w:color="auto"/>
            </w:tcBorders>
            <w:vAlign w:val="bottom"/>
            <w:hideMark/>
          </w:tcPr>
          <w:p w14:paraId="13D48E57" w14:textId="47A8FCA9" w:rsidR="0082049F" w:rsidRPr="005E3242" w:rsidRDefault="0082049F" w:rsidP="00C448E8">
            <w:pPr>
              <w:rPr>
                <w:b/>
                <w:i/>
                <w:color w:val="auto"/>
                <w:lang w:val="en-GB"/>
              </w:rPr>
            </w:pPr>
            <w:r w:rsidRPr="005E3242">
              <w:rPr>
                <w:b/>
                <w:i/>
                <w:color w:val="auto"/>
                <w:lang w:val="en-GB"/>
              </w:rPr>
              <w:t xml:space="preserve">Primary </w:t>
            </w:r>
            <w:r w:rsidR="00D00193">
              <w:rPr>
                <w:b/>
                <w:i/>
                <w:color w:val="auto"/>
                <w:lang w:val="en-GB"/>
              </w:rPr>
              <w:t>e</w:t>
            </w:r>
            <w:r w:rsidRPr="005E3242">
              <w:rPr>
                <w:b/>
                <w:i/>
                <w:color w:val="auto"/>
                <w:lang w:val="en-GB"/>
              </w:rPr>
              <w:t>ndpoint</w:t>
            </w:r>
          </w:p>
        </w:tc>
        <w:tc>
          <w:tcPr>
            <w:tcW w:w="4377" w:type="dxa"/>
            <w:gridSpan w:val="2"/>
            <w:tcBorders>
              <w:top w:val="single" w:sz="4" w:space="0" w:color="auto"/>
              <w:left w:val="single" w:sz="4" w:space="0" w:color="auto"/>
              <w:bottom w:val="single" w:sz="4" w:space="0" w:color="auto"/>
              <w:right w:val="single" w:sz="4" w:space="0" w:color="auto"/>
            </w:tcBorders>
            <w:vAlign w:val="bottom"/>
          </w:tcPr>
          <w:p w14:paraId="5C6564C3" w14:textId="666717F2" w:rsidR="0082049F" w:rsidRPr="005E3242" w:rsidRDefault="0082049F" w:rsidP="00C448E8">
            <w:pPr>
              <w:rPr>
                <w:b/>
                <w:i/>
                <w:color w:val="auto"/>
                <w:lang w:val="en-GB"/>
              </w:rPr>
            </w:pPr>
          </w:p>
        </w:tc>
      </w:tr>
      <w:tr w:rsidR="0082049F" w:rsidRPr="005E3242" w14:paraId="54E120ED" w14:textId="7FB39C83" w:rsidTr="0082049F">
        <w:trPr>
          <w:cantSplit/>
          <w:jc w:val="right"/>
        </w:trPr>
        <w:tc>
          <w:tcPr>
            <w:tcW w:w="4377" w:type="dxa"/>
            <w:tcBorders>
              <w:top w:val="single" w:sz="4" w:space="0" w:color="auto"/>
              <w:left w:val="single" w:sz="4" w:space="0" w:color="auto"/>
              <w:bottom w:val="nil"/>
              <w:right w:val="single" w:sz="4" w:space="0" w:color="auto"/>
            </w:tcBorders>
            <w:vAlign w:val="bottom"/>
            <w:hideMark/>
          </w:tcPr>
          <w:p w14:paraId="3E4DE78F" w14:textId="4977CC78" w:rsidR="0082049F" w:rsidRPr="005E3242" w:rsidRDefault="0082049F" w:rsidP="00C448E8">
            <w:pPr>
              <w:rPr>
                <w:b/>
                <w:color w:val="auto"/>
                <w:vertAlign w:val="superscript"/>
                <w:lang w:val="en-GB"/>
              </w:rPr>
            </w:pPr>
            <w:r w:rsidRPr="005E3242">
              <w:rPr>
                <w:b/>
                <w:color w:val="auto"/>
                <w:lang w:val="en-GB"/>
              </w:rPr>
              <w:t xml:space="preserve">Invasive </w:t>
            </w:r>
            <w:r w:rsidR="00D00193">
              <w:rPr>
                <w:b/>
                <w:color w:val="auto"/>
                <w:lang w:val="en-GB"/>
              </w:rPr>
              <w:t>d</w:t>
            </w:r>
            <w:r w:rsidRPr="005E3242">
              <w:rPr>
                <w:b/>
                <w:color w:val="auto"/>
                <w:lang w:val="en-GB"/>
              </w:rPr>
              <w:t>isease</w:t>
            </w:r>
            <w:r w:rsidR="00D00193">
              <w:rPr>
                <w:b/>
                <w:color w:val="auto"/>
                <w:lang w:val="en-GB"/>
              </w:rPr>
              <w:t>-f</w:t>
            </w:r>
            <w:r w:rsidRPr="005E3242">
              <w:rPr>
                <w:b/>
                <w:color w:val="auto"/>
                <w:lang w:val="en-GB"/>
              </w:rPr>
              <w:t xml:space="preserve">ree </w:t>
            </w:r>
            <w:r w:rsidR="00D00193">
              <w:rPr>
                <w:b/>
                <w:color w:val="auto"/>
                <w:lang w:val="en-GB"/>
              </w:rPr>
              <w:t>s</w:t>
            </w:r>
            <w:r w:rsidRPr="005E3242">
              <w:rPr>
                <w:b/>
                <w:color w:val="auto"/>
                <w:lang w:val="en-GB"/>
              </w:rPr>
              <w:t>urvival (IDFS)</w:t>
            </w:r>
            <w:r w:rsidRPr="005E3242">
              <w:rPr>
                <w:b/>
                <w:color w:val="auto"/>
                <w:vertAlign w:val="superscript"/>
                <w:lang w:val="en-GB"/>
              </w:rPr>
              <w:t xml:space="preserve"> </w:t>
            </w:r>
          </w:p>
        </w:tc>
        <w:tc>
          <w:tcPr>
            <w:tcW w:w="4377" w:type="dxa"/>
            <w:gridSpan w:val="2"/>
            <w:tcBorders>
              <w:top w:val="single" w:sz="4" w:space="0" w:color="auto"/>
              <w:left w:val="single" w:sz="4" w:space="0" w:color="auto"/>
              <w:bottom w:val="nil"/>
              <w:right w:val="single" w:sz="4" w:space="0" w:color="auto"/>
            </w:tcBorders>
            <w:vAlign w:val="bottom"/>
          </w:tcPr>
          <w:p w14:paraId="4DB932DD" w14:textId="0D0E7BE4" w:rsidR="0082049F" w:rsidRPr="005E3242" w:rsidRDefault="0082049F" w:rsidP="00C448E8">
            <w:pPr>
              <w:rPr>
                <w:color w:val="auto"/>
                <w:lang w:val="en-US"/>
              </w:rPr>
            </w:pPr>
          </w:p>
        </w:tc>
      </w:tr>
      <w:tr w:rsidR="0082049F" w:rsidRPr="005E3242" w14:paraId="6ACE94EB" w14:textId="70563F2C" w:rsidTr="0082049F">
        <w:trPr>
          <w:cantSplit/>
          <w:jc w:val="right"/>
        </w:trPr>
        <w:tc>
          <w:tcPr>
            <w:tcW w:w="4377" w:type="dxa"/>
            <w:tcBorders>
              <w:top w:val="nil"/>
              <w:left w:val="single" w:sz="4" w:space="0" w:color="auto"/>
              <w:bottom w:val="nil"/>
              <w:right w:val="single" w:sz="4" w:space="0" w:color="auto"/>
            </w:tcBorders>
            <w:vAlign w:val="bottom"/>
            <w:hideMark/>
          </w:tcPr>
          <w:p w14:paraId="5BB8F95D" w14:textId="288840C2" w:rsidR="0082049F" w:rsidRPr="005E3242" w:rsidRDefault="0082049F" w:rsidP="00C448E8">
            <w:pPr>
              <w:rPr>
                <w:color w:val="auto"/>
                <w:lang w:val="en-GB"/>
              </w:rPr>
            </w:pPr>
            <w:r w:rsidRPr="005E3242">
              <w:rPr>
                <w:color w:val="auto"/>
                <w:lang w:val="en-GB"/>
              </w:rPr>
              <w:t xml:space="preserve">Number (%) of patients with event </w:t>
            </w:r>
          </w:p>
        </w:tc>
        <w:tc>
          <w:tcPr>
            <w:tcW w:w="2250" w:type="dxa"/>
            <w:tcBorders>
              <w:top w:val="nil"/>
              <w:left w:val="single" w:sz="4" w:space="0" w:color="auto"/>
              <w:bottom w:val="nil"/>
              <w:right w:val="nil"/>
            </w:tcBorders>
            <w:vAlign w:val="bottom"/>
            <w:hideMark/>
          </w:tcPr>
          <w:p w14:paraId="624359BF" w14:textId="0E290D00" w:rsidR="0082049F" w:rsidRPr="005E3242" w:rsidRDefault="0082049F" w:rsidP="00C448E8">
            <w:pPr>
              <w:rPr>
                <w:color w:val="auto"/>
                <w:lang w:val="en-GB"/>
              </w:rPr>
            </w:pPr>
            <w:r w:rsidRPr="005E3242">
              <w:rPr>
                <w:color w:val="auto"/>
                <w:lang w:val="en-GB"/>
              </w:rPr>
              <w:t>171 (7.1%)</w:t>
            </w:r>
          </w:p>
        </w:tc>
        <w:tc>
          <w:tcPr>
            <w:tcW w:w="2127" w:type="dxa"/>
            <w:tcBorders>
              <w:top w:val="nil"/>
              <w:left w:val="nil"/>
              <w:bottom w:val="nil"/>
              <w:right w:val="single" w:sz="4" w:space="0" w:color="auto"/>
            </w:tcBorders>
            <w:vAlign w:val="bottom"/>
            <w:hideMark/>
          </w:tcPr>
          <w:p w14:paraId="4CD6E2FB" w14:textId="57E46728" w:rsidR="0082049F" w:rsidRPr="005E3242" w:rsidRDefault="0082049F" w:rsidP="00C448E8">
            <w:pPr>
              <w:rPr>
                <w:color w:val="auto"/>
                <w:lang w:val="en-GB"/>
              </w:rPr>
            </w:pPr>
            <w:r w:rsidRPr="005E3242">
              <w:rPr>
                <w:color w:val="auto"/>
                <w:lang w:val="en-GB"/>
              </w:rPr>
              <w:t>210 (8.7%)</w:t>
            </w:r>
          </w:p>
        </w:tc>
      </w:tr>
      <w:tr w:rsidR="0082049F" w:rsidRPr="005E3242" w14:paraId="48FACB01" w14:textId="789A3F5F" w:rsidTr="0082049F">
        <w:trPr>
          <w:cantSplit/>
          <w:jc w:val="right"/>
        </w:trPr>
        <w:tc>
          <w:tcPr>
            <w:tcW w:w="4377" w:type="dxa"/>
            <w:tcBorders>
              <w:top w:val="nil"/>
              <w:left w:val="single" w:sz="4" w:space="0" w:color="auto"/>
              <w:bottom w:val="nil"/>
              <w:right w:val="single" w:sz="4" w:space="0" w:color="auto"/>
            </w:tcBorders>
            <w:vAlign w:val="bottom"/>
            <w:hideMark/>
          </w:tcPr>
          <w:p w14:paraId="1233DE21" w14:textId="37C26C6D" w:rsidR="0082049F" w:rsidRPr="005E3242" w:rsidRDefault="0082049F" w:rsidP="00C448E8">
            <w:pPr>
              <w:rPr>
                <w:color w:val="auto"/>
                <w:lang w:val="en-GB"/>
              </w:rPr>
            </w:pPr>
            <w:r w:rsidRPr="005E3242">
              <w:rPr>
                <w:color w:val="auto"/>
                <w:lang w:val="en-GB"/>
              </w:rPr>
              <w:t>HR [95% CI]</w:t>
            </w:r>
          </w:p>
        </w:tc>
        <w:tc>
          <w:tcPr>
            <w:tcW w:w="4377" w:type="dxa"/>
            <w:gridSpan w:val="2"/>
            <w:tcBorders>
              <w:top w:val="nil"/>
              <w:left w:val="single" w:sz="4" w:space="0" w:color="auto"/>
              <w:bottom w:val="nil"/>
              <w:right w:val="single" w:sz="4" w:space="0" w:color="auto"/>
            </w:tcBorders>
            <w:vAlign w:val="bottom"/>
            <w:hideMark/>
          </w:tcPr>
          <w:p w14:paraId="6ADD5B0C" w14:textId="2F1FF8D8" w:rsidR="0082049F" w:rsidRPr="005E3242" w:rsidRDefault="0082049F" w:rsidP="00C448E8">
            <w:pPr>
              <w:rPr>
                <w:color w:val="auto"/>
                <w:lang w:val="en-GB"/>
              </w:rPr>
            </w:pPr>
            <w:r w:rsidRPr="005E3242">
              <w:rPr>
                <w:color w:val="auto"/>
                <w:lang w:val="en-GB"/>
              </w:rPr>
              <w:t>0.81 [0.66, 1.00]</w:t>
            </w:r>
          </w:p>
        </w:tc>
      </w:tr>
      <w:tr w:rsidR="0082049F" w:rsidRPr="005E3242" w14:paraId="79F79C61" w14:textId="119D414A" w:rsidTr="0082049F">
        <w:trPr>
          <w:cantSplit/>
          <w:jc w:val="right"/>
        </w:trPr>
        <w:tc>
          <w:tcPr>
            <w:tcW w:w="4377" w:type="dxa"/>
            <w:tcBorders>
              <w:top w:val="nil"/>
              <w:left w:val="single" w:sz="4" w:space="0" w:color="auto"/>
              <w:bottom w:val="nil"/>
              <w:right w:val="single" w:sz="4" w:space="0" w:color="auto"/>
            </w:tcBorders>
            <w:vAlign w:val="bottom"/>
            <w:hideMark/>
          </w:tcPr>
          <w:p w14:paraId="584AB1B7" w14:textId="3BACB752" w:rsidR="0082049F" w:rsidRPr="005E3242" w:rsidRDefault="0082049F" w:rsidP="00C448E8">
            <w:pPr>
              <w:rPr>
                <w:color w:val="auto"/>
                <w:lang w:val="en-GB"/>
              </w:rPr>
            </w:pPr>
            <w:r w:rsidRPr="005E3242">
              <w:rPr>
                <w:color w:val="auto"/>
                <w:lang w:val="en-GB"/>
              </w:rPr>
              <w:t>p-value (Log-Rank test, stratified</w:t>
            </w:r>
            <w:r w:rsidRPr="005E3242">
              <w:rPr>
                <w:color w:val="auto"/>
                <w:vertAlign w:val="superscript"/>
                <w:lang w:val="en-GB"/>
              </w:rPr>
              <w:t>2</w:t>
            </w:r>
            <w:r w:rsidRPr="005E3242">
              <w:rPr>
                <w:color w:val="auto"/>
                <w:lang w:val="en-GB"/>
              </w:rPr>
              <w:t>)</w:t>
            </w:r>
          </w:p>
        </w:tc>
        <w:tc>
          <w:tcPr>
            <w:tcW w:w="4377" w:type="dxa"/>
            <w:gridSpan w:val="2"/>
            <w:tcBorders>
              <w:top w:val="nil"/>
              <w:left w:val="single" w:sz="4" w:space="0" w:color="auto"/>
              <w:bottom w:val="nil"/>
              <w:right w:val="single" w:sz="4" w:space="0" w:color="auto"/>
            </w:tcBorders>
            <w:vAlign w:val="bottom"/>
            <w:hideMark/>
          </w:tcPr>
          <w:p w14:paraId="449096D7" w14:textId="6C0186CC" w:rsidR="0082049F" w:rsidRPr="005E3242" w:rsidRDefault="0082049F" w:rsidP="00C448E8">
            <w:pPr>
              <w:rPr>
                <w:color w:val="auto"/>
                <w:lang w:val="en-GB"/>
              </w:rPr>
            </w:pPr>
            <w:r w:rsidRPr="005E3242">
              <w:rPr>
                <w:color w:val="auto"/>
                <w:lang w:val="en-GB"/>
              </w:rPr>
              <w:t>0.0446</w:t>
            </w:r>
          </w:p>
        </w:tc>
      </w:tr>
      <w:tr w:rsidR="0082049F" w:rsidRPr="005E3242" w14:paraId="41E6D8AC" w14:textId="120D1212" w:rsidTr="0082049F">
        <w:trPr>
          <w:cantSplit/>
          <w:jc w:val="right"/>
        </w:trPr>
        <w:tc>
          <w:tcPr>
            <w:tcW w:w="4377" w:type="dxa"/>
            <w:tcBorders>
              <w:top w:val="nil"/>
              <w:left w:val="single" w:sz="4" w:space="0" w:color="auto"/>
              <w:bottom w:val="single" w:sz="4" w:space="0" w:color="auto"/>
              <w:right w:val="single" w:sz="4" w:space="0" w:color="auto"/>
            </w:tcBorders>
            <w:vAlign w:val="bottom"/>
            <w:hideMark/>
          </w:tcPr>
          <w:p w14:paraId="2B37331F" w14:textId="754E0FCC" w:rsidR="0082049F" w:rsidRPr="005E3242" w:rsidRDefault="0082049F" w:rsidP="00C448E8">
            <w:pPr>
              <w:rPr>
                <w:color w:val="auto"/>
                <w:lang w:val="en-GB"/>
              </w:rPr>
            </w:pPr>
            <w:proofErr w:type="gramStart"/>
            <w:r w:rsidRPr="005E3242">
              <w:rPr>
                <w:color w:val="auto"/>
                <w:lang w:val="en-GB"/>
              </w:rPr>
              <w:t>3 year</w:t>
            </w:r>
            <w:proofErr w:type="gramEnd"/>
            <w:r w:rsidRPr="005E3242">
              <w:rPr>
                <w:color w:val="auto"/>
                <w:lang w:val="en-GB"/>
              </w:rPr>
              <w:t xml:space="preserve"> event-free rate</w:t>
            </w:r>
            <w:r w:rsidRPr="005E3242">
              <w:rPr>
                <w:color w:val="auto"/>
                <w:vertAlign w:val="superscript"/>
                <w:lang w:val="en-GB"/>
              </w:rPr>
              <w:t>3</w:t>
            </w:r>
            <w:r w:rsidRPr="005E3242">
              <w:rPr>
                <w:color w:val="auto"/>
                <w:lang w:val="en-GB"/>
              </w:rPr>
              <w:t xml:space="preserve"> [95% CI] </w:t>
            </w:r>
          </w:p>
        </w:tc>
        <w:tc>
          <w:tcPr>
            <w:tcW w:w="2250" w:type="dxa"/>
            <w:tcBorders>
              <w:top w:val="nil"/>
              <w:left w:val="single" w:sz="4" w:space="0" w:color="auto"/>
              <w:bottom w:val="single" w:sz="4" w:space="0" w:color="auto"/>
              <w:right w:val="nil"/>
            </w:tcBorders>
            <w:vAlign w:val="bottom"/>
            <w:hideMark/>
          </w:tcPr>
          <w:p w14:paraId="7FB0E5BA" w14:textId="4EC0EFCF" w:rsidR="0082049F" w:rsidRPr="005E3242" w:rsidRDefault="0082049F" w:rsidP="00C448E8">
            <w:pPr>
              <w:rPr>
                <w:color w:val="auto"/>
                <w:lang w:val="en-GB"/>
              </w:rPr>
            </w:pPr>
            <w:r w:rsidRPr="005E3242">
              <w:rPr>
                <w:color w:val="auto"/>
                <w:lang w:val="en-GB"/>
              </w:rPr>
              <w:t>94.1 [93.1, 95.0]</w:t>
            </w:r>
          </w:p>
        </w:tc>
        <w:tc>
          <w:tcPr>
            <w:tcW w:w="2127" w:type="dxa"/>
            <w:tcBorders>
              <w:top w:val="nil"/>
              <w:left w:val="nil"/>
              <w:bottom w:val="single" w:sz="4" w:space="0" w:color="auto"/>
              <w:right w:val="single" w:sz="4" w:space="0" w:color="auto"/>
            </w:tcBorders>
            <w:vAlign w:val="bottom"/>
            <w:hideMark/>
          </w:tcPr>
          <w:p w14:paraId="406A1CFC" w14:textId="5ABCA4D9" w:rsidR="0082049F" w:rsidRPr="005E3242" w:rsidRDefault="0082049F" w:rsidP="00C448E8">
            <w:pPr>
              <w:rPr>
                <w:color w:val="auto"/>
                <w:lang w:val="en-GB"/>
              </w:rPr>
            </w:pPr>
            <w:r w:rsidRPr="005E3242">
              <w:rPr>
                <w:color w:val="auto"/>
                <w:lang w:val="en-GB"/>
              </w:rPr>
              <w:t>93.2 [92.2, 94.3]</w:t>
            </w:r>
          </w:p>
        </w:tc>
      </w:tr>
      <w:tr w:rsidR="0082049F" w:rsidRPr="005E3242" w14:paraId="2E6D6BE6" w14:textId="374A20CE" w:rsidTr="0082049F">
        <w:trPr>
          <w:cantSplit/>
          <w:jc w:val="right"/>
        </w:trPr>
        <w:tc>
          <w:tcPr>
            <w:tcW w:w="4377" w:type="dxa"/>
            <w:tcBorders>
              <w:top w:val="single" w:sz="4" w:space="0" w:color="auto"/>
              <w:left w:val="single" w:sz="4" w:space="0" w:color="auto"/>
              <w:bottom w:val="single" w:sz="4" w:space="0" w:color="auto"/>
              <w:right w:val="single" w:sz="4" w:space="0" w:color="auto"/>
            </w:tcBorders>
            <w:vAlign w:val="bottom"/>
            <w:hideMark/>
          </w:tcPr>
          <w:p w14:paraId="50131241" w14:textId="13EBEE70" w:rsidR="0082049F" w:rsidRPr="005E3242" w:rsidRDefault="0082049F" w:rsidP="00C448E8">
            <w:pPr>
              <w:rPr>
                <w:b/>
                <w:i/>
                <w:color w:val="auto"/>
                <w:vertAlign w:val="superscript"/>
                <w:lang w:val="en-GB"/>
              </w:rPr>
            </w:pPr>
            <w:r w:rsidRPr="005E3242">
              <w:rPr>
                <w:b/>
                <w:i/>
                <w:color w:val="auto"/>
                <w:lang w:val="en-GB"/>
              </w:rPr>
              <w:t xml:space="preserve">Secondary </w:t>
            </w:r>
            <w:r w:rsidR="00D00193">
              <w:rPr>
                <w:b/>
                <w:i/>
                <w:color w:val="auto"/>
                <w:lang w:val="en-GB"/>
              </w:rPr>
              <w:t>e</w:t>
            </w:r>
            <w:r w:rsidRPr="005E3242">
              <w:rPr>
                <w:b/>
                <w:i/>
                <w:color w:val="auto"/>
                <w:lang w:val="en-GB"/>
              </w:rPr>
              <w:t>ndpoints</w:t>
            </w:r>
            <w:r w:rsidRPr="005E3242">
              <w:rPr>
                <w:b/>
                <w:i/>
                <w:color w:val="auto"/>
                <w:vertAlign w:val="superscript"/>
                <w:lang w:val="en-GB"/>
              </w:rPr>
              <w:t>1</w:t>
            </w:r>
          </w:p>
        </w:tc>
        <w:tc>
          <w:tcPr>
            <w:tcW w:w="4377" w:type="dxa"/>
            <w:gridSpan w:val="2"/>
            <w:tcBorders>
              <w:top w:val="single" w:sz="4" w:space="0" w:color="auto"/>
              <w:left w:val="single" w:sz="4" w:space="0" w:color="auto"/>
              <w:bottom w:val="single" w:sz="4" w:space="0" w:color="auto"/>
              <w:right w:val="single" w:sz="4" w:space="0" w:color="auto"/>
            </w:tcBorders>
            <w:vAlign w:val="bottom"/>
          </w:tcPr>
          <w:p w14:paraId="06B0244E" w14:textId="47AF9DEB" w:rsidR="0082049F" w:rsidRPr="005E3242" w:rsidRDefault="0082049F" w:rsidP="00C448E8">
            <w:pPr>
              <w:rPr>
                <w:b/>
                <w:i/>
                <w:color w:val="auto"/>
                <w:lang w:val="en-GB"/>
              </w:rPr>
            </w:pPr>
          </w:p>
        </w:tc>
      </w:tr>
      <w:tr w:rsidR="0082049F" w:rsidRPr="005E3242" w14:paraId="37F5426C" w14:textId="3C8B851D" w:rsidTr="0082049F">
        <w:trPr>
          <w:cantSplit/>
          <w:jc w:val="right"/>
        </w:trPr>
        <w:tc>
          <w:tcPr>
            <w:tcW w:w="4377" w:type="dxa"/>
            <w:tcBorders>
              <w:top w:val="single" w:sz="4" w:space="0" w:color="auto"/>
              <w:left w:val="single" w:sz="4" w:space="0" w:color="auto"/>
              <w:bottom w:val="nil"/>
              <w:right w:val="single" w:sz="4" w:space="0" w:color="auto"/>
            </w:tcBorders>
            <w:vAlign w:val="bottom"/>
            <w:hideMark/>
          </w:tcPr>
          <w:p w14:paraId="36D12CCC" w14:textId="4D697741" w:rsidR="0082049F" w:rsidRPr="005E3242" w:rsidRDefault="0082049F" w:rsidP="00C448E8">
            <w:pPr>
              <w:rPr>
                <w:b/>
                <w:color w:val="auto"/>
                <w:vertAlign w:val="superscript"/>
                <w:lang w:val="en-GB"/>
              </w:rPr>
            </w:pPr>
            <w:r w:rsidRPr="005E3242">
              <w:rPr>
                <w:b/>
                <w:color w:val="auto"/>
                <w:lang w:val="en-GB"/>
              </w:rPr>
              <w:t>IDFS</w:t>
            </w:r>
            <w:r w:rsidRPr="005E3242">
              <w:rPr>
                <w:color w:val="auto"/>
                <w:lang w:val="en-GB"/>
              </w:rPr>
              <w:t xml:space="preserve"> </w:t>
            </w:r>
            <w:r w:rsidRPr="005E3242">
              <w:rPr>
                <w:b/>
                <w:color w:val="auto"/>
                <w:lang w:val="en-GB"/>
              </w:rPr>
              <w:t>including second primary non-breast cancer</w:t>
            </w:r>
          </w:p>
        </w:tc>
        <w:tc>
          <w:tcPr>
            <w:tcW w:w="4377" w:type="dxa"/>
            <w:gridSpan w:val="2"/>
            <w:tcBorders>
              <w:top w:val="single" w:sz="4" w:space="0" w:color="auto"/>
              <w:left w:val="single" w:sz="4" w:space="0" w:color="auto"/>
              <w:bottom w:val="nil"/>
              <w:right w:val="single" w:sz="4" w:space="0" w:color="auto"/>
            </w:tcBorders>
            <w:vAlign w:val="bottom"/>
          </w:tcPr>
          <w:p w14:paraId="11B06A93" w14:textId="6210E0C3" w:rsidR="0082049F" w:rsidRPr="005E3242" w:rsidRDefault="0082049F" w:rsidP="00C448E8">
            <w:pPr>
              <w:rPr>
                <w:color w:val="auto"/>
                <w:lang w:val="en-US"/>
              </w:rPr>
            </w:pPr>
          </w:p>
        </w:tc>
      </w:tr>
      <w:tr w:rsidR="0082049F" w:rsidRPr="005E3242" w14:paraId="0A27CAB3" w14:textId="049FE588" w:rsidTr="0082049F">
        <w:trPr>
          <w:cantSplit/>
          <w:jc w:val="right"/>
        </w:trPr>
        <w:tc>
          <w:tcPr>
            <w:tcW w:w="4377" w:type="dxa"/>
            <w:tcBorders>
              <w:top w:val="nil"/>
              <w:left w:val="single" w:sz="4" w:space="0" w:color="auto"/>
              <w:bottom w:val="nil"/>
              <w:right w:val="single" w:sz="4" w:space="0" w:color="auto"/>
            </w:tcBorders>
            <w:vAlign w:val="bottom"/>
            <w:hideMark/>
          </w:tcPr>
          <w:p w14:paraId="57020BD7" w14:textId="4F7E6F11" w:rsidR="0082049F" w:rsidRPr="005E3242" w:rsidRDefault="0082049F" w:rsidP="00C448E8">
            <w:pPr>
              <w:rPr>
                <w:color w:val="auto"/>
                <w:lang w:val="en-GB"/>
              </w:rPr>
            </w:pPr>
            <w:r w:rsidRPr="005E3242">
              <w:rPr>
                <w:color w:val="auto"/>
                <w:lang w:val="en-GB"/>
              </w:rPr>
              <w:t xml:space="preserve">Number (%) of patients with event </w:t>
            </w:r>
          </w:p>
        </w:tc>
        <w:tc>
          <w:tcPr>
            <w:tcW w:w="2250" w:type="dxa"/>
            <w:tcBorders>
              <w:top w:val="nil"/>
              <w:left w:val="single" w:sz="4" w:space="0" w:color="auto"/>
              <w:bottom w:val="nil"/>
              <w:right w:val="nil"/>
            </w:tcBorders>
            <w:vAlign w:val="bottom"/>
            <w:hideMark/>
          </w:tcPr>
          <w:p w14:paraId="048D1272" w14:textId="4077CE98" w:rsidR="0082049F" w:rsidRPr="005E3242" w:rsidRDefault="0082049F" w:rsidP="00C448E8">
            <w:pPr>
              <w:rPr>
                <w:color w:val="auto"/>
                <w:lang w:val="en-GB"/>
              </w:rPr>
            </w:pPr>
            <w:r w:rsidRPr="005E3242">
              <w:rPr>
                <w:color w:val="auto"/>
                <w:lang w:val="en-GB"/>
              </w:rPr>
              <w:t>189 (7.9%)</w:t>
            </w:r>
          </w:p>
        </w:tc>
        <w:tc>
          <w:tcPr>
            <w:tcW w:w="2127" w:type="dxa"/>
            <w:tcBorders>
              <w:top w:val="nil"/>
              <w:left w:val="nil"/>
              <w:bottom w:val="nil"/>
              <w:right w:val="single" w:sz="4" w:space="0" w:color="auto"/>
            </w:tcBorders>
            <w:vAlign w:val="bottom"/>
            <w:hideMark/>
          </w:tcPr>
          <w:p w14:paraId="33096300" w14:textId="4F3D7AE1" w:rsidR="0082049F" w:rsidRPr="005E3242" w:rsidRDefault="0082049F" w:rsidP="00C448E8">
            <w:pPr>
              <w:rPr>
                <w:color w:val="auto"/>
                <w:lang w:val="en-GB"/>
              </w:rPr>
            </w:pPr>
            <w:r w:rsidRPr="005E3242">
              <w:rPr>
                <w:color w:val="auto"/>
                <w:lang w:val="en-GB"/>
              </w:rPr>
              <w:t>230 (9.6%)</w:t>
            </w:r>
          </w:p>
        </w:tc>
      </w:tr>
      <w:tr w:rsidR="0082049F" w:rsidRPr="005E3242" w14:paraId="4ADF972C" w14:textId="04438620" w:rsidTr="0082049F">
        <w:trPr>
          <w:cantSplit/>
          <w:jc w:val="right"/>
        </w:trPr>
        <w:tc>
          <w:tcPr>
            <w:tcW w:w="4377" w:type="dxa"/>
            <w:tcBorders>
              <w:top w:val="nil"/>
              <w:left w:val="single" w:sz="4" w:space="0" w:color="auto"/>
              <w:bottom w:val="nil"/>
              <w:right w:val="single" w:sz="4" w:space="0" w:color="auto"/>
            </w:tcBorders>
            <w:hideMark/>
          </w:tcPr>
          <w:p w14:paraId="3397E462" w14:textId="64F5413B" w:rsidR="0082049F" w:rsidRPr="005E3242" w:rsidRDefault="0082049F" w:rsidP="00C448E8">
            <w:pPr>
              <w:rPr>
                <w:color w:val="auto"/>
                <w:lang w:val="en-GB"/>
              </w:rPr>
            </w:pPr>
            <w:r w:rsidRPr="005E3242">
              <w:rPr>
                <w:color w:val="auto"/>
                <w:lang w:val="en-GB"/>
              </w:rPr>
              <w:t>HR [95% CI]</w:t>
            </w:r>
          </w:p>
        </w:tc>
        <w:tc>
          <w:tcPr>
            <w:tcW w:w="4377" w:type="dxa"/>
            <w:gridSpan w:val="2"/>
            <w:tcBorders>
              <w:top w:val="nil"/>
              <w:left w:val="single" w:sz="4" w:space="0" w:color="auto"/>
              <w:bottom w:val="nil"/>
              <w:right w:val="single" w:sz="4" w:space="0" w:color="auto"/>
            </w:tcBorders>
            <w:hideMark/>
          </w:tcPr>
          <w:p w14:paraId="652155A5" w14:textId="2FD472C4" w:rsidR="0082049F" w:rsidRPr="005E3242" w:rsidRDefault="0082049F" w:rsidP="00C448E8">
            <w:pPr>
              <w:rPr>
                <w:color w:val="auto"/>
                <w:lang w:val="en-GB"/>
              </w:rPr>
            </w:pPr>
            <w:r w:rsidRPr="005E3242">
              <w:rPr>
                <w:color w:val="auto"/>
                <w:lang w:val="en-GB"/>
              </w:rPr>
              <w:t>0.82 [0.68, 0.99]</w:t>
            </w:r>
          </w:p>
        </w:tc>
      </w:tr>
      <w:tr w:rsidR="0082049F" w:rsidRPr="005E3242" w14:paraId="6A729093" w14:textId="6DFF184D" w:rsidTr="0082049F">
        <w:trPr>
          <w:cantSplit/>
          <w:jc w:val="right"/>
        </w:trPr>
        <w:tc>
          <w:tcPr>
            <w:tcW w:w="4377" w:type="dxa"/>
            <w:tcBorders>
              <w:top w:val="nil"/>
              <w:left w:val="single" w:sz="4" w:space="0" w:color="auto"/>
              <w:bottom w:val="nil"/>
              <w:right w:val="single" w:sz="4" w:space="0" w:color="auto"/>
            </w:tcBorders>
            <w:vAlign w:val="bottom"/>
            <w:hideMark/>
          </w:tcPr>
          <w:p w14:paraId="7EB752F7" w14:textId="3D248466" w:rsidR="0082049F" w:rsidRPr="005E3242" w:rsidRDefault="0082049F" w:rsidP="00C448E8">
            <w:pPr>
              <w:rPr>
                <w:color w:val="auto"/>
                <w:lang w:val="en-GB"/>
              </w:rPr>
            </w:pPr>
            <w:r w:rsidRPr="005E3242">
              <w:rPr>
                <w:color w:val="auto"/>
                <w:lang w:val="en-GB"/>
              </w:rPr>
              <w:t>p-value (</w:t>
            </w:r>
            <w:r w:rsidR="00D00193">
              <w:rPr>
                <w:color w:val="auto"/>
                <w:lang w:val="en-GB"/>
              </w:rPr>
              <w:t>l</w:t>
            </w:r>
            <w:r w:rsidRPr="005E3242">
              <w:rPr>
                <w:color w:val="auto"/>
                <w:lang w:val="en-GB"/>
              </w:rPr>
              <w:t>og-</w:t>
            </w:r>
            <w:r w:rsidR="00D00193">
              <w:rPr>
                <w:color w:val="auto"/>
                <w:lang w:val="en-GB"/>
              </w:rPr>
              <w:t>r</w:t>
            </w:r>
            <w:r w:rsidRPr="005E3242">
              <w:rPr>
                <w:color w:val="auto"/>
                <w:lang w:val="en-GB"/>
              </w:rPr>
              <w:t>ank test, stratified</w:t>
            </w:r>
            <w:r w:rsidRPr="005E3242">
              <w:rPr>
                <w:color w:val="auto"/>
                <w:vertAlign w:val="superscript"/>
                <w:lang w:val="en-GB"/>
              </w:rPr>
              <w:t>2</w:t>
            </w:r>
            <w:r w:rsidRPr="005E3242">
              <w:rPr>
                <w:color w:val="auto"/>
                <w:lang w:val="en-GB"/>
              </w:rPr>
              <w:t>)</w:t>
            </w:r>
          </w:p>
        </w:tc>
        <w:tc>
          <w:tcPr>
            <w:tcW w:w="4377" w:type="dxa"/>
            <w:gridSpan w:val="2"/>
            <w:tcBorders>
              <w:top w:val="nil"/>
              <w:left w:val="single" w:sz="4" w:space="0" w:color="auto"/>
              <w:bottom w:val="nil"/>
              <w:right w:val="single" w:sz="4" w:space="0" w:color="auto"/>
            </w:tcBorders>
            <w:vAlign w:val="bottom"/>
            <w:hideMark/>
          </w:tcPr>
          <w:p w14:paraId="59F6C1B8" w14:textId="42811B3F" w:rsidR="0082049F" w:rsidRPr="005E3242" w:rsidRDefault="0082049F" w:rsidP="00C448E8">
            <w:pPr>
              <w:rPr>
                <w:color w:val="auto"/>
                <w:lang w:val="en-GB"/>
              </w:rPr>
            </w:pPr>
            <w:r w:rsidRPr="005E3242">
              <w:rPr>
                <w:color w:val="auto"/>
                <w:lang w:val="en-GB"/>
              </w:rPr>
              <w:t>0.0430</w:t>
            </w:r>
          </w:p>
        </w:tc>
      </w:tr>
      <w:tr w:rsidR="0082049F" w:rsidRPr="005E3242" w14:paraId="74698583" w14:textId="2BAE4FCA" w:rsidTr="0082049F">
        <w:trPr>
          <w:cantSplit/>
          <w:jc w:val="right"/>
        </w:trPr>
        <w:tc>
          <w:tcPr>
            <w:tcW w:w="4377" w:type="dxa"/>
            <w:tcBorders>
              <w:top w:val="nil"/>
              <w:left w:val="single" w:sz="4" w:space="0" w:color="auto"/>
              <w:bottom w:val="single" w:sz="4" w:space="0" w:color="auto"/>
              <w:right w:val="single" w:sz="4" w:space="0" w:color="auto"/>
            </w:tcBorders>
            <w:vAlign w:val="bottom"/>
            <w:hideMark/>
          </w:tcPr>
          <w:p w14:paraId="48214459" w14:textId="75E8F853" w:rsidR="0082049F" w:rsidRPr="005E3242" w:rsidRDefault="0082049F" w:rsidP="00C448E8">
            <w:pPr>
              <w:rPr>
                <w:color w:val="auto"/>
                <w:lang w:val="en-GB"/>
              </w:rPr>
            </w:pPr>
            <w:proofErr w:type="gramStart"/>
            <w:r w:rsidRPr="005E3242">
              <w:rPr>
                <w:color w:val="auto"/>
                <w:lang w:val="en-GB"/>
              </w:rPr>
              <w:t>3 year</w:t>
            </w:r>
            <w:proofErr w:type="gramEnd"/>
            <w:r w:rsidRPr="005E3242">
              <w:rPr>
                <w:color w:val="auto"/>
                <w:lang w:val="en-GB"/>
              </w:rPr>
              <w:t xml:space="preserve"> event-free rate</w:t>
            </w:r>
            <w:r w:rsidRPr="005E3242">
              <w:rPr>
                <w:color w:val="auto"/>
                <w:vertAlign w:val="superscript"/>
                <w:lang w:val="en-GB"/>
              </w:rPr>
              <w:t>3</w:t>
            </w:r>
            <w:r w:rsidRPr="005E3242">
              <w:rPr>
                <w:color w:val="auto"/>
                <w:lang w:val="en-GB"/>
              </w:rPr>
              <w:t xml:space="preserve"> [95% CI] </w:t>
            </w:r>
          </w:p>
        </w:tc>
        <w:tc>
          <w:tcPr>
            <w:tcW w:w="2250" w:type="dxa"/>
            <w:tcBorders>
              <w:top w:val="nil"/>
              <w:left w:val="single" w:sz="4" w:space="0" w:color="auto"/>
              <w:bottom w:val="single" w:sz="4" w:space="0" w:color="auto"/>
              <w:right w:val="nil"/>
            </w:tcBorders>
            <w:vAlign w:val="bottom"/>
            <w:hideMark/>
          </w:tcPr>
          <w:p w14:paraId="3F47E838" w14:textId="058B734E" w:rsidR="0082049F" w:rsidRPr="005E3242" w:rsidRDefault="0082049F" w:rsidP="00C448E8">
            <w:pPr>
              <w:rPr>
                <w:color w:val="auto"/>
                <w:lang w:val="en-GB"/>
              </w:rPr>
            </w:pPr>
            <w:r w:rsidRPr="005E3242">
              <w:rPr>
                <w:color w:val="auto"/>
                <w:lang w:val="en-GB"/>
              </w:rPr>
              <w:t>93.5 [92.5, 94.5]</w:t>
            </w:r>
          </w:p>
        </w:tc>
        <w:tc>
          <w:tcPr>
            <w:tcW w:w="2127" w:type="dxa"/>
            <w:tcBorders>
              <w:top w:val="nil"/>
              <w:left w:val="nil"/>
              <w:bottom w:val="single" w:sz="4" w:space="0" w:color="auto"/>
              <w:right w:val="single" w:sz="4" w:space="0" w:color="auto"/>
            </w:tcBorders>
            <w:vAlign w:val="bottom"/>
            <w:hideMark/>
          </w:tcPr>
          <w:p w14:paraId="44A476AC" w14:textId="51D32138" w:rsidR="0082049F" w:rsidRPr="005E3242" w:rsidRDefault="0082049F" w:rsidP="00C448E8">
            <w:pPr>
              <w:rPr>
                <w:color w:val="auto"/>
                <w:lang w:val="en-GB"/>
              </w:rPr>
            </w:pPr>
            <w:r w:rsidRPr="005E3242">
              <w:rPr>
                <w:color w:val="auto"/>
                <w:lang w:val="en-GB"/>
              </w:rPr>
              <w:t>92.5 [91.4, 93.6]</w:t>
            </w:r>
          </w:p>
        </w:tc>
      </w:tr>
      <w:tr w:rsidR="0082049F" w:rsidRPr="005E3242" w14:paraId="45FA5E6E" w14:textId="6789E38A" w:rsidTr="0082049F">
        <w:trPr>
          <w:cantSplit/>
          <w:jc w:val="right"/>
        </w:trPr>
        <w:tc>
          <w:tcPr>
            <w:tcW w:w="4377" w:type="dxa"/>
            <w:tcBorders>
              <w:top w:val="single" w:sz="4" w:space="0" w:color="auto"/>
              <w:left w:val="single" w:sz="4" w:space="0" w:color="auto"/>
              <w:bottom w:val="nil"/>
              <w:right w:val="single" w:sz="4" w:space="0" w:color="auto"/>
            </w:tcBorders>
            <w:vAlign w:val="bottom"/>
            <w:hideMark/>
          </w:tcPr>
          <w:p w14:paraId="0F33FB6A" w14:textId="16566C90" w:rsidR="0082049F" w:rsidRPr="005E3242" w:rsidRDefault="0082049F" w:rsidP="00C448E8">
            <w:pPr>
              <w:rPr>
                <w:b/>
                <w:color w:val="auto"/>
                <w:vertAlign w:val="superscript"/>
                <w:lang w:val="en-GB"/>
              </w:rPr>
            </w:pPr>
            <w:r w:rsidRPr="005E3242">
              <w:rPr>
                <w:b/>
                <w:color w:val="auto"/>
                <w:lang w:val="en-GB"/>
              </w:rPr>
              <w:t>Disease</w:t>
            </w:r>
            <w:r w:rsidR="00D00193">
              <w:rPr>
                <w:b/>
                <w:color w:val="auto"/>
                <w:lang w:val="en-GB"/>
              </w:rPr>
              <w:t>-f</w:t>
            </w:r>
            <w:r w:rsidRPr="005E3242">
              <w:rPr>
                <w:b/>
                <w:color w:val="auto"/>
                <w:lang w:val="en-GB"/>
              </w:rPr>
              <w:t xml:space="preserve">ree </w:t>
            </w:r>
            <w:r w:rsidR="00D00193">
              <w:rPr>
                <w:b/>
                <w:color w:val="auto"/>
                <w:lang w:val="en-GB"/>
              </w:rPr>
              <w:t>s</w:t>
            </w:r>
            <w:r w:rsidRPr="005E3242">
              <w:rPr>
                <w:b/>
                <w:color w:val="auto"/>
                <w:lang w:val="en-GB"/>
              </w:rPr>
              <w:t xml:space="preserve">urvival (DFS) </w:t>
            </w:r>
          </w:p>
        </w:tc>
        <w:tc>
          <w:tcPr>
            <w:tcW w:w="4377" w:type="dxa"/>
            <w:gridSpan w:val="2"/>
            <w:tcBorders>
              <w:top w:val="single" w:sz="4" w:space="0" w:color="auto"/>
              <w:left w:val="single" w:sz="4" w:space="0" w:color="auto"/>
              <w:bottom w:val="nil"/>
              <w:right w:val="single" w:sz="4" w:space="0" w:color="auto"/>
            </w:tcBorders>
            <w:vAlign w:val="bottom"/>
          </w:tcPr>
          <w:p w14:paraId="5840B8B2" w14:textId="55884347" w:rsidR="0082049F" w:rsidRPr="005E3242" w:rsidRDefault="0082049F" w:rsidP="00C448E8">
            <w:pPr>
              <w:rPr>
                <w:b/>
                <w:color w:val="auto"/>
                <w:lang w:val="en-GB"/>
              </w:rPr>
            </w:pPr>
          </w:p>
        </w:tc>
      </w:tr>
      <w:tr w:rsidR="0082049F" w:rsidRPr="005E3242" w14:paraId="1FC085A6" w14:textId="58AF7F62" w:rsidTr="0082049F">
        <w:trPr>
          <w:cantSplit/>
          <w:jc w:val="right"/>
        </w:trPr>
        <w:tc>
          <w:tcPr>
            <w:tcW w:w="4377" w:type="dxa"/>
            <w:tcBorders>
              <w:top w:val="nil"/>
              <w:left w:val="single" w:sz="4" w:space="0" w:color="auto"/>
              <w:bottom w:val="nil"/>
              <w:right w:val="single" w:sz="4" w:space="0" w:color="auto"/>
            </w:tcBorders>
            <w:vAlign w:val="bottom"/>
            <w:hideMark/>
          </w:tcPr>
          <w:p w14:paraId="31056CAA" w14:textId="2FEB22CA" w:rsidR="0082049F" w:rsidRPr="005E3242" w:rsidRDefault="0082049F" w:rsidP="00C448E8">
            <w:pPr>
              <w:rPr>
                <w:color w:val="auto"/>
                <w:lang w:val="en-GB"/>
              </w:rPr>
            </w:pPr>
            <w:r w:rsidRPr="005E3242">
              <w:rPr>
                <w:color w:val="auto"/>
                <w:lang w:val="en-GB"/>
              </w:rPr>
              <w:t>Number (%) of patients with event</w:t>
            </w:r>
          </w:p>
        </w:tc>
        <w:tc>
          <w:tcPr>
            <w:tcW w:w="2250" w:type="dxa"/>
            <w:tcBorders>
              <w:top w:val="nil"/>
              <w:left w:val="single" w:sz="4" w:space="0" w:color="auto"/>
              <w:bottom w:val="nil"/>
              <w:right w:val="nil"/>
            </w:tcBorders>
            <w:vAlign w:val="bottom"/>
            <w:hideMark/>
          </w:tcPr>
          <w:p w14:paraId="38269345" w14:textId="6AA26A4F" w:rsidR="0082049F" w:rsidRPr="005E3242" w:rsidRDefault="0082049F" w:rsidP="00C448E8">
            <w:pPr>
              <w:rPr>
                <w:color w:val="auto"/>
                <w:lang w:val="en-GB"/>
              </w:rPr>
            </w:pPr>
            <w:r w:rsidRPr="005E3242">
              <w:rPr>
                <w:color w:val="auto"/>
                <w:lang w:val="en-GB"/>
              </w:rPr>
              <w:t>192 (8.0%)</w:t>
            </w:r>
          </w:p>
        </w:tc>
        <w:tc>
          <w:tcPr>
            <w:tcW w:w="2127" w:type="dxa"/>
            <w:tcBorders>
              <w:top w:val="nil"/>
              <w:left w:val="nil"/>
              <w:bottom w:val="nil"/>
              <w:right w:val="single" w:sz="4" w:space="0" w:color="auto"/>
            </w:tcBorders>
            <w:vAlign w:val="bottom"/>
            <w:hideMark/>
          </w:tcPr>
          <w:p w14:paraId="3AEC8BEB" w14:textId="73D54B1D" w:rsidR="0082049F" w:rsidRPr="005E3242" w:rsidRDefault="0082049F" w:rsidP="00C448E8">
            <w:pPr>
              <w:rPr>
                <w:color w:val="auto"/>
                <w:lang w:val="en-GB"/>
              </w:rPr>
            </w:pPr>
            <w:r w:rsidRPr="005E3242">
              <w:rPr>
                <w:color w:val="auto"/>
                <w:lang w:val="en-GB"/>
              </w:rPr>
              <w:t>236 (9.8%)</w:t>
            </w:r>
          </w:p>
        </w:tc>
      </w:tr>
      <w:tr w:rsidR="0082049F" w:rsidRPr="005E3242" w14:paraId="79141010" w14:textId="5843707B" w:rsidTr="0082049F">
        <w:trPr>
          <w:cantSplit/>
          <w:jc w:val="right"/>
        </w:trPr>
        <w:tc>
          <w:tcPr>
            <w:tcW w:w="4377" w:type="dxa"/>
            <w:tcBorders>
              <w:top w:val="nil"/>
              <w:left w:val="single" w:sz="4" w:space="0" w:color="auto"/>
              <w:bottom w:val="nil"/>
              <w:right w:val="single" w:sz="4" w:space="0" w:color="auto"/>
            </w:tcBorders>
            <w:vAlign w:val="bottom"/>
            <w:hideMark/>
          </w:tcPr>
          <w:p w14:paraId="37D3EB86" w14:textId="5FB6C983" w:rsidR="0082049F" w:rsidRPr="005E3242" w:rsidRDefault="0082049F" w:rsidP="00C448E8">
            <w:pPr>
              <w:rPr>
                <w:color w:val="auto"/>
                <w:lang w:val="en-GB"/>
              </w:rPr>
            </w:pPr>
            <w:r w:rsidRPr="005E3242">
              <w:rPr>
                <w:color w:val="auto"/>
                <w:lang w:val="en-GB"/>
              </w:rPr>
              <w:t>HR [95% CI]</w:t>
            </w:r>
          </w:p>
        </w:tc>
        <w:tc>
          <w:tcPr>
            <w:tcW w:w="4377" w:type="dxa"/>
            <w:gridSpan w:val="2"/>
            <w:tcBorders>
              <w:top w:val="nil"/>
              <w:left w:val="single" w:sz="4" w:space="0" w:color="auto"/>
              <w:bottom w:val="nil"/>
              <w:right w:val="single" w:sz="4" w:space="0" w:color="auto"/>
            </w:tcBorders>
            <w:vAlign w:val="bottom"/>
            <w:hideMark/>
          </w:tcPr>
          <w:p w14:paraId="57FF52B0" w14:textId="5998DC2C" w:rsidR="0082049F" w:rsidRPr="005E3242" w:rsidRDefault="0082049F" w:rsidP="00C448E8">
            <w:pPr>
              <w:rPr>
                <w:color w:val="auto"/>
                <w:lang w:val="en-GB"/>
              </w:rPr>
            </w:pPr>
            <w:r w:rsidRPr="005E3242">
              <w:rPr>
                <w:color w:val="auto"/>
                <w:lang w:val="en-GB"/>
              </w:rPr>
              <w:t>0.81 [0.67, 0.98]</w:t>
            </w:r>
          </w:p>
        </w:tc>
      </w:tr>
      <w:tr w:rsidR="0082049F" w:rsidRPr="005E3242" w14:paraId="6472E77B" w14:textId="43641F54" w:rsidTr="0082049F">
        <w:trPr>
          <w:cantSplit/>
          <w:jc w:val="right"/>
        </w:trPr>
        <w:tc>
          <w:tcPr>
            <w:tcW w:w="4377" w:type="dxa"/>
            <w:tcBorders>
              <w:top w:val="nil"/>
              <w:left w:val="single" w:sz="4" w:space="0" w:color="auto"/>
              <w:bottom w:val="nil"/>
              <w:right w:val="single" w:sz="4" w:space="0" w:color="auto"/>
            </w:tcBorders>
            <w:vAlign w:val="bottom"/>
            <w:hideMark/>
          </w:tcPr>
          <w:p w14:paraId="11B925C2" w14:textId="7974C5E7" w:rsidR="0082049F" w:rsidRPr="005E3242" w:rsidRDefault="0082049F" w:rsidP="00C448E8">
            <w:pPr>
              <w:rPr>
                <w:color w:val="auto"/>
                <w:lang w:val="en-GB"/>
              </w:rPr>
            </w:pPr>
            <w:r w:rsidRPr="005E3242">
              <w:rPr>
                <w:color w:val="auto"/>
                <w:lang w:val="en-GB"/>
              </w:rPr>
              <w:t>p-value (</w:t>
            </w:r>
            <w:r w:rsidR="00D00193">
              <w:rPr>
                <w:color w:val="auto"/>
                <w:lang w:val="en-GB"/>
              </w:rPr>
              <w:t>l</w:t>
            </w:r>
            <w:r w:rsidRPr="005E3242">
              <w:rPr>
                <w:color w:val="auto"/>
                <w:lang w:val="en-GB"/>
              </w:rPr>
              <w:t>og-</w:t>
            </w:r>
            <w:r w:rsidR="00D00193">
              <w:rPr>
                <w:color w:val="auto"/>
                <w:lang w:val="en-GB"/>
              </w:rPr>
              <w:t>r</w:t>
            </w:r>
            <w:r w:rsidRPr="005E3242">
              <w:rPr>
                <w:color w:val="auto"/>
                <w:lang w:val="en-GB"/>
              </w:rPr>
              <w:t>ank test, stratified</w:t>
            </w:r>
            <w:r w:rsidRPr="005E3242">
              <w:rPr>
                <w:color w:val="auto"/>
                <w:vertAlign w:val="superscript"/>
                <w:lang w:val="en-GB"/>
              </w:rPr>
              <w:t>2</w:t>
            </w:r>
            <w:r w:rsidRPr="005E3242">
              <w:rPr>
                <w:color w:val="auto"/>
                <w:lang w:val="en-GB"/>
              </w:rPr>
              <w:t>)</w:t>
            </w:r>
          </w:p>
        </w:tc>
        <w:tc>
          <w:tcPr>
            <w:tcW w:w="4377" w:type="dxa"/>
            <w:gridSpan w:val="2"/>
            <w:tcBorders>
              <w:top w:val="nil"/>
              <w:left w:val="single" w:sz="4" w:space="0" w:color="auto"/>
              <w:bottom w:val="nil"/>
              <w:right w:val="single" w:sz="4" w:space="0" w:color="auto"/>
            </w:tcBorders>
            <w:vAlign w:val="bottom"/>
            <w:hideMark/>
          </w:tcPr>
          <w:p w14:paraId="06EA4558" w14:textId="1CE97617" w:rsidR="0082049F" w:rsidRPr="005E3242" w:rsidRDefault="0082049F" w:rsidP="00C448E8">
            <w:pPr>
              <w:rPr>
                <w:color w:val="auto"/>
                <w:lang w:val="en-GB"/>
              </w:rPr>
            </w:pPr>
            <w:r w:rsidRPr="005E3242">
              <w:rPr>
                <w:color w:val="auto"/>
                <w:lang w:val="en-GB"/>
              </w:rPr>
              <w:t>0.0327</w:t>
            </w:r>
          </w:p>
        </w:tc>
      </w:tr>
      <w:tr w:rsidR="0082049F" w:rsidRPr="005E3242" w14:paraId="5F1632EE" w14:textId="301CF0BC" w:rsidTr="0082049F">
        <w:trPr>
          <w:cantSplit/>
          <w:jc w:val="right"/>
        </w:trPr>
        <w:tc>
          <w:tcPr>
            <w:tcW w:w="4377" w:type="dxa"/>
            <w:tcBorders>
              <w:top w:val="nil"/>
              <w:left w:val="single" w:sz="4" w:space="0" w:color="auto"/>
              <w:bottom w:val="single" w:sz="4" w:space="0" w:color="auto"/>
              <w:right w:val="single" w:sz="4" w:space="0" w:color="auto"/>
            </w:tcBorders>
            <w:vAlign w:val="bottom"/>
            <w:hideMark/>
          </w:tcPr>
          <w:p w14:paraId="27274176" w14:textId="2915B12D" w:rsidR="0082049F" w:rsidRPr="005E3242" w:rsidRDefault="0082049F" w:rsidP="00C448E8">
            <w:pPr>
              <w:rPr>
                <w:color w:val="auto"/>
                <w:lang w:val="en-GB"/>
              </w:rPr>
            </w:pPr>
            <w:proofErr w:type="gramStart"/>
            <w:r w:rsidRPr="005E3242">
              <w:rPr>
                <w:color w:val="auto"/>
                <w:lang w:val="en-GB"/>
              </w:rPr>
              <w:t>3 year</w:t>
            </w:r>
            <w:proofErr w:type="gramEnd"/>
            <w:r w:rsidRPr="005E3242">
              <w:rPr>
                <w:color w:val="auto"/>
                <w:lang w:val="en-GB"/>
              </w:rPr>
              <w:t xml:space="preserve"> event-free rate</w:t>
            </w:r>
            <w:r w:rsidRPr="005E3242">
              <w:rPr>
                <w:color w:val="auto"/>
                <w:vertAlign w:val="superscript"/>
                <w:lang w:val="en-GB"/>
              </w:rPr>
              <w:t>3</w:t>
            </w:r>
            <w:r w:rsidRPr="005E3242">
              <w:rPr>
                <w:color w:val="auto"/>
                <w:lang w:val="en-GB"/>
              </w:rPr>
              <w:t xml:space="preserve"> [95% CI]</w:t>
            </w:r>
          </w:p>
        </w:tc>
        <w:tc>
          <w:tcPr>
            <w:tcW w:w="2250" w:type="dxa"/>
            <w:tcBorders>
              <w:top w:val="nil"/>
              <w:left w:val="single" w:sz="4" w:space="0" w:color="auto"/>
              <w:bottom w:val="single" w:sz="4" w:space="0" w:color="auto"/>
              <w:right w:val="nil"/>
            </w:tcBorders>
            <w:vAlign w:val="bottom"/>
            <w:hideMark/>
          </w:tcPr>
          <w:p w14:paraId="2807154C" w14:textId="403AE304" w:rsidR="0082049F" w:rsidRPr="005E3242" w:rsidRDefault="0082049F" w:rsidP="00C448E8">
            <w:pPr>
              <w:rPr>
                <w:color w:val="auto"/>
                <w:lang w:val="en-GB"/>
              </w:rPr>
            </w:pPr>
            <w:r w:rsidRPr="005E3242">
              <w:rPr>
                <w:color w:val="auto"/>
                <w:lang w:val="en-GB"/>
              </w:rPr>
              <w:t>93.4 [92.4, 94.4]</w:t>
            </w:r>
          </w:p>
        </w:tc>
        <w:tc>
          <w:tcPr>
            <w:tcW w:w="2127" w:type="dxa"/>
            <w:tcBorders>
              <w:top w:val="nil"/>
              <w:left w:val="nil"/>
              <w:bottom w:val="single" w:sz="4" w:space="0" w:color="auto"/>
              <w:right w:val="single" w:sz="4" w:space="0" w:color="auto"/>
            </w:tcBorders>
            <w:vAlign w:val="bottom"/>
            <w:hideMark/>
          </w:tcPr>
          <w:p w14:paraId="32C8DEC0" w14:textId="2E23D7DC" w:rsidR="0082049F" w:rsidRPr="005E3242" w:rsidRDefault="0082049F" w:rsidP="00C448E8">
            <w:pPr>
              <w:rPr>
                <w:color w:val="auto"/>
                <w:lang w:val="en-GB"/>
              </w:rPr>
            </w:pPr>
            <w:r w:rsidRPr="005E3242">
              <w:rPr>
                <w:color w:val="auto"/>
                <w:lang w:val="en-GB"/>
              </w:rPr>
              <w:t>92.3 [91.2, 93.4]</w:t>
            </w:r>
          </w:p>
        </w:tc>
      </w:tr>
      <w:tr w:rsidR="0082049F" w:rsidRPr="005E3242" w14:paraId="52358D0F" w14:textId="2C60A575" w:rsidTr="0082049F">
        <w:trPr>
          <w:cantSplit/>
          <w:trHeight w:val="122"/>
          <w:jc w:val="right"/>
        </w:trPr>
        <w:tc>
          <w:tcPr>
            <w:tcW w:w="4377" w:type="dxa"/>
            <w:tcBorders>
              <w:top w:val="single" w:sz="4" w:space="0" w:color="auto"/>
              <w:left w:val="single" w:sz="4" w:space="0" w:color="auto"/>
              <w:bottom w:val="nil"/>
              <w:right w:val="single" w:sz="4" w:space="0" w:color="auto"/>
            </w:tcBorders>
            <w:vAlign w:val="bottom"/>
            <w:hideMark/>
          </w:tcPr>
          <w:p w14:paraId="71ACC3BA" w14:textId="0FD93797" w:rsidR="0082049F" w:rsidRPr="005E3242" w:rsidRDefault="0082049F" w:rsidP="00C448E8">
            <w:pPr>
              <w:rPr>
                <w:b/>
                <w:color w:val="auto"/>
                <w:vertAlign w:val="superscript"/>
                <w:lang w:val="en-GB"/>
              </w:rPr>
            </w:pPr>
            <w:r w:rsidRPr="005E3242">
              <w:rPr>
                <w:b/>
                <w:color w:val="auto"/>
                <w:lang w:val="en-GB"/>
              </w:rPr>
              <w:t xml:space="preserve">Overall </w:t>
            </w:r>
            <w:r w:rsidR="00D00193">
              <w:rPr>
                <w:b/>
                <w:color w:val="auto"/>
                <w:lang w:val="en-GB"/>
              </w:rPr>
              <w:t>s</w:t>
            </w:r>
            <w:r w:rsidRPr="005E3242">
              <w:rPr>
                <w:b/>
                <w:color w:val="auto"/>
                <w:lang w:val="en-GB"/>
              </w:rPr>
              <w:t>urvival (OS)</w:t>
            </w:r>
            <w:r w:rsidRPr="005E3242">
              <w:rPr>
                <w:b/>
                <w:color w:val="auto"/>
                <w:vertAlign w:val="superscript"/>
                <w:lang w:val="en-GB"/>
              </w:rPr>
              <w:t>4</w:t>
            </w:r>
          </w:p>
        </w:tc>
        <w:tc>
          <w:tcPr>
            <w:tcW w:w="4377" w:type="dxa"/>
            <w:gridSpan w:val="2"/>
            <w:tcBorders>
              <w:top w:val="single" w:sz="4" w:space="0" w:color="auto"/>
              <w:left w:val="single" w:sz="4" w:space="0" w:color="auto"/>
              <w:bottom w:val="nil"/>
              <w:right w:val="single" w:sz="4" w:space="0" w:color="auto"/>
            </w:tcBorders>
            <w:vAlign w:val="bottom"/>
          </w:tcPr>
          <w:p w14:paraId="0BDDACA9" w14:textId="573BCE27" w:rsidR="0082049F" w:rsidRPr="005E3242" w:rsidRDefault="0082049F" w:rsidP="00C448E8">
            <w:pPr>
              <w:rPr>
                <w:color w:val="auto"/>
                <w:lang w:val="en-US"/>
              </w:rPr>
            </w:pPr>
          </w:p>
        </w:tc>
      </w:tr>
      <w:tr w:rsidR="0082049F" w:rsidRPr="005E3242" w14:paraId="7E8129E2" w14:textId="1006C659" w:rsidTr="0082049F">
        <w:trPr>
          <w:cantSplit/>
          <w:trHeight w:val="218"/>
          <w:jc w:val="right"/>
        </w:trPr>
        <w:tc>
          <w:tcPr>
            <w:tcW w:w="4377" w:type="dxa"/>
            <w:tcBorders>
              <w:top w:val="nil"/>
              <w:left w:val="single" w:sz="4" w:space="0" w:color="auto"/>
              <w:bottom w:val="nil"/>
              <w:right w:val="single" w:sz="4" w:space="0" w:color="auto"/>
            </w:tcBorders>
            <w:vAlign w:val="bottom"/>
            <w:hideMark/>
          </w:tcPr>
          <w:p w14:paraId="6B716518" w14:textId="12B83394" w:rsidR="0082049F" w:rsidRPr="005E3242" w:rsidRDefault="0082049F" w:rsidP="00C448E8">
            <w:pPr>
              <w:rPr>
                <w:color w:val="auto"/>
                <w:lang w:val="en-GB"/>
              </w:rPr>
            </w:pPr>
            <w:r w:rsidRPr="005E3242">
              <w:rPr>
                <w:color w:val="auto"/>
                <w:lang w:val="en-GB"/>
              </w:rPr>
              <w:t>Number (%) of patients with event</w:t>
            </w:r>
          </w:p>
        </w:tc>
        <w:tc>
          <w:tcPr>
            <w:tcW w:w="2250" w:type="dxa"/>
            <w:tcBorders>
              <w:top w:val="nil"/>
              <w:left w:val="single" w:sz="4" w:space="0" w:color="auto"/>
              <w:bottom w:val="nil"/>
              <w:right w:val="nil"/>
            </w:tcBorders>
            <w:vAlign w:val="bottom"/>
            <w:hideMark/>
          </w:tcPr>
          <w:p w14:paraId="78403217" w14:textId="3F9F5F7A" w:rsidR="0082049F" w:rsidRPr="005E3242" w:rsidRDefault="0082049F" w:rsidP="00C448E8">
            <w:pPr>
              <w:rPr>
                <w:color w:val="auto"/>
                <w:lang w:val="en-GB"/>
              </w:rPr>
            </w:pPr>
            <w:r w:rsidRPr="005E3242">
              <w:rPr>
                <w:color w:val="auto"/>
                <w:lang w:val="en-GB"/>
              </w:rPr>
              <w:t>80 (3.3%)</w:t>
            </w:r>
          </w:p>
        </w:tc>
        <w:tc>
          <w:tcPr>
            <w:tcW w:w="2127" w:type="dxa"/>
            <w:tcBorders>
              <w:top w:val="nil"/>
              <w:left w:val="nil"/>
              <w:bottom w:val="nil"/>
              <w:right w:val="single" w:sz="4" w:space="0" w:color="auto"/>
            </w:tcBorders>
            <w:vAlign w:val="bottom"/>
            <w:hideMark/>
          </w:tcPr>
          <w:p w14:paraId="51CE9D9B" w14:textId="601E9353" w:rsidR="0082049F" w:rsidRPr="005E3242" w:rsidRDefault="0082049F" w:rsidP="00C448E8">
            <w:pPr>
              <w:rPr>
                <w:color w:val="auto"/>
                <w:lang w:val="en-GB"/>
              </w:rPr>
            </w:pPr>
            <w:r w:rsidRPr="005E3242">
              <w:rPr>
                <w:color w:val="auto"/>
                <w:lang w:val="en-GB"/>
              </w:rPr>
              <w:t>89 (3.7%)</w:t>
            </w:r>
          </w:p>
        </w:tc>
      </w:tr>
      <w:tr w:rsidR="0082049F" w:rsidRPr="005E3242" w14:paraId="2C77BFD0" w14:textId="55E46A80" w:rsidTr="0082049F">
        <w:trPr>
          <w:cantSplit/>
          <w:trHeight w:val="218"/>
          <w:jc w:val="right"/>
        </w:trPr>
        <w:tc>
          <w:tcPr>
            <w:tcW w:w="4377" w:type="dxa"/>
            <w:tcBorders>
              <w:top w:val="nil"/>
              <w:left w:val="single" w:sz="4" w:space="0" w:color="auto"/>
              <w:bottom w:val="nil"/>
              <w:right w:val="single" w:sz="4" w:space="0" w:color="auto"/>
            </w:tcBorders>
            <w:vAlign w:val="bottom"/>
            <w:hideMark/>
          </w:tcPr>
          <w:p w14:paraId="3C30B67E" w14:textId="6EF40D16" w:rsidR="0082049F" w:rsidRPr="005E3242" w:rsidRDefault="0082049F" w:rsidP="00C448E8">
            <w:pPr>
              <w:rPr>
                <w:color w:val="auto"/>
                <w:lang w:val="en-GB"/>
              </w:rPr>
            </w:pPr>
            <w:r w:rsidRPr="005E3242">
              <w:rPr>
                <w:color w:val="auto"/>
                <w:lang w:val="en-GB"/>
              </w:rPr>
              <w:t>HR [95% CI]</w:t>
            </w:r>
          </w:p>
        </w:tc>
        <w:tc>
          <w:tcPr>
            <w:tcW w:w="4377" w:type="dxa"/>
            <w:gridSpan w:val="2"/>
            <w:tcBorders>
              <w:top w:val="nil"/>
              <w:left w:val="single" w:sz="4" w:space="0" w:color="auto"/>
              <w:bottom w:val="nil"/>
              <w:right w:val="single" w:sz="4" w:space="0" w:color="auto"/>
            </w:tcBorders>
            <w:vAlign w:val="bottom"/>
            <w:hideMark/>
          </w:tcPr>
          <w:p w14:paraId="33D5CF20" w14:textId="23A6ED25" w:rsidR="0082049F" w:rsidRPr="005E3242" w:rsidRDefault="0082049F" w:rsidP="00C448E8">
            <w:pPr>
              <w:rPr>
                <w:color w:val="auto"/>
                <w:lang w:val="en-GB"/>
              </w:rPr>
            </w:pPr>
            <w:r w:rsidRPr="005E3242">
              <w:rPr>
                <w:color w:val="auto"/>
                <w:lang w:val="en-GB"/>
              </w:rPr>
              <w:t>0.89 [0.66, 1.21]</w:t>
            </w:r>
          </w:p>
        </w:tc>
      </w:tr>
      <w:tr w:rsidR="0082049F" w:rsidRPr="005E3242" w14:paraId="16A35B38" w14:textId="43BFB480" w:rsidTr="0082049F">
        <w:trPr>
          <w:cantSplit/>
          <w:trHeight w:val="218"/>
          <w:jc w:val="right"/>
        </w:trPr>
        <w:tc>
          <w:tcPr>
            <w:tcW w:w="4377" w:type="dxa"/>
            <w:tcBorders>
              <w:top w:val="nil"/>
              <w:left w:val="single" w:sz="4" w:space="0" w:color="auto"/>
              <w:bottom w:val="nil"/>
              <w:right w:val="single" w:sz="4" w:space="0" w:color="auto"/>
            </w:tcBorders>
            <w:vAlign w:val="bottom"/>
            <w:hideMark/>
          </w:tcPr>
          <w:p w14:paraId="09066974" w14:textId="0F5A2CDD" w:rsidR="0082049F" w:rsidRPr="005E3242" w:rsidRDefault="0082049F" w:rsidP="00C448E8">
            <w:pPr>
              <w:rPr>
                <w:color w:val="auto"/>
                <w:lang w:val="en-GB"/>
              </w:rPr>
            </w:pPr>
            <w:r w:rsidRPr="005E3242">
              <w:rPr>
                <w:color w:val="auto"/>
                <w:lang w:val="en-GB"/>
              </w:rPr>
              <w:t>p-value (</w:t>
            </w:r>
            <w:r w:rsidR="00D00193">
              <w:rPr>
                <w:color w:val="auto"/>
                <w:lang w:val="en-GB"/>
              </w:rPr>
              <w:t>l</w:t>
            </w:r>
            <w:r w:rsidRPr="005E3242">
              <w:rPr>
                <w:color w:val="auto"/>
                <w:lang w:val="en-GB"/>
              </w:rPr>
              <w:t>og-</w:t>
            </w:r>
            <w:r w:rsidR="00D00193">
              <w:rPr>
                <w:color w:val="auto"/>
                <w:lang w:val="en-GB"/>
              </w:rPr>
              <w:t>r</w:t>
            </w:r>
            <w:r w:rsidRPr="005E3242">
              <w:rPr>
                <w:color w:val="auto"/>
                <w:lang w:val="en-GB"/>
              </w:rPr>
              <w:t>ank test, stratified</w:t>
            </w:r>
            <w:r w:rsidRPr="005E3242">
              <w:rPr>
                <w:color w:val="auto"/>
                <w:vertAlign w:val="superscript"/>
                <w:lang w:val="en-GB"/>
              </w:rPr>
              <w:t>2</w:t>
            </w:r>
            <w:r w:rsidRPr="005E3242">
              <w:rPr>
                <w:color w:val="auto"/>
                <w:lang w:val="en-GB"/>
              </w:rPr>
              <w:t>)</w:t>
            </w:r>
          </w:p>
        </w:tc>
        <w:tc>
          <w:tcPr>
            <w:tcW w:w="4377" w:type="dxa"/>
            <w:gridSpan w:val="2"/>
            <w:tcBorders>
              <w:top w:val="nil"/>
              <w:left w:val="single" w:sz="4" w:space="0" w:color="auto"/>
              <w:bottom w:val="nil"/>
              <w:right w:val="single" w:sz="4" w:space="0" w:color="auto"/>
            </w:tcBorders>
            <w:vAlign w:val="bottom"/>
            <w:hideMark/>
          </w:tcPr>
          <w:p w14:paraId="56084747" w14:textId="221CBE5D" w:rsidR="0082049F" w:rsidRPr="005E3242" w:rsidRDefault="0082049F" w:rsidP="00C448E8">
            <w:pPr>
              <w:rPr>
                <w:color w:val="auto"/>
                <w:lang w:val="en-GB"/>
              </w:rPr>
            </w:pPr>
            <w:r w:rsidRPr="005E3242">
              <w:rPr>
                <w:color w:val="auto"/>
                <w:lang w:val="en-GB"/>
              </w:rPr>
              <w:t>0.4673</w:t>
            </w:r>
          </w:p>
        </w:tc>
      </w:tr>
      <w:tr w:rsidR="0082049F" w:rsidRPr="005E3242" w14:paraId="4EEC6C77" w14:textId="750B76D3" w:rsidTr="0082049F">
        <w:trPr>
          <w:cantSplit/>
          <w:trHeight w:val="218"/>
          <w:jc w:val="right"/>
        </w:trPr>
        <w:tc>
          <w:tcPr>
            <w:tcW w:w="4377" w:type="dxa"/>
            <w:tcBorders>
              <w:top w:val="nil"/>
              <w:left w:val="single" w:sz="4" w:space="0" w:color="auto"/>
              <w:bottom w:val="single" w:sz="4" w:space="0" w:color="auto"/>
              <w:right w:val="single" w:sz="4" w:space="0" w:color="auto"/>
            </w:tcBorders>
            <w:vAlign w:val="bottom"/>
            <w:hideMark/>
          </w:tcPr>
          <w:p w14:paraId="13EF2074" w14:textId="7A17E052" w:rsidR="0082049F" w:rsidRPr="005E3242" w:rsidRDefault="0082049F" w:rsidP="00C448E8">
            <w:pPr>
              <w:rPr>
                <w:color w:val="auto"/>
                <w:lang w:val="en-GB"/>
              </w:rPr>
            </w:pPr>
            <w:proofErr w:type="gramStart"/>
            <w:r w:rsidRPr="005E3242">
              <w:rPr>
                <w:color w:val="auto"/>
                <w:lang w:val="en-GB"/>
              </w:rPr>
              <w:t>3 year</w:t>
            </w:r>
            <w:proofErr w:type="gramEnd"/>
            <w:r w:rsidRPr="005E3242">
              <w:rPr>
                <w:color w:val="auto"/>
                <w:lang w:val="en-GB"/>
              </w:rPr>
              <w:t xml:space="preserve"> event-free rate</w:t>
            </w:r>
            <w:r w:rsidRPr="005E3242">
              <w:rPr>
                <w:color w:val="auto"/>
                <w:vertAlign w:val="superscript"/>
                <w:lang w:val="en-GB"/>
              </w:rPr>
              <w:t>3</w:t>
            </w:r>
            <w:r w:rsidRPr="005E3242">
              <w:rPr>
                <w:color w:val="auto"/>
                <w:lang w:val="en-GB"/>
              </w:rPr>
              <w:t xml:space="preserve"> [95% CI]</w:t>
            </w:r>
          </w:p>
        </w:tc>
        <w:tc>
          <w:tcPr>
            <w:tcW w:w="2250" w:type="dxa"/>
            <w:tcBorders>
              <w:top w:val="nil"/>
              <w:left w:val="single" w:sz="4" w:space="0" w:color="auto"/>
              <w:bottom w:val="single" w:sz="4" w:space="0" w:color="auto"/>
              <w:right w:val="nil"/>
            </w:tcBorders>
            <w:vAlign w:val="bottom"/>
            <w:hideMark/>
          </w:tcPr>
          <w:p w14:paraId="57BCC2F4" w14:textId="0105A4C0" w:rsidR="0082049F" w:rsidRPr="005E3242" w:rsidRDefault="0082049F" w:rsidP="00C448E8">
            <w:pPr>
              <w:rPr>
                <w:color w:val="auto"/>
                <w:lang w:val="en-GB"/>
              </w:rPr>
            </w:pPr>
            <w:r w:rsidRPr="005E3242">
              <w:rPr>
                <w:color w:val="auto"/>
                <w:lang w:val="en-GB"/>
              </w:rPr>
              <w:t>97.7 [97.0, 98.3]</w:t>
            </w:r>
          </w:p>
        </w:tc>
        <w:tc>
          <w:tcPr>
            <w:tcW w:w="2127" w:type="dxa"/>
            <w:tcBorders>
              <w:top w:val="nil"/>
              <w:left w:val="nil"/>
              <w:bottom w:val="single" w:sz="4" w:space="0" w:color="auto"/>
              <w:right w:val="single" w:sz="4" w:space="0" w:color="auto"/>
            </w:tcBorders>
            <w:vAlign w:val="bottom"/>
            <w:hideMark/>
          </w:tcPr>
          <w:p w14:paraId="7F8FE90C" w14:textId="508E1013" w:rsidR="0082049F" w:rsidRPr="005E3242" w:rsidRDefault="0082049F" w:rsidP="00C448E8">
            <w:pPr>
              <w:rPr>
                <w:color w:val="auto"/>
                <w:lang w:val="en-GB"/>
              </w:rPr>
            </w:pPr>
            <w:r w:rsidRPr="005E3242">
              <w:rPr>
                <w:color w:val="auto"/>
                <w:lang w:val="en-GB"/>
              </w:rPr>
              <w:t>97.7 [97.1, 98.3]</w:t>
            </w:r>
          </w:p>
        </w:tc>
      </w:tr>
      <w:tr w:rsidR="0082049F" w:rsidRPr="005E3242" w14:paraId="01350F85" w14:textId="23D4B258" w:rsidTr="0082049F">
        <w:trPr>
          <w:cantSplit/>
          <w:jc w:val="right"/>
        </w:trPr>
        <w:tc>
          <w:tcPr>
            <w:tcW w:w="4377" w:type="dxa"/>
            <w:tcBorders>
              <w:top w:val="single" w:sz="4" w:space="0" w:color="auto"/>
              <w:left w:val="single" w:sz="4" w:space="0" w:color="auto"/>
              <w:bottom w:val="nil"/>
              <w:right w:val="single" w:sz="4" w:space="0" w:color="auto"/>
            </w:tcBorders>
            <w:vAlign w:val="bottom"/>
            <w:hideMark/>
          </w:tcPr>
          <w:p w14:paraId="5F09FBDA" w14:textId="3AF850B4" w:rsidR="0082049F" w:rsidRPr="005E3242" w:rsidRDefault="0082049F" w:rsidP="00C448E8">
            <w:pPr>
              <w:rPr>
                <w:b/>
                <w:color w:val="auto"/>
                <w:lang w:val="en-GB"/>
              </w:rPr>
            </w:pPr>
            <w:r w:rsidRPr="005E3242">
              <w:rPr>
                <w:b/>
                <w:color w:val="auto"/>
                <w:lang w:val="en-GB"/>
              </w:rPr>
              <w:t>Recurrence</w:t>
            </w:r>
            <w:r w:rsidR="00D00193">
              <w:rPr>
                <w:b/>
                <w:color w:val="auto"/>
                <w:lang w:val="en-GB"/>
              </w:rPr>
              <w:t>-f</w:t>
            </w:r>
            <w:r w:rsidRPr="005E3242">
              <w:rPr>
                <w:b/>
                <w:color w:val="auto"/>
                <w:lang w:val="en-GB"/>
              </w:rPr>
              <w:t xml:space="preserve">ree </w:t>
            </w:r>
            <w:r w:rsidR="00D00193">
              <w:rPr>
                <w:b/>
                <w:color w:val="auto"/>
                <w:lang w:val="en-GB"/>
              </w:rPr>
              <w:t>i</w:t>
            </w:r>
            <w:r w:rsidRPr="005E3242">
              <w:rPr>
                <w:b/>
                <w:color w:val="auto"/>
                <w:lang w:val="en-GB"/>
              </w:rPr>
              <w:t>nterval (RFI)</w:t>
            </w:r>
          </w:p>
        </w:tc>
        <w:tc>
          <w:tcPr>
            <w:tcW w:w="4377" w:type="dxa"/>
            <w:gridSpan w:val="2"/>
            <w:tcBorders>
              <w:top w:val="single" w:sz="4" w:space="0" w:color="auto"/>
              <w:left w:val="single" w:sz="4" w:space="0" w:color="auto"/>
              <w:bottom w:val="nil"/>
              <w:right w:val="single" w:sz="4" w:space="0" w:color="auto"/>
            </w:tcBorders>
            <w:vAlign w:val="bottom"/>
          </w:tcPr>
          <w:p w14:paraId="1D0FC63F" w14:textId="012281A8" w:rsidR="0082049F" w:rsidRPr="005E3242" w:rsidRDefault="0082049F" w:rsidP="00C448E8">
            <w:pPr>
              <w:rPr>
                <w:color w:val="auto"/>
                <w:lang w:val="en-US"/>
              </w:rPr>
            </w:pPr>
          </w:p>
        </w:tc>
      </w:tr>
      <w:tr w:rsidR="0082049F" w:rsidRPr="005E3242" w14:paraId="2F094B8F" w14:textId="5E1D781A" w:rsidTr="0082049F">
        <w:trPr>
          <w:cantSplit/>
          <w:jc w:val="right"/>
        </w:trPr>
        <w:tc>
          <w:tcPr>
            <w:tcW w:w="4377" w:type="dxa"/>
            <w:tcBorders>
              <w:top w:val="nil"/>
              <w:left w:val="single" w:sz="4" w:space="0" w:color="auto"/>
              <w:bottom w:val="nil"/>
              <w:right w:val="single" w:sz="4" w:space="0" w:color="auto"/>
            </w:tcBorders>
            <w:vAlign w:val="bottom"/>
            <w:hideMark/>
          </w:tcPr>
          <w:p w14:paraId="6BA1105E" w14:textId="31CAA92C" w:rsidR="0082049F" w:rsidRPr="005E3242" w:rsidRDefault="0082049F" w:rsidP="00C448E8">
            <w:pPr>
              <w:rPr>
                <w:color w:val="auto"/>
                <w:lang w:val="en-GB"/>
              </w:rPr>
            </w:pPr>
            <w:r w:rsidRPr="005E3242">
              <w:rPr>
                <w:color w:val="auto"/>
                <w:lang w:val="en-GB"/>
              </w:rPr>
              <w:t>Number (%) of patients with event</w:t>
            </w:r>
          </w:p>
        </w:tc>
        <w:tc>
          <w:tcPr>
            <w:tcW w:w="2250" w:type="dxa"/>
            <w:tcBorders>
              <w:top w:val="nil"/>
              <w:left w:val="single" w:sz="4" w:space="0" w:color="auto"/>
              <w:bottom w:val="nil"/>
              <w:right w:val="nil"/>
            </w:tcBorders>
            <w:vAlign w:val="bottom"/>
            <w:hideMark/>
          </w:tcPr>
          <w:p w14:paraId="1CFDE90D" w14:textId="46C8BBBD" w:rsidR="0082049F" w:rsidRPr="005E3242" w:rsidRDefault="0082049F" w:rsidP="00C448E8">
            <w:pPr>
              <w:rPr>
                <w:color w:val="auto"/>
                <w:lang w:val="en-GB"/>
              </w:rPr>
            </w:pPr>
            <w:r w:rsidRPr="005E3242">
              <w:rPr>
                <w:color w:val="auto"/>
                <w:lang w:val="en-GB"/>
              </w:rPr>
              <w:t>138 (5.8%)</w:t>
            </w:r>
          </w:p>
        </w:tc>
        <w:tc>
          <w:tcPr>
            <w:tcW w:w="2127" w:type="dxa"/>
            <w:tcBorders>
              <w:top w:val="nil"/>
              <w:left w:val="nil"/>
              <w:bottom w:val="nil"/>
              <w:right w:val="single" w:sz="4" w:space="0" w:color="auto"/>
            </w:tcBorders>
            <w:vAlign w:val="bottom"/>
            <w:hideMark/>
          </w:tcPr>
          <w:p w14:paraId="53E26353" w14:textId="1DD70D14" w:rsidR="0082049F" w:rsidRPr="005E3242" w:rsidRDefault="0082049F" w:rsidP="00C448E8">
            <w:pPr>
              <w:rPr>
                <w:color w:val="auto"/>
                <w:lang w:val="en-GB"/>
              </w:rPr>
            </w:pPr>
            <w:r w:rsidRPr="005E3242">
              <w:rPr>
                <w:color w:val="auto"/>
                <w:lang w:val="en-GB"/>
              </w:rPr>
              <w:t>173 (7.2%)</w:t>
            </w:r>
          </w:p>
        </w:tc>
      </w:tr>
      <w:tr w:rsidR="0082049F" w:rsidRPr="005E3242" w14:paraId="46841D27" w14:textId="7EB677C4" w:rsidTr="0082049F">
        <w:trPr>
          <w:cantSplit/>
          <w:jc w:val="right"/>
        </w:trPr>
        <w:tc>
          <w:tcPr>
            <w:tcW w:w="4377" w:type="dxa"/>
            <w:tcBorders>
              <w:top w:val="nil"/>
              <w:left w:val="single" w:sz="4" w:space="0" w:color="auto"/>
              <w:bottom w:val="nil"/>
              <w:right w:val="single" w:sz="4" w:space="0" w:color="auto"/>
            </w:tcBorders>
            <w:vAlign w:val="bottom"/>
            <w:hideMark/>
          </w:tcPr>
          <w:p w14:paraId="12A46FB7" w14:textId="2B95745C" w:rsidR="0082049F" w:rsidRPr="005E3242" w:rsidRDefault="0082049F" w:rsidP="00C448E8">
            <w:pPr>
              <w:rPr>
                <w:color w:val="auto"/>
                <w:lang w:val="en-GB"/>
              </w:rPr>
            </w:pPr>
            <w:r w:rsidRPr="005E3242">
              <w:rPr>
                <w:color w:val="auto"/>
                <w:lang w:val="en-GB"/>
              </w:rPr>
              <w:t>HR [95% CI]</w:t>
            </w:r>
          </w:p>
        </w:tc>
        <w:tc>
          <w:tcPr>
            <w:tcW w:w="4377" w:type="dxa"/>
            <w:gridSpan w:val="2"/>
            <w:tcBorders>
              <w:top w:val="nil"/>
              <w:left w:val="single" w:sz="4" w:space="0" w:color="auto"/>
              <w:bottom w:val="nil"/>
              <w:right w:val="single" w:sz="4" w:space="0" w:color="auto"/>
            </w:tcBorders>
            <w:vAlign w:val="bottom"/>
            <w:hideMark/>
          </w:tcPr>
          <w:p w14:paraId="495E6CE3" w14:textId="1F9DAB04" w:rsidR="0082049F" w:rsidRPr="005E3242" w:rsidRDefault="0082049F" w:rsidP="00C448E8">
            <w:pPr>
              <w:rPr>
                <w:color w:val="auto"/>
                <w:lang w:val="en-GB"/>
              </w:rPr>
            </w:pPr>
            <w:r w:rsidRPr="005E3242">
              <w:rPr>
                <w:color w:val="auto"/>
                <w:lang w:val="en-GB"/>
              </w:rPr>
              <w:t>0.79 [0.63, 0.99]</w:t>
            </w:r>
          </w:p>
        </w:tc>
      </w:tr>
      <w:tr w:rsidR="0082049F" w:rsidRPr="005E3242" w14:paraId="3EEC96D4" w14:textId="1C61F3A3" w:rsidTr="0082049F">
        <w:trPr>
          <w:cantSplit/>
          <w:jc w:val="right"/>
        </w:trPr>
        <w:tc>
          <w:tcPr>
            <w:tcW w:w="4377" w:type="dxa"/>
            <w:tcBorders>
              <w:top w:val="nil"/>
              <w:left w:val="single" w:sz="4" w:space="0" w:color="auto"/>
              <w:bottom w:val="nil"/>
              <w:right w:val="single" w:sz="4" w:space="0" w:color="auto"/>
            </w:tcBorders>
            <w:vAlign w:val="bottom"/>
            <w:hideMark/>
          </w:tcPr>
          <w:p w14:paraId="555F2F18" w14:textId="3195A3BA" w:rsidR="0082049F" w:rsidRPr="005E3242" w:rsidRDefault="0082049F" w:rsidP="00C448E8">
            <w:pPr>
              <w:rPr>
                <w:color w:val="auto"/>
                <w:lang w:val="en-GB"/>
              </w:rPr>
            </w:pPr>
            <w:r w:rsidRPr="005E3242">
              <w:rPr>
                <w:color w:val="auto"/>
                <w:lang w:val="en-GB"/>
              </w:rPr>
              <w:t>p-value (</w:t>
            </w:r>
            <w:r w:rsidR="00D00193">
              <w:rPr>
                <w:color w:val="auto"/>
                <w:lang w:val="en-GB"/>
              </w:rPr>
              <w:t>l</w:t>
            </w:r>
            <w:r w:rsidRPr="005E3242">
              <w:rPr>
                <w:color w:val="auto"/>
                <w:lang w:val="en-GB"/>
              </w:rPr>
              <w:t>og-</w:t>
            </w:r>
            <w:r w:rsidR="00D00193">
              <w:rPr>
                <w:color w:val="auto"/>
                <w:lang w:val="en-GB"/>
              </w:rPr>
              <w:t>r</w:t>
            </w:r>
            <w:r w:rsidRPr="005E3242">
              <w:rPr>
                <w:color w:val="auto"/>
                <w:lang w:val="en-GB"/>
              </w:rPr>
              <w:t>ank test, stratified</w:t>
            </w:r>
            <w:r w:rsidRPr="005E3242">
              <w:rPr>
                <w:color w:val="auto"/>
                <w:vertAlign w:val="superscript"/>
                <w:lang w:val="en-GB"/>
              </w:rPr>
              <w:t>2</w:t>
            </w:r>
            <w:r w:rsidRPr="005E3242">
              <w:rPr>
                <w:color w:val="auto"/>
                <w:lang w:val="en-GB"/>
              </w:rPr>
              <w:t>)</w:t>
            </w:r>
          </w:p>
        </w:tc>
        <w:tc>
          <w:tcPr>
            <w:tcW w:w="4377" w:type="dxa"/>
            <w:gridSpan w:val="2"/>
            <w:tcBorders>
              <w:top w:val="nil"/>
              <w:left w:val="single" w:sz="4" w:space="0" w:color="auto"/>
              <w:bottom w:val="nil"/>
              <w:right w:val="single" w:sz="4" w:space="0" w:color="auto"/>
            </w:tcBorders>
            <w:vAlign w:val="bottom"/>
            <w:hideMark/>
          </w:tcPr>
          <w:p w14:paraId="3F9E81F6" w14:textId="54B41A4E" w:rsidR="0082049F" w:rsidRPr="005E3242" w:rsidRDefault="0082049F" w:rsidP="00C448E8">
            <w:pPr>
              <w:rPr>
                <w:color w:val="auto"/>
                <w:lang w:val="en-GB"/>
              </w:rPr>
            </w:pPr>
            <w:r w:rsidRPr="005E3242">
              <w:rPr>
                <w:color w:val="auto"/>
                <w:lang w:val="en-GB"/>
              </w:rPr>
              <w:t>0.0430</w:t>
            </w:r>
          </w:p>
        </w:tc>
      </w:tr>
      <w:tr w:rsidR="0082049F" w:rsidRPr="005E3242" w14:paraId="303812E2" w14:textId="21BEB6FA" w:rsidTr="0082049F">
        <w:trPr>
          <w:cantSplit/>
          <w:jc w:val="right"/>
        </w:trPr>
        <w:tc>
          <w:tcPr>
            <w:tcW w:w="4377" w:type="dxa"/>
            <w:tcBorders>
              <w:top w:val="nil"/>
              <w:left w:val="single" w:sz="4" w:space="0" w:color="auto"/>
              <w:bottom w:val="single" w:sz="4" w:space="0" w:color="auto"/>
              <w:right w:val="single" w:sz="4" w:space="0" w:color="auto"/>
            </w:tcBorders>
            <w:vAlign w:val="bottom"/>
            <w:hideMark/>
          </w:tcPr>
          <w:p w14:paraId="15632267" w14:textId="6E359970" w:rsidR="0082049F" w:rsidRPr="005E3242" w:rsidRDefault="0082049F" w:rsidP="00C448E8">
            <w:pPr>
              <w:rPr>
                <w:color w:val="auto"/>
                <w:lang w:val="en-GB"/>
              </w:rPr>
            </w:pPr>
            <w:proofErr w:type="gramStart"/>
            <w:r w:rsidRPr="005E3242">
              <w:rPr>
                <w:color w:val="auto"/>
                <w:lang w:val="en-GB"/>
              </w:rPr>
              <w:t>3 year</w:t>
            </w:r>
            <w:proofErr w:type="gramEnd"/>
            <w:r w:rsidRPr="005E3242">
              <w:rPr>
                <w:color w:val="auto"/>
                <w:lang w:val="en-GB"/>
              </w:rPr>
              <w:t xml:space="preserve"> event-free rate</w:t>
            </w:r>
            <w:r w:rsidRPr="005E3242">
              <w:rPr>
                <w:color w:val="auto"/>
                <w:vertAlign w:val="superscript"/>
                <w:lang w:val="en-GB"/>
              </w:rPr>
              <w:t>3</w:t>
            </w:r>
            <w:r w:rsidRPr="005E3242">
              <w:rPr>
                <w:color w:val="auto"/>
                <w:lang w:val="en-GB"/>
              </w:rPr>
              <w:t xml:space="preserve"> [95% CI]</w:t>
            </w:r>
          </w:p>
        </w:tc>
        <w:tc>
          <w:tcPr>
            <w:tcW w:w="2250" w:type="dxa"/>
            <w:tcBorders>
              <w:top w:val="nil"/>
              <w:left w:val="single" w:sz="4" w:space="0" w:color="auto"/>
              <w:bottom w:val="single" w:sz="4" w:space="0" w:color="auto"/>
              <w:right w:val="nil"/>
            </w:tcBorders>
            <w:vAlign w:val="bottom"/>
            <w:hideMark/>
          </w:tcPr>
          <w:p w14:paraId="172B85AA" w14:textId="194C423E" w:rsidR="0082049F" w:rsidRPr="005E3242" w:rsidRDefault="0082049F" w:rsidP="00C448E8">
            <w:pPr>
              <w:rPr>
                <w:color w:val="auto"/>
                <w:lang w:val="en-GB"/>
              </w:rPr>
            </w:pPr>
            <w:r w:rsidRPr="005E3242">
              <w:rPr>
                <w:color w:val="auto"/>
                <w:lang w:val="en-GB"/>
              </w:rPr>
              <w:t>95.2 [94.3, 96.1]</w:t>
            </w:r>
          </w:p>
        </w:tc>
        <w:tc>
          <w:tcPr>
            <w:tcW w:w="2127" w:type="dxa"/>
            <w:tcBorders>
              <w:top w:val="nil"/>
              <w:left w:val="nil"/>
              <w:bottom w:val="single" w:sz="4" w:space="0" w:color="auto"/>
              <w:right w:val="single" w:sz="4" w:space="0" w:color="auto"/>
            </w:tcBorders>
            <w:vAlign w:val="bottom"/>
            <w:hideMark/>
          </w:tcPr>
          <w:p w14:paraId="7BB37FBB" w14:textId="1D961560" w:rsidR="0082049F" w:rsidRPr="005E3242" w:rsidRDefault="0082049F" w:rsidP="00C448E8">
            <w:pPr>
              <w:rPr>
                <w:color w:val="auto"/>
                <w:lang w:val="en-GB"/>
              </w:rPr>
            </w:pPr>
            <w:r w:rsidRPr="005E3242">
              <w:rPr>
                <w:color w:val="auto"/>
                <w:lang w:val="en-GB"/>
              </w:rPr>
              <w:t>94.3 [93.3, 95.2]</w:t>
            </w:r>
          </w:p>
        </w:tc>
      </w:tr>
      <w:tr w:rsidR="0082049F" w:rsidRPr="005E3242" w14:paraId="3C4628FE" w14:textId="4FE90054" w:rsidTr="0082049F">
        <w:trPr>
          <w:cantSplit/>
          <w:jc w:val="right"/>
        </w:trPr>
        <w:tc>
          <w:tcPr>
            <w:tcW w:w="4377" w:type="dxa"/>
            <w:tcBorders>
              <w:top w:val="single" w:sz="4" w:space="0" w:color="auto"/>
              <w:left w:val="single" w:sz="4" w:space="0" w:color="auto"/>
              <w:bottom w:val="nil"/>
              <w:right w:val="single" w:sz="4" w:space="0" w:color="auto"/>
            </w:tcBorders>
            <w:vAlign w:val="bottom"/>
            <w:hideMark/>
          </w:tcPr>
          <w:p w14:paraId="72393BF2" w14:textId="08B5E317" w:rsidR="0082049F" w:rsidRPr="005E3242" w:rsidRDefault="0082049F" w:rsidP="00C448E8">
            <w:pPr>
              <w:rPr>
                <w:b/>
                <w:color w:val="auto"/>
                <w:vertAlign w:val="superscript"/>
                <w:lang w:val="en-GB"/>
              </w:rPr>
            </w:pPr>
            <w:r w:rsidRPr="005E3242">
              <w:rPr>
                <w:b/>
                <w:color w:val="auto"/>
                <w:lang w:val="en-GB"/>
              </w:rPr>
              <w:t>Distant recurrence-free interval (DRFI)</w:t>
            </w:r>
          </w:p>
        </w:tc>
        <w:tc>
          <w:tcPr>
            <w:tcW w:w="4377" w:type="dxa"/>
            <w:gridSpan w:val="2"/>
            <w:tcBorders>
              <w:top w:val="single" w:sz="4" w:space="0" w:color="auto"/>
              <w:left w:val="single" w:sz="4" w:space="0" w:color="auto"/>
              <w:bottom w:val="nil"/>
              <w:right w:val="single" w:sz="4" w:space="0" w:color="auto"/>
            </w:tcBorders>
            <w:vAlign w:val="bottom"/>
          </w:tcPr>
          <w:p w14:paraId="18BD9692" w14:textId="44D58F58" w:rsidR="0082049F" w:rsidRPr="005E3242" w:rsidRDefault="0082049F" w:rsidP="00C448E8">
            <w:pPr>
              <w:rPr>
                <w:color w:val="auto"/>
                <w:lang w:val="en-US"/>
              </w:rPr>
            </w:pPr>
          </w:p>
        </w:tc>
      </w:tr>
      <w:tr w:rsidR="0082049F" w:rsidRPr="005E3242" w14:paraId="3DF8EB2A" w14:textId="3C29871D" w:rsidTr="0082049F">
        <w:trPr>
          <w:cantSplit/>
          <w:jc w:val="right"/>
        </w:trPr>
        <w:tc>
          <w:tcPr>
            <w:tcW w:w="4377" w:type="dxa"/>
            <w:tcBorders>
              <w:top w:val="nil"/>
              <w:left w:val="single" w:sz="4" w:space="0" w:color="auto"/>
              <w:bottom w:val="nil"/>
              <w:right w:val="single" w:sz="4" w:space="0" w:color="auto"/>
            </w:tcBorders>
            <w:hideMark/>
          </w:tcPr>
          <w:p w14:paraId="6A9F7CD3" w14:textId="38BE7CCB" w:rsidR="0082049F" w:rsidRPr="005E3242" w:rsidRDefault="0082049F" w:rsidP="00C448E8">
            <w:pPr>
              <w:rPr>
                <w:color w:val="auto"/>
                <w:lang w:val="en-GB"/>
              </w:rPr>
            </w:pPr>
            <w:r w:rsidRPr="005E3242">
              <w:rPr>
                <w:color w:val="auto"/>
                <w:lang w:val="en-GB"/>
              </w:rPr>
              <w:t>Number (%) of patients with event</w:t>
            </w:r>
          </w:p>
        </w:tc>
        <w:tc>
          <w:tcPr>
            <w:tcW w:w="2250" w:type="dxa"/>
            <w:tcBorders>
              <w:top w:val="nil"/>
              <w:left w:val="single" w:sz="4" w:space="0" w:color="auto"/>
              <w:bottom w:val="nil"/>
              <w:right w:val="nil"/>
            </w:tcBorders>
            <w:vAlign w:val="bottom"/>
            <w:hideMark/>
          </w:tcPr>
          <w:p w14:paraId="0384A1B8" w14:textId="7EC64F42" w:rsidR="0082049F" w:rsidRPr="005E3242" w:rsidRDefault="0082049F" w:rsidP="00C448E8">
            <w:pPr>
              <w:rPr>
                <w:color w:val="auto"/>
                <w:lang w:val="en-GB"/>
              </w:rPr>
            </w:pPr>
            <w:r w:rsidRPr="005E3242">
              <w:rPr>
                <w:color w:val="auto"/>
                <w:lang w:val="en-GB"/>
              </w:rPr>
              <w:t>119 (5.0%)</w:t>
            </w:r>
          </w:p>
        </w:tc>
        <w:tc>
          <w:tcPr>
            <w:tcW w:w="2127" w:type="dxa"/>
            <w:tcBorders>
              <w:top w:val="nil"/>
              <w:left w:val="nil"/>
              <w:bottom w:val="nil"/>
              <w:right w:val="single" w:sz="4" w:space="0" w:color="auto"/>
            </w:tcBorders>
            <w:vAlign w:val="bottom"/>
            <w:hideMark/>
          </w:tcPr>
          <w:p w14:paraId="123CB503" w14:textId="18DB9D2D" w:rsidR="0082049F" w:rsidRPr="005E3242" w:rsidRDefault="0082049F" w:rsidP="00C448E8">
            <w:pPr>
              <w:rPr>
                <w:color w:val="auto"/>
                <w:lang w:val="en-GB"/>
              </w:rPr>
            </w:pPr>
            <w:r w:rsidRPr="005E3242">
              <w:rPr>
                <w:color w:val="auto"/>
                <w:lang w:val="en-GB"/>
              </w:rPr>
              <w:t>145 (6.0%)</w:t>
            </w:r>
          </w:p>
        </w:tc>
      </w:tr>
      <w:tr w:rsidR="0082049F" w:rsidRPr="005E3242" w14:paraId="47C5132A" w14:textId="27BDDAFA" w:rsidTr="0082049F">
        <w:trPr>
          <w:cantSplit/>
          <w:jc w:val="right"/>
        </w:trPr>
        <w:tc>
          <w:tcPr>
            <w:tcW w:w="4377" w:type="dxa"/>
            <w:tcBorders>
              <w:top w:val="nil"/>
              <w:left w:val="single" w:sz="4" w:space="0" w:color="auto"/>
              <w:bottom w:val="nil"/>
              <w:right w:val="single" w:sz="4" w:space="0" w:color="auto"/>
            </w:tcBorders>
            <w:vAlign w:val="bottom"/>
            <w:hideMark/>
          </w:tcPr>
          <w:p w14:paraId="11627125" w14:textId="20312D1E" w:rsidR="0082049F" w:rsidRPr="005E3242" w:rsidRDefault="0082049F" w:rsidP="00C448E8">
            <w:pPr>
              <w:rPr>
                <w:color w:val="auto"/>
                <w:lang w:val="en-GB"/>
              </w:rPr>
            </w:pPr>
            <w:r w:rsidRPr="005E3242">
              <w:rPr>
                <w:color w:val="auto"/>
                <w:lang w:val="en-GB"/>
              </w:rPr>
              <w:t>HR [95% CI]</w:t>
            </w:r>
          </w:p>
        </w:tc>
        <w:tc>
          <w:tcPr>
            <w:tcW w:w="4377" w:type="dxa"/>
            <w:gridSpan w:val="2"/>
            <w:tcBorders>
              <w:top w:val="nil"/>
              <w:left w:val="single" w:sz="4" w:space="0" w:color="auto"/>
              <w:bottom w:val="nil"/>
              <w:right w:val="single" w:sz="4" w:space="0" w:color="auto"/>
            </w:tcBorders>
            <w:vAlign w:val="bottom"/>
            <w:hideMark/>
          </w:tcPr>
          <w:p w14:paraId="089B457A" w14:textId="199C999D" w:rsidR="0082049F" w:rsidRPr="005E3242" w:rsidRDefault="0082049F" w:rsidP="00C448E8">
            <w:pPr>
              <w:rPr>
                <w:color w:val="auto"/>
                <w:lang w:val="en-GB"/>
              </w:rPr>
            </w:pPr>
            <w:r w:rsidRPr="005E3242">
              <w:rPr>
                <w:color w:val="auto"/>
                <w:lang w:val="en-GB"/>
              </w:rPr>
              <w:t>0.82 [0.64, 1.04]</w:t>
            </w:r>
          </w:p>
        </w:tc>
      </w:tr>
      <w:tr w:rsidR="0082049F" w:rsidRPr="005E3242" w14:paraId="63807CF8" w14:textId="1FA421D7" w:rsidTr="0082049F">
        <w:trPr>
          <w:cantSplit/>
          <w:jc w:val="right"/>
        </w:trPr>
        <w:tc>
          <w:tcPr>
            <w:tcW w:w="4377" w:type="dxa"/>
            <w:tcBorders>
              <w:top w:val="nil"/>
              <w:left w:val="single" w:sz="4" w:space="0" w:color="auto"/>
              <w:bottom w:val="nil"/>
              <w:right w:val="single" w:sz="4" w:space="0" w:color="auto"/>
            </w:tcBorders>
            <w:vAlign w:val="bottom"/>
            <w:hideMark/>
          </w:tcPr>
          <w:p w14:paraId="6E7D14C9" w14:textId="092BFE14" w:rsidR="0082049F" w:rsidRPr="005E3242" w:rsidRDefault="0082049F" w:rsidP="00C448E8">
            <w:pPr>
              <w:rPr>
                <w:color w:val="auto"/>
                <w:lang w:val="en-GB"/>
              </w:rPr>
            </w:pPr>
            <w:r w:rsidRPr="005E3242">
              <w:rPr>
                <w:color w:val="auto"/>
                <w:lang w:val="en-GB"/>
              </w:rPr>
              <w:t>p-value (</w:t>
            </w:r>
            <w:r w:rsidR="00D00193">
              <w:rPr>
                <w:color w:val="auto"/>
                <w:lang w:val="en-GB"/>
              </w:rPr>
              <w:t>l</w:t>
            </w:r>
            <w:r w:rsidRPr="005E3242">
              <w:rPr>
                <w:color w:val="auto"/>
                <w:lang w:val="en-GB"/>
              </w:rPr>
              <w:t>og-</w:t>
            </w:r>
            <w:r w:rsidR="00D00193">
              <w:rPr>
                <w:color w:val="auto"/>
                <w:lang w:val="en-GB"/>
              </w:rPr>
              <w:t>r</w:t>
            </w:r>
            <w:r w:rsidRPr="005E3242">
              <w:rPr>
                <w:color w:val="auto"/>
                <w:lang w:val="en-GB"/>
              </w:rPr>
              <w:t>ank test, stratified</w:t>
            </w:r>
            <w:r w:rsidRPr="005E3242">
              <w:rPr>
                <w:color w:val="auto"/>
                <w:vertAlign w:val="superscript"/>
                <w:lang w:val="en-GB"/>
              </w:rPr>
              <w:t>2</w:t>
            </w:r>
            <w:r w:rsidRPr="005E3242">
              <w:rPr>
                <w:color w:val="auto"/>
                <w:lang w:val="en-GB"/>
              </w:rPr>
              <w:t>)</w:t>
            </w:r>
          </w:p>
        </w:tc>
        <w:tc>
          <w:tcPr>
            <w:tcW w:w="4377" w:type="dxa"/>
            <w:gridSpan w:val="2"/>
            <w:tcBorders>
              <w:top w:val="nil"/>
              <w:left w:val="single" w:sz="4" w:space="0" w:color="auto"/>
              <w:bottom w:val="nil"/>
              <w:right w:val="single" w:sz="4" w:space="0" w:color="auto"/>
            </w:tcBorders>
            <w:vAlign w:val="bottom"/>
            <w:hideMark/>
          </w:tcPr>
          <w:p w14:paraId="4F935DC0" w14:textId="60C9252D" w:rsidR="0082049F" w:rsidRPr="005E3242" w:rsidRDefault="0082049F" w:rsidP="00C448E8">
            <w:pPr>
              <w:rPr>
                <w:color w:val="auto"/>
                <w:lang w:val="en-GB"/>
              </w:rPr>
            </w:pPr>
            <w:r w:rsidRPr="005E3242">
              <w:rPr>
                <w:color w:val="auto"/>
                <w:lang w:val="en-GB"/>
              </w:rPr>
              <w:t>0.1007</w:t>
            </w:r>
          </w:p>
        </w:tc>
      </w:tr>
      <w:tr w:rsidR="0082049F" w:rsidRPr="005E3242" w14:paraId="17834758" w14:textId="5DA1A8C8" w:rsidTr="0082049F">
        <w:trPr>
          <w:cantSplit/>
          <w:jc w:val="right"/>
        </w:trPr>
        <w:tc>
          <w:tcPr>
            <w:tcW w:w="4377" w:type="dxa"/>
            <w:tcBorders>
              <w:top w:val="nil"/>
              <w:left w:val="single" w:sz="4" w:space="0" w:color="auto"/>
              <w:bottom w:val="single" w:sz="4" w:space="0" w:color="auto"/>
              <w:right w:val="single" w:sz="4" w:space="0" w:color="auto"/>
            </w:tcBorders>
            <w:hideMark/>
          </w:tcPr>
          <w:p w14:paraId="5347175A" w14:textId="37ACA707" w:rsidR="0082049F" w:rsidRPr="005E3242" w:rsidRDefault="0082049F" w:rsidP="00C448E8">
            <w:pPr>
              <w:rPr>
                <w:color w:val="auto"/>
                <w:lang w:val="en-GB"/>
              </w:rPr>
            </w:pPr>
            <w:proofErr w:type="gramStart"/>
            <w:r w:rsidRPr="005E3242">
              <w:rPr>
                <w:color w:val="auto"/>
                <w:lang w:val="en-GB"/>
              </w:rPr>
              <w:t>3 year</w:t>
            </w:r>
            <w:proofErr w:type="gramEnd"/>
            <w:r w:rsidRPr="005E3242">
              <w:rPr>
                <w:color w:val="auto"/>
                <w:lang w:val="en-GB"/>
              </w:rPr>
              <w:t xml:space="preserve"> event-free rate</w:t>
            </w:r>
            <w:r w:rsidRPr="005E3242">
              <w:rPr>
                <w:color w:val="auto"/>
                <w:vertAlign w:val="superscript"/>
                <w:lang w:val="en-GB"/>
              </w:rPr>
              <w:t>3</w:t>
            </w:r>
            <w:r w:rsidRPr="005E3242">
              <w:rPr>
                <w:color w:val="auto"/>
                <w:lang w:val="en-GB"/>
              </w:rPr>
              <w:t xml:space="preserve"> [95% CI]</w:t>
            </w:r>
          </w:p>
        </w:tc>
        <w:tc>
          <w:tcPr>
            <w:tcW w:w="2250" w:type="dxa"/>
            <w:tcBorders>
              <w:top w:val="nil"/>
              <w:left w:val="single" w:sz="4" w:space="0" w:color="auto"/>
              <w:bottom w:val="single" w:sz="4" w:space="0" w:color="auto"/>
              <w:right w:val="nil"/>
            </w:tcBorders>
            <w:vAlign w:val="bottom"/>
            <w:hideMark/>
          </w:tcPr>
          <w:p w14:paraId="6957A8B1" w14:textId="75908671" w:rsidR="0082049F" w:rsidRPr="005E3242" w:rsidRDefault="0082049F" w:rsidP="00C448E8">
            <w:pPr>
              <w:rPr>
                <w:color w:val="auto"/>
                <w:lang w:val="en-GB"/>
              </w:rPr>
            </w:pPr>
            <w:r w:rsidRPr="005E3242">
              <w:rPr>
                <w:color w:val="auto"/>
                <w:lang w:val="en-GB"/>
              </w:rPr>
              <w:t>95.7 [94.9, 96.5]</w:t>
            </w:r>
          </w:p>
        </w:tc>
        <w:tc>
          <w:tcPr>
            <w:tcW w:w="2127" w:type="dxa"/>
            <w:tcBorders>
              <w:top w:val="nil"/>
              <w:left w:val="nil"/>
              <w:bottom w:val="single" w:sz="4" w:space="0" w:color="auto"/>
              <w:right w:val="single" w:sz="4" w:space="0" w:color="auto"/>
            </w:tcBorders>
            <w:vAlign w:val="bottom"/>
            <w:hideMark/>
          </w:tcPr>
          <w:p w14:paraId="62EF75B3" w14:textId="44828128" w:rsidR="0082049F" w:rsidRPr="005E3242" w:rsidRDefault="0082049F" w:rsidP="00C448E8">
            <w:pPr>
              <w:rPr>
                <w:color w:val="auto"/>
                <w:lang w:val="en-GB"/>
              </w:rPr>
            </w:pPr>
            <w:r w:rsidRPr="005E3242">
              <w:rPr>
                <w:color w:val="auto"/>
                <w:lang w:val="en-GB"/>
              </w:rPr>
              <w:t>95.1 [94.3, 96.0]</w:t>
            </w:r>
          </w:p>
        </w:tc>
      </w:tr>
    </w:tbl>
    <w:p w14:paraId="2254C35A" w14:textId="7584553E" w:rsidR="0082049F" w:rsidRPr="005E3242" w:rsidRDefault="0082049F" w:rsidP="00C448E8">
      <w:pPr>
        <w:rPr>
          <w:color w:val="auto"/>
          <w:sz w:val="20"/>
          <w:szCs w:val="20"/>
          <w:lang w:val="en-GB"/>
        </w:rPr>
      </w:pPr>
      <w:r w:rsidRPr="005E3242">
        <w:rPr>
          <w:b/>
          <w:color w:val="auto"/>
          <w:sz w:val="20"/>
          <w:szCs w:val="20"/>
          <w:lang w:val="en-US"/>
        </w:rPr>
        <w:t>Key to abbreviations (</w:t>
      </w:r>
      <w:r w:rsidR="00D00193">
        <w:rPr>
          <w:b/>
          <w:color w:val="auto"/>
          <w:sz w:val="20"/>
          <w:szCs w:val="20"/>
          <w:lang w:val="en-US"/>
        </w:rPr>
        <w:fldChar w:fldCharType="begin"/>
      </w:r>
      <w:r w:rsidR="00D00193">
        <w:rPr>
          <w:b/>
          <w:color w:val="auto"/>
          <w:sz w:val="20"/>
          <w:szCs w:val="20"/>
          <w:lang w:val="en-US"/>
        </w:rPr>
        <w:instrText xml:space="preserve"> REF _Ref66715927 \h  \* MERGEFORMAT </w:instrText>
      </w:r>
      <w:r w:rsidR="00D00193">
        <w:rPr>
          <w:b/>
          <w:color w:val="auto"/>
          <w:sz w:val="20"/>
          <w:szCs w:val="20"/>
          <w:lang w:val="en-US"/>
        </w:rPr>
      </w:r>
      <w:r w:rsidR="00D00193">
        <w:rPr>
          <w:b/>
          <w:color w:val="auto"/>
          <w:sz w:val="20"/>
          <w:szCs w:val="20"/>
          <w:lang w:val="en-US"/>
        </w:rPr>
        <w:fldChar w:fldCharType="separate"/>
      </w:r>
      <w:r w:rsidR="00C840A1" w:rsidRPr="006B2154">
        <w:rPr>
          <w:b/>
          <w:color w:val="auto"/>
          <w:sz w:val="20"/>
          <w:szCs w:val="20"/>
          <w:lang w:val="en-US"/>
        </w:rPr>
        <w:t>Table 8</w:t>
      </w:r>
      <w:r w:rsidR="00D00193">
        <w:rPr>
          <w:b/>
          <w:color w:val="auto"/>
          <w:sz w:val="20"/>
          <w:szCs w:val="20"/>
          <w:lang w:val="en-US"/>
        </w:rPr>
        <w:fldChar w:fldCharType="end"/>
      </w:r>
      <w:r w:rsidRPr="005E3242">
        <w:rPr>
          <w:b/>
          <w:color w:val="auto"/>
          <w:sz w:val="20"/>
          <w:szCs w:val="20"/>
          <w:lang w:val="en-US"/>
        </w:rPr>
        <w:t xml:space="preserve">): </w:t>
      </w:r>
      <w:r w:rsidRPr="005E3242">
        <w:rPr>
          <w:color w:val="auto"/>
          <w:sz w:val="20"/>
          <w:szCs w:val="20"/>
          <w:lang w:val="en-GB"/>
        </w:rPr>
        <w:t xml:space="preserve">HR: Hazard Ratio; CI: Confidence Interval </w:t>
      </w:r>
    </w:p>
    <w:p w14:paraId="28D71901" w14:textId="5CB7D493" w:rsidR="0082049F" w:rsidRPr="005E3242" w:rsidRDefault="0082049F" w:rsidP="00C448E8">
      <w:pPr>
        <w:rPr>
          <w:color w:val="auto"/>
          <w:sz w:val="20"/>
          <w:szCs w:val="20"/>
          <w:lang w:val="en-US"/>
        </w:rPr>
      </w:pPr>
      <w:r w:rsidRPr="005E3242">
        <w:rPr>
          <w:color w:val="auto"/>
          <w:sz w:val="20"/>
          <w:szCs w:val="20"/>
          <w:lang w:val="en-US"/>
        </w:rPr>
        <w:t xml:space="preserve">1. Hierarchical testing applied for all secondary endpoints </w:t>
      </w:r>
      <w:proofErr w:type="gramStart"/>
      <w:r w:rsidRPr="005E3242">
        <w:rPr>
          <w:color w:val="auto"/>
          <w:sz w:val="20"/>
          <w:szCs w:val="20"/>
          <w:lang w:val="en-US"/>
        </w:rPr>
        <w:t>with the exception of</w:t>
      </w:r>
      <w:proofErr w:type="gramEnd"/>
      <w:r w:rsidRPr="005E3242">
        <w:rPr>
          <w:color w:val="auto"/>
          <w:sz w:val="20"/>
          <w:szCs w:val="20"/>
          <w:lang w:val="en-US"/>
        </w:rPr>
        <w:t xml:space="preserve"> RFI and DRFI. </w:t>
      </w:r>
    </w:p>
    <w:p w14:paraId="5EE715E0" w14:textId="53D62F22" w:rsidR="0082049F" w:rsidRPr="005E3242" w:rsidRDefault="0082049F" w:rsidP="00C448E8">
      <w:pPr>
        <w:rPr>
          <w:color w:val="auto"/>
          <w:sz w:val="20"/>
          <w:szCs w:val="20"/>
          <w:lang w:val="en-US"/>
        </w:rPr>
      </w:pPr>
      <w:r w:rsidRPr="005E3242">
        <w:rPr>
          <w:color w:val="auto"/>
          <w:sz w:val="20"/>
          <w:szCs w:val="20"/>
          <w:lang w:val="en-US"/>
        </w:rPr>
        <w:t xml:space="preserve">2. All analyses stratified by nodal status, protocol version, central hormone receptor status, and adjuvant chemotherapy regimen.                                                         </w:t>
      </w:r>
    </w:p>
    <w:p w14:paraId="623F1C66" w14:textId="5ADB1C31" w:rsidR="0082049F" w:rsidRPr="005E3242" w:rsidRDefault="0082049F" w:rsidP="00C448E8">
      <w:pPr>
        <w:rPr>
          <w:color w:val="auto"/>
          <w:sz w:val="20"/>
          <w:szCs w:val="20"/>
          <w:lang w:val="en-US"/>
        </w:rPr>
      </w:pPr>
      <w:r w:rsidRPr="005E3242">
        <w:rPr>
          <w:color w:val="auto"/>
          <w:sz w:val="20"/>
          <w:szCs w:val="20"/>
          <w:lang w:val="en-US"/>
        </w:rPr>
        <w:t>3. 3-year event-free rate derived from Kaplan-Meier estimates</w:t>
      </w:r>
    </w:p>
    <w:p w14:paraId="2A314FB8" w14:textId="4289B2B4" w:rsidR="0082049F" w:rsidRPr="005E3242" w:rsidRDefault="0082049F" w:rsidP="00C448E8">
      <w:pPr>
        <w:rPr>
          <w:color w:val="auto"/>
          <w:lang w:val="en-US"/>
        </w:rPr>
      </w:pPr>
      <w:r w:rsidRPr="005E3242">
        <w:rPr>
          <w:color w:val="auto"/>
          <w:sz w:val="20"/>
          <w:szCs w:val="20"/>
          <w:lang w:val="en-US"/>
        </w:rPr>
        <w:t>4. Data from first interim analysis</w:t>
      </w:r>
      <w:r w:rsidRPr="005E3242">
        <w:rPr>
          <w:color w:val="auto"/>
          <w:lang w:val="en-US"/>
        </w:rPr>
        <w:t xml:space="preserve"> </w:t>
      </w:r>
    </w:p>
    <w:p w14:paraId="40CC1771" w14:textId="28A126F7" w:rsidR="0082049F" w:rsidRPr="005E3242" w:rsidRDefault="0082049F" w:rsidP="00C448E8">
      <w:pPr>
        <w:rPr>
          <w:color w:val="auto"/>
          <w:lang w:val="en-US"/>
        </w:rPr>
      </w:pPr>
    </w:p>
    <w:p w14:paraId="70AC1C78" w14:textId="746186D0" w:rsidR="001247FD" w:rsidRPr="005E3242" w:rsidRDefault="001247FD" w:rsidP="00C448E8">
      <w:pPr>
        <w:rPr>
          <w:b/>
          <w:color w:val="auto"/>
          <w:lang w:val="en-US"/>
        </w:rPr>
      </w:pPr>
      <w:r w:rsidRPr="005E3242">
        <w:rPr>
          <w:b/>
          <w:noProof/>
          <w:color w:val="auto"/>
          <w:lang w:val="en-US" w:eastAsia="en-US"/>
        </w:rPr>
        <w:lastRenderedPageBreak/>
        <w:drawing>
          <wp:anchor distT="0" distB="0" distL="114300" distR="114300" simplePos="0" relativeHeight="251658240" behindDoc="0" locked="0" layoutInCell="1" allowOverlap="1" wp14:anchorId="24B3ADAD" wp14:editId="1C1A7CA0">
            <wp:simplePos x="0" y="0"/>
            <wp:positionH relativeFrom="column">
              <wp:posOffset>17145</wp:posOffset>
            </wp:positionH>
            <wp:positionV relativeFrom="paragraph">
              <wp:posOffset>312420</wp:posOffset>
            </wp:positionV>
            <wp:extent cx="5677535" cy="33508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535" cy="3350895"/>
                    </a:xfrm>
                    <a:prstGeom prst="rect">
                      <a:avLst/>
                    </a:prstGeom>
                    <a:noFill/>
                  </pic:spPr>
                </pic:pic>
              </a:graphicData>
            </a:graphic>
            <wp14:sizeRelH relativeFrom="page">
              <wp14:pctWidth>0</wp14:pctWidth>
            </wp14:sizeRelH>
            <wp14:sizeRelV relativeFrom="page">
              <wp14:pctHeight>0</wp14:pctHeight>
            </wp14:sizeRelV>
          </wp:anchor>
        </w:drawing>
      </w:r>
      <w:r w:rsidRPr="005E3242">
        <w:rPr>
          <w:b/>
          <w:color w:val="auto"/>
          <w:lang w:val="en-US"/>
        </w:rPr>
        <w:t xml:space="preserve">Figure 1: Kaplan-Meier curve of invasive </w:t>
      </w:r>
      <w:proofErr w:type="gramStart"/>
      <w:r w:rsidRPr="005E3242">
        <w:rPr>
          <w:b/>
          <w:color w:val="auto"/>
          <w:lang w:val="en-US"/>
        </w:rPr>
        <w:t>disease free</w:t>
      </w:r>
      <w:proofErr w:type="gramEnd"/>
      <w:r w:rsidRPr="005E3242">
        <w:rPr>
          <w:b/>
          <w:color w:val="auto"/>
          <w:lang w:val="en-US"/>
        </w:rPr>
        <w:t xml:space="preserve"> survival</w:t>
      </w:r>
      <w:r w:rsidR="004C0855">
        <w:rPr>
          <w:b/>
          <w:color w:val="auto"/>
          <w:lang w:val="en-US"/>
        </w:rPr>
        <w:t xml:space="preserve"> in APHINITY</w:t>
      </w:r>
    </w:p>
    <w:p w14:paraId="15CD204E" w14:textId="7D0917C1" w:rsidR="001247FD" w:rsidRPr="00250F36" w:rsidRDefault="001247FD" w:rsidP="00C448E8">
      <w:pPr>
        <w:rPr>
          <w:color w:val="auto"/>
          <w:lang w:val="en-US"/>
        </w:rPr>
      </w:pPr>
      <w:proofErr w:type="spellStart"/>
      <w:r w:rsidRPr="00250F36">
        <w:rPr>
          <w:color w:val="auto"/>
          <w:lang w:val="en-US"/>
        </w:rPr>
        <w:t>Pla</w:t>
      </w:r>
      <w:proofErr w:type="spellEnd"/>
      <w:r w:rsidRPr="00250F36">
        <w:rPr>
          <w:color w:val="auto"/>
          <w:lang w:val="en-US"/>
        </w:rPr>
        <w:t xml:space="preserve"> = placebo; </w:t>
      </w:r>
      <w:proofErr w:type="spellStart"/>
      <w:r w:rsidRPr="00250F36">
        <w:rPr>
          <w:color w:val="auto"/>
          <w:lang w:val="en-US"/>
        </w:rPr>
        <w:t>Ptz</w:t>
      </w:r>
      <w:proofErr w:type="spellEnd"/>
      <w:r w:rsidRPr="00250F36">
        <w:rPr>
          <w:color w:val="auto"/>
          <w:lang w:val="en-US"/>
        </w:rPr>
        <w:t xml:space="preserve"> = </w:t>
      </w:r>
      <w:proofErr w:type="spellStart"/>
      <w:r w:rsidRPr="00250F36">
        <w:rPr>
          <w:color w:val="auto"/>
          <w:lang w:val="en-US"/>
        </w:rPr>
        <w:t>pertuzumab</w:t>
      </w:r>
      <w:proofErr w:type="spellEnd"/>
      <w:r w:rsidRPr="00250F36">
        <w:rPr>
          <w:color w:val="auto"/>
          <w:lang w:val="en-US"/>
        </w:rPr>
        <w:t xml:space="preserve">; T = trastuzumab  </w:t>
      </w:r>
    </w:p>
    <w:p w14:paraId="795D1BC9" w14:textId="60E14152" w:rsidR="001247FD" w:rsidRPr="00F3132A" w:rsidRDefault="001247FD" w:rsidP="00C448E8">
      <w:pPr>
        <w:rPr>
          <w:color w:val="auto"/>
          <w:lang w:val="en-US"/>
        </w:rPr>
      </w:pPr>
    </w:p>
    <w:p w14:paraId="03FFEADB" w14:textId="0CCD2118" w:rsidR="001247FD" w:rsidRPr="005E3242" w:rsidRDefault="001247FD" w:rsidP="00C448E8">
      <w:pPr>
        <w:rPr>
          <w:color w:val="auto"/>
          <w:lang w:val="en-US"/>
        </w:rPr>
      </w:pPr>
      <w:r w:rsidRPr="005E3242">
        <w:rPr>
          <w:color w:val="auto"/>
          <w:lang w:val="en-US"/>
        </w:rPr>
        <w:t xml:space="preserve">The estimate of IDFS at 4-years was 92.3% in the </w:t>
      </w:r>
      <w:proofErr w:type="spellStart"/>
      <w:r w:rsidRPr="005E3242">
        <w:rPr>
          <w:color w:val="auto"/>
          <w:lang w:val="en-US"/>
        </w:rPr>
        <w:t>pertuzumab</w:t>
      </w:r>
      <w:proofErr w:type="spellEnd"/>
      <w:r w:rsidRPr="005E3242">
        <w:rPr>
          <w:color w:val="auto"/>
          <w:lang w:val="en-US"/>
        </w:rPr>
        <w:t xml:space="preserve">-treated group versus 90.6% in the placebo-treated group. At the time of the estimate the median follow-up was 45.4 months. </w:t>
      </w:r>
    </w:p>
    <w:p w14:paraId="63D2CF4A" w14:textId="70C724D4" w:rsidR="001247FD" w:rsidRPr="005E3242" w:rsidRDefault="001247FD" w:rsidP="00C448E8">
      <w:pPr>
        <w:rPr>
          <w:i/>
          <w:color w:val="auto"/>
          <w:lang w:val="en-US"/>
        </w:rPr>
      </w:pPr>
    </w:p>
    <w:p w14:paraId="78AD9AAE" w14:textId="2D858948" w:rsidR="00426A21" w:rsidRDefault="001247FD" w:rsidP="00C448E8">
      <w:pPr>
        <w:rPr>
          <w:color w:val="auto"/>
          <w:lang w:val="en-US"/>
        </w:rPr>
      </w:pPr>
      <w:r w:rsidRPr="005E3242">
        <w:rPr>
          <w:color w:val="auto"/>
          <w:lang w:val="en-US"/>
        </w:rPr>
        <w:t xml:space="preserve">Consistent results were observed across </w:t>
      </w:r>
      <w:proofErr w:type="gramStart"/>
      <w:r w:rsidRPr="005E3242">
        <w:rPr>
          <w:color w:val="auto"/>
          <w:lang w:val="en-US"/>
        </w:rPr>
        <w:t>the majority of</w:t>
      </w:r>
      <w:proofErr w:type="gramEnd"/>
      <w:r w:rsidRPr="005E3242">
        <w:rPr>
          <w:color w:val="auto"/>
          <w:lang w:val="en-US"/>
        </w:rPr>
        <w:t xml:space="preserve"> pre-specified patient subgroups. The benefits of </w:t>
      </w:r>
      <w:proofErr w:type="spellStart"/>
      <w:r w:rsidRPr="005E3242">
        <w:rPr>
          <w:color w:val="auto"/>
          <w:lang w:val="en-US"/>
        </w:rPr>
        <w:t>pertuzumab</w:t>
      </w:r>
      <w:proofErr w:type="spellEnd"/>
      <w:r w:rsidRPr="005E3242">
        <w:rPr>
          <w:color w:val="auto"/>
          <w:lang w:val="en-US"/>
        </w:rPr>
        <w:t xml:space="preserve"> were more apparent for patients in certain high risk groups, notably patients with node-positive or hormone receptor-negative d</w:t>
      </w:r>
      <w:r w:rsidR="00271DBF">
        <w:rPr>
          <w:color w:val="auto"/>
          <w:lang w:val="en-US"/>
        </w:rPr>
        <w:t>isease (</w:t>
      </w:r>
      <w:r w:rsidR="00426A21">
        <w:rPr>
          <w:color w:val="auto"/>
          <w:lang w:val="en-US"/>
        </w:rPr>
        <w:fldChar w:fldCharType="begin"/>
      </w:r>
      <w:r w:rsidR="00426A21">
        <w:rPr>
          <w:color w:val="auto"/>
          <w:lang w:val="en-US"/>
        </w:rPr>
        <w:instrText xml:space="preserve"> REF _Ref66717105 \h </w:instrText>
      </w:r>
      <w:r w:rsidR="00426A21">
        <w:rPr>
          <w:color w:val="auto"/>
          <w:lang w:val="en-US"/>
        </w:rPr>
      </w:r>
      <w:r w:rsidR="00C448E8">
        <w:rPr>
          <w:color w:val="auto"/>
          <w:lang w:val="en-US"/>
        </w:rPr>
        <w:instrText xml:space="preserve"> \* MERGEFORMAT </w:instrText>
      </w:r>
      <w:r w:rsidR="00426A21">
        <w:rPr>
          <w:color w:val="auto"/>
          <w:lang w:val="en-US"/>
        </w:rPr>
        <w:fldChar w:fldCharType="separate"/>
      </w:r>
      <w:r w:rsidR="00C840A1">
        <w:t xml:space="preserve">Table </w:t>
      </w:r>
      <w:r w:rsidR="00C840A1">
        <w:rPr>
          <w:noProof/>
        </w:rPr>
        <w:t>9</w:t>
      </w:r>
      <w:r w:rsidR="00426A21">
        <w:rPr>
          <w:color w:val="auto"/>
          <w:lang w:val="en-US"/>
        </w:rPr>
        <w:fldChar w:fldCharType="end"/>
      </w:r>
      <w:r w:rsidR="00271DBF">
        <w:rPr>
          <w:color w:val="auto"/>
          <w:lang w:val="en-US"/>
        </w:rPr>
        <w:t>)</w:t>
      </w:r>
      <w:r w:rsidRPr="005E3242">
        <w:rPr>
          <w:color w:val="auto"/>
          <w:lang w:val="en-US"/>
        </w:rPr>
        <w:t xml:space="preserve">. </w:t>
      </w:r>
    </w:p>
    <w:p w14:paraId="2967255F" w14:textId="5C5F9482" w:rsidR="001247FD" w:rsidRPr="005E3242" w:rsidRDefault="001247FD" w:rsidP="00C448E8">
      <w:pPr>
        <w:rPr>
          <w:color w:val="auto"/>
          <w:lang w:val="en-US"/>
        </w:rPr>
      </w:pPr>
    </w:p>
    <w:p w14:paraId="14EF5004" w14:textId="28140E1B" w:rsidR="004C0855" w:rsidRDefault="004C0855" w:rsidP="00C448E8">
      <w:pPr>
        <w:pStyle w:val="Caption"/>
      </w:pPr>
      <w:bookmarkStart w:id="9" w:name="_Ref66717105"/>
      <w:r>
        <w:t xml:space="preserve">Table </w:t>
      </w:r>
      <w:r>
        <w:fldChar w:fldCharType="begin"/>
      </w:r>
      <w:r>
        <w:instrText xml:space="preserve"> SEQ Table \* ARABIC </w:instrText>
      </w:r>
      <w:r>
        <w:fldChar w:fldCharType="separate"/>
      </w:r>
      <w:r w:rsidR="00C840A1">
        <w:rPr>
          <w:noProof/>
        </w:rPr>
        <w:t>9</w:t>
      </w:r>
      <w:r>
        <w:fldChar w:fldCharType="end"/>
      </w:r>
      <w:bookmarkEnd w:id="9"/>
      <w:r w:rsidR="00426A21">
        <w:t>: Efficacy results by baseline disease characteristics and adjuvant chemotherapy from APHINITY</w:t>
      </w:r>
      <w:r w:rsidR="00426A21" w:rsidRPr="006B2154">
        <w:rPr>
          <w:vertAlign w:val="superscript"/>
        </w:rPr>
        <w:t>1</w:t>
      </w:r>
      <w:r w:rsidR="00426A21">
        <w:rPr>
          <w:noProof/>
          <w:lang w:eastAsia="en-US"/>
        </w:rPr>
        <w:drawing>
          <wp:inline distT="0" distB="0" distL="0" distR="0" wp14:anchorId="761B2CF8" wp14:editId="37DE88B5">
            <wp:extent cx="5311471" cy="3101791"/>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575"/>
                    <a:stretch/>
                  </pic:blipFill>
                  <pic:spPr bwMode="auto">
                    <a:xfrm>
                      <a:off x="0" y="0"/>
                      <a:ext cx="5333720" cy="3114784"/>
                    </a:xfrm>
                    <a:prstGeom prst="rect">
                      <a:avLst/>
                    </a:prstGeom>
                    <a:ln>
                      <a:noFill/>
                    </a:ln>
                    <a:extLst>
                      <a:ext uri="{53640926-AAD7-44D8-BBD7-CCE9431645EC}">
                        <a14:shadowObscured xmlns:a14="http://schemas.microsoft.com/office/drawing/2010/main"/>
                      </a:ext>
                    </a:extLst>
                  </pic:spPr>
                </pic:pic>
              </a:graphicData>
            </a:graphic>
          </wp:inline>
        </w:drawing>
      </w:r>
    </w:p>
    <w:p w14:paraId="22D1E897" w14:textId="3581C0F8" w:rsidR="00996A40" w:rsidRPr="005E3242" w:rsidRDefault="001247FD" w:rsidP="00C448E8">
      <w:pPr>
        <w:rPr>
          <w:color w:val="auto"/>
          <w:lang w:val="en-GB"/>
        </w:rPr>
      </w:pPr>
      <w:r w:rsidRPr="005E3242" w:rsidDel="00426A21">
        <w:rPr>
          <w:color w:val="auto"/>
          <w:lang w:val="en-US"/>
        </w:rPr>
        <w:lastRenderedPageBreak/>
        <w:t xml:space="preserve">Estimates of IDFS rates </w:t>
      </w:r>
      <w:r w:rsidR="003034E1" w:rsidRPr="005E3242" w:rsidDel="00426A21">
        <w:rPr>
          <w:color w:val="auto"/>
          <w:lang w:val="en-US"/>
        </w:rPr>
        <w:t xml:space="preserve">in </w:t>
      </w:r>
      <w:r w:rsidR="00503923">
        <w:rPr>
          <w:color w:val="auto"/>
          <w:lang w:val="en-US"/>
        </w:rPr>
        <w:t xml:space="preserve">these subgroups of </w:t>
      </w:r>
      <w:proofErr w:type="spellStart"/>
      <w:r w:rsidR="003034E1" w:rsidRPr="005E3242" w:rsidDel="00426A21">
        <w:rPr>
          <w:color w:val="auto"/>
          <w:lang w:val="en-US"/>
        </w:rPr>
        <w:t>pertuzumab</w:t>
      </w:r>
      <w:proofErr w:type="spellEnd"/>
      <w:r w:rsidR="003034E1" w:rsidRPr="005E3242" w:rsidDel="00426A21">
        <w:rPr>
          <w:color w:val="auto"/>
          <w:lang w:val="en-US"/>
        </w:rPr>
        <w:t>-treated patients versus placebo-tre</w:t>
      </w:r>
      <w:r w:rsidR="003034E1" w:rsidDel="00426A21">
        <w:rPr>
          <w:color w:val="auto"/>
          <w:lang w:val="en-US"/>
        </w:rPr>
        <w:t>ated patients</w:t>
      </w:r>
      <w:r w:rsidR="003034E1">
        <w:rPr>
          <w:color w:val="auto"/>
          <w:lang w:val="en-US"/>
        </w:rPr>
        <w:t xml:space="preserve"> </w:t>
      </w:r>
      <w:r w:rsidR="00426A21">
        <w:rPr>
          <w:color w:val="auto"/>
          <w:lang w:val="en-US"/>
        </w:rPr>
        <w:t xml:space="preserve">were similar at 4 years: </w:t>
      </w:r>
      <w:r w:rsidRPr="00426A21">
        <w:rPr>
          <w:lang w:val="en-US"/>
        </w:rPr>
        <w:t xml:space="preserve">89.9% vs. 86.7% </w:t>
      </w:r>
      <w:r w:rsidR="00426A21" w:rsidRPr="00426A21">
        <w:rPr>
          <w:lang w:val="en-US"/>
        </w:rPr>
        <w:t>in the node positive subgroup</w:t>
      </w:r>
      <w:r w:rsidR="00426A21">
        <w:rPr>
          <w:lang w:val="en-US"/>
        </w:rPr>
        <w:t>,</w:t>
      </w:r>
      <w:r w:rsidR="00426A21" w:rsidRPr="00426A21">
        <w:rPr>
          <w:lang w:val="en-US"/>
        </w:rPr>
        <w:t xml:space="preserve"> </w:t>
      </w:r>
      <w:r w:rsidRPr="00426A21" w:rsidDel="00426A21">
        <w:rPr>
          <w:lang w:val="en-US"/>
        </w:rPr>
        <w:t xml:space="preserve">96.2% versus 96.7% </w:t>
      </w:r>
      <w:r w:rsidR="00426A21">
        <w:rPr>
          <w:lang w:val="en-US"/>
        </w:rPr>
        <w:t>i</w:t>
      </w:r>
      <w:r w:rsidR="00426A21" w:rsidRPr="00426A21">
        <w:rPr>
          <w:lang w:val="en-US"/>
        </w:rPr>
        <w:t>n the node negative subgroup</w:t>
      </w:r>
      <w:r w:rsidR="00426A21">
        <w:rPr>
          <w:lang w:val="en-US"/>
        </w:rPr>
        <w:t>,</w:t>
      </w:r>
      <w:r w:rsidR="00426A21" w:rsidRPr="00426A21">
        <w:rPr>
          <w:lang w:val="en-US"/>
        </w:rPr>
        <w:t xml:space="preserve"> </w:t>
      </w:r>
      <w:r w:rsidRPr="005E3242" w:rsidDel="00426A21">
        <w:rPr>
          <w:color w:val="auto"/>
          <w:lang w:val="en-US"/>
        </w:rPr>
        <w:t xml:space="preserve">93.0% versus 91.6% </w:t>
      </w:r>
      <w:r w:rsidR="00426A21">
        <w:rPr>
          <w:color w:val="auto"/>
          <w:lang w:val="en-US"/>
        </w:rPr>
        <w:t>i</w:t>
      </w:r>
      <w:r w:rsidR="00426A21" w:rsidRPr="005E3242" w:rsidDel="00426A21">
        <w:rPr>
          <w:color w:val="auto"/>
          <w:lang w:val="en-US"/>
        </w:rPr>
        <w:t xml:space="preserve">n the hormone receptor-positive subgroup </w:t>
      </w:r>
      <w:r w:rsidRPr="005E3242" w:rsidDel="00426A21">
        <w:rPr>
          <w:color w:val="auto"/>
          <w:lang w:val="en-US"/>
        </w:rPr>
        <w:t xml:space="preserve">and 91.0% versus 88.7% </w:t>
      </w:r>
      <w:r w:rsidR="003034E1">
        <w:rPr>
          <w:color w:val="auto"/>
          <w:lang w:val="en-US"/>
        </w:rPr>
        <w:t>i</w:t>
      </w:r>
      <w:r w:rsidR="00426A21" w:rsidRPr="005E3242" w:rsidDel="00426A21">
        <w:rPr>
          <w:color w:val="auto"/>
          <w:lang w:val="en-US"/>
        </w:rPr>
        <w:t>n the hormone receptor-negative subgroup</w:t>
      </w:r>
      <w:r w:rsidRPr="005E3242">
        <w:rPr>
          <w:color w:val="auto"/>
          <w:lang w:val="en-US"/>
        </w:rPr>
        <w:t xml:space="preserve">. </w:t>
      </w:r>
    </w:p>
    <w:p w14:paraId="050CA8BC" w14:textId="042D41F7" w:rsidR="00C82C39" w:rsidRPr="005E3242" w:rsidRDefault="00C82C39" w:rsidP="00C448E8">
      <w:pPr>
        <w:pStyle w:val="Heading4"/>
      </w:pPr>
      <w:r w:rsidRPr="005E3242">
        <w:t xml:space="preserve">Metastatic Breast Cancer </w:t>
      </w:r>
    </w:p>
    <w:p w14:paraId="33E9C803" w14:textId="1430C477" w:rsidR="00C82C39" w:rsidRPr="005E3242" w:rsidRDefault="0078210D" w:rsidP="00C448E8">
      <w:pPr>
        <w:pStyle w:val="Heading6"/>
        <w:rPr>
          <w:lang w:val="en-US"/>
        </w:rPr>
      </w:pPr>
      <w:r w:rsidRPr="005E3242">
        <w:rPr>
          <w:lang w:val="en-US"/>
        </w:rPr>
        <w:t>CLEOPATRA (WO20698)</w:t>
      </w:r>
    </w:p>
    <w:p w14:paraId="7B0A6590" w14:textId="52D86D67" w:rsidR="00C82C39" w:rsidRPr="005E3242" w:rsidRDefault="00C82C39" w:rsidP="00C448E8">
      <w:pPr>
        <w:rPr>
          <w:color w:val="auto"/>
          <w:lang w:val="en-US"/>
        </w:rPr>
      </w:pPr>
      <w:r w:rsidRPr="005E3242">
        <w:rPr>
          <w:color w:val="auto"/>
          <w:lang w:val="en-US"/>
        </w:rPr>
        <w:t xml:space="preserve">CLEOPATRA </w:t>
      </w:r>
      <w:r w:rsidR="003034E1">
        <w:rPr>
          <w:color w:val="auto"/>
          <w:lang w:val="en-US"/>
        </w:rPr>
        <w:t>wa</w:t>
      </w:r>
      <w:r w:rsidRPr="005E3242">
        <w:rPr>
          <w:color w:val="auto"/>
          <w:lang w:val="en-US"/>
        </w:rPr>
        <w:t xml:space="preserve">s a multicenter, </w:t>
      </w:r>
      <w:proofErr w:type="spellStart"/>
      <w:r w:rsidRPr="005E3242">
        <w:rPr>
          <w:color w:val="auto"/>
          <w:lang w:val="en-US"/>
        </w:rPr>
        <w:t>randomi</w:t>
      </w:r>
      <w:r w:rsidR="003034E1">
        <w:rPr>
          <w:color w:val="auto"/>
          <w:lang w:val="en-US"/>
        </w:rPr>
        <w:t>s</w:t>
      </w:r>
      <w:r w:rsidRPr="005E3242">
        <w:rPr>
          <w:color w:val="auto"/>
          <w:lang w:val="en-US"/>
        </w:rPr>
        <w:t>ed</w:t>
      </w:r>
      <w:proofErr w:type="spellEnd"/>
      <w:r w:rsidRPr="005E3242">
        <w:rPr>
          <w:color w:val="auto"/>
          <w:lang w:val="en-US"/>
        </w:rPr>
        <w:t>, double-blind, placebo-controlled Phase III clinical trial conducted in 808 patients with HER2-positive metastatic or locally recurrent unresectable breast cancer who ha</w:t>
      </w:r>
      <w:r w:rsidR="003034E1">
        <w:rPr>
          <w:color w:val="auto"/>
          <w:lang w:val="en-US"/>
        </w:rPr>
        <w:t>d</w:t>
      </w:r>
      <w:r w:rsidRPr="005E3242">
        <w:rPr>
          <w:color w:val="auto"/>
          <w:lang w:val="en-US"/>
        </w:rPr>
        <w:t xml:space="preserve"> not received previous anti-HER2 therapy or chemotherapy for their metastatic disease. Patients were </w:t>
      </w:r>
      <w:proofErr w:type="spellStart"/>
      <w:r w:rsidRPr="005E3242">
        <w:rPr>
          <w:color w:val="auto"/>
          <w:lang w:val="en-US"/>
        </w:rPr>
        <w:t>randomi</w:t>
      </w:r>
      <w:r w:rsidR="00331FCC">
        <w:rPr>
          <w:color w:val="auto"/>
          <w:lang w:val="en-US"/>
        </w:rPr>
        <w:t>s</w:t>
      </w:r>
      <w:r w:rsidRPr="005E3242">
        <w:rPr>
          <w:color w:val="auto"/>
          <w:lang w:val="en-US"/>
        </w:rPr>
        <w:t>ed</w:t>
      </w:r>
      <w:proofErr w:type="spellEnd"/>
      <w:r w:rsidRPr="005E3242">
        <w:rPr>
          <w:color w:val="auto"/>
          <w:lang w:val="en-US"/>
        </w:rPr>
        <w:t xml:space="preserve"> 1:1 to receive placebo plus trastuzumab and docetaxel (placebo-treated) or </w:t>
      </w:r>
      <w:proofErr w:type="spellStart"/>
      <w:r w:rsidRPr="005E3242">
        <w:rPr>
          <w:color w:val="auto"/>
          <w:lang w:val="en-US"/>
        </w:rPr>
        <w:t>pertuzumab</w:t>
      </w:r>
      <w:proofErr w:type="spellEnd"/>
      <w:r w:rsidRPr="005E3242">
        <w:rPr>
          <w:color w:val="auto"/>
          <w:lang w:val="en-US"/>
        </w:rPr>
        <w:t xml:space="preserve"> plus trastuzumab and docetaxel (</w:t>
      </w:r>
      <w:proofErr w:type="spellStart"/>
      <w:r w:rsidRPr="005E3242">
        <w:rPr>
          <w:color w:val="auto"/>
          <w:lang w:val="en-US"/>
        </w:rPr>
        <w:t>pertuzumab</w:t>
      </w:r>
      <w:proofErr w:type="spellEnd"/>
      <w:r w:rsidRPr="005E3242">
        <w:rPr>
          <w:color w:val="auto"/>
          <w:lang w:val="en-US"/>
        </w:rPr>
        <w:t xml:space="preserve">-treated). </w:t>
      </w:r>
      <w:proofErr w:type="spellStart"/>
      <w:r w:rsidRPr="005E3242">
        <w:rPr>
          <w:color w:val="auto"/>
          <w:lang w:val="en-US"/>
        </w:rPr>
        <w:t>Randomi</w:t>
      </w:r>
      <w:r w:rsidR="00331FCC">
        <w:rPr>
          <w:color w:val="auto"/>
          <w:lang w:val="en-US"/>
        </w:rPr>
        <w:t>s</w:t>
      </w:r>
      <w:r w:rsidRPr="005E3242">
        <w:rPr>
          <w:color w:val="auto"/>
          <w:lang w:val="en-US"/>
        </w:rPr>
        <w:t>ation</w:t>
      </w:r>
      <w:proofErr w:type="spellEnd"/>
      <w:r w:rsidRPr="005E3242">
        <w:rPr>
          <w:color w:val="auto"/>
          <w:lang w:val="en-US"/>
        </w:rPr>
        <w:t xml:space="preserve"> was stratified by prior treatment status (de novo or prior adjuvant / neoadjuvant therapy) and geographic region (Europe, North America, South </w:t>
      </w:r>
      <w:proofErr w:type="gramStart"/>
      <w:r w:rsidRPr="005E3242">
        <w:rPr>
          <w:color w:val="auto"/>
          <w:lang w:val="en-US"/>
        </w:rPr>
        <w:t>America</w:t>
      </w:r>
      <w:proofErr w:type="gramEnd"/>
      <w:r w:rsidRPr="005E3242">
        <w:rPr>
          <w:color w:val="auto"/>
          <w:lang w:val="en-US"/>
        </w:rPr>
        <w:t xml:space="preserve"> and Asia). Patients with prior adjuvant or neoadjuvant therapy were required to have a disease-free interval of at least 12 months befo</w:t>
      </w:r>
      <w:r w:rsidR="00271DBF">
        <w:rPr>
          <w:color w:val="auto"/>
          <w:lang w:val="en-US"/>
        </w:rPr>
        <w:t>re enrolment into the trial</w:t>
      </w:r>
      <w:r w:rsidRPr="005E3242">
        <w:rPr>
          <w:color w:val="auto"/>
          <w:lang w:val="en-US"/>
        </w:rPr>
        <w:t>.</w:t>
      </w:r>
    </w:p>
    <w:p w14:paraId="58E73255" w14:textId="589D8283" w:rsidR="00C82C39" w:rsidRPr="005E3242" w:rsidRDefault="00C82C39" w:rsidP="00C448E8">
      <w:pPr>
        <w:rPr>
          <w:color w:val="auto"/>
          <w:lang w:val="en-US"/>
        </w:rPr>
      </w:pPr>
    </w:p>
    <w:p w14:paraId="3882CBCF" w14:textId="76F050CA" w:rsidR="00C82C39" w:rsidRPr="005E3242" w:rsidRDefault="00C82C39" w:rsidP="00C448E8">
      <w:pPr>
        <w:rPr>
          <w:color w:val="auto"/>
          <w:lang w:val="en-US"/>
        </w:rPr>
      </w:pPr>
      <w:proofErr w:type="spellStart"/>
      <w:r w:rsidRPr="005E3242">
        <w:rPr>
          <w:color w:val="auto"/>
          <w:lang w:val="en-US"/>
        </w:rPr>
        <w:t>Pertuzumab</w:t>
      </w:r>
      <w:proofErr w:type="spellEnd"/>
      <w:r w:rsidRPr="005E3242">
        <w:rPr>
          <w:color w:val="auto"/>
          <w:lang w:val="en-US"/>
        </w:rPr>
        <w:t xml:space="preserve"> and trastuzumab were administered intravenously as outlined in</w:t>
      </w:r>
      <w:r w:rsidR="00E41250">
        <w:rPr>
          <w:color w:val="auto"/>
          <w:lang w:val="en-US"/>
        </w:rPr>
        <w:t xml:space="preserve"> </w:t>
      </w:r>
      <w:r w:rsidR="00E41250">
        <w:rPr>
          <w:color w:val="auto"/>
          <w:lang w:val="en-US"/>
        </w:rPr>
        <w:fldChar w:fldCharType="begin"/>
      </w:r>
      <w:r w:rsidR="00E41250">
        <w:rPr>
          <w:color w:val="auto"/>
          <w:lang w:val="en-US"/>
        </w:rPr>
        <w:instrText xml:space="preserve"> REF _Ref66712079 \h </w:instrText>
      </w:r>
      <w:r w:rsidR="00E41250">
        <w:rPr>
          <w:color w:val="auto"/>
          <w:lang w:val="en-US"/>
        </w:rPr>
      </w:r>
      <w:r w:rsidR="00C448E8">
        <w:rPr>
          <w:color w:val="auto"/>
          <w:lang w:val="en-US"/>
        </w:rPr>
        <w:instrText xml:space="preserve"> \* MERGEFORMAT </w:instrText>
      </w:r>
      <w:r w:rsidR="00E41250">
        <w:rPr>
          <w:color w:val="auto"/>
          <w:lang w:val="en-US"/>
        </w:rPr>
        <w:fldChar w:fldCharType="separate"/>
      </w:r>
      <w:r w:rsidR="00C840A1">
        <w:t xml:space="preserve">Table </w:t>
      </w:r>
      <w:r w:rsidR="00C840A1">
        <w:rPr>
          <w:noProof/>
        </w:rPr>
        <w:t>5</w:t>
      </w:r>
      <w:r w:rsidR="00E41250">
        <w:rPr>
          <w:color w:val="auto"/>
          <w:lang w:val="en-US"/>
        </w:rPr>
        <w:fldChar w:fldCharType="end"/>
      </w:r>
      <w:r w:rsidRPr="005E3242">
        <w:rPr>
          <w:color w:val="auto"/>
          <w:lang w:val="en-US"/>
        </w:rPr>
        <w:t xml:space="preserve">. Patients were treated with </w:t>
      </w:r>
      <w:proofErr w:type="spellStart"/>
      <w:r w:rsidRPr="005E3242">
        <w:rPr>
          <w:color w:val="auto"/>
          <w:lang w:val="en-US"/>
        </w:rPr>
        <w:t>pertuzumab</w:t>
      </w:r>
      <w:proofErr w:type="spellEnd"/>
      <w:r w:rsidRPr="005E3242">
        <w:rPr>
          <w:color w:val="auto"/>
          <w:lang w:val="en-US"/>
        </w:rPr>
        <w:t xml:space="preserve"> and trastuzumab until disease progression, withdrawal of consent or unmanageable toxicity. Docetaxel was given as an initial dose of 75 mg/m</w:t>
      </w:r>
      <w:r w:rsidRPr="005E3242">
        <w:rPr>
          <w:color w:val="auto"/>
          <w:vertAlign w:val="superscript"/>
          <w:lang w:val="en-US"/>
        </w:rPr>
        <w:t>2</w:t>
      </w:r>
      <w:r w:rsidRPr="005E3242">
        <w:rPr>
          <w:color w:val="auto"/>
          <w:lang w:val="en-US"/>
        </w:rPr>
        <w:t xml:space="preserve"> IV infusion every 3 weeks for at least 6 cycles. The dose of docetaxel could be escalated to 100 mg/m</w:t>
      </w:r>
      <w:r w:rsidRPr="005E3242">
        <w:rPr>
          <w:color w:val="auto"/>
          <w:vertAlign w:val="superscript"/>
          <w:lang w:val="en-US"/>
        </w:rPr>
        <w:t>2</w:t>
      </w:r>
      <w:r w:rsidRPr="005E3242">
        <w:rPr>
          <w:color w:val="auto"/>
          <w:lang w:val="en-US"/>
        </w:rPr>
        <w:t xml:space="preserve"> at the investigator’s discretion if the init</w:t>
      </w:r>
      <w:r w:rsidR="00271DBF">
        <w:rPr>
          <w:color w:val="auto"/>
          <w:lang w:val="en-US"/>
        </w:rPr>
        <w:t>ial dose was well tolerated</w:t>
      </w:r>
      <w:r w:rsidRPr="005E3242">
        <w:rPr>
          <w:color w:val="auto"/>
          <w:lang w:val="en-US"/>
        </w:rPr>
        <w:t xml:space="preserve">. </w:t>
      </w:r>
    </w:p>
    <w:p w14:paraId="0CD19161" w14:textId="0CBA607D" w:rsidR="00C82C39" w:rsidRPr="005E3242" w:rsidRDefault="00C82C39" w:rsidP="00C448E8">
      <w:pPr>
        <w:rPr>
          <w:color w:val="auto"/>
          <w:lang w:val="en-US"/>
        </w:rPr>
      </w:pPr>
    </w:p>
    <w:p w14:paraId="5EC2ED29" w14:textId="30CC10A6" w:rsidR="00C82C39" w:rsidRPr="005E3242" w:rsidRDefault="00C82C39" w:rsidP="00C448E8">
      <w:pPr>
        <w:rPr>
          <w:color w:val="auto"/>
          <w:lang w:val="en-US"/>
        </w:rPr>
      </w:pPr>
      <w:r w:rsidRPr="005E3242">
        <w:rPr>
          <w:color w:val="auto"/>
          <w:lang w:val="en-US"/>
        </w:rPr>
        <w:t>At the time of the primary analysis, the mean number of cycles of study treatment received was 16.2 in the placebo treatment group and 19.9 in t</w:t>
      </w:r>
      <w:r w:rsidR="00271DBF">
        <w:rPr>
          <w:color w:val="auto"/>
          <w:lang w:val="en-US"/>
        </w:rPr>
        <w:t xml:space="preserve">he </w:t>
      </w:r>
      <w:proofErr w:type="spellStart"/>
      <w:r w:rsidR="00271DBF">
        <w:rPr>
          <w:color w:val="auto"/>
          <w:lang w:val="en-US"/>
        </w:rPr>
        <w:t>pertuzumab</w:t>
      </w:r>
      <w:proofErr w:type="spellEnd"/>
      <w:r w:rsidR="00271DBF">
        <w:rPr>
          <w:color w:val="auto"/>
          <w:lang w:val="en-US"/>
        </w:rPr>
        <w:t>-treated group</w:t>
      </w:r>
      <w:r w:rsidRPr="005E3242">
        <w:rPr>
          <w:color w:val="auto"/>
          <w:lang w:val="en-US"/>
        </w:rPr>
        <w:t>.</w:t>
      </w:r>
    </w:p>
    <w:p w14:paraId="77111D33" w14:textId="1FA77311" w:rsidR="00C82C39" w:rsidRPr="005E3242" w:rsidRDefault="00C82C39" w:rsidP="00C448E8">
      <w:pPr>
        <w:rPr>
          <w:color w:val="auto"/>
          <w:lang w:val="en-US"/>
        </w:rPr>
      </w:pPr>
    </w:p>
    <w:p w14:paraId="669A2F87" w14:textId="5F322CAD" w:rsidR="00C82C39" w:rsidRPr="005E3242" w:rsidRDefault="00C82C39" w:rsidP="00C448E8">
      <w:pPr>
        <w:rPr>
          <w:color w:val="auto"/>
          <w:lang w:val="en-US"/>
        </w:rPr>
      </w:pPr>
      <w:r w:rsidRPr="005E3242">
        <w:rPr>
          <w:color w:val="auto"/>
          <w:lang w:val="en-US"/>
        </w:rPr>
        <w:t xml:space="preserve">The primary endpoint of the study was progression-free survival (PFS) as assessed by an independent review facility (IRF) and defined as the time from the date of </w:t>
      </w:r>
      <w:proofErr w:type="spellStart"/>
      <w:r w:rsidRPr="005E3242">
        <w:rPr>
          <w:color w:val="auto"/>
          <w:lang w:val="en-US"/>
        </w:rPr>
        <w:t>randomi</w:t>
      </w:r>
      <w:r w:rsidR="00E41250">
        <w:rPr>
          <w:color w:val="auto"/>
          <w:lang w:val="en-US"/>
        </w:rPr>
        <w:t>s</w:t>
      </w:r>
      <w:r w:rsidRPr="005E3242">
        <w:rPr>
          <w:color w:val="auto"/>
          <w:lang w:val="en-US"/>
        </w:rPr>
        <w:t>ation</w:t>
      </w:r>
      <w:proofErr w:type="spellEnd"/>
      <w:r w:rsidRPr="005E3242">
        <w:rPr>
          <w:color w:val="auto"/>
          <w:lang w:val="en-US"/>
        </w:rPr>
        <w:t xml:space="preserve"> to the date of disease progression</w:t>
      </w:r>
      <w:r w:rsidR="00654F5C">
        <w:rPr>
          <w:color w:val="auto"/>
          <w:lang w:val="en-US"/>
        </w:rPr>
        <w:t>,</w:t>
      </w:r>
      <w:r w:rsidRPr="005E3242">
        <w:rPr>
          <w:color w:val="auto"/>
          <w:lang w:val="en-US"/>
        </w:rPr>
        <w:t xml:space="preserve"> or death (from any cause) if the death occurred within 18 weeks of the last </w:t>
      </w:r>
      <w:proofErr w:type="spellStart"/>
      <w:r w:rsidRPr="005E3242">
        <w:rPr>
          <w:color w:val="auto"/>
          <w:lang w:val="en-US"/>
        </w:rPr>
        <w:t>tumo</w:t>
      </w:r>
      <w:r w:rsidR="00E41250">
        <w:rPr>
          <w:color w:val="auto"/>
          <w:lang w:val="en-US"/>
        </w:rPr>
        <w:t>u</w:t>
      </w:r>
      <w:r w:rsidRPr="005E3242">
        <w:rPr>
          <w:color w:val="auto"/>
          <w:lang w:val="en-US"/>
        </w:rPr>
        <w:t>r</w:t>
      </w:r>
      <w:proofErr w:type="spellEnd"/>
      <w:r w:rsidRPr="005E3242">
        <w:rPr>
          <w:color w:val="auto"/>
          <w:lang w:val="en-US"/>
        </w:rPr>
        <w:t xml:space="preserve"> assessment. Secondary efficacy endpoints were overall survival (OS), PFS (investigator-assessed), objective response rate (ORR)</w:t>
      </w:r>
      <w:r w:rsidR="00695D81">
        <w:rPr>
          <w:color w:val="auto"/>
          <w:lang w:val="en-US"/>
        </w:rPr>
        <w:t xml:space="preserve"> and</w:t>
      </w:r>
      <w:r w:rsidRPr="005E3242">
        <w:rPr>
          <w:color w:val="auto"/>
          <w:lang w:val="en-US"/>
        </w:rPr>
        <w:t xml:space="preserve"> duration of response.</w:t>
      </w:r>
    </w:p>
    <w:p w14:paraId="441E2D94" w14:textId="01450041" w:rsidR="00C82C39" w:rsidRPr="005E3242" w:rsidRDefault="00C82C39" w:rsidP="00C448E8">
      <w:pPr>
        <w:rPr>
          <w:color w:val="auto"/>
          <w:lang w:val="en-US"/>
        </w:rPr>
      </w:pPr>
    </w:p>
    <w:p w14:paraId="54C750F2" w14:textId="755668CC" w:rsidR="00C82C39" w:rsidRPr="005E3242" w:rsidRDefault="00C82C39" w:rsidP="00C448E8">
      <w:pPr>
        <w:rPr>
          <w:color w:val="auto"/>
          <w:lang w:val="en-US"/>
        </w:rPr>
      </w:pPr>
      <w:r w:rsidRPr="005E3242">
        <w:rPr>
          <w:color w:val="auto"/>
          <w:lang w:val="en-US"/>
        </w:rPr>
        <w:t>Demographics were balanced</w:t>
      </w:r>
      <w:r w:rsidR="00E41250">
        <w:rPr>
          <w:color w:val="auto"/>
          <w:lang w:val="en-US"/>
        </w:rPr>
        <w:t xml:space="preserve"> between treatment arms.</w:t>
      </w:r>
      <w:r w:rsidRPr="005E3242">
        <w:rPr>
          <w:color w:val="auto"/>
          <w:lang w:val="en-US"/>
        </w:rPr>
        <w:t xml:space="preserve"> </w:t>
      </w:r>
      <w:r w:rsidR="00E41250">
        <w:rPr>
          <w:color w:val="auto"/>
          <w:lang w:val="en-US"/>
        </w:rPr>
        <w:t xml:space="preserve">The </w:t>
      </w:r>
      <w:r w:rsidRPr="005E3242">
        <w:rPr>
          <w:color w:val="auto"/>
          <w:lang w:val="en-US"/>
        </w:rPr>
        <w:t xml:space="preserve">median age was 54 years, the majority were Caucasian (59%) and all </w:t>
      </w:r>
      <w:r w:rsidR="00E41250">
        <w:rPr>
          <w:color w:val="auto"/>
          <w:lang w:val="en-US"/>
        </w:rPr>
        <w:t xml:space="preserve">patients </w:t>
      </w:r>
      <w:r w:rsidRPr="005E3242">
        <w:rPr>
          <w:color w:val="auto"/>
          <w:lang w:val="en-US"/>
        </w:rPr>
        <w:t xml:space="preserve">were female </w:t>
      </w:r>
      <w:proofErr w:type="gramStart"/>
      <w:r w:rsidRPr="005E3242">
        <w:rPr>
          <w:color w:val="auto"/>
          <w:lang w:val="en-US"/>
        </w:rPr>
        <w:t>with the exception of</w:t>
      </w:r>
      <w:proofErr w:type="gramEnd"/>
      <w:r w:rsidRPr="005E3242">
        <w:rPr>
          <w:color w:val="auto"/>
          <w:lang w:val="en-US"/>
        </w:rPr>
        <w:t xml:space="preserve"> </w:t>
      </w:r>
      <w:r w:rsidR="00E41250">
        <w:rPr>
          <w:color w:val="auto"/>
          <w:lang w:val="en-US"/>
        </w:rPr>
        <w:t>two</w:t>
      </w:r>
      <w:r w:rsidRPr="005E3242">
        <w:rPr>
          <w:color w:val="auto"/>
          <w:lang w:val="en-US"/>
        </w:rPr>
        <w:t>. Approximately half the patients in each treatment group had hormone receptor</w:t>
      </w:r>
      <w:r w:rsidR="00E41250">
        <w:rPr>
          <w:color w:val="auto"/>
          <w:lang w:val="en-US"/>
        </w:rPr>
        <w:t>-</w:t>
      </w:r>
      <w:r w:rsidRPr="005E3242">
        <w:rPr>
          <w:color w:val="auto"/>
          <w:lang w:val="en-US"/>
        </w:rPr>
        <w:t>positive disease (defined as estrogen receptor [ER] positive and/or progesterone receptor [</w:t>
      </w:r>
      <w:proofErr w:type="spellStart"/>
      <w:r w:rsidRPr="005E3242">
        <w:rPr>
          <w:color w:val="auto"/>
          <w:lang w:val="en-US"/>
        </w:rPr>
        <w:t>PgR</w:t>
      </w:r>
      <w:proofErr w:type="spellEnd"/>
      <w:r w:rsidRPr="005E3242">
        <w:rPr>
          <w:color w:val="auto"/>
          <w:lang w:val="en-US"/>
        </w:rPr>
        <w:t>] positive)</w:t>
      </w:r>
      <w:r w:rsidR="00E41250">
        <w:rPr>
          <w:color w:val="auto"/>
          <w:lang w:val="en-US"/>
        </w:rPr>
        <w:t>,</w:t>
      </w:r>
      <w:r w:rsidRPr="005E3242">
        <w:rPr>
          <w:color w:val="auto"/>
          <w:lang w:val="en-US"/>
        </w:rPr>
        <w:t xml:space="preserve"> and prior adjuvant or neo-adjuvant therapy </w:t>
      </w:r>
      <w:r w:rsidR="00E41250">
        <w:rPr>
          <w:color w:val="auto"/>
          <w:lang w:val="en-US"/>
        </w:rPr>
        <w:t xml:space="preserve">had been received by </w:t>
      </w:r>
      <w:r w:rsidRPr="005E3242">
        <w:rPr>
          <w:color w:val="auto"/>
          <w:lang w:val="en-US"/>
        </w:rPr>
        <w:t xml:space="preserve">47% </w:t>
      </w:r>
      <w:r w:rsidR="00E41250">
        <w:rPr>
          <w:color w:val="auto"/>
          <w:lang w:val="en-US"/>
        </w:rPr>
        <w:t>of</w:t>
      </w:r>
      <w:r w:rsidR="00E41250" w:rsidRPr="005E3242">
        <w:rPr>
          <w:color w:val="auto"/>
          <w:lang w:val="en-US"/>
        </w:rPr>
        <w:t xml:space="preserve"> </w:t>
      </w:r>
      <w:r w:rsidRPr="005E3242">
        <w:rPr>
          <w:color w:val="auto"/>
          <w:lang w:val="en-US"/>
        </w:rPr>
        <w:t xml:space="preserve">the placebo-treated group </w:t>
      </w:r>
      <w:r w:rsidR="00E41250">
        <w:rPr>
          <w:color w:val="auto"/>
          <w:lang w:val="en-US"/>
        </w:rPr>
        <w:t>and</w:t>
      </w:r>
      <w:r w:rsidR="00E41250" w:rsidRPr="005E3242">
        <w:rPr>
          <w:color w:val="auto"/>
          <w:lang w:val="en-US"/>
        </w:rPr>
        <w:t xml:space="preserve"> </w:t>
      </w:r>
      <w:r w:rsidR="00E41250">
        <w:rPr>
          <w:color w:val="auto"/>
          <w:lang w:val="en-US"/>
        </w:rPr>
        <w:t>46</w:t>
      </w:r>
      <w:r w:rsidRPr="005E3242">
        <w:rPr>
          <w:color w:val="auto"/>
          <w:lang w:val="en-US"/>
        </w:rPr>
        <w:t>%</w:t>
      </w:r>
      <w:r w:rsidR="00E41250">
        <w:rPr>
          <w:color w:val="auto"/>
          <w:lang w:val="en-US"/>
        </w:rPr>
        <w:t xml:space="preserve"> of the</w:t>
      </w:r>
      <w:r w:rsidR="00271DBF">
        <w:rPr>
          <w:color w:val="auto"/>
          <w:lang w:val="en-US"/>
        </w:rPr>
        <w:t xml:space="preserve"> </w:t>
      </w:r>
      <w:proofErr w:type="spellStart"/>
      <w:r w:rsidR="00271DBF">
        <w:rPr>
          <w:color w:val="auto"/>
          <w:lang w:val="en-US"/>
        </w:rPr>
        <w:t>pertuzumab</w:t>
      </w:r>
      <w:proofErr w:type="spellEnd"/>
      <w:r w:rsidR="00271DBF">
        <w:rPr>
          <w:color w:val="auto"/>
          <w:lang w:val="en-US"/>
        </w:rPr>
        <w:t>-treated group</w:t>
      </w:r>
      <w:r w:rsidRPr="005E3242">
        <w:rPr>
          <w:color w:val="auto"/>
          <w:lang w:val="en-US"/>
        </w:rPr>
        <w:t xml:space="preserve">. </w:t>
      </w:r>
    </w:p>
    <w:p w14:paraId="7D792702" w14:textId="11DA5B6F" w:rsidR="00C82C39" w:rsidRPr="005E3242" w:rsidRDefault="00C82C39" w:rsidP="00C448E8">
      <w:pPr>
        <w:rPr>
          <w:color w:val="auto"/>
          <w:lang w:val="en-US"/>
        </w:rPr>
      </w:pPr>
    </w:p>
    <w:p w14:paraId="0E88B620" w14:textId="7C585A14" w:rsidR="00C82C39" w:rsidRPr="005E3242" w:rsidRDefault="00C82C39" w:rsidP="00C448E8">
      <w:pPr>
        <w:rPr>
          <w:color w:val="auto"/>
          <w:lang w:val="en-US"/>
        </w:rPr>
      </w:pPr>
      <w:r w:rsidRPr="005E3242">
        <w:rPr>
          <w:color w:val="auto"/>
          <w:lang w:val="en-US"/>
        </w:rPr>
        <w:t xml:space="preserve">The results </w:t>
      </w:r>
      <w:r w:rsidR="00E41250">
        <w:rPr>
          <w:color w:val="auto"/>
          <w:lang w:val="en-US"/>
        </w:rPr>
        <w:t>of</w:t>
      </w:r>
      <w:r w:rsidR="00E41250" w:rsidRPr="005E3242">
        <w:rPr>
          <w:color w:val="auto"/>
          <w:lang w:val="en-US"/>
        </w:rPr>
        <w:t xml:space="preserve"> </w:t>
      </w:r>
      <w:r w:rsidRPr="005E3242">
        <w:rPr>
          <w:color w:val="auto"/>
          <w:lang w:val="en-US"/>
        </w:rPr>
        <w:t xml:space="preserve">the CLEOPATRA </w:t>
      </w:r>
      <w:r w:rsidR="00E41250">
        <w:rPr>
          <w:color w:val="auto"/>
          <w:lang w:val="en-US"/>
        </w:rPr>
        <w:t>study</w:t>
      </w:r>
      <w:r w:rsidR="00E41250" w:rsidRPr="005E3242">
        <w:rPr>
          <w:color w:val="auto"/>
          <w:lang w:val="en-US"/>
        </w:rPr>
        <w:t xml:space="preserve"> </w:t>
      </w:r>
      <w:r w:rsidRPr="005E3242">
        <w:rPr>
          <w:color w:val="auto"/>
          <w:lang w:val="en-US"/>
        </w:rPr>
        <w:t xml:space="preserve">are </w:t>
      </w:r>
      <w:proofErr w:type="spellStart"/>
      <w:r w:rsidRPr="005E3242">
        <w:rPr>
          <w:color w:val="auto"/>
          <w:lang w:val="en-US"/>
        </w:rPr>
        <w:t>summari</w:t>
      </w:r>
      <w:r w:rsidR="00E41250">
        <w:rPr>
          <w:color w:val="auto"/>
          <w:lang w:val="en-US"/>
        </w:rPr>
        <w:t>s</w:t>
      </w:r>
      <w:r w:rsidRPr="005E3242">
        <w:rPr>
          <w:color w:val="auto"/>
          <w:lang w:val="en-US"/>
        </w:rPr>
        <w:t>ed</w:t>
      </w:r>
      <w:proofErr w:type="spellEnd"/>
      <w:r w:rsidRPr="005E3242">
        <w:rPr>
          <w:color w:val="auto"/>
          <w:lang w:val="en-US"/>
        </w:rPr>
        <w:t xml:space="preserve"> in </w:t>
      </w:r>
      <w:r w:rsidR="00E41250">
        <w:rPr>
          <w:color w:val="auto"/>
          <w:lang w:val="en-US"/>
        </w:rPr>
        <w:fldChar w:fldCharType="begin"/>
      </w:r>
      <w:r w:rsidR="00E41250">
        <w:rPr>
          <w:color w:val="auto"/>
          <w:lang w:val="en-US"/>
        </w:rPr>
        <w:instrText xml:space="preserve"> REF _Ref66718478 \h </w:instrText>
      </w:r>
      <w:r w:rsidR="00E41250">
        <w:rPr>
          <w:color w:val="auto"/>
          <w:lang w:val="en-US"/>
        </w:rPr>
      </w:r>
      <w:r w:rsidR="00C448E8">
        <w:rPr>
          <w:color w:val="auto"/>
          <w:lang w:val="en-US"/>
        </w:rPr>
        <w:instrText xml:space="preserve"> \* MERGEFORMAT </w:instrText>
      </w:r>
      <w:r w:rsidR="00E41250">
        <w:rPr>
          <w:color w:val="auto"/>
          <w:lang w:val="en-US"/>
        </w:rPr>
        <w:fldChar w:fldCharType="separate"/>
      </w:r>
      <w:r w:rsidR="00C840A1">
        <w:t xml:space="preserve">Table </w:t>
      </w:r>
      <w:r w:rsidR="00C840A1">
        <w:rPr>
          <w:noProof/>
        </w:rPr>
        <w:t>10</w:t>
      </w:r>
      <w:r w:rsidR="00E41250">
        <w:rPr>
          <w:color w:val="auto"/>
          <w:lang w:val="en-US"/>
        </w:rPr>
        <w:fldChar w:fldCharType="end"/>
      </w:r>
      <w:r w:rsidRPr="005E3242">
        <w:rPr>
          <w:color w:val="auto"/>
          <w:lang w:val="en-US"/>
        </w:rPr>
        <w:t>.</w:t>
      </w:r>
      <w:r w:rsidR="00E41250" w:rsidRPr="00E41250">
        <w:rPr>
          <w:color w:val="auto"/>
          <w:lang w:val="en-US"/>
        </w:rPr>
        <w:t xml:space="preserve"> </w:t>
      </w:r>
      <w:r w:rsidR="00E41250" w:rsidRPr="005E3242">
        <w:rPr>
          <w:color w:val="auto"/>
          <w:lang w:val="en-US"/>
        </w:rPr>
        <w:t xml:space="preserve">Consistent results were observed across pre-specified patient subgroups including </w:t>
      </w:r>
      <w:r w:rsidR="00E41250">
        <w:rPr>
          <w:color w:val="auto"/>
          <w:lang w:val="en-US"/>
        </w:rPr>
        <w:t>those</w:t>
      </w:r>
      <w:r w:rsidR="00E41250" w:rsidRPr="005E3242">
        <w:rPr>
          <w:color w:val="auto"/>
          <w:lang w:val="en-US"/>
        </w:rPr>
        <w:t xml:space="preserve"> based on stratification factors </w:t>
      </w:r>
      <w:r w:rsidR="00E41250">
        <w:rPr>
          <w:color w:val="auto"/>
          <w:lang w:val="en-US"/>
        </w:rPr>
        <w:t>(</w:t>
      </w:r>
      <w:r w:rsidR="00E41250" w:rsidRPr="005E3242">
        <w:rPr>
          <w:color w:val="auto"/>
          <w:lang w:val="en-US"/>
        </w:rPr>
        <w:t xml:space="preserve">geographic region and prior </w:t>
      </w:r>
      <w:r w:rsidR="00E41250">
        <w:rPr>
          <w:color w:val="auto"/>
          <w:lang w:val="en-US"/>
        </w:rPr>
        <w:t>therapy).</w:t>
      </w:r>
    </w:p>
    <w:p w14:paraId="2A6546D8" w14:textId="48E80C3A" w:rsidR="00C82C39" w:rsidRPr="005E3242" w:rsidRDefault="00C82C39" w:rsidP="00C448E8">
      <w:pPr>
        <w:rPr>
          <w:b/>
          <w:bCs/>
          <w:color w:val="auto"/>
          <w:lang w:val="en-US"/>
        </w:rPr>
      </w:pPr>
    </w:p>
    <w:p w14:paraId="091026C3" w14:textId="77777777" w:rsidR="00C448E8" w:rsidRDefault="00C448E8" w:rsidP="00C448E8">
      <w:pPr>
        <w:pStyle w:val="Caption"/>
      </w:pPr>
      <w:bookmarkStart w:id="10" w:name="_Ref66718478"/>
    </w:p>
    <w:p w14:paraId="18846B2A" w14:textId="77777777" w:rsidR="00C448E8" w:rsidRDefault="00C448E8" w:rsidP="00C448E8">
      <w:pPr>
        <w:pStyle w:val="Caption"/>
      </w:pPr>
    </w:p>
    <w:p w14:paraId="1F3DD2FB" w14:textId="77777777" w:rsidR="00C448E8" w:rsidRDefault="00C448E8" w:rsidP="00C448E8">
      <w:pPr>
        <w:pStyle w:val="Caption"/>
      </w:pPr>
    </w:p>
    <w:p w14:paraId="528161C9" w14:textId="77777777" w:rsidR="00C448E8" w:rsidRDefault="00C448E8" w:rsidP="00C448E8">
      <w:pPr>
        <w:pStyle w:val="Caption"/>
      </w:pPr>
    </w:p>
    <w:p w14:paraId="043F5C72" w14:textId="77777777" w:rsidR="00C448E8" w:rsidRDefault="00C448E8" w:rsidP="00C448E8">
      <w:pPr>
        <w:pStyle w:val="Caption"/>
      </w:pPr>
    </w:p>
    <w:p w14:paraId="26A8549C" w14:textId="48912B85" w:rsidR="00E41250" w:rsidRDefault="00E41250" w:rsidP="00C448E8">
      <w:pPr>
        <w:pStyle w:val="Caption"/>
      </w:pPr>
      <w:r>
        <w:lastRenderedPageBreak/>
        <w:t xml:space="preserve">Table </w:t>
      </w:r>
      <w:r>
        <w:fldChar w:fldCharType="begin"/>
      </w:r>
      <w:r>
        <w:instrText xml:space="preserve"> SEQ Table \* ARABIC </w:instrText>
      </w:r>
      <w:r>
        <w:fldChar w:fldCharType="separate"/>
      </w:r>
      <w:r w:rsidR="00C840A1">
        <w:rPr>
          <w:noProof/>
        </w:rPr>
        <w:t>10</w:t>
      </w:r>
      <w:r>
        <w:fldChar w:fldCharType="end"/>
      </w:r>
      <w:bookmarkEnd w:id="10"/>
      <w:r>
        <w:t>:</w:t>
      </w:r>
      <w:r w:rsidRPr="00E41250">
        <w:rPr>
          <w:bCs/>
        </w:rPr>
        <w:t xml:space="preserve"> </w:t>
      </w:r>
      <w:r w:rsidRPr="005E3242">
        <w:rPr>
          <w:bCs/>
        </w:rPr>
        <w:t xml:space="preserve">Summary of </w:t>
      </w:r>
      <w:r w:rsidRPr="001B4D3C">
        <w:t>efficacy</w:t>
      </w:r>
      <w:r w:rsidRPr="005E3242">
        <w:rPr>
          <w:bCs/>
        </w:rPr>
        <w:t xml:space="preserve"> </w:t>
      </w:r>
      <w:r>
        <w:rPr>
          <w:bCs/>
        </w:rPr>
        <w:t>in the</w:t>
      </w:r>
      <w:r w:rsidRPr="005E3242">
        <w:rPr>
          <w:bCs/>
        </w:rPr>
        <w:t xml:space="preserve"> </w:t>
      </w:r>
      <w:r w:rsidRPr="005E3242">
        <w:t>CLEOPATRA</w:t>
      </w:r>
      <w:r w:rsidRPr="005E3242">
        <w:rPr>
          <w:bCs/>
        </w:rPr>
        <w:t xml:space="preserve"> study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055"/>
        <w:gridCol w:w="2056"/>
      </w:tblGrid>
      <w:tr w:rsidR="001B4D3C" w:rsidRPr="005E3242" w14:paraId="3249F067" w14:textId="6726486A" w:rsidTr="008C1903">
        <w:trPr>
          <w:trHeight w:val="20"/>
        </w:trPr>
        <w:tc>
          <w:tcPr>
            <w:tcW w:w="4815" w:type="dxa"/>
            <w:tcBorders>
              <w:top w:val="single" w:sz="4" w:space="0" w:color="auto"/>
              <w:left w:val="single" w:sz="4" w:space="0" w:color="auto"/>
              <w:bottom w:val="single" w:sz="4" w:space="0" w:color="auto"/>
              <w:right w:val="single" w:sz="4" w:space="0" w:color="auto"/>
            </w:tcBorders>
            <w:hideMark/>
          </w:tcPr>
          <w:p w14:paraId="0A5B95FA" w14:textId="22E8C5B0" w:rsidR="001B4D3C" w:rsidRPr="005E3242" w:rsidRDefault="001B4D3C" w:rsidP="00C448E8">
            <w:pPr>
              <w:rPr>
                <w:b/>
                <w:bCs/>
                <w:color w:val="auto"/>
                <w:lang w:val="en-US"/>
              </w:rPr>
            </w:pPr>
          </w:p>
        </w:tc>
        <w:tc>
          <w:tcPr>
            <w:tcW w:w="2055" w:type="dxa"/>
            <w:tcBorders>
              <w:top w:val="single" w:sz="4" w:space="0" w:color="auto"/>
              <w:left w:val="single" w:sz="4" w:space="0" w:color="auto"/>
              <w:bottom w:val="single" w:sz="4" w:space="0" w:color="auto"/>
              <w:right w:val="single" w:sz="4" w:space="0" w:color="auto"/>
            </w:tcBorders>
            <w:vAlign w:val="bottom"/>
            <w:hideMark/>
          </w:tcPr>
          <w:p w14:paraId="59FFDB42" w14:textId="3EC227EB" w:rsidR="001B4D3C" w:rsidRDefault="001B4D3C" w:rsidP="00C448E8">
            <w:pPr>
              <w:rPr>
                <w:b/>
                <w:bCs/>
                <w:color w:val="auto"/>
                <w:lang w:val="en-US"/>
              </w:rPr>
            </w:pPr>
            <w:r w:rsidRPr="005E3242">
              <w:rPr>
                <w:b/>
                <w:bCs/>
                <w:color w:val="auto"/>
                <w:lang w:val="en-US"/>
              </w:rPr>
              <w:t>Placebo</w:t>
            </w:r>
          </w:p>
          <w:p w14:paraId="76955290" w14:textId="56F4A66F" w:rsidR="001B4D3C" w:rsidRPr="005E3242" w:rsidRDefault="001B4D3C" w:rsidP="00C448E8">
            <w:pPr>
              <w:rPr>
                <w:b/>
                <w:bCs/>
                <w:color w:val="auto"/>
                <w:lang w:val="en-US"/>
              </w:rPr>
            </w:pPr>
            <w:r w:rsidRPr="005E3242">
              <w:rPr>
                <w:b/>
                <w:bCs/>
                <w:color w:val="auto"/>
                <w:lang w:val="en-US"/>
              </w:rPr>
              <w:t xml:space="preserve">+ </w:t>
            </w:r>
            <w:r>
              <w:rPr>
                <w:b/>
                <w:bCs/>
                <w:color w:val="auto"/>
                <w:lang w:val="en-US"/>
              </w:rPr>
              <w:t>t</w:t>
            </w:r>
            <w:r w:rsidRPr="005E3242">
              <w:rPr>
                <w:b/>
                <w:bCs/>
                <w:color w:val="auto"/>
                <w:lang w:val="en-US"/>
              </w:rPr>
              <w:t>rastuzumab</w:t>
            </w:r>
          </w:p>
          <w:p w14:paraId="598D47BC" w14:textId="005DB477" w:rsidR="001B4D3C" w:rsidRPr="005E3242" w:rsidRDefault="001B4D3C" w:rsidP="00C448E8">
            <w:pPr>
              <w:rPr>
                <w:b/>
                <w:bCs/>
                <w:color w:val="auto"/>
                <w:lang w:val="en-US"/>
              </w:rPr>
            </w:pPr>
            <w:r w:rsidRPr="005E3242">
              <w:rPr>
                <w:b/>
                <w:bCs/>
                <w:color w:val="auto"/>
                <w:lang w:val="en-US"/>
              </w:rPr>
              <w:t>+ docetaxel</w:t>
            </w:r>
          </w:p>
          <w:p w14:paraId="1C05E704" w14:textId="25E0DA34" w:rsidR="001B4D3C" w:rsidRPr="005E3242" w:rsidRDefault="001B4D3C" w:rsidP="00C448E8">
            <w:pPr>
              <w:rPr>
                <w:b/>
                <w:bCs/>
                <w:color w:val="auto"/>
                <w:lang w:val="en-US"/>
              </w:rPr>
            </w:pPr>
            <w:r w:rsidRPr="005E3242">
              <w:rPr>
                <w:b/>
                <w:bCs/>
                <w:color w:val="auto"/>
                <w:lang w:val="en-US"/>
              </w:rPr>
              <w:t>n=406</w:t>
            </w:r>
          </w:p>
        </w:tc>
        <w:tc>
          <w:tcPr>
            <w:tcW w:w="2056" w:type="dxa"/>
            <w:tcBorders>
              <w:top w:val="single" w:sz="4" w:space="0" w:color="auto"/>
              <w:left w:val="single" w:sz="4" w:space="0" w:color="auto"/>
              <w:bottom w:val="single" w:sz="4" w:space="0" w:color="auto"/>
              <w:right w:val="single" w:sz="4" w:space="0" w:color="auto"/>
            </w:tcBorders>
            <w:vAlign w:val="bottom"/>
            <w:hideMark/>
          </w:tcPr>
          <w:p w14:paraId="3B37818F" w14:textId="398249D9" w:rsidR="001B4D3C" w:rsidRDefault="001B4D3C" w:rsidP="00C448E8">
            <w:pPr>
              <w:rPr>
                <w:b/>
                <w:bCs/>
                <w:color w:val="auto"/>
                <w:lang w:val="pt-BR"/>
              </w:rPr>
            </w:pPr>
            <w:r w:rsidRPr="005E3242">
              <w:rPr>
                <w:b/>
                <w:bCs/>
                <w:color w:val="auto"/>
                <w:lang w:val="pt-BR"/>
              </w:rPr>
              <w:t>Pertuzumab</w:t>
            </w:r>
          </w:p>
          <w:p w14:paraId="297C57A0" w14:textId="02A1E4B1" w:rsidR="001B4D3C" w:rsidRPr="005E3242" w:rsidRDefault="001B4D3C" w:rsidP="00C448E8">
            <w:pPr>
              <w:rPr>
                <w:b/>
                <w:bCs/>
                <w:color w:val="auto"/>
                <w:lang w:val="pt-BR"/>
              </w:rPr>
            </w:pPr>
            <w:r w:rsidRPr="005E3242">
              <w:rPr>
                <w:b/>
                <w:bCs/>
                <w:color w:val="auto"/>
                <w:lang w:val="pt-BR"/>
              </w:rPr>
              <w:t xml:space="preserve">+ </w:t>
            </w:r>
            <w:r>
              <w:rPr>
                <w:b/>
                <w:bCs/>
                <w:color w:val="auto"/>
                <w:lang w:val="pt-BR"/>
              </w:rPr>
              <w:t>t</w:t>
            </w:r>
            <w:r w:rsidRPr="005E3242">
              <w:rPr>
                <w:b/>
                <w:bCs/>
                <w:color w:val="auto"/>
                <w:lang w:val="pt-BR"/>
              </w:rPr>
              <w:t>rastuzumab</w:t>
            </w:r>
          </w:p>
          <w:p w14:paraId="223A606E" w14:textId="62040506" w:rsidR="001B4D3C" w:rsidRPr="005E3242" w:rsidRDefault="001B4D3C" w:rsidP="00C448E8">
            <w:pPr>
              <w:rPr>
                <w:b/>
                <w:bCs/>
                <w:color w:val="auto"/>
                <w:lang w:val="pt-BR"/>
              </w:rPr>
            </w:pPr>
            <w:r w:rsidRPr="005E3242">
              <w:rPr>
                <w:b/>
                <w:bCs/>
                <w:color w:val="auto"/>
                <w:lang w:val="pt-BR"/>
              </w:rPr>
              <w:t>+ docetaxel</w:t>
            </w:r>
          </w:p>
          <w:p w14:paraId="3492247E" w14:textId="4F4191FE" w:rsidR="001B4D3C" w:rsidRPr="005E3242" w:rsidRDefault="001B4D3C" w:rsidP="00C448E8">
            <w:pPr>
              <w:rPr>
                <w:b/>
                <w:bCs/>
                <w:color w:val="auto"/>
                <w:lang w:val="pt-BR"/>
              </w:rPr>
            </w:pPr>
            <w:r w:rsidRPr="005E3242">
              <w:rPr>
                <w:b/>
                <w:bCs/>
                <w:color w:val="auto"/>
                <w:lang w:val="pt-BR"/>
              </w:rPr>
              <w:t>n=402</w:t>
            </w:r>
          </w:p>
        </w:tc>
      </w:tr>
      <w:tr w:rsidR="001B4D3C" w:rsidRPr="005E3242" w14:paraId="48E3D0FC" w14:textId="2BBBF12A"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hideMark/>
          </w:tcPr>
          <w:p w14:paraId="59987596" w14:textId="17CF1127" w:rsidR="001B4D3C" w:rsidRPr="008C1903" w:rsidRDefault="001B4D3C" w:rsidP="00C448E8">
            <w:pPr>
              <w:rPr>
                <w:b/>
                <w:bCs/>
                <w:i/>
                <w:color w:val="auto"/>
                <w:lang w:val="en-US"/>
              </w:rPr>
            </w:pPr>
            <w:r w:rsidRPr="008C1903">
              <w:rPr>
                <w:b/>
                <w:bCs/>
                <w:i/>
                <w:color w:val="auto"/>
                <w:lang w:val="en-US"/>
              </w:rPr>
              <w:t>Primary endpoint</w:t>
            </w:r>
          </w:p>
        </w:tc>
      </w:tr>
      <w:tr w:rsidR="001B4D3C" w:rsidRPr="005E3242" w14:paraId="45377710" w14:textId="5003701C"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tcPr>
          <w:p w14:paraId="59131205" w14:textId="1E1B72E3" w:rsidR="001B4D3C" w:rsidRPr="005E3242" w:rsidRDefault="001B4D3C" w:rsidP="00C448E8">
            <w:pPr>
              <w:rPr>
                <w:bCs/>
                <w:color w:val="auto"/>
                <w:lang w:val="en-US"/>
              </w:rPr>
            </w:pPr>
            <w:r w:rsidRPr="005E3242">
              <w:rPr>
                <w:b/>
                <w:bCs/>
                <w:color w:val="auto"/>
                <w:lang w:val="en-US"/>
              </w:rPr>
              <w:t>Progression-</w:t>
            </w:r>
            <w:r>
              <w:rPr>
                <w:b/>
                <w:bCs/>
                <w:color w:val="auto"/>
                <w:lang w:val="en-US"/>
              </w:rPr>
              <w:t>f</w:t>
            </w:r>
            <w:r w:rsidRPr="005E3242">
              <w:rPr>
                <w:b/>
                <w:bCs/>
                <w:color w:val="auto"/>
                <w:lang w:val="en-US"/>
              </w:rPr>
              <w:t xml:space="preserve">ree </w:t>
            </w:r>
            <w:proofErr w:type="gramStart"/>
            <w:r>
              <w:rPr>
                <w:b/>
                <w:bCs/>
                <w:color w:val="auto"/>
                <w:lang w:val="en-US"/>
              </w:rPr>
              <w:t>s</w:t>
            </w:r>
            <w:r w:rsidRPr="005E3242">
              <w:rPr>
                <w:b/>
                <w:bCs/>
                <w:color w:val="auto"/>
                <w:lang w:val="en-US"/>
              </w:rPr>
              <w:t>urvival(</w:t>
            </w:r>
            <w:proofErr w:type="gramEnd"/>
            <w:r w:rsidRPr="005E3242">
              <w:rPr>
                <w:b/>
                <w:bCs/>
                <w:color w:val="auto"/>
                <w:lang w:val="en-US"/>
              </w:rPr>
              <w:t>IRF review)</w:t>
            </w:r>
          </w:p>
        </w:tc>
      </w:tr>
      <w:tr w:rsidR="001B4D3C" w:rsidRPr="005E3242" w14:paraId="677E814B"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23CDF084" w14:textId="16850A55" w:rsidR="001B4D3C" w:rsidRPr="005E3242" w:rsidRDefault="001B4D3C" w:rsidP="00C448E8">
            <w:pPr>
              <w:rPr>
                <w:b/>
                <w:bCs/>
                <w:color w:val="auto"/>
                <w:lang w:val="en-US"/>
              </w:rPr>
            </w:pPr>
            <w:r w:rsidRPr="005E3242">
              <w:rPr>
                <w:color w:val="auto"/>
                <w:lang w:val="en-GB"/>
              </w:rPr>
              <w:t>Number (%) of patients with event</w:t>
            </w:r>
          </w:p>
        </w:tc>
        <w:tc>
          <w:tcPr>
            <w:tcW w:w="2055" w:type="dxa"/>
            <w:tcBorders>
              <w:top w:val="single" w:sz="4" w:space="0" w:color="auto"/>
              <w:left w:val="single" w:sz="4" w:space="0" w:color="auto"/>
              <w:bottom w:val="single" w:sz="4" w:space="0" w:color="auto"/>
              <w:right w:val="single" w:sz="4" w:space="0" w:color="auto"/>
            </w:tcBorders>
          </w:tcPr>
          <w:p w14:paraId="3211DFBA" w14:textId="77777777" w:rsidR="001B4D3C" w:rsidRPr="005E3242" w:rsidRDefault="001B4D3C" w:rsidP="00C448E8">
            <w:pPr>
              <w:rPr>
                <w:bCs/>
                <w:color w:val="auto"/>
                <w:lang w:val="en-US"/>
              </w:rPr>
            </w:pPr>
            <w:r w:rsidRPr="005E3242">
              <w:rPr>
                <w:bCs/>
                <w:color w:val="auto"/>
                <w:lang w:val="en-US"/>
              </w:rPr>
              <w:t>242 (59%)</w:t>
            </w:r>
          </w:p>
          <w:p w14:paraId="2E90B5D8" w14:textId="77777777" w:rsidR="001B4D3C" w:rsidRPr="005E3242" w:rsidRDefault="001B4D3C" w:rsidP="00C448E8">
            <w:pPr>
              <w:rPr>
                <w:bCs/>
                <w:color w:val="auto"/>
                <w:lang w:val="en-US"/>
              </w:rPr>
            </w:pPr>
          </w:p>
        </w:tc>
        <w:tc>
          <w:tcPr>
            <w:tcW w:w="2056" w:type="dxa"/>
            <w:tcBorders>
              <w:top w:val="single" w:sz="4" w:space="0" w:color="auto"/>
              <w:left w:val="single" w:sz="4" w:space="0" w:color="auto"/>
              <w:bottom w:val="single" w:sz="4" w:space="0" w:color="auto"/>
              <w:right w:val="single" w:sz="4" w:space="0" w:color="auto"/>
            </w:tcBorders>
          </w:tcPr>
          <w:p w14:paraId="725A99E3" w14:textId="77777777" w:rsidR="001B4D3C" w:rsidRPr="005E3242" w:rsidRDefault="001B4D3C" w:rsidP="00C448E8">
            <w:pPr>
              <w:rPr>
                <w:bCs/>
                <w:color w:val="auto"/>
                <w:lang w:val="en-US"/>
              </w:rPr>
            </w:pPr>
            <w:r w:rsidRPr="005E3242">
              <w:rPr>
                <w:bCs/>
                <w:color w:val="auto"/>
                <w:lang w:val="en-US"/>
              </w:rPr>
              <w:t>191 (47.5%)</w:t>
            </w:r>
          </w:p>
          <w:p w14:paraId="009CFAA9" w14:textId="77777777" w:rsidR="001B4D3C" w:rsidRPr="005E3242" w:rsidRDefault="001B4D3C" w:rsidP="00C448E8">
            <w:pPr>
              <w:rPr>
                <w:bCs/>
                <w:color w:val="auto"/>
                <w:lang w:val="en-US"/>
              </w:rPr>
            </w:pPr>
          </w:p>
        </w:tc>
      </w:tr>
      <w:tr w:rsidR="001B4D3C" w:rsidRPr="005E3242" w14:paraId="26E2103C"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0026471C" w14:textId="2F220A7B" w:rsidR="001B4D3C" w:rsidRPr="008C1903" w:rsidRDefault="001B4D3C" w:rsidP="00C448E8">
            <w:pPr>
              <w:rPr>
                <w:bCs/>
                <w:color w:val="auto"/>
                <w:lang w:val="en-US"/>
              </w:rPr>
            </w:pPr>
            <w:r w:rsidRPr="008C1903">
              <w:rPr>
                <w:bCs/>
                <w:color w:val="auto"/>
                <w:lang w:val="en-US"/>
              </w:rPr>
              <w:t>Median, months</w:t>
            </w:r>
          </w:p>
        </w:tc>
        <w:tc>
          <w:tcPr>
            <w:tcW w:w="2055" w:type="dxa"/>
            <w:tcBorders>
              <w:top w:val="single" w:sz="4" w:space="0" w:color="auto"/>
              <w:left w:val="single" w:sz="4" w:space="0" w:color="auto"/>
              <w:bottom w:val="single" w:sz="4" w:space="0" w:color="auto"/>
              <w:right w:val="single" w:sz="4" w:space="0" w:color="auto"/>
            </w:tcBorders>
          </w:tcPr>
          <w:p w14:paraId="5782AA5A" w14:textId="3DAD97A4" w:rsidR="001B4D3C" w:rsidRPr="005E3242" w:rsidRDefault="001B4D3C" w:rsidP="00C448E8">
            <w:pPr>
              <w:rPr>
                <w:bCs/>
                <w:color w:val="auto"/>
                <w:lang w:val="en-US"/>
              </w:rPr>
            </w:pPr>
            <w:r w:rsidRPr="005E3242">
              <w:rPr>
                <w:bCs/>
                <w:color w:val="auto"/>
                <w:lang w:val="en-US"/>
              </w:rPr>
              <w:t>12.4</w:t>
            </w:r>
          </w:p>
        </w:tc>
        <w:tc>
          <w:tcPr>
            <w:tcW w:w="2056" w:type="dxa"/>
            <w:tcBorders>
              <w:top w:val="single" w:sz="4" w:space="0" w:color="auto"/>
              <w:left w:val="single" w:sz="4" w:space="0" w:color="auto"/>
              <w:bottom w:val="single" w:sz="4" w:space="0" w:color="auto"/>
              <w:right w:val="single" w:sz="4" w:space="0" w:color="auto"/>
            </w:tcBorders>
          </w:tcPr>
          <w:p w14:paraId="4ACE2CD7" w14:textId="66D2DA6D" w:rsidR="001B4D3C" w:rsidRPr="005E3242" w:rsidRDefault="001B4D3C" w:rsidP="00C448E8">
            <w:pPr>
              <w:rPr>
                <w:bCs/>
                <w:color w:val="auto"/>
                <w:lang w:val="en-US"/>
              </w:rPr>
            </w:pPr>
            <w:r w:rsidRPr="005E3242">
              <w:rPr>
                <w:bCs/>
                <w:color w:val="auto"/>
                <w:lang w:val="en-US"/>
              </w:rPr>
              <w:t>18.5</w:t>
            </w:r>
          </w:p>
        </w:tc>
      </w:tr>
      <w:tr w:rsidR="001B4D3C" w:rsidRPr="005E3242" w14:paraId="180E2BF1"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486FE401" w14:textId="2106941C" w:rsidR="001B4D3C" w:rsidRPr="008C1903" w:rsidRDefault="001B4D3C" w:rsidP="00C448E8">
            <w:pPr>
              <w:rPr>
                <w:bCs/>
                <w:color w:val="auto"/>
                <w:lang w:val="en-US"/>
              </w:rPr>
            </w:pPr>
            <w:r w:rsidRPr="008C1903">
              <w:rPr>
                <w:bCs/>
                <w:color w:val="auto"/>
                <w:lang w:val="en-US"/>
              </w:rPr>
              <w:t xml:space="preserve">HR </w:t>
            </w:r>
            <w:r w:rsidRPr="001B4D3C">
              <w:rPr>
                <w:bCs/>
                <w:color w:val="auto"/>
                <w:lang w:val="en-US"/>
              </w:rPr>
              <w:t>[95% CI] (p-value)</w:t>
            </w:r>
          </w:p>
        </w:tc>
        <w:tc>
          <w:tcPr>
            <w:tcW w:w="4111" w:type="dxa"/>
            <w:gridSpan w:val="2"/>
            <w:tcBorders>
              <w:top w:val="single" w:sz="4" w:space="0" w:color="auto"/>
              <w:left w:val="single" w:sz="4" w:space="0" w:color="auto"/>
              <w:bottom w:val="single" w:sz="4" w:space="0" w:color="auto"/>
              <w:right w:val="single" w:sz="4" w:space="0" w:color="auto"/>
            </w:tcBorders>
          </w:tcPr>
          <w:p w14:paraId="71CB19C7" w14:textId="0B78BF70" w:rsidR="001B4D3C" w:rsidRPr="005E3242" w:rsidRDefault="001B4D3C" w:rsidP="00C448E8">
            <w:pPr>
              <w:rPr>
                <w:bCs/>
                <w:color w:val="auto"/>
                <w:lang w:val="en-US"/>
              </w:rPr>
            </w:pPr>
            <w:r w:rsidRPr="005E3242">
              <w:rPr>
                <w:bCs/>
                <w:color w:val="auto"/>
                <w:lang w:val="en-US"/>
              </w:rPr>
              <w:t>0.62</w:t>
            </w:r>
            <w:r>
              <w:rPr>
                <w:bCs/>
                <w:color w:val="auto"/>
                <w:lang w:val="en-US"/>
              </w:rPr>
              <w:t xml:space="preserve"> [0.51, </w:t>
            </w:r>
            <w:r w:rsidRPr="005E3242">
              <w:rPr>
                <w:bCs/>
                <w:color w:val="auto"/>
                <w:lang w:val="en-US"/>
              </w:rPr>
              <w:t xml:space="preserve">0.75] </w:t>
            </w:r>
            <w:r>
              <w:rPr>
                <w:bCs/>
                <w:color w:val="auto"/>
                <w:lang w:val="en-US"/>
              </w:rPr>
              <w:t>(</w:t>
            </w:r>
            <w:r w:rsidRPr="005E3242">
              <w:rPr>
                <w:bCs/>
                <w:color w:val="auto"/>
                <w:lang w:val="en-US"/>
              </w:rPr>
              <w:t>&lt;0.0001</w:t>
            </w:r>
            <w:r>
              <w:rPr>
                <w:bCs/>
                <w:color w:val="auto"/>
                <w:lang w:val="en-US"/>
              </w:rPr>
              <w:t>)</w:t>
            </w:r>
          </w:p>
        </w:tc>
      </w:tr>
      <w:tr w:rsidR="001B4D3C" w:rsidRPr="005E3242" w14:paraId="46EA106B" w14:textId="6581B6D8"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hideMark/>
          </w:tcPr>
          <w:p w14:paraId="7BDF7720" w14:textId="1E1337AC" w:rsidR="001B4D3C" w:rsidRPr="008C1903" w:rsidRDefault="001B4D3C" w:rsidP="00C448E8">
            <w:pPr>
              <w:rPr>
                <w:b/>
                <w:bCs/>
                <w:i/>
                <w:color w:val="auto"/>
                <w:lang w:val="en-US"/>
              </w:rPr>
            </w:pPr>
            <w:r w:rsidRPr="008C1903">
              <w:rPr>
                <w:b/>
                <w:bCs/>
                <w:i/>
                <w:color w:val="auto"/>
                <w:lang w:val="en-US"/>
              </w:rPr>
              <w:t>Secondary endpoints</w:t>
            </w:r>
          </w:p>
        </w:tc>
      </w:tr>
      <w:tr w:rsidR="001B4D3C" w:rsidRPr="005E3242" w14:paraId="2625A002" w14:textId="678B0718"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tcPr>
          <w:p w14:paraId="5D08288A" w14:textId="18BFE4E0" w:rsidR="001B4D3C" w:rsidRPr="005E3242" w:rsidRDefault="001B4D3C" w:rsidP="00C448E8">
            <w:pPr>
              <w:rPr>
                <w:bCs/>
                <w:color w:val="auto"/>
                <w:lang w:val="en-US"/>
              </w:rPr>
            </w:pPr>
            <w:r w:rsidRPr="005E3242">
              <w:rPr>
                <w:b/>
                <w:bCs/>
                <w:color w:val="auto"/>
                <w:lang w:val="en-US"/>
              </w:rPr>
              <w:t xml:space="preserve">Overall </w:t>
            </w:r>
            <w:r>
              <w:rPr>
                <w:b/>
                <w:bCs/>
                <w:color w:val="auto"/>
                <w:lang w:val="en-US"/>
              </w:rPr>
              <w:t>s</w:t>
            </w:r>
            <w:r w:rsidRPr="005E3242">
              <w:rPr>
                <w:b/>
                <w:bCs/>
                <w:color w:val="auto"/>
                <w:lang w:val="en-US"/>
              </w:rPr>
              <w:t>urvival (</w:t>
            </w:r>
            <w:r>
              <w:rPr>
                <w:b/>
                <w:bCs/>
                <w:color w:val="auto"/>
                <w:lang w:val="en-US"/>
              </w:rPr>
              <w:t>f</w:t>
            </w:r>
            <w:r w:rsidRPr="005E3242">
              <w:rPr>
                <w:b/>
                <w:bCs/>
                <w:color w:val="auto"/>
                <w:lang w:val="en-US"/>
              </w:rPr>
              <w:t xml:space="preserve">inal </w:t>
            </w:r>
            <w:proofErr w:type="gramStart"/>
            <w:r w:rsidRPr="005E3242">
              <w:rPr>
                <w:b/>
                <w:bCs/>
                <w:color w:val="auto"/>
                <w:lang w:val="en-US"/>
              </w:rPr>
              <w:t>analysis)</w:t>
            </w:r>
            <w:r>
              <w:rPr>
                <w:b/>
                <w:bCs/>
                <w:color w:val="auto"/>
                <w:lang w:val="en-US"/>
              </w:rPr>
              <w:t>*</w:t>
            </w:r>
            <w:proofErr w:type="gramEnd"/>
          </w:p>
        </w:tc>
      </w:tr>
      <w:tr w:rsidR="001B4D3C" w:rsidRPr="005E3242" w14:paraId="1076618B"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60B90CB3" w14:textId="18CAD493" w:rsidR="001B4D3C" w:rsidRPr="005E3242" w:rsidRDefault="001B4D3C" w:rsidP="00C448E8">
            <w:pPr>
              <w:rPr>
                <w:b/>
                <w:bCs/>
                <w:color w:val="auto"/>
                <w:lang w:val="en-US"/>
              </w:rPr>
            </w:pPr>
            <w:r w:rsidRPr="005E3242">
              <w:rPr>
                <w:color w:val="auto"/>
                <w:lang w:val="en-GB"/>
              </w:rPr>
              <w:t>Number (%) of patients with event</w:t>
            </w:r>
          </w:p>
        </w:tc>
        <w:tc>
          <w:tcPr>
            <w:tcW w:w="2055" w:type="dxa"/>
            <w:tcBorders>
              <w:top w:val="single" w:sz="4" w:space="0" w:color="auto"/>
              <w:left w:val="single" w:sz="4" w:space="0" w:color="auto"/>
              <w:bottom w:val="single" w:sz="4" w:space="0" w:color="auto"/>
              <w:right w:val="single" w:sz="4" w:space="0" w:color="auto"/>
            </w:tcBorders>
          </w:tcPr>
          <w:p w14:paraId="362926D7" w14:textId="7C58B0E3" w:rsidR="001B4D3C" w:rsidRPr="005E3242" w:rsidRDefault="001B4D3C" w:rsidP="00C448E8">
            <w:pPr>
              <w:rPr>
                <w:bCs/>
                <w:color w:val="auto"/>
                <w:lang w:val="en-US"/>
              </w:rPr>
            </w:pPr>
            <w:r>
              <w:rPr>
                <w:bCs/>
                <w:color w:val="auto"/>
                <w:lang w:val="en-US"/>
              </w:rPr>
              <w:t>221 (54.4%)</w:t>
            </w:r>
          </w:p>
        </w:tc>
        <w:tc>
          <w:tcPr>
            <w:tcW w:w="2056" w:type="dxa"/>
            <w:tcBorders>
              <w:top w:val="single" w:sz="4" w:space="0" w:color="auto"/>
              <w:left w:val="single" w:sz="4" w:space="0" w:color="auto"/>
              <w:bottom w:val="single" w:sz="4" w:space="0" w:color="auto"/>
              <w:right w:val="single" w:sz="4" w:space="0" w:color="auto"/>
            </w:tcBorders>
          </w:tcPr>
          <w:p w14:paraId="63C3CA97" w14:textId="395D0EB0" w:rsidR="001B4D3C" w:rsidRPr="005E3242" w:rsidRDefault="001B4D3C" w:rsidP="00C448E8">
            <w:pPr>
              <w:rPr>
                <w:bCs/>
                <w:color w:val="auto"/>
                <w:lang w:val="en-US"/>
              </w:rPr>
            </w:pPr>
            <w:r w:rsidRPr="005E3242">
              <w:rPr>
                <w:bCs/>
                <w:color w:val="auto"/>
                <w:lang w:val="en-US"/>
              </w:rPr>
              <w:t>168 (41.8%)</w:t>
            </w:r>
          </w:p>
        </w:tc>
      </w:tr>
      <w:tr w:rsidR="001B4D3C" w:rsidRPr="005E3242" w14:paraId="571E0C08"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1C68DE2E" w14:textId="3849C3F9" w:rsidR="001B4D3C" w:rsidRPr="005E3242" w:rsidRDefault="001B4D3C" w:rsidP="00C448E8">
            <w:pPr>
              <w:rPr>
                <w:b/>
                <w:bCs/>
                <w:color w:val="auto"/>
                <w:lang w:val="en-US"/>
              </w:rPr>
            </w:pPr>
            <w:r w:rsidRPr="00631485">
              <w:rPr>
                <w:bCs/>
                <w:color w:val="auto"/>
                <w:lang w:val="en-US"/>
              </w:rPr>
              <w:t>Median, months</w:t>
            </w:r>
          </w:p>
        </w:tc>
        <w:tc>
          <w:tcPr>
            <w:tcW w:w="2055" w:type="dxa"/>
            <w:tcBorders>
              <w:top w:val="single" w:sz="4" w:space="0" w:color="auto"/>
              <w:left w:val="single" w:sz="4" w:space="0" w:color="auto"/>
              <w:bottom w:val="single" w:sz="4" w:space="0" w:color="auto"/>
              <w:right w:val="single" w:sz="4" w:space="0" w:color="auto"/>
            </w:tcBorders>
          </w:tcPr>
          <w:p w14:paraId="7E205290" w14:textId="0A1D77BB" w:rsidR="001B4D3C" w:rsidRPr="005E3242" w:rsidRDefault="001B4D3C" w:rsidP="00C448E8">
            <w:pPr>
              <w:rPr>
                <w:bCs/>
                <w:color w:val="auto"/>
                <w:lang w:val="en-US"/>
              </w:rPr>
            </w:pPr>
            <w:r w:rsidRPr="005E3242">
              <w:rPr>
                <w:bCs/>
                <w:color w:val="auto"/>
                <w:lang w:val="en-US"/>
              </w:rPr>
              <w:t>40.8</w:t>
            </w:r>
          </w:p>
        </w:tc>
        <w:tc>
          <w:tcPr>
            <w:tcW w:w="2056" w:type="dxa"/>
            <w:tcBorders>
              <w:top w:val="single" w:sz="4" w:space="0" w:color="auto"/>
              <w:left w:val="single" w:sz="4" w:space="0" w:color="auto"/>
              <w:bottom w:val="single" w:sz="4" w:space="0" w:color="auto"/>
              <w:right w:val="single" w:sz="4" w:space="0" w:color="auto"/>
            </w:tcBorders>
          </w:tcPr>
          <w:p w14:paraId="390C65EF" w14:textId="22CB2E47" w:rsidR="001B4D3C" w:rsidRPr="005E3242" w:rsidRDefault="001B4D3C" w:rsidP="00C448E8">
            <w:pPr>
              <w:rPr>
                <w:bCs/>
                <w:color w:val="auto"/>
                <w:lang w:val="en-US"/>
              </w:rPr>
            </w:pPr>
            <w:r w:rsidRPr="005E3242">
              <w:rPr>
                <w:bCs/>
                <w:color w:val="auto"/>
                <w:lang w:val="en-US"/>
              </w:rPr>
              <w:t>56.5</w:t>
            </w:r>
          </w:p>
        </w:tc>
      </w:tr>
      <w:tr w:rsidR="001B4D3C" w:rsidRPr="005E3242" w14:paraId="66B162E8"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7A742DFA" w14:textId="00F0069F" w:rsidR="001B4D3C" w:rsidRPr="005E3242" w:rsidRDefault="001B4D3C" w:rsidP="00C448E8">
            <w:pPr>
              <w:rPr>
                <w:b/>
                <w:bCs/>
                <w:color w:val="auto"/>
                <w:lang w:val="en-US"/>
              </w:rPr>
            </w:pPr>
            <w:r w:rsidRPr="00631485">
              <w:rPr>
                <w:bCs/>
                <w:color w:val="auto"/>
                <w:lang w:val="en-US"/>
              </w:rPr>
              <w:t>HR [95% CI] (p-value)</w:t>
            </w:r>
          </w:p>
        </w:tc>
        <w:tc>
          <w:tcPr>
            <w:tcW w:w="4111" w:type="dxa"/>
            <w:gridSpan w:val="2"/>
            <w:tcBorders>
              <w:top w:val="single" w:sz="4" w:space="0" w:color="auto"/>
              <w:left w:val="single" w:sz="4" w:space="0" w:color="auto"/>
              <w:bottom w:val="single" w:sz="4" w:space="0" w:color="auto"/>
              <w:right w:val="single" w:sz="4" w:space="0" w:color="auto"/>
            </w:tcBorders>
          </w:tcPr>
          <w:p w14:paraId="758BFE5F" w14:textId="23B72D53" w:rsidR="001B4D3C" w:rsidRPr="005E3242" w:rsidRDefault="001B4D3C" w:rsidP="00C448E8">
            <w:pPr>
              <w:rPr>
                <w:bCs/>
                <w:color w:val="auto"/>
                <w:lang w:val="en-US"/>
              </w:rPr>
            </w:pPr>
            <w:r w:rsidRPr="005E3242">
              <w:rPr>
                <w:bCs/>
                <w:color w:val="auto"/>
                <w:lang w:val="en-US"/>
              </w:rPr>
              <w:t>0.68</w:t>
            </w:r>
            <w:r>
              <w:rPr>
                <w:bCs/>
                <w:color w:val="auto"/>
                <w:lang w:val="en-US"/>
              </w:rPr>
              <w:t xml:space="preserve"> [0.56, </w:t>
            </w:r>
            <w:r w:rsidRPr="005E3242">
              <w:rPr>
                <w:bCs/>
                <w:color w:val="auto"/>
                <w:lang w:val="en-US"/>
              </w:rPr>
              <w:t xml:space="preserve">0.84] </w:t>
            </w:r>
            <w:r>
              <w:rPr>
                <w:bCs/>
                <w:color w:val="auto"/>
                <w:lang w:val="en-US"/>
              </w:rPr>
              <w:t>(</w:t>
            </w:r>
            <w:r w:rsidRPr="005E3242">
              <w:rPr>
                <w:bCs/>
                <w:color w:val="auto"/>
                <w:lang w:val="en-US"/>
              </w:rPr>
              <w:t>0.0002</w:t>
            </w:r>
            <w:r>
              <w:rPr>
                <w:bCs/>
                <w:color w:val="auto"/>
                <w:lang w:val="en-US"/>
              </w:rPr>
              <w:t>)</w:t>
            </w:r>
          </w:p>
        </w:tc>
      </w:tr>
      <w:tr w:rsidR="001B4D3C" w:rsidRPr="005E3242" w14:paraId="6D621248" w14:textId="4A4FD5E5"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tcPr>
          <w:p w14:paraId="48C67178" w14:textId="4A4D339B" w:rsidR="001B4D3C" w:rsidRPr="005E3242" w:rsidRDefault="001B4D3C" w:rsidP="00C448E8">
            <w:pPr>
              <w:rPr>
                <w:bCs/>
                <w:color w:val="auto"/>
                <w:lang w:val="en-US"/>
              </w:rPr>
            </w:pPr>
            <w:r w:rsidRPr="005E3242">
              <w:rPr>
                <w:b/>
                <w:bCs/>
                <w:color w:val="auto"/>
                <w:lang w:val="en-US"/>
              </w:rPr>
              <w:t>Progression-</w:t>
            </w:r>
            <w:r>
              <w:rPr>
                <w:b/>
                <w:bCs/>
                <w:color w:val="auto"/>
                <w:lang w:val="en-US"/>
              </w:rPr>
              <w:t>f</w:t>
            </w:r>
            <w:r w:rsidRPr="005E3242">
              <w:rPr>
                <w:b/>
                <w:bCs/>
                <w:color w:val="auto"/>
                <w:lang w:val="en-US"/>
              </w:rPr>
              <w:t xml:space="preserve">ree </w:t>
            </w:r>
            <w:r>
              <w:rPr>
                <w:b/>
                <w:bCs/>
                <w:color w:val="auto"/>
                <w:lang w:val="en-US"/>
              </w:rPr>
              <w:t>s</w:t>
            </w:r>
            <w:r w:rsidRPr="005E3242">
              <w:rPr>
                <w:b/>
                <w:bCs/>
                <w:color w:val="auto"/>
                <w:lang w:val="en-US"/>
              </w:rPr>
              <w:t>urvival (investigator assessment)</w:t>
            </w:r>
          </w:p>
        </w:tc>
      </w:tr>
      <w:tr w:rsidR="001B4D3C" w:rsidRPr="005E3242" w14:paraId="7346BDE4"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3B21A605" w14:textId="2677B8B1" w:rsidR="001B4D3C" w:rsidRPr="005E3242" w:rsidRDefault="001B4D3C" w:rsidP="00C448E8">
            <w:pPr>
              <w:rPr>
                <w:b/>
                <w:bCs/>
                <w:color w:val="auto"/>
                <w:lang w:val="en-US"/>
              </w:rPr>
            </w:pPr>
            <w:r w:rsidRPr="005E3242">
              <w:rPr>
                <w:color w:val="auto"/>
                <w:lang w:val="en-GB"/>
              </w:rPr>
              <w:t>Number (%) of patients with event</w:t>
            </w:r>
          </w:p>
        </w:tc>
        <w:tc>
          <w:tcPr>
            <w:tcW w:w="2055" w:type="dxa"/>
            <w:tcBorders>
              <w:top w:val="single" w:sz="4" w:space="0" w:color="auto"/>
              <w:left w:val="single" w:sz="4" w:space="0" w:color="auto"/>
              <w:bottom w:val="single" w:sz="4" w:space="0" w:color="auto"/>
              <w:right w:val="single" w:sz="4" w:space="0" w:color="auto"/>
            </w:tcBorders>
          </w:tcPr>
          <w:p w14:paraId="14EAE9AE" w14:textId="43C494CA" w:rsidR="001B4D3C" w:rsidRPr="005E3242" w:rsidRDefault="001B4D3C" w:rsidP="00C448E8">
            <w:pPr>
              <w:rPr>
                <w:bCs/>
                <w:color w:val="auto"/>
                <w:lang w:val="en-US"/>
              </w:rPr>
            </w:pPr>
            <w:r>
              <w:rPr>
                <w:bCs/>
                <w:color w:val="auto"/>
                <w:lang w:val="en-US"/>
              </w:rPr>
              <w:t>250 (61.6%)</w:t>
            </w:r>
          </w:p>
        </w:tc>
        <w:tc>
          <w:tcPr>
            <w:tcW w:w="2056" w:type="dxa"/>
            <w:tcBorders>
              <w:top w:val="single" w:sz="4" w:space="0" w:color="auto"/>
              <w:left w:val="single" w:sz="4" w:space="0" w:color="auto"/>
              <w:bottom w:val="single" w:sz="4" w:space="0" w:color="auto"/>
              <w:right w:val="single" w:sz="4" w:space="0" w:color="auto"/>
            </w:tcBorders>
          </w:tcPr>
          <w:p w14:paraId="13138637" w14:textId="7896F35F" w:rsidR="001B4D3C" w:rsidRPr="005E3242" w:rsidRDefault="001B4D3C" w:rsidP="00C448E8">
            <w:pPr>
              <w:rPr>
                <w:bCs/>
                <w:color w:val="auto"/>
                <w:lang w:val="en-US"/>
              </w:rPr>
            </w:pPr>
            <w:r>
              <w:rPr>
                <w:bCs/>
                <w:color w:val="auto"/>
                <w:lang w:val="en-US"/>
              </w:rPr>
              <w:t>201 (50.0%)</w:t>
            </w:r>
          </w:p>
        </w:tc>
      </w:tr>
      <w:tr w:rsidR="001B4D3C" w:rsidRPr="005E3242" w14:paraId="494A432B"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357ACDEF" w14:textId="59F51346" w:rsidR="001B4D3C" w:rsidRPr="005E3242" w:rsidRDefault="001B4D3C" w:rsidP="00C448E8">
            <w:pPr>
              <w:rPr>
                <w:b/>
                <w:bCs/>
                <w:color w:val="auto"/>
                <w:lang w:val="en-US"/>
              </w:rPr>
            </w:pPr>
            <w:r w:rsidRPr="00631485">
              <w:rPr>
                <w:bCs/>
                <w:color w:val="auto"/>
                <w:lang w:val="en-US"/>
              </w:rPr>
              <w:t>Median, months</w:t>
            </w:r>
          </w:p>
        </w:tc>
        <w:tc>
          <w:tcPr>
            <w:tcW w:w="2055" w:type="dxa"/>
            <w:tcBorders>
              <w:top w:val="single" w:sz="4" w:space="0" w:color="auto"/>
              <w:left w:val="single" w:sz="4" w:space="0" w:color="auto"/>
              <w:bottom w:val="single" w:sz="4" w:space="0" w:color="auto"/>
              <w:right w:val="single" w:sz="4" w:space="0" w:color="auto"/>
            </w:tcBorders>
          </w:tcPr>
          <w:p w14:paraId="433B0EAF" w14:textId="29E44BBE" w:rsidR="001B4D3C" w:rsidRPr="005E3242" w:rsidRDefault="001B4D3C" w:rsidP="00C448E8">
            <w:pPr>
              <w:rPr>
                <w:bCs/>
                <w:color w:val="auto"/>
                <w:lang w:val="en-US"/>
              </w:rPr>
            </w:pPr>
            <w:r w:rsidRPr="005E3242">
              <w:rPr>
                <w:bCs/>
                <w:color w:val="auto"/>
                <w:lang w:val="en-US"/>
              </w:rPr>
              <w:t>12.4</w:t>
            </w:r>
          </w:p>
        </w:tc>
        <w:tc>
          <w:tcPr>
            <w:tcW w:w="2056" w:type="dxa"/>
            <w:tcBorders>
              <w:top w:val="single" w:sz="4" w:space="0" w:color="auto"/>
              <w:left w:val="single" w:sz="4" w:space="0" w:color="auto"/>
              <w:bottom w:val="single" w:sz="4" w:space="0" w:color="auto"/>
              <w:right w:val="single" w:sz="4" w:space="0" w:color="auto"/>
            </w:tcBorders>
          </w:tcPr>
          <w:p w14:paraId="4BAF26A4" w14:textId="15E77230" w:rsidR="001B4D3C" w:rsidRPr="005E3242" w:rsidRDefault="001B4D3C" w:rsidP="00C448E8">
            <w:pPr>
              <w:rPr>
                <w:bCs/>
                <w:color w:val="auto"/>
                <w:lang w:val="en-US"/>
              </w:rPr>
            </w:pPr>
            <w:r w:rsidRPr="005E3242">
              <w:rPr>
                <w:bCs/>
                <w:color w:val="auto"/>
                <w:lang w:val="en-US"/>
              </w:rPr>
              <w:t>18.5</w:t>
            </w:r>
          </w:p>
        </w:tc>
      </w:tr>
      <w:tr w:rsidR="001B4D3C" w:rsidRPr="005E3242" w14:paraId="7E5A8C22"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0A579A36" w14:textId="29F14E61" w:rsidR="001B4D3C" w:rsidRPr="005E3242" w:rsidRDefault="001B4D3C" w:rsidP="00C448E8">
            <w:pPr>
              <w:rPr>
                <w:b/>
                <w:bCs/>
                <w:color w:val="auto"/>
                <w:lang w:val="en-US"/>
              </w:rPr>
            </w:pPr>
            <w:r w:rsidRPr="00631485">
              <w:rPr>
                <w:bCs/>
                <w:color w:val="auto"/>
                <w:lang w:val="en-US"/>
              </w:rPr>
              <w:t>HR [95% CI] (p-value)</w:t>
            </w:r>
          </w:p>
        </w:tc>
        <w:tc>
          <w:tcPr>
            <w:tcW w:w="4111" w:type="dxa"/>
            <w:gridSpan w:val="2"/>
            <w:tcBorders>
              <w:top w:val="single" w:sz="4" w:space="0" w:color="auto"/>
              <w:left w:val="single" w:sz="4" w:space="0" w:color="auto"/>
              <w:bottom w:val="single" w:sz="4" w:space="0" w:color="auto"/>
              <w:right w:val="single" w:sz="4" w:space="0" w:color="auto"/>
            </w:tcBorders>
          </w:tcPr>
          <w:p w14:paraId="394872BF" w14:textId="3B418DE9" w:rsidR="001B4D3C" w:rsidRPr="005E3242" w:rsidRDefault="001B4D3C" w:rsidP="00C448E8">
            <w:pPr>
              <w:rPr>
                <w:bCs/>
                <w:color w:val="auto"/>
                <w:lang w:val="en-US"/>
              </w:rPr>
            </w:pPr>
            <w:r w:rsidRPr="005E3242">
              <w:rPr>
                <w:bCs/>
                <w:color w:val="auto"/>
                <w:lang w:val="en-US"/>
              </w:rPr>
              <w:t>0.65</w:t>
            </w:r>
            <w:r>
              <w:rPr>
                <w:bCs/>
                <w:color w:val="auto"/>
                <w:lang w:val="en-US"/>
              </w:rPr>
              <w:t xml:space="preserve"> [0.54, </w:t>
            </w:r>
            <w:r w:rsidRPr="005E3242">
              <w:rPr>
                <w:bCs/>
                <w:color w:val="auto"/>
                <w:lang w:val="en-US"/>
              </w:rPr>
              <w:t xml:space="preserve">0.78] </w:t>
            </w:r>
            <w:r>
              <w:rPr>
                <w:bCs/>
                <w:color w:val="auto"/>
                <w:lang w:val="en-US"/>
              </w:rPr>
              <w:t>(</w:t>
            </w:r>
            <w:r w:rsidRPr="005E3242">
              <w:rPr>
                <w:bCs/>
                <w:color w:val="auto"/>
                <w:lang w:val="en-US"/>
              </w:rPr>
              <w:t>&lt;0.0001</w:t>
            </w:r>
            <w:r>
              <w:rPr>
                <w:bCs/>
                <w:color w:val="auto"/>
                <w:lang w:val="en-US"/>
              </w:rPr>
              <w:t>)</w:t>
            </w:r>
          </w:p>
        </w:tc>
      </w:tr>
      <w:tr w:rsidR="001B4D3C" w:rsidRPr="005E3242" w14:paraId="4C5D6CB5" w14:textId="47EBD547"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hideMark/>
          </w:tcPr>
          <w:p w14:paraId="689D80C2" w14:textId="17C12C85" w:rsidR="001B4D3C" w:rsidRPr="005E3242" w:rsidRDefault="001B4D3C" w:rsidP="00C448E8">
            <w:pPr>
              <w:rPr>
                <w:bCs/>
                <w:color w:val="auto"/>
                <w:lang w:val="en-US"/>
              </w:rPr>
            </w:pPr>
            <w:r w:rsidRPr="005E3242">
              <w:rPr>
                <w:b/>
                <w:bCs/>
                <w:color w:val="auto"/>
                <w:lang w:val="en-US"/>
              </w:rPr>
              <w:t xml:space="preserve">Objective </w:t>
            </w:r>
            <w:r>
              <w:rPr>
                <w:b/>
                <w:bCs/>
                <w:color w:val="auto"/>
                <w:lang w:val="en-US"/>
              </w:rPr>
              <w:t>r</w:t>
            </w:r>
            <w:r w:rsidRPr="005E3242">
              <w:rPr>
                <w:b/>
                <w:bCs/>
                <w:color w:val="auto"/>
                <w:lang w:val="en-US"/>
              </w:rPr>
              <w:t xml:space="preserve">esponse </w:t>
            </w:r>
            <w:r>
              <w:rPr>
                <w:b/>
                <w:bCs/>
                <w:color w:val="auto"/>
                <w:lang w:val="en-US"/>
              </w:rPr>
              <w:t>r</w:t>
            </w:r>
            <w:r w:rsidRPr="005E3242">
              <w:rPr>
                <w:b/>
                <w:bCs/>
                <w:color w:val="auto"/>
                <w:lang w:val="en-US"/>
              </w:rPr>
              <w:t>ate (ORR)</w:t>
            </w:r>
          </w:p>
        </w:tc>
      </w:tr>
      <w:tr w:rsidR="001B4D3C" w:rsidRPr="005E3242" w14:paraId="396C12A1"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435E86C0" w14:textId="3497BEB6" w:rsidR="001B4D3C" w:rsidRPr="008C1903" w:rsidRDefault="001B4D3C" w:rsidP="00C448E8">
            <w:pPr>
              <w:rPr>
                <w:bCs/>
                <w:color w:val="auto"/>
                <w:lang w:val="en-US"/>
              </w:rPr>
            </w:pPr>
            <w:r w:rsidRPr="008C1903">
              <w:rPr>
                <w:bCs/>
                <w:color w:val="auto"/>
                <w:lang w:val="en-US"/>
              </w:rPr>
              <w:t>Patients with measurable disease at baseline</w:t>
            </w:r>
          </w:p>
        </w:tc>
        <w:tc>
          <w:tcPr>
            <w:tcW w:w="2055" w:type="dxa"/>
            <w:tcBorders>
              <w:top w:val="single" w:sz="4" w:space="0" w:color="auto"/>
              <w:left w:val="single" w:sz="4" w:space="0" w:color="auto"/>
              <w:bottom w:val="single" w:sz="4" w:space="0" w:color="auto"/>
              <w:right w:val="single" w:sz="4" w:space="0" w:color="auto"/>
            </w:tcBorders>
          </w:tcPr>
          <w:p w14:paraId="1C644A72" w14:textId="1B55157E" w:rsidR="001B4D3C" w:rsidRPr="005E3242" w:rsidRDefault="001B4D3C" w:rsidP="00C448E8">
            <w:pPr>
              <w:rPr>
                <w:bCs/>
                <w:color w:val="auto"/>
                <w:lang w:val="en-US"/>
              </w:rPr>
            </w:pPr>
            <w:r>
              <w:rPr>
                <w:bCs/>
                <w:color w:val="auto"/>
                <w:lang w:val="en-US"/>
              </w:rPr>
              <w:t>336</w:t>
            </w:r>
          </w:p>
        </w:tc>
        <w:tc>
          <w:tcPr>
            <w:tcW w:w="2056" w:type="dxa"/>
            <w:tcBorders>
              <w:top w:val="single" w:sz="4" w:space="0" w:color="auto"/>
              <w:left w:val="single" w:sz="4" w:space="0" w:color="auto"/>
              <w:bottom w:val="single" w:sz="4" w:space="0" w:color="auto"/>
              <w:right w:val="single" w:sz="4" w:space="0" w:color="auto"/>
            </w:tcBorders>
          </w:tcPr>
          <w:p w14:paraId="4E88B0F5" w14:textId="30582646" w:rsidR="001B4D3C" w:rsidRPr="005E3242" w:rsidRDefault="001B4D3C" w:rsidP="00C448E8">
            <w:pPr>
              <w:rPr>
                <w:bCs/>
                <w:color w:val="auto"/>
                <w:lang w:val="en-US"/>
              </w:rPr>
            </w:pPr>
            <w:r>
              <w:rPr>
                <w:bCs/>
                <w:color w:val="auto"/>
                <w:lang w:val="en-US"/>
              </w:rPr>
              <w:t>343</w:t>
            </w:r>
          </w:p>
        </w:tc>
      </w:tr>
      <w:tr w:rsidR="001B4D3C" w:rsidRPr="005E3242" w14:paraId="79525342"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6B3BA88A" w14:textId="55F7C2DD" w:rsidR="001B4D3C" w:rsidRDefault="001B4D3C" w:rsidP="00C448E8">
            <w:pPr>
              <w:rPr>
                <w:color w:val="auto"/>
                <w:lang w:val="en-GB"/>
              </w:rPr>
            </w:pPr>
            <w:r w:rsidRPr="005E3242">
              <w:rPr>
                <w:color w:val="auto"/>
                <w:lang w:val="en-GB"/>
              </w:rPr>
              <w:t xml:space="preserve">Number of </w:t>
            </w:r>
            <w:r>
              <w:rPr>
                <w:color w:val="auto"/>
                <w:lang w:val="en-GB"/>
              </w:rPr>
              <w:t xml:space="preserve">responders </w:t>
            </w:r>
            <w:r w:rsidRPr="005E3242">
              <w:rPr>
                <w:color w:val="auto"/>
                <w:lang w:val="en-GB"/>
              </w:rPr>
              <w:t>(%</w:t>
            </w:r>
            <w:r>
              <w:rPr>
                <w:color w:val="auto"/>
                <w:lang w:val="en-GB"/>
              </w:rPr>
              <w:t xml:space="preserve"> of those with measurable disease at </w:t>
            </w:r>
            <w:proofErr w:type="gramStart"/>
            <w:r>
              <w:rPr>
                <w:color w:val="auto"/>
                <w:lang w:val="en-GB"/>
              </w:rPr>
              <w:t>baseline)*</w:t>
            </w:r>
            <w:proofErr w:type="gramEnd"/>
            <w:r>
              <w:rPr>
                <w:color w:val="auto"/>
                <w:lang w:val="en-GB"/>
              </w:rPr>
              <w:t xml:space="preserve">* </w:t>
            </w:r>
          </w:p>
          <w:p w14:paraId="0E78ADF6" w14:textId="5351266B" w:rsidR="001B4D3C" w:rsidRPr="005E3242" w:rsidRDefault="001B4D3C" w:rsidP="00C448E8">
            <w:pPr>
              <w:rPr>
                <w:b/>
                <w:bCs/>
                <w:color w:val="auto"/>
                <w:lang w:val="en-US"/>
              </w:rPr>
            </w:pPr>
            <w:r>
              <w:rPr>
                <w:color w:val="auto"/>
                <w:lang w:val="en-GB"/>
              </w:rPr>
              <w:t>[95% CI]</w:t>
            </w:r>
          </w:p>
        </w:tc>
        <w:tc>
          <w:tcPr>
            <w:tcW w:w="2055" w:type="dxa"/>
            <w:tcBorders>
              <w:top w:val="single" w:sz="4" w:space="0" w:color="auto"/>
              <w:left w:val="single" w:sz="4" w:space="0" w:color="auto"/>
              <w:bottom w:val="single" w:sz="4" w:space="0" w:color="auto"/>
              <w:right w:val="single" w:sz="4" w:space="0" w:color="auto"/>
            </w:tcBorders>
          </w:tcPr>
          <w:p w14:paraId="1D2911C7" w14:textId="275359E3" w:rsidR="001B4D3C" w:rsidRDefault="001B4D3C" w:rsidP="00C448E8">
            <w:pPr>
              <w:rPr>
                <w:bCs/>
                <w:color w:val="auto"/>
                <w:lang w:val="en-US"/>
              </w:rPr>
            </w:pPr>
            <w:r>
              <w:rPr>
                <w:bCs/>
                <w:color w:val="auto"/>
                <w:lang w:val="en-US"/>
              </w:rPr>
              <w:t>233 (69.3</w:t>
            </w:r>
            <w:r w:rsidRPr="005E3242">
              <w:rPr>
                <w:bCs/>
                <w:color w:val="auto"/>
                <w:lang w:val="en-US"/>
              </w:rPr>
              <w:t>%)</w:t>
            </w:r>
          </w:p>
          <w:p w14:paraId="615F506C" w14:textId="2741AA25" w:rsidR="001B4D3C" w:rsidRPr="005E3242" w:rsidRDefault="001B4D3C" w:rsidP="00C448E8">
            <w:pPr>
              <w:rPr>
                <w:bCs/>
                <w:color w:val="auto"/>
                <w:lang w:val="en-US"/>
              </w:rPr>
            </w:pPr>
            <w:r>
              <w:rPr>
                <w:bCs/>
                <w:color w:val="auto"/>
                <w:lang w:val="en-US"/>
              </w:rPr>
              <w:t xml:space="preserve">[ 64.1, </w:t>
            </w:r>
            <w:r w:rsidRPr="005E3242">
              <w:rPr>
                <w:bCs/>
                <w:color w:val="auto"/>
                <w:lang w:val="en-US"/>
              </w:rPr>
              <w:t>74.2]</w:t>
            </w:r>
          </w:p>
          <w:p w14:paraId="46B67203" w14:textId="77777777" w:rsidR="001B4D3C" w:rsidRPr="005E3242" w:rsidRDefault="001B4D3C" w:rsidP="00C448E8">
            <w:pPr>
              <w:rPr>
                <w:bCs/>
                <w:color w:val="auto"/>
                <w:lang w:val="en-US"/>
              </w:rPr>
            </w:pPr>
          </w:p>
        </w:tc>
        <w:tc>
          <w:tcPr>
            <w:tcW w:w="2056" w:type="dxa"/>
            <w:tcBorders>
              <w:top w:val="single" w:sz="4" w:space="0" w:color="auto"/>
              <w:left w:val="single" w:sz="4" w:space="0" w:color="auto"/>
              <w:bottom w:val="single" w:sz="4" w:space="0" w:color="auto"/>
              <w:right w:val="single" w:sz="4" w:space="0" w:color="auto"/>
            </w:tcBorders>
          </w:tcPr>
          <w:p w14:paraId="629380F6" w14:textId="43AC194E" w:rsidR="001B4D3C" w:rsidRDefault="001B4D3C" w:rsidP="00C448E8">
            <w:pPr>
              <w:rPr>
                <w:bCs/>
                <w:color w:val="auto"/>
                <w:lang w:val="en-US"/>
              </w:rPr>
            </w:pPr>
            <w:r>
              <w:rPr>
                <w:bCs/>
                <w:color w:val="auto"/>
                <w:lang w:val="en-US"/>
              </w:rPr>
              <w:t>275 (80.2</w:t>
            </w:r>
            <w:r w:rsidRPr="005E3242">
              <w:rPr>
                <w:bCs/>
                <w:color w:val="auto"/>
                <w:lang w:val="en-US"/>
              </w:rPr>
              <w:t>%)</w:t>
            </w:r>
          </w:p>
          <w:p w14:paraId="73DF1796" w14:textId="3D683A5B" w:rsidR="001B4D3C" w:rsidRPr="005E3242" w:rsidRDefault="001B4D3C" w:rsidP="00C448E8">
            <w:pPr>
              <w:rPr>
                <w:bCs/>
                <w:color w:val="auto"/>
                <w:lang w:val="en-US"/>
              </w:rPr>
            </w:pPr>
            <w:r>
              <w:rPr>
                <w:bCs/>
                <w:color w:val="auto"/>
                <w:lang w:val="en-US"/>
              </w:rPr>
              <w:t>[ 75.6</w:t>
            </w:r>
            <w:proofErr w:type="gramStart"/>
            <w:r>
              <w:rPr>
                <w:bCs/>
                <w:color w:val="auto"/>
                <w:lang w:val="en-US"/>
              </w:rPr>
              <w:t xml:space="preserve">, </w:t>
            </w:r>
            <w:r w:rsidRPr="005E3242">
              <w:rPr>
                <w:bCs/>
                <w:color w:val="auto"/>
                <w:lang w:val="en-US"/>
              </w:rPr>
              <w:t xml:space="preserve"> 84.3</w:t>
            </w:r>
            <w:proofErr w:type="gramEnd"/>
            <w:r w:rsidRPr="005E3242">
              <w:rPr>
                <w:bCs/>
                <w:color w:val="auto"/>
                <w:lang w:val="en-US"/>
              </w:rPr>
              <w:t>]</w:t>
            </w:r>
          </w:p>
          <w:p w14:paraId="6040A70B" w14:textId="77777777" w:rsidR="001B4D3C" w:rsidRPr="005E3242" w:rsidRDefault="001B4D3C" w:rsidP="00C448E8">
            <w:pPr>
              <w:rPr>
                <w:bCs/>
                <w:color w:val="auto"/>
                <w:lang w:val="en-US"/>
              </w:rPr>
            </w:pPr>
          </w:p>
        </w:tc>
      </w:tr>
      <w:tr w:rsidR="001B4D3C" w:rsidRPr="005E3242" w14:paraId="07E1B66B"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631D44B0" w14:textId="710CE946" w:rsidR="001B4D3C" w:rsidRPr="005E3242" w:rsidRDefault="001B4D3C" w:rsidP="00C448E8">
            <w:pPr>
              <w:rPr>
                <w:b/>
                <w:bCs/>
                <w:color w:val="auto"/>
                <w:lang w:val="en-US"/>
              </w:rPr>
            </w:pPr>
            <w:r>
              <w:rPr>
                <w:color w:val="auto"/>
                <w:lang w:val="en-US"/>
              </w:rPr>
              <w:t>Number (%) with a c</w:t>
            </w:r>
            <w:r w:rsidRPr="005E3242">
              <w:rPr>
                <w:color w:val="auto"/>
                <w:lang w:val="en-US"/>
              </w:rPr>
              <w:t>omplete response (CR)</w:t>
            </w:r>
          </w:p>
        </w:tc>
        <w:tc>
          <w:tcPr>
            <w:tcW w:w="2055" w:type="dxa"/>
            <w:tcBorders>
              <w:top w:val="single" w:sz="4" w:space="0" w:color="auto"/>
              <w:left w:val="single" w:sz="4" w:space="0" w:color="auto"/>
              <w:bottom w:val="single" w:sz="4" w:space="0" w:color="auto"/>
              <w:right w:val="single" w:sz="4" w:space="0" w:color="auto"/>
            </w:tcBorders>
          </w:tcPr>
          <w:p w14:paraId="74E10BBF" w14:textId="06ABD99D" w:rsidR="001B4D3C" w:rsidRPr="005E3242" w:rsidRDefault="001B4D3C" w:rsidP="00C448E8">
            <w:pPr>
              <w:rPr>
                <w:bCs/>
                <w:color w:val="auto"/>
                <w:lang w:val="en-US"/>
              </w:rPr>
            </w:pPr>
            <w:r>
              <w:rPr>
                <w:bCs/>
                <w:color w:val="auto"/>
                <w:lang w:val="en-US"/>
              </w:rPr>
              <w:t>14 (4.2</w:t>
            </w:r>
            <w:r w:rsidRPr="005E3242">
              <w:rPr>
                <w:bCs/>
                <w:color w:val="auto"/>
                <w:lang w:val="en-US"/>
              </w:rPr>
              <w:t>%)</w:t>
            </w:r>
          </w:p>
        </w:tc>
        <w:tc>
          <w:tcPr>
            <w:tcW w:w="2056" w:type="dxa"/>
            <w:tcBorders>
              <w:top w:val="single" w:sz="4" w:space="0" w:color="auto"/>
              <w:left w:val="single" w:sz="4" w:space="0" w:color="auto"/>
              <w:bottom w:val="single" w:sz="4" w:space="0" w:color="auto"/>
              <w:right w:val="single" w:sz="4" w:space="0" w:color="auto"/>
            </w:tcBorders>
          </w:tcPr>
          <w:p w14:paraId="788C893B" w14:textId="55490712" w:rsidR="001B4D3C" w:rsidRPr="005E3242" w:rsidRDefault="001B4D3C" w:rsidP="00C448E8">
            <w:pPr>
              <w:rPr>
                <w:bCs/>
                <w:color w:val="auto"/>
                <w:lang w:val="en-US"/>
              </w:rPr>
            </w:pPr>
            <w:r>
              <w:rPr>
                <w:bCs/>
                <w:color w:val="auto"/>
                <w:lang w:val="en-US"/>
              </w:rPr>
              <w:t>19 (5.5</w:t>
            </w:r>
            <w:r w:rsidRPr="005E3242">
              <w:rPr>
                <w:bCs/>
                <w:color w:val="auto"/>
                <w:lang w:val="en-US"/>
              </w:rPr>
              <w:t>%)</w:t>
            </w:r>
          </w:p>
        </w:tc>
      </w:tr>
      <w:tr w:rsidR="001B4D3C" w:rsidRPr="005E3242" w14:paraId="39BB4E03"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76C3A3BC" w14:textId="58CB6BD1" w:rsidR="001B4D3C" w:rsidRPr="005E3242" w:rsidRDefault="001B4D3C" w:rsidP="00C448E8">
            <w:pPr>
              <w:rPr>
                <w:b/>
                <w:bCs/>
                <w:color w:val="auto"/>
                <w:lang w:val="en-US"/>
              </w:rPr>
            </w:pPr>
            <w:r>
              <w:rPr>
                <w:color w:val="auto"/>
                <w:lang w:val="en-US"/>
              </w:rPr>
              <w:t>Number (%) with a partial response (P</w:t>
            </w:r>
            <w:r w:rsidRPr="005E3242">
              <w:rPr>
                <w:color w:val="auto"/>
                <w:lang w:val="en-US"/>
              </w:rPr>
              <w:t>R)</w:t>
            </w:r>
          </w:p>
        </w:tc>
        <w:tc>
          <w:tcPr>
            <w:tcW w:w="2055" w:type="dxa"/>
            <w:tcBorders>
              <w:top w:val="single" w:sz="4" w:space="0" w:color="auto"/>
              <w:left w:val="single" w:sz="4" w:space="0" w:color="auto"/>
              <w:bottom w:val="single" w:sz="4" w:space="0" w:color="auto"/>
              <w:right w:val="single" w:sz="4" w:space="0" w:color="auto"/>
            </w:tcBorders>
          </w:tcPr>
          <w:p w14:paraId="4A6D4B4C" w14:textId="167915D5" w:rsidR="001B4D3C" w:rsidRPr="005E3242" w:rsidRDefault="001B4D3C" w:rsidP="00C448E8">
            <w:pPr>
              <w:rPr>
                <w:bCs/>
                <w:color w:val="auto"/>
                <w:lang w:val="en-US"/>
              </w:rPr>
            </w:pPr>
            <w:r>
              <w:rPr>
                <w:bCs/>
                <w:color w:val="auto"/>
                <w:lang w:val="en-US"/>
              </w:rPr>
              <w:t>219 (65.2</w:t>
            </w:r>
            <w:r w:rsidRPr="005E3242">
              <w:rPr>
                <w:bCs/>
                <w:color w:val="auto"/>
                <w:lang w:val="en-US"/>
              </w:rPr>
              <w:t>%)</w:t>
            </w:r>
          </w:p>
        </w:tc>
        <w:tc>
          <w:tcPr>
            <w:tcW w:w="2056" w:type="dxa"/>
            <w:tcBorders>
              <w:top w:val="single" w:sz="4" w:space="0" w:color="auto"/>
              <w:left w:val="single" w:sz="4" w:space="0" w:color="auto"/>
              <w:bottom w:val="single" w:sz="4" w:space="0" w:color="auto"/>
              <w:right w:val="single" w:sz="4" w:space="0" w:color="auto"/>
            </w:tcBorders>
          </w:tcPr>
          <w:p w14:paraId="5DEE80F1" w14:textId="444660D4" w:rsidR="001B4D3C" w:rsidRPr="005E3242" w:rsidRDefault="001B4D3C" w:rsidP="00C448E8">
            <w:pPr>
              <w:rPr>
                <w:bCs/>
                <w:color w:val="auto"/>
                <w:lang w:val="en-US"/>
              </w:rPr>
            </w:pPr>
            <w:r>
              <w:rPr>
                <w:bCs/>
                <w:color w:val="auto"/>
                <w:lang w:val="en-US"/>
              </w:rPr>
              <w:t>256 (74.6</w:t>
            </w:r>
            <w:r w:rsidRPr="005E3242">
              <w:rPr>
                <w:bCs/>
                <w:color w:val="auto"/>
                <w:lang w:val="en-US"/>
              </w:rPr>
              <w:t>%)</w:t>
            </w:r>
          </w:p>
        </w:tc>
      </w:tr>
      <w:tr w:rsidR="001B4D3C" w:rsidRPr="005E3242" w14:paraId="705610DC"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2477C610" w14:textId="658B0002" w:rsidR="001B4D3C" w:rsidRPr="005E3242" w:rsidRDefault="001B4D3C" w:rsidP="00C448E8">
            <w:pPr>
              <w:rPr>
                <w:b/>
                <w:bCs/>
                <w:color w:val="auto"/>
                <w:lang w:val="en-US"/>
              </w:rPr>
            </w:pPr>
            <w:r>
              <w:rPr>
                <w:color w:val="auto"/>
                <w:lang w:val="en-US"/>
              </w:rPr>
              <w:t>Number (%) with stable disease (SD</w:t>
            </w:r>
            <w:r w:rsidRPr="005E3242">
              <w:rPr>
                <w:color w:val="auto"/>
                <w:lang w:val="en-US"/>
              </w:rPr>
              <w:t>)</w:t>
            </w:r>
          </w:p>
        </w:tc>
        <w:tc>
          <w:tcPr>
            <w:tcW w:w="2055" w:type="dxa"/>
            <w:tcBorders>
              <w:top w:val="single" w:sz="4" w:space="0" w:color="auto"/>
              <w:left w:val="single" w:sz="4" w:space="0" w:color="auto"/>
              <w:bottom w:val="single" w:sz="4" w:space="0" w:color="auto"/>
              <w:right w:val="single" w:sz="4" w:space="0" w:color="auto"/>
            </w:tcBorders>
          </w:tcPr>
          <w:p w14:paraId="21F60BF0" w14:textId="694E69F0" w:rsidR="001B4D3C" w:rsidRPr="005E3242" w:rsidRDefault="001B4D3C" w:rsidP="00C448E8">
            <w:pPr>
              <w:rPr>
                <w:bCs/>
                <w:color w:val="auto"/>
                <w:lang w:val="en-US"/>
              </w:rPr>
            </w:pPr>
            <w:r>
              <w:rPr>
                <w:bCs/>
                <w:color w:val="auto"/>
                <w:lang w:val="en-US"/>
              </w:rPr>
              <w:t>70 (20.8</w:t>
            </w:r>
            <w:r w:rsidRPr="005E3242">
              <w:rPr>
                <w:bCs/>
                <w:color w:val="auto"/>
                <w:lang w:val="en-US"/>
              </w:rPr>
              <w:t>%)</w:t>
            </w:r>
          </w:p>
        </w:tc>
        <w:tc>
          <w:tcPr>
            <w:tcW w:w="2056" w:type="dxa"/>
            <w:tcBorders>
              <w:top w:val="single" w:sz="4" w:space="0" w:color="auto"/>
              <w:left w:val="single" w:sz="4" w:space="0" w:color="auto"/>
              <w:bottom w:val="single" w:sz="4" w:space="0" w:color="auto"/>
              <w:right w:val="single" w:sz="4" w:space="0" w:color="auto"/>
            </w:tcBorders>
          </w:tcPr>
          <w:p w14:paraId="7734AB89" w14:textId="7EEE29B3" w:rsidR="001B4D3C" w:rsidRPr="005E3242" w:rsidRDefault="001B4D3C" w:rsidP="00C448E8">
            <w:pPr>
              <w:rPr>
                <w:bCs/>
                <w:color w:val="auto"/>
                <w:lang w:val="en-US"/>
              </w:rPr>
            </w:pPr>
            <w:r>
              <w:rPr>
                <w:bCs/>
                <w:color w:val="auto"/>
                <w:lang w:val="en-US"/>
              </w:rPr>
              <w:t>50 (14.6</w:t>
            </w:r>
            <w:r w:rsidRPr="005E3242">
              <w:rPr>
                <w:bCs/>
                <w:color w:val="auto"/>
                <w:lang w:val="en-US"/>
              </w:rPr>
              <w:t>%)</w:t>
            </w:r>
          </w:p>
        </w:tc>
      </w:tr>
      <w:tr w:rsidR="001B4D3C" w:rsidRPr="005E3242" w14:paraId="40BA0A8E"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78D232AA" w14:textId="7CBC42B0" w:rsidR="001B4D3C" w:rsidRPr="005E3242" w:rsidRDefault="001B4D3C" w:rsidP="00C448E8">
            <w:pPr>
              <w:rPr>
                <w:b/>
                <w:bCs/>
                <w:color w:val="auto"/>
                <w:lang w:val="en-US"/>
              </w:rPr>
            </w:pPr>
            <w:r>
              <w:rPr>
                <w:color w:val="auto"/>
                <w:lang w:val="en-US"/>
              </w:rPr>
              <w:t>Number (%) with progressive disease (PD</w:t>
            </w:r>
            <w:r w:rsidRPr="005E3242">
              <w:rPr>
                <w:color w:val="auto"/>
                <w:lang w:val="en-US"/>
              </w:rPr>
              <w:t>)</w:t>
            </w:r>
          </w:p>
        </w:tc>
        <w:tc>
          <w:tcPr>
            <w:tcW w:w="2055" w:type="dxa"/>
            <w:tcBorders>
              <w:top w:val="single" w:sz="4" w:space="0" w:color="auto"/>
              <w:left w:val="single" w:sz="4" w:space="0" w:color="auto"/>
              <w:bottom w:val="single" w:sz="4" w:space="0" w:color="auto"/>
              <w:right w:val="single" w:sz="4" w:space="0" w:color="auto"/>
            </w:tcBorders>
          </w:tcPr>
          <w:p w14:paraId="32EE99C5" w14:textId="613C524F" w:rsidR="001B4D3C" w:rsidRPr="005E3242" w:rsidRDefault="001B4D3C" w:rsidP="00C448E8">
            <w:pPr>
              <w:rPr>
                <w:bCs/>
                <w:color w:val="auto"/>
                <w:lang w:val="en-US"/>
              </w:rPr>
            </w:pPr>
            <w:r>
              <w:rPr>
                <w:bCs/>
                <w:color w:val="auto"/>
                <w:lang w:val="en-US"/>
              </w:rPr>
              <w:t>28 (8.3</w:t>
            </w:r>
            <w:r w:rsidRPr="005E3242">
              <w:rPr>
                <w:bCs/>
                <w:color w:val="auto"/>
                <w:lang w:val="en-US"/>
              </w:rPr>
              <w:t>%)</w:t>
            </w:r>
          </w:p>
        </w:tc>
        <w:tc>
          <w:tcPr>
            <w:tcW w:w="2056" w:type="dxa"/>
            <w:tcBorders>
              <w:top w:val="single" w:sz="4" w:space="0" w:color="auto"/>
              <w:left w:val="single" w:sz="4" w:space="0" w:color="auto"/>
              <w:bottom w:val="single" w:sz="4" w:space="0" w:color="auto"/>
              <w:right w:val="single" w:sz="4" w:space="0" w:color="auto"/>
            </w:tcBorders>
          </w:tcPr>
          <w:p w14:paraId="068DF7B5" w14:textId="032DF169" w:rsidR="001B4D3C" w:rsidRPr="005E3242" w:rsidRDefault="001B4D3C" w:rsidP="00C448E8">
            <w:pPr>
              <w:rPr>
                <w:bCs/>
                <w:color w:val="auto"/>
                <w:lang w:val="en-US"/>
              </w:rPr>
            </w:pPr>
            <w:r>
              <w:rPr>
                <w:bCs/>
                <w:color w:val="auto"/>
                <w:lang w:val="en-US"/>
              </w:rPr>
              <w:t>13 (3.8</w:t>
            </w:r>
            <w:r w:rsidRPr="005E3242">
              <w:rPr>
                <w:bCs/>
                <w:color w:val="auto"/>
                <w:lang w:val="en-US"/>
              </w:rPr>
              <w:t>%)</w:t>
            </w:r>
          </w:p>
        </w:tc>
      </w:tr>
      <w:tr w:rsidR="002E47D0" w:rsidRPr="005E3242" w14:paraId="0E72CEA0" w14:textId="77777777" w:rsidTr="008C1903">
        <w:trPr>
          <w:trHeight w:val="20"/>
        </w:trPr>
        <w:tc>
          <w:tcPr>
            <w:tcW w:w="4815" w:type="dxa"/>
            <w:tcBorders>
              <w:top w:val="single" w:sz="4" w:space="0" w:color="auto"/>
              <w:left w:val="single" w:sz="4" w:space="0" w:color="auto"/>
              <w:bottom w:val="single" w:sz="4" w:space="0" w:color="auto"/>
              <w:right w:val="single" w:sz="4" w:space="0" w:color="auto"/>
            </w:tcBorders>
          </w:tcPr>
          <w:p w14:paraId="06D60840" w14:textId="691F4582" w:rsidR="002E47D0" w:rsidRPr="008C1903" w:rsidRDefault="002E47D0" w:rsidP="00C448E8">
            <w:pPr>
              <w:rPr>
                <w:bCs/>
                <w:color w:val="auto"/>
                <w:lang w:val="en-US"/>
              </w:rPr>
            </w:pPr>
            <w:r w:rsidRPr="005E3242">
              <w:rPr>
                <w:bCs/>
                <w:color w:val="auto"/>
                <w:lang w:val="en-US"/>
              </w:rPr>
              <w:t>Difference in ORR</w:t>
            </w:r>
            <w:r>
              <w:rPr>
                <w:bCs/>
                <w:color w:val="auto"/>
                <w:lang w:val="en-US"/>
              </w:rPr>
              <w:t xml:space="preserve"> [95% CI] (p-value)</w:t>
            </w:r>
          </w:p>
        </w:tc>
        <w:tc>
          <w:tcPr>
            <w:tcW w:w="4111" w:type="dxa"/>
            <w:gridSpan w:val="2"/>
            <w:tcBorders>
              <w:top w:val="single" w:sz="4" w:space="0" w:color="auto"/>
              <w:left w:val="single" w:sz="4" w:space="0" w:color="auto"/>
              <w:bottom w:val="single" w:sz="4" w:space="0" w:color="auto"/>
              <w:right w:val="single" w:sz="4" w:space="0" w:color="auto"/>
            </w:tcBorders>
          </w:tcPr>
          <w:p w14:paraId="187D1A6A" w14:textId="44354F70" w:rsidR="002E47D0" w:rsidRPr="005E3242" w:rsidRDefault="002E47D0" w:rsidP="00C448E8">
            <w:pPr>
              <w:rPr>
                <w:bCs/>
                <w:color w:val="auto"/>
                <w:lang w:val="en-US"/>
              </w:rPr>
            </w:pPr>
            <w:r w:rsidRPr="005E3242">
              <w:rPr>
                <w:bCs/>
                <w:color w:val="auto"/>
                <w:lang w:val="en-US"/>
              </w:rPr>
              <w:t>10.8%</w:t>
            </w:r>
            <w:r>
              <w:rPr>
                <w:bCs/>
                <w:color w:val="auto"/>
                <w:lang w:val="en-US"/>
              </w:rPr>
              <w:t xml:space="preserve"> [4.2,17.5] (</w:t>
            </w:r>
            <w:r w:rsidRPr="005E3242">
              <w:rPr>
                <w:bCs/>
                <w:color w:val="auto"/>
                <w:lang w:val="en-US"/>
              </w:rPr>
              <w:t>0.0011</w:t>
            </w:r>
            <w:r>
              <w:rPr>
                <w:bCs/>
                <w:color w:val="auto"/>
                <w:lang w:val="en-US"/>
              </w:rPr>
              <w:t>)</w:t>
            </w:r>
          </w:p>
        </w:tc>
      </w:tr>
      <w:tr w:rsidR="002E47D0" w:rsidRPr="005E3242" w14:paraId="6F99930B" w14:textId="16E9FCB5" w:rsidTr="008C1903">
        <w:trPr>
          <w:trHeight w:val="20"/>
        </w:trPr>
        <w:tc>
          <w:tcPr>
            <w:tcW w:w="8926" w:type="dxa"/>
            <w:gridSpan w:val="3"/>
            <w:tcBorders>
              <w:top w:val="single" w:sz="4" w:space="0" w:color="auto"/>
              <w:left w:val="single" w:sz="4" w:space="0" w:color="auto"/>
              <w:bottom w:val="single" w:sz="4" w:space="0" w:color="auto"/>
              <w:right w:val="single" w:sz="4" w:space="0" w:color="auto"/>
            </w:tcBorders>
            <w:hideMark/>
          </w:tcPr>
          <w:p w14:paraId="2E120F03" w14:textId="7D26703B" w:rsidR="002E47D0" w:rsidRPr="005E3242" w:rsidRDefault="002E47D0" w:rsidP="00C448E8">
            <w:pPr>
              <w:rPr>
                <w:bCs/>
                <w:color w:val="auto"/>
                <w:lang w:val="en-US"/>
              </w:rPr>
            </w:pPr>
            <w:r w:rsidRPr="005E3242">
              <w:rPr>
                <w:b/>
                <w:bCs/>
                <w:color w:val="auto"/>
                <w:lang w:val="en-US"/>
              </w:rPr>
              <w:t xml:space="preserve">Duration of </w:t>
            </w:r>
            <w:r w:rsidR="005547DD">
              <w:rPr>
                <w:b/>
                <w:bCs/>
                <w:color w:val="auto"/>
                <w:lang w:val="en-US"/>
              </w:rPr>
              <w:t>r</w:t>
            </w:r>
            <w:r w:rsidRPr="005E3242">
              <w:rPr>
                <w:b/>
                <w:bCs/>
                <w:color w:val="auto"/>
                <w:lang w:val="en-US"/>
              </w:rPr>
              <w:t>esponse^</w:t>
            </w:r>
          </w:p>
        </w:tc>
      </w:tr>
      <w:tr w:rsidR="002E47D0" w:rsidRPr="005E3242" w14:paraId="29110E2D" w14:textId="77777777" w:rsidTr="002E47D0">
        <w:trPr>
          <w:trHeight w:val="20"/>
        </w:trPr>
        <w:tc>
          <w:tcPr>
            <w:tcW w:w="4815" w:type="dxa"/>
            <w:tcBorders>
              <w:top w:val="single" w:sz="4" w:space="0" w:color="auto"/>
              <w:left w:val="single" w:sz="4" w:space="0" w:color="auto"/>
              <w:bottom w:val="single" w:sz="4" w:space="0" w:color="auto"/>
              <w:right w:val="single" w:sz="4" w:space="0" w:color="auto"/>
            </w:tcBorders>
          </w:tcPr>
          <w:p w14:paraId="76794D1D" w14:textId="65EF8AC7" w:rsidR="002E47D0" w:rsidRPr="008C1903" w:rsidRDefault="002E47D0" w:rsidP="00C448E8">
            <w:pPr>
              <w:rPr>
                <w:bCs/>
                <w:color w:val="auto"/>
                <w:lang w:val="en-US"/>
              </w:rPr>
            </w:pPr>
            <w:r w:rsidRPr="008C1903">
              <w:rPr>
                <w:bCs/>
                <w:color w:val="auto"/>
                <w:lang w:val="en-US"/>
              </w:rPr>
              <w:t>Median, months</w:t>
            </w:r>
          </w:p>
        </w:tc>
        <w:tc>
          <w:tcPr>
            <w:tcW w:w="2055" w:type="dxa"/>
            <w:tcBorders>
              <w:top w:val="single" w:sz="4" w:space="0" w:color="auto"/>
              <w:left w:val="single" w:sz="4" w:space="0" w:color="auto"/>
              <w:bottom w:val="single" w:sz="4" w:space="0" w:color="auto"/>
              <w:right w:val="single" w:sz="4" w:space="0" w:color="auto"/>
            </w:tcBorders>
          </w:tcPr>
          <w:p w14:paraId="269057E2" w14:textId="7812E93B" w:rsidR="002E47D0" w:rsidRPr="005E3242" w:rsidRDefault="002E47D0" w:rsidP="00C448E8">
            <w:pPr>
              <w:rPr>
                <w:bCs/>
                <w:color w:val="auto"/>
                <w:lang w:val="en-US"/>
              </w:rPr>
            </w:pPr>
            <w:r>
              <w:rPr>
                <w:bCs/>
                <w:color w:val="auto"/>
                <w:lang w:val="en-US"/>
              </w:rPr>
              <w:t>20.2</w:t>
            </w:r>
          </w:p>
        </w:tc>
        <w:tc>
          <w:tcPr>
            <w:tcW w:w="2056" w:type="dxa"/>
            <w:tcBorders>
              <w:top w:val="single" w:sz="4" w:space="0" w:color="auto"/>
              <w:left w:val="single" w:sz="4" w:space="0" w:color="auto"/>
              <w:bottom w:val="single" w:sz="4" w:space="0" w:color="auto"/>
              <w:right w:val="single" w:sz="4" w:space="0" w:color="auto"/>
            </w:tcBorders>
          </w:tcPr>
          <w:p w14:paraId="0A8846CE" w14:textId="3B912549" w:rsidR="002E47D0" w:rsidRPr="005E3242" w:rsidRDefault="002E47D0" w:rsidP="00C448E8">
            <w:pPr>
              <w:rPr>
                <w:bCs/>
                <w:color w:val="auto"/>
                <w:lang w:val="en-US"/>
              </w:rPr>
            </w:pPr>
            <w:r>
              <w:rPr>
                <w:bCs/>
                <w:color w:val="auto"/>
                <w:lang w:val="en-US"/>
              </w:rPr>
              <w:t>12.5</w:t>
            </w:r>
          </w:p>
        </w:tc>
      </w:tr>
    </w:tbl>
    <w:p w14:paraId="05CE4605" w14:textId="7399BFF7" w:rsidR="00654F5C" w:rsidRPr="008C1903" w:rsidRDefault="00654F5C" w:rsidP="00C448E8">
      <w:pPr>
        <w:rPr>
          <w:color w:val="auto"/>
          <w:sz w:val="20"/>
          <w:szCs w:val="20"/>
          <w:lang w:val="en-US"/>
        </w:rPr>
      </w:pPr>
      <w:r>
        <w:rPr>
          <w:color w:val="auto"/>
          <w:sz w:val="20"/>
          <w:szCs w:val="20"/>
          <w:lang w:val="en-US"/>
        </w:rPr>
        <w:t xml:space="preserve">CI = confidence interval, HR = hazard ratio, </w:t>
      </w:r>
      <w:r w:rsidRPr="001B4D3C">
        <w:rPr>
          <w:color w:val="auto"/>
          <w:sz w:val="20"/>
          <w:szCs w:val="20"/>
          <w:lang w:val="en-US"/>
        </w:rPr>
        <w:t>IRF = independent review facility</w:t>
      </w:r>
    </w:p>
    <w:p w14:paraId="71AB01E2" w14:textId="46AC8E14" w:rsidR="00C82C39" w:rsidRPr="005E3242" w:rsidRDefault="00C82C39" w:rsidP="00C448E8">
      <w:pPr>
        <w:rPr>
          <w:color w:val="auto"/>
          <w:sz w:val="20"/>
          <w:szCs w:val="20"/>
          <w:lang w:val="en-US"/>
        </w:rPr>
      </w:pPr>
      <w:r w:rsidRPr="005E3242">
        <w:rPr>
          <w:b/>
          <w:color w:val="auto"/>
          <w:sz w:val="20"/>
          <w:szCs w:val="20"/>
          <w:lang w:val="en-US"/>
        </w:rPr>
        <w:t>*</w:t>
      </w:r>
      <w:r w:rsidR="002E47D0">
        <w:rPr>
          <w:b/>
          <w:color w:val="auto"/>
          <w:sz w:val="20"/>
          <w:szCs w:val="20"/>
          <w:lang w:val="en-US"/>
        </w:rPr>
        <w:t xml:space="preserve"> </w:t>
      </w:r>
      <w:r w:rsidR="002E47D0">
        <w:rPr>
          <w:color w:val="auto"/>
          <w:sz w:val="20"/>
          <w:szCs w:val="20"/>
          <w:lang w:val="en-US"/>
        </w:rPr>
        <w:t>C</w:t>
      </w:r>
      <w:r w:rsidRPr="005E3242">
        <w:rPr>
          <w:color w:val="auto"/>
          <w:sz w:val="20"/>
          <w:szCs w:val="20"/>
          <w:lang w:val="en-US"/>
        </w:rPr>
        <w:t>ut</w:t>
      </w:r>
      <w:r w:rsidR="002E47D0">
        <w:rPr>
          <w:color w:val="auto"/>
          <w:sz w:val="20"/>
          <w:szCs w:val="20"/>
          <w:lang w:val="en-US"/>
        </w:rPr>
        <w:t>-</w:t>
      </w:r>
      <w:r w:rsidRPr="005E3242">
        <w:rPr>
          <w:color w:val="auto"/>
          <w:sz w:val="20"/>
          <w:szCs w:val="20"/>
          <w:lang w:val="en-US"/>
        </w:rPr>
        <w:t>off date</w:t>
      </w:r>
      <w:r w:rsidR="002E47D0">
        <w:rPr>
          <w:color w:val="auto"/>
          <w:sz w:val="20"/>
          <w:szCs w:val="20"/>
          <w:lang w:val="en-US"/>
        </w:rPr>
        <w:t xml:space="preserve"> for final analysis of OS was</w:t>
      </w:r>
      <w:r w:rsidRPr="005E3242">
        <w:rPr>
          <w:color w:val="auto"/>
          <w:sz w:val="20"/>
          <w:szCs w:val="20"/>
          <w:lang w:val="en-US"/>
        </w:rPr>
        <w:t xml:space="preserve"> 11 Feb 2014</w:t>
      </w:r>
    </w:p>
    <w:p w14:paraId="487422BA" w14:textId="64D37ED6" w:rsidR="00C82C39" w:rsidRPr="005E3242" w:rsidRDefault="00C82C39" w:rsidP="00C448E8">
      <w:pPr>
        <w:rPr>
          <w:color w:val="auto"/>
          <w:sz w:val="20"/>
          <w:szCs w:val="20"/>
          <w:lang w:val="en-US"/>
        </w:rPr>
      </w:pPr>
      <w:r w:rsidRPr="005E3242">
        <w:rPr>
          <w:color w:val="auto"/>
          <w:sz w:val="20"/>
          <w:szCs w:val="20"/>
          <w:lang w:val="en-US"/>
        </w:rPr>
        <w:t>** Patients with best overall response of confirmed CR or PR by RECIST</w:t>
      </w:r>
    </w:p>
    <w:p w14:paraId="2A651B81" w14:textId="6B768C61" w:rsidR="00C82C39" w:rsidRPr="005E3242" w:rsidRDefault="00C82C39" w:rsidP="00C448E8">
      <w:pPr>
        <w:rPr>
          <w:color w:val="auto"/>
          <w:sz w:val="20"/>
          <w:szCs w:val="20"/>
          <w:lang w:val="en-US"/>
        </w:rPr>
      </w:pPr>
      <w:r w:rsidRPr="005E3242">
        <w:rPr>
          <w:color w:val="auto"/>
          <w:sz w:val="20"/>
          <w:szCs w:val="20"/>
          <w:lang w:val="en-US"/>
        </w:rPr>
        <w:t xml:space="preserve">^ Evaluated in </w:t>
      </w:r>
      <w:r w:rsidR="002E47D0">
        <w:rPr>
          <w:color w:val="auto"/>
          <w:sz w:val="20"/>
          <w:szCs w:val="20"/>
          <w:lang w:val="en-US"/>
        </w:rPr>
        <w:t>p</w:t>
      </w:r>
      <w:r w:rsidRPr="005E3242">
        <w:rPr>
          <w:color w:val="auto"/>
          <w:sz w:val="20"/>
          <w:szCs w:val="20"/>
          <w:lang w:val="en-US"/>
        </w:rPr>
        <w:t xml:space="preserve">atients with </w:t>
      </w:r>
      <w:r w:rsidR="002E47D0">
        <w:rPr>
          <w:color w:val="auto"/>
          <w:sz w:val="20"/>
          <w:szCs w:val="20"/>
          <w:lang w:val="en-US"/>
        </w:rPr>
        <w:t>b</w:t>
      </w:r>
      <w:r w:rsidRPr="005E3242">
        <w:rPr>
          <w:color w:val="auto"/>
          <w:sz w:val="20"/>
          <w:szCs w:val="20"/>
          <w:lang w:val="en-US"/>
        </w:rPr>
        <w:t xml:space="preserve">est </w:t>
      </w:r>
      <w:r w:rsidR="002E47D0">
        <w:rPr>
          <w:color w:val="auto"/>
          <w:sz w:val="20"/>
          <w:szCs w:val="20"/>
          <w:lang w:val="en-US"/>
        </w:rPr>
        <w:t>o</w:t>
      </w:r>
      <w:r w:rsidRPr="005E3242">
        <w:rPr>
          <w:color w:val="auto"/>
          <w:sz w:val="20"/>
          <w:szCs w:val="20"/>
          <w:lang w:val="en-US"/>
        </w:rPr>
        <w:t xml:space="preserve">verall </w:t>
      </w:r>
      <w:r w:rsidR="002E47D0">
        <w:rPr>
          <w:color w:val="auto"/>
          <w:sz w:val="20"/>
          <w:szCs w:val="20"/>
          <w:lang w:val="en-US"/>
        </w:rPr>
        <w:t>r</w:t>
      </w:r>
      <w:r w:rsidRPr="005E3242">
        <w:rPr>
          <w:color w:val="auto"/>
          <w:sz w:val="20"/>
          <w:szCs w:val="20"/>
          <w:lang w:val="en-US"/>
        </w:rPr>
        <w:t>esponse of CR or PR</w:t>
      </w:r>
    </w:p>
    <w:p w14:paraId="03DCE6DA" w14:textId="4603C9F2" w:rsidR="00C82C39" w:rsidRPr="005E3242" w:rsidRDefault="00C82C39" w:rsidP="00C448E8">
      <w:pPr>
        <w:rPr>
          <w:color w:val="auto"/>
          <w:sz w:val="20"/>
          <w:szCs w:val="20"/>
          <w:lang w:val="en-US"/>
        </w:rPr>
      </w:pPr>
      <w:r w:rsidRPr="005E3242">
        <w:rPr>
          <w:color w:val="auto"/>
          <w:sz w:val="20"/>
          <w:szCs w:val="20"/>
          <w:lang w:val="en-US"/>
        </w:rPr>
        <w:t xml:space="preserve">Objective response rate and duration of response are based on IRF-assessed </w:t>
      </w:r>
      <w:proofErr w:type="spellStart"/>
      <w:r w:rsidRPr="005E3242">
        <w:rPr>
          <w:color w:val="auto"/>
          <w:sz w:val="20"/>
          <w:szCs w:val="20"/>
          <w:lang w:val="en-US"/>
        </w:rPr>
        <w:t>tumo</w:t>
      </w:r>
      <w:r w:rsidR="00654F5C">
        <w:rPr>
          <w:color w:val="auto"/>
          <w:sz w:val="20"/>
          <w:szCs w:val="20"/>
          <w:lang w:val="en-US"/>
        </w:rPr>
        <w:t>u</w:t>
      </w:r>
      <w:r w:rsidRPr="005E3242">
        <w:rPr>
          <w:color w:val="auto"/>
          <w:sz w:val="20"/>
          <w:szCs w:val="20"/>
          <w:lang w:val="en-US"/>
        </w:rPr>
        <w:t>r</w:t>
      </w:r>
      <w:proofErr w:type="spellEnd"/>
      <w:r w:rsidRPr="005E3242">
        <w:rPr>
          <w:color w:val="auto"/>
          <w:sz w:val="20"/>
          <w:szCs w:val="20"/>
          <w:lang w:val="en-US"/>
        </w:rPr>
        <w:t xml:space="preserve"> assessments</w:t>
      </w:r>
    </w:p>
    <w:p w14:paraId="4C90FB82" w14:textId="744DA2DD" w:rsidR="00C82C39" w:rsidRPr="005E3242" w:rsidRDefault="00C82C39" w:rsidP="00C448E8">
      <w:pPr>
        <w:rPr>
          <w:b/>
          <w:color w:val="auto"/>
          <w:lang w:val="en-US"/>
        </w:rPr>
      </w:pPr>
    </w:p>
    <w:p w14:paraId="710D7A8C" w14:textId="3DF44718" w:rsidR="00C82C39" w:rsidRPr="005E3242" w:rsidRDefault="00C82C39" w:rsidP="00C448E8">
      <w:pPr>
        <w:pageBreakBefore/>
        <w:rPr>
          <w:b/>
          <w:color w:val="auto"/>
          <w:lang w:val="en-US"/>
        </w:rPr>
      </w:pPr>
      <w:r w:rsidRPr="005E3242">
        <w:rPr>
          <w:b/>
          <w:color w:val="auto"/>
          <w:lang w:val="en-US"/>
        </w:rPr>
        <w:lastRenderedPageBreak/>
        <w:t xml:space="preserve">Figure </w:t>
      </w:r>
      <w:r w:rsidR="008C5AA2">
        <w:rPr>
          <w:b/>
          <w:color w:val="auto"/>
          <w:lang w:val="en-US"/>
        </w:rPr>
        <w:t>2</w:t>
      </w:r>
      <w:r w:rsidRPr="005E3242">
        <w:rPr>
          <w:b/>
          <w:color w:val="auto"/>
          <w:lang w:val="en-US"/>
        </w:rPr>
        <w:t>: Kaplan-Meier curve of IRF-assessed progression-free survival</w:t>
      </w:r>
      <w:r w:rsidR="008C5AA2">
        <w:rPr>
          <w:b/>
          <w:color w:val="auto"/>
          <w:lang w:val="en-US"/>
        </w:rPr>
        <w:t xml:space="preserve"> in the CLEOPATRA study</w:t>
      </w:r>
    </w:p>
    <w:p w14:paraId="2D234246" w14:textId="3280BD44" w:rsidR="00C82C39" w:rsidRPr="005E3242" w:rsidRDefault="00C82C39" w:rsidP="00C448E8">
      <w:pPr>
        <w:rPr>
          <w:color w:val="auto"/>
          <w:lang w:val="en-US"/>
        </w:rPr>
      </w:pPr>
      <w:r w:rsidRPr="005E3242">
        <w:rPr>
          <w:noProof/>
          <w:color w:val="auto"/>
          <w:lang w:val="en-US" w:eastAsia="en-US"/>
        </w:rPr>
        <w:drawing>
          <wp:inline distT="0" distB="0" distL="0" distR="0" wp14:anchorId="44723794" wp14:editId="6CCAF2F1">
            <wp:extent cx="5492750" cy="3194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3194050"/>
                    </a:xfrm>
                    <a:prstGeom prst="rect">
                      <a:avLst/>
                    </a:prstGeom>
                    <a:noFill/>
                    <a:ln>
                      <a:noFill/>
                    </a:ln>
                  </pic:spPr>
                </pic:pic>
              </a:graphicData>
            </a:graphic>
          </wp:inline>
        </w:drawing>
      </w:r>
    </w:p>
    <w:p w14:paraId="3CB2432F" w14:textId="6B8101BA" w:rsidR="00C82C39" w:rsidRPr="00766502" w:rsidRDefault="00C82C39" w:rsidP="00C448E8">
      <w:pPr>
        <w:rPr>
          <w:color w:val="auto"/>
          <w:lang w:val="en-US"/>
        </w:rPr>
      </w:pPr>
      <w:r w:rsidRPr="008C1903">
        <w:rPr>
          <w:color w:val="auto"/>
          <w:lang w:val="en-US"/>
        </w:rPr>
        <w:t>D= docetaxel</w:t>
      </w:r>
      <w:r w:rsidRPr="00766502">
        <w:rPr>
          <w:color w:val="auto"/>
          <w:lang w:val="en-US"/>
        </w:rPr>
        <w:t xml:space="preserve">; </w:t>
      </w:r>
      <w:r w:rsidRPr="008C1903">
        <w:rPr>
          <w:color w:val="auto"/>
          <w:lang w:val="en-US"/>
        </w:rPr>
        <w:t xml:space="preserve">HR= hazard ratio; </w:t>
      </w:r>
      <w:proofErr w:type="spellStart"/>
      <w:r w:rsidRPr="008C1903">
        <w:rPr>
          <w:color w:val="auto"/>
          <w:lang w:val="en-US"/>
        </w:rPr>
        <w:t>Ptz</w:t>
      </w:r>
      <w:proofErr w:type="spellEnd"/>
      <w:r w:rsidRPr="008C1903">
        <w:rPr>
          <w:color w:val="auto"/>
          <w:lang w:val="en-US"/>
        </w:rPr>
        <w:t xml:space="preserve">= </w:t>
      </w:r>
      <w:proofErr w:type="spellStart"/>
      <w:r w:rsidRPr="008C1903">
        <w:rPr>
          <w:color w:val="auto"/>
          <w:lang w:val="en-US"/>
        </w:rPr>
        <w:t>pertuzumab</w:t>
      </w:r>
      <w:proofErr w:type="spellEnd"/>
      <w:r w:rsidRPr="008C1903">
        <w:rPr>
          <w:color w:val="auto"/>
          <w:lang w:val="en-US"/>
        </w:rPr>
        <w:t xml:space="preserve">; T=trastuzumab  </w:t>
      </w:r>
    </w:p>
    <w:p w14:paraId="4F30A1DA" w14:textId="5426C7C7" w:rsidR="00C82C39" w:rsidRPr="003D4CBC" w:rsidRDefault="00C82C39" w:rsidP="00C448E8">
      <w:pPr>
        <w:rPr>
          <w:color w:val="auto"/>
          <w:lang w:val="en-US"/>
        </w:rPr>
      </w:pPr>
    </w:p>
    <w:p w14:paraId="17BE1392" w14:textId="0DBE08ED" w:rsidR="00C82C39" w:rsidRPr="005E3242" w:rsidRDefault="00C82C39" w:rsidP="00C448E8">
      <w:pPr>
        <w:keepNext/>
        <w:rPr>
          <w:b/>
          <w:color w:val="auto"/>
          <w:lang w:val="en-US"/>
        </w:rPr>
      </w:pPr>
      <w:r w:rsidRPr="005E3242">
        <w:rPr>
          <w:b/>
          <w:color w:val="auto"/>
          <w:lang w:val="en-US"/>
        </w:rPr>
        <w:t>Figure </w:t>
      </w:r>
      <w:r w:rsidR="008C5AA2">
        <w:rPr>
          <w:b/>
          <w:color w:val="auto"/>
          <w:lang w:val="en-US"/>
        </w:rPr>
        <w:t>3</w:t>
      </w:r>
      <w:r w:rsidRPr="005E3242">
        <w:rPr>
          <w:b/>
          <w:color w:val="auto"/>
          <w:lang w:val="en-US"/>
        </w:rPr>
        <w:t>: Kaplan-Meier curve of overall survival</w:t>
      </w:r>
      <w:r w:rsidR="008C5AA2">
        <w:rPr>
          <w:b/>
          <w:color w:val="auto"/>
          <w:lang w:val="en-US"/>
        </w:rPr>
        <w:t xml:space="preserve"> in the CLEOPATRA study</w:t>
      </w:r>
    </w:p>
    <w:p w14:paraId="720186AD" w14:textId="06A3B673" w:rsidR="00C82C39" w:rsidRPr="005E3242" w:rsidRDefault="00C82C39" w:rsidP="00C448E8">
      <w:pPr>
        <w:rPr>
          <w:color w:val="auto"/>
          <w:lang w:val="en-GB"/>
        </w:rPr>
      </w:pPr>
      <w:r w:rsidRPr="005E3242">
        <w:rPr>
          <w:noProof/>
          <w:color w:val="auto"/>
          <w:lang w:val="en-US" w:eastAsia="en-US"/>
        </w:rPr>
        <w:drawing>
          <wp:inline distT="0" distB="0" distL="0" distR="0" wp14:anchorId="48A3C61F" wp14:editId="4DF46203">
            <wp:extent cx="5715000" cy="354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p>
    <w:p w14:paraId="3F98955B" w14:textId="1B7764E2" w:rsidR="00C82C39" w:rsidRPr="003D4CBC" w:rsidRDefault="00C82C39" w:rsidP="00C448E8">
      <w:pPr>
        <w:rPr>
          <w:color w:val="auto"/>
          <w:lang w:val="en-GB"/>
        </w:rPr>
      </w:pPr>
      <w:r w:rsidRPr="00766502">
        <w:rPr>
          <w:color w:val="auto"/>
          <w:lang w:val="en-GB"/>
        </w:rPr>
        <w:t>D= docetaxel</w:t>
      </w:r>
      <w:r w:rsidRPr="008C1903">
        <w:rPr>
          <w:color w:val="auto"/>
          <w:lang w:val="en-GB"/>
        </w:rPr>
        <w:t xml:space="preserve">; </w:t>
      </w:r>
      <w:r w:rsidRPr="00766502">
        <w:rPr>
          <w:color w:val="auto"/>
          <w:lang w:val="en-GB"/>
        </w:rPr>
        <w:t xml:space="preserve">HR= hazard ratio; </w:t>
      </w:r>
      <w:proofErr w:type="spellStart"/>
      <w:r w:rsidRPr="00766502">
        <w:rPr>
          <w:color w:val="auto"/>
          <w:lang w:val="en-GB"/>
        </w:rPr>
        <w:t>Ptz</w:t>
      </w:r>
      <w:proofErr w:type="spellEnd"/>
      <w:r w:rsidRPr="00766502">
        <w:rPr>
          <w:color w:val="auto"/>
          <w:lang w:val="en-GB"/>
        </w:rPr>
        <w:t xml:space="preserve">= </w:t>
      </w:r>
      <w:proofErr w:type="spellStart"/>
      <w:r w:rsidRPr="00766502">
        <w:rPr>
          <w:color w:val="auto"/>
          <w:lang w:val="en-GB"/>
        </w:rPr>
        <w:t>pertuzumab</w:t>
      </w:r>
      <w:proofErr w:type="spellEnd"/>
      <w:r w:rsidRPr="00766502">
        <w:rPr>
          <w:color w:val="auto"/>
          <w:lang w:val="en-GB"/>
        </w:rPr>
        <w:t xml:space="preserve">; T=trastuzumab  </w:t>
      </w:r>
    </w:p>
    <w:p w14:paraId="28A00556" w14:textId="58BA17F9" w:rsidR="00C82C39" w:rsidRPr="008C1903" w:rsidRDefault="00C82C39" w:rsidP="00C448E8">
      <w:pPr>
        <w:rPr>
          <w:color w:val="auto"/>
          <w:lang w:val="en-GB"/>
        </w:rPr>
      </w:pPr>
    </w:p>
    <w:p w14:paraId="1DF97F79" w14:textId="0885E0AA" w:rsidR="0078210D" w:rsidRPr="005E3242" w:rsidRDefault="0078210D" w:rsidP="00C448E8">
      <w:pPr>
        <w:pStyle w:val="Heading3"/>
      </w:pPr>
      <w:r w:rsidRPr="005E3242">
        <w:t>Immunogenicity</w:t>
      </w:r>
    </w:p>
    <w:p w14:paraId="07B2F3B0" w14:textId="77777777" w:rsidR="0078210D" w:rsidRPr="005E3242" w:rsidRDefault="0078210D" w:rsidP="00C448E8">
      <w:pPr>
        <w:rPr>
          <w:color w:val="auto"/>
          <w:lang w:val="en-GB"/>
        </w:rPr>
      </w:pPr>
      <w:r w:rsidRPr="005E3242">
        <w:rPr>
          <w:color w:val="auto"/>
          <w:lang w:val="en-GB"/>
        </w:rPr>
        <w:t xml:space="preserve">As with all therapeutic proteins, there is the potential for immune response in patients treated with </w:t>
      </w:r>
      <w:proofErr w:type="spellStart"/>
      <w:r w:rsidR="00191B0B">
        <w:rPr>
          <w:color w:val="auto"/>
          <w:lang w:val="en-GB"/>
        </w:rPr>
        <w:t>Phesgo</w:t>
      </w:r>
      <w:proofErr w:type="spellEnd"/>
      <w:r w:rsidRPr="005E3242">
        <w:rPr>
          <w:color w:val="auto"/>
          <w:lang w:val="en-GB"/>
        </w:rPr>
        <w:t xml:space="preserve">. </w:t>
      </w:r>
    </w:p>
    <w:p w14:paraId="773B5278" w14:textId="77777777" w:rsidR="0078210D" w:rsidRPr="005E3242" w:rsidRDefault="0078210D" w:rsidP="00C448E8">
      <w:pPr>
        <w:rPr>
          <w:color w:val="auto"/>
          <w:lang w:val="en-GB"/>
        </w:rPr>
      </w:pPr>
    </w:p>
    <w:p w14:paraId="39D7B3E4" w14:textId="77777777" w:rsidR="0078210D" w:rsidRPr="005E3242" w:rsidRDefault="0078210D" w:rsidP="00C448E8">
      <w:pPr>
        <w:rPr>
          <w:color w:val="auto"/>
          <w:lang w:val="en-US"/>
        </w:rPr>
      </w:pPr>
      <w:r w:rsidRPr="005E3242">
        <w:rPr>
          <w:color w:val="auto"/>
          <w:lang w:val="en-US"/>
        </w:rPr>
        <w:t xml:space="preserve">Immunogenicity assay results are highly dependent on several factors including assay sensitivity and specificity, assay methodology, sample handling, timing of sample collection, concomitant </w:t>
      </w:r>
      <w:proofErr w:type="gramStart"/>
      <w:r w:rsidRPr="005E3242">
        <w:rPr>
          <w:color w:val="auto"/>
          <w:lang w:val="en-US"/>
        </w:rPr>
        <w:t>medications</w:t>
      </w:r>
      <w:proofErr w:type="gramEnd"/>
      <w:r w:rsidRPr="005E3242">
        <w:rPr>
          <w:color w:val="auto"/>
          <w:lang w:val="en-US"/>
        </w:rPr>
        <w:t xml:space="preserve"> and underlying disease. For these reasons, comparison of incidence of treatment-emergent antibodies to </w:t>
      </w:r>
      <w:proofErr w:type="spellStart"/>
      <w:r w:rsidR="00191B0B">
        <w:rPr>
          <w:color w:val="auto"/>
          <w:lang w:val="en-US"/>
        </w:rPr>
        <w:t>Phesgo</w:t>
      </w:r>
      <w:proofErr w:type="spellEnd"/>
      <w:r w:rsidRPr="005E3242">
        <w:rPr>
          <w:color w:val="auto"/>
          <w:lang w:val="en-US"/>
        </w:rPr>
        <w:t xml:space="preserve"> with the incidence of antibodies to other products may be misleading.</w:t>
      </w:r>
    </w:p>
    <w:p w14:paraId="231CF3B1" w14:textId="77777777" w:rsidR="0078210D" w:rsidRPr="005E3242" w:rsidRDefault="0078210D" w:rsidP="00C448E8">
      <w:pPr>
        <w:rPr>
          <w:color w:val="auto"/>
          <w:lang w:val="en-US"/>
        </w:rPr>
      </w:pPr>
    </w:p>
    <w:p w14:paraId="28BD9A2E" w14:textId="77777777" w:rsidR="0078210D" w:rsidRPr="005E3242" w:rsidRDefault="0078210D" w:rsidP="00C448E8">
      <w:pPr>
        <w:rPr>
          <w:color w:val="auto"/>
          <w:lang w:val="en-US"/>
        </w:rPr>
      </w:pPr>
      <w:r w:rsidRPr="005E3242">
        <w:rPr>
          <w:color w:val="auto"/>
          <w:lang w:val="en-US"/>
        </w:rPr>
        <w:t>In the FEDERICA study, the incidence of treatment-emergent anti-</w:t>
      </w:r>
      <w:proofErr w:type="spellStart"/>
      <w:r w:rsidRPr="005E3242">
        <w:rPr>
          <w:color w:val="auto"/>
          <w:lang w:val="en-US"/>
        </w:rPr>
        <w:t>pertuzumab</w:t>
      </w:r>
      <w:proofErr w:type="spellEnd"/>
      <w:r w:rsidRPr="005E3242">
        <w:rPr>
          <w:color w:val="auto"/>
          <w:lang w:val="en-US"/>
        </w:rPr>
        <w:t xml:space="preserve"> and anti-trastuzumab antibodies was 3% (7/237) and 0.4% (1/237), respectively, in patients treated with intravenous</w:t>
      </w:r>
      <w:r w:rsidR="00271DBF">
        <w:rPr>
          <w:color w:val="auto"/>
          <w:lang w:val="en-US"/>
        </w:rPr>
        <w:t xml:space="preserve"> </w:t>
      </w:r>
      <w:proofErr w:type="spellStart"/>
      <w:r w:rsidR="00271DBF">
        <w:rPr>
          <w:color w:val="auto"/>
          <w:lang w:val="en-US"/>
        </w:rPr>
        <w:t>pertuzumab</w:t>
      </w:r>
      <w:proofErr w:type="spellEnd"/>
      <w:r w:rsidR="00271DBF">
        <w:rPr>
          <w:color w:val="auto"/>
          <w:lang w:val="en-US"/>
        </w:rPr>
        <w:t xml:space="preserve"> and trastuzumab</w:t>
      </w:r>
      <w:r w:rsidRPr="005E3242">
        <w:rPr>
          <w:color w:val="auto"/>
          <w:lang w:val="en-US"/>
        </w:rPr>
        <w:t xml:space="preserve">. </w:t>
      </w:r>
    </w:p>
    <w:p w14:paraId="0CD09820" w14:textId="77777777" w:rsidR="0078210D" w:rsidRPr="005E3242" w:rsidRDefault="0078210D" w:rsidP="00C448E8">
      <w:pPr>
        <w:rPr>
          <w:color w:val="auto"/>
          <w:lang w:val="en-US"/>
        </w:rPr>
      </w:pPr>
    </w:p>
    <w:p w14:paraId="3968CD0E" w14:textId="77777777" w:rsidR="0078210D" w:rsidRPr="005E3242" w:rsidRDefault="0078210D" w:rsidP="00C448E8">
      <w:pPr>
        <w:rPr>
          <w:color w:val="auto"/>
          <w:lang w:val="en-US"/>
        </w:rPr>
      </w:pPr>
      <w:r w:rsidRPr="005E3242">
        <w:rPr>
          <w:color w:val="auto"/>
          <w:lang w:val="en-US"/>
        </w:rPr>
        <w:t>The incidence of treatment-emergent anti-</w:t>
      </w:r>
      <w:proofErr w:type="spellStart"/>
      <w:r w:rsidRPr="005E3242">
        <w:rPr>
          <w:color w:val="auto"/>
          <w:lang w:val="en-US"/>
        </w:rPr>
        <w:t>pertuzumab</w:t>
      </w:r>
      <w:proofErr w:type="spellEnd"/>
      <w:r w:rsidRPr="005E3242">
        <w:rPr>
          <w:color w:val="auto"/>
          <w:lang w:val="en-US"/>
        </w:rPr>
        <w:t xml:space="preserve">, anti-trastuzumab, and anti- </w:t>
      </w:r>
      <w:proofErr w:type="spellStart"/>
      <w:r w:rsidRPr="005E3242">
        <w:rPr>
          <w:color w:val="auto"/>
          <w:lang w:val="en-US"/>
        </w:rPr>
        <w:t>vorhyaluronidase</w:t>
      </w:r>
      <w:proofErr w:type="spellEnd"/>
      <w:r w:rsidRPr="005E3242">
        <w:rPr>
          <w:color w:val="auto"/>
          <w:lang w:val="en-US"/>
        </w:rPr>
        <w:t xml:space="preserve"> alfa antibodies was 4.8% (11/231), 0.9% (2/232), and 0.9% (2/225), respectively, in patients treated with </w:t>
      </w:r>
      <w:proofErr w:type="spellStart"/>
      <w:r w:rsidR="00191B0B">
        <w:rPr>
          <w:color w:val="auto"/>
          <w:lang w:val="en-US"/>
        </w:rPr>
        <w:t>Phesgo</w:t>
      </w:r>
      <w:proofErr w:type="spellEnd"/>
      <w:r w:rsidRPr="005E3242">
        <w:rPr>
          <w:color w:val="auto"/>
          <w:lang w:val="en-US"/>
        </w:rPr>
        <w:t>. The clinical relevance of the development of anti-</w:t>
      </w:r>
      <w:proofErr w:type="spellStart"/>
      <w:r w:rsidRPr="005E3242">
        <w:rPr>
          <w:color w:val="auto"/>
          <w:lang w:val="en-US"/>
        </w:rPr>
        <w:t>pertuzumab</w:t>
      </w:r>
      <w:proofErr w:type="spellEnd"/>
      <w:r w:rsidRPr="005E3242">
        <w:rPr>
          <w:color w:val="auto"/>
          <w:lang w:val="en-US"/>
        </w:rPr>
        <w:t>, anti-trastuzumab or anti-</w:t>
      </w:r>
      <w:proofErr w:type="spellStart"/>
      <w:r w:rsidRPr="005E3242">
        <w:rPr>
          <w:color w:val="auto"/>
          <w:lang w:val="en-US"/>
        </w:rPr>
        <w:t>vorhyaluronidase</w:t>
      </w:r>
      <w:proofErr w:type="spellEnd"/>
      <w:r w:rsidRPr="005E3242">
        <w:rPr>
          <w:color w:val="auto"/>
          <w:lang w:val="en-US"/>
        </w:rPr>
        <w:t xml:space="preserve"> alfa antibodies after treatment with </w:t>
      </w:r>
      <w:proofErr w:type="spellStart"/>
      <w:r w:rsidR="00191B0B">
        <w:rPr>
          <w:color w:val="auto"/>
          <w:lang w:val="en-US"/>
        </w:rPr>
        <w:t>Phesgo</w:t>
      </w:r>
      <w:proofErr w:type="spellEnd"/>
      <w:r w:rsidR="00271DBF">
        <w:rPr>
          <w:color w:val="auto"/>
          <w:lang w:val="en-US"/>
        </w:rPr>
        <w:t xml:space="preserve"> is unknown.</w:t>
      </w:r>
    </w:p>
    <w:p w14:paraId="048F6C3B" w14:textId="4DEAAC0E" w:rsidR="00D52399" w:rsidRPr="008C5AA2" w:rsidRDefault="00902EBE" w:rsidP="00C448E8">
      <w:pPr>
        <w:pStyle w:val="Heading2"/>
        <w:numPr>
          <w:ilvl w:val="1"/>
          <w:numId w:val="2"/>
        </w:numPr>
        <w:rPr>
          <w:color w:val="auto"/>
        </w:rPr>
      </w:pPr>
      <w:r w:rsidRPr="008C5AA2">
        <w:rPr>
          <w:color w:val="auto"/>
        </w:rPr>
        <w:t xml:space="preserve">PHARMACOKINETIC PROPERTIES </w:t>
      </w:r>
    </w:p>
    <w:p w14:paraId="613F690B" w14:textId="6484A57A" w:rsidR="005B6F90" w:rsidRDefault="002023E4" w:rsidP="00C448E8">
      <w:pPr>
        <w:rPr>
          <w:color w:val="auto"/>
          <w:lang w:val="en-US"/>
        </w:rPr>
      </w:pPr>
      <w:r>
        <w:rPr>
          <w:color w:val="auto"/>
          <w:lang w:val="en-US"/>
        </w:rPr>
        <w:t>The pharmacokinetics (</w:t>
      </w:r>
      <w:r w:rsidR="0078210D" w:rsidRPr="008C5AA2">
        <w:rPr>
          <w:color w:val="auto"/>
          <w:lang w:val="en-US"/>
        </w:rPr>
        <w:t>P</w:t>
      </w:r>
      <w:r>
        <w:rPr>
          <w:color w:val="auto"/>
          <w:lang w:val="en-US"/>
        </w:rPr>
        <w:t xml:space="preserve">K) of </w:t>
      </w:r>
      <w:proofErr w:type="spellStart"/>
      <w:r>
        <w:rPr>
          <w:color w:val="auto"/>
          <w:lang w:val="en-US"/>
        </w:rPr>
        <w:t>p</w:t>
      </w:r>
      <w:r w:rsidR="0078210D" w:rsidRPr="008C5AA2">
        <w:rPr>
          <w:color w:val="auto"/>
          <w:lang w:val="en-US"/>
        </w:rPr>
        <w:t>ertuzumab</w:t>
      </w:r>
      <w:proofErr w:type="spellEnd"/>
      <w:r w:rsidR="0078210D" w:rsidRPr="008C5AA2">
        <w:rPr>
          <w:color w:val="auto"/>
          <w:lang w:val="en-US"/>
        </w:rPr>
        <w:t xml:space="preserve"> and trastuzumab </w:t>
      </w:r>
      <w:r>
        <w:rPr>
          <w:color w:val="auto"/>
          <w:lang w:val="en-US"/>
        </w:rPr>
        <w:t xml:space="preserve">were </w:t>
      </w:r>
      <w:proofErr w:type="spellStart"/>
      <w:r>
        <w:rPr>
          <w:color w:val="auto"/>
          <w:lang w:val="en-US"/>
        </w:rPr>
        <w:t>characterised</w:t>
      </w:r>
      <w:proofErr w:type="spellEnd"/>
      <w:r>
        <w:rPr>
          <w:color w:val="auto"/>
          <w:lang w:val="en-US"/>
        </w:rPr>
        <w:t xml:space="preserve"> in the FEDERICA study</w:t>
      </w:r>
      <w:r w:rsidRPr="008C5AA2">
        <w:rPr>
          <w:color w:val="auto"/>
          <w:lang w:val="en-US"/>
        </w:rPr>
        <w:t xml:space="preserve"> </w:t>
      </w:r>
      <w:r w:rsidR="005B6F90">
        <w:rPr>
          <w:color w:val="auto"/>
          <w:lang w:val="en-US"/>
        </w:rPr>
        <w:t xml:space="preserve">(see </w:t>
      </w:r>
      <w:r w:rsidR="005B6F90" w:rsidRPr="006B2154">
        <w:rPr>
          <w:i/>
          <w:color w:val="auto"/>
          <w:lang w:val="en-US"/>
        </w:rPr>
        <w:t>5.1 Pharm</w:t>
      </w:r>
      <w:r w:rsidR="005B6F90">
        <w:rPr>
          <w:i/>
          <w:color w:val="auto"/>
          <w:lang w:val="en-US"/>
        </w:rPr>
        <w:t>a</w:t>
      </w:r>
      <w:r w:rsidR="005B6F90" w:rsidRPr="006B2154">
        <w:rPr>
          <w:i/>
          <w:color w:val="auto"/>
          <w:lang w:val="en-US"/>
        </w:rPr>
        <w:t>codynamic properties – Clinical trials</w:t>
      </w:r>
      <w:r w:rsidR="005B6F90">
        <w:rPr>
          <w:color w:val="auto"/>
          <w:lang w:val="en-US"/>
        </w:rPr>
        <w:t xml:space="preserve">) </w:t>
      </w:r>
      <w:r w:rsidR="0078210D" w:rsidRPr="008C5AA2">
        <w:rPr>
          <w:color w:val="auto"/>
          <w:lang w:val="en-US"/>
        </w:rPr>
        <w:t xml:space="preserve">following subcutaneous administration of </w:t>
      </w:r>
      <w:proofErr w:type="spellStart"/>
      <w:r w:rsidR="00191B0B" w:rsidRPr="008C5AA2">
        <w:rPr>
          <w:color w:val="auto"/>
          <w:lang w:val="en-US"/>
        </w:rPr>
        <w:t>Phesgo</w:t>
      </w:r>
      <w:proofErr w:type="spellEnd"/>
      <w:r w:rsidR="0078210D" w:rsidRPr="008C5AA2">
        <w:rPr>
          <w:color w:val="auto"/>
          <w:lang w:val="en-US"/>
        </w:rPr>
        <w:t xml:space="preserve"> (1200 mg </w:t>
      </w:r>
      <w:proofErr w:type="spellStart"/>
      <w:r w:rsidR="0078210D" w:rsidRPr="008C5AA2">
        <w:rPr>
          <w:color w:val="auto"/>
          <w:lang w:val="en-US"/>
        </w:rPr>
        <w:t>pertuzumab</w:t>
      </w:r>
      <w:proofErr w:type="spellEnd"/>
      <w:r w:rsidR="0078210D" w:rsidRPr="008C5AA2">
        <w:rPr>
          <w:color w:val="auto"/>
          <w:lang w:val="en-US"/>
        </w:rPr>
        <w:t xml:space="preserve">/600 mg trastuzumab loading dose followed by 600 mg </w:t>
      </w:r>
      <w:proofErr w:type="spellStart"/>
      <w:r w:rsidR="0078210D" w:rsidRPr="008C5AA2">
        <w:rPr>
          <w:color w:val="auto"/>
          <w:lang w:val="en-US"/>
        </w:rPr>
        <w:t>pertuzumab</w:t>
      </w:r>
      <w:proofErr w:type="spellEnd"/>
      <w:r w:rsidR="0078210D" w:rsidRPr="008C5AA2">
        <w:rPr>
          <w:color w:val="auto"/>
          <w:lang w:val="en-US"/>
        </w:rPr>
        <w:t xml:space="preserve">/600 mg trastuzumab every 3 weeks) </w:t>
      </w:r>
      <w:r w:rsidRPr="002023E4">
        <w:rPr>
          <w:color w:val="auto"/>
          <w:lang w:val="en-US"/>
        </w:rPr>
        <w:t xml:space="preserve">and intravenous administration of </w:t>
      </w:r>
      <w:proofErr w:type="spellStart"/>
      <w:r w:rsidRPr="002023E4">
        <w:rPr>
          <w:color w:val="auto"/>
          <w:lang w:val="en-US"/>
        </w:rPr>
        <w:t>pertuzumab</w:t>
      </w:r>
      <w:proofErr w:type="spellEnd"/>
      <w:r w:rsidRPr="002023E4">
        <w:rPr>
          <w:color w:val="auto"/>
          <w:lang w:val="en-US"/>
        </w:rPr>
        <w:t xml:space="preserve"> and trastuzumab (840 mg </w:t>
      </w:r>
      <w:proofErr w:type="spellStart"/>
      <w:r w:rsidRPr="002023E4">
        <w:rPr>
          <w:color w:val="auto"/>
          <w:lang w:val="en-US"/>
        </w:rPr>
        <w:t>pertuzumab</w:t>
      </w:r>
      <w:proofErr w:type="spellEnd"/>
      <w:r w:rsidRPr="002023E4">
        <w:rPr>
          <w:color w:val="auto"/>
          <w:lang w:val="en-US"/>
        </w:rPr>
        <w:t xml:space="preserve">/8 mg/kg trastuzumab initial dose followed by 420 mg </w:t>
      </w:r>
      <w:proofErr w:type="spellStart"/>
      <w:r w:rsidRPr="002023E4">
        <w:rPr>
          <w:color w:val="auto"/>
          <w:lang w:val="en-US"/>
        </w:rPr>
        <w:t>pertuzumab</w:t>
      </w:r>
      <w:proofErr w:type="spellEnd"/>
      <w:r w:rsidRPr="002023E4">
        <w:rPr>
          <w:color w:val="auto"/>
          <w:lang w:val="en-US"/>
        </w:rPr>
        <w:t>/6 m</w:t>
      </w:r>
      <w:r>
        <w:rPr>
          <w:color w:val="auto"/>
          <w:lang w:val="en-US"/>
        </w:rPr>
        <w:t>g/kg trastuzumab every 3 weeks)</w:t>
      </w:r>
      <w:r w:rsidR="0078210D" w:rsidRPr="008C5AA2">
        <w:rPr>
          <w:color w:val="auto"/>
          <w:lang w:val="en-US"/>
        </w:rPr>
        <w:t xml:space="preserve">. </w:t>
      </w:r>
      <w:r w:rsidRPr="002023E4">
        <w:rPr>
          <w:color w:val="auto"/>
          <w:lang w:val="en-US"/>
        </w:rPr>
        <w:t xml:space="preserve">The </w:t>
      </w:r>
      <w:r>
        <w:rPr>
          <w:color w:val="auto"/>
          <w:lang w:val="en-US"/>
        </w:rPr>
        <w:t>PK</w:t>
      </w:r>
      <w:r w:rsidRPr="002023E4">
        <w:rPr>
          <w:color w:val="auto"/>
          <w:lang w:val="en-US"/>
        </w:rPr>
        <w:t xml:space="preserve"> parameters of </w:t>
      </w:r>
      <w:proofErr w:type="spellStart"/>
      <w:r w:rsidRPr="002023E4">
        <w:rPr>
          <w:color w:val="auto"/>
          <w:lang w:val="en-US"/>
        </w:rPr>
        <w:t>pertuzumab</w:t>
      </w:r>
      <w:proofErr w:type="spellEnd"/>
      <w:r w:rsidRPr="002023E4">
        <w:rPr>
          <w:color w:val="auto"/>
          <w:lang w:val="en-US"/>
        </w:rPr>
        <w:t xml:space="preserve"> and trastuzumab are described in</w:t>
      </w:r>
      <w:r>
        <w:rPr>
          <w:color w:val="auto"/>
          <w:lang w:val="en-US"/>
        </w:rPr>
        <w:t xml:space="preserve"> </w:t>
      </w:r>
      <w:r>
        <w:rPr>
          <w:color w:val="auto"/>
          <w:lang w:val="en-US"/>
        </w:rPr>
        <w:fldChar w:fldCharType="begin"/>
      </w:r>
      <w:r>
        <w:rPr>
          <w:color w:val="auto"/>
          <w:lang w:val="en-US"/>
        </w:rPr>
        <w:instrText xml:space="preserve"> REF _Ref66786935 \h </w:instrText>
      </w:r>
      <w:r>
        <w:rPr>
          <w:color w:val="auto"/>
          <w:lang w:val="en-US"/>
        </w:rPr>
      </w:r>
      <w:r w:rsidR="00C448E8">
        <w:rPr>
          <w:color w:val="auto"/>
          <w:lang w:val="en-US"/>
        </w:rPr>
        <w:instrText xml:space="preserve"> \* MERGEFORMAT </w:instrText>
      </w:r>
      <w:r>
        <w:rPr>
          <w:color w:val="auto"/>
          <w:lang w:val="en-US"/>
        </w:rPr>
        <w:fldChar w:fldCharType="separate"/>
      </w:r>
      <w:r w:rsidR="00C840A1">
        <w:t xml:space="preserve">Table </w:t>
      </w:r>
      <w:r w:rsidR="00C840A1">
        <w:rPr>
          <w:noProof/>
        </w:rPr>
        <w:t>11</w:t>
      </w:r>
      <w:r>
        <w:rPr>
          <w:color w:val="auto"/>
          <w:lang w:val="en-US"/>
        </w:rPr>
        <w:fldChar w:fldCharType="end"/>
      </w:r>
      <w:r w:rsidRPr="002023E4">
        <w:rPr>
          <w:color w:val="auto"/>
          <w:lang w:val="en-US"/>
        </w:rPr>
        <w:t xml:space="preserve">. </w:t>
      </w:r>
    </w:p>
    <w:p w14:paraId="0D04EB84" w14:textId="77777777" w:rsidR="005B6F90" w:rsidRDefault="005B6F90" w:rsidP="00C448E8">
      <w:pPr>
        <w:rPr>
          <w:color w:val="auto"/>
          <w:lang w:val="en-US"/>
        </w:rPr>
      </w:pPr>
    </w:p>
    <w:p w14:paraId="2D0AEA85" w14:textId="5C41ED8E" w:rsidR="0078210D" w:rsidRPr="008C5AA2" w:rsidRDefault="0078210D" w:rsidP="00C448E8">
      <w:pPr>
        <w:rPr>
          <w:color w:val="auto"/>
          <w:lang w:val="en-US"/>
        </w:rPr>
      </w:pPr>
      <w:r w:rsidRPr="008C5AA2">
        <w:rPr>
          <w:color w:val="auto"/>
          <w:lang w:val="en-US"/>
        </w:rPr>
        <w:t>The primary endpoint</w:t>
      </w:r>
      <w:r w:rsidR="005B6F90">
        <w:rPr>
          <w:color w:val="auto"/>
          <w:lang w:val="en-US"/>
        </w:rPr>
        <w:t>,</w:t>
      </w:r>
      <w:r w:rsidRPr="008C5AA2">
        <w:rPr>
          <w:color w:val="auto"/>
          <w:lang w:val="en-US"/>
        </w:rPr>
        <w:t xml:space="preserve"> </w:t>
      </w:r>
      <w:proofErr w:type="spellStart"/>
      <w:r w:rsidRPr="008C5AA2">
        <w:rPr>
          <w:color w:val="auto"/>
          <w:lang w:val="en-US"/>
        </w:rPr>
        <w:t>pertuzumab</w:t>
      </w:r>
      <w:proofErr w:type="spellEnd"/>
      <w:r w:rsidRPr="008C5AA2">
        <w:rPr>
          <w:color w:val="auto"/>
          <w:lang w:val="en-US"/>
        </w:rPr>
        <w:t xml:space="preserve"> </w:t>
      </w:r>
      <w:r w:rsidR="005B6F90">
        <w:rPr>
          <w:color w:val="auto"/>
          <w:lang w:val="en-US"/>
        </w:rPr>
        <w:t>c</w:t>
      </w:r>
      <w:r w:rsidRPr="008C5AA2">
        <w:rPr>
          <w:color w:val="auto"/>
          <w:lang w:val="en-US"/>
        </w:rPr>
        <w:t xml:space="preserve">ycle 7 </w:t>
      </w:r>
      <w:proofErr w:type="spellStart"/>
      <w:r w:rsidRPr="008C5AA2">
        <w:rPr>
          <w:color w:val="auto"/>
          <w:lang w:val="en-US"/>
        </w:rPr>
        <w:t>C</w:t>
      </w:r>
      <w:r w:rsidRPr="008C5AA2">
        <w:rPr>
          <w:color w:val="auto"/>
          <w:vertAlign w:val="subscript"/>
          <w:lang w:val="en-US"/>
        </w:rPr>
        <w:t>trough</w:t>
      </w:r>
      <w:proofErr w:type="spellEnd"/>
      <w:r w:rsidRPr="008C5AA2">
        <w:rPr>
          <w:color w:val="auto"/>
          <w:lang w:val="en-US"/>
        </w:rPr>
        <w:t xml:space="preserve"> (i.e. pre-dose cycle 8), showed non-inferiority of </w:t>
      </w:r>
      <w:proofErr w:type="spellStart"/>
      <w:r w:rsidRPr="008C5AA2">
        <w:rPr>
          <w:color w:val="auto"/>
          <w:lang w:val="en-US"/>
        </w:rPr>
        <w:t>pertuzumab</w:t>
      </w:r>
      <w:proofErr w:type="spellEnd"/>
      <w:r w:rsidRPr="008C5AA2">
        <w:rPr>
          <w:color w:val="auto"/>
          <w:lang w:val="en-US"/>
        </w:rPr>
        <w:t xml:space="preserve"> within </w:t>
      </w:r>
      <w:proofErr w:type="spellStart"/>
      <w:r w:rsidR="00191B0B" w:rsidRPr="008C5AA2">
        <w:rPr>
          <w:color w:val="auto"/>
          <w:lang w:val="en-US"/>
        </w:rPr>
        <w:t>Phesgo</w:t>
      </w:r>
      <w:proofErr w:type="spellEnd"/>
      <w:r w:rsidRPr="008C5AA2">
        <w:rPr>
          <w:color w:val="auto"/>
          <w:lang w:val="en-US"/>
        </w:rPr>
        <w:t xml:space="preserve"> (geometric mean 88.7 mcg/mL) compared to intravenous </w:t>
      </w:r>
      <w:proofErr w:type="spellStart"/>
      <w:r w:rsidRPr="008C5AA2">
        <w:rPr>
          <w:color w:val="auto"/>
          <w:lang w:val="en-US"/>
        </w:rPr>
        <w:t>pertuzumab</w:t>
      </w:r>
      <w:proofErr w:type="spellEnd"/>
      <w:r w:rsidRPr="008C5AA2">
        <w:rPr>
          <w:color w:val="auto"/>
          <w:lang w:val="en-US"/>
        </w:rPr>
        <w:t xml:space="preserve"> (geometric mean 72.4 mcg/mL) with a geometric mean ratio of 1.22 (90% CI: 1.14–1.31). </w:t>
      </w:r>
    </w:p>
    <w:p w14:paraId="16D3C00B" w14:textId="77777777" w:rsidR="0078210D" w:rsidRPr="002023E4" w:rsidRDefault="0078210D" w:rsidP="00C448E8">
      <w:pPr>
        <w:rPr>
          <w:color w:val="auto"/>
          <w:lang w:val="en-US"/>
        </w:rPr>
      </w:pPr>
    </w:p>
    <w:p w14:paraId="547B23A9" w14:textId="68434ECE" w:rsidR="0078210D" w:rsidRPr="002023E4" w:rsidRDefault="0078210D" w:rsidP="00C448E8">
      <w:pPr>
        <w:rPr>
          <w:color w:val="auto"/>
          <w:lang w:val="en-US"/>
        </w:rPr>
      </w:pPr>
      <w:r w:rsidRPr="002023E4">
        <w:rPr>
          <w:color w:val="auto"/>
          <w:lang w:val="en-US"/>
        </w:rPr>
        <w:t xml:space="preserve">The secondary endpoint, trastuzumab Cycle 7 </w:t>
      </w:r>
      <w:proofErr w:type="spellStart"/>
      <w:r w:rsidRPr="002023E4">
        <w:rPr>
          <w:color w:val="auto"/>
          <w:lang w:val="en-US"/>
        </w:rPr>
        <w:t>C</w:t>
      </w:r>
      <w:r w:rsidRPr="002023E4">
        <w:rPr>
          <w:color w:val="auto"/>
          <w:vertAlign w:val="subscript"/>
          <w:lang w:val="en-US"/>
        </w:rPr>
        <w:t>trough</w:t>
      </w:r>
      <w:proofErr w:type="spellEnd"/>
      <w:r w:rsidRPr="002023E4">
        <w:rPr>
          <w:color w:val="auto"/>
          <w:lang w:val="en-US"/>
        </w:rPr>
        <w:t xml:space="preserve"> (i.e., </w:t>
      </w:r>
      <w:proofErr w:type="spellStart"/>
      <w:r w:rsidRPr="002023E4">
        <w:rPr>
          <w:color w:val="auto"/>
          <w:lang w:val="en-US"/>
        </w:rPr>
        <w:t>predose</w:t>
      </w:r>
      <w:proofErr w:type="spellEnd"/>
      <w:r w:rsidRPr="002023E4">
        <w:rPr>
          <w:color w:val="auto"/>
          <w:lang w:val="en-US"/>
        </w:rPr>
        <w:t xml:space="preserve"> Cycle 8), showed non-inferiority of trastuzumab within </w:t>
      </w:r>
      <w:proofErr w:type="spellStart"/>
      <w:r w:rsidR="00191B0B" w:rsidRPr="002023E4">
        <w:rPr>
          <w:color w:val="auto"/>
          <w:lang w:val="en-US"/>
        </w:rPr>
        <w:t>Phesgo</w:t>
      </w:r>
      <w:proofErr w:type="spellEnd"/>
      <w:r w:rsidRPr="002023E4">
        <w:rPr>
          <w:color w:val="auto"/>
          <w:lang w:val="en-US"/>
        </w:rPr>
        <w:t xml:space="preserve"> (geometric mean 58.7 mcg/mL) compared to intravenous trastuzumab (geometric mean 44.1 mcg/mL) with a geometric mean ratio </w:t>
      </w:r>
      <w:r w:rsidR="00271DBF" w:rsidRPr="002023E4">
        <w:rPr>
          <w:color w:val="auto"/>
          <w:lang w:val="en-US"/>
        </w:rPr>
        <w:t>of 1.33 (90% CI: 1.24–1.43)</w:t>
      </w:r>
      <w:r w:rsidRPr="002023E4">
        <w:rPr>
          <w:color w:val="auto"/>
          <w:lang w:val="en-US"/>
        </w:rPr>
        <w:t>.</w:t>
      </w:r>
    </w:p>
    <w:p w14:paraId="1313F70B" w14:textId="77777777" w:rsidR="0078210D" w:rsidRPr="002023E4" w:rsidRDefault="0078210D" w:rsidP="00C448E8">
      <w:pPr>
        <w:rPr>
          <w:color w:val="auto"/>
          <w:lang w:val="en-US"/>
        </w:rPr>
      </w:pPr>
    </w:p>
    <w:p w14:paraId="42B978F3" w14:textId="23B560AE" w:rsidR="0078210D" w:rsidRPr="008C5AA2" w:rsidRDefault="0078210D" w:rsidP="00C448E8">
      <w:pPr>
        <w:rPr>
          <w:b/>
          <w:bCs/>
          <w:color w:val="auto"/>
          <w:lang w:val="en-US"/>
        </w:rPr>
      </w:pPr>
      <w:r w:rsidRPr="002023E4">
        <w:rPr>
          <w:color w:val="auto"/>
          <w:lang w:val="en-US"/>
        </w:rPr>
        <w:t xml:space="preserve">A population PK </w:t>
      </w:r>
      <w:r w:rsidR="005B6F90">
        <w:rPr>
          <w:color w:val="auto"/>
          <w:lang w:val="en-US"/>
        </w:rPr>
        <w:t>analysis reported that</w:t>
      </w:r>
      <w:r w:rsidR="00E4373E">
        <w:rPr>
          <w:color w:val="auto"/>
          <w:lang w:val="en-US"/>
        </w:rPr>
        <w:t>,</w:t>
      </w:r>
      <w:r w:rsidR="005B6F90">
        <w:rPr>
          <w:color w:val="auto"/>
          <w:lang w:val="en-US"/>
        </w:rPr>
        <w:t xml:space="preserve"> </w:t>
      </w:r>
      <w:r w:rsidR="005B6F90" w:rsidRPr="005B6F90">
        <w:rPr>
          <w:color w:val="auto"/>
          <w:lang w:val="en-US"/>
        </w:rPr>
        <w:t>following subcutaneous admi</w:t>
      </w:r>
      <w:r w:rsidR="00E4373E">
        <w:rPr>
          <w:color w:val="auto"/>
          <w:lang w:val="en-US"/>
        </w:rPr>
        <w:t>nistration of PHESGO, the mean c</w:t>
      </w:r>
      <w:r w:rsidR="005B6F90" w:rsidRPr="005B6F90">
        <w:rPr>
          <w:color w:val="auto"/>
          <w:lang w:val="en-US"/>
        </w:rPr>
        <w:t xml:space="preserve">ycle 7 </w:t>
      </w:r>
      <w:proofErr w:type="spellStart"/>
      <w:r w:rsidR="005B6F90" w:rsidRPr="005B6F90">
        <w:rPr>
          <w:color w:val="auto"/>
          <w:lang w:val="en-US"/>
        </w:rPr>
        <w:t>C</w:t>
      </w:r>
      <w:r w:rsidR="005B6F90" w:rsidRPr="006B2154">
        <w:rPr>
          <w:color w:val="auto"/>
          <w:vertAlign w:val="subscript"/>
          <w:lang w:val="en-US"/>
        </w:rPr>
        <w:t>max</w:t>
      </w:r>
      <w:proofErr w:type="spellEnd"/>
      <w:r w:rsidR="005B6F90" w:rsidRPr="005B6F90">
        <w:rPr>
          <w:color w:val="auto"/>
          <w:lang w:val="en-US"/>
        </w:rPr>
        <w:t xml:space="preserve"> and AUC</w:t>
      </w:r>
      <w:r w:rsidR="005B6F90" w:rsidRPr="006B2154">
        <w:rPr>
          <w:color w:val="auto"/>
          <w:vertAlign w:val="subscript"/>
          <w:lang w:val="en-US"/>
        </w:rPr>
        <w:t>0-21 days</w:t>
      </w:r>
      <w:r w:rsidR="005B6F90" w:rsidRPr="005B6F90">
        <w:rPr>
          <w:color w:val="auto"/>
          <w:lang w:val="en-US"/>
        </w:rPr>
        <w:t xml:space="preserve"> of </w:t>
      </w:r>
      <w:proofErr w:type="spellStart"/>
      <w:r w:rsidR="005B6F90" w:rsidRPr="005B6F90">
        <w:rPr>
          <w:color w:val="auto"/>
          <w:lang w:val="en-US"/>
        </w:rPr>
        <w:t>pertuzumab</w:t>
      </w:r>
      <w:proofErr w:type="spellEnd"/>
      <w:r w:rsidR="005B6F90" w:rsidRPr="005B6F90">
        <w:rPr>
          <w:color w:val="auto"/>
          <w:lang w:val="en-US"/>
        </w:rPr>
        <w:t xml:space="preserve"> were 34% lower and 5% higher, respectively, than that following intravenous administration of </w:t>
      </w:r>
      <w:proofErr w:type="spellStart"/>
      <w:r w:rsidR="005B6F90" w:rsidRPr="005B6F90">
        <w:rPr>
          <w:color w:val="auto"/>
          <w:lang w:val="en-US"/>
        </w:rPr>
        <w:t>pertuzumab</w:t>
      </w:r>
      <w:proofErr w:type="spellEnd"/>
      <w:r w:rsidR="005B6F90" w:rsidRPr="005B6F90">
        <w:rPr>
          <w:color w:val="auto"/>
          <w:lang w:val="en-US"/>
        </w:rPr>
        <w:t>. Th</w:t>
      </w:r>
      <w:r w:rsidR="00E4373E">
        <w:rPr>
          <w:color w:val="auto"/>
          <w:lang w:val="en-US"/>
        </w:rPr>
        <w:t>e mean c</w:t>
      </w:r>
      <w:r w:rsidR="005B6F90" w:rsidRPr="005B6F90">
        <w:rPr>
          <w:color w:val="auto"/>
          <w:lang w:val="en-US"/>
        </w:rPr>
        <w:t xml:space="preserve">ycle 7 </w:t>
      </w:r>
      <w:proofErr w:type="spellStart"/>
      <w:r w:rsidR="005B6F90" w:rsidRPr="005B6F90">
        <w:rPr>
          <w:color w:val="auto"/>
          <w:lang w:val="en-US"/>
        </w:rPr>
        <w:t>C</w:t>
      </w:r>
      <w:r w:rsidR="005B6F90" w:rsidRPr="006B2154">
        <w:rPr>
          <w:color w:val="auto"/>
          <w:vertAlign w:val="subscript"/>
          <w:lang w:val="en-US"/>
        </w:rPr>
        <w:t>max</w:t>
      </w:r>
      <w:proofErr w:type="spellEnd"/>
      <w:r w:rsidR="005B6F90" w:rsidRPr="005B6F90">
        <w:rPr>
          <w:color w:val="auto"/>
          <w:lang w:val="en-US"/>
        </w:rPr>
        <w:t xml:space="preserve"> and AUC</w:t>
      </w:r>
      <w:r w:rsidR="005B6F90" w:rsidRPr="006B2154">
        <w:rPr>
          <w:color w:val="auto"/>
          <w:vertAlign w:val="subscript"/>
          <w:lang w:val="en-US"/>
        </w:rPr>
        <w:t>0-21 days</w:t>
      </w:r>
      <w:r w:rsidR="005B6F90" w:rsidRPr="005B6F90">
        <w:rPr>
          <w:color w:val="auto"/>
          <w:lang w:val="en-US"/>
        </w:rPr>
        <w:t xml:space="preserve"> of trastuzumab were 31% lower and 9% higher, respectively, than that following intravenous administration of trastuzumab.</w:t>
      </w:r>
      <w:r w:rsidR="00126BA6">
        <w:rPr>
          <w:color w:val="auto"/>
          <w:lang w:val="en-US"/>
        </w:rPr>
        <w:t xml:space="preserve"> T</w:t>
      </w:r>
      <w:r w:rsidR="00126BA6" w:rsidRPr="003048E9">
        <w:rPr>
          <w:color w:val="auto"/>
          <w:lang w:val="en-US"/>
        </w:rPr>
        <w:t xml:space="preserve">here was no evidence of drug-drug interaction between </w:t>
      </w:r>
      <w:proofErr w:type="spellStart"/>
      <w:r w:rsidR="00126BA6" w:rsidRPr="003048E9">
        <w:rPr>
          <w:color w:val="auto"/>
          <w:lang w:val="en-US"/>
        </w:rPr>
        <w:t>pertuzumab</w:t>
      </w:r>
      <w:proofErr w:type="spellEnd"/>
      <w:r w:rsidR="00126BA6" w:rsidRPr="003048E9">
        <w:rPr>
          <w:color w:val="auto"/>
          <w:lang w:val="en-US"/>
        </w:rPr>
        <w:t xml:space="preserve"> and trastuzum</w:t>
      </w:r>
      <w:r w:rsidR="00C840A1">
        <w:rPr>
          <w:color w:val="auto"/>
          <w:lang w:val="en-US"/>
        </w:rPr>
        <w:t>a</w:t>
      </w:r>
      <w:r w:rsidR="00126BA6" w:rsidRPr="003048E9">
        <w:rPr>
          <w:color w:val="auto"/>
          <w:lang w:val="en-US"/>
        </w:rPr>
        <w:t xml:space="preserve">b within </w:t>
      </w:r>
      <w:proofErr w:type="spellStart"/>
      <w:r w:rsidR="00126BA6" w:rsidRPr="003048E9">
        <w:rPr>
          <w:color w:val="auto"/>
          <w:lang w:val="en-US"/>
        </w:rPr>
        <w:t>Phesgo</w:t>
      </w:r>
      <w:proofErr w:type="spellEnd"/>
      <w:r w:rsidR="00126BA6" w:rsidRPr="003048E9">
        <w:rPr>
          <w:color w:val="auto"/>
          <w:lang w:val="en-US"/>
        </w:rPr>
        <w:t>.</w:t>
      </w:r>
      <w:r w:rsidR="00126BA6" w:rsidRPr="002023E4">
        <w:rPr>
          <w:color w:val="auto"/>
          <w:lang w:val="en-US"/>
        </w:rPr>
        <w:t xml:space="preserve"> </w:t>
      </w:r>
      <w:r w:rsidRPr="002023E4">
        <w:rPr>
          <w:color w:val="auto"/>
          <w:lang w:val="en-US"/>
        </w:rPr>
        <w:t xml:space="preserve"> </w:t>
      </w:r>
    </w:p>
    <w:p w14:paraId="245A872D" w14:textId="33F72FAE" w:rsidR="0078210D" w:rsidRPr="0033537C" w:rsidRDefault="00271DBF" w:rsidP="00C448E8">
      <w:pPr>
        <w:rPr>
          <w:b/>
          <w:bCs/>
          <w:color w:val="auto"/>
          <w:lang w:val="en-US"/>
        </w:rPr>
      </w:pPr>
      <w:r w:rsidRPr="0033537C">
        <w:rPr>
          <w:bCs/>
          <w:color w:val="auto"/>
          <w:lang w:val="en-US"/>
        </w:rPr>
        <w:t xml:space="preserve"> </w:t>
      </w:r>
    </w:p>
    <w:p w14:paraId="6A0AA159" w14:textId="506E2947" w:rsidR="002023E4" w:rsidRDefault="0033537C" w:rsidP="00C448E8">
      <w:pPr>
        <w:pStyle w:val="Caption"/>
      </w:pPr>
      <w:bookmarkStart w:id="11" w:name="_Ref66786935"/>
      <w:r>
        <w:t xml:space="preserve">Table </w:t>
      </w:r>
      <w:r>
        <w:fldChar w:fldCharType="begin"/>
      </w:r>
      <w:r>
        <w:instrText xml:space="preserve"> SEQ Table \* ARABIC </w:instrText>
      </w:r>
      <w:r>
        <w:fldChar w:fldCharType="separate"/>
      </w:r>
      <w:r w:rsidR="00C840A1">
        <w:rPr>
          <w:noProof/>
        </w:rPr>
        <w:t>11</w:t>
      </w:r>
      <w:r>
        <w:fldChar w:fldCharType="end"/>
      </w:r>
      <w:bookmarkEnd w:id="11"/>
      <w:r w:rsidRPr="008C5AA2">
        <w:t xml:space="preserve">: </w:t>
      </w:r>
      <w:r w:rsidR="002023E4">
        <w:t xml:space="preserve">PK parameters of </w:t>
      </w:r>
      <w:proofErr w:type="spellStart"/>
      <w:r w:rsidR="002023E4">
        <w:t>pertuzumab</w:t>
      </w:r>
      <w:proofErr w:type="spellEnd"/>
      <w:r w:rsidR="002023E4">
        <w:t xml:space="preserve"> and trastuzumab following subcutaneous</w:t>
      </w:r>
    </w:p>
    <w:p w14:paraId="6605A650" w14:textId="065F6CAF" w:rsidR="0033537C" w:rsidRDefault="002023E4" w:rsidP="00C448E8">
      <w:pPr>
        <w:pStyle w:val="Caption"/>
      </w:pPr>
      <w:r>
        <w:t xml:space="preserve">administration of </w:t>
      </w:r>
      <w:proofErr w:type="spellStart"/>
      <w:r>
        <w:t>Phesgo</w:t>
      </w:r>
      <w:proofErr w:type="spellEnd"/>
      <w:r>
        <w:t>*</w:t>
      </w:r>
    </w:p>
    <w:p w14:paraId="622FF95C" w14:textId="2FE0756B" w:rsidR="00045105" w:rsidRDefault="00045105" w:rsidP="00C448E8">
      <w:pPr>
        <w:rPr>
          <w:color w:val="auto"/>
          <w:lang w:val="en-US"/>
        </w:rPr>
      </w:pPr>
    </w:p>
    <w:p w14:paraId="51055C11" w14:textId="55A9DBFB" w:rsidR="00C448E8" w:rsidRDefault="00C448E8" w:rsidP="00C448E8">
      <w:pPr>
        <w:rPr>
          <w:color w:val="auto"/>
          <w:lang w:val="en-US"/>
        </w:rPr>
      </w:pPr>
    </w:p>
    <w:p w14:paraId="706903EC" w14:textId="07C8697A" w:rsidR="00C448E8" w:rsidRDefault="00C448E8" w:rsidP="00C448E8">
      <w:pPr>
        <w:rPr>
          <w:color w:val="auto"/>
          <w:lang w:val="en-US"/>
        </w:rPr>
      </w:pPr>
    </w:p>
    <w:p w14:paraId="2E8320CC" w14:textId="77777777" w:rsidR="00C448E8" w:rsidRDefault="00C448E8" w:rsidP="00C448E8">
      <w:pPr>
        <w:rPr>
          <w:color w:val="auto"/>
          <w:lang w:val="en-US"/>
        </w:rPr>
      </w:pPr>
    </w:p>
    <w:p w14:paraId="7BEA96F4" w14:textId="01F14866" w:rsidR="00F07710" w:rsidRPr="00FD1491" w:rsidRDefault="00F07710" w:rsidP="00C448E8">
      <w:pPr>
        <w:pStyle w:val="Paragraph"/>
        <w:rPr>
          <w:b/>
          <w:lang w:eastAsia="zh-CN"/>
        </w:rPr>
      </w:pPr>
      <w:r>
        <w:rPr>
          <w:b/>
        </w:rPr>
        <w:lastRenderedPageBreak/>
        <w:t>Table 5</w:t>
      </w:r>
      <w:r w:rsidRPr="00FD1491">
        <w:rPr>
          <w:b/>
        </w:rPr>
        <w:t xml:space="preserve">: </w:t>
      </w:r>
      <w:r w:rsidRPr="00FD1491">
        <w:rPr>
          <w:b/>
          <w:lang w:eastAsia="zh-CN"/>
        </w:rPr>
        <w:t xml:space="preserve">PK </w:t>
      </w:r>
      <w:r w:rsidR="005547DD">
        <w:rPr>
          <w:b/>
          <w:lang w:eastAsia="zh-CN"/>
        </w:rPr>
        <w:t>p</w:t>
      </w:r>
      <w:r w:rsidRPr="00FD1491">
        <w:rPr>
          <w:b/>
          <w:lang w:eastAsia="zh-CN"/>
        </w:rPr>
        <w:t xml:space="preserve">arameters of </w:t>
      </w:r>
      <w:proofErr w:type="spellStart"/>
      <w:r w:rsidR="005547DD">
        <w:rPr>
          <w:b/>
        </w:rPr>
        <w:t>p</w:t>
      </w:r>
      <w:r w:rsidRPr="00FD1491">
        <w:rPr>
          <w:b/>
        </w:rPr>
        <w:t>ertuzumab</w:t>
      </w:r>
      <w:proofErr w:type="spellEnd"/>
      <w:r w:rsidRPr="00FD1491">
        <w:rPr>
          <w:b/>
        </w:rPr>
        <w:t xml:space="preserve"> and </w:t>
      </w:r>
      <w:r w:rsidR="005547DD">
        <w:rPr>
          <w:b/>
        </w:rPr>
        <w:t>t</w:t>
      </w:r>
      <w:r w:rsidRPr="00FD1491">
        <w:rPr>
          <w:b/>
        </w:rPr>
        <w:t>rastuzumab</w:t>
      </w:r>
      <w:r w:rsidRPr="00FD1491">
        <w:rPr>
          <w:b/>
          <w:lang w:eastAsia="zh-CN"/>
        </w:rPr>
        <w:t xml:space="preserve"> </w:t>
      </w:r>
      <w:r w:rsidR="005547DD">
        <w:rPr>
          <w:b/>
          <w:lang w:eastAsia="zh-CN"/>
        </w:rPr>
        <w:t>f</w:t>
      </w:r>
      <w:r w:rsidRPr="00FD1491">
        <w:rPr>
          <w:b/>
          <w:lang w:eastAsia="zh-CN"/>
        </w:rPr>
        <w:t xml:space="preserve">ollowing </w:t>
      </w:r>
      <w:r w:rsidR="005547DD">
        <w:rPr>
          <w:b/>
          <w:lang w:eastAsia="zh-CN"/>
        </w:rPr>
        <w:t>s</w:t>
      </w:r>
      <w:r w:rsidRPr="00FD1491">
        <w:rPr>
          <w:b/>
          <w:lang w:eastAsia="zh-CN"/>
        </w:rPr>
        <w:t xml:space="preserve">ubcutaneous </w:t>
      </w:r>
      <w:r w:rsidR="005547DD">
        <w:rPr>
          <w:b/>
          <w:lang w:eastAsia="zh-CN"/>
        </w:rPr>
        <w:t>a</w:t>
      </w:r>
      <w:r w:rsidRPr="00FD1491">
        <w:rPr>
          <w:b/>
          <w:lang w:eastAsia="zh-CN"/>
        </w:rPr>
        <w:t xml:space="preserve">dministration of </w:t>
      </w:r>
      <w:r w:rsidRPr="0094766A">
        <w:rPr>
          <w:b/>
        </w:rPr>
        <w:t>PHESGO</w:t>
      </w:r>
      <w:r w:rsidRPr="00EF4E0D">
        <w:t xml:space="preserve"> </w:t>
      </w:r>
      <w:r w:rsidRPr="00717D62">
        <w:rPr>
          <w:i/>
          <w:iCs/>
          <w:color w:val="000000"/>
          <w:vertAlign w:val="superscript"/>
        </w:rPr>
        <w:t>*</w:t>
      </w:r>
    </w:p>
    <w:tbl>
      <w:tblPr>
        <w:tblStyle w:val="TableGrid"/>
        <w:tblW w:w="0" w:type="auto"/>
        <w:tblInd w:w="85" w:type="dxa"/>
        <w:tblLook w:val="04A0" w:firstRow="1" w:lastRow="0" w:firstColumn="1" w:lastColumn="0" w:noHBand="0" w:noVBand="1"/>
      </w:tblPr>
      <w:tblGrid>
        <w:gridCol w:w="4178"/>
        <w:gridCol w:w="2373"/>
        <w:gridCol w:w="2380"/>
      </w:tblGrid>
      <w:tr w:rsidR="00F07710" w:rsidRPr="00194527" w14:paraId="7713FD78" w14:textId="77777777" w:rsidTr="00DC722C">
        <w:tc>
          <w:tcPr>
            <w:tcW w:w="4320" w:type="dxa"/>
          </w:tcPr>
          <w:p w14:paraId="71ADFE95" w14:textId="77777777" w:rsidR="00F07710" w:rsidRPr="00194527" w:rsidRDefault="00F07710" w:rsidP="00C448E8">
            <w:pPr>
              <w:pStyle w:val="Paragraph"/>
              <w:rPr>
                <w:lang w:eastAsia="zh-CN"/>
              </w:rPr>
            </w:pPr>
          </w:p>
        </w:tc>
        <w:tc>
          <w:tcPr>
            <w:tcW w:w="2430" w:type="dxa"/>
          </w:tcPr>
          <w:p w14:paraId="3B0C825B" w14:textId="77777777" w:rsidR="00F07710" w:rsidRPr="00194527" w:rsidRDefault="00F07710" w:rsidP="00C448E8">
            <w:pPr>
              <w:pStyle w:val="Paragraph"/>
              <w:rPr>
                <w:lang w:eastAsia="zh-CN"/>
              </w:rPr>
            </w:pPr>
            <w:proofErr w:type="spellStart"/>
            <w:r w:rsidRPr="00194527">
              <w:rPr>
                <w:b/>
              </w:rPr>
              <w:t>Pertuzumab</w:t>
            </w:r>
            <w:r w:rsidRPr="00194527">
              <w:rPr>
                <w:b/>
                <w:vertAlign w:val="superscript"/>
              </w:rPr>
              <w:t>a</w:t>
            </w:r>
            <w:proofErr w:type="spellEnd"/>
          </w:p>
        </w:tc>
        <w:tc>
          <w:tcPr>
            <w:tcW w:w="2431" w:type="dxa"/>
          </w:tcPr>
          <w:p w14:paraId="69F1AA02" w14:textId="77777777" w:rsidR="00F07710" w:rsidRPr="00194527" w:rsidRDefault="00F07710" w:rsidP="00C448E8">
            <w:pPr>
              <w:pStyle w:val="Paragraph"/>
              <w:rPr>
                <w:lang w:eastAsia="zh-CN"/>
              </w:rPr>
            </w:pPr>
            <w:proofErr w:type="spellStart"/>
            <w:r w:rsidRPr="00194527">
              <w:rPr>
                <w:b/>
              </w:rPr>
              <w:t>Trastuzumab</w:t>
            </w:r>
            <w:r w:rsidRPr="00194527">
              <w:rPr>
                <w:b/>
                <w:vertAlign w:val="superscript"/>
              </w:rPr>
              <w:t>b</w:t>
            </w:r>
            <w:proofErr w:type="spellEnd"/>
          </w:p>
        </w:tc>
      </w:tr>
      <w:tr w:rsidR="00F07710" w:rsidRPr="00194527" w14:paraId="0F159B4B" w14:textId="77777777" w:rsidTr="00DC722C">
        <w:trPr>
          <w:trHeight w:val="51"/>
        </w:trPr>
        <w:tc>
          <w:tcPr>
            <w:tcW w:w="9181" w:type="dxa"/>
            <w:gridSpan w:val="3"/>
          </w:tcPr>
          <w:p w14:paraId="54EFD044" w14:textId="77777777" w:rsidR="00F07710" w:rsidRPr="00194527" w:rsidRDefault="00F07710" w:rsidP="00C448E8">
            <w:pPr>
              <w:pStyle w:val="Paragraph"/>
              <w:rPr>
                <w:b/>
                <w:lang w:eastAsia="zh-CN"/>
              </w:rPr>
            </w:pPr>
            <w:r w:rsidRPr="00194527">
              <w:rPr>
                <w:b/>
              </w:rPr>
              <w:t>Absorption</w:t>
            </w:r>
          </w:p>
        </w:tc>
      </w:tr>
      <w:tr w:rsidR="00F07710" w:rsidRPr="00194527" w14:paraId="034DD106" w14:textId="77777777" w:rsidTr="00DC722C">
        <w:tc>
          <w:tcPr>
            <w:tcW w:w="4320" w:type="dxa"/>
          </w:tcPr>
          <w:p w14:paraId="4AF356E0" w14:textId="20731B8B" w:rsidR="00F07710" w:rsidRPr="00194527" w:rsidRDefault="00F07710" w:rsidP="00C448E8">
            <w:pPr>
              <w:ind w:left="288"/>
            </w:pPr>
            <w:r w:rsidRPr="00194527">
              <w:t xml:space="preserve">Absolute </w:t>
            </w:r>
            <w:r w:rsidR="005547DD">
              <w:t>b</w:t>
            </w:r>
            <w:r w:rsidRPr="00194527">
              <w:t xml:space="preserve">ioavailability </w:t>
            </w:r>
          </w:p>
        </w:tc>
        <w:tc>
          <w:tcPr>
            <w:tcW w:w="2430" w:type="dxa"/>
          </w:tcPr>
          <w:p w14:paraId="7458A5EA" w14:textId="77777777" w:rsidR="00F07710" w:rsidRPr="00194527" w:rsidRDefault="00F07710" w:rsidP="00C448E8">
            <w:pPr>
              <w:pStyle w:val="Paragraph"/>
              <w:rPr>
                <w:lang w:eastAsia="zh-CN"/>
              </w:rPr>
            </w:pPr>
            <w:r w:rsidRPr="00194527">
              <w:rPr>
                <w:lang w:eastAsia="zh-CN"/>
              </w:rPr>
              <w:t>0.7 (18)</w:t>
            </w:r>
          </w:p>
        </w:tc>
        <w:tc>
          <w:tcPr>
            <w:tcW w:w="2431" w:type="dxa"/>
          </w:tcPr>
          <w:p w14:paraId="07E1FA59" w14:textId="77777777" w:rsidR="00F07710" w:rsidRPr="00194527" w:rsidRDefault="00F07710" w:rsidP="00C448E8">
            <w:pPr>
              <w:pStyle w:val="Paragraph"/>
              <w:rPr>
                <w:lang w:eastAsia="zh-CN"/>
              </w:rPr>
            </w:pPr>
            <w:r w:rsidRPr="00194527">
              <w:rPr>
                <w:lang w:eastAsia="zh-CN"/>
              </w:rPr>
              <w:t>0.8 (13)</w:t>
            </w:r>
          </w:p>
        </w:tc>
      </w:tr>
      <w:tr w:rsidR="00F07710" w:rsidRPr="00194527" w14:paraId="38AE5EEE" w14:textId="77777777" w:rsidTr="00DC722C">
        <w:tc>
          <w:tcPr>
            <w:tcW w:w="4320" w:type="dxa"/>
          </w:tcPr>
          <w:p w14:paraId="5B58787E" w14:textId="77777777" w:rsidR="00F07710" w:rsidRPr="00194527" w:rsidRDefault="00F07710" w:rsidP="00C448E8">
            <w:pPr>
              <w:pStyle w:val="Paragraph"/>
              <w:spacing w:line="240" w:lineRule="auto"/>
              <w:ind w:left="288"/>
              <w:rPr>
                <w:lang w:eastAsia="zh-CN"/>
              </w:rPr>
            </w:pPr>
            <w:r w:rsidRPr="00194527">
              <w:rPr>
                <w:lang w:eastAsia="zh-CN"/>
              </w:rPr>
              <w:t>First-order absorption rate, ka (day</w:t>
            </w:r>
            <w:r w:rsidRPr="00194527">
              <w:rPr>
                <w:vertAlign w:val="superscript"/>
                <w:lang w:eastAsia="zh-CN"/>
              </w:rPr>
              <w:t>-1</w:t>
            </w:r>
            <w:r w:rsidRPr="00194527">
              <w:rPr>
                <w:lang w:eastAsia="zh-CN"/>
              </w:rPr>
              <w:t>)</w:t>
            </w:r>
          </w:p>
        </w:tc>
        <w:tc>
          <w:tcPr>
            <w:tcW w:w="2430" w:type="dxa"/>
          </w:tcPr>
          <w:p w14:paraId="6C136525" w14:textId="77777777" w:rsidR="00F07710" w:rsidRPr="00194527" w:rsidRDefault="00F07710" w:rsidP="00C448E8">
            <w:pPr>
              <w:pStyle w:val="Paragraph"/>
              <w:rPr>
                <w:lang w:eastAsia="zh-CN"/>
              </w:rPr>
            </w:pPr>
            <w:r w:rsidRPr="00194527">
              <w:rPr>
                <w:lang w:eastAsia="zh-CN"/>
              </w:rPr>
              <w:t>0.4 (</w:t>
            </w:r>
            <w:r>
              <w:rPr>
                <w:lang w:eastAsia="zh-CN"/>
              </w:rPr>
              <w:t>8</w:t>
            </w:r>
            <w:r w:rsidRPr="00194527">
              <w:rPr>
                <w:lang w:eastAsia="zh-CN"/>
              </w:rPr>
              <w:t>)</w:t>
            </w:r>
            <w:r w:rsidRPr="00194527">
              <w:rPr>
                <w:i/>
                <w:iCs/>
                <w:color w:val="000000"/>
              </w:rPr>
              <w:t xml:space="preserve"> </w:t>
            </w:r>
            <w:r w:rsidRPr="00194527">
              <w:rPr>
                <w:i/>
                <w:iCs/>
                <w:color w:val="000000"/>
                <w:vertAlign w:val="superscript"/>
              </w:rPr>
              <w:t>†</w:t>
            </w:r>
          </w:p>
        </w:tc>
        <w:tc>
          <w:tcPr>
            <w:tcW w:w="2431" w:type="dxa"/>
          </w:tcPr>
          <w:p w14:paraId="3F1C3873" w14:textId="77777777" w:rsidR="00F07710" w:rsidRPr="00194527" w:rsidRDefault="00F07710" w:rsidP="00C448E8">
            <w:pPr>
              <w:pStyle w:val="Paragraph"/>
              <w:rPr>
                <w:lang w:eastAsia="zh-CN"/>
              </w:rPr>
            </w:pPr>
            <w:r w:rsidRPr="00194527">
              <w:rPr>
                <w:lang w:eastAsia="zh-CN"/>
              </w:rPr>
              <w:t>0.4 (2.9)</w:t>
            </w:r>
            <w:r w:rsidRPr="00194527">
              <w:rPr>
                <w:i/>
                <w:iCs/>
                <w:color w:val="000000"/>
              </w:rPr>
              <w:t xml:space="preserve"> </w:t>
            </w:r>
            <w:r w:rsidRPr="00194527">
              <w:rPr>
                <w:i/>
                <w:iCs/>
                <w:color w:val="000000"/>
                <w:vertAlign w:val="superscript"/>
              </w:rPr>
              <w:t>†</w:t>
            </w:r>
          </w:p>
        </w:tc>
      </w:tr>
      <w:tr w:rsidR="00F07710" w:rsidRPr="00194527" w14:paraId="54717A5E" w14:textId="77777777" w:rsidTr="00DC722C">
        <w:tc>
          <w:tcPr>
            <w:tcW w:w="4320" w:type="dxa"/>
          </w:tcPr>
          <w:p w14:paraId="147CB16C" w14:textId="77777777" w:rsidR="00F07710" w:rsidRPr="00194527" w:rsidRDefault="00F07710" w:rsidP="00C448E8">
            <w:pPr>
              <w:pStyle w:val="Paragraph"/>
              <w:spacing w:line="240" w:lineRule="auto"/>
              <w:ind w:left="288"/>
              <w:rPr>
                <w:lang w:eastAsia="zh-CN"/>
              </w:rPr>
            </w:pPr>
            <w:proofErr w:type="spellStart"/>
            <w:r w:rsidRPr="00194527">
              <w:rPr>
                <w:lang w:eastAsia="zh-CN"/>
              </w:rPr>
              <w:t>T</w:t>
            </w:r>
            <w:r w:rsidRPr="00194527">
              <w:rPr>
                <w:vertAlign w:val="subscript"/>
                <w:lang w:eastAsia="zh-CN"/>
              </w:rPr>
              <w:t>max</w:t>
            </w:r>
            <w:proofErr w:type="spellEnd"/>
            <w:r w:rsidRPr="00194527">
              <w:rPr>
                <w:lang w:eastAsia="zh-CN"/>
              </w:rPr>
              <w:t xml:space="preserve"> (day)</w:t>
            </w:r>
          </w:p>
        </w:tc>
        <w:tc>
          <w:tcPr>
            <w:tcW w:w="2430" w:type="dxa"/>
          </w:tcPr>
          <w:p w14:paraId="0EAF315D" w14:textId="77777777" w:rsidR="00F07710" w:rsidRPr="00194527" w:rsidRDefault="00F07710" w:rsidP="00C448E8">
            <w:pPr>
              <w:pStyle w:val="Paragraph"/>
              <w:rPr>
                <w:lang w:eastAsia="zh-CN"/>
              </w:rPr>
            </w:pPr>
            <w:r w:rsidRPr="00194527">
              <w:rPr>
                <w:lang w:eastAsia="zh-CN"/>
              </w:rPr>
              <w:t>4 (1 – 21)</w:t>
            </w:r>
            <w:r w:rsidRPr="00194527">
              <w:rPr>
                <w:i/>
                <w:iCs/>
                <w:color w:val="000000"/>
              </w:rPr>
              <w:t xml:space="preserve"> </w:t>
            </w:r>
            <w:r w:rsidRPr="00194527">
              <w:rPr>
                <w:i/>
                <w:iCs/>
                <w:color w:val="000000"/>
                <w:vertAlign w:val="superscript"/>
              </w:rPr>
              <w:t>‡</w:t>
            </w:r>
          </w:p>
        </w:tc>
        <w:tc>
          <w:tcPr>
            <w:tcW w:w="2431" w:type="dxa"/>
          </w:tcPr>
          <w:p w14:paraId="720567F1" w14:textId="77777777" w:rsidR="00F07710" w:rsidRPr="00194527" w:rsidRDefault="00F07710" w:rsidP="00C448E8">
            <w:pPr>
              <w:pStyle w:val="Paragraph"/>
              <w:rPr>
                <w:lang w:eastAsia="zh-CN"/>
              </w:rPr>
            </w:pPr>
            <w:r w:rsidRPr="00194527">
              <w:rPr>
                <w:lang w:eastAsia="zh-CN"/>
              </w:rPr>
              <w:t>4 (1– 22)</w:t>
            </w:r>
            <w:r w:rsidRPr="00194527">
              <w:rPr>
                <w:i/>
                <w:iCs/>
                <w:color w:val="000000"/>
                <w:vertAlign w:val="superscript"/>
              </w:rPr>
              <w:t xml:space="preserve"> ‡</w:t>
            </w:r>
          </w:p>
        </w:tc>
      </w:tr>
      <w:tr w:rsidR="00F07710" w:rsidRPr="00194527" w14:paraId="0D21DE47" w14:textId="77777777" w:rsidTr="00DC722C">
        <w:tc>
          <w:tcPr>
            <w:tcW w:w="9181" w:type="dxa"/>
            <w:gridSpan w:val="3"/>
          </w:tcPr>
          <w:p w14:paraId="20703EB1" w14:textId="77777777" w:rsidR="00F07710" w:rsidRPr="00194527" w:rsidRDefault="00F07710" w:rsidP="00C448E8">
            <w:pPr>
              <w:pStyle w:val="Paragraph"/>
              <w:rPr>
                <w:b/>
                <w:lang w:eastAsia="zh-CN"/>
              </w:rPr>
            </w:pPr>
            <w:r w:rsidRPr="00194527">
              <w:rPr>
                <w:b/>
              </w:rPr>
              <w:t>Distribution</w:t>
            </w:r>
          </w:p>
        </w:tc>
      </w:tr>
      <w:tr w:rsidR="00F07710" w:rsidRPr="00194527" w14:paraId="7B215857" w14:textId="77777777" w:rsidTr="00DC722C">
        <w:tc>
          <w:tcPr>
            <w:tcW w:w="4320" w:type="dxa"/>
          </w:tcPr>
          <w:p w14:paraId="6758F254" w14:textId="0AAB17C8" w:rsidR="00F07710" w:rsidRPr="00194527" w:rsidRDefault="00F07710" w:rsidP="00C448E8">
            <w:pPr>
              <w:ind w:left="288"/>
            </w:pPr>
            <w:r w:rsidRPr="00194527">
              <w:t xml:space="preserve">Volume of </w:t>
            </w:r>
            <w:r w:rsidR="005547DD">
              <w:t>c</w:t>
            </w:r>
            <w:r w:rsidRPr="00194527">
              <w:t xml:space="preserve">entral </w:t>
            </w:r>
            <w:r w:rsidR="005547DD">
              <w:t>c</w:t>
            </w:r>
            <w:r w:rsidRPr="00194527">
              <w:t>ompartment (L)</w:t>
            </w:r>
          </w:p>
        </w:tc>
        <w:tc>
          <w:tcPr>
            <w:tcW w:w="2430" w:type="dxa"/>
          </w:tcPr>
          <w:p w14:paraId="5A55649E" w14:textId="77777777" w:rsidR="00F07710" w:rsidRPr="00194527" w:rsidRDefault="00F07710" w:rsidP="00C448E8">
            <w:pPr>
              <w:pStyle w:val="Paragraph"/>
              <w:rPr>
                <w:lang w:eastAsia="zh-CN"/>
              </w:rPr>
            </w:pPr>
            <w:r w:rsidRPr="00194527">
              <w:rPr>
                <w:lang w:eastAsia="zh-CN"/>
              </w:rPr>
              <w:t>2.8 (35)</w:t>
            </w:r>
          </w:p>
        </w:tc>
        <w:tc>
          <w:tcPr>
            <w:tcW w:w="2431" w:type="dxa"/>
          </w:tcPr>
          <w:p w14:paraId="1901F504" w14:textId="77777777" w:rsidR="00F07710" w:rsidRPr="00194527" w:rsidRDefault="00F07710" w:rsidP="00C448E8">
            <w:pPr>
              <w:pStyle w:val="Paragraph"/>
              <w:rPr>
                <w:lang w:eastAsia="zh-CN"/>
              </w:rPr>
            </w:pPr>
            <w:r w:rsidRPr="00194527">
              <w:rPr>
                <w:lang w:eastAsia="zh-CN"/>
              </w:rPr>
              <w:t>2.9 (19)</w:t>
            </w:r>
          </w:p>
        </w:tc>
      </w:tr>
      <w:tr w:rsidR="00F07710" w:rsidRPr="00194527" w14:paraId="70521D4D" w14:textId="77777777" w:rsidTr="00DC722C">
        <w:tc>
          <w:tcPr>
            <w:tcW w:w="4320" w:type="dxa"/>
          </w:tcPr>
          <w:p w14:paraId="49470328" w14:textId="77777777" w:rsidR="00F07710" w:rsidRPr="00194527" w:rsidRDefault="00F07710" w:rsidP="00C448E8">
            <w:pPr>
              <w:rPr>
                <w:b/>
              </w:rPr>
            </w:pPr>
            <w:r w:rsidRPr="00194527">
              <w:rPr>
                <w:b/>
              </w:rPr>
              <w:t>Elimination</w:t>
            </w:r>
          </w:p>
        </w:tc>
        <w:tc>
          <w:tcPr>
            <w:tcW w:w="4861" w:type="dxa"/>
            <w:gridSpan w:val="2"/>
          </w:tcPr>
          <w:p w14:paraId="4450F19E" w14:textId="77777777" w:rsidR="00F07710" w:rsidRPr="00194527" w:rsidRDefault="00F07710" w:rsidP="00C448E8">
            <w:pPr>
              <w:pStyle w:val="Paragraph"/>
              <w:rPr>
                <w:lang w:eastAsia="zh-CN"/>
              </w:rPr>
            </w:pPr>
          </w:p>
        </w:tc>
      </w:tr>
      <w:tr w:rsidR="00F07710" w:rsidRPr="00194527" w14:paraId="47E7950A" w14:textId="77777777" w:rsidTr="00DC722C">
        <w:tc>
          <w:tcPr>
            <w:tcW w:w="4320" w:type="dxa"/>
          </w:tcPr>
          <w:p w14:paraId="193B0A30" w14:textId="2A13E1E3" w:rsidR="00F07710" w:rsidRPr="00194527" w:rsidRDefault="00F07710" w:rsidP="00C448E8">
            <w:pPr>
              <w:pStyle w:val="Paragraph"/>
              <w:ind w:left="288"/>
              <w:rPr>
                <w:lang w:eastAsia="zh-CN"/>
              </w:rPr>
            </w:pPr>
            <w:r w:rsidRPr="00194527">
              <w:t xml:space="preserve">Linear </w:t>
            </w:r>
            <w:r w:rsidR="005547DD">
              <w:t>e</w:t>
            </w:r>
            <w:r w:rsidRPr="00194527">
              <w:t xml:space="preserve">limination </w:t>
            </w:r>
            <w:r w:rsidR="005547DD">
              <w:t>c</w:t>
            </w:r>
            <w:r w:rsidRPr="00194527">
              <w:t xml:space="preserve">learance (L/day) </w:t>
            </w:r>
          </w:p>
        </w:tc>
        <w:tc>
          <w:tcPr>
            <w:tcW w:w="2430" w:type="dxa"/>
          </w:tcPr>
          <w:p w14:paraId="0902869E" w14:textId="77777777" w:rsidR="00F07710" w:rsidRPr="00194527" w:rsidRDefault="00F07710" w:rsidP="00C448E8">
            <w:pPr>
              <w:pStyle w:val="Paragraph"/>
              <w:rPr>
                <w:lang w:eastAsia="zh-CN"/>
              </w:rPr>
            </w:pPr>
            <w:r w:rsidRPr="00194527">
              <w:rPr>
                <w:lang w:eastAsia="zh-CN"/>
              </w:rPr>
              <w:t>0.2 (24)</w:t>
            </w:r>
          </w:p>
        </w:tc>
        <w:tc>
          <w:tcPr>
            <w:tcW w:w="2431" w:type="dxa"/>
          </w:tcPr>
          <w:p w14:paraId="40F31132" w14:textId="77777777" w:rsidR="00F07710" w:rsidRPr="00194527" w:rsidRDefault="00F07710" w:rsidP="00C448E8">
            <w:pPr>
              <w:pStyle w:val="Paragraph"/>
              <w:rPr>
                <w:lang w:eastAsia="zh-CN"/>
              </w:rPr>
            </w:pPr>
            <w:r w:rsidRPr="00194527">
              <w:rPr>
                <w:lang w:eastAsia="zh-CN"/>
              </w:rPr>
              <w:t>0.1 (30)</w:t>
            </w:r>
          </w:p>
        </w:tc>
      </w:tr>
      <w:tr w:rsidR="00F07710" w:rsidRPr="00194527" w14:paraId="3DEF547B" w14:textId="77777777" w:rsidTr="00DC722C">
        <w:tc>
          <w:tcPr>
            <w:tcW w:w="4320" w:type="dxa"/>
          </w:tcPr>
          <w:p w14:paraId="1A4D6D5D" w14:textId="57CD7863" w:rsidR="00F07710" w:rsidRPr="00194527" w:rsidRDefault="00F07710" w:rsidP="00C448E8">
            <w:pPr>
              <w:pStyle w:val="Paragraph"/>
              <w:ind w:left="288"/>
              <w:rPr>
                <w:lang w:eastAsia="zh-CN"/>
              </w:rPr>
            </w:pPr>
            <w:r w:rsidRPr="00194527">
              <w:t xml:space="preserve">Non-linear </w:t>
            </w:r>
            <w:r w:rsidR="005547DD">
              <w:t>e</w:t>
            </w:r>
            <w:r w:rsidRPr="00194527">
              <w:t>limination V</w:t>
            </w:r>
            <w:r w:rsidRPr="00194527">
              <w:rPr>
                <w:vertAlign w:val="subscript"/>
              </w:rPr>
              <w:t>max</w:t>
            </w:r>
            <w:r w:rsidRPr="00194527">
              <w:t xml:space="preserve"> (mg/day) </w:t>
            </w:r>
          </w:p>
        </w:tc>
        <w:tc>
          <w:tcPr>
            <w:tcW w:w="2430" w:type="dxa"/>
          </w:tcPr>
          <w:p w14:paraId="27693C43" w14:textId="77777777" w:rsidR="00F07710" w:rsidRPr="00194527" w:rsidRDefault="00F07710" w:rsidP="00C448E8">
            <w:pPr>
              <w:pStyle w:val="Paragraph"/>
              <w:rPr>
                <w:lang w:eastAsia="zh-CN"/>
              </w:rPr>
            </w:pPr>
            <w:r w:rsidRPr="00194527">
              <w:rPr>
                <w:lang w:eastAsia="zh-CN"/>
              </w:rPr>
              <w:t>N/A</w:t>
            </w:r>
          </w:p>
        </w:tc>
        <w:tc>
          <w:tcPr>
            <w:tcW w:w="2431" w:type="dxa"/>
          </w:tcPr>
          <w:p w14:paraId="0B39A804" w14:textId="77777777" w:rsidR="00F07710" w:rsidRPr="00194527" w:rsidRDefault="00F07710" w:rsidP="00C448E8">
            <w:pPr>
              <w:pStyle w:val="Paragraph"/>
              <w:rPr>
                <w:lang w:eastAsia="zh-CN"/>
              </w:rPr>
            </w:pPr>
            <w:r w:rsidRPr="00194527">
              <w:rPr>
                <w:lang w:eastAsia="zh-CN"/>
              </w:rPr>
              <w:t>12 (20)</w:t>
            </w:r>
          </w:p>
        </w:tc>
      </w:tr>
      <w:tr w:rsidR="00F07710" w:rsidRPr="00194527" w14:paraId="38DF5ACA" w14:textId="77777777" w:rsidTr="00DC722C">
        <w:tc>
          <w:tcPr>
            <w:tcW w:w="4320" w:type="dxa"/>
          </w:tcPr>
          <w:p w14:paraId="2188C0E9" w14:textId="00904D47" w:rsidR="00F07710" w:rsidRPr="008C1903" w:rsidRDefault="00F07710" w:rsidP="00C448E8">
            <w:pPr>
              <w:pStyle w:val="Paragraph"/>
              <w:ind w:left="288"/>
              <w:rPr>
                <w:lang w:val="it-IT" w:eastAsia="zh-CN"/>
              </w:rPr>
            </w:pPr>
            <w:r w:rsidRPr="008C1903">
              <w:rPr>
                <w:lang w:val="it-IT"/>
              </w:rPr>
              <w:t xml:space="preserve">Non-linear </w:t>
            </w:r>
            <w:r w:rsidR="005547DD" w:rsidRPr="008C1903">
              <w:rPr>
                <w:lang w:val="it-IT"/>
              </w:rPr>
              <w:t>e</w:t>
            </w:r>
            <w:r w:rsidRPr="008C1903">
              <w:rPr>
                <w:lang w:val="it-IT"/>
              </w:rPr>
              <w:t>limination K</w:t>
            </w:r>
            <w:r w:rsidRPr="008C1903">
              <w:rPr>
                <w:vertAlign w:val="subscript"/>
                <w:lang w:val="it-IT"/>
              </w:rPr>
              <w:t>m</w:t>
            </w:r>
            <w:r w:rsidRPr="008C1903">
              <w:rPr>
                <w:lang w:val="it-IT"/>
              </w:rPr>
              <w:t xml:space="preserve"> (mg/L) </w:t>
            </w:r>
          </w:p>
        </w:tc>
        <w:tc>
          <w:tcPr>
            <w:tcW w:w="2430" w:type="dxa"/>
          </w:tcPr>
          <w:p w14:paraId="165D7666" w14:textId="77777777" w:rsidR="00F07710" w:rsidRPr="00194527" w:rsidRDefault="00F07710" w:rsidP="00C448E8">
            <w:pPr>
              <w:pStyle w:val="Paragraph"/>
              <w:rPr>
                <w:lang w:eastAsia="zh-CN"/>
              </w:rPr>
            </w:pPr>
            <w:r w:rsidRPr="00194527">
              <w:rPr>
                <w:lang w:eastAsia="zh-CN"/>
              </w:rPr>
              <w:t>N/A</w:t>
            </w:r>
          </w:p>
        </w:tc>
        <w:tc>
          <w:tcPr>
            <w:tcW w:w="2431" w:type="dxa"/>
          </w:tcPr>
          <w:p w14:paraId="1A93F309" w14:textId="77777777" w:rsidR="00F07710" w:rsidRPr="00194527" w:rsidRDefault="00F07710" w:rsidP="00C448E8">
            <w:pPr>
              <w:pStyle w:val="Paragraph"/>
              <w:rPr>
                <w:lang w:eastAsia="zh-CN"/>
              </w:rPr>
            </w:pPr>
            <w:r w:rsidRPr="00194527">
              <w:rPr>
                <w:lang w:eastAsia="zh-CN"/>
              </w:rPr>
              <w:t>34 (39)</w:t>
            </w:r>
          </w:p>
        </w:tc>
      </w:tr>
    </w:tbl>
    <w:p w14:paraId="6BAACBE6" w14:textId="77777777" w:rsidR="00F07710" w:rsidRDefault="00F07710" w:rsidP="00C448E8">
      <w:pPr>
        <w:pStyle w:val="CM30"/>
        <w:rPr>
          <w:color w:val="000000"/>
          <w:sz w:val="20"/>
          <w:szCs w:val="20"/>
        </w:rPr>
      </w:pPr>
      <w:r>
        <w:rPr>
          <w:i/>
          <w:iCs/>
          <w:color w:val="000000"/>
          <w:sz w:val="13"/>
          <w:szCs w:val="13"/>
        </w:rPr>
        <w:t xml:space="preserve">* </w:t>
      </w:r>
      <w:r>
        <w:rPr>
          <w:color w:val="000000"/>
          <w:sz w:val="20"/>
          <w:szCs w:val="20"/>
        </w:rPr>
        <w:t xml:space="preserve">Parameters represented as </w:t>
      </w:r>
      <w:r w:rsidRPr="00142A47">
        <w:rPr>
          <w:color w:val="000000"/>
          <w:sz w:val="20"/>
          <w:szCs w:val="20"/>
        </w:rPr>
        <w:t>population mean (</w:t>
      </w:r>
      <w:proofErr w:type="spellStart"/>
      <w:r w:rsidRPr="00142A47">
        <w:rPr>
          <w:color w:val="000000"/>
          <w:sz w:val="20"/>
          <w:szCs w:val="20"/>
        </w:rPr>
        <w:t>intersubject</w:t>
      </w:r>
      <w:proofErr w:type="spellEnd"/>
      <w:r w:rsidRPr="00142A47">
        <w:rPr>
          <w:color w:val="000000"/>
          <w:sz w:val="20"/>
          <w:szCs w:val="20"/>
        </w:rPr>
        <w:t xml:space="preserve"> variability) </w:t>
      </w:r>
      <w:r>
        <w:rPr>
          <w:color w:val="000000"/>
          <w:sz w:val="20"/>
          <w:szCs w:val="20"/>
        </w:rPr>
        <w:t xml:space="preserve">unless otherwise specified </w:t>
      </w:r>
    </w:p>
    <w:p w14:paraId="125D3290" w14:textId="3AF15211" w:rsidR="00F07710" w:rsidRDefault="00F07710" w:rsidP="00C448E8">
      <w:pPr>
        <w:pStyle w:val="Default"/>
        <w:rPr>
          <w:sz w:val="20"/>
          <w:szCs w:val="16"/>
          <w:lang w:eastAsia="zh-CN"/>
        </w:rPr>
      </w:pPr>
      <w:r w:rsidRPr="0010332D">
        <w:rPr>
          <w:sz w:val="20"/>
          <w:szCs w:val="16"/>
          <w:vertAlign w:val="superscript"/>
          <w:lang w:eastAsia="zh-CN"/>
        </w:rPr>
        <w:t>a</w:t>
      </w:r>
      <w:r>
        <w:rPr>
          <w:sz w:val="20"/>
          <w:szCs w:val="16"/>
          <w:vertAlign w:val="superscript"/>
          <w:lang w:eastAsia="zh-CN"/>
        </w:rPr>
        <w:t xml:space="preserve"> </w:t>
      </w:r>
      <w:r w:rsidRPr="0010332D">
        <w:rPr>
          <w:sz w:val="20"/>
          <w:szCs w:val="16"/>
          <w:lang w:eastAsia="zh-CN"/>
        </w:rPr>
        <w:t xml:space="preserve">Parameters </w:t>
      </w:r>
      <w:r>
        <w:rPr>
          <w:sz w:val="20"/>
          <w:szCs w:val="16"/>
          <w:lang w:eastAsia="zh-CN"/>
        </w:rPr>
        <w:t xml:space="preserve">obtained from </w:t>
      </w:r>
      <w:r w:rsidR="005547DD">
        <w:rPr>
          <w:sz w:val="20"/>
          <w:szCs w:val="20"/>
        </w:rPr>
        <w:t>FEDERICA</w:t>
      </w:r>
      <w:r>
        <w:rPr>
          <w:sz w:val="20"/>
          <w:szCs w:val="20"/>
        </w:rPr>
        <w:t xml:space="preserve"> </w:t>
      </w:r>
      <w:r w:rsidRPr="0010332D">
        <w:rPr>
          <w:sz w:val="20"/>
          <w:szCs w:val="16"/>
          <w:lang w:eastAsia="zh-CN"/>
        </w:rPr>
        <w:t>population PK model</w:t>
      </w:r>
      <w:r>
        <w:rPr>
          <w:sz w:val="20"/>
          <w:szCs w:val="16"/>
          <w:lang w:eastAsia="zh-CN"/>
        </w:rPr>
        <w:t xml:space="preserve"> </w:t>
      </w:r>
      <w:r>
        <w:rPr>
          <w:sz w:val="20"/>
          <w:szCs w:val="20"/>
        </w:rPr>
        <w:t>unless otherwise specified</w:t>
      </w:r>
    </w:p>
    <w:p w14:paraId="1C698978" w14:textId="77777777" w:rsidR="00F07710" w:rsidRPr="0010332D" w:rsidRDefault="00F07710" w:rsidP="00C448E8">
      <w:pPr>
        <w:pStyle w:val="Default"/>
        <w:rPr>
          <w:sz w:val="20"/>
          <w:szCs w:val="16"/>
          <w:lang w:eastAsia="zh-CN"/>
        </w:rPr>
      </w:pPr>
      <w:r>
        <w:rPr>
          <w:sz w:val="20"/>
          <w:szCs w:val="16"/>
          <w:vertAlign w:val="superscript"/>
          <w:lang w:eastAsia="zh-CN"/>
        </w:rPr>
        <w:t xml:space="preserve">b </w:t>
      </w:r>
      <w:r w:rsidRPr="00AC02AB">
        <w:rPr>
          <w:sz w:val="20"/>
          <w:szCs w:val="16"/>
          <w:lang w:eastAsia="zh-CN"/>
        </w:rPr>
        <w:t xml:space="preserve">Parameters </w:t>
      </w:r>
      <w:r>
        <w:rPr>
          <w:sz w:val="20"/>
          <w:szCs w:val="16"/>
          <w:lang w:eastAsia="zh-CN"/>
        </w:rPr>
        <w:t>obtained from subcutaneous trastuzumab</w:t>
      </w:r>
      <w:r w:rsidRPr="0010332D">
        <w:rPr>
          <w:sz w:val="20"/>
          <w:szCs w:val="16"/>
          <w:lang w:eastAsia="zh-CN"/>
        </w:rPr>
        <w:t xml:space="preserve"> population PK model</w:t>
      </w:r>
      <w:r>
        <w:rPr>
          <w:sz w:val="20"/>
          <w:szCs w:val="16"/>
          <w:lang w:eastAsia="zh-CN"/>
        </w:rPr>
        <w:t xml:space="preserve"> </w:t>
      </w:r>
      <w:r>
        <w:rPr>
          <w:sz w:val="20"/>
          <w:szCs w:val="20"/>
        </w:rPr>
        <w:t>unless otherwise specified</w:t>
      </w:r>
    </w:p>
    <w:p w14:paraId="17CB7B31" w14:textId="77777777" w:rsidR="00F07710" w:rsidRDefault="00F07710" w:rsidP="00C448E8">
      <w:pPr>
        <w:pStyle w:val="CM30"/>
        <w:rPr>
          <w:color w:val="000000"/>
          <w:sz w:val="20"/>
          <w:szCs w:val="20"/>
        </w:rPr>
      </w:pPr>
      <w:r>
        <w:rPr>
          <w:i/>
          <w:iCs/>
          <w:color w:val="000000"/>
          <w:sz w:val="12"/>
          <w:szCs w:val="12"/>
        </w:rPr>
        <w:t xml:space="preserve">† </w:t>
      </w:r>
      <w:r>
        <w:rPr>
          <w:color w:val="000000"/>
          <w:sz w:val="20"/>
          <w:szCs w:val="20"/>
        </w:rPr>
        <w:t xml:space="preserve">Residual standard error </w:t>
      </w:r>
    </w:p>
    <w:p w14:paraId="7441BBEC" w14:textId="56E635A2" w:rsidR="00F07710" w:rsidRDefault="00F07710" w:rsidP="00C448E8">
      <w:pPr>
        <w:rPr>
          <w:u w:val="single"/>
          <w:lang w:eastAsia="de-DE"/>
        </w:rPr>
      </w:pPr>
      <w:r>
        <w:rPr>
          <w:i/>
          <w:iCs/>
          <w:sz w:val="12"/>
          <w:szCs w:val="12"/>
        </w:rPr>
        <w:t xml:space="preserve">‡ </w:t>
      </w:r>
      <w:r>
        <w:rPr>
          <w:sz w:val="20"/>
          <w:szCs w:val="20"/>
        </w:rPr>
        <w:t xml:space="preserve">Median (range) values from </w:t>
      </w:r>
      <w:r w:rsidR="005547DD">
        <w:rPr>
          <w:sz w:val="20"/>
          <w:szCs w:val="20"/>
        </w:rPr>
        <w:t>FEDERICA</w:t>
      </w:r>
      <w:r>
        <w:rPr>
          <w:sz w:val="20"/>
          <w:szCs w:val="20"/>
        </w:rPr>
        <w:t xml:space="preserve"> study</w:t>
      </w:r>
    </w:p>
    <w:p w14:paraId="02783632" w14:textId="77777777" w:rsidR="00F07710" w:rsidRPr="005E3242" w:rsidRDefault="00F07710" w:rsidP="00C448E8">
      <w:pPr>
        <w:rPr>
          <w:color w:val="auto"/>
          <w:lang w:val="en-US"/>
        </w:rPr>
      </w:pPr>
    </w:p>
    <w:p w14:paraId="657E18DC" w14:textId="77777777" w:rsidR="00D52399" w:rsidRPr="005E3242" w:rsidRDefault="00615052" w:rsidP="00C448E8">
      <w:pPr>
        <w:pStyle w:val="Heading3"/>
        <w:spacing w:before="0"/>
        <w:rPr>
          <w:color w:val="auto"/>
        </w:rPr>
      </w:pPr>
      <w:r w:rsidRPr="005E3242">
        <w:rPr>
          <w:color w:val="auto"/>
        </w:rPr>
        <w:t>Absorption</w:t>
      </w:r>
    </w:p>
    <w:p w14:paraId="318C92FA" w14:textId="77777777" w:rsidR="0078210D" w:rsidRPr="005E3242" w:rsidRDefault="0078210D" w:rsidP="00C448E8">
      <w:pPr>
        <w:rPr>
          <w:color w:val="auto"/>
          <w:lang w:val="en-US"/>
        </w:rPr>
      </w:pPr>
      <w:r w:rsidRPr="005E3242">
        <w:rPr>
          <w:color w:val="auto"/>
          <w:lang w:val="en-US"/>
        </w:rPr>
        <w:t>The median maximum serum concentration (</w:t>
      </w:r>
      <w:proofErr w:type="spellStart"/>
      <w:r w:rsidRPr="005E3242">
        <w:rPr>
          <w:color w:val="auto"/>
          <w:lang w:val="en-US"/>
        </w:rPr>
        <w:t>C</w:t>
      </w:r>
      <w:r w:rsidRPr="005E3242">
        <w:rPr>
          <w:color w:val="auto"/>
          <w:vertAlign w:val="subscript"/>
          <w:lang w:val="en-US"/>
        </w:rPr>
        <w:t>max</w:t>
      </w:r>
      <w:proofErr w:type="spellEnd"/>
      <w:r w:rsidRPr="005E3242">
        <w:rPr>
          <w:color w:val="auto"/>
          <w:lang w:val="en-US"/>
        </w:rPr>
        <w:t xml:space="preserve">) of </w:t>
      </w:r>
      <w:proofErr w:type="spellStart"/>
      <w:r w:rsidRPr="005E3242">
        <w:rPr>
          <w:color w:val="auto"/>
          <w:lang w:val="en-US"/>
        </w:rPr>
        <w:t>pertuzumab</w:t>
      </w:r>
      <w:proofErr w:type="spellEnd"/>
      <w:r w:rsidRPr="005E3242">
        <w:rPr>
          <w:color w:val="auto"/>
          <w:lang w:val="en-US"/>
        </w:rPr>
        <w:t xml:space="preserve"> within </w:t>
      </w:r>
      <w:proofErr w:type="spellStart"/>
      <w:r w:rsidR="00191B0B">
        <w:rPr>
          <w:color w:val="auto"/>
          <w:lang w:val="en-US"/>
        </w:rPr>
        <w:t>Phesgo</w:t>
      </w:r>
      <w:proofErr w:type="spellEnd"/>
      <w:r w:rsidRPr="005E3242">
        <w:rPr>
          <w:color w:val="auto"/>
          <w:lang w:val="en-US"/>
        </w:rPr>
        <w:t xml:space="preserve"> and time to maximal concentration (</w:t>
      </w:r>
      <w:proofErr w:type="spellStart"/>
      <w:r w:rsidRPr="005E3242">
        <w:rPr>
          <w:color w:val="auto"/>
          <w:lang w:val="en-US"/>
        </w:rPr>
        <w:t>T</w:t>
      </w:r>
      <w:r w:rsidRPr="005E3242">
        <w:rPr>
          <w:color w:val="auto"/>
          <w:vertAlign w:val="subscript"/>
          <w:lang w:val="en-US"/>
        </w:rPr>
        <w:t>max</w:t>
      </w:r>
      <w:proofErr w:type="spellEnd"/>
      <w:r w:rsidRPr="005E3242">
        <w:rPr>
          <w:color w:val="auto"/>
          <w:lang w:val="en-US"/>
        </w:rPr>
        <w:t xml:space="preserve">) were 157 ug/mL and 3.82 days, </w:t>
      </w:r>
      <w:r w:rsidR="00271DBF">
        <w:rPr>
          <w:color w:val="auto"/>
          <w:lang w:val="en-US"/>
        </w:rPr>
        <w:t>respectively</w:t>
      </w:r>
      <w:r w:rsidRPr="005E3242">
        <w:rPr>
          <w:color w:val="auto"/>
          <w:lang w:val="en-US"/>
        </w:rPr>
        <w:t>. Based on population PK analysis, the absolute bioavailability was 0.712 and the first-order absorption rate (K</w:t>
      </w:r>
      <w:r w:rsidRPr="005E3242">
        <w:rPr>
          <w:color w:val="auto"/>
          <w:vertAlign w:val="subscript"/>
          <w:lang w:val="en-US"/>
        </w:rPr>
        <w:t>a</w:t>
      </w:r>
      <w:r w:rsidR="00271DBF">
        <w:rPr>
          <w:color w:val="auto"/>
          <w:lang w:val="en-US"/>
        </w:rPr>
        <w:t>) is 0.348 (1/day)</w:t>
      </w:r>
      <w:r w:rsidRPr="005E3242">
        <w:rPr>
          <w:color w:val="auto"/>
          <w:lang w:val="en-US"/>
        </w:rPr>
        <w:t xml:space="preserve">. </w:t>
      </w:r>
    </w:p>
    <w:p w14:paraId="78EF5F9A" w14:textId="77777777" w:rsidR="0078210D" w:rsidRPr="005E3242" w:rsidRDefault="0078210D" w:rsidP="00C448E8">
      <w:pPr>
        <w:rPr>
          <w:color w:val="auto"/>
          <w:lang w:val="en-US"/>
        </w:rPr>
      </w:pPr>
    </w:p>
    <w:p w14:paraId="12338E89" w14:textId="77777777" w:rsidR="00D52399" w:rsidRPr="005E3242" w:rsidRDefault="0078210D" w:rsidP="00C448E8">
      <w:pPr>
        <w:rPr>
          <w:color w:val="auto"/>
        </w:rPr>
      </w:pPr>
      <w:r w:rsidRPr="005E3242">
        <w:rPr>
          <w:color w:val="auto"/>
          <w:lang w:val="en-US"/>
        </w:rPr>
        <w:t>The median maximum serum concentration (</w:t>
      </w:r>
      <w:proofErr w:type="spellStart"/>
      <w:r w:rsidRPr="005E3242">
        <w:rPr>
          <w:color w:val="auto"/>
          <w:lang w:val="en-US"/>
        </w:rPr>
        <w:t>C</w:t>
      </w:r>
      <w:r w:rsidRPr="005E3242">
        <w:rPr>
          <w:color w:val="auto"/>
          <w:vertAlign w:val="subscript"/>
          <w:lang w:val="en-US"/>
        </w:rPr>
        <w:t>max</w:t>
      </w:r>
      <w:proofErr w:type="spellEnd"/>
      <w:r w:rsidRPr="005E3242">
        <w:rPr>
          <w:color w:val="auto"/>
          <w:lang w:val="en-US"/>
        </w:rPr>
        <w:t xml:space="preserve">) of trastuzumab within </w:t>
      </w:r>
      <w:proofErr w:type="spellStart"/>
      <w:r w:rsidR="00191B0B">
        <w:rPr>
          <w:color w:val="auto"/>
          <w:lang w:val="en-US"/>
        </w:rPr>
        <w:t>Phesgo</w:t>
      </w:r>
      <w:proofErr w:type="spellEnd"/>
      <w:r w:rsidRPr="005E3242">
        <w:rPr>
          <w:color w:val="auto"/>
          <w:lang w:val="en-US"/>
        </w:rPr>
        <w:t xml:space="preserve"> and time to maximal concentration (</w:t>
      </w:r>
      <w:proofErr w:type="spellStart"/>
      <w:r w:rsidRPr="005E3242">
        <w:rPr>
          <w:color w:val="auto"/>
          <w:lang w:val="en-US"/>
        </w:rPr>
        <w:t>T</w:t>
      </w:r>
      <w:r w:rsidRPr="005E3242">
        <w:rPr>
          <w:color w:val="auto"/>
          <w:vertAlign w:val="subscript"/>
          <w:lang w:val="en-US"/>
        </w:rPr>
        <w:t>max</w:t>
      </w:r>
      <w:proofErr w:type="spellEnd"/>
      <w:r w:rsidRPr="005E3242">
        <w:rPr>
          <w:color w:val="auto"/>
          <w:lang w:val="en-US"/>
        </w:rPr>
        <w:t xml:space="preserve">) were 117 ug/mL </w:t>
      </w:r>
      <w:r w:rsidR="00271DBF">
        <w:rPr>
          <w:color w:val="auto"/>
          <w:lang w:val="en-US"/>
        </w:rPr>
        <w:t>and 3.85 days, respectively</w:t>
      </w:r>
      <w:r w:rsidRPr="005E3242">
        <w:rPr>
          <w:color w:val="auto"/>
          <w:lang w:val="en-US"/>
        </w:rPr>
        <w:t>. Based on population PK analysis, the absolute bioavailability was 0.771 and the first-order absorption rate (K</w:t>
      </w:r>
      <w:r w:rsidRPr="005E3242">
        <w:rPr>
          <w:color w:val="auto"/>
          <w:vertAlign w:val="subscript"/>
          <w:lang w:val="en-US"/>
        </w:rPr>
        <w:t>a</w:t>
      </w:r>
      <w:r w:rsidR="00271DBF">
        <w:rPr>
          <w:color w:val="auto"/>
          <w:lang w:val="en-US"/>
        </w:rPr>
        <w:t>) is 0.404 (1/day)</w:t>
      </w:r>
      <w:r w:rsidRPr="005E3242">
        <w:rPr>
          <w:color w:val="auto"/>
          <w:lang w:val="en-US"/>
        </w:rPr>
        <w:t>.</w:t>
      </w:r>
    </w:p>
    <w:p w14:paraId="5EEFCD59" w14:textId="77777777" w:rsidR="00D52399" w:rsidRPr="005E3242" w:rsidRDefault="00615052" w:rsidP="00C448E8">
      <w:pPr>
        <w:pStyle w:val="Heading3"/>
        <w:rPr>
          <w:color w:val="auto"/>
        </w:rPr>
      </w:pPr>
      <w:r w:rsidRPr="005E3242">
        <w:rPr>
          <w:color w:val="auto"/>
        </w:rPr>
        <w:t>Distribution</w:t>
      </w:r>
    </w:p>
    <w:p w14:paraId="30A5B649" w14:textId="77777777" w:rsidR="0078210D" w:rsidRPr="005E3242" w:rsidRDefault="0078210D" w:rsidP="00C448E8">
      <w:pPr>
        <w:rPr>
          <w:color w:val="auto"/>
          <w:lang w:val="en-US"/>
        </w:rPr>
      </w:pPr>
      <w:r w:rsidRPr="005E3242">
        <w:rPr>
          <w:color w:val="auto"/>
          <w:lang w:val="en-US"/>
        </w:rPr>
        <w:t>Based on population PK analysis, the volume of distribution of the central (</w:t>
      </w:r>
      <w:proofErr w:type="spellStart"/>
      <w:r w:rsidRPr="005E3242">
        <w:rPr>
          <w:color w:val="auto"/>
          <w:lang w:val="en-US"/>
        </w:rPr>
        <w:t>Vc</w:t>
      </w:r>
      <w:proofErr w:type="spellEnd"/>
      <w:r w:rsidRPr="005E3242">
        <w:rPr>
          <w:color w:val="auto"/>
          <w:lang w:val="en-US"/>
        </w:rPr>
        <w:t xml:space="preserve">) compartment of </w:t>
      </w:r>
      <w:proofErr w:type="spellStart"/>
      <w:r w:rsidRPr="005E3242">
        <w:rPr>
          <w:color w:val="auto"/>
          <w:lang w:val="en-US"/>
        </w:rPr>
        <w:t>pertuzumab</w:t>
      </w:r>
      <w:proofErr w:type="spellEnd"/>
      <w:r w:rsidRPr="005E3242">
        <w:rPr>
          <w:color w:val="auto"/>
          <w:lang w:val="en-US"/>
        </w:rPr>
        <w:t xml:space="preserve"> within </w:t>
      </w:r>
      <w:proofErr w:type="spellStart"/>
      <w:r w:rsidR="00191B0B">
        <w:rPr>
          <w:color w:val="auto"/>
          <w:lang w:val="en-US"/>
        </w:rPr>
        <w:t>Phesgo</w:t>
      </w:r>
      <w:proofErr w:type="spellEnd"/>
      <w:r w:rsidRPr="005E3242">
        <w:rPr>
          <w:color w:val="auto"/>
          <w:lang w:val="en-US"/>
        </w:rPr>
        <w:t xml:space="preserve"> in the </w:t>
      </w:r>
      <w:r w:rsidR="00271DBF">
        <w:rPr>
          <w:color w:val="auto"/>
          <w:lang w:val="en-US"/>
        </w:rPr>
        <w:t>typical patient, was 2.77 L</w:t>
      </w:r>
      <w:r w:rsidRPr="005E3242">
        <w:rPr>
          <w:color w:val="auto"/>
          <w:lang w:val="en-US"/>
        </w:rPr>
        <w:t xml:space="preserve">. </w:t>
      </w:r>
    </w:p>
    <w:p w14:paraId="4BC23F49" w14:textId="58A47CE3" w:rsidR="0078210D" w:rsidRPr="005E3242" w:rsidRDefault="0078210D" w:rsidP="00C448E8">
      <w:pPr>
        <w:rPr>
          <w:color w:val="auto"/>
        </w:rPr>
      </w:pPr>
      <w:r w:rsidRPr="005E3242">
        <w:rPr>
          <w:color w:val="auto"/>
          <w:lang w:val="en-US"/>
        </w:rPr>
        <w:t>Based on population PK analysis, the volume of distribution of the central (</w:t>
      </w:r>
      <w:proofErr w:type="spellStart"/>
      <w:r w:rsidRPr="005E3242">
        <w:rPr>
          <w:color w:val="auto"/>
          <w:lang w:val="en-US"/>
        </w:rPr>
        <w:t>Vc</w:t>
      </w:r>
      <w:proofErr w:type="spellEnd"/>
      <w:r w:rsidRPr="005E3242">
        <w:rPr>
          <w:color w:val="auto"/>
          <w:lang w:val="en-US"/>
        </w:rPr>
        <w:t>) compartment of subcutaneous trastuzumab in the typical patient, was 2.91 L</w:t>
      </w:r>
      <w:r w:rsidR="004B1292">
        <w:rPr>
          <w:color w:val="auto"/>
        </w:rPr>
        <w:t>.</w:t>
      </w:r>
    </w:p>
    <w:p w14:paraId="1E33E90C" w14:textId="77777777" w:rsidR="00C448E8" w:rsidRDefault="00C448E8" w:rsidP="00C448E8">
      <w:pPr>
        <w:pStyle w:val="Heading3"/>
      </w:pPr>
    </w:p>
    <w:p w14:paraId="7602BCF1" w14:textId="778E03C7" w:rsidR="00BA0878" w:rsidRPr="005E3242" w:rsidRDefault="00BA0878" w:rsidP="00C448E8">
      <w:pPr>
        <w:pStyle w:val="Heading3"/>
      </w:pPr>
      <w:r w:rsidRPr="005E3242">
        <w:lastRenderedPageBreak/>
        <w:t>Metabolism</w:t>
      </w:r>
    </w:p>
    <w:p w14:paraId="34C59F84" w14:textId="39580607" w:rsidR="0078210D" w:rsidRPr="005E3242" w:rsidRDefault="0078210D" w:rsidP="00C448E8">
      <w:pPr>
        <w:rPr>
          <w:color w:val="auto"/>
        </w:rPr>
      </w:pPr>
      <w:r w:rsidRPr="005E3242">
        <w:rPr>
          <w:color w:val="auto"/>
        </w:rPr>
        <w:t xml:space="preserve">The metabolism of </w:t>
      </w:r>
      <w:proofErr w:type="spellStart"/>
      <w:r w:rsidR="00191B0B">
        <w:rPr>
          <w:color w:val="auto"/>
        </w:rPr>
        <w:t>Phesgo</w:t>
      </w:r>
      <w:proofErr w:type="spellEnd"/>
      <w:r w:rsidRPr="005E3242">
        <w:rPr>
          <w:color w:val="auto"/>
        </w:rPr>
        <w:t xml:space="preserve"> has not been directly studied. Antibodies are cleared principally by catabolism.</w:t>
      </w:r>
    </w:p>
    <w:p w14:paraId="1C856851" w14:textId="77777777" w:rsidR="00BA0878" w:rsidRPr="005E3242" w:rsidRDefault="00BA0878" w:rsidP="00C448E8">
      <w:pPr>
        <w:pStyle w:val="Heading3"/>
      </w:pPr>
      <w:r w:rsidRPr="005E3242">
        <w:t>Excretion</w:t>
      </w:r>
    </w:p>
    <w:p w14:paraId="44FFAB57" w14:textId="39DEFC7A" w:rsidR="0078210D" w:rsidRDefault="0078210D" w:rsidP="00C448E8">
      <w:pPr>
        <w:rPr>
          <w:color w:val="auto"/>
          <w:lang w:val="en-US"/>
        </w:rPr>
      </w:pPr>
      <w:r w:rsidRPr="005E3242">
        <w:rPr>
          <w:color w:val="auto"/>
          <w:lang w:val="en-US"/>
        </w:rPr>
        <w:t xml:space="preserve">Based on population </w:t>
      </w:r>
      <w:r w:rsidR="00677CCB">
        <w:rPr>
          <w:color w:val="auto"/>
          <w:lang w:val="en-US"/>
        </w:rPr>
        <w:t>PK</w:t>
      </w:r>
      <w:r w:rsidR="00677CCB" w:rsidRPr="005E3242">
        <w:rPr>
          <w:color w:val="auto"/>
          <w:lang w:val="en-US"/>
        </w:rPr>
        <w:t xml:space="preserve"> </w:t>
      </w:r>
      <w:r w:rsidRPr="005E3242">
        <w:rPr>
          <w:color w:val="auto"/>
          <w:lang w:val="en-US"/>
        </w:rPr>
        <w:t xml:space="preserve">analysis, the clearance of </w:t>
      </w:r>
      <w:proofErr w:type="spellStart"/>
      <w:r w:rsidRPr="005E3242">
        <w:rPr>
          <w:color w:val="auto"/>
          <w:lang w:val="en-US"/>
        </w:rPr>
        <w:t>pertuzumab</w:t>
      </w:r>
      <w:proofErr w:type="spellEnd"/>
      <w:r w:rsidRPr="005E3242">
        <w:rPr>
          <w:color w:val="auto"/>
          <w:lang w:val="en-US"/>
        </w:rPr>
        <w:t xml:space="preserve"> within </w:t>
      </w:r>
      <w:proofErr w:type="spellStart"/>
      <w:r w:rsidR="00191B0B">
        <w:rPr>
          <w:color w:val="auto"/>
          <w:lang w:val="en-US"/>
        </w:rPr>
        <w:t>Phesgo</w:t>
      </w:r>
      <w:proofErr w:type="spellEnd"/>
      <w:r w:rsidRPr="005E3242">
        <w:rPr>
          <w:color w:val="auto"/>
          <w:lang w:val="en-US"/>
        </w:rPr>
        <w:t xml:space="preserve"> was 0.163 L/day and the elimination half-life (t</w:t>
      </w:r>
      <w:r w:rsidRPr="005E3242">
        <w:rPr>
          <w:color w:val="auto"/>
          <w:vertAlign w:val="subscript"/>
          <w:lang w:val="en-US"/>
        </w:rPr>
        <w:t>1/2</w:t>
      </w:r>
      <w:r w:rsidRPr="005E3242">
        <w:rPr>
          <w:color w:val="auto"/>
          <w:lang w:val="en-US"/>
        </w:rPr>
        <w:t xml:space="preserve">) </w:t>
      </w:r>
      <w:r w:rsidR="00271DBF">
        <w:rPr>
          <w:color w:val="auto"/>
          <w:lang w:val="en-US"/>
        </w:rPr>
        <w:t>was approximately 24.3 days</w:t>
      </w:r>
      <w:r w:rsidRPr="005E3242">
        <w:rPr>
          <w:color w:val="auto"/>
          <w:lang w:val="en-US"/>
        </w:rPr>
        <w:t xml:space="preserve">.  </w:t>
      </w:r>
    </w:p>
    <w:p w14:paraId="27C87C25" w14:textId="77777777" w:rsidR="00126BA6" w:rsidRPr="005E3242" w:rsidRDefault="00126BA6" w:rsidP="00C448E8">
      <w:pPr>
        <w:rPr>
          <w:color w:val="auto"/>
          <w:lang w:val="en-US"/>
        </w:rPr>
      </w:pPr>
    </w:p>
    <w:p w14:paraId="4DDA8518" w14:textId="47E4EB36" w:rsidR="0078210D" w:rsidRPr="005E3242" w:rsidRDefault="0078210D" w:rsidP="00C448E8">
      <w:pPr>
        <w:rPr>
          <w:color w:val="auto"/>
          <w:lang w:val="en-US"/>
        </w:rPr>
      </w:pPr>
      <w:r w:rsidRPr="005E3242">
        <w:rPr>
          <w:color w:val="auto"/>
          <w:lang w:val="en-US"/>
        </w:rPr>
        <w:t xml:space="preserve">Based on population pharmacokinetic analysis, the linear clearance of subcutaneous trastuzumab was 0.111 L/day. Trastuzumab is estimated to reach concentrations that are &lt;1 </w:t>
      </w:r>
      <w:proofErr w:type="spellStart"/>
      <w:r w:rsidRPr="005E3242">
        <w:rPr>
          <w:color w:val="auto"/>
          <w:lang w:val="en-US"/>
        </w:rPr>
        <w:t>μg</w:t>
      </w:r>
      <w:proofErr w:type="spellEnd"/>
      <w:r w:rsidRPr="005E3242">
        <w:rPr>
          <w:color w:val="auto"/>
          <w:lang w:val="en-US"/>
        </w:rPr>
        <w:t xml:space="preserve">/mL (approximately 3% of the population predicted </w:t>
      </w:r>
      <w:proofErr w:type="spellStart"/>
      <w:proofErr w:type="gramStart"/>
      <w:r w:rsidRPr="005E3242">
        <w:rPr>
          <w:color w:val="auto"/>
          <w:lang w:val="en-US"/>
        </w:rPr>
        <w:t>C</w:t>
      </w:r>
      <w:r w:rsidRPr="005E3242">
        <w:rPr>
          <w:color w:val="auto"/>
          <w:vertAlign w:val="subscript"/>
          <w:lang w:val="en-US"/>
        </w:rPr>
        <w:t>min,ss</w:t>
      </w:r>
      <w:proofErr w:type="spellEnd"/>
      <w:proofErr w:type="gramEnd"/>
      <w:r w:rsidRPr="005E3242">
        <w:rPr>
          <w:color w:val="auto"/>
          <w:lang w:val="en-US"/>
        </w:rPr>
        <w:t xml:space="preserve">, or about 97% washout) </w:t>
      </w:r>
      <w:r w:rsidR="00126BA6">
        <w:rPr>
          <w:color w:val="auto"/>
          <w:lang w:val="en-US"/>
        </w:rPr>
        <w:t xml:space="preserve">by </w:t>
      </w:r>
      <w:r w:rsidR="00126BA6" w:rsidRPr="005E3242">
        <w:rPr>
          <w:color w:val="auto"/>
          <w:lang w:val="en-US"/>
        </w:rPr>
        <w:t xml:space="preserve">7 </w:t>
      </w:r>
      <w:r w:rsidR="00126BA6">
        <w:rPr>
          <w:color w:val="auto"/>
          <w:lang w:val="en-US"/>
        </w:rPr>
        <w:t>months after the last dose</w:t>
      </w:r>
      <w:r w:rsidR="00126BA6" w:rsidRPr="005E3242">
        <w:rPr>
          <w:color w:val="auto"/>
          <w:lang w:val="en-US"/>
        </w:rPr>
        <w:t xml:space="preserve"> </w:t>
      </w:r>
      <w:r w:rsidRPr="005E3242">
        <w:rPr>
          <w:color w:val="auto"/>
          <w:lang w:val="en-US"/>
        </w:rPr>
        <w:t xml:space="preserve">in at least 95% </w:t>
      </w:r>
      <w:r w:rsidR="00126BA6">
        <w:rPr>
          <w:color w:val="auto"/>
          <w:lang w:val="en-US"/>
        </w:rPr>
        <w:t xml:space="preserve">of </w:t>
      </w:r>
      <w:r w:rsidRPr="005E3242">
        <w:rPr>
          <w:color w:val="auto"/>
          <w:lang w:val="en-US"/>
        </w:rPr>
        <w:t>patients.</w:t>
      </w:r>
    </w:p>
    <w:p w14:paraId="5330CFC5" w14:textId="56C87953" w:rsidR="0078210D" w:rsidRPr="005E3242" w:rsidRDefault="0078210D" w:rsidP="00C448E8">
      <w:pPr>
        <w:pStyle w:val="Heading3"/>
      </w:pPr>
      <w:r w:rsidRPr="005E3242">
        <w:t xml:space="preserve">Pharmacokinetics in </w:t>
      </w:r>
      <w:r w:rsidR="003C2CD3">
        <w:t>s</w:t>
      </w:r>
      <w:r w:rsidRPr="005E3242">
        <w:t xml:space="preserve">pecial </w:t>
      </w:r>
      <w:r w:rsidR="003C2CD3">
        <w:t>p</w:t>
      </w:r>
      <w:r w:rsidRPr="005E3242">
        <w:t xml:space="preserve">opulations </w:t>
      </w:r>
    </w:p>
    <w:p w14:paraId="129FA18B" w14:textId="0C3435CA" w:rsidR="0078210D" w:rsidRPr="001C68B6" w:rsidRDefault="0078210D" w:rsidP="00C448E8">
      <w:pPr>
        <w:pStyle w:val="Heading5"/>
        <w:rPr>
          <w:sz w:val="24"/>
          <w:lang w:val="en-US"/>
        </w:rPr>
      </w:pPr>
      <w:proofErr w:type="spellStart"/>
      <w:r w:rsidRPr="001C68B6">
        <w:rPr>
          <w:sz w:val="24"/>
          <w:lang w:val="en-US"/>
        </w:rPr>
        <w:t>P</w:t>
      </w:r>
      <w:r w:rsidR="003C2CD3" w:rsidRPr="001C68B6">
        <w:rPr>
          <w:sz w:val="24"/>
          <w:lang w:val="en-US"/>
        </w:rPr>
        <w:t>a</w:t>
      </w:r>
      <w:r w:rsidRPr="001C68B6">
        <w:rPr>
          <w:sz w:val="24"/>
          <w:lang w:val="en-US"/>
        </w:rPr>
        <w:t>ediatric</w:t>
      </w:r>
      <w:proofErr w:type="spellEnd"/>
      <w:r w:rsidRPr="001C68B6">
        <w:rPr>
          <w:sz w:val="24"/>
          <w:lang w:val="en-US"/>
        </w:rPr>
        <w:t xml:space="preserve"> </w:t>
      </w:r>
      <w:r w:rsidR="003C2CD3" w:rsidRPr="001C68B6">
        <w:rPr>
          <w:sz w:val="24"/>
          <w:lang w:val="en-US"/>
        </w:rPr>
        <w:t>p</w:t>
      </w:r>
      <w:r w:rsidRPr="001C68B6">
        <w:rPr>
          <w:sz w:val="24"/>
          <w:lang w:val="en-US"/>
        </w:rPr>
        <w:t>opulation</w:t>
      </w:r>
    </w:p>
    <w:p w14:paraId="0B5CD673" w14:textId="5B158E8B" w:rsidR="0078210D" w:rsidRPr="005E3242" w:rsidRDefault="00191B0B" w:rsidP="00C448E8">
      <w:pPr>
        <w:rPr>
          <w:color w:val="auto"/>
          <w:lang w:val="en-US"/>
        </w:rPr>
      </w:pPr>
      <w:proofErr w:type="spellStart"/>
      <w:r>
        <w:rPr>
          <w:color w:val="auto"/>
          <w:lang w:val="en-US"/>
        </w:rPr>
        <w:t>Phesgo</w:t>
      </w:r>
      <w:proofErr w:type="spellEnd"/>
      <w:r w:rsidR="00271DBF">
        <w:rPr>
          <w:color w:val="auto"/>
          <w:lang w:val="en-US"/>
        </w:rPr>
        <w:t> </w:t>
      </w:r>
      <w:r w:rsidR="003C2CD3">
        <w:rPr>
          <w:color w:val="auto"/>
          <w:lang w:val="en-US"/>
        </w:rPr>
        <w:t xml:space="preserve">has not been studied </w:t>
      </w:r>
      <w:r w:rsidR="00271DBF">
        <w:rPr>
          <w:color w:val="auto"/>
          <w:lang w:val="en-US"/>
        </w:rPr>
        <w:t xml:space="preserve">in </w:t>
      </w:r>
      <w:proofErr w:type="spellStart"/>
      <w:r w:rsidR="00271DBF">
        <w:rPr>
          <w:color w:val="auto"/>
          <w:lang w:val="en-US"/>
        </w:rPr>
        <w:t>p</w:t>
      </w:r>
      <w:r w:rsidR="003C2CD3">
        <w:rPr>
          <w:color w:val="auto"/>
          <w:lang w:val="en-US"/>
        </w:rPr>
        <w:t>a</w:t>
      </w:r>
      <w:r w:rsidR="00271DBF">
        <w:rPr>
          <w:color w:val="auto"/>
          <w:lang w:val="en-US"/>
        </w:rPr>
        <w:t>ediatric</w:t>
      </w:r>
      <w:proofErr w:type="spellEnd"/>
      <w:r w:rsidR="00271DBF">
        <w:rPr>
          <w:color w:val="auto"/>
          <w:lang w:val="en-US"/>
        </w:rPr>
        <w:t xml:space="preserve"> </w:t>
      </w:r>
      <w:r w:rsidR="003C2CD3">
        <w:rPr>
          <w:color w:val="auto"/>
          <w:lang w:val="en-US"/>
        </w:rPr>
        <w:t>patients</w:t>
      </w:r>
      <w:r w:rsidR="0078210D" w:rsidRPr="005E3242">
        <w:rPr>
          <w:color w:val="auto"/>
          <w:lang w:val="en-US"/>
        </w:rPr>
        <w:t xml:space="preserve">. </w:t>
      </w:r>
    </w:p>
    <w:p w14:paraId="039BA098" w14:textId="147D136B" w:rsidR="0078210D" w:rsidRPr="001C68B6" w:rsidRDefault="0078210D" w:rsidP="00C448E8">
      <w:pPr>
        <w:pStyle w:val="Heading5"/>
        <w:rPr>
          <w:sz w:val="24"/>
          <w:lang w:val="en-US"/>
        </w:rPr>
      </w:pPr>
      <w:r w:rsidRPr="001C68B6">
        <w:rPr>
          <w:sz w:val="24"/>
          <w:lang w:val="en-US"/>
        </w:rPr>
        <w:t xml:space="preserve">Geriatric </w:t>
      </w:r>
      <w:r w:rsidR="003C2CD3" w:rsidRPr="001C68B6">
        <w:rPr>
          <w:sz w:val="24"/>
          <w:lang w:val="en-US"/>
        </w:rPr>
        <w:t>p</w:t>
      </w:r>
      <w:r w:rsidRPr="001C68B6">
        <w:rPr>
          <w:sz w:val="24"/>
          <w:lang w:val="en-US"/>
        </w:rPr>
        <w:t>opulation</w:t>
      </w:r>
    </w:p>
    <w:p w14:paraId="3C532536" w14:textId="1D5E9FC1" w:rsidR="00816347" w:rsidRDefault="0078210D" w:rsidP="00C448E8">
      <w:pPr>
        <w:rPr>
          <w:color w:val="auto"/>
          <w:lang w:val="en-US"/>
        </w:rPr>
      </w:pPr>
      <w:r w:rsidRPr="005E3242">
        <w:rPr>
          <w:color w:val="auto"/>
          <w:lang w:val="en-US"/>
        </w:rPr>
        <w:t xml:space="preserve">No </w:t>
      </w:r>
      <w:r w:rsidR="0082348C">
        <w:rPr>
          <w:color w:val="auto"/>
          <w:lang w:val="en-US"/>
        </w:rPr>
        <w:t xml:space="preserve">dedicated </w:t>
      </w:r>
      <w:r w:rsidRPr="005E3242">
        <w:rPr>
          <w:color w:val="auto"/>
          <w:lang w:val="en-US"/>
        </w:rPr>
        <w:t>studies have been conducted to investigate the pharmacokinetics</w:t>
      </w:r>
      <w:r w:rsidR="003C2CD3">
        <w:rPr>
          <w:color w:val="auto"/>
          <w:lang w:val="en-US"/>
        </w:rPr>
        <w:t xml:space="preserve"> (PK)</w:t>
      </w:r>
      <w:r w:rsidRPr="005E3242">
        <w:rPr>
          <w:color w:val="auto"/>
          <w:lang w:val="en-US"/>
        </w:rPr>
        <w:t xml:space="preserve"> of </w:t>
      </w:r>
      <w:proofErr w:type="spellStart"/>
      <w:r w:rsidR="00191B0B">
        <w:rPr>
          <w:color w:val="auto"/>
          <w:lang w:val="en-US"/>
        </w:rPr>
        <w:t>Phesgo</w:t>
      </w:r>
      <w:proofErr w:type="spellEnd"/>
      <w:r w:rsidRPr="005E3242">
        <w:rPr>
          <w:color w:val="auto"/>
          <w:lang w:val="en-US"/>
        </w:rPr>
        <w:t xml:space="preserve"> in geriatric patients. </w:t>
      </w:r>
    </w:p>
    <w:p w14:paraId="693DC8F9" w14:textId="77777777" w:rsidR="00816347" w:rsidRPr="005E3242" w:rsidRDefault="00816347" w:rsidP="00C448E8">
      <w:pPr>
        <w:rPr>
          <w:color w:val="auto"/>
          <w:lang w:val="en-US"/>
        </w:rPr>
      </w:pPr>
    </w:p>
    <w:p w14:paraId="10DDE97E" w14:textId="09919628" w:rsidR="0078210D" w:rsidRPr="005E3242" w:rsidRDefault="0078210D" w:rsidP="00C448E8">
      <w:pPr>
        <w:rPr>
          <w:color w:val="auto"/>
          <w:lang w:val="en-US"/>
        </w:rPr>
      </w:pPr>
      <w:r w:rsidRPr="005E3242">
        <w:rPr>
          <w:color w:val="auto"/>
          <w:lang w:val="en-US"/>
        </w:rPr>
        <w:t>In population PK analyses</w:t>
      </w:r>
      <w:r w:rsidR="003C2CD3">
        <w:rPr>
          <w:color w:val="auto"/>
          <w:lang w:val="en-US"/>
        </w:rPr>
        <w:t xml:space="preserve">, </w:t>
      </w:r>
      <w:r w:rsidRPr="005E3242">
        <w:rPr>
          <w:color w:val="auto"/>
          <w:lang w:val="en-US"/>
        </w:rPr>
        <w:t xml:space="preserve">age </w:t>
      </w:r>
      <w:r w:rsidR="003C2CD3">
        <w:rPr>
          <w:color w:val="auto"/>
          <w:lang w:val="en-US"/>
        </w:rPr>
        <w:t>did not</w:t>
      </w:r>
      <w:r w:rsidRPr="005E3242">
        <w:rPr>
          <w:color w:val="auto"/>
          <w:lang w:val="en-US"/>
        </w:rPr>
        <w:t xml:space="preserve"> significantly a</w:t>
      </w:r>
      <w:r w:rsidR="00271DBF">
        <w:rPr>
          <w:color w:val="auto"/>
          <w:lang w:val="en-US"/>
        </w:rPr>
        <w:t xml:space="preserve">ffect </w:t>
      </w:r>
      <w:r w:rsidR="003C2CD3">
        <w:rPr>
          <w:color w:val="auto"/>
          <w:lang w:val="en-US"/>
        </w:rPr>
        <w:t xml:space="preserve">the PK </w:t>
      </w:r>
      <w:r w:rsidR="00271DBF">
        <w:rPr>
          <w:color w:val="auto"/>
          <w:lang w:val="en-US"/>
        </w:rPr>
        <w:t xml:space="preserve">of </w:t>
      </w:r>
      <w:proofErr w:type="spellStart"/>
      <w:r w:rsidR="00271DBF">
        <w:rPr>
          <w:color w:val="auto"/>
          <w:lang w:val="en-US"/>
        </w:rPr>
        <w:t>pertuzumab</w:t>
      </w:r>
      <w:proofErr w:type="spellEnd"/>
      <w:r w:rsidR="003C2CD3">
        <w:rPr>
          <w:color w:val="auto"/>
          <w:lang w:val="en-US"/>
        </w:rPr>
        <w:t xml:space="preserve"> (whether subcutaneous [within </w:t>
      </w:r>
      <w:proofErr w:type="spellStart"/>
      <w:r w:rsidR="003C2CD3">
        <w:rPr>
          <w:color w:val="auto"/>
          <w:lang w:val="en-US"/>
        </w:rPr>
        <w:t>Phesgo</w:t>
      </w:r>
      <w:proofErr w:type="spellEnd"/>
      <w:r w:rsidR="003C2CD3">
        <w:rPr>
          <w:color w:val="auto"/>
          <w:lang w:val="en-US"/>
        </w:rPr>
        <w:t>] or intravenous) or trastuzumab (</w:t>
      </w:r>
      <w:r w:rsidR="0082348C">
        <w:rPr>
          <w:color w:val="auto"/>
          <w:lang w:val="en-US"/>
        </w:rPr>
        <w:t xml:space="preserve">whether </w:t>
      </w:r>
      <w:r w:rsidR="003C2CD3">
        <w:rPr>
          <w:color w:val="auto"/>
          <w:lang w:val="en-US"/>
        </w:rPr>
        <w:t>subcutaneous or intravenous)</w:t>
      </w:r>
      <w:r w:rsidRPr="005E3242">
        <w:rPr>
          <w:color w:val="auto"/>
          <w:lang w:val="en-US"/>
        </w:rPr>
        <w:t xml:space="preserve">. </w:t>
      </w:r>
    </w:p>
    <w:p w14:paraId="2C534ABC" w14:textId="77777777" w:rsidR="0078210D" w:rsidRPr="00D721DF" w:rsidRDefault="0078210D" w:rsidP="00C448E8">
      <w:pPr>
        <w:pStyle w:val="Heading5"/>
        <w:rPr>
          <w:lang w:val="en-US"/>
        </w:rPr>
      </w:pPr>
      <w:r w:rsidRPr="00F07710">
        <w:rPr>
          <w:sz w:val="24"/>
          <w:lang w:val="en-US"/>
        </w:rPr>
        <w:t>Renal impairment</w:t>
      </w:r>
    </w:p>
    <w:p w14:paraId="1266DE79" w14:textId="3BF85C8D" w:rsidR="0078210D" w:rsidRPr="005E3242" w:rsidRDefault="0078210D" w:rsidP="00C448E8">
      <w:pPr>
        <w:rPr>
          <w:color w:val="auto"/>
          <w:lang w:val="en-US"/>
        </w:rPr>
      </w:pPr>
      <w:r w:rsidRPr="005E3242">
        <w:rPr>
          <w:color w:val="auto"/>
          <w:lang w:val="en-US"/>
        </w:rPr>
        <w:t xml:space="preserve">No </w:t>
      </w:r>
      <w:r w:rsidR="00816347">
        <w:rPr>
          <w:color w:val="auto"/>
          <w:lang w:val="en-US"/>
        </w:rPr>
        <w:t>dedicated studies have been conducted to investigate the</w:t>
      </w:r>
      <w:r w:rsidR="00816347" w:rsidRPr="005E3242">
        <w:rPr>
          <w:color w:val="auto"/>
          <w:lang w:val="en-US"/>
        </w:rPr>
        <w:t xml:space="preserve"> </w:t>
      </w:r>
      <w:r w:rsidRPr="005E3242">
        <w:rPr>
          <w:color w:val="auto"/>
          <w:lang w:val="en-US"/>
        </w:rPr>
        <w:t xml:space="preserve">PK of </w:t>
      </w:r>
      <w:proofErr w:type="spellStart"/>
      <w:r w:rsidR="00191B0B">
        <w:rPr>
          <w:color w:val="auto"/>
          <w:lang w:val="en-US"/>
        </w:rPr>
        <w:t>Phesgo</w:t>
      </w:r>
      <w:proofErr w:type="spellEnd"/>
      <w:r w:rsidRPr="005E3242">
        <w:rPr>
          <w:color w:val="auto"/>
          <w:lang w:val="en-US"/>
        </w:rPr>
        <w:t xml:space="preserve"> in patients with renal impairment. </w:t>
      </w:r>
    </w:p>
    <w:p w14:paraId="0F718913" w14:textId="77777777" w:rsidR="0078210D" w:rsidRPr="005E3242" w:rsidRDefault="0078210D" w:rsidP="00C448E8">
      <w:pPr>
        <w:rPr>
          <w:color w:val="auto"/>
          <w:lang w:val="en-US"/>
        </w:rPr>
      </w:pPr>
    </w:p>
    <w:p w14:paraId="11A44B76" w14:textId="00EC1429" w:rsidR="0078210D" w:rsidRPr="005E3242" w:rsidRDefault="0078210D" w:rsidP="00C448E8">
      <w:pPr>
        <w:rPr>
          <w:color w:val="auto"/>
          <w:lang w:val="en-US"/>
        </w:rPr>
      </w:pPr>
      <w:r w:rsidRPr="005E3242">
        <w:rPr>
          <w:color w:val="auto"/>
          <w:lang w:val="en-US"/>
        </w:rPr>
        <w:t xml:space="preserve">Based on population PK analyses of </w:t>
      </w:r>
      <w:proofErr w:type="spellStart"/>
      <w:r w:rsidRPr="005E3242">
        <w:rPr>
          <w:color w:val="auto"/>
          <w:lang w:val="en-US"/>
        </w:rPr>
        <w:t>pertuzumab</w:t>
      </w:r>
      <w:proofErr w:type="spellEnd"/>
      <w:r w:rsidRPr="005E3242">
        <w:rPr>
          <w:color w:val="auto"/>
          <w:lang w:val="en-US"/>
        </w:rPr>
        <w:t xml:space="preserve"> within </w:t>
      </w:r>
      <w:proofErr w:type="spellStart"/>
      <w:r w:rsidR="00191B0B">
        <w:rPr>
          <w:color w:val="auto"/>
          <w:lang w:val="en-US"/>
        </w:rPr>
        <w:t>Phesgo</w:t>
      </w:r>
      <w:proofErr w:type="spellEnd"/>
      <w:r w:rsidRPr="005E3242">
        <w:rPr>
          <w:color w:val="auto"/>
          <w:lang w:val="en-US"/>
        </w:rPr>
        <w:t xml:space="preserve"> and intravenous </w:t>
      </w:r>
      <w:proofErr w:type="spellStart"/>
      <w:r w:rsidRPr="005E3242">
        <w:rPr>
          <w:color w:val="auto"/>
          <w:lang w:val="en-US"/>
        </w:rPr>
        <w:t>pertuzumab</w:t>
      </w:r>
      <w:proofErr w:type="spellEnd"/>
      <w:r w:rsidRPr="005E3242">
        <w:rPr>
          <w:color w:val="auto"/>
          <w:lang w:val="en-US"/>
        </w:rPr>
        <w:t xml:space="preserve">, renal impairment </w:t>
      </w:r>
      <w:r w:rsidR="00816347">
        <w:rPr>
          <w:color w:val="auto"/>
          <w:lang w:val="en-US"/>
        </w:rPr>
        <w:t>is not</w:t>
      </w:r>
      <w:r w:rsidRPr="005E3242">
        <w:rPr>
          <w:color w:val="auto"/>
          <w:lang w:val="en-US"/>
        </w:rPr>
        <w:t xml:space="preserve"> </w:t>
      </w:r>
      <w:r w:rsidR="00816347">
        <w:rPr>
          <w:color w:val="auto"/>
          <w:lang w:val="en-US"/>
        </w:rPr>
        <w:t xml:space="preserve">predicted to </w:t>
      </w:r>
      <w:r w:rsidRPr="005E3242">
        <w:rPr>
          <w:color w:val="auto"/>
          <w:lang w:val="en-US"/>
        </w:rPr>
        <w:t xml:space="preserve">affect </w:t>
      </w:r>
      <w:proofErr w:type="spellStart"/>
      <w:r w:rsidRPr="005E3242">
        <w:rPr>
          <w:color w:val="auto"/>
          <w:lang w:val="en-US"/>
        </w:rPr>
        <w:t>pertuzumab</w:t>
      </w:r>
      <w:proofErr w:type="spellEnd"/>
      <w:r w:rsidRPr="005E3242">
        <w:rPr>
          <w:color w:val="auto"/>
          <w:lang w:val="en-US"/>
        </w:rPr>
        <w:t xml:space="preserve"> exposure; however, only limited data from patients with severe renal </w:t>
      </w:r>
      <w:r w:rsidRPr="005547DD">
        <w:rPr>
          <w:color w:val="auto"/>
          <w:lang w:val="en-US"/>
        </w:rPr>
        <w:t xml:space="preserve">impairment </w:t>
      </w:r>
      <w:r w:rsidR="003C2CD3" w:rsidRPr="005547DD">
        <w:rPr>
          <w:color w:val="auto"/>
          <w:lang w:val="en-US"/>
        </w:rPr>
        <w:t>(n=</w:t>
      </w:r>
      <w:r w:rsidR="00DA6BE2" w:rsidRPr="008C1903">
        <w:rPr>
          <w:color w:val="auto"/>
          <w:lang w:val="en-US"/>
        </w:rPr>
        <w:t>3</w:t>
      </w:r>
      <w:r w:rsidR="003C2CD3" w:rsidRPr="005547DD">
        <w:rPr>
          <w:color w:val="auto"/>
          <w:lang w:val="en-US"/>
        </w:rPr>
        <w:t xml:space="preserve">) </w:t>
      </w:r>
      <w:r w:rsidRPr="005547DD">
        <w:rPr>
          <w:color w:val="auto"/>
          <w:lang w:val="en-US"/>
        </w:rPr>
        <w:t>were</w:t>
      </w:r>
      <w:r w:rsidRPr="005E3242">
        <w:rPr>
          <w:color w:val="auto"/>
          <w:lang w:val="en-US"/>
        </w:rPr>
        <w:t xml:space="preserve"> included in </w:t>
      </w:r>
      <w:r w:rsidR="00271DBF">
        <w:rPr>
          <w:color w:val="auto"/>
          <w:lang w:val="en-US"/>
        </w:rPr>
        <w:t>population PK analyses</w:t>
      </w:r>
      <w:r w:rsidRPr="005E3242">
        <w:rPr>
          <w:color w:val="auto"/>
          <w:lang w:val="en-US"/>
        </w:rPr>
        <w:t>.</w:t>
      </w:r>
    </w:p>
    <w:p w14:paraId="66EFB220" w14:textId="77777777" w:rsidR="0078210D" w:rsidRPr="005E3242" w:rsidRDefault="0078210D" w:rsidP="00C448E8">
      <w:pPr>
        <w:rPr>
          <w:color w:val="auto"/>
          <w:lang w:val="en-US"/>
        </w:rPr>
      </w:pPr>
    </w:p>
    <w:p w14:paraId="285CDA7A" w14:textId="25974C72" w:rsidR="0078210D" w:rsidRPr="008C1903" w:rsidRDefault="0078210D" w:rsidP="00C448E8">
      <w:pPr>
        <w:rPr>
          <w:color w:val="auto"/>
          <w:sz w:val="28"/>
          <w:lang w:val="en-US"/>
        </w:rPr>
      </w:pPr>
      <w:r w:rsidRPr="005E3242">
        <w:rPr>
          <w:color w:val="auto"/>
          <w:lang w:val="en-US"/>
        </w:rPr>
        <w:t xml:space="preserve">In a population </w:t>
      </w:r>
      <w:r w:rsidR="00816347">
        <w:rPr>
          <w:color w:val="auto"/>
          <w:lang w:val="en-US"/>
        </w:rPr>
        <w:t>PK</w:t>
      </w:r>
      <w:r w:rsidR="00816347" w:rsidRPr="005E3242">
        <w:rPr>
          <w:color w:val="auto"/>
          <w:lang w:val="en-US"/>
        </w:rPr>
        <w:t xml:space="preserve"> </w:t>
      </w:r>
      <w:r w:rsidRPr="005E3242">
        <w:rPr>
          <w:color w:val="auto"/>
          <w:lang w:val="en-US"/>
        </w:rPr>
        <w:t xml:space="preserve">analysis of subcutaneous and intravenous trastuzumab, renal impairment </w:t>
      </w:r>
      <w:r w:rsidR="00816347">
        <w:rPr>
          <w:color w:val="auto"/>
          <w:lang w:val="en-US"/>
        </w:rPr>
        <w:t>did not</w:t>
      </w:r>
      <w:r w:rsidRPr="005E3242">
        <w:rPr>
          <w:color w:val="auto"/>
          <w:lang w:val="en-US"/>
        </w:rPr>
        <w:t xml:space="preserve"> affect trastuzumab</w:t>
      </w:r>
      <w:r w:rsidR="00271DBF">
        <w:rPr>
          <w:color w:val="auto"/>
          <w:lang w:val="en-US"/>
        </w:rPr>
        <w:t xml:space="preserve"> disposition</w:t>
      </w:r>
      <w:r w:rsidRPr="005E3242">
        <w:rPr>
          <w:color w:val="auto"/>
          <w:lang w:val="en-US"/>
        </w:rPr>
        <w:t>.</w:t>
      </w:r>
    </w:p>
    <w:p w14:paraId="0D364FBE" w14:textId="77777777" w:rsidR="0078210D" w:rsidRPr="00D721DF" w:rsidRDefault="0078210D" w:rsidP="00C448E8">
      <w:pPr>
        <w:pStyle w:val="Heading5"/>
        <w:rPr>
          <w:lang w:val="en-US"/>
        </w:rPr>
      </w:pPr>
      <w:r w:rsidRPr="008C1903">
        <w:rPr>
          <w:sz w:val="24"/>
          <w:lang w:val="en-US"/>
        </w:rPr>
        <w:t>Hepatic impairment</w:t>
      </w:r>
    </w:p>
    <w:p w14:paraId="10830988" w14:textId="27C3BD7E" w:rsidR="00F07710" w:rsidRDefault="00F07710" w:rsidP="00C448E8">
      <w:pPr>
        <w:rPr>
          <w:color w:val="auto"/>
          <w:lang w:val="en-GB"/>
        </w:rPr>
      </w:pPr>
    </w:p>
    <w:p w14:paraId="147196A3" w14:textId="0856FFA8" w:rsidR="00852F06" w:rsidRPr="005E3242" w:rsidRDefault="00852F06" w:rsidP="00C448E8">
      <w:pPr>
        <w:rPr>
          <w:color w:val="auto"/>
          <w:lang w:val="en-US"/>
        </w:rPr>
      </w:pPr>
      <w:r w:rsidRPr="005E3242">
        <w:rPr>
          <w:color w:val="auto"/>
          <w:lang w:val="en-US"/>
        </w:rPr>
        <w:t xml:space="preserve">No </w:t>
      </w:r>
      <w:r>
        <w:rPr>
          <w:color w:val="auto"/>
          <w:lang w:val="en-US"/>
        </w:rPr>
        <w:t>dedicated studies have been conducted to investigate the</w:t>
      </w:r>
      <w:r w:rsidRPr="005E3242">
        <w:rPr>
          <w:color w:val="auto"/>
          <w:lang w:val="en-US"/>
        </w:rPr>
        <w:t xml:space="preserve"> PK of </w:t>
      </w:r>
      <w:proofErr w:type="spellStart"/>
      <w:r>
        <w:rPr>
          <w:color w:val="auto"/>
          <w:lang w:val="en-US"/>
        </w:rPr>
        <w:t>Phesgo</w:t>
      </w:r>
      <w:proofErr w:type="spellEnd"/>
      <w:r w:rsidRPr="005E3242">
        <w:rPr>
          <w:color w:val="auto"/>
          <w:lang w:val="en-US"/>
        </w:rPr>
        <w:t xml:space="preserve"> in patients with </w:t>
      </w:r>
      <w:r>
        <w:rPr>
          <w:color w:val="auto"/>
          <w:lang w:val="en-US"/>
        </w:rPr>
        <w:t>hepatic</w:t>
      </w:r>
      <w:r w:rsidRPr="005E3242">
        <w:rPr>
          <w:color w:val="auto"/>
          <w:lang w:val="en-US"/>
        </w:rPr>
        <w:t xml:space="preserve"> impairment. </w:t>
      </w:r>
    </w:p>
    <w:p w14:paraId="461F9CAA" w14:textId="48803FA9" w:rsidR="00F07710" w:rsidRDefault="00F07710" w:rsidP="00C448E8">
      <w:pPr>
        <w:rPr>
          <w:color w:val="auto"/>
          <w:lang w:val="en-US"/>
        </w:rPr>
      </w:pPr>
    </w:p>
    <w:p w14:paraId="11316C97" w14:textId="77777777" w:rsidR="00D52399" w:rsidRPr="005E3242" w:rsidRDefault="00902EBE" w:rsidP="00C448E8">
      <w:pPr>
        <w:pStyle w:val="Heading2"/>
        <w:spacing w:before="0"/>
        <w:rPr>
          <w:color w:val="auto"/>
        </w:rPr>
      </w:pPr>
      <w:r w:rsidRPr="005E3242">
        <w:rPr>
          <w:color w:val="auto"/>
        </w:rPr>
        <w:t>5.3</w:t>
      </w:r>
      <w:r w:rsidRPr="005E3242">
        <w:rPr>
          <w:color w:val="auto"/>
        </w:rPr>
        <w:tab/>
        <w:t>PRECLINICAL SAFETY DATA</w:t>
      </w:r>
    </w:p>
    <w:p w14:paraId="301FA038" w14:textId="4B97FA40" w:rsidR="00B1134D" w:rsidRPr="005E3242" w:rsidRDefault="00363C7F" w:rsidP="00C448E8">
      <w:pPr>
        <w:pStyle w:val="Heading3"/>
        <w:rPr>
          <w:color w:val="auto"/>
        </w:rPr>
      </w:pPr>
      <w:r w:rsidRPr="005E3242">
        <w:rPr>
          <w:color w:val="auto"/>
        </w:rPr>
        <w:t>Genotoxi</w:t>
      </w:r>
      <w:r w:rsidR="0082348C">
        <w:rPr>
          <w:color w:val="auto"/>
        </w:rPr>
        <w:t>ci</w:t>
      </w:r>
      <w:r w:rsidRPr="005E3242">
        <w:rPr>
          <w:color w:val="auto"/>
        </w:rPr>
        <w:t>ty</w:t>
      </w:r>
    </w:p>
    <w:p w14:paraId="5917948F" w14:textId="1DDE3C67" w:rsidR="00AC2E04" w:rsidRPr="002458AF" w:rsidRDefault="001D37D6" w:rsidP="00C448E8">
      <w:pPr>
        <w:rPr>
          <w:color w:val="auto"/>
          <w:lang w:val="en-US"/>
        </w:rPr>
      </w:pPr>
      <w:r>
        <w:rPr>
          <w:color w:val="auto"/>
          <w:lang w:val="en-US"/>
        </w:rPr>
        <w:t xml:space="preserve">Trastuzumab is not genotoxic. </w:t>
      </w:r>
      <w:r w:rsidR="005B2DAD" w:rsidRPr="005E3242">
        <w:rPr>
          <w:color w:val="auto"/>
          <w:lang w:val="en-US"/>
        </w:rPr>
        <w:t xml:space="preserve">No studies have been </w:t>
      </w:r>
      <w:r w:rsidR="00A33186">
        <w:rPr>
          <w:color w:val="auto"/>
          <w:lang w:val="en-US"/>
        </w:rPr>
        <w:t>conducted</w:t>
      </w:r>
      <w:r w:rsidR="00A33186" w:rsidRPr="005E3242">
        <w:rPr>
          <w:color w:val="auto"/>
          <w:lang w:val="en-US"/>
        </w:rPr>
        <w:t xml:space="preserve"> </w:t>
      </w:r>
      <w:r w:rsidR="005B2DAD" w:rsidRPr="005E3242">
        <w:rPr>
          <w:color w:val="auto"/>
          <w:lang w:val="en-US"/>
        </w:rPr>
        <w:t xml:space="preserve">to evaluate the mutagenic potential of </w:t>
      </w:r>
      <w:proofErr w:type="spellStart"/>
      <w:r w:rsidR="005B2DAD" w:rsidRPr="005E3242">
        <w:rPr>
          <w:color w:val="auto"/>
          <w:lang w:val="en-US"/>
        </w:rPr>
        <w:t>pertuzumab</w:t>
      </w:r>
      <w:proofErr w:type="spellEnd"/>
      <w:r w:rsidR="00A33186">
        <w:rPr>
          <w:color w:val="auto"/>
          <w:lang w:val="en-US"/>
        </w:rPr>
        <w:t xml:space="preserve"> </w:t>
      </w:r>
      <w:r w:rsidR="00A33186" w:rsidRPr="00A33186">
        <w:rPr>
          <w:color w:val="auto"/>
          <w:lang w:val="en-US"/>
        </w:rPr>
        <w:t xml:space="preserve">alone or the </w:t>
      </w:r>
      <w:proofErr w:type="spellStart"/>
      <w:r w:rsidR="00A33186" w:rsidRPr="00A33186">
        <w:rPr>
          <w:color w:val="auto"/>
          <w:lang w:val="en-US"/>
        </w:rPr>
        <w:t>pertuzumab</w:t>
      </w:r>
      <w:proofErr w:type="spellEnd"/>
      <w:r w:rsidR="00A33186" w:rsidRPr="00A33186">
        <w:rPr>
          <w:color w:val="auto"/>
          <w:lang w:val="en-US"/>
        </w:rPr>
        <w:t>/trastuzumab combination</w:t>
      </w:r>
      <w:r w:rsidR="005B2DAD" w:rsidRPr="005E3242">
        <w:rPr>
          <w:color w:val="auto"/>
          <w:lang w:val="en-US"/>
        </w:rPr>
        <w:t>.</w:t>
      </w:r>
    </w:p>
    <w:p w14:paraId="16E6516F" w14:textId="0C9A8C0D" w:rsidR="00B1134D" w:rsidRPr="005E3242" w:rsidRDefault="00363C7F" w:rsidP="00C448E8">
      <w:pPr>
        <w:pStyle w:val="Heading3"/>
        <w:rPr>
          <w:color w:val="auto"/>
        </w:rPr>
      </w:pPr>
      <w:r w:rsidRPr="005E3242">
        <w:rPr>
          <w:color w:val="auto"/>
        </w:rPr>
        <w:t>Carc</w:t>
      </w:r>
      <w:r w:rsidR="0082348C">
        <w:rPr>
          <w:color w:val="auto"/>
        </w:rPr>
        <w:t>i</w:t>
      </w:r>
      <w:r w:rsidRPr="005E3242">
        <w:rPr>
          <w:color w:val="auto"/>
        </w:rPr>
        <w:t>nogenicity</w:t>
      </w:r>
    </w:p>
    <w:p w14:paraId="1CCEE040" w14:textId="2B8B118D" w:rsidR="005B2DAD" w:rsidRDefault="00AC2E04" w:rsidP="00C448E8">
      <w:pPr>
        <w:rPr>
          <w:color w:val="auto"/>
          <w:lang w:val="en-US"/>
        </w:rPr>
      </w:pPr>
      <w:r w:rsidRPr="009D61BA">
        <w:rPr>
          <w:iCs/>
          <w:color w:val="auto"/>
          <w:lang w:val="en-AU"/>
        </w:rPr>
        <w:t xml:space="preserve">No studies </w:t>
      </w:r>
      <w:r w:rsidR="001D37D6">
        <w:rPr>
          <w:iCs/>
          <w:color w:val="auto"/>
          <w:lang w:val="en-AU"/>
        </w:rPr>
        <w:t xml:space="preserve">have been conducted to evaluate </w:t>
      </w:r>
      <w:r w:rsidRPr="009D61BA">
        <w:rPr>
          <w:iCs/>
          <w:color w:val="auto"/>
          <w:lang w:val="en-AU"/>
        </w:rPr>
        <w:t xml:space="preserve">the carcinogenic potential of </w:t>
      </w:r>
      <w:proofErr w:type="spellStart"/>
      <w:r w:rsidRPr="009D61BA">
        <w:rPr>
          <w:iCs/>
          <w:color w:val="auto"/>
          <w:lang w:val="en-AU"/>
        </w:rPr>
        <w:t>pertuzumab</w:t>
      </w:r>
      <w:proofErr w:type="spellEnd"/>
      <w:r w:rsidRPr="009D61BA">
        <w:rPr>
          <w:iCs/>
          <w:color w:val="auto"/>
          <w:lang w:val="en-AU"/>
        </w:rPr>
        <w:t xml:space="preserve"> or trastuzumab alone or in combination</w:t>
      </w:r>
      <w:r w:rsidR="0082348C">
        <w:rPr>
          <w:color w:val="auto"/>
          <w:lang w:val="en-US"/>
        </w:rPr>
        <w:t>.</w:t>
      </w:r>
    </w:p>
    <w:p w14:paraId="3C0867DD" w14:textId="77777777" w:rsidR="00D52399" w:rsidRPr="005E3242" w:rsidRDefault="00615052" w:rsidP="00C448E8">
      <w:pPr>
        <w:pStyle w:val="Heading1"/>
        <w:numPr>
          <w:ilvl w:val="0"/>
          <w:numId w:val="2"/>
        </w:numPr>
        <w:spacing w:before="0"/>
        <w:rPr>
          <w:color w:val="auto"/>
        </w:rPr>
      </w:pPr>
      <w:r w:rsidRPr="005E3242">
        <w:rPr>
          <w:color w:val="auto"/>
        </w:rPr>
        <w:lastRenderedPageBreak/>
        <w:t>PHARMACEUTICAL PARTICULARS</w:t>
      </w:r>
    </w:p>
    <w:p w14:paraId="2985514B" w14:textId="77777777" w:rsidR="00D52399" w:rsidRPr="007757B4" w:rsidRDefault="00CC6729" w:rsidP="00C448E8">
      <w:pPr>
        <w:pStyle w:val="Heading2"/>
        <w:spacing w:before="0"/>
        <w:rPr>
          <w:color w:val="auto"/>
        </w:rPr>
      </w:pPr>
      <w:r w:rsidRPr="007757B4">
        <w:rPr>
          <w:color w:val="auto"/>
        </w:rPr>
        <w:t>6.1</w:t>
      </w:r>
      <w:r w:rsidRPr="007757B4">
        <w:rPr>
          <w:color w:val="auto"/>
        </w:rPr>
        <w:tab/>
        <w:t>LIST OF EXCIPIENTS</w:t>
      </w:r>
    </w:p>
    <w:p w14:paraId="0B6D0DA3" w14:textId="35B1EB2C" w:rsidR="007757B4" w:rsidRDefault="007757B4" w:rsidP="00C448E8">
      <w:pPr>
        <w:spacing w:line="260" w:lineRule="atLeast"/>
      </w:pPr>
      <w:proofErr w:type="spellStart"/>
      <w:r>
        <w:t>V</w:t>
      </w:r>
      <w:r w:rsidR="00C62F35" w:rsidRPr="007757B4">
        <w:t>orhyaluronidase</w:t>
      </w:r>
      <w:proofErr w:type="spellEnd"/>
      <w:r w:rsidR="00C62F35" w:rsidRPr="007757B4">
        <w:t xml:space="preserve"> alfa </w:t>
      </w:r>
    </w:p>
    <w:p w14:paraId="44A04530" w14:textId="2AA6522C" w:rsidR="007757B4" w:rsidRDefault="0082348C" w:rsidP="00C448E8">
      <w:pPr>
        <w:spacing w:line="260" w:lineRule="atLeast"/>
      </w:pPr>
      <w:r>
        <w:t>H</w:t>
      </w:r>
      <w:r w:rsidR="00C62F35" w:rsidRPr="007757B4">
        <w:t xml:space="preserve">istidine </w:t>
      </w:r>
    </w:p>
    <w:p w14:paraId="715EC9C7" w14:textId="480EEBBD" w:rsidR="007757B4" w:rsidRDefault="0082348C" w:rsidP="00C448E8">
      <w:pPr>
        <w:spacing w:line="260" w:lineRule="atLeast"/>
      </w:pPr>
      <w:r>
        <w:t>H</w:t>
      </w:r>
      <w:r w:rsidRPr="007757B4">
        <w:t xml:space="preserve">istidine </w:t>
      </w:r>
      <w:r w:rsidR="00C62F35" w:rsidRPr="007757B4">
        <w:t xml:space="preserve">hydrochloride monohydrate  </w:t>
      </w:r>
    </w:p>
    <w:p w14:paraId="3A56A61B" w14:textId="038D2B42" w:rsidR="007757B4" w:rsidRDefault="0082348C" w:rsidP="00C448E8">
      <w:pPr>
        <w:spacing w:line="260" w:lineRule="atLeast"/>
      </w:pPr>
      <w:r>
        <w:t>T</w:t>
      </w:r>
      <w:r w:rsidRPr="007757B4">
        <w:t xml:space="preserve">rehalose </w:t>
      </w:r>
      <w:proofErr w:type="gramStart"/>
      <w:r w:rsidR="00C62F35" w:rsidRPr="007757B4">
        <w:t>dehydrate</w:t>
      </w:r>
      <w:proofErr w:type="gramEnd"/>
      <w:r w:rsidR="00C62F35" w:rsidRPr="007757B4">
        <w:t xml:space="preserve"> </w:t>
      </w:r>
    </w:p>
    <w:p w14:paraId="1A5F34E1" w14:textId="66E23453" w:rsidR="007757B4" w:rsidRDefault="0082348C" w:rsidP="00C448E8">
      <w:pPr>
        <w:spacing w:line="260" w:lineRule="atLeast"/>
      </w:pPr>
      <w:r>
        <w:t>S</w:t>
      </w:r>
      <w:r w:rsidRPr="007757B4">
        <w:t>ucrose</w:t>
      </w:r>
      <w:r w:rsidR="00C62F35" w:rsidRPr="007757B4">
        <w:t xml:space="preserve">, polysorbate 20 </w:t>
      </w:r>
    </w:p>
    <w:p w14:paraId="7A8C7313" w14:textId="4B115A19" w:rsidR="00D52399" w:rsidRDefault="0082348C" w:rsidP="00C448E8">
      <w:pPr>
        <w:spacing w:line="260" w:lineRule="atLeast"/>
      </w:pPr>
      <w:r>
        <w:t>M</w:t>
      </w:r>
      <w:r w:rsidRPr="007757B4">
        <w:t>ethionine</w:t>
      </w:r>
      <w:r>
        <w:t xml:space="preserve"> </w:t>
      </w:r>
    </w:p>
    <w:p w14:paraId="79278F05" w14:textId="73BA3F87" w:rsidR="00C62F35" w:rsidRDefault="0082348C" w:rsidP="00C448E8">
      <w:pPr>
        <w:spacing w:line="260" w:lineRule="atLeast"/>
        <w:rPr>
          <w:color w:val="auto"/>
        </w:rPr>
      </w:pPr>
      <w:r>
        <w:rPr>
          <w:color w:val="auto"/>
        </w:rPr>
        <w:t xml:space="preserve">Water </w:t>
      </w:r>
      <w:r w:rsidR="007757B4">
        <w:rPr>
          <w:color w:val="auto"/>
        </w:rPr>
        <w:t>for injections</w:t>
      </w:r>
    </w:p>
    <w:p w14:paraId="1D6B6E35" w14:textId="77777777" w:rsidR="007757B4" w:rsidRPr="005E3242" w:rsidRDefault="007757B4" w:rsidP="00C448E8">
      <w:pPr>
        <w:spacing w:line="260" w:lineRule="atLeast"/>
        <w:rPr>
          <w:color w:val="auto"/>
        </w:rPr>
      </w:pPr>
    </w:p>
    <w:p w14:paraId="7DA69B0A" w14:textId="77777777" w:rsidR="00D52399" w:rsidRPr="00A32C4C" w:rsidRDefault="00902EBE" w:rsidP="00C448E8">
      <w:pPr>
        <w:pStyle w:val="Heading2"/>
        <w:spacing w:before="0"/>
        <w:rPr>
          <w:color w:val="auto"/>
        </w:rPr>
      </w:pPr>
      <w:r w:rsidRPr="005E3242">
        <w:rPr>
          <w:color w:val="auto"/>
        </w:rPr>
        <w:t>6.</w:t>
      </w:r>
      <w:r w:rsidRPr="00A32C4C">
        <w:rPr>
          <w:color w:val="auto"/>
        </w:rPr>
        <w:t>2</w:t>
      </w:r>
      <w:r w:rsidRPr="00A32C4C">
        <w:rPr>
          <w:color w:val="auto"/>
        </w:rPr>
        <w:tab/>
        <w:t>INCOMPATIBILITIES</w:t>
      </w:r>
    </w:p>
    <w:p w14:paraId="7B96C1F2" w14:textId="7CCD685A" w:rsidR="005E3242" w:rsidRDefault="005E3242" w:rsidP="00C448E8">
      <w:pPr>
        <w:rPr>
          <w:b/>
          <w:lang w:val="en-US"/>
        </w:rPr>
      </w:pPr>
      <w:r w:rsidRPr="00A32C4C">
        <w:rPr>
          <w:lang w:val="en-US"/>
        </w:rPr>
        <w:t xml:space="preserve">No incompatibilities between </w:t>
      </w:r>
      <w:proofErr w:type="spellStart"/>
      <w:r w:rsidR="00191B0B" w:rsidRPr="00A32C4C">
        <w:rPr>
          <w:lang w:val="en-US"/>
        </w:rPr>
        <w:t>Phesgo</w:t>
      </w:r>
      <w:proofErr w:type="spellEnd"/>
      <w:r w:rsidRPr="00A32C4C">
        <w:rPr>
          <w:lang w:val="en-US"/>
        </w:rPr>
        <w:t xml:space="preserve"> and polypropylene, polycarbonate, polyurethane, polyethylene, polyvinyl </w:t>
      </w:r>
      <w:proofErr w:type="gramStart"/>
      <w:r w:rsidRPr="00A32C4C">
        <w:rPr>
          <w:lang w:val="en-US"/>
        </w:rPr>
        <w:t>chloride</w:t>
      </w:r>
      <w:proofErr w:type="gramEnd"/>
      <w:r w:rsidRPr="00A32C4C">
        <w:rPr>
          <w:lang w:val="en-US"/>
        </w:rPr>
        <w:t xml:space="preserve"> and fluorinated ethylene polypropylene have been observed</w:t>
      </w:r>
      <w:r w:rsidR="0082348C">
        <w:rPr>
          <w:lang w:val="en-US"/>
        </w:rPr>
        <w:t>.</w:t>
      </w:r>
    </w:p>
    <w:p w14:paraId="619B4FBB" w14:textId="77777777" w:rsidR="005E3242" w:rsidRPr="005E3242" w:rsidRDefault="005E3242" w:rsidP="00C448E8">
      <w:pPr>
        <w:rPr>
          <w:lang w:val="en-US"/>
        </w:rPr>
      </w:pPr>
    </w:p>
    <w:p w14:paraId="1E4EABA7" w14:textId="77777777" w:rsidR="00D52399" w:rsidRPr="005E3242" w:rsidRDefault="00902EBE" w:rsidP="00C448E8">
      <w:pPr>
        <w:pStyle w:val="Heading2"/>
        <w:spacing w:before="0"/>
        <w:rPr>
          <w:color w:val="auto"/>
        </w:rPr>
      </w:pPr>
      <w:r w:rsidRPr="005E3242">
        <w:rPr>
          <w:color w:val="auto"/>
        </w:rPr>
        <w:t>6.3</w:t>
      </w:r>
      <w:r w:rsidRPr="005E3242">
        <w:rPr>
          <w:color w:val="auto"/>
        </w:rPr>
        <w:tab/>
        <w:t>SHELF LIFE</w:t>
      </w:r>
    </w:p>
    <w:p w14:paraId="4B1BDCAA" w14:textId="77777777" w:rsidR="008903F2" w:rsidRPr="005E3242" w:rsidRDefault="008903F2" w:rsidP="00C448E8">
      <w:pPr>
        <w:spacing w:after="240"/>
        <w:rPr>
          <w:color w:val="auto"/>
        </w:rPr>
      </w:pPr>
      <w:r w:rsidRPr="005E3242">
        <w:rPr>
          <w:color w:val="auto"/>
        </w:rPr>
        <w:t>In Australia, information on the shelf life can be found on the public summary of the Australian Register of Therapeutic Goods (ARTG). The expiry date can be found on the packaging.</w:t>
      </w:r>
    </w:p>
    <w:p w14:paraId="06ED4C0A" w14:textId="77777777" w:rsidR="00D52399" w:rsidRPr="005E3242" w:rsidRDefault="00902EBE" w:rsidP="00C448E8">
      <w:pPr>
        <w:pStyle w:val="Heading2"/>
        <w:spacing w:before="0"/>
        <w:rPr>
          <w:color w:val="auto"/>
        </w:rPr>
      </w:pPr>
      <w:r w:rsidRPr="005E3242">
        <w:rPr>
          <w:color w:val="auto"/>
        </w:rPr>
        <w:t>6.4</w:t>
      </w:r>
      <w:r w:rsidRPr="005E3242">
        <w:rPr>
          <w:color w:val="auto"/>
        </w:rPr>
        <w:tab/>
        <w:t>SPECIAL PRECAUTIONS FOR STORAGE</w:t>
      </w:r>
    </w:p>
    <w:p w14:paraId="588ACCC9" w14:textId="25BAB8CD" w:rsidR="005E3242" w:rsidRPr="005E3242" w:rsidRDefault="005E3242" w:rsidP="00C448E8">
      <w:pPr>
        <w:rPr>
          <w:color w:val="auto"/>
          <w:lang w:val="en-US"/>
        </w:rPr>
      </w:pPr>
      <w:r w:rsidRPr="005E3242">
        <w:rPr>
          <w:color w:val="auto"/>
          <w:lang w:val="en-US"/>
        </w:rPr>
        <w:t xml:space="preserve">Store </w:t>
      </w:r>
      <w:r w:rsidR="00816347">
        <w:rPr>
          <w:color w:val="auto"/>
          <w:lang w:val="en-US"/>
        </w:rPr>
        <w:t>between</w:t>
      </w:r>
      <w:r w:rsidRPr="005E3242">
        <w:rPr>
          <w:color w:val="auto"/>
          <w:lang w:val="en-US"/>
        </w:rPr>
        <w:t xml:space="preserve"> 2°C</w:t>
      </w:r>
      <w:r w:rsidR="00816347">
        <w:rPr>
          <w:color w:val="auto"/>
          <w:lang w:val="en-US"/>
        </w:rPr>
        <w:t xml:space="preserve"> and </w:t>
      </w:r>
      <w:r w:rsidRPr="005E3242">
        <w:rPr>
          <w:color w:val="auto"/>
          <w:lang w:val="en-US"/>
        </w:rPr>
        <w:t>8°C.</w:t>
      </w:r>
      <w:r>
        <w:rPr>
          <w:color w:val="auto"/>
          <w:lang w:val="en-US"/>
        </w:rPr>
        <w:t xml:space="preserve"> </w:t>
      </w:r>
      <w:r w:rsidRPr="005E3242">
        <w:rPr>
          <w:color w:val="auto"/>
          <w:lang w:val="en-US"/>
        </w:rPr>
        <w:t xml:space="preserve">Keep vial in the outer carton to protect </w:t>
      </w:r>
      <w:r w:rsidR="0082348C">
        <w:rPr>
          <w:color w:val="auto"/>
          <w:lang w:val="en-US"/>
        </w:rPr>
        <w:t xml:space="preserve">it </w:t>
      </w:r>
      <w:r w:rsidRPr="005E3242">
        <w:rPr>
          <w:color w:val="auto"/>
          <w:lang w:val="en-US"/>
        </w:rPr>
        <w:t>from light.</w:t>
      </w:r>
    </w:p>
    <w:p w14:paraId="5FDF1ADA" w14:textId="77777777" w:rsidR="00D52399" w:rsidRPr="005E3242" w:rsidRDefault="005E3242" w:rsidP="00C448E8">
      <w:pPr>
        <w:rPr>
          <w:color w:val="auto"/>
        </w:rPr>
      </w:pPr>
      <w:r w:rsidRPr="005E3242">
        <w:rPr>
          <w:color w:val="auto"/>
          <w:lang w:val="en-US"/>
        </w:rPr>
        <w:t>Do not freeze.</w:t>
      </w:r>
    </w:p>
    <w:p w14:paraId="208770DD" w14:textId="77777777" w:rsidR="00D52399" w:rsidRDefault="00902EBE" w:rsidP="00C448E8">
      <w:pPr>
        <w:pStyle w:val="Heading2"/>
        <w:rPr>
          <w:color w:val="auto"/>
        </w:rPr>
      </w:pPr>
      <w:r w:rsidRPr="005E3242">
        <w:rPr>
          <w:color w:val="auto"/>
        </w:rPr>
        <w:t>6.5</w:t>
      </w:r>
      <w:r w:rsidRPr="005E3242">
        <w:rPr>
          <w:color w:val="auto"/>
        </w:rPr>
        <w:tab/>
        <w:t xml:space="preserve">NATURE AND CONTENTS OF CONTAINER </w:t>
      </w:r>
    </w:p>
    <w:p w14:paraId="0701941F" w14:textId="77777777" w:rsidR="005E3242" w:rsidRPr="005E3242" w:rsidRDefault="005E3242" w:rsidP="00C448E8"/>
    <w:p w14:paraId="629C27D3" w14:textId="77777777" w:rsidR="005E3242" w:rsidRPr="005E3242" w:rsidRDefault="005E3242" w:rsidP="00C448E8">
      <w:pPr>
        <w:rPr>
          <w:color w:val="auto"/>
        </w:rPr>
      </w:pPr>
      <w:r w:rsidRPr="005E3242">
        <w:rPr>
          <w:color w:val="auto"/>
        </w:rPr>
        <w:t xml:space="preserve">1200 mg </w:t>
      </w:r>
      <w:proofErr w:type="spellStart"/>
      <w:r w:rsidRPr="005E3242">
        <w:rPr>
          <w:color w:val="auto"/>
        </w:rPr>
        <w:t>pertuzumab</w:t>
      </w:r>
      <w:proofErr w:type="spellEnd"/>
      <w:r w:rsidRPr="005E3242">
        <w:rPr>
          <w:color w:val="auto"/>
        </w:rPr>
        <w:t>/600 mg trastuzumab/15 mL solution in a vial.</w:t>
      </w:r>
    </w:p>
    <w:p w14:paraId="1BB0BD32" w14:textId="2AE543DC" w:rsidR="005E3242" w:rsidRPr="005E3242" w:rsidRDefault="005E3242" w:rsidP="00C448E8">
      <w:pPr>
        <w:rPr>
          <w:color w:val="auto"/>
        </w:rPr>
      </w:pPr>
      <w:r w:rsidRPr="005E3242">
        <w:rPr>
          <w:color w:val="auto"/>
        </w:rPr>
        <w:t xml:space="preserve">600 mg </w:t>
      </w:r>
      <w:proofErr w:type="spellStart"/>
      <w:r w:rsidRPr="005E3242">
        <w:rPr>
          <w:color w:val="auto"/>
        </w:rPr>
        <w:t>pertuzumab</w:t>
      </w:r>
      <w:proofErr w:type="spellEnd"/>
      <w:r w:rsidRPr="005E3242">
        <w:rPr>
          <w:color w:val="auto"/>
        </w:rPr>
        <w:t>/600 mg trastuzumab/10 mL solution in a vial.</w:t>
      </w:r>
    </w:p>
    <w:p w14:paraId="6656DE16" w14:textId="77777777" w:rsidR="00D52399" w:rsidRPr="005E3242" w:rsidRDefault="00D52399" w:rsidP="00C448E8">
      <w:pPr>
        <w:rPr>
          <w:color w:val="auto"/>
        </w:rPr>
      </w:pPr>
    </w:p>
    <w:p w14:paraId="2D92D14D" w14:textId="77777777" w:rsidR="00D52399" w:rsidRPr="005E3242" w:rsidRDefault="00902EBE" w:rsidP="00C448E8">
      <w:pPr>
        <w:pStyle w:val="Heading2"/>
        <w:rPr>
          <w:color w:val="auto"/>
        </w:rPr>
      </w:pPr>
      <w:r w:rsidRPr="005E3242">
        <w:rPr>
          <w:color w:val="auto"/>
        </w:rPr>
        <w:t>6.6</w:t>
      </w:r>
      <w:r w:rsidRPr="005E3242">
        <w:rPr>
          <w:color w:val="auto"/>
        </w:rPr>
        <w:tab/>
        <w:t>SP</w:t>
      </w:r>
      <w:r w:rsidR="005E3242" w:rsidRPr="005E3242">
        <w:rPr>
          <w:color w:val="auto"/>
        </w:rPr>
        <w:t>ECIAL PRECAUTIONS FOR DISPOSAL AND OTHER HANDLING</w:t>
      </w:r>
    </w:p>
    <w:p w14:paraId="7474529B" w14:textId="27E30D34" w:rsidR="005E3242" w:rsidRPr="007D5F99" w:rsidRDefault="005E3242" w:rsidP="00C448E8">
      <w:pPr>
        <w:pStyle w:val="Default"/>
        <w:rPr>
          <w:iCs/>
          <w:color w:val="auto"/>
          <w:lang w:val="en-US"/>
        </w:rPr>
      </w:pPr>
      <w:r w:rsidRPr="007D5F99">
        <w:rPr>
          <w:iCs/>
          <w:color w:val="auto"/>
          <w:lang w:val="en-US"/>
        </w:rPr>
        <w:t xml:space="preserve">The 1200 mg </w:t>
      </w:r>
      <w:proofErr w:type="spellStart"/>
      <w:r w:rsidRPr="007D5F99">
        <w:rPr>
          <w:iCs/>
          <w:color w:val="auto"/>
          <w:lang w:val="en-US"/>
        </w:rPr>
        <w:t>pertuzumab</w:t>
      </w:r>
      <w:proofErr w:type="spellEnd"/>
      <w:r w:rsidRPr="007D5F99">
        <w:rPr>
          <w:iCs/>
          <w:color w:val="auto"/>
          <w:lang w:val="en-US"/>
        </w:rPr>
        <w:t xml:space="preserve">/600 mg trastuzumab </w:t>
      </w:r>
      <w:r w:rsidR="00852F06" w:rsidRPr="007D5F99">
        <w:rPr>
          <w:iCs/>
          <w:color w:val="auto"/>
          <w:lang w:val="en-US"/>
        </w:rPr>
        <w:t xml:space="preserve">solution </w:t>
      </w:r>
      <w:r w:rsidRPr="007D5F99">
        <w:rPr>
          <w:iCs/>
          <w:color w:val="auto"/>
          <w:lang w:val="en-US"/>
        </w:rPr>
        <w:t xml:space="preserve">and </w:t>
      </w:r>
      <w:r w:rsidR="00852F06" w:rsidRPr="007D5F99">
        <w:rPr>
          <w:iCs/>
          <w:color w:val="auto"/>
          <w:lang w:val="en-US"/>
        </w:rPr>
        <w:t xml:space="preserve">the </w:t>
      </w:r>
      <w:r w:rsidRPr="007D5F99">
        <w:rPr>
          <w:iCs/>
          <w:color w:val="auto"/>
          <w:lang w:val="en-US"/>
        </w:rPr>
        <w:t xml:space="preserve">600 mg </w:t>
      </w:r>
      <w:proofErr w:type="spellStart"/>
      <w:r w:rsidRPr="007D5F99">
        <w:rPr>
          <w:iCs/>
          <w:color w:val="auto"/>
          <w:lang w:val="en-US"/>
        </w:rPr>
        <w:t>pertzumab</w:t>
      </w:r>
      <w:proofErr w:type="spellEnd"/>
      <w:r w:rsidRPr="007D5F99">
        <w:rPr>
          <w:iCs/>
          <w:color w:val="auto"/>
          <w:lang w:val="en-US"/>
        </w:rPr>
        <w:t xml:space="preserve">/600 mg trastuzumab solution are </w:t>
      </w:r>
      <w:r w:rsidR="00852F06" w:rsidRPr="007D5F99">
        <w:rPr>
          <w:iCs/>
          <w:color w:val="auto"/>
          <w:lang w:val="en-US"/>
        </w:rPr>
        <w:t xml:space="preserve">both </w:t>
      </w:r>
      <w:r w:rsidRPr="007D5F99">
        <w:rPr>
          <w:iCs/>
          <w:color w:val="auto"/>
          <w:lang w:val="en-US"/>
        </w:rPr>
        <w:t>ready</w:t>
      </w:r>
      <w:r w:rsidR="00852F06" w:rsidRPr="007D5F99">
        <w:rPr>
          <w:iCs/>
          <w:color w:val="auto"/>
          <w:lang w:val="en-US"/>
        </w:rPr>
        <w:t>-</w:t>
      </w:r>
      <w:r w:rsidRPr="007D5F99">
        <w:rPr>
          <w:iCs/>
          <w:color w:val="auto"/>
          <w:lang w:val="en-US"/>
        </w:rPr>
        <w:t>to</w:t>
      </w:r>
      <w:r w:rsidR="00852F06" w:rsidRPr="007D5F99">
        <w:rPr>
          <w:iCs/>
          <w:color w:val="auto"/>
          <w:lang w:val="en-US"/>
        </w:rPr>
        <w:t>-</w:t>
      </w:r>
      <w:r w:rsidRPr="007D5F99">
        <w:rPr>
          <w:iCs/>
          <w:color w:val="auto"/>
          <w:lang w:val="en-US"/>
        </w:rPr>
        <w:t>use solutions for injection</w:t>
      </w:r>
      <w:r w:rsidR="00852F06" w:rsidRPr="007D5F99">
        <w:rPr>
          <w:iCs/>
          <w:color w:val="auto"/>
          <w:lang w:val="en-US"/>
        </w:rPr>
        <w:t>,</w:t>
      </w:r>
      <w:r w:rsidRPr="007D5F99">
        <w:rPr>
          <w:iCs/>
          <w:color w:val="auto"/>
          <w:lang w:val="en-US"/>
        </w:rPr>
        <w:t xml:space="preserve"> which </w:t>
      </w:r>
      <w:r w:rsidR="00D1556C" w:rsidRPr="007D5F99">
        <w:rPr>
          <w:iCs/>
          <w:color w:val="auto"/>
          <w:lang w:val="en-US"/>
        </w:rPr>
        <w:t>should</w:t>
      </w:r>
      <w:r w:rsidRPr="007D5F99">
        <w:rPr>
          <w:iCs/>
          <w:color w:val="auto"/>
          <w:lang w:val="en-US"/>
        </w:rPr>
        <w:t xml:space="preserve"> not need to be mixed </w:t>
      </w:r>
      <w:r w:rsidR="00271DBF" w:rsidRPr="007D5F99">
        <w:rPr>
          <w:iCs/>
          <w:color w:val="auto"/>
          <w:lang w:val="en-US"/>
        </w:rPr>
        <w:t>with other drugs or diluted</w:t>
      </w:r>
      <w:r w:rsidRPr="007D5F99">
        <w:rPr>
          <w:iCs/>
          <w:color w:val="auto"/>
          <w:lang w:val="en-US"/>
        </w:rPr>
        <w:t xml:space="preserve">.  </w:t>
      </w:r>
    </w:p>
    <w:p w14:paraId="2D920A22" w14:textId="77777777" w:rsidR="005E3242" w:rsidRPr="007D5F99" w:rsidRDefault="005E3242" w:rsidP="00C448E8">
      <w:pPr>
        <w:pStyle w:val="Default"/>
        <w:rPr>
          <w:iCs/>
          <w:color w:val="auto"/>
          <w:lang w:val="en-US"/>
        </w:rPr>
      </w:pPr>
    </w:p>
    <w:p w14:paraId="569B7DB6" w14:textId="342682F2" w:rsidR="005E3242" w:rsidRPr="007D5F99" w:rsidRDefault="00816347" w:rsidP="00C448E8">
      <w:pPr>
        <w:pStyle w:val="Default"/>
        <w:rPr>
          <w:iCs/>
          <w:color w:val="auto"/>
          <w:lang w:val="en-US"/>
        </w:rPr>
      </w:pPr>
      <w:r w:rsidRPr="007D5F99">
        <w:rPr>
          <w:iCs/>
          <w:color w:val="auto"/>
          <w:lang w:val="en-US"/>
        </w:rPr>
        <w:t xml:space="preserve">Prior to administration, </w:t>
      </w:r>
      <w:r w:rsidR="005E3242" w:rsidRPr="007D5F99">
        <w:rPr>
          <w:iCs/>
          <w:color w:val="auto"/>
          <w:lang w:val="en-US"/>
        </w:rPr>
        <w:t>inspec</w:t>
      </w:r>
      <w:r w:rsidRPr="007D5F99">
        <w:rPr>
          <w:iCs/>
          <w:color w:val="auto"/>
          <w:lang w:val="en-US"/>
        </w:rPr>
        <w:t>t the vial</w:t>
      </w:r>
      <w:r w:rsidR="005E3242" w:rsidRPr="007D5F99">
        <w:rPr>
          <w:iCs/>
          <w:color w:val="auto"/>
          <w:lang w:val="en-US"/>
        </w:rPr>
        <w:t xml:space="preserve"> visually to ensure there is no particulate matter or </w:t>
      </w:r>
      <w:proofErr w:type="spellStart"/>
      <w:r w:rsidR="005E3242" w:rsidRPr="007D5F99">
        <w:rPr>
          <w:iCs/>
          <w:color w:val="auto"/>
          <w:lang w:val="en-US"/>
        </w:rPr>
        <w:t>discolouration</w:t>
      </w:r>
      <w:proofErr w:type="spellEnd"/>
      <w:r w:rsidR="005E3242" w:rsidRPr="007D5F99">
        <w:rPr>
          <w:iCs/>
          <w:color w:val="auto"/>
          <w:lang w:val="en-US"/>
        </w:rPr>
        <w:t>. Do not shake.</w:t>
      </w:r>
    </w:p>
    <w:p w14:paraId="26329446" w14:textId="77777777" w:rsidR="005E3242" w:rsidRPr="007D5F99" w:rsidRDefault="005E3242" w:rsidP="00C448E8">
      <w:pPr>
        <w:pStyle w:val="Default"/>
        <w:rPr>
          <w:iCs/>
          <w:color w:val="auto"/>
          <w:lang w:val="en-US"/>
        </w:rPr>
      </w:pPr>
    </w:p>
    <w:p w14:paraId="7D6EFD25" w14:textId="555B827A" w:rsidR="005E3242" w:rsidRPr="007D5F99" w:rsidRDefault="00BA46B3" w:rsidP="00C448E8">
      <w:pPr>
        <w:pStyle w:val="Default"/>
        <w:rPr>
          <w:iCs/>
          <w:color w:val="auto"/>
          <w:lang w:val="en-US"/>
        </w:rPr>
      </w:pPr>
      <w:r w:rsidRPr="007D5F99">
        <w:rPr>
          <w:iCs/>
          <w:color w:val="auto"/>
          <w:lang w:val="en-US"/>
        </w:rPr>
        <w:t>Product is for single use in one patient only. Discard any residu</w:t>
      </w:r>
      <w:r w:rsidR="00D1556C" w:rsidRPr="007D5F99">
        <w:rPr>
          <w:iCs/>
          <w:color w:val="auto"/>
          <w:lang w:val="en-US"/>
        </w:rPr>
        <w:t>al unused solution</w:t>
      </w:r>
    </w:p>
    <w:p w14:paraId="25F26BBB" w14:textId="77777777" w:rsidR="005E3242" w:rsidRPr="007D5F99" w:rsidRDefault="005E3242" w:rsidP="00C448E8">
      <w:pPr>
        <w:pStyle w:val="Default"/>
        <w:rPr>
          <w:iCs/>
          <w:color w:val="auto"/>
          <w:lang w:val="en-US"/>
        </w:rPr>
      </w:pPr>
    </w:p>
    <w:p w14:paraId="0FBDD2D1" w14:textId="495ADC73" w:rsidR="00F12E7E" w:rsidRPr="007D5F99" w:rsidRDefault="00816347" w:rsidP="00C448E8">
      <w:pPr>
        <w:pStyle w:val="Default"/>
        <w:rPr>
          <w:iCs/>
          <w:color w:val="auto"/>
          <w:lang w:val="en-US"/>
        </w:rPr>
      </w:pPr>
      <w:proofErr w:type="spellStart"/>
      <w:r w:rsidRPr="007D5F99">
        <w:rPr>
          <w:iCs/>
          <w:color w:val="auto"/>
          <w:lang w:val="en-US"/>
        </w:rPr>
        <w:t>Phesgo</w:t>
      </w:r>
      <w:proofErr w:type="spellEnd"/>
      <w:r w:rsidRPr="007D5F99">
        <w:rPr>
          <w:iCs/>
          <w:color w:val="auto"/>
          <w:lang w:val="en-US"/>
        </w:rPr>
        <w:t xml:space="preserve"> does not contain any antimicrobial preservatives, and if possible, </w:t>
      </w:r>
      <w:r w:rsidR="005E3242" w:rsidRPr="007D5F99">
        <w:rPr>
          <w:iCs/>
          <w:color w:val="auto"/>
          <w:lang w:val="en-US"/>
        </w:rPr>
        <w:t xml:space="preserve">should be used immediately once transferred from the vial to </w:t>
      </w:r>
      <w:r w:rsidRPr="007D5F99">
        <w:rPr>
          <w:iCs/>
          <w:color w:val="auto"/>
          <w:lang w:val="en-US"/>
        </w:rPr>
        <w:t xml:space="preserve">a </w:t>
      </w:r>
      <w:r w:rsidR="005E3242" w:rsidRPr="007D5F99">
        <w:rPr>
          <w:iCs/>
          <w:color w:val="auto"/>
          <w:lang w:val="en-US"/>
        </w:rPr>
        <w:t xml:space="preserve">syringe. </w:t>
      </w:r>
      <w:r w:rsidR="00D1556C" w:rsidRPr="007D5F99">
        <w:rPr>
          <w:iCs/>
          <w:color w:val="auto"/>
          <w:lang w:val="en-US"/>
        </w:rPr>
        <w:t xml:space="preserve">If the syringe containing </w:t>
      </w:r>
      <w:proofErr w:type="spellStart"/>
      <w:r w:rsidR="00D1556C" w:rsidRPr="007D5F99">
        <w:rPr>
          <w:iCs/>
          <w:color w:val="auto"/>
          <w:lang w:val="en-US"/>
        </w:rPr>
        <w:t>Phesgo</w:t>
      </w:r>
      <w:proofErr w:type="spellEnd"/>
      <w:r w:rsidR="00D1556C" w:rsidRPr="007D5F99">
        <w:rPr>
          <w:iCs/>
          <w:color w:val="auto"/>
          <w:lang w:val="en-US"/>
        </w:rPr>
        <w:t xml:space="preserve"> cannot be used immediately and was prepared aseptically, the closed syringe can be stored in the refrigerator (2°C to 8°C) for up to 7 days protected from light and subsequently at room temperature (20°C to 25°C) for up to 4 hours in diffused daylight. After the solution of </w:t>
      </w:r>
      <w:proofErr w:type="spellStart"/>
      <w:r w:rsidR="00D1556C" w:rsidRPr="007D5F99">
        <w:rPr>
          <w:iCs/>
          <w:color w:val="auto"/>
          <w:lang w:val="en-US"/>
        </w:rPr>
        <w:t>Phesgo</w:t>
      </w:r>
      <w:proofErr w:type="spellEnd"/>
      <w:r w:rsidR="00D1556C" w:rsidRPr="007D5F99">
        <w:rPr>
          <w:iCs/>
          <w:color w:val="auto"/>
          <w:lang w:val="en-US"/>
        </w:rPr>
        <w:t xml:space="preserve"> is withdrawn from the vial into the syringe, replace the transfer needle with a syringe closing cap. Label the syringe with the peel-off sticker.</w:t>
      </w:r>
    </w:p>
    <w:p w14:paraId="1EAFBA70" w14:textId="77777777" w:rsidR="005E3242" w:rsidRPr="007D5F99" w:rsidRDefault="005E3242" w:rsidP="00C448E8">
      <w:pPr>
        <w:pStyle w:val="Default"/>
        <w:rPr>
          <w:iCs/>
          <w:color w:val="auto"/>
          <w:lang w:val="en-US"/>
        </w:rPr>
      </w:pPr>
    </w:p>
    <w:p w14:paraId="3E5A2A0E" w14:textId="592B372E" w:rsidR="005E3242" w:rsidRPr="008C1903" w:rsidRDefault="00F12E7E" w:rsidP="00C448E8">
      <w:pPr>
        <w:pStyle w:val="Default"/>
        <w:rPr>
          <w:color w:val="auto"/>
          <w:sz w:val="28"/>
          <w:lang w:val="en-US"/>
        </w:rPr>
      </w:pPr>
      <w:r w:rsidRPr="007D5F99">
        <w:rPr>
          <w:iCs/>
          <w:color w:val="auto"/>
          <w:lang w:val="en-US"/>
        </w:rPr>
        <w:t>Immediately prior to administration, attach a</w:t>
      </w:r>
      <w:r w:rsidR="0082348C" w:rsidRPr="007D5F99">
        <w:rPr>
          <w:iCs/>
          <w:color w:val="auto"/>
          <w:lang w:val="en-US"/>
        </w:rPr>
        <w:t xml:space="preserve"> </w:t>
      </w:r>
      <w:r w:rsidR="00D1556C" w:rsidRPr="007D5F99">
        <w:rPr>
          <w:iCs/>
          <w:color w:val="auto"/>
          <w:lang w:val="en-US"/>
        </w:rPr>
        <w:t xml:space="preserve">25G-27G (3/8”-5/8”) </w:t>
      </w:r>
      <w:r w:rsidR="005E3242" w:rsidRPr="007D5F99">
        <w:rPr>
          <w:iCs/>
          <w:color w:val="auto"/>
          <w:lang w:val="en-US"/>
        </w:rPr>
        <w:t>hypodermic injection needle to the syringe</w:t>
      </w:r>
      <w:r w:rsidR="00361845" w:rsidRPr="007D5F99">
        <w:rPr>
          <w:iCs/>
          <w:color w:val="auto"/>
          <w:lang w:val="en-US"/>
        </w:rPr>
        <w:t>,</w:t>
      </w:r>
      <w:r w:rsidR="005E3242" w:rsidRPr="007D5F99">
        <w:rPr>
          <w:iCs/>
          <w:color w:val="auto"/>
          <w:lang w:val="en-US"/>
        </w:rPr>
        <w:t xml:space="preserve"> </w:t>
      </w:r>
      <w:r w:rsidR="00361845" w:rsidRPr="007D5F99">
        <w:rPr>
          <w:iCs/>
          <w:color w:val="auto"/>
          <w:lang w:val="en-US"/>
        </w:rPr>
        <w:t xml:space="preserve">and </w:t>
      </w:r>
      <w:r w:rsidRPr="007D5F99">
        <w:rPr>
          <w:iCs/>
          <w:color w:val="auto"/>
          <w:lang w:val="en-US"/>
        </w:rPr>
        <w:t xml:space="preserve">then adjust the </w:t>
      </w:r>
      <w:r w:rsidR="005E3242" w:rsidRPr="007D5F99">
        <w:rPr>
          <w:iCs/>
          <w:color w:val="auto"/>
          <w:lang w:val="en-US"/>
        </w:rPr>
        <w:t xml:space="preserve">volume to 10 mL (600 mg </w:t>
      </w:r>
      <w:proofErr w:type="spellStart"/>
      <w:r w:rsidR="005E3242" w:rsidRPr="007D5F99">
        <w:rPr>
          <w:iCs/>
          <w:color w:val="auto"/>
          <w:lang w:val="en-US"/>
        </w:rPr>
        <w:t>pertuzumab</w:t>
      </w:r>
      <w:proofErr w:type="spellEnd"/>
      <w:r w:rsidR="005E3242" w:rsidRPr="007D5F99">
        <w:rPr>
          <w:iCs/>
          <w:color w:val="auto"/>
          <w:lang w:val="en-US"/>
        </w:rPr>
        <w:t xml:space="preserve">/600 mg trastuzumab) or 15 mL (1200 mg </w:t>
      </w:r>
      <w:proofErr w:type="spellStart"/>
      <w:r w:rsidR="005E3242" w:rsidRPr="007D5F99">
        <w:rPr>
          <w:iCs/>
          <w:color w:val="auto"/>
          <w:lang w:val="en-US"/>
        </w:rPr>
        <w:t>pertuzumab</w:t>
      </w:r>
      <w:proofErr w:type="spellEnd"/>
      <w:r w:rsidR="005E3242" w:rsidRPr="007D5F99">
        <w:rPr>
          <w:iCs/>
          <w:color w:val="auto"/>
          <w:lang w:val="en-US"/>
        </w:rPr>
        <w:t>/600 mg trastuzumab).</w:t>
      </w:r>
    </w:p>
    <w:p w14:paraId="240C27F7" w14:textId="77777777" w:rsidR="00FA2E49" w:rsidRPr="00D721DF" w:rsidRDefault="005E3242" w:rsidP="00C448E8">
      <w:pPr>
        <w:pStyle w:val="Heading5"/>
        <w:rPr>
          <w:lang w:val="en-US"/>
        </w:rPr>
      </w:pPr>
      <w:r w:rsidRPr="008C1903">
        <w:rPr>
          <w:sz w:val="24"/>
          <w:lang w:val="en-US"/>
        </w:rPr>
        <w:lastRenderedPageBreak/>
        <w:t>Disposal of unused/expired medicines</w:t>
      </w:r>
    </w:p>
    <w:p w14:paraId="0165F026" w14:textId="69F0D426" w:rsidR="005E3242" w:rsidRPr="005E3242" w:rsidRDefault="005E3242" w:rsidP="00C448E8">
      <w:pPr>
        <w:pStyle w:val="Default"/>
        <w:rPr>
          <w:color w:val="auto"/>
          <w:lang w:val="en-US"/>
        </w:rPr>
      </w:pPr>
      <w:r w:rsidRPr="005E3242">
        <w:rPr>
          <w:color w:val="auto"/>
          <w:lang w:val="en-US"/>
        </w:rPr>
        <w:t xml:space="preserve">The release of pharmaceuticals in the environment should be </w:t>
      </w:r>
      <w:proofErr w:type="spellStart"/>
      <w:r w:rsidRPr="005E3242">
        <w:rPr>
          <w:color w:val="auto"/>
          <w:lang w:val="en-US"/>
        </w:rPr>
        <w:t>minimi</w:t>
      </w:r>
      <w:r w:rsidR="0082348C">
        <w:rPr>
          <w:color w:val="auto"/>
          <w:lang w:val="en-US"/>
        </w:rPr>
        <w:t>s</w:t>
      </w:r>
      <w:r w:rsidRPr="005E3242">
        <w:rPr>
          <w:color w:val="auto"/>
          <w:lang w:val="en-US"/>
        </w:rPr>
        <w:t>ed</w:t>
      </w:r>
      <w:proofErr w:type="spellEnd"/>
      <w:r w:rsidRPr="005E3242">
        <w:rPr>
          <w:color w:val="auto"/>
          <w:lang w:val="en-US"/>
        </w:rPr>
        <w:t>. Medicines should not be disposed of via wastewater and disposal through household waste should be avoided.</w:t>
      </w:r>
    </w:p>
    <w:p w14:paraId="3EBA84DF" w14:textId="77777777" w:rsidR="005E3242" w:rsidRPr="005E3242" w:rsidRDefault="005E3242" w:rsidP="00C448E8">
      <w:pPr>
        <w:pStyle w:val="Default"/>
        <w:rPr>
          <w:color w:val="auto"/>
          <w:lang w:val="en-GB"/>
        </w:rPr>
      </w:pPr>
      <w:r w:rsidRPr="005E3242">
        <w:rPr>
          <w:color w:val="auto"/>
          <w:lang w:val="en-GB"/>
        </w:rPr>
        <w:t xml:space="preserve">The following points should be strictly adhered to regarding the use and disposal of syringes and other medicinal sharps: </w:t>
      </w:r>
    </w:p>
    <w:p w14:paraId="14883928" w14:textId="77777777" w:rsidR="005E3242" w:rsidRPr="005E3242" w:rsidRDefault="005E3242" w:rsidP="00C448E8">
      <w:pPr>
        <w:pStyle w:val="Default"/>
        <w:numPr>
          <w:ilvl w:val="0"/>
          <w:numId w:val="9"/>
        </w:numPr>
        <w:rPr>
          <w:color w:val="auto"/>
          <w:lang w:val="en-GB"/>
        </w:rPr>
      </w:pPr>
      <w:r w:rsidRPr="005E3242">
        <w:rPr>
          <w:color w:val="auto"/>
          <w:lang w:val="en-GB"/>
        </w:rPr>
        <w:t>Needles and syringes should never be reused.</w:t>
      </w:r>
    </w:p>
    <w:p w14:paraId="49055FD0" w14:textId="77777777" w:rsidR="005E3242" w:rsidRPr="005E3242" w:rsidRDefault="005E3242" w:rsidP="00C448E8">
      <w:pPr>
        <w:pStyle w:val="Default"/>
        <w:numPr>
          <w:ilvl w:val="0"/>
          <w:numId w:val="9"/>
        </w:numPr>
        <w:rPr>
          <w:color w:val="auto"/>
          <w:lang w:val="en-GB"/>
        </w:rPr>
      </w:pPr>
      <w:r w:rsidRPr="005E3242">
        <w:rPr>
          <w:color w:val="auto"/>
          <w:lang w:val="en-GB"/>
        </w:rPr>
        <w:t xml:space="preserve">Place all used needles and syringes into a </w:t>
      </w:r>
      <w:proofErr w:type="gramStart"/>
      <w:r w:rsidRPr="005E3242">
        <w:rPr>
          <w:color w:val="auto"/>
          <w:lang w:val="en-GB"/>
        </w:rPr>
        <w:t>sharps</w:t>
      </w:r>
      <w:proofErr w:type="gramEnd"/>
      <w:r w:rsidRPr="005E3242">
        <w:rPr>
          <w:color w:val="auto"/>
          <w:lang w:val="en-GB"/>
        </w:rPr>
        <w:t xml:space="preserve"> container (puncture-proof disposable container). </w:t>
      </w:r>
    </w:p>
    <w:p w14:paraId="6E3995D0" w14:textId="77777777" w:rsidR="00A3616E" w:rsidRPr="005E3242" w:rsidRDefault="00A3616E" w:rsidP="00C448E8">
      <w:pPr>
        <w:pStyle w:val="Default"/>
        <w:rPr>
          <w:color w:val="auto"/>
          <w:lang w:val="en-GB"/>
        </w:rPr>
      </w:pPr>
    </w:p>
    <w:p w14:paraId="3DC9BB40" w14:textId="77777777" w:rsidR="008903F2" w:rsidRPr="005E3242" w:rsidRDefault="008903F2" w:rsidP="00C448E8">
      <w:pPr>
        <w:spacing w:after="240"/>
        <w:rPr>
          <w:color w:val="auto"/>
        </w:rPr>
      </w:pPr>
      <w:r w:rsidRPr="005E3242">
        <w:rPr>
          <w:color w:val="auto"/>
        </w:rPr>
        <w:t>In Australia, any unused medicine or waste material should be disposed of by taking to your local pharmacy.</w:t>
      </w:r>
    </w:p>
    <w:p w14:paraId="7F2151C6" w14:textId="77777777" w:rsidR="008903F2" w:rsidRPr="005E3242" w:rsidRDefault="00902EBE" w:rsidP="00C448E8">
      <w:pPr>
        <w:pStyle w:val="Heading2"/>
        <w:spacing w:before="0"/>
        <w:rPr>
          <w:color w:val="auto"/>
        </w:rPr>
      </w:pPr>
      <w:r w:rsidRPr="005E3242">
        <w:rPr>
          <w:color w:val="auto"/>
        </w:rPr>
        <w:t>6.7</w:t>
      </w:r>
      <w:r w:rsidRPr="005E3242">
        <w:rPr>
          <w:color w:val="auto"/>
        </w:rPr>
        <w:tab/>
        <w:t xml:space="preserve">PHYSIOCHEMICAL PROPERTIES </w:t>
      </w:r>
    </w:p>
    <w:p w14:paraId="3C4B1CBB" w14:textId="62926F3E" w:rsidR="009B3628" w:rsidRDefault="009B3628" w:rsidP="00C448E8">
      <w:pPr>
        <w:pStyle w:val="Heading3"/>
      </w:pPr>
      <w:r w:rsidRPr="007757B4">
        <w:t>Chemical structure</w:t>
      </w:r>
      <w:r w:rsidR="007757B4" w:rsidRPr="007757B4">
        <w:t>s</w:t>
      </w:r>
      <w:r w:rsidR="00816347">
        <w:t xml:space="preserve"> and CAS numbers</w:t>
      </w:r>
    </w:p>
    <w:p w14:paraId="26C28620" w14:textId="2A7E9CA7" w:rsidR="00816347" w:rsidRPr="003E0C52" w:rsidRDefault="00816347" w:rsidP="00C448E8">
      <w:pPr>
        <w:pStyle w:val="Heading4"/>
      </w:pPr>
      <w:proofErr w:type="spellStart"/>
      <w:r>
        <w:t>Pertuzumab</w:t>
      </w:r>
      <w:proofErr w:type="spellEnd"/>
    </w:p>
    <w:p w14:paraId="15EDF555" w14:textId="707E9BC5" w:rsidR="00816347" w:rsidRDefault="007757B4" w:rsidP="00C448E8">
      <w:proofErr w:type="spellStart"/>
      <w:r w:rsidRPr="007757B4">
        <w:t>P</w:t>
      </w:r>
      <w:r w:rsidR="00C62F35" w:rsidRPr="007757B4">
        <w:t>ertuzumab</w:t>
      </w:r>
      <w:proofErr w:type="spellEnd"/>
      <w:r w:rsidR="00C62F35" w:rsidRPr="007757B4">
        <w:t xml:space="preserve"> is a recombinant</w:t>
      </w:r>
      <w:r w:rsidR="0082348C">
        <w:t>,</w:t>
      </w:r>
      <w:r w:rsidR="00C62F35" w:rsidRPr="007757B4">
        <w:t xml:space="preserve"> humani</w:t>
      </w:r>
      <w:r w:rsidR="0082348C">
        <w:t>s</w:t>
      </w:r>
      <w:r w:rsidR="00C62F35" w:rsidRPr="007757B4">
        <w:t>ed monoclonal antibody. The antibody is based upon the human IgG</w:t>
      </w:r>
      <w:r w:rsidR="00C62F35" w:rsidRPr="007757B4">
        <w:rPr>
          <w:vertAlign w:val="subscript"/>
        </w:rPr>
        <w:t>1</w:t>
      </w:r>
      <w:r w:rsidR="00C62F35" w:rsidRPr="007757B4">
        <w:t xml:space="preserve"> kappa framework sequence, with a molecular weight of ~ 148kDa and composed of two light chains consisting of 214 amino acid residues and two heavy chains consisting of 448 or 449 amino acid residues.</w:t>
      </w:r>
    </w:p>
    <w:p w14:paraId="390DFDEA" w14:textId="77777777" w:rsidR="00816347" w:rsidRPr="007757B4" w:rsidRDefault="00816347" w:rsidP="00C448E8"/>
    <w:p w14:paraId="35EE1D31" w14:textId="73851850" w:rsidR="00BA0878" w:rsidRPr="007757B4" w:rsidRDefault="00816347" w:rsidP="00C448E8">
      <w:pPr>
        <w:rPr>
          <w:color w:val="auto"/>
        </w:rPr>
      </w:pPr>
      <w:proofErr w:type="spellStart"/>
      <w:r w:rsidRPr="001C68B6">
        <w:rPr>
          <w:lang w:val="en-GB"/>
        </w:rPr>
        <w:t>Pertuzumab</w:t>
      </w:r>
      <w:proofErr w:type="spellEnd"/>
      <w:r w:rsidRPr="001C68B6">
        <w:rPr>
          <w:lang w:val="en-GB"/>
        </w:rPr>
        <w:t xml:space="preserve"> </w:t>
      </w:r>
      <w:r w:rsidR="00C62F35" w:rsidRPr="001C68B6">
        <w:rPr>
          <w:lang w:val="en-GB"/>
        </w:rPr>
        <w:t>CAS</w:t>
      </w:r>
      <w:r w:rsidR="007757B4" w:rsidRPr="00677CCB">
        <w:rPr>
          <w:lang w:val="en-GB"/>
        </w:rPr>
        <w:t xml:space="preserve"> number</w:t>
      </w:r>
      <w:r w:rsidR="00C62F35" w:rsidRPr="00677CCB">
        <w:rPr>
          <w:lang w:val="en-GB"/>
        </w:rPr>
        <w:t>:</w:t>
      </w:r>
      <w:r w:rsidR="00C62F35" w:rsidRPr="007757B4">
        <w:rPr>
          <w:lang w:val="en-GB"/>
        </w:rPr>
        <w:t xml:space="preserve"> 380610-27-5</w:t>
      </w:r>
    </w:p>
    <w:p w14:paraId="3B7EC375" w14:textId="77777777" w:rsidR="00816347" w:rsidRDefault="00816347" w:rsidP="00C448E8">
      <w:pPr>
        <w:pStyle w:val="Heading4"/>
      </w:pPr>
      <w:r>
        <w:t>Trastuzumab</w:t>
      </w:r>
    </w:p>
    <w:p w14:paraId="3775335F" w14:textId="39C14048" w:rsidR="00C62F35" w:rsidRPr="007757B4" w:rsidRDefault="007757B4" w:rsidP="00C448E8">
      <w:pPr>
        <w:rPr>
          <w:color w:val="auto"/>
        </w:rPr>
      </w:pPr>
      <w:r w:rsidRPr="007757B4">
        <w:rPr>
          <w:color w:val="auto"/>
        </w:rPr>
        <w:t>T</w:t>
      </w:r>
      <w:proofErr w:type="spellStart"/>
      <w:r w:rsidR="00C62F35" w:rsidRPr="007757B4">
        <w:rPr>
          <w:color w:val="auto"/>
          <w:lang w:val="en-AU"/>
        </w:rPr>
        <w:t>rastuzumab</w:t>
      </w:r>
      <w:proofErr w:type="spellEnd"/>
      <w:r w:rsidR="00C62F35" w:rsidRPr="007757B4">
        <w:rPr>
          <w:color w:val="auto"/>
          <w:lang w:val="en-AU"/>
        </w:rPr>
        <w:t xml:space="preserve"> is a recombinant</w:t>
      </w:r>
      <w:r w:rsidR="0082348C">
        <w:rPr>
          <w:color w:val="auto"/>
          <w:lang w:val="en-AU"/>
        </w:rPr>
        <w:t>,</w:t>
      </w:r>
      <w:r w:rsidR="00C62F35" w:rsidRPr="007757B4">
        <w:rPr>
          <w:color w:val="auto"/>
          <w:lang w:val="en-AU"/>
        </w:rPr>
        <w:t xml:space="preserve"> DNA</w:t>
      </w:r>
      <w:r w:rsidR="0082348C">
        <w:rPr>
          <w:color w:val="auto"/>
          <w:lang w:val="en-AU"/>
        </w:rPr>
        <w:t>-</w:t>
      </w:r>
      <w:r w:rsidR="00C62F35" w:rsidRPr="007757B4">
        <w:rPr>
          <w:color w:val="auto"/>
          <w:lang w:val="en-AU"/>
        </w:rPr>
        <w:t>derived</w:t>
      </w:r>
      <w:r w:rsidR="0082348C">
        <w:rPr>
          <w:color w:val="auto"/>
          <w:lang w:val="en-AU"/>
        </w:rPr>
        <w:t>,</w:t>
      </w:r>
      <w:r w:rsidR="00C62F35" w:rsidRPr="007757B4">
        <w:rPr>
          <w:color w:val="auto"/>
          <w:lang w:val="en-AU"/>
        </w:rPr>
        <w:t xml:space="preserve"> humani</w:t>
      </w:r>
      <w:r w:rsidR="0082348C">
        <w:rPr>
          <w:color w:val="auto"/>
          <w:lang w:val="en-AU"/>
        </w:rPr>
        <w:t>s</w:t>
      </w:r>
      <w:r w:rsidR="00C62F35" w:rsidRPr="007757B4">
        <w:rPr>
          <w:color w:val="auto"/>
          <w:lang w:val="en-AU"/>
        </w:rPr>
        <w:t xml:space="preserve">ed monoclonal antibody that selectively targets the extracellular domain of the human epidermal growth factor receptor 2 protein (HER2). The antibody is an IgG1 kappa that contains human framework regions with the complementarity determining regions of a murine anti-p185 HER2 antibody that binds to HER2. Trastuzumab is composed of 1,328 amino acids and has a molecular weight of ~148 </w:t>
      </w:r>
      <w:proofErr w:type="spellStart"/>
      <w:r w:rsidR="00C62F35" w:rsidRPr="007757B4">
        <w:rPr>
          <w:color w:val="auto"/>
          <w:lang w:val="en-AU"/>
        </w:rPr>
        <w:t>kDa</w:t>
      </w:r>
      <w:proofErr w:type="spellEnd"/>
      <w:r w:rsidR="00C62F35" w:rsidRPr="007757B4">
        <w:rPr>
          <w:color w:val="auto"/>
          <w:lang w:val="en-AU"/>
        </w:rPr>
        <w:t>.</w:t>
      </w:r>
    </w:p>
    <w:p w14:paraId="2640945C" w14:textId="77777777" w:rsidR="00C62F35" w:rsidRPr="007757B4" w:rsidRDefault="00C62F35" w:rsidP="00C448E8">
      <w:pPr>
        <w:rPr>
          <w:color w:val="auto"/>
        </w:rPr>
      </w:pPr>
    </w:p>
    <w:p w14:paraId="09DFE7A9" w14:textId="3AFC138A" w:rsidR="00C62F35" w:rsidRPr="005E3242" w:rsidRDefault="00816347" w:rsidP="00C448E8">
      <w:pPr>
        <w:spacing w:after="240"/>
        <w:rPr>
          <w:b/>
          <w:color w:val="auto"/>
        </w:rPr>
      </w:pPr>
      <w:r w:rsidRPr="001C68B6">
        <w:rPr>
          <w:color w:val="auto"/>
        </w:rPr>
        <w:t xml:space="preserve">Trastuzumab </w:t>
      </w:r>
      <w:r w:rsidR="009B3628" w:rsidRPr="001C68B6">
        <w:rPr>
          <w:color w:val="auto"/>
        </w:rPr>
        <w:t>CAS number</w:t>
      </w:r>
      <w:r w:rsidR="00C62F35" w:rsidRPr="00677CCB">
        <w:rPr>
          <w:rFonts w:ascii="Minion" w:hAnsi="Minion" w:cs="Minion"/>
          <w:lang w:val="en-AU"/>
        </w:rPr>
        <w:t>:</w:t>
      </w:r>
      <w:r w:rsidR="00C62F35" w:rsidRPr="007757B4">
        <w:rPr>
          <w:rFonts w:ascii="Minion" w:hAnsi="Minion" w:cs="Minion"/>
          <w:lang w:val="en-AU"/>
        </w:rPr>
        <w:t xml:space="preserve"> 180288-69-1</w:t>
      </w:r>
    </w:p>
    <w:p w14:paraId="6DC70606" w14:textId="77777777" w:rsidR="00D52399" w:rsidRPr="005E3242" w:rsidRDefault="00615052" w:rsidP="00C448E8">
      <w:pPr>
        <w:pStyle w:val="Heading1"/>
        <w:numPr>
          <w:ilvl w:val="0"/>
          <w:numId w:val="2"/>
        </w:numPr>
        <w:spacing w:before="0"/>
        <w:rPr>
          <w:color w:val="auto"/>
        </w:rPr>
      </w:pPr>
      <w:r w:rsidRPr="005E3242">
        <w:rPr>
          <w:color w:val="auto"/>
        </w:rPr>
        <w:t xml:space="preserve"> MEDICINE SCHEDULE</w:t>
      </w:r>
      <w:r w:rsidR="00594C19" w:rsidRPr="005E3242">
        <w:rPr>
          <w:color w:val="auto"/>
        </w:rPr>
        <w:t xml:space="preserve"> (POISONS STANDARD)</w:t>
      </w:r>
    </w:p>
    <w:p w14:paraId="073F06E6" w14:textId="686FBF8F" w:rsidR="00D52399" w:rsidRPr="005E3242" w:rsidRDefault="007757B4" w:rsidP="00C448E8">
      <w:pPr>
        <w:spacing w:after="240"/>
        <w:rPr>
          <w:color w:val="auto"/>
          <w:sz w:val="28"/>
        </w:rPr>
      </w:pPr>
      <w:r>
        <w:rPr>
          <w:color w:val="auto"/>
          <w:szCs w:val="22"/>
        </w:rPr>
        <w:t>Prescription only medicine</w:t>
      </w:r>
    </w:p>
    <w:p w14:paraId="17F85CA1" w14:textId="77777777" w:rsidR="00D52399" w:rsidRPr="005E3242" w:rsidRDefault="00615052" w:rsidP="00C448E8">
      <w:pPr>
        <w:pStyle w:val="Heading1"/>
        <w:numPr>
          <w:ilvl w:val="0"/>
          <w:numId w:val="2"/>
        </w:numPr>
        <w:spacing w:before="0"/>
        <w:rPr>
          <w:color w:val="auto"/>
        </w:rPr>
      </w:pPr>
      <w:r w:rsidRPr="005E3242">
        <w:rPr>
          <w:color w:val="auto"/>
        </w:rPr>
        <w:t>SPONSOR</w:t>
      </w:r>
    </w:p>
    <w:p w14:paraId="2E06535F" w14:textId="77777777" w:rsidR="00D52399" w:rsidRPr="005E3242" w:rsidRDefault="00615052" w:rsidP="00C448E8">
      <w:pPr>
        <w:rPr>
          <w:color w:val="auto"/>
        </w:rPr>
      </w:pPr>
      <w:r w:rsidRPr="005E3242">
        <w:rPr>
          <w:color w:val="auto"/>
        </w:rPr>
        <w:t>Roche Products (New Zealand) Limited</w:t>
      </w:r>
    </w:p>
    <w:p w14:paraId="43B936E8" w14:textId="77777777" w:rsidR="00D52399" w:rsidRPr="005E3242" w:rsidRDefault="00615052" w:rsidP="00C448E8">
      <w:pPr>
        <w:rPr>
          <w:color w:val="auto"/>
        </w:rPr>
      </w:pPr>
      <w:r w:rsidRPr="005E3242">
        <w:rPr>
          <w:color w:val="auto"/>
        </w:rPr>
        <w:t xml:space="preserve">PO Box 109113 Newmarket </w:t>
      </w:r>
    </w:p>
    <w:p w14:paraId="337C427E" w14:textId="77777777" w:rsidR="00D52399" w:rsidRPr="005E3242" w:rsidRDefault="00615052" w:rsidP="00C448E8">
      <w:pPr>
        <w:rPr>
          <w:color w:val="auto"/>
        </w:rPr>
      </w:pPr>
      <w:r w:rsidRPr="005E3242">
        <w:rPr>
          <w:color w:val="auto"/>
        </w:rPr>
        <w:t xml:space="preserve">Auckland 1149 </w:t>
      </w:r>
    </w:p>
    <w:p w14:paraId="410F97F1" w14:textId="77777777" w:rsidR="00D52399" w:rsidRPr="005E3242" w:rsidRDefault="00615052" w:rsidP="00C448E8">
      <w:pPr>
        <w:rPr>
          <w:color w:val="auto"/>
        </w:rPr>
      </w:pPr>
      <w:r w:rsidRPr="005E3242">
        <w:rPr>
          <w:color w:val="auto"/>
        </w:rPr>
        <w:t xml:space="preserve">NEW ZEALAND </w:t>
      </w:r>
    </w:p>
    <w:p w14:paraId="0E44CCEC" w14:textId="77777777" w:rsidR="00D52399" w:rsidRPr="005E3242" w:rsidRDefault="00D52399" w:rsidP="00C448E8">
      <w:pPr>
        <w:rPr>
          <w:color w:val="auto"/>
        </w:rPr>
      </w:pPr>
    </w:p>
    <w:p w14:paraId="00764172" w14:textId="77777777" w:rsidR="00517995" w:rsidRPr="005E3242" w:rsidRDefault="00615052" w:rsidP="00C448E8">
      <w:pPr>
        <w:rPr>
          <w:color w:val="auto"/>
        </w:rPr>
      </w:pPr>
      <w:r w:rsidRPr="005E3242">
        <w:rPr>
          <w:color w:val="auto"/>
        </w:rPr>
        <w:t xml:space="preserve">Medical enquiries: </w:t>
      </w:r>
      <w:r w:rsidR="00517995" w:rsidRPr="005E3242">
        <w:rPr>
          <w:color w:val="auto"/>
        </w:rPr>
        <w:t xml:space="preserve"> 0800 276 243</w:t>
      </w:r>
    </w:p>
    <w:p w14:paraId="53B95F5F" w14:textId="77777777" w:rsidR="00363C7F" w:rsidRPr="005E3242" w:rsidRDefault="00363C7F" w:rsidP="00C448E8">
      <w:pPr>
        <w:rPr>
          <w:color w:val="auto"/>
        </w:rPr>
      </w:pPr>
    </w:p>
    <w:p w14:paraId="098C98C2" w14:textId="77777777" w:rsidR="00363C7F" w:rsidRPr="005E3242" w:rsidRDefault="00363C7F" w:rsidP="00C448E8">
      <w:pPr>
        <w:rPr>
          <w:color w:val="auto"/>
          <w:lang w:val="en-GB"/>
        </w:rPr>
      </w:pPr>
      <w:r w:rsidRPr="005E3242">
        <w:rPr>
          <w:color w:val="auto"/>
          <w:lang w:val="en-GB"/>
        </w:rPr>
        <w:t>Roche Products Pty Limited</w:t>
      </w:r>
    </w:p>
    <w:p w14:paraId="71CCEFDD" w14:textId="77777777" w:rsidR="00363C7F" w:rsidRPr="005E3242" w:rsidRDefault="00363C7F" w:rsidP="00C448E8">
      <w:pPr>
        <w:rPr>
          <w:color w:val="auto"/>
          <w:lang w:val="en-GB"/>
        </w:rPr>
      </w:pPr>
      <w:r w:rsidRPr="005E3242">
        <w:rPr>
          <w:color w:val="auto"/>
          <w:lang w:val="en-GB"/>
        </w:rPr>
        <w:t>ABN 70 000 132 865</w:t>
      </w:r>
    </w:p>
    <w:p w14:paraId="5E1AE3A0" w14:textId="77777777" w:rsidR="00363C7F" w:rsidRPr="005E3242" w:rsidRDefault="00363C7F" w:rsidP="00C448E8">
      <w:pPr>
        <w:rPr>
          <w:color w:val="auto"/>
          <w:lang w:val="en-GB"/>
        </w:rPr>
      </w:pPr>
      <w:r w:rsidRPr="005E3242">
        <w:rPr>
          <w:color w:val="auto"/>
          <w:lang w:val="en-GB"/>
        </w:rPr>
        <w:t xml:space="preserve">Level 8, 30 – 34 Hickson Road </w:t>
      </w:r>
    </w:p>
    <w:p w14:paraId="489B5228" w14:textId="77777777" w:rsidR="00363C7F" w:rsidRPr="005E3242" w:rsidRDefault="00363C7F" w:rsidP="00C448E8">
      <w:pPr>
        <w:rPr>
          <w:color w:val="auto"/>
          <w:lang w:val="en-GB"/>
        </w:rPr>
      </w:pPr>
      <w:r w:rsidRPr="005E3242">
        <w:rPr>
          <w:color w:val="auto"/>
          <w:lang w:val="en-GB"/>
        </w:rPr>
        <w:t>Sydney NSW 2000</w:t>
      </w:r>
    </w:p>
    <w:p w14:paraId="09ABAAFE" w14:textId="77777777" w:rsidR="00363C7F" w:rsidRPr="005E3242" w:rsidRDefault="00363C7F" w:rsidP="00C448E8">
      <w:pPr>
        <w:rPr>
          <w:color w:val="auto"/>
          <w:lang w:val="en-GB"/>
        </w:rPr>
      </w:pPr>
      <w:r w:rsidRPr="005E3242">
        <w:rPr>
          <w:color w:val="auto"/>
          <w:lang w:val="en-GB"/>
        </w:rPr>
        <w:t>AUSTRALIA</w:t>
      </w:r>
    </w:p>
    <w:p w14:paraId="2DF9BDE4" w14:textId="77777777" w:rsidR="00363C7F" w:rsidRPr="005E3242" w:rsidRDefault="00363C7F" w:rsidP="00C448E8">
      <w:pPr>
        <w:spacing w:after="240"/>
        <w:rPr>
          <w:color w:val="auto"/>
        </w:rPr>
      </w:pPr>
      <w:r w:rsidRPr="005E3242">
        <w:rPr>
          <w:color w:val="auto"/>
          <w:lang w:val="en-GB"/>
        </w:rPr>
        <w:lastRenderedPageBreak/>
        <w:t>Medical enquiries: 1800 233 950</w:t>
      </w:r>
    </w:p>
    <w:p w14:paraId="60F6A6C6" w14:textId="77777777" w:rsidR="00D52399" w:rsidRPr="005E3242" w:rsidRDefault="00615052" w:rsidP="00C448E8">
      <w:pPr>
        <w:pStyle w:val="Heading1"/>
        <w:numPr>
          <w:ilvl w:val="0"/>
          <w:numId w:val="2"/>
        </w:numPr>
        <w:spacing w:before="0"/>
        <w:rPr>
          <w:color w:val="auto"/>
        </w:rPr>
      </w:pPr>
      <w:r w:rsidRPr="005E3242">
        <w:rPr>
          <w:color w:val="auto"/>
        </w:rPr>
        <w:t>DATE OF FIRST APPROVAL</w:t>
      </w:r>
    </w:p>
    <w:p w14:paraId="7168D6B0" w14:textId="7CEA702D" w:rsidR="009B3628" w:rsidRDefault="00F96D29" w:rsidP="00C448E8">
      <w:pPr>
        <w:rPr>
          <w:color w:val="auto"/>
        </w:rPr>
      </w:pPr>
      <w:r>
        <w:rPr>
          <w:color w:val="auto"/>
        </w:rPr>
        <w:t>6 July 2021</w:t>
      </w:r>
    </w:p>
    <w:p w14:paraId="48DE7525" w14:textId="77777777" w:rsidR="00F96D29" w:rsidRPr="005E3242" w:rsidRDefault="00F96D29" w:rsidP="00C448E8">
      <w:pPr>
        <w:rPr>
          <w:color w:val="auto"/>
        </w:rPr>
      </w:pPr>
    </w:p>
    <w:p w14:paraId="5E011931" w14:textId="77777777" w:rsidR="00D52399" w:rsidRPr="005E3242" w:rsidRDefault="00615052" w:rsidP="00C448E8">
      <w:pPr>
        <w:pStyle w:val="Heading1"/>
        <w:numPr>
          <w:ilvl w:val="0"/>
          <w:numId w:val="2"/>
        </w:numPr>
        <w:spacing w:before="0"/>
        <w:rPr>
          <w:color w:val="auto"/>
        </w:rPr>
      </w:pPr>
      <w:r w:rsidRPr="005E3242">
        <w:rPr>
          <w:color w:val="auto"/>
        </w:rPr>
        <w:t>DATE OF REVISION OF THE TEXT</w:t>
      </w:r>
    </w:p>
    <w:p w14:paraId="6B30655C" w14:textId="570799FC" w:rsidR="005E3242" w:rsidRPr="005E3242" w:rsidRDefault="00F96D29" w:rsidP="00C448E8">
      <w:pPr>
        <w:rPr>
          <w:color w:val="auto"/>
        </w:rPr>
      </w:pPr>
      <w:r>
        <w:rPr>
          <w:color w:val="auto"/>
        </w:rPr>
        <w:t>6 July 2021</w:t>
      </w:r>
    </w:p>
    <w:p w14:paraId="3AAD5E3A" w14:textId="77777777" w:rsidR="00D52399" w:rsidRPr="005E3242" w:rsidRDefault="00902EBE" w:rsidP="00C448E8">
      <w:pPr>
        <w:pStyle w:val="Heading3"/>
        <w:spacing w:after="240"/>
        <w:rPr>
          <w:color w:val="auto"/>
        </w:rPr>
      </w:pPr>
      <w:r w:rsidRPr="005E3242">
        <w:rPr>
          <w:color w:val="auto"/>
        </w:rPr>
        <w:t>Summary table of changes</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291"/>
      </w:tblGrid>
      <w:tr w:rsidR="00D52399" w:rsidRPr="005E3242" w14:paraId="3342E3E1" w14:textId="77777777" w:rsidTr="00407592">
        <w:tc>
          <w:tcPr>
            <w:tcW w:w="1951" w:type="dxa"/>
          </w:tcPr>
          <w:p w14:paraId="2804AED0" w14:textId="77777777" w:rsidR="00D52399" w:rsidRPr="005E3242" w:rsidRDefault="00615052" w:rsidP="00C448E8">
            <w:pPr>
              <w:rPr>
                <w:b/>
                <w:color w:val="auto"/>
              </w:rPr>
            </w:pPr>
            <w:r w:rsidRPr="005E3242">
              <w:rPr>
                <w:b/>
                <w:color w:val="auto"/>
              </w:rPr>
              <w:t>Section Changed</w:t>
            </w:r>
          </w:p>
        </w:tc>
        <w:tc>
          <w:tcPr>
            <w:tcW w:w="7291" w:type="dxa"/>
          </w:tcPr>
          <w:p w14:paraId="56B32FF0" w14:textId="77777777" w:rsidR="00D52399" w:rsidRPr="005E3242" w:rsidRDefault="00615052" w:rsidP="00C448E8">
            <w:pPr>
              <w:rPr>
                <w:b/>
                <w:color w:val="auto"/>
              </w:rPr>
            </w:pPr>
            <w:r w:rsidRPr="005E3242">
              <w:rPr>
                <w:b/>
                <w:color w:val="auto"/>
              </w:rPr>
              <w:t>Summary of new information</w:t>
            </w:r>
          </w:p>
        </w:tc>
      </w:tr>
      <w:tr w:rsidR="00D52399" w:rsidRPr="005E3242" w14:paraId="57CD8755" w14:textId="77777777" w:rsidTr="00407592">
        <w:tc>
          <w:tcPr>
            <w:tcW w:w="1951" w:type="dxa"/>
          </w:tcPr>
          <w:p w14:paraId="282CF27A" w14:textId="77777777" w:rsidR="00D52399" w:rsidRPr="005E3242" w:rsidRDefault="00D52399" w:rsidP="00C448E8">
            <w:pPr>
              <w:rPr>
                <w:color w:val="auto"/>
              </w:rPr>
            </w:pPr>
          </w:p>
        </w:tc>
        <w:tc>
          <w:tcPr>
            <w:tcW w:w="7291" w:type="dxa"/>
          </w:tcPr>
          <w:p w14:paraId="5F5EED96" w14:textId="77777777" w:rsidR="00D52399" w:rsidRPr="005E3242" w:rsidRDefault="00D52399" w:rsidP="00C448E8">
            <w:pPr>
              <w:rPr>
                <w:color w:val="auto"/>
              </w:rPr>
            </w:pPr>
          </w:p>
        </w:tc>
      </w:tr>
    </w:tbl>
    <w:p w14:paraId="02CD9AAE" w14:textId="77777777" w:rsidR="00D52399" w:rsidRPr="005E3242" w:rsidRDefault="00D52399" w:rsidP="00C448E8">
      <w:pPr>
        <w:rPr>
          <w:color w:val="auto"/>
        </w:rPr>
      </w:pPr>
    </w:p>
    <w:sectPr w:rsidR="00D52399" w:rsidRPr="005E3242" w:rsidSect="00C9761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EFFF9" w14:textId="77777777" w:rsidR="00CC6580" w:rsidRDefault="00CC6580">
      <w:r>
        <w:separator/>
      </w:r>
    </w:p>
  </w:endnote>
  <w:endnote w:type="continuationSeparator" w:id="0">
    <w:p w14:paraId="74F8237D" w14:textId="77777777" w:rsidR="00CC6580" w:rsidRDefault="00CC6580">
      <w:r>
        <w:continuationSeparator/>
      </w:r>
    </w:p>
  </w:endnote>
  <w:endnote w:type="continuationNotice" w:id="1">
    <w:p w14:paraId="51EF5928" w14:textId="77777777" w:rsidR="00CC6580" w:rsidRDefault="00CC6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ACFFCFA" w:usb2="00000016" w:usb3="00000000" w:csb0="00100001" w:csb1="00000000"/>
  </w:font>
  <w:font w:name="Minion">
    <w:altName w:val="Cambria"/>
    <w:charset w:val="00"/>
    <w:family w:val="roman"/>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C042F" w14:textId="77777777" w:rsidR="00C448E8" w:rsidRDefault="00C44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9B9F" w14:textId="333511F9" w:rsidR="0068212F" w:rsidRPr="00926DAE" w:rsidRDefault="0068212F" w:rsidP="00926DAE">
    <w:pPr>
      <w:tabs>
        <w:tab w:val="center" w:pos="4513"/>
        <w:tab w:val="right" w:pos="9026"/>
      </w:tabs>
      <w:rPr>
        <w:sz w:val="20"/>
        <w:szCs w:val="20"/>
      </w:rPr>
    </w:pPr>
    <w:r>
      <w:rPr>
        <w:sz w:val="20"/>
        <w:szCs w:val="20"/>
      </w:rPr>
      <w:tab/>
    </w:r>
    <w:r>
      <w:rPr>
        <w:sz w:val="20"/>
        <w:szCs w:val="20"/>
      </w:rPr>
      <w:tab/>
    </w:r>
    <w:r w:rsidRPr="00CC6729">
      <w:rPr>
        <w:sz w:val="20"/>
        <w:szCs w:val="20"/>
      </w:rPr>
      <w:fldChar w:fldCharType="begin"/>
    </w:r>
    <w:r w:rsidRPr="00CC6729">
      <w:rPr>
        <w:sz w:val="20"/>
        <w:szCs w:val="20"/>
      </w:rPr>
      <w:instrText>PAGE</w:instrText>
    </w:r>
    <w:r w:rsidRPr="00CC6729">
      <w:rPr>
        <w:sz w:val="20"/>
        <w:szCs w:val="20"/>
      </w:rPr>
      <w:fldChar w:fldCharType="separate"/>
    </w:r>
    <w:r w:rsidR="008C1903">
      <w:rPr>
        <w:noProof/>
        <w:sz w:val="20"/>
        <w:szCs w:val="20"/>
      </w:rPr>
      <w:t>10</w:t>
    </w:r>
    <w:r w:rsidRPr="00CC672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7F9E0" w14:textId="1984AB5C" w:rsidR="0068212F" w:rsidRPr="00CC6729" w:rsidRDefault="0068212F" w:rsidP="00CC6729">
    <w:pPr>
      <w:tabs>
        <w:tab w:val="center" w:pos="4513"/>
        <w:tab w:val="right" w:pos="9026"/>
      </w:tabs>
      <w:rPr>
        <w:sz w:val="20"/>
        <w:szCs w:val="20"/>
      </w:rPr>
    </w:pPr>
    <w:r>
      <w:rPr>
        <w:sz w:val="20"/>
        <w:szCs w:val="20"/>
      </w:rPr>
      <w:t>phesgo2021</w:t>
    </w:r>
    <w:r w:rsidR="00681A9A">
      <w:rPr>
        <w:sz w:val="20"/>
        <w:szCs w:val="20"/>
      </w:rPr>
      <w:t>0706</w:t>
    </w:r>
    <w:r>
      <w:rPr>
        <w:sz w:val="20"/>
        <w:szCs w:val="20"/>
      </w:rPr>
      <w:tab/>
    </w:r>
    <w:r>
      <w:rPr>
        <w:sz w:val="20"/>
        <w:szCs w:val="20"/>
      </w:rPr>
      <w:tab/>
    </w:r>
    <w:r w:rsidRPr="00CC6729">
      <w:rPr>
        <w:sz w:val="20"/>
        <w:szCs w:val="20"/>
      </w:rPr>
      <w:fldChar w:fldCharType="begin"/>
    </w:r>
    <w:r w:rsidRPr="00CC6729">
      <w:rPr>
        <w:sz w:val="20"/>
        <w:szCs w:val="20"/>
      </w:rPr>
      <w:instrText>PAGE</w:instrText>
    </w:r>
    <w:r w:rsidRPr="00CC6729">
      <w:rPr>
        <w:sz w:val="20"/>
        <w:szCs w:val="20"/>
      </w:rPr>
      <w:fldChar w:fldCharType="separate"/>
    </w:r>
    <w:r w:rsidR="008C1903">
      <w:rPr>
        <w:noProof/>
        <w:sz w:val="20"/>
        <w:szCs w:val="20"/>
      </w:rPr>
      <w:t>1</w:t>
    </w:r>
    <w:r w:rsidRPr="00CC672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DA2F2" w14:textId="77777777" w:rsidR="00CC6580" w:rsidRDefault="00CC6580">
      <w:r>
        <w:separator/>
      </w:r>
    </w:p>
  </w:footnote>
  <w:footnote w:type="continuationSeparator" w:id="0">
    <w:p w14:paraId="3D1CD0E6" w14:textId="77777777" w:rsidR="00CC6580" w:rsidRDefault="00CC6580">
      <w:r>
        <w:continuationSeparator/>
      </w:r>
    </w:p>
  </w:footnote>
  <w:footnote w:type="continuationNotice" w:id="1">
    <w:p w14:paraId="6F42F6BC" w14:textId="77777777" w:rsidR="00CC6580" w:rsidRDefault="00CC6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95CD" w14:textId="77777777" w:rsidR="00C448E8" w:rsidRDefault="00C44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63A5" w14:textId="6DC2583C" w:rsidR="00C448E8" w:rsidRDefault="00C448E8">
    <w:pPr>
      <w:pStyle w:val="Header"/>
    </w:pPr>
  </w:p>
  <w:tbl>
    <w:tblPr>
      <w:tblStyle w:val="TableGrid"/>
      <w:tblW w:w="0" w:type="auto"/>
      <w:tblInd w:w="-113" w:type="dxa"/>
      <w:shd w:val="clear" w:color="auto" w:fill="E4F2E0"/>
      <w:tblLook w:val="04A0" w:firstRow="1" w:lastRow="0" w:firstColumn="1" w:lastColumn="0" w:noHBand="0" w:noVBand="1"/>
    </w:tblPr>
    <w:tblGrid>
      <w:gridCol w:w="9039"/>
    </w:tblGrid>
    <w:tr w:rsidR="00C448E8" w:rsidRPr="000B2145" w14:paraId="42DE6D8D" w14:textId="77777777" w:rsidTr="008264BB">
      <w:trPr>
        <w:trHeight w:val="1012"/>
      </w:trPr>
      <w:tc>
        <w:tcPr>
          <w:tcW w:w="9039" w:type="dxa"/>
          <w:shd w:val="clear" w:color="auto" w:fill="E4F2E0"/>
        </w:tcPr>
        <w:p w14:paraId="045EC5FF" w14:textId="77777777" w:rsidR="00C448E8" w:rsidRPr="000E4791" w:rsidRDefault="00C448E8" w:rsidP="00C448E8">
          <w:pPr>
            <w:pStyle w:val="Footer"/>
            <w:rPr>
              <w:b/>
              <w:sz w:val="18"/>
              <w:szCs w:val="18"/>
            </w:rPr>
          </w:pPr>
          <w:r w:rsidRPr="000E4791">
            <w:rPr>
              <w:b/>
              <w:sz w:val="18"/>
              <w:szCs w:val="18"/>
            </w:rPr>
            <w:t>Attachment 1</w:t>
          </w:r>
          <w:r>
            <w:t xml:space="preserve"> </w:t>
          </w:r>
          <w:proofErr w:type="spellStart"/>
          <w:r w:rsidRPr="00845054">
            <w:rPr>
              <w:b/>
              <w:sz w:val="18"/>
              <w:szCs w:val="18"/>
            </w:rPr>
            <w:t>AusPAR</w:t>
          </w:r>
          <w:proofErr w:type="spellEnd"/>
          <w:r w:rsidRPr="00845054">
            <w:rPr>
              <w:b/>
              <w:sz w:val="18"/>
              <w:szCs w:val="18"/>
            </w:rPr>
            <w:t xml:space="preserve"> – </w:t>
          </w:r>
          <w:proofErr w:type="spellStart"/>
          <w:r w:rsidRPr="00845054">
            <w:rPr>
              <w:b/>
              <w:sz w:val="18"/>
              <w:szCs w:val="18"/>
            </w:rPr>
            <w:t>Phesgo</w:t>
          </w:r>
          <w:proofErr w:type="spellEnd"/>
          <w:r w:rsidRPr="00845054">
            <w:rPr>
              <w:b/>
              <w:sz w:val="18"/>
              <w:szCs w:val="18"/>
            </w:rPr>
            <w:t xml:space="preserve"> SC – </w:t>
          </w:r>
          <w:proofErr w:type="spellStart"/>
          <w:r w:rsidRPr="00845054">
            <w:rPr>
              <w:b/>
              <w:sz w:val="18"/>
              <w:szCs w:val="18"/>
            </w:rPr>
            <w:t>pertuzumab</w:t>
          </w:r>
          <w:proofErr w:type="spellEnd"/>
          <w:r w:rsidRPr="00845054">
            <w:rPr>
              <w:b/>
              <w:sz w:val="18"/>
              <w:szCs w:val="18"/>
            </w:rPr>
            <w:t>/trastuzumab - Roche Products Pty Ltd - PM-2020-01326-1-4</w:t>
          </w:r>
          <w:r>
            <w:rPr>
              <w:b/>
              <w:sz w:val="18"/>
              <w:szCs w:val="18"/>
            </w:rPr>
            <w:t xml:space="preserve"> </w:t>
          </w:r>
          <w:r w:rsidRPr="00845054">
            <w:rPr>
              <w:b/>
              <w:sz w:val="18"/>
              <w:szCs w:val="18"/>
            </w:rPr>
            <w:t>Final 20 September 2021</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53BFE91C" w14:textId="77777777" w:rsidR="00C448E8" w:rsidRDefault="00C44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137E" w14:textId="45E70FE1" w:rsidR="0068212F" w:rsidRDefault="0068212F" w:rsidP="00C448E8"/>
  <w:tbl>
    <w:tblPr>
      <w:tblStyle w:val="TableGrid"/>
      <w:tblW w:w="0" w:type="auto"/>
      <w:tblInd w:w="-113" w:type="dxa"/>
      <w:shd w:val="clear" w:color="auto" w:fill="E4F2E0"/>
      <w:tblLook w:val="04A0" w:firstRow="1" w:lastRow="0" w:firstColumn="1" w:lastColumn="0" w:noHBand="0" w:noVBand="1"/>
    </w:tblPr>
    <w:tblGrid>
      <w:gridCol w:w="9039"/>
    </w:tblGrid>
    <w:tr w:rsidR="00C448E8" w:rsidRPr="000B2145" w14:paraId="5FC38AC2" w14:textId="77777777" w:rsidTr="008264BB">
      <w:trPr>
        <w:trHeight w:val="1012"/>
      </w:trPr>
      <w:tc>
        <w:tcPr>
          <w:tcW w:w="9039" w:type="dxa"/>
          <w:shd w:val="clear" w:color="auto" w:fill="E4F2E0"/>
        </w:tcPr>
        <w:p w14:paraId="10F9F1F2" w14:textId="77777777" w:rsidR="00C448E8" w:rsidRPr="000E4791" w:rsidRDefault="00C448E8" w:rsidP="00C448E8">
          <w:pPr>
            <w:pStyle w:val="Footer"/>
            <w:rPr>
              <w:b/>
              <w:sz w:val="18"/>
              <w:szCs w:val="18"/>
            </w:rPr>
          </w:pPr>
          <w:bookmarkStart w:id="12" w:name="_Hlk80611440"/>
          <w:r w:rsidRPr="000E4791">
            <w:rPr>
              <w:b/>
              <w:sz w:val="18"/>
              <w:szCs w:val="18"/>
            </w:rPr>
            <w:t>Attachment 1</w:t>
          </w:r>
          <w:r>
            <w:t xml:space="preserve"> </w:t>
          </w:r>
          <w:proofErr w:type="spellStart"/>
          <w:r w:rsidRPr="00845054">
            <w:rPr>
              <w:b/>
              <w:sz w:val="18"/>
              <w:szCs w:val="18"/>
            </w:rPr>
            <w:t>AusPAR</w:t>
          </w:r>
          <w:proofErr w:type="spellEnd"/>
          <w:r w:rsidRPr="00845054">
            <w:rPr>
              <w:b/>
              <w:sz w:val="18"/>
              <w:szCs w:val="18"/>
            </w:rPr>
            <w:t xml:space="preserve"> – </w:t>
          </w:r>
          <w:proofErr w:type="spellStart"/>
          <w:r w:rsidRPr="00845054">
            <w:rPr>
              <w:b/>
              <w:sz w:val="18"/>
              <w:szCs w:val="18"/>
            </w:rPr>
            <w:t>Phesgo</w:t>
          </w:r>
          <w:proofErr w:type="spellEnd"/>
          <w:r w:rsidRPr="00845054">
            <w:rPr>
              <w:b/>
              <w:sz w:val="18"/>
              <w:szCs w:val="18"/>
            </w:rPr>
            <w:t xml:space="preserve"> SC – </w:t>
          </w:r>
          <w:proofErr w:type="spellStart"/>
          <w:r w:rsidRPr="00845054">
            <w:rPr>
              <w:b/>
              <w:sz w:val="18"/>
              <w:szCs w:val="18"/>
            </w:rPr>
            <w:t>pertuzumab</w:t>
          </w:r>
          <w:proofErr w:type="spellEnd"/>
          <w:r w:rsidRPr="00845054">
            <w:rPr>
              <w:b/>
              <w:sz w:val="18"/>
              <w:szCs w:val="18"/>
            </w:rPr>
            <w:t>/trastuzumab - Roche Products Pty Ltd - PM-2020-01326-1-4</w:t>
          </w:r>
          <w:r>
            <w:rPr>
              <w:b/>
              <w:sz w:val="18"/>
              <w:szCs w:val="18"/>
            </w:rPr>
            <w:t xml:space="preserve"> </w:t>
          </w:r>
          <w:r w:rsidRPr="00845054">
            <w:rPr>
              <w:b/>
              <w:sz w:val="18"/>
              <w:szCs w:val="18"/>
            </w:rPr>
            <w:t>Final 20 September 2021</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2"/>
  </w:tbl>
  <w:p w14:paraId="4C5917FC" w14:textId="77777777" w:rsidR="00C448E8" w:rsidRDefault="00C448E8" w:rsidP="00C448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546C"/>
    <w:multiLevelType w:val="multilevel"/>
    <w:tmpl w:val="D1567B5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F636C9"/>
    <w:multiLevelType w:val="hybridMultilevel"/>
    <w:tmpl w:val="B802DB88"/>
    <w:lvl w:ilvl="0" w:tplc="188624A6">
      <w:start w:val="1"/>
      <w:numFmt w:val="bullet"/>
      <w:lvlText w:val=""/>
      <w:lvlJc w:val="left"/>
      <w:pPr>
        <w:tabs>
          <w:tab w:val="num" w:pos="720"/>
        </w:tabs>
        <w:ind w:left="720" w:hanging="360"/>
      </w:pPr>
      <w:rPr>
        <w:rFonts w:ascii="Symbol" w:hAnsi="Symbol" w:hint="default"/>
      </w:rPr>
    </w:lvl>
    <w:lvl w:ilvl="1" w:tplc="5BA0A42C">
      <w:start w:val="1"/>
      <w:numFmt w:val="bullet"/>
      <w:lvlText w:val="o"/>
      <w:lvlJc w:val="left"/>
      <w:pPr>
        <w:tabs>
          <w:tab w:val="num" w:pos="1440"/>
        </w:tabs>
        <w:ind w:left="1440" w:hanging="360"/>
      </w:pPr>
      <w:rPr>
        <w:rFonts w:ascii="Courier New" w:hAnsi="Courier New" w:cs="Times New Roman" w:hint="default"/>
      </w:rPr>
    </w:lvl>
    <w:lvl w:ilvl="2" w:tplc="BDDEA722">
      <w:start w:val="1"/>
      <w:numFmt w:val="bullet"/>
      <w:lvlText w:val=""/>
      <w:lvlJc w:val="left"/>
      <w:pPr>
        <w:tabs>
          <w:tab w:val="num" w:pos="2160"/>
        </w:tabs>
        <w:ind w:left="2160" w:hanging="360"/>
      </w:pPr>
      <w:rPr>
        <w:rFonts w:ascii="Wingdings" w:hAnsi="Wingdings" w:hint="default"/>
      </w:rPr>
    </w:lvl>
    <w:lvl w:ilvl="3" w:tplc="492E002C">
      <w:start w:val="1"/>
      <w:numFmt w:val="bullet"/>
      <w:lvlText w:val=""/>
      <w:lvlJc w:val="left"/>
      <w:pPr>
        <w:tabs>
          <w:tab w:val="num" w:pos="2880"/>
        </w:tabs>
        <w:ind w:left="2880" w:hanging="360"/>
      </w:pPr>
      <w:rPr>
        <w:rFonts w:ascii="Symbol" w:hAnsi="Symbol" w:hint="default"/>
      </w:rPr>
    </w:lvl>
    <w:lvl w:ilvl="4" w:tplc="0A8A8C1E">
      <w:start w:val="1"/>
      <w:numFmt w:val="bullet"/>
      <w:lvlText w:val="o"/>
      <w:lvlJc w:val="left"/>
      <w:pPr>
        <w:tabs>
          <w:tab w:val="num" w:pos="3600"/>
        </w:tabs>
        <w:ind w:left="3600" w:hanging="360"/>
      </w:pPr>
      <w:rPr>
        <w:rFonts w:ascii="Courier New" w:hAnsi="Courier New" w:cs="Times New Roman" w:hint="default"/>
      </w:rPr>
    </w:lvl>
    <w:lvl w:ilvl="5" w:tplc="BF50DF06">
      <w:start w:val="1"/>
      <w:numFmt w:val="bullet"/>
      <w:lvlText w:val=""/>
      <w:lvlJc w:val="left"/>
      <w:pPr>
        <w:tabs>
          <w:tab w:val="num" w:pos="4320"/>
        </w:tabs>
        <w:ind w:left="4320" w:hanging="360"/>
      </w:pPr>
      <w:rPr>
        <w:rFonts w:ascii="Wingdings" w:hAnsi="Wingdings" w:hint="default"/>
      </w:rPr>
    </w:lvl>
    <w:lvl w:ilvl="6" w:tplc="AE86C488">
      <w:start w:val="1"/>
      <w:numFmt w:val="bullet"/>
      <w:lvlText w:val=""/>
      <w:lvlJc w:val="left"/>
      <w:pPr>
        <w:tabs>
          <w:tab w:val="num" w:pos="5040"/>
        </w:tabs>
        <w:ind w:left="5040" w:hanging="360"/>
      </w:pPr>
      <w:rPr>
        <w:rFonts w:ascii="Symbol" w:hAnsi="Symbol" w:hint="default"/>
      </w:rPr>
    </w:lvl>
    <w:lvl w:ilvl="7" w:tplc="28B62592">
      <w:start w:val="1"/>
      <w:numFmt w:val="bullet"/>
      <w:lvlText w:val="o"/>
      <w:lvlJc w:val="left"/>
      <w:pPr>
        <w:tabs>
          <w:tab w:val="num" w:pos="5760"/>
        </w:tabs>
        <w:ind w:left="5760" w:hanging="360"/>
      </w:pPr>
      <w:rPr>
        <w:rFonts w:ascii="Courier New" w:hAnsi="Courier New" w:cs="Times New Roman" w:hint="default"/>
      </w:rPr>
    </w:lvl>
    <w:lvl w:ilvl="8" w:tplc="DD8E0D1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C2836"/>
    <w:multiLevelType w:val="hybridMultilevel"/>
    <w:tmpl w:val="C0AE60B0"/>
    <w:lvl w:ilvl="0" w:tplc="49BADBF4">
      <w:start w:val="1"/>
      <w:numFmt w:val="bullet"/>
      <w:lvlText w:val=""/>
      <w:lvlJc w:val="left"/>
      <w:pPr>
        <w:ind w:left="720" w:hanging="360"/>
      </w:pPr>
      <w:rPr>
        <w:rFonts w:ascii="Symbol" w:hAnsi="Symbol" w:hint="default"/>
      </w:rPr>
    </w:lvl>
    <w:lvl w:ilvl="1" w:tplc="A4168DA8">
      <w:start w:val="1"/>
      <w:numFmt w:val="bullet"/>
      <w:lvlText w:val="o"/>
      <w:lvlJc w:val="left"/>
      <w:pPr>
        <w:ind w:left="1440" w:hanging="360"/>
      </w:pPr>
      <w:rPr>
        <w:rFonts w:ascii="Courier New" w:hAnsi="Courier New" w:cs="Courier New" w:hint="default"/>
      </w:rPr>
    </w:lvl>
    <w:lvl w:ilvl="2" w:tplc="E098B8A4">
      <w:start w:val="1"/>
      <w:numFmt w:val="bullet"/>
      <w:lvlText w:val=""/>
      <w:lvlJc w:val="left"/>
      <w:pPr>
        <w:ind w:left="2160" w:hanging="360"/>
      </w:pPr>
      <w:rPr>
        <w:rFonts w:ascii="Wingdings" w:hAnsi="Wingdings" w:hint="default"/>
      </w:rPr>
    </w:lvl>
    <w:lvl w:ilvl="3" w:tplc="F1329AA4">
      <w:start w:val="1"/>
      <w:numFmt w:val="bullet"/>
      <w:lvlText w:val=""/>
      <w:lvlJc w:val="left"/>
      <w:pPr>
        <w:ind w:left="2880" w:hanging="360"/>
      </w:pPr>
      <w:rPr>
        <w:rFonts w:ascii="Symbol" w:hAnsi="Symbol" w:hint="default"/>
      </w:rPr>
    </w:lvl>
    <w:lvl w:ilvl="4" w:tplc="28C43BD8">
      <w:start w:val="1"/>
      <w:numFmt w:val="bullet"/>
      <w:lvlText w:val="o"/>
      <w:lvlJc w:val="left"/>
      <w:pPr>
        <w:ind w:left="3600" w:hanging="360"/>
      </w:pPr>
      <w:rPr>
        <w:rFonts w:ascii="Courier New" w:hAnsi="Courier New" w:cs="Courier New" w:hint="default"/>
      </w:rPr>
    </w:lvl>
    <w:lvl w:ilvl="5" w:tplc="1EACF2E2">
      <w:start w:val="1"/>
      <w:numFmt w:val="bullet"/>
      <w:lvlText w:val=""/>
      <w:lvlJc w:val="left"/>
      <w:pPr>
        <w:ind w:left="4320" w:hanging="360"/>
      </w:pPr>
      <w:rPr>
        <w:rFonts w:ascii="Wingdings" w:hAnsi="Wingdings" w:hint="default"/>
      </w:rPr>
    </w:lvl>
    <w:lvl w:ilvl="6" w:tplc="4C56CCA8">
      <w:start w:val="1"/>
      <w:numFmt w:val="bullet"/>
      <w:lvlText w:val=""/>
      <w:lvlJc w:val="left"/>
      <w:pPr>
        <w:ind w:left="5040" w:hanging="360"/>
      </w:pPr>
      <w:rPr>
        <w:rFonts w:ascii="Symbol" w:hAnsi="Symbol" w:hint="default"/>
      </w:rPr>
    </w:lvl>
    <w:lvl w:ilvl="7" w:tplc="EB42DD9A">
      <w:start w:val="1"/>
      <w:numFmt w:val="bullet"/>
      <w:lvlText w:val="o"/>
      <w:lvlJc w:val="left"/>
      <w:pPr>
        <w:ind w:left="5760" w:hanging="360"/>
      </w:pPr>
      <w:rPr>
        <w:rFonts w:ascii="Courier New" w:hAnsi="Courier New" w:cs="Courier New" w:hint="default"/>
      </w:rPr>
    </w:lvl>
    <w:lvl w:ilvl="8" w:tplc="15909540">
      <w:start w:val="1"/>
      <w:numFmt w:val="bullet"/>
      <w:lvlText w:val=""/>
      <w:lvlJc w:val="left"/>
      <w:pPr>
        <w:ind w:left="6480" w:hanging="360"/>
      </w:pPr>
      <w:rPr>
        <w:rFonts w:ascii="Wingdings" w:hAnsi="Wingdings" w:hint="default"/>
      </w:rPr>
    </w:lvl>
  </w:abstractNum>
  <w:abstractNum w:abstractNumId="3" w15:restartNumberingAfterBreak="0">
    <w:nsid w:val="234F4CF9"/>
    <w:multiLevelType w:val="multilevel"/>
    <w:tmpl w:val="5322CFA8"/>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9F967BD"/>
    <w:multiLevelType w:val="hybridMultilevel"/>
    <w:tmpl w:val="197E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628F4"/>
    <w:multiLevelType w:val="hybridMultilevel"/>
    <w:tmpl w:val="C082BE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1C210BA"/>
    <w:multiLevelType w:val="hybridMultilevel"/>
    <w:tmpl w:val="A2F4E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55CC4"/>
    <w:multiLevelType w:val="hybridMultilevel"/>
    <w:tmpl w:val="35CAE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4090F"/>
    <w:multiLevelType w:val="hybridMultilevel"/>
    <w:tmpl w:val="793EA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FA1685"/>
    <w:multiLevelType w:val="hybridMultilevel"/>
    <w:tmpl w:val="8F1C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74804"/>
    <w:multiLevelType w:val="hybridMultilevel"/>
    <w:tmpl w:val="F97E1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2D45AE"/>
    <w:multiLevelType w:val="hybridMultilevel"/>
    <w:tmpl w:val="D3702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3D3870"/>
    <w:multiLevelType w:val="hybridMultilevel"/>
    <w:tmpl w:val="4D701B5C"/>
    <w:lvl w:ilvl="0" w:tplc="34EC8830">
      <w:start w:val="1"/>
      <w:numFmt w:val="bullet"/>
      <w:lvlText w:val=""/>
      <w:lvlJc w:val="left"/>
      <w:pPr>
        <w:ind w:left="720" w:hanging="360"/>
      </w:pPr>
      <w:rPr>
        <w:rFonts w:ascii="Symbol" w:hAnsi="Symbol" w:hint="default"/>
      </w:rPr>
    </w:lvl>
    <w:lvl w:ilvl="1" w:tplc="33B297EA" w:tentative="1">
      <w:start w:val="1"/>
      <w:numFmt w:val="bullet"/>
      <w:lvlText w:val="o"/>
      <w:lvlJc w:val="left"/>
      <w:pPr>
        <w:ind w:left="1440" w:hanging="360"/>
      </w:pPr>
      <w:rPr>
        <w:rFonts w:ascii="Courier New" w:hAnsi="Courier New" w:cs="Courier New" w:hint="default"/>
      </w:rPr>
    </w:lvl>
    <w:lvl w:ilvl="2" w:tplc="5706DB30" w:tentative="1">
      <w:start w:val="1"/>
      <w:numFmt w:val="bullet"/>
      <w:lvlText w:val=""/>
      <w:lvlJc w:val="left"/>
      <w:pPr>
        <w:ind w:left="2160" w:hanging="360"/>
      </w:pPr>
      <w:rPr>
        <w:rFonts w:ascii="Wingdings" w:hAnsi="Wingdings" w:hint="default"/>
      </w:rPr>
    </w:lvl>
    <w:lvl w:ilvl="3" w:tplc="7DD85560" w:tentative="1">
      <w:start w:val="1"/>
      <w:numFmt w:val="bullet"/>
      <w:lvlText w:val=""/>
      <w:lvlJc w:val="left"/>
      <w:pPr>
        <w:ind w:left="2880" w:hanging="360"/>
      </w:pPr>
      <w:rPr>
        <w:rFonts w:ascii="Symbol" w:hAnsi="Symbol" w:hint="default"/>
      </w:rPr>
    </w:lvl>
    <w:lvl w:ilvl="4" w:tplc="C6AA0B48" w:tentative="1">
      <w:start w:val="1"/>
      <w:numFmt w:val="bullet"/>
      <w:lvlText w:val="o"/>
      <w:lvlJc w:val="left"/>
      <w:pPr>
        <w:ind w:left="3600" w:hanging="360"/>
      </w:pPr>
      <w:rPr>
        <w:rFonts w:ascii="Courier New" w:hAnsi="Courier New" w:cs="Courier New" w:hint="default"/>
      </w:rPr>
    </w:lvl>
    <w:lvl w:ilvl="5" w:tplc="1E6EB488" w:tentative="1">
      <w:start w:val="1"/>
      <w:numFmt w:val="bullet"/>
      <w:lvlText w:val=""/>
      <w:lvlJc w:val="left"/>
      <w:pPr>
        <w:ind w:left="4320" w:hanging="360"/>
      </w:pPr>
      <w:rPr>
        <w:rFonts w:ascii="Wingdings" w:hAnsi="Wingdings" w:hint="default"/>
      </w:rPr>
    </w:lvl>
    <w:lvl w:ilvl="6" w:tplc="7840A12A" w:tentative="1">
      <w:start w:val="1"/>
      <w:numFmt w:val="bullet"/>
      <w:lvlText w:val=""/>
      <w:lvlJc w:val="left"/>
      <w:pPr>
        <w:ind w:left="5040" w:hanging="360"/>
      </w:pPr>
      <w:rPr>
        <w:rFonts w:ascii="Symbol" w:hAnsi="Symbol" w:hint="default"/>
      </w:rPr>
    </w:lvl>
    <w:lvl w:ilvl="7" w:tplc="6BAE831A" w:tentative="1">
      <w:start w:val="1"/>
      <w:numFmt w:val="bullet"/>
      <w:lvlText w:val="o"/>
      <w:lvlJc w:val="left"/>
      <w:pPr>
        <w:ind w:left="5760" w:hanging="360"/>
      </w:pPr>
      <w:rPr>
        <w:rFonts w:ascii="Courier New" w:hAnsi="Courier New" w:cs="Courier New" w:hint="default"/>
      </w:rPr>
    </w:lvl>
    <w:lvl w:ilvl="8" w:tplc="E00852F2" w:tentative="1">
      <w:start w:val="1"/>
      <w:numFmt w:val="bullet"/>
      <w:lvlText w:val=""/>
      <w:lvlJc w:val="left"/>
      <w:pPr>
        <w:ind w:left="6480" w:hanging="360"/>
      </w:pPr>
      <w:rPr>
        <w:rFonts w:ascii="Wingdings" w:hAnsi="Wingdings" w:hint="default"/>
      </w:rPr>
    </w:lvl>
  </w:abstractNum>
  <w:abstractNum w:abstractNumId="13" w15:restartNumberingAfterBreak="0">
    <w:nsid w:val="6AB03712"/>
    <w:multiLevelType w:val="hybridMultilevel"/>
    <w:tmpl w:val="6E726522"/>
    <w:lvl w:ilvl="0" w:tplc="2D2EB73E">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D4775E"/>
    <w:multiLevelType w:val="hybridMultilevel"/>
    <w:tmpl w:val="2382A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27FE2"/>
    <w:multiLevelType w:val="multilevel"/>
    <w:tmpl w:val="AE080A88"/>
    <w:lvl w:ilvl="0">
      <w:start w:val="4"/>
      <w:numFmt w:val="decimal"/>
      <w:lvlText w:val="%1.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
  </w:num>
  <w:num w:numId="3">
    <w:abstractNumId w:val="0"/>
  </w:num>
  <w:num w:numId="4">
    <w:abstractNumId w:val="13"/>
  </w:num>
  <w:num w:numId="5">
    <w:abstractNumId w:val="6"/>
  </w:num>
  <w:num w:numId="6">
    <w:abstractNumId w:val="12"/>
  </w:num>
  <w:num w:numId="7">
    <w:abstractNumId w:val="12"/>
  </w:num>
  <w:num w:numId="8">
    <w:abstractNumId w:val="2"/>
  </w:num>
  <w:num w:numId="9">
    <w:abstractNumId w:val="1"/>
  </w:num>
  <w:num w:numId="10">
    <w:abstractNumId w:val="9"/>
  </w:num>
  <w:num w:numId="11">
    <w:abstractNumId w:val="4"/>
  </w:num>
  <w:num w:numId="12">
    <w:abstractNumId w:val="5"/>
  </w:num>
  <w:num w:numId="13">
    <w:abstractNumId w:val="7"/>
  </w:num>
  <w:num w:numId="14">
    <w:abstractNumId w:val="11"/>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n-NZ" w:vendorID="64" w:dllVersion="6" w:nlCheck="1" w:checkStyle="0"/>
  <w:activeWritingStyle w:appName="MSWord" w:lang="de-CH" w:vendorID="64" w:dllVersion="6" w:nlCheck="1" w:checkStyle="0"/>
  <w:activeWritingStyle w:appName="MSWord" w:lang="pt-BR" w:vendorID="64" w:dllVersion="6" w:nlCheck="1" w:checkStyle="0"/>
  <w:activeWritingStyle w:appName="MSWord" w:lang="fr-FR" w:vendorID="64" w:dllVersion="6" w:nlCheck="1" w:checkStyle="0"/>
  <w:activeWritingStyle w:appName="MSWord" w:lang="en-AU" w:vendorID="64" w:dllVersion="6" w:nlCheck="1" w:checkStyle="1"/>
  <w:activeWritingStyle w:appName="MSWord" w:lang="it-IT" w:vendorID="64" w:dllVersion="6" w:nlCheck="1" w:checkStyle="0"/>
  <w:activeWritingStyle w:appName="MSWord" w:lang="en-NZ"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2E"/>
    <w:rsid w:val="00001BD4"/>
    <w:rsid w:val="00004A4C"/>
    <w:rsid w:val="0000582D"/>
    <w:rsid w:val="00013F9F"/>
    <w:rsid w:val="0001463A"/>
    <w:rsid w:val="00015D99"/>
    <w:rsid w:val="00016ED2"/>
    <w:rsid w:val="00025838"/>
    <w:rsid w:val="000269F6"/>
    <w:rsid w:val="000350AF"/>
    <w:rsid w:val="00035539"/>
    <w:rsid w:val="00036491"/>
    <w:rsid w:val="00040476"/>
    <w:rsid w:val="00041B5E"/>
    <w:rsid w:val="00041BAB"/>
    <w:rsid w:val="00043588"/>
    <w:rsid w:val="00045105"/>
    <w:rsid w:val="00045853"/>
    <w:rsid w:val="00052234"/>
    <w:rsid w:val="00056281"/>
    <w:rsid w:val="00073855"/>
    <w:rsid w:val="00077295"/>
    <w:rsid w:val="0008763A"/>
    <w:rsid w:val="00090216"/>
    <w:rsid w:val="00090719"/>
    <w:rsid w:val="000917E2"/>
    <w:rsid w:val="000A3CB7"/>
    <w:rsid w:val="000A665B"/>
    <w:rsid w:val="000A67CC"/>
    <w:rsid w:val="000B304D"/>
    <w:rsid w:val="000B43CA"/>
    <w:rsid w:val="000B454E"/>
    <w:rsid w:val="000C03B0"/>
    <w:rsid w:val="000C175A"/>
    <w:rsid w:val="000C4FFB"/>
    <w:rsid w:val="000D0B2E"/>
    <w:rsid w:val="000D1E76"/>
    <w:rsid w:val="000D20A2"/>
    <w:rsid w:val="000E2E73"/>
    <w:rsid w:val="000E71A5"/>
    <w:rsid w:val="000F18DE"/>
    <w:rsid w:val="000F29B6"/>
    <w:rsid w:val="00100F43"/>
    <w:rsid w:val="001046B8"/>
    <w:rsid w:val="00107F79"/>
    <w:rsid w:val="00112A1B"/>
    <w:rsid w:val="00121012"/>
    <w:rsid w:val="001234ED"/>
    <w:rsid w:val="001247FD"/>
    <w:rsid w:val="00125C47"/>
    <w:rsid w:val="00126BA6"/>
    <w:rsid w:val="00127AA5"/>
    <w:rsid w:val="001305E9"/>
    <w:rsid w:val="0014080D"/>
    <w:rsid w:val="00141698"/>
    <w:rsid w:val="0014219C"/>
    <w:rsid w:val="0014307B"/>
    <w:rsid w:val="001473C7"/>
    <w:rsid w:val="00162464"/>
    <w:rsid w:val="001668FB"/>
    <w:rsid w:val="001727F5"/>
    <w:rsid w:val="00177498"/>
    <w:rsid w:val="00177D8C"/>
    <w:rsid w:val="001828BF"/>
    <w:rsid w:val="001866E6"/>
    <w:rsid w:val="00186992"/>
    <w:rsid w:val="001903E0"/>
    <w:rsid w:val="00191B0B"/>
    <w:rsid w:val="00195298"/>
    <w:rsid w:val="001A0C8D"/>
    <w:rsid w:val="001A6754"/>
    <w:rsid w:val="001B0A03"/>
    <w:rsid w:val="001B4D3C"/>
    <w:rsid w:val="001B5305"/>
    <w:rsid w:val="001C61E3"/>
    <w:rsid w:val="001C68B6"/>
    <w:rsid w:val="001C6A7E"/>
    <w:rsid w:val="001D37D6"/>
    <w:rsid w:val="001D4F10"/>
    <w:rsid w:val="001D5E24"/>
    <w:rsid w:val="001E0DBF"/>
    <w:rsid w:val="001E2087"/>
    <w:rsid w:val="001E6F11"/>
    <w:rsid w:val="001F66AF"/>
    <w:rsid w:val="002023E4"/>
    <w:rsid w:val="0020270F"/>
    <w:rsid w:val="00202A8C"/>
    <w:rsid w:val="00204E7E"/>
    <w:rsid w:val="00205A38"/>
    <w:rsid w:val="002107F5"/>
    <w:rsid w:val="00212462"/>
    <w:rsid w:val="00213ABE"/>
    <w:rsid w:val="00214D65"/>
    <w:rsid w:val="00217FDD"/>
    <w:rsid w:val="00220320"/>
    <w:rsid w:val="00222856"/>
    <w:rsid w:val="002243E5"/>
    <w:rsid w:val="00227846"/>
    <w:rsid w:val="00227EEC"/>
    <w:rsid w:val="002313A5"/>
    <w:rsid w:val="00232C6D"/>
    <w:rsid w:val="00233F9C"/>
    <w:rsid w:val="00234098"/>
    <w:rsid w:val="00240401"/>
    <w:rsid w:val="002458AF"/>
    <w:rsid w:val="00250D15"/>
    <w:rsid w:val="00250F36"/>
    <w:rsid w:val="00252900"/>
    <w:rsid w:val="00260301"/>
    <w:rsid w:val="002606BF"/>
    <w:rsid w:val="00263A4F"/>
    <w:rsid w:val="00271DBF"/>
    <w:rsid w:val="00272AB3"/>
    <w:rsid w:val="002822F3"/>
    <w:rsid w:val="00282382"/>
    <w:rsid w:val="002909E4"/>
    <w:rsid w:val="002B0991"/>
    <w:rsid w:val="002C684B"/>
    <w:rsid w:val="002C749A"/>
    <w:rsid w:val="002C78DE"/>
    <w:rsid w:val="002D2C29"/>
    <w:rsid w:val="002D39AA"/>
    <w:rsid w:val="002D4E94"/>
    <w:rsid w:val="002D7E1E"/>
    <w:rsid w:val="002E47D0"/>
    <w:rsid w:val="002F1F77"/>
    <w:rsid w:val="00302709"/>
    <w:rsid w:val="003034E1"/>
    <w:rsid w:val="003048E9"/>
    <w:rsid w:val="00313F9F"/>
    <w:rsid w:val="003150CA"/>
    <w:rsid w:val="00315B0F"/>
    <w:rsid w:val="00320748"/>
    <w:rsid w:val="003239CC"/>
    <w:rsid w:val="00324FD9"/>
    <w:rsid w:val="00331085"/>
    <w:rsid w:val="00331FCC"/>
    <w:rsid w:val="0033537C"/>
    <w:rsid w:val="00335EB0"/>
    <w:rsid w:val="00341195"/>
    <w:rsid w:val="00350728"/>
    <w:rsid w:val="00350B15"/>
    <w:rsid w:val="00351FC8"/>
    <w:rsid w:val="003561C9"/>
    <w:rsid w:val="00361845"/>
    <w:rsid w:val="00362D3F"/>
    <w:rsid w:val="00363C7F"/>
    <w:rsid w:val="003658A1"/>
    <w:rsid w:val="00371D98"/>
    <w:rsid w:val="00372C0D"/>
    <w:rsid w:val="003739A0"/>
    <w:rsid w:val="00374266"/>
    <w:rsid w:val="0037495B"/>
    <w:rsid w:val="003760C0"/>
    <w:rsid w:val="00376167"/>
    <w:rsid w:val="00376F49"/>
    <w:rsid w:val="003928F8"/>
    <w:rsid w:val="00396378"/>
    <w:rsid w:val="003A4B8B"/>
    <w:rsid w:val="003B157E"/>
    <w:rsid w:val="003B5FD9"/>
    <w:rsid w:val="003C1D98"/>
    <w:rsid w:val="003C2CD3"/>
    <w:rsid w:val="003C4906"/>
    <w:rsid w:val="003D41C7"/>
    <w:rsid w:val="003D4CBC"/>
    <w:rsid w:val="003E07AC"/>
    <w:rsid w:val="003E0C52"/>
    <w:rsid w:val="003E22DC"/>
    <w:rsid w:val="003E51CC"/>
    <w:rsid w:val="003F4970"/>
    <w:rsid w:val="003F4B53"/>
    <w:rsid w:val="003F4DF6"/>
    <w:rsid w:val="003F7F5F"/>
    <w:rsid w:val="004017CF"/>
    <w:rsid w:val="00406434"/>
    <w:rsid w:val="00407592"/>
    <w:rsid w:val="00407719"/>
    <w:rsid w:val="004102A9"/>
    <w:rsid w:val="00410F6E"/>
    <w:rsid w:val="00412752"/>
    <w:rsid w:val="00413A78"/>
    <w:rsid w:val="004140C6"/>
    <w:rsid w:val="00414117"/>
    <w:rsid w:val="00420C3C"/>
    <w:rsid w:val="00421506"/>
    <w:rsid w:val="00421B41"/>
    <w:rsid w:val="00426A21"/>
    <w:rsid w:val="00434F3D"/>
    <w:rsid w:val="004377A5"/>
    <w:rsid w:val="00437D9A"/>
    <w:rsid w:val="00445FD8"/>
    <w:rsid w:val="00447CD4"/>
    <w:rsid w:val="00454AEF"/>
    <w:rsid w:val="00462194"/>
    <w:rsid w:val="004667E1"/>
    <w:rsid w:val="004712BE"/>
    <w:rsid w:val="0047363D"/>
    <w:rsid w:val="00482403"/>
    <w:rsid w:val="00490E0B"/>
    <w:rsid w:val="0049399B"/>
    <w:rsid w:val="00496878"/>
    <w:rsid w:val="004A0367"/>
    <w:rsid w:val="004B0A80"/>
    <w:rsid w:val="004B1292"/>
    <w:rsid w:val="004B1649"/>
    <w:rsid w:val="004C0855"/>
    <w:rsid w:val="004C405D"/>
    <w:rsid w:val="004C5CDE"/>
    <w:rsid w:val="004D0546"/>
    <w:rsid w:val="004D7F6F"/>
    <w:rsid w:val="004F1432"/>
    <w:rsid w:val="004F16B4"/>
    <w:rsid w:val="004F5000"/>
    <w:rsid w:val="00503923"/>
    <w:rsid w:val="00503C84"/>
    <w:rsid w:val="00507FC3"/>
    <w:rsid w:val="00510774"/>
    <w:rsid w:val="00513230"/>
    <w:rsid w:val="0051464C"/>
    <w:rsid w:val="00517995"/>
    <w:rsid w:val="00534F6B"/>
    <w:rsid w:val="005428D2"/>
    <w:rsid w:val="00550899"/>
    <w:rsid w:val="005519F8"/>
    <w:rsid w:val="0055228E"/>
    <w:rsid w:val="005547DD"/>
    <w:rsid w:val="0055709F"/>
    <w:rsid w:val="005602C1"/>
    <w:rsid w:val="00565655"/>
    <w:rsid w:val="00574922"/>
    <w:rsid w:val="0058141F"/>
    <w:rsid w:val="0058498D"/>
    <w:rsid w:val="005864FB"/>
    <w:rsid w:val="0059015B"/>
    <w:rsid w:val="005904B8"/>
    <w:rsid w:val="00593BB3"/>
    <w:rsid w:val="00594C19"/>
    <w:rsid w:val="005B066A"/>
    <w:rsid w:val="005B0D29"/>
    <w:rsid w:val="005B2D10"/>
    <w:rsid w:val="005B2DAD"/>
    <w:rsid w:val="005B6F90"/>
    <w:rsid w:val="005C1B9A"/>
    <w:rsid w:val="005C290A"/>
    <w:rsid w:val="005D5250"/>
    <w:rsid w:val="005E18F0"/>
    <w:rsid w:val="005E1A6C"/>
    <w:rsid w:val="005E3242"/>
    <w:rsid w:val="005F36FD"/>
    <w:rsid w:val="00601523"/>
    <w:rsid w:val="00603082"/>
    <w:rsid w:val="0060516B"/>
    <w:rsid w:val="00607286"/>
    <w:rsid w:val="0060782A"/>
    <w:rsid w:val="00615052"/>
    <w:rsid w:val="0062200E"/>
    <w:rsid w:val="00624397"/>
    <w:rsid w:val="00630208"/>
    <w:rsid w:val="00644D3D"/>
    <w:rsid w:val="00654F5C"/>
    <w:rsid w:val="00674CFD"/>
    <w:rsid w:val="00675D05"/>
    <w:rsid w:val="00677CCB"/>
    <w:rsid w:val="00680658"/>
    <w:rsid w:val="00681A9A"/>
    <w:rsid w:val="0068212F"/>
    <w:rsid w:val="00682447"/>
    <w:rsid w:val="00684097"/>
    <w:rsid w:val="00690083"/>
    <w:rsid w:val="00690255"/>
    <w:rsid w:val="00690C2A"/>
    <w:rsid w:val="00692C31"/>
    <w:rsid w:val="00693751"/>
    <w:rsid w:val="00694F05"/>
    <w:rsid w:val="00695D81"/>
    <w:rsid w:val="006A7919"/>
    <w:rsid w:val="006B2154"/>
    <w:rsid w:val="006B738E"/>
    <w:rsid w:val="006B75A4"/>
    <w:rsid w:val="006C73C2"/>
    <w:rsid w:val="006D0B40"/>
    <w:rsid w:val="006D3C0F"/>
    <w:rsid w:val="006E465A"/>
    <w:rsid w:val="006F052E"/>
    <w:rsid w:val="006F1B0C"/>
    <w:rsid w:val="006F2273"/>
    <w:rsid w:val="00712C26"/>
    <w:rsid w:val="00714E5C"/>
    <w:rsid w:val="00721257"/>
    <w:rsid w:val="00725715"/>
    <w:rsid w:val="00727870"/>
    <w:rsid w:val="00727CA6"/>
    <w:rsid w:val="00733D98"/>
    <w:rsid w:val="007408EC"/>
    <w:rsid w:val="00746B9B"/>
    <w:rsid w:val="00747FB8"/>
    <w:rsid w:val="00753B7C"/>
    <w:rsid w:val="00766502"/>
    <w:rsid w:val="007757B4"/>
    <w:rsid w:val="00775E09"/>
    <w:rsid w:val="0078039B"/>
    <w:rsid w:val="0078162A"/>
    <w:rsid w:val="0078210D"/>
    <w:rsid w:val="007A0201"/>
    <w:rsid w:val="007A0802"/>
    <w:rsid w:val="007A4B02"/>
    <w:rsid w:val="007B2707"/>
    <w:rsid w:val="007B38B4"/>
    <w:rsid w:val="007B417F"/>
    <w:rsid w:val="007C0D20"/>
    <w:rsid w:val="007C2D16"/>
    <w:rsid w:val="007D5F99"/>
    <w:rsid w:val="007E39F8"/>
    <w:rsid w:val="007F23F3"/>
    <w:rsid w:val="0080209B"/>
    <w:rsid w:val="00806A40"/>
    <w:rsid w:val="008107D4"/>
    <w:rsid w:val="00811901"/>
    <w:rsid w:val="00811FEA"/>
    <w:rsid w:val="00812A52"/>
    <w:rsid w:val="00816347"/>
    <w:rsid w:val="0082049F"/>
    <w:rsid w:val="00820D13"/>
    <w:rsid w:val="0082348C"/>
    <w:rsid w:val="008254A4"/>
    <w:rsid w:val="00833567"/>
    <w:rsid w:val="00834C48"/>
    <w:rsid w:val="00836D8C"/>
    <w:rsid w:val="00843E75"/>
    <w:rsid w:val="008468E4"/>
    <w:rsid w:val="00852F06"/>
    <w:rsid w:val="00853F7F"/>
    <w:rsid w:val="00855C5B"/>
    <w:rsid w:val="00860DFD"/>
    <w:rsid w:val="0086361F"/>
    <w:rsid w:val="008734CB"/>
    <w:rsid w:val="0087549F"/>
    <w:rsid w:val="00877A5B"/>
    <w:rsid w:val="00885946"/>
    <w:rsid w:val="0088662B"/>
    <w:rsid w:val="00887D33"/>
    <w:rsid w:val="008903F2"/>
    <w:rsid w:val="00894846"/>
    <w:rsid w:val="008955B6"/>
    <w:rsid w:val="008A3825"/>
    <w:rsid w:val="008B27E4"/>
    <w:rsid w:val="008C1903"/>
    <w:rsid w:val="008C5AA2"/>
    <w:rsid w:val="008C77E0"/>
    <w:rsid w:val="008D003B"/>
    <w:rsid w:val="008D19BB"/>
    <w:rsid w:val="008D412A"/>
    <w:rsid w:val="008E0232"/>
    <w:rsid w:val="008E2053"/>
    <w:rsid w:val="008E5852"/>
    <w:rsid w:val="008E6625"/>
    <w:rsid w:val="008F22BB"/>
    <w:rsid w:val="008F3947"/>
    <w:rsid w:val="008F621B"/>
    <w:rsid w:val="00901C05"/>
    <w:rsid w:val="00902EBE"/>
    <w:rsid w:val="00907813"/>
    <w:rsid w:val="009105B1"/>
    <w:rsid w:val="00926DAE"/>
    <w:rsid w:val="00926DAF"/>
    <w:rsid w:val="009279EA"/>
    <w:rsid w:val="00930E36"/>
    <w:rsid w:val="0093423C"/>
    <w:rsid w:val="00942872"/>
    <w:rsid w:val="00956435"/>
    <w:rsid w:val="00964868"/>
    <w:rsid w:val="009654A8"/>
    <w:rsid w:val="00970192"/>
    <w:rsid w:val="0097634B"/>
    <w:rsid w:val="009868B9"/>
    <w:rsid w:val="0098747F"/>
    <w:rsid w:val="009931D6"/>
    <w:rsid w:val="00996A40"/>
    <w:rsid w:val="009A241E"/>
    <w:rsid w:val="009A3001"/>
    <w:rsid w:val="009B1E7B"/>
    <w:rsid w:val="009B3628"/>
    <w:rsid w:val="009C07D3"/>
    <w:rsid w:val="009D61BA"/>
    <w:rsid w:val="009E1368"/>
    <w:rsid w:val="009E44FE"/>
    <w:rsid w:val="009E6081"/>
    <w:rsid w:val="009E6B5E"/>
    <w:rsid w:val="009E6FF1"/>
    <w:rsid w:val="009F4C5B"/>
    <w:rsid w:val="00A025AF"/>
    <w:rsid w:val="00A05CA1"/>
    <w:rsid w:val="00A06195"/>
    <w:rsid w:val="00A22967"/>
    <w:rsid w:val="00A32C4C"/>
    <w:rsid w:val="00A33186"/>
    <w:rsid w:val="00A33ACF"/>
    <w:rsid w:val="00A34725"/>
    <w:rsid w:val="00A3616E"/>
    <w:rsid w:val="00A363EE"/>
    <w:rsid w:val="00A428F9"/>
    <w:rsid w:val="00A43008"/>
    <w:rsid w:val="00A46E8C"/>
    <w:rsid w:val="00A51FF1"/>
    <w:rsid w:val="00A536D4"/>
    <w:rsid w:val="00A55405"/>
    <w:rsid w:val="00A65653"/>
    <w:rsid w:val="00A741FE"/>
    <w:rsid w:val="00A75980"/>
    <w:rsid w:val="00A853F2"/>
    <w:rsid w:val="00A8585F"/>
    <w:rsid w:val="00A92215"/>
    <w:rsid w:val="00A955EB"/>
    <w:rsid w:val="00AA2407"/>
    <w:rsid w:val="00AA3C50"/>
    <w:rsid w:val="00AA4C44"/>
    <w:rsid w:val="00AA7B28"/>
    <w:rsid w:val="00AA7BC6"/>
    <w:rsid w:val="00AB2C8B"/>
    <w:rsid w:val="00AC084B"/>
    <w:rsid w:val="00AC2E04"/>
    <w:rsid w:val="00AD025F"/>
    <w:rsid w:val="00AF4E2A"/>
    <w:rsid w:val="00AF72E1"/>
    <w:rsid w:val="00B0076C"/>
    <w:rsid w:val="00B00872"/>
    <w:rsid w:val="00B010BA"/>
    <w:rsid w:val="00B0172C"/>
    <w:rsid w:val="00B01C75"/>
    <w:rsid w:val="00B07BEA"/>
    <w:rsid w:val="00B1134D"/>
    <w:rsid w:val="00B12AD0"/>
    <w:rsid w:val="00B1498F"/>
    <w:rsid w:val="00B2037D"/>
    <w:rsid w:val="00B21473"/>
    <w:rsid w:val="00B23EEC"/>
    <w:rsid w:val="00B27E5F"/>
    <w:rsid w:val="00B32572"/>
    <w:rsid w:val="00B34BE9"/>
    <w:rsid w:val="00B4092B"/>
    <w:rsid w:val="00B45340"/>
    <w:rsid w:val="00B467D3"/>
    <w:rsid w:val="00B4749C"/>
    <w:rsid w:val="00B56CAB"/>
    <w:rsid w:val="00B57B3C"/>
    <w:rsid w:val="00B6702D"/>
    <w:rsid w:val="00B6775F"/>
    <w:rsid w:val="00B76B47"/>
    <w:rsid w:val="00B80D5F"/>
    <w:rsid w:val="00B85B77"/>
    <w:rsid w:val="00B90DD3"/>
    <w:rsid w:val="00B918D5"/>
    <w:rsid w:val="00B92E5D"/>
    <w:rsid w:val="00B94DA3"/>
    <w:rsid w:val="00B95575"/>
    <w:rsid w:val="00B96B1A"/>
    <w:rsid w:val="00BA0878"/>
    <w:rsid w:val="00BA145A"/>
    <w:rsid w:val="00BA46B3"/>
    <w:rsid w:val="00BA48DC"/>
    <w:rsid w:val="00BB2798"/>
    <w:rsid w:val="00BB3943"/>
    <w:rsid w:val="00BB6C2B"/>
    <w:rsid w:val="00BC16B7"/>
    <w:rsid w:val="00BD191B"/>
    <w:rsid w:val="00BD4F9C"/>
    <w:rsid w:val="00BE33CB"/>
    <w:rsid w:val="00BE5AED"/>
    <w:rsid w:val="00BF3C78"/>
    <w:rsid w:val="00C00C76"/>
    <w:rsid w:val="00C00E40"/>
    <w:rsid w:val="00C114D0"/>
    <w:rsid w:val="00C12489"/>
    <w:rsid w:val="00C12A20"/>
    <w:rsid w:val="00C1351F"/>
    <w:rsid w:val="00C13F05"/>
    <w:rsid w:val="00C1480A"/>
    <w:rsid w:val="00C159C5"/>
    <w:rsid w:val="00C16C6A"/>
    <w:rsid w:val="00C24290"/>
    <w:rsid w:val="00C443EE"/>
    <w:rsid w:val="00C448E2"/>
    <w:rsid w:val="00C448E8"/>
    <w:rsid w:val="00C45C28"/>
    <w:rsid w:val="00C47B64"/>
    <w:rsid w:val="00C52A7A"/>
    <w:rsid w:val="00C54DB5"/>
    <w:rsid w:val="00C562AB"/>
    <w:rsid w:val="00C568D3"/>
    <w:rsid w:val="00C62F35"/>
    <w:rsid w:val="00C6612C"/>
    <w:rsid w:val="00C70CBF"/>
    <w:rsid w:val="00C70D85"/>
    <w:rsid w:val="00C82C39"/>
    <w:rsid w:val="00C840A1"/>
    <w:rsid w:val="00C84198"/>
    <w:rsid w:val="00C91040"/>
    <w:rsid w:val="00C917E5"/>
    <w:rsid w:val="00C92DFA"/>
    <w:rsid w:val="00C96D3B"/>
    <w:rsid w:val="00C97612"/>
    <w:rsid w:val="00C979DD"/>
    <w:rsid w:val="00CA40F4"/>
    <w:rsid w:val="00CA5A43"/>
    <w:rsid w:val="00CB2279"/>
    <w:rsid w:val="00CB6D43"/>
    <w:rsid w:val="00CC25DA"/>
    <w:rsid w:val="00CC617F"/>
    <w:rsid w:val="00CC6580"/>
    <w:rsid w:val="00CC6729"/>
    <w:rsid w:val="00CC6AA2"/>
    <w:rsid w:val="00CD1DE3"/>
    <w:rsid w:val="00CD48C0"/>
    <w:rsid w:val="00CD530B"/>
    <w:rsid w:val="00CE0CD3"/>
    <w:rsid w:val="00CE1556"/>
    <w:rsid w:val="00CE2B8A"/>
    <w:rsid w:val="00CE44CB"/>
    <w:rsid w:val="00CE65E4"/>
    <w:rsid w:val="00CF02D1"/>
    <w:rsid w:val="00CF049B"/>
    <w:rsid w:val="00CF0F98"/>
    <w:rsid w:val="00CF1AAF"/>
    <w:rsid w:val="00CF349F"/>
    <w:rsid w:val="00CF3BFF"/>
    <w:rsid w:val="00D00193"/>
    <w:rsid w:val="00D128EC"/>
    <w:rsid w:val="00D1556C"/>
    <w:rsid w:val="00D15862"/>
    <w:rsid w:val="00D21305"/>
    <w:rsid w:val="00D214D1"/>
    <w:rsid w:val="00D21823"/>
    <w:rsid w:val="00D27721"/>
    <w:rsid w:val="00D31264"/>
    <w:rsid w:val="00D3324E"/>
    <w:rsid w:val="00D36073"/>
    <w:rsid w:val="00D36BB1"/>
    <w:rsid w:val="00D36CFD"/>
    <w:rsid w:val="00D37515"/>
    <w:rsid w:val="00D41E6B"/>
    <w:rsid w:val="00D44EC0"/>
    <w:rsid w:val="00D4561E"/>
    <w:rsid w:val="00D51AAF"/>
    <w:rsid w:val="00D52399"/>
    <w:rsid w:val="00D561DC"/>
    <w:rsid w:val="00D60281"/>
    <w:rsid w:val="00D67B1B"/>
    <w:rsid w:val="00D721DF"/>
    <w:rsid w:val="00D81F9E"/>
    <w:rsid w:val="00D83B8D"/>
    <w:rsid w:val="00D869B9"/>
    <w:rsid w:val="00D91F93"/>
    <w:rsid w:val="00DA6BE2"/>
    <w:rsid w:val="00DB7BBC"/>
    <w:rsid w:val="00DC163B"/>
    <w:rsid w:val="00DC4631"/>
    <w:rsid w:val="00DC722C"/>
    <w:rsid w:val="00DD4440"/>
    <w:rsid w:val="00DD6509"/>
    <w:rsid w:val="00DD6877"/>
    <w:rsid w:val="00DD7430"/>
    <w:rsid w:val="00DD7D30"/>
    <w:rsid w:val="00DE1E6A"/>
    <w:rsid w:val="00DE1FA3"/>
    <w:rsid w:val="00DF0E08"/>
    <w:rsid w:val="00DF2877"/>
    <w:rsid w:val="00DF50F3"/>
    <w:rsid w:val="00E15A3A"/>
    <w:rsid w:val="00E21CCD"/>
    <w:rsid w:val="00E22FBB"/>
    <w:rsid w:val="00E24127"/>
    <w:rsid w:val="00E3427C"/>
    <w:rsid w:val="00E40489"/>
    <w:rsid w:val="00E41250"/>
    <w:rsid w:val="00E4373E"/>
    <w:rsid w:val="00E44B26"/>
    <w:rsid w:val="00E64517"/>
    <w:rsid w:val="00E66A7D"/>
    <w:rsid w:val="00E72B3A"/>
    <w:rsid w:val="00E72B74"/>
    <w:rsid w:val="00E75CDB"/>
    <w:rsid w:val="00E76E30"/>
    <w:rsid w:val="00E775BC"/>
    <w:rsid w:val="00E8439C"/>
    <w:rsid w:val="00E86C65"/>
    <w:rsid w:val="00E86E46"/>
    <w:rsid w:val="00E9763B"/>
    <w:rsid w:val="00EA2C08"/>
    <w:rsid w:val="00EA51CB"/>
    <w:rsid w:val="00EA685F"/>
    <w:rsid w:val="00EA6A0F"/>
    <w:rsid w:val="00EA7348"/>
    <w:rsid w:val="00EA792D"/>
    <w:rsid w:val="00EB2B34"/>
    <w:rsid w:val="00EB469C"/>
    <w:rsid w:val="00EC2099"/>
    <w:rsid w:val="00EC7D97"/>
    <w:rsid w:val="00ED0C87"/>
    <w:rsid w:val="00ED1787"/>
    <w:rsid w:val="00ED2637"/>
    <w:rsid w:val="00ED38B8"/>
    <w:rsid w:val="00ED4954"/>
    <w:rsid w:val="00ED5D06"/>
    <w:rsid w:val="00EE1E95"/>
    <w:rsid w:val="00EE6BD0"/>
    <w:rsid w:val="00EF2022"/>
    <w:rsid w:val="00EF5C55"/>
    <w:rsid w:val="00EF7ECC"/>
    <w:rsid w:val="00F02898"/>
    <w:rsid w:val="00F07710"/>
    <w:rsid w:val="00F117CC"/>
    <w:rsid w:val="00F11FB3"/>
    <w:rsid w:val="00F12E7E"/>
    <w:rsid w:val="00F16BBA"/>
    <w:rsid w:val="00F179E8"/>
    <w:rsid w:val="00F22294"/>
    <w:rsid w:val="00F24685"/>
    <w:rsid w:val="00F2496D"/>
    <w:rsid w:val="00F258C7"/>
    <w:rsid w:val="00F3132A"/>
    <w:rsid w:val="00F331F4"/>
    <w:rsid w:val="00F36391"/>
    <w:rsid w:val="00F43DCA"/>
    <w:rsid w:val="00F477E2"/>
    <w:rsid w:val="00F5220C"/>
    <w:rsid w:val="00F53400"/>
    <w:rsid w:val="00F546C4"/>
    <w:rsid w:val="00F57969"/>
    <w:rsid w:val="00F6227E"/>
    <w:rsid w:val="00F62304"/>
    <w:rsid w:val="00F73511"/>
    <w:rsid w:val="00F76FF6"/>
    <w:rsid w:val="00F81531"/>
    <w:rsid w:val="00F901D9"/>
    <w:rsid w:val="00F96679"/>
    <w:rsid w:val="00F96D29"/>
    <w:rsid w:val="00FA1AA5"/>
    <w:rsid w:val="00FA2E49"/>
    <w:rsid w:val="00FA6837"/>
    <w:rsid w:val="00FB1346"/>
    <w:rsid w:val="00FB2B01"/>
    <w:rsid w:val="00FC39CA"/>
    <w:rsid w:val="00FD45FB"/>
    <w:rsid w:val="00FE0663"/>
    <w:rsid w:val="00FE46A8"/>
    <w:rsid w:val="00FE4EEF"/>
    <w:rsid w:val="00FE6679"/>
    <w:rsid w:val="00FF02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9D358"/>
  <w15:docId w15:val="{50D44FD9-E1AB-49EE-8BFC-9AB9B3E5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NZ"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1264"/>
  </w:style>
  <w:style w:type="paragraph" w:styleId="Heading1">
    <w:name w:val="heading 1"/>
    <w:basedOn w:val="Normal"/>
    <w:next w:val="Normal"/>
    <w:pPr>
      <w:spacing w:before="480"/>
      <w:ind w:left="360" w:hanging="360"/>
      <w:contextualSpacing/>
      <w:outlineLvl w:val="0"/>
    </w:pPr>
    <w:rPr>
      <w:b/>
    </w:rPr>
  </w:style>
  <w:style w:type="paragraph" w:styleId="Heading2">
    <w:name w:val="heading 2"/>
    <w:basedOn w:val="Normal"/>
    <w:next w:val="Normal"/>
    <w:rsid w:val="00902EBE"/>
    <w:pPr>
      <w:spacing w:before="200"/>
      <w:ind w:left="786" w:hanging="786"/>
      <w:outlineLvl w:val="1"/>
    </w:pPr>
    <w:rPr>
      <w:b/>
    </w:rPr>
  </w:style>
  <w:style w:type="paragraph" w:styleId="Heading3">
    <w:name w:val="heading 3"/>
    <w:basedOn w:val="Normal"/>
    <w:next w:val="Normal"/>
    <w:rsid w:val="00EE6BD0"/>
    <w:pPr>
      <w:spacing w:before="200" w:line="271" w:lineRule="auto"/>
      <w:outlineLvl w:val="2"/>
    </w:pPr>
    <w:rPr>
      <w:b/>
      <w:lang w:val="en-US"/>
    </w:rPr>
  </w:style>
  <w:style w:type="paragraph" w:styleId="Heading4">
    <w:name w:val="heading 4"/>
    <w:basedOn w:val="Normal"/>
    <w:next w:val="Normal"/>
    <w:rsid w:val="00D31264"/>
    <w:pPr>
      <w:spacing w:before="200"/>
      <w:outlineLvl w:val="3"/>
    </w:pPr>
    <w:rPr>
      <w:b/>
      <w:i/>
      <w:lang w:val="en-US"/>
    </w:rPr>
  </w:style>
  <w:style w:type="paragraph" w:styleId="Heading5">
    <w:name w:val="heading 5"/>
    <w:basedOn w:val="Normal"/>
    <w:next w:val="Normal"/>
    <w:rsid w:val="00B85B77"/>
    <w:pPr>
      <w:spacing w:before="200"/>
      <w:outlineLvl w:val="4"/>
    </w:pPr>
    <w:rPr>
      <w:sz w:val="22"/>
      <w:u w:val="single"/>
    </w:rPr>
  </w:style>
  <w:style w:type="paragraph" w:styleId="Heading6">
    <w:name w:val="heading 6"/>
    <w:basedOn w:val="Normal"/>
    <w:next w:val="Normal"/>
    <w:rsid w:val="002313A5"/>
    <w:pPr>
      <w:spacing w:before="240"/>
      <w:outlineLvl w:val="5"/>
    </w:pPr>
    <w:rPr>
      <w:i/>
      <w:color w:val="auto"/>
    </w:rPr>
  </w:style>
  <w:style w:type="paragraph" w:styleId="Heading7">
    <w:name w:val="heading 7"/>
    <w:basedOn w:val="Heading5"/>
    <w:next w:val="Normal"/>
    <w:link w:val="Heading7Char"/>
    <w:uiPriority w:val="9"/>
    <w:unhideWhenUsed/>
    <w:qFormat/>
    <w:rsid w:val="00B85B77"/>
    <w:pPr>
      <w:outlineLvl w:val="6"/>
    </w:pPr>
    <w:rPr>
      <w:sz w:val="20"/>
      <w:u w:val="none"/>
    </w:rPr>
  </w:style>
  <w:style w:type="paragraph" w:styleId="Heading8">
    <w:name w:val="heading 8"/>
    <w:basedOn w:val="Normal"/>
    <w:next w:val="Normal"/>
    <w:link w:val="Heading8Char"/>
    <w:uiPriority w:val="9"/>
    <w:unhideWhenUsed/>
    <w:qFormat/>
    <w:rsid w:val="00D3126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contextualSpacing/>
    </w:pPr>
    <w:rPr>
      <w:rFonts w:ascii="Calibri" w:eastAsia="Calibri" w:hAnsi="Calibri" w:cs="Calibri"/>
      <w:sz w:val="52"/>
      <w:szCs w:val="52"/>
    </w:rPr>
  </w:style>
  <w:style w:type="paragraph" w:styleId="Subtitle">
    <w:name w:val="Subtitle"/>
    <w:basedOn w:val="Normal"/>
    <w:next w:val="Normal"/>
    <w:pPr>
      <w:spacing w:after="600"/>
    </w:pPr>
    <w:rPr>
      <w:rFonts w:ascii="Calibri" w:eastAsia="Calibri" w:hAnsi="Calibri" w:cs="Calibri"/>
      <w:i/>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C73C2"/>
    <w:pPr>
      <w:tabs>
        <w:tab w:val="center" w:pos="4513"/>
        <w:tab w:val="right" w:pos="9026"/>
      </w:tabs>
    </w:pPr>
  </w:style>
  <w:style w:type="character" w:customStyle="1" w:styleId="HeaderChar">
    <w:name w:val="Header Char"/>
    <w:basedOn w:val="DefaultParagraphFont"/>
    <w:link w:val="Header"/>
    <w:uiPriority w:val="99"/>
    <w:rsid w:val="006C73C2"/>
  </w:style>
  <w:style w:type="paragraph" w:styleId="Footer">
    <w:name w:val="footer"/>
    <w:basedOn w:val="Normal"/>
    <w:link w:val="FooterChar"/>
    <w:unhideWhenUsed/>
    <w:rsid w:val="006C73C2"/>
    <w:pPr>
      <w:tabs>
        <w:tab w:val="center" w:pos="4513"/>
        <w:tab w:val="right" w:pos="9026"/>
      </w:tabs>
    </w:pPr>
  </w:style>
  <w:style w:type="character" w:customStyle="1" w:styleId="FooterChar">
    <w:name w:val="Footer Char"/>
    <w:basedOn w:val="DefaultParagraphFont"/>
    <w:link w:val="Footer"/>
    <w:rsid w:val="006C73C2"/>
  </w:style>
  <w:style w:type="paragraph" w:styleId="ListParagraph">
    <w:name w:val="List Paragraph"/>
    <w:basedOn w:val="Normal"/>
    <w:uiPriority w:val="34"/>
    <w:qFormat/>
    <w:rsid w:val="00E21CCD"/>
    <w:pPr>
      <w:ind w:left="720"/>
      <w:contextualSpacing/>
    </w:pPr>
  </w:style>
  <w:style w:type="character" w:styleId="Hyperlink">
    <w:name w:val="Hyperlink"/>
    <w:basedOn w:val="DefaultParagraphFont"/>
    <w:uiPriority w:val="99"/>
    <w:unhideWhenUsed/>
    <w:rsid w:val="00E21CCD"/>
    <w:rPr>
      <w:color w:val="0000FF"/>
      <w:u w:val="single"/>
    </w:rPr>
  </w:style>
  <w:style w:type="paragraph" w:customStyle="1" w:styleId="Default">
    <w:name w:val="Default"/>
    <w:rsid w:val="000E2E7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lang w:val="en-AU"/>
    </w:rPr>
  </w:style>
  <w:style w:type="paragraph" w:styleId="BalloonText">
    <w:name w:val="Balloon Text"/>
    <w:basedOn w:val="Normal"/>
    <w:link w:val="BalloonTextChar"/>
    <w:uiPriority w:val="99"/>
    <w:semiHidden/>
    <w:unhideWhenUsed/>
    <w:rsid w:val="00CC6729"/>
    <w:rPr>
      <w:rFonts w:ascii="Tahoma" w:hAnsi="Tahoma" w:cs="Tahoma"/>
      <w:sz w:val="16"/>
      <w:szCs w:val="16"/>
    </w:rPr>
  </w:style>
  <w:style w:type="character" w:customStyle="1" w:styleId="BalloonTextChar">
    <w:name w:val="Balloon Text Char"/>
    <w:basedOn w:val="DefaultParagraphFont"/>
    <w:link w:val="BalloonText"/>
    <w:uiPriority w:val="99"/>
    <w:semiHidden/>
    <w:rsid w:val="00CC6729"/>
    <w:rPr>
      <w:rFonts w:ascii="Tahoma" w:hAnsi="Tahoma" w:cs="Tahoma"/>
      <w:sz w:val="16"/>
      <w:szCs w:val="16"/>
    </w:rPr>
  </w:style>
  <w:style w:type="table" w:styleId="TableGrid">
    <w:name w:val="Table Grid"/>
    <w:basedOn w:val="TableNormal"/>
    <w:uiPriority w:val="59"/>
    <w:rsid w:val="00513230"/>
    <w:pPr>
      <w:pBdr>
        <w:top w:val="none" w:sz="0" w:space="0" w:color="auto"/>
        <w:left w:val="none" w:sz="0" w:space="0" w:color="auto"/>
        <w:bottom w:val="none" w:sz="0" w:space="0" w:color="auto"/>
        <w:right w:val="none" w:sz="0" w:space="0" w:color="auto"/>
        <w:between w:val="none" w:sz="0" w:space="0" w:color="auto"/>
      </w:pBd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96A40"/>
    <w:rPr>
      <w:b/>
      <w:color w:val="auto"/>
      <w:lang w:val="en-US"/>
    </w:rPr>
  </w:style>
  <w:style w:type="character" w:styleId="CommentReference">
    <w:name w:val="annotation reference"/>
    <w:basedOn w:val="DefaultParagraphFont"/>
    <w:uiPriority w:val="99"/>
    <w:semiHidden/>
    <w:unhideWhenUsed/>
    <w:rsid w:val="00C97612"/>
    <w:rPr>
      <w:sz w:val="16"/>
      <w:szCs w:val="16"/>
    </w:rPr>
  </w:style>
  <w:style w:type="paragraph" w:styleId="CommentText">
    <w:name w:val="annotation text"/>
    <w:basedOn w:val="Normal"/>
    <w:link w:val="CommentTextChar"/>
    <w:uiPriority w:val="99"/>
    <w:unhideWhenUsed/>
    <w:rsid w:val="00C97612"/>
    <w:rPr>
      <w:sz w:val="20"/>
      <w:szCs w:val="20"/>
    </w:rPr>
  </w:style>
  <w:style w:type="character" w:customStyle="1" w:styleId="CommentTextChar">
    <w:name w:val="Comment Text Char"/>
    <w:basedOn w:val="DefaultParagraphFont"/>
    <w:link w:val="CommentText"/>
    <w:uiPriority w:val="99"/>
    <w:rsid w:val="00C97612"/>
    <w:rPr>
      <w:sz w:val="20"/>
      <w:szCs w:val="20"/>
    </w:rPr>
  </w:style>
  <w:style w:type="paragraph" w:styleId="CommentSubject">
    <w:name w:val="annotation subject"/>
    <w:basedOn w:val="CommentText"/>
    <w:next w:val="CommentText"/>
    <w:link w:val="CommentSubjectChar"/>
    <w:uiPriority w:val="99"/>
    <w:semiHidden/>
    <w:unhideWhenUsed/>
    <w:rsid w:val="00C97612"/>
    <w:rPr>
      <w:b/>
      <w:bCs/>
    </w:rPr>
  </w:style>
  <w:style w:type="character" w:customStyle="1" w:styleId="CommentSubjectChar">
    <w:name w:val="Comment Subject Char"/>
    <w:basedOn w:val="CommentTextChar"/>
    <w:link w:val="CommentSubject"/>
    <w:uiPriority w:val="99"/>
    <w:semiHidden/>
    <w:rsid w:val="00C97612"/>
    <w:rPr>
      <w:b/>
      <w:bCs/>
      <w:sz w:val="20"/>
      <w:szCs w:val="20"/>
    </w:rPr>
  </w:style>
  <w:style w:type="paragraph" w:customStyle="1" w:styleId="Paragraph">
    <w:name w:val="Paragraph"/>
    <w:basedOn w:val="Normal"/>
    <w:link w:val="ParagraphChar"/>
    <w:qFormat/>
    <w:rsid w:val="00593BB3"/>
    <w:pPr>
      <w:pBdr>
        <w:top w:val="none" w:sz="0" w:space="0" w:color="auto"/>
        <w:left w:val="none" w:sz="0" w:space="0" w:color="auto"/>
        <w:bottom w:val="none" w:sz="0" w:space="0" w:color="auto"/>
        <w:right w:val="none" w:sz="0" w:space="0" w:color="auto"/>
        <w:between w:val="none" w:sz="0" w:space="0" w:color="auto"/>
      </w:pBdr>
      <w:spacing w:after="250" w:line="300" w:lineRule="atLeast"/>
    </w:pPr>
    <w:rPr>
      <w:color w:val="auto"/>
      <w:sz w:val="22"/>
      <w:lang w:val="en-US" w:eastAsia="en-US"/>
    </w:rPr>
  </w:style>
  <w:style w:type="character" w:customStyle="1" w:styleId="ParagraphChar">
    <w:name w:val="Paragraph Char"/>
    <w:link w:val="Paragraph"/>
    <w:rsid w:val="00593BB3"/>
    <w:rPr>
      <w:color w:val="auto"/>
      <w:sz w:val="22"/>
      <w:lang w:val="en-US" w:eastAsia="en-US"/>
    </w:rPr>
  </w:style>
  <w:style w:type="paragraph" w:styleId="Revision">
    <w:name w:val="Revision"/>
    <w:hidden/>
    <w:uiPriority w:val="99"/>
    <w:semiHidden/>
    <w:rsid w:val="009E1368"/>
    <w:pPr>
      <w:pBdr>
        <w:top w:val="none" w:sz="0" w:space="0" w:color="auto"/>
        <w:left w:val="none" w:sz="0" w:space="0" w:color="auto"/>
        <w:bottom w:val="none" w:sz="0" w:space="0" w:color="auto"/>
        <w:right w:val="none" w:sz="0" w:space="0" w:color="auto"/>
        <w:between w:val="none" w:sz="0" w:space="0" w:color="auto"/>
      </w:pBdr>
    </w:pPr>
  </w:style>
  <w:style w:type="character" w:customStyle="1" w:styleId="Heading7Char">
    <w:name w:val="Heading 7 Char"/>
    <w:basedOn w:val="DefaultParagraphFont"/>
    <w:link w:val="Heading7"/>
    <w:uiPriority w:val="9"/>
    <w:rsid w:val="00B85B77"/>
    <w:rPr>
      <w:sz w:val="20"/>
    </w:rPr>
  </w:style>
  <w:style w:type="character" w:customStyle="1" w:styleId="Heading8Char">
    <w:name w:val="Heading 8 Char"/>
    <w:basedOn w:val="DefaultParagraphFont"/>
    <w:link w:val="Heading8"/>
    <w:uiPriority w:val="9"/>
    <w:rsid w:val="00D31264"/>
    <w:rPr>
      <w:rFonts w:asciiTheme="majorHAnsi" w:eastAsiaTheme="majorEastAsia" w:hAnsiTheme="majorHAnsi" w:cstheme="majorBidi"/>
      <w:color w:val="272727" w:themeColor="text1" w:themeTint="D8"/>
      <w:sz w:val="21"/>
      <w:szCs w:val="21"/>
    </w:rPr>
  </w:style>
  <w:style w:type="paragraph" w:customStyle="1" w:styleId="CM30">
    <w:name w:val="CM30"/>
    <w:basedOn w:val="Default"/>
    <w:next w:val="Default"/>
    <w:uiPriority w:val="99"/>
    <w:rsid w:val="00F07710"/>
    <w:rPr>
      <w:rFonts w:eastAsia="SimSun"/>
      <w:color w:val="auto"/>
      <w:lang w:val="en-US" w:eastAsia="zh-CN"/>
    </w:rPr>
  </w:style>
  <w:style w:type="paragraph" w:customStyle="1" w:styleId="CM36">
    <w:name w:val="CM36"/>
    <w:basedOn w:val="Default"/>
    <w:next w:val="Default"/>
    <w:uiPriority w:val="99"/>
    <w:rsid w:val="001C61E3"/>
  </w:style>
  <w:style w:type="paragraph" w:styleId="NormalWeb">
    <w:name w:val="Normal (Web)"/>
    <w:basedOn w:val="Normal"/>
    <w:uiPriority w:val="99"/>
    <w:semiHidden/>
    <w:unhideWhenUsed/>
    <w:rsid w:val="00CE2B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2455">
      <w:bodyDiv w:val="1"/>
      <w:marLeft w:val="0"/>
      <w:marRight w:val="0"/>
      <w:marTop w:val="0"/>
      <w:marBottom w:val="0"/>
      <w:divBdr>
        <w:top w:val="none" w:sz="0" w:space="0" w:color="auto"/>
        <w:left w:val="none" w:sz="0" w:space="0" w:color="auto"/>
        <w:bottom w:val="none" w:sz="0" w:space="0" w:color="auto"/>
        <w:right w:val="none" w:sz="0" w:space="0" w:color="auto"/>
      </w:divBdr>
    </w:div>
    <w:div w:id="6761334">
      <w:bodyDiv w:val="1"/>
      <w:marLeft w:val="0"/>
      <w:marRight w:val="0"/>
      <w:marTop w:val="0"/>
      <w:marBottom w:val="0"/>
      <w:divBdr>
        <w:top w:val="none" w:sz="0" w:space="0" w:color="auto"/>
        <w:left w:val="none" w:sz="0" w:space="0" w:color="auto"/>
        <w:bottom w:val="none" w:sz="0" w:space="0" w:color="auto"/>
        <w:right w:val="none" w:sz="0" w:space="0" w:color="auto"/>
      </w:divBdr>
    </w:div>
    <w:div w:id="31807095">
      <w:bodyDiv w:val="1"/>
      <w:marLeft w:val="0"/>
      <w:marRight w:val="0"/>
      <w:marTop w:val="0"/>
      <w:marBottom w:val="0"/>
      <w:divBdr>
        <w:top w:val="none" w:sz="0" w:space="0" w:color="auto"/>
        <w:left w:val="none" w:sz="0" w:space="0" w:color="auto"/>
        <w:bottom w:val="none" w:sz="0" w:space="0" w:color="auto"/>
        <w:right w:val="none" w:sz="0" w:space="0" w:color="auto"/>
      </w:divBdr>
    </w:div>
    <w:div w:id="36902819">
      <w:bodyDiv w:val="1"/>
      <w:marLeft w:val="0"/>
      <w:marRight w:val="0"/>
      <w:marTop w:val="0"/>
      <w:marBottom w:val="0"/>
      <w:divBdr>
        <w:top w:val="none" w:sz="0" w:space="0" w:color="auto"/>
        <w:left w:val="none" w:sz="0" w:space="0" w:color="auto"/>
        <w:bottom w:val="none" w:sz="0" w:space="0" w:color="auto"/>
        <w:right w:val="none" w:sz="0" w:space="0" w:color="auto"/>
      </w:divBdr>
    </w:div>
    <w:div w:id="147020750">
      <w:bodyDiv w:val="1"/>
      <w:marLeft w:val="0"/>
      <w:marRight w:val="0"/>
      <w:marTop w:val="0"/>
      <w:marBottom w:val="0"/>
      <w:divBdr>
        <w:top w:val="none" w:sz="0" w:space="0" w:color="auto"/>
        <w:left w:val="none" w:sz="0" w:space="0" w:color="auto"/>
        <w:bottom w:val="none" w:sz="0" w:space="0" w:color="auto"/>
        <w:right w:val="none" w:sz="0" w:space="0" w:color="auto"/>
      </w:divBdr>
    </w:div>
    <w:div w:id="154762628">
      <w:bodyDiv w:val="1"/>
      <w:marLeft w:val="0"/>
      <w:marRight w:val="0"/>
      <w:marTop w:val="0"/>
      <w:marBottom w:val="0"/>
      <w:divBdr>
        <w:top w:val="none" w:sz="0" w:space="0" w:color="auto"/>
        <w:left w:val="none" w:sz="0" w:space="0" w:color="auto"/>
        <w:bottom w:val="none" w:sz="0" w:space="0" w:color="auto"/>
        <w:right w:val="none" w:sz="0" w:space="0" w:color="auto"/>
      </w:divBdr>
    </w:div>
    <w:div w:id="191965224">
      <w:bodyDiv w:val="1"/>
      <w:marLeft w:val="0"/>
      <w:marRight w:val="0"/>
      <w:marTop w:val="0"/>
      <w:marBottom w:val="0"/>
      <w:divBdr>
        <w:top w:val="none" w:sz="0" w:space="0" w:color="auto"/>
        <w:left w:val="none" w:sz="0" w:space="0" w:color="auto"/>
        <w:bottom w:val="none" w:sz="0" w:space="0" w:color="auto"/>
        <w:right w:val="none" w:sz="0" w:space="0" w:color="auto"/>
      </w:divBdr>
    </w:div>
    <w:div w:id="349601280">
      <w:bodyDiv w:val="1"/>
      <w:marLeft w:val="0"/>
      <w:marRight w:val="0"/>
      <w:marTop w:val="0"/>
      <w:marBottom w:val="0"/>
      <w:divBdr>
        <w:top w:val="none" w:sz="0" w:space="0" w:color="auto"/>
        <w:left w:val="none" w:sz="0" w:space="0" w:color="auto"/>
        <w:bottom w:val="none" w:sz="0" w:space="0" w:color="auto"/>
        <w:right w:val="none" w:sz="0" w:space="0" w:color="auto"/>
      </w:divBdr>
    </w:div>
    <w:div w:id="391928215">
      <w:bodyDiv w:val="1"/>
      <w:marLeft w:val="0"/>
      <w:marRight w:val="0"/>
      <w:marTop w:val="0"/>
      <w:marBottom w:val="0"/>
      <w:divBdr>
        <w:top w:val="none" w:sz="0" w:space="0" w:color="auto"/>
        <w:left w:val="none" w:sz="0" w:space="0" w:color="auto"/>
        <w:bottom w:val="none" w:sz="0" w:space="0" w:color="auto"/>
        <w:right w:val="none" w:sz="0" w:space="0" w:color="auto"/>
      </w:divBdr>
    </w:div>
    <w:div w:id="562065638">
      <w:bodyDiv w:val="1"/>
      <w:marLeft w:val="0"/>
      <w:marRight w:val="0"/>
      <w:marTop w:val="0"/>
      <w:marBottom w:val="0"/>
      <w:divBdr>
        <w:top w:val="none" w:sz="0" w:space="0" w:color="auto"/>
        <w:left w:val="none" w:sz="0" w:space="0" w:color="auto"/>
        <w:bottom w:val="none" w:sz="0" w:space="0" w:color="auto"/>
        <w:right w:val="none" w:sz="0" w:space="0" w:color="auto"/>
      </w:divBdr>
    </w:div>
    <w:div w:id="650795096">
      <w:bodyDiv w:val="1"/>
      <w:marLeft w:val="0"/>
      <w:marRight w:val="0"/>
      <w:marTop w:val="0"/>
      <w:marBottom w:val="0"/>
      <w:divBdr>
        <w:top w:val="none" w:sz="0" w:space="0" w:color="auto"/>
        <w:left w:val="none" w:sz="0" w:space="0" w:color="auto"/>
        <w:bottom w:val="none" w:sz="0" w:space="0" w:color="auto"/>
        <w:right w:val="none" w:sz="0" w:space="0" w:color="auto"/>
      </w:divBdr>
    </w:div>
    <w:div w:id="775753407">
      <w:bodyDiv w:val="1"/>
      <w:marLeft w:val="0"/>
      <w:marRight w:val="0"/>
      <w:marTop w:val="0"/>
      <w:marBottom w:val="0"/>
      <w:divBdr>
        <w:top w:val="none" w:sz="0" w:space="0" w:color="auto"/>
        <w:left w:val="none" w:sz="0" w:space="0" w:color="auto"/>
        <w:bottom w:val="none" w:sz="0" w:space="0" w:color="auto"/>
        <w:right w:val="none" w:sz="0" w:space="0" w:color="auto"/>
      </w:divBdr>
    </w:div>
    <w:div w:id="904602827">
      <w:bodyDiv w:val="1"/>
      <w:marLeft w:val="0"/>
      <w:marRight w:val="0"/>
      <w:marTop w:val="0"/>
      <w:marBottom w:val="0"/>
      <w:divBdr>
        <w:top w:val="none" w:sz="0" w:space="0" w:color="auto"/>
        <w:left w:val="none" w:sz="0" w:space="0" w:color="auto"/>
        <w:bottom w:val="none" w:sz="0" w:space="0" w:color="auto"/>
        <w:right w:val="none" w:sz="0" w:space="0" w:color="auto"/>
      </w:divBdr>
    </w:div>
    <w:div w:id="959990401">
      <w:bodyDiv w:val="1"/>
      <w:marLeft w:val="0"/>
      <w:marRight w:val="0"/>
      <w:marTop w:val="0"/>
      <w:marBottom w:val="0"/>
      <w:divBdr>
        <w:top w:val="none" w:sz="0" w:space="0" w:color="auto"/>
        <w:left w:val="none" w:sz="0" w:space="0" w:color="auto"/>
        <w:bottom w:val="none" w:sz="0" w:space="0" w:color="auto"/>
        <w:right w:val="none" w:sz="0" w:space="0" w:color="auto"/>
      </w:divBdr>
    </w:div>
    <w:div w:id="1068530602">
      <w:bodyDiv w:val="1"/>
      <w:marLeft w:val="0"/>
      <w:marRight w:val="0"/>
      <w:marTop w:val="0"/>
      <w:marBottom w:val="0"/>
      <w:divBdr>
        <w:top w:val="none" w:sz="0" w:space="0" w:color="auto"/>
        <w:left w:val="none" w:sz="0" w:space="0" w:color="auto"/>
        <w:bottom w:val="none" w:sz="0" w:space="0" w:color="auto"/>
        <w:right w:val="none" w:sz="0" w:space="0" w:color="auto"/>
      </w:divBdr>
      <w:divsChild>
        <w:div w:id="990643162">
          <w:marLeft w:val="0"/>
          <w:marRight w:val="0"/>
          <w:marTop w:val="0"/>
          <w:marBottom w:val="0"/>
          <w:divBdr>
            <w:top w:val="none" w:sz="0" w:space="0" w:color="auto"/>
            <w:left w:val="none" w:sz="0" w:space="0" w:color="auto"/>
            <w:bottom w:val="none" w:sz="0" w:space="0" w:color="auto"/>
            <w:right w:val="none" w:sz="0" w:space="0" w:color="auto"/>
          </w:divBdr>
          <w:divsChild>
            <w:div w:id="599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553">
      <w:bodyDiv w:val="1"/>
      <w:marLeft w:val="0"/>
      <w:marRight w:val="0"/>
      <w:marTop w:val="0"/>
      <w:marBottom w:val="0"/>
      <w:divBdr>
        <w:top w:val="none" w:sz="0" w:space="0" w:color="auto"/>
        <w:left w:val="none" w:sz="0" w:space="0" w:color="auto"/>
        <w:bottom w:val="none" w:sz="0" w:space="0" w:color="auto"/>
        <w:right w:val="none" w:sz="0" w:space="0" w:color="auto"/>
      </w:divBdr>
    </w:div>
    <w:div w:id="1183395253">
      <w:bodyDiv w:val="1"/>
      <w:marLeft w:val="0"/>
      <w:marRight w:val="0"/>
      <w:marTop w:val="0"/>
      <w:marBottom w:val="0"/>
      <w:divBdr>
        <w:top w:val="none" w:sz="0" w:space="0" w:color="auto"/>
        <w:left w:val="none" w:sz="0" w:space="0" w:color="auto"/>
        <w:bottom w:val="none" w:sz="0" w:space="0" w:color="auto"/>
        <w:right w:val="none" w:sz="0" w:space="0" w:color="auto"/>
      </w:divBdr>
    </w:div>
    <w:div w:id="1253582487">
      <w:bodyDiv w:val="1"/>
      <w:marLeft w:val="0"/>
      <w:marRight w:val="0"/>
      <w:marTop w:val="0"/>
      <w:marBottom w:val="0"/>
      <w:divBdr>
        <w:top w:val="none" w:sz="0" w:space="0" w:color="auto"/>
        <w:left w:val="none" w:sz="0" w:space="0" w:color="auto"/>
        <w:bottom w:val="none" w:sz="0" w:space="0" w:color="auto"/>
        <w:right w:val="none" w:sz="0" w:space="0" w:color="auto"/>
      </w:divBdr>
    </w:div>
    <w:div w:id="1380977507">
      <w:bodyDiv w:val="1"/>
      <w:marLeft w:val="0"/>
      <w:marRight w:val="0"/>
      <w:marTop w:val="0"/>
      <w:marBottom w:val="0"/>
      <w:divBdr>
        <w:top w:val="none" w:sz="0" w:space="0" w:color="auto"/>
        <w:left w:val="none" w:sz="0" w:space="0" w:color="auto"/>
        <w:bottom w:val="none" w:sz="0" w:space="0" w:color="auto"/>
        <w:right w:val="none" w:sz="0" w:space="0" w:color="auto"/>
      </w:divBdr>
    </w:div>
    <w:div w:id="1588267617">
      <w:bodyDiv w:val="1"/>
      <w:marLeft w:val="0"/>
      <w:marRight w:val="0"/>
      <w:marTop w:val="0"/>
      <w:marBottom w:val="0"/>
      <w:divBdr>
        <w:top w:val="none" w:sz="0" w:space="0" w:color="auto"/>
        <w:left w:val="none" w:sz="0" w:space="0" w:color="auto"/>
        <w:bottom w:val="none" w:sz="0" w:space="0" w:color="auto"/>
        <w:right w:val="none" w:sz="0" w:space="0" w:color="auto"/>
      </w:divBdr>
    </w:div>
    <w:div w:id="1605460648">
      <w:bodyDiv w:val="1"/>
      <w:marLeft w:val="0"/>
      <w:marRight w:val="0"/>
      <w:marTop w:val="0"/>
      <w:marBottom w:val="0"/>
      <w:divBdr>
        <w:top w:val="none" w:sz="0" w:space="0" w:color="auto"/>
        <w:left w:val="none" w:sz="0" w:space="0" w:color="auto"/>
        <w:bottom w:val="none" w:sz="0" w:space="0" w:color="auto"/>
        <w:right w:val="none" w:sz="0" w:space="0" w:color="auto"/>
      </w:divBdr>
    </w:div>
    <w:div w:id="1811022065">
      <w:bodyDiv w:val="1"/>
      <w:marLeft w:val="0"/>
      <w:marRight w:val="0"/>
      <w:marTop w:val="0"/>
      <w:marBottom w:val="0"/>
      <w:divBdr>
        <w:top w:val="none" w:sz="0" w:space="0" w:color="auto"/>
        <w:left w:val="none" w:sz="0" w:space="0" w:color="auto"/>
        <w:bottom w:val="none" w:sz="0" w:space="0" w:color="auto"/>
        <w:right w:val="none" w:sz="0" w:space="0" w:color="auto"/>
      </w:divBdr>
    </w:div>
    <w:div w:id="1866365231">
      <w:bodyDiv w:val="1"/>
      <w:marLeft w:val="0"/>
      <w:marRight w:val="0"/>
      <w:marTop w:val="0"/>
      <w:marBottom w:val="0"/>
      <w:divBdr>
        <w:top w:val="none" w:sz="0" w:space="0" w:color="auto"/>
        <w:left w:val="none" w:sz="0" w:space="0" w:color="auto"/>
        <w:bottom w:val="none" w:sz="0" w:space="0" w:color="auto"/>
        <w:right w:val="none" w:sz="0" w:space="0" w:color="auto"/>
      </w:divBdr>
    </w:div>
    <w:div w:id="1937012152">
      <w:bodyDiv w:val="1"/>
      <w:marLeft w:val="0"/>
      <w:marRight w:val="0"/>
      <w:marTop w:val="0"/>
      <w:marBottom w:val="0"/>
      <w:divBdr>
        <w:top w:val="none" w:sz="0" w:space="0" w:color="auto"/>
        <w:left w:val="none" w:sz="0" w:space="0" w:color="auto"/>
        <w:bottom w:val="none" w:sz="0" w:space="0" w:color="auto"/>
        <w:right w:val="none" w:sz="0" w:space="0" w:color="auto"/>
      </w:divBdr>
    </w:div>
    <w:div w:id="1954047055">
      <w:bodyDiv w:val="1"/>
      <w:marLeft w:val="0"/>
      <w:marRight w:val="0"/>
      <w:marTop w:val="0"/>
      <w:marBottom w:val="0"/>
      <w:divBdr>
        <w:top w:val="none" w:sz="0" w:space="0" w:color="auto"/>
        <w:left w:val="none" w:sz="0" w:space="0" w:color="auto"/>
        <w:bottom w:val="none" w:sz="0" w:space="0" w:color="auto"/>
        <w:right w:val="none" w:sz="0" w:space="0" w:color="auto"/>
      </w:divBdr>
    </w:div>
    <w:div w:id="2057774291">
      <w:bodyDiv w:val="1"/>
      <w:marLeft w:val="0"/>
      <w:marRight w:val="0"/>
      <w:marTop w:val="0"/>
      <w:marBottom w:val="0"/>
      <w:divBdr>
        <w:top w:val="none" w:sz="0" w:space="0" w:color="auto"/>
        <w:left w:val="none" w:sz="0" w:space="0" w:color="auto"/>
        <w:bottom w:val="none" w:sz="0" w:space="0" w:color="auto"/>
        <w:right w:val="none" w:sz="0" w:space="0" w:color="auto"/>
      </w:divBdr>
    </w:div>
    <w:div w:id="2146579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2031-11-30T23:00:00+00:00</_dlc_ExpireDate>
    <TaxCatchAll xmlns="f191ad30-9ade-4f0c-b78e-cf30469879ae"/>
    <TaxKeywordTaxHTField xmlns="6c1f21a7-b5a1-4c8f-b27b-25dbb82deb6d">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E749F80D401D4F9CDE038E009A4567" ma:contentTypeVersion="9" ma:contentTypeDescription="Create a new document." ma:contentTypeScope="" ma:versionID="fe4165f218aaf07dc8446c409c0665ac">
  <xsd:schema xmlns:xsd="http://www.w3.org/2001/XMLSchema" xmlns:xs="http://www.w3.org/2001/XMLSchema" xmlns:p="http://schemas.microsoft.com/office/2006/metadata/properties" xmlns:ns1="http://schemas.microsoft.com/sharepoint/v3" xmlns:ns2="6c1f21a7-b5a1-4c8f-b27b-25dbb82deb6d" xmlns:ns3="f191ad30-9ade-4f0c-b78e-cf30469879ae" xmlns:ns4="http://schemas.microsoft.com/sharepoint/v4" targetNamespace="http://schemas.microsoft.com/office/2006/metadata/properties" ma:root="true" ma:fieldsID="c307903d508cafc606dd95a4fa20d9e0" ns1:_="" ns2:_="" ns3:_="" ns4:_="">
    <xsd:import namespace="http://schemas.microsoft.com/sharepoint/v3"/>
    <xsd:import namespace="6c1f21a7-b5a1-4c8f-b27b-25dbb82deb6d"/>
    <xsd:import namespace="f191ad30-9ade-4f0c-b78e-cf30469879ae"/>
    <xsd:import namespace="http://schemas.microsoft.com/sharepoint/v4"/>
    <xsd:element name="properties">
      <xsd:complexType>
        <xsd:sequence>
          <xsd:element name="documentManagement">
            <xsd:complexType>
              <xsd:all>
                <xsd:element ref="ns2:TaxKeywordTaxHTField" minOccurs="0"/>
                <xsd:element ref="ns3:TaxCatchAll" minOccurs="0"/>
                <xsd:element ref="ns1:_dlc_ExpireDateSaved" minOccurs="0"/>
                <xsd:element ref="ns1:_dlc_ExpireDate" minOccurs="0"/>
                <xsd:element ref="ns1:_dlc_Exempt" minOccurs="0"/>
                <xsd:element ref="ns1:_vti_ItemDeclaredRecord"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4"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f21a7-b5a1-4c8f-b27b-25dbb82deb6d"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91ad30-9ade-4f0c-b78e-cf30469879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e4daa3-25fa-4272-a56b-3b226d2b0207}" ma:internalName="TaxCatchAll" ma:showField="CatchAllData" ma:web="6c1f21a7-b5a1-4c8f-b27b-25dbb82de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5E490-8081-4554-A7DE-0C22F3A46122}">
  <ds:schemaRefs>
    <ds:schemaRef ds:uri="http://schemas.microsoft.com/sharepoint/v3/contenttype/forms"/>
  </ds:schemaRefs>
</ds:datastoreItem>
</file>

<file path=customXml/itemProps2.xml><?xml version="1.0" encoding="utf-8"?>
<ds:datastoreItem xmlns:ds="http://schemas.openxmlformats.org/officeDocument/2006/customXml" ds:itemID="{7DF4A978-A580-4FE6-BCD5-2760245C43BB}">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f191ad30-9ade-4f0c-b78e-cf30469879ae"/>
    <ds:schemaRef ds:uri="6c1f21a7-b5a1-4c8f-b27b-25dbb82deb6d"/>
  </ds:schemaRefs>
</ds:datastoreItem>
</file>

<file path=customXml/itemProps3.xml><?xml version="1.0" encoding="utf-8"?>
<ds:datastoreItem xmlns:ds="http://schemas.openxmlformats.org/officeDocument/2006/customXml" ds:itemID="{D2179AE0-3FDE-45CA-8EC9-03F192CDFE43}">
  <ds:schemaRefs>
    <ds:schemaRef ds:uri="http://schemas.openxmlformats.org/officeDocument/2006/bibliography"/>
  </ds:schemaRefs>
</ds:datastoreItem>
</file>

<file path=customXml/itemProps4.xml><?xml version="1.0" encoding="utf-8"?>
<ds:datastoreItem xmlns:ds="http://schemas.openxmlformats.org/officeDocument/2006/customXml" ds:itemID="{4FFEC462-E568-4AA6-ACEF-7CA50D46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f21a7-b5a1-4c8f-b27b-25dbb82deb6d"/>
    <ds:schemaRef ds:uri="f191ad30-9ade-4f0c-b78e-cf30469879a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11130</Words>
  <Characters>65116</Characters>
  <Application>Microsoft Office Word</Application>
  <DocSecurity>0</DocSecurity>
  <Lines>1415</Lines>
  <Paragraphs>802</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75444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Pertuzumab/trastuzumab</dc:title>
  <dc:creator>F. Hoffmann-La Roche, Ltd.</dc:creator>
  <cp:keywords/>
  <cp:lastPrinted>2020-03-24T03:58:00Z</cp:lastPrinted>
  <dcterms:created xsi:type="dcterms:W3CDTF">2021-10-10T23:05:00Z</dcterms:created>
  <dcterms:modified xsi:type="dcterms:W3CDTF">2021-10-10T23:05:00Z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0x010100CAE749F80D401D4F9CDE038E009A4567</vt:lpwstr>
  </property>
  <property fmtid="{D5CDD505-2E9C-101B-9397-08002B2CF9AE}" pid="3" name="_dlc_policyId">
    <vt:lpwstr>/team/201220e3/GFT</vt:lpwstr>
  </property>
  <property fmtid="{D5CDD505-2E9C-101B-9397-08002B2CF9AE}" pid="4" name="ItemRetentionFormula">
    <vt:lpwstr>&lt;formula id="Roche.Common.Coremap.ExpirationFormula" /&gt;</vt:lpwstr>
  </property>
  <property fmtid="{D5CDD505-2E9C-101B-9397-08002B2CF9AE}" pid="5" name="TaxKeyword">
    <vt:lpwstr/>
  </property>
</Properties>
</file>