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tblGrid>
      <w:tr w:rsidR="008E7846" w:rsidRPr="00487162" w:rsidTr="000E7CA2">
        <w:trPr>
          <w:trHeight w:val="1863"/>
        </w:trPr>
        <w:tc>
          <w:tcPr>
            <w:tcW w:w="7196" w:type="dxa"/>
            <w:tcBorders>
              <w:top w:val="nil"/>
              <w:left w:val="nil"/>
              <w:bottom w:val="nil"/>
              <w:right w:val="nil"/>
            </w:tcBorders>
          </w:tcPr>
          <w:p w:rsidR="008E7846" w:rsidRDefault="00D33570" w:rsidP="0017078F">
            <w:pPr>
              <w:rPr>
                <w:rFonts w:ascii="Arial" w:hAnsi="Arial" w:cs="Arial"/>
                <w:b/>
                <w:color w:val="002C47"/>
                <w:sz w:val="36"/>
                <w:szCs w:val="36"/>
              </w:rPr>
            </w:pPr>
            <w:bookmarkStart w:id="0" w:name="_GoBack"/>
            <w:bookmarkEnd w:id="0"/>
            <w:r>
              <w:rPr>
                <w:rFonts w:ascii="Arial" w:hAnsi="Arial" w:cs="Arial"/>
                <w:b/>
                <w:color w:val="002C47"/>
                <w:sz w:val="36"/>
                <w:szCs w:val="36"/>
              </w:rPr>
              <w:t>First round report 23 September 2015</w:t>
            </w:r>
          </w:p>
          <w:p w:rsidR="00D33570" w:rsidRPr="0017078F" w:rsidRDefault="00D33570" w:rsidP="0017078F">
            <w:pPr>
              <w:rPr>
                <w:rFonts w:ascii="Arial" w:hAnsi="Arial" w:cs="Arial"/>
                <w:b/>
                <w:color w:val="002C47"/>
                <w:sz w:val="36"/>
                <w:szCs w:val="36"/>
              </w:rPr>
            </w:pPr>
            <w:r>
              <w:rPr>
                <w:rFonts w:ascii="Arial" w:hAnsi="Arial" w:cs="Arial"/>
                <w:b/>
                <w:color w:val="002C47"/>
                <w:sz w:val="36"/>
                <w:szCs w:val="36"/>
              </w:rPr>
              <w:t>Second round report 24 November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006B33B2">
              <w:rPr>
                <w:color w:val="FFFFFF" w:themeColor="background1"/>
              </w:rPr>
              <w:t xml:space="preserve"> for pirfenidone</w:t>
            </w:r>
          </w:p>
        </w:tc>
      </w:tr>
      <w:tr w:rsidR="00E07F15" w:rsidRPr="00B64760" w:rsidTr="00E07F15">
        <w:tc>
          <w:tcPr>
            <w:tcW w:w="9079" w:type="dxa"/>
          </w:tcPr>
          <w:p w:rsidR="00E07F15" w:rsidRPr="008E7846" w:rsidRDefault="006B33B2" w:rsidP="00F316A6">
            <w:pPr>
              <w:pStyle w:val="Subtitle"/>
              <w:rPr>
                <w:color w:val="FFFFFF" w:themeColor="background1"/>
              </w:rPr>
            </w:pPr>
            <w:r>
              <w:rPr>
                <w:color w:val="FFFFFF" w:themeColor="background1"/>
              </w:rPr>
              <w:t xml:space="preserve">Proprietary Product Name: </w:t>
            </w:r>
            <w:r w:rsidR="00F316A6">
              <w:rPr>
                <w:color w:val="FFFFFF" w:themeColor="background1"/>
              </w:rPr>
              <w:t>Esbriet</w:t>
            </w:r>
          </w:p>
        </w:tc>
      </w:tr>
      <w:tr w:rsidR="00E07F15" w:rsidRPr="00B64760" w:rsidTr="00E07F15">
        <w:trPr>
          <w:trHeight w:val="486"/>
        </w:trPr>
        <w:tc>
          <w:tcPr>
            <w:tcW w:w="9079" w:type="dxa"/>
          </w:tcPr>
          <w:p w:rsidR="00E07F15" w:rsidRPr="008E7846" w:rsidRDefault="006B33B2" w:rsidP="00A5386A">
            <w:pPr>
              <w:pStyle w:val="Subtitle"/>
              <w:rPr>
                <w:color w:val="FFFFFF" w:themeColor="background1"/>
              </w:rPr>
            </w:pPr>
            <w:r>
              <w:rPr>
                <w:color w:val="FFFFFF" w:themeColor="background1"/>
              </w:rPr>
              <w:t>Sponsor: R</w:t>
            </w:r>
            <w:r w:rsidR="00A5386A">
              <w:rPr>
                <w:color w:val="FFFFFF" w:themeColor="background1"/>
              </w:rPr>
              <w:t>oche Products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574B03">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574B03">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574B0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574B0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574B03">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25883"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9986965" w:history="1">
            <w:r w:rsidR="00725883" w:rsidRPr="00C77DB2">
              <w:rPr>
                <w:rStyle w:val="Hyperlink"/>
                <w:noProof/>
              </w:rPr>
              <w:t>List of commonly used abbreviations</w:t>
            </w:r>
            <w:r w:rsidR="00725883">
              <w:rPr>
                <w:noProof/>
                <w:webHidden/>
              </w:rPr>
              <w:tab/>
            </w:r>
            <w:r w:rsidR="00725883">
              <w:rPr>
                <w:noProof/>
                <w:webHidden/>
              </w:rPr>
              <w:fldChar w:fldCharType="begin"/>
            </w:r>
            <w:r w:rsidR="00725883">
              <w:rPr>
                <w:noProof/>
                <w:webHidden/>
              </w:rPr>
              <w:instrText xml:space="preserve"> PAGEREF _Toc459986965 \h </w:instrText>
            </w:r>
            <w:r w:rsidR="00725883">
              <w:rPr>
                <w:noProof/>
                <w:webHidden/>
              </w:rPr>
            </w:r>
            <w:r w:rsidR="00725883">
              <w:rPr>
                <w:noProof/>
                <w:webHidden/>
              </w:rPr>
              <w:fldChar w:fldCharType="separate"/>
            </w:r>
            <w:r w:rsidR="00725883">
              <w:rPr>
                <w:noProof/>
                <w:webHidden/>
              </w:rPr>
              <w:t>5</w:t>
            </w:r>
            <w:r w:rsidR="00725883">
              <w:rPr>
                <w:noProof/>
                <w:webHidden/>
              </w:rPr>
              <w:fldChar w:fldCharType="end"/>
            </w:r>
          </w:hyperlink>
        </w:p>
        <w:p w:rsidR="00725883" w:rsidRDefault="00D01137">
          <w:pPr>
            <w:pStyle w:val="TOC2"/>
            <w:tabs>
              <w:tab w:val="left" w:pos="1247"/>
            </w:tabs>
            <w:rPr>
              <w:rFonts w:asciiTheme="minorHAnsi" w:eastAsiaTheme="minorEastAsia" w:hAnsiTheme="minorHAnsi" w:cstheme="minorBidi"/>
              <w:b w:val="0"/>
              <w:noProof/>
              <w:sz w:val="22"/>
              <w:lang w:eastAsia="en-AU"/>
            </w:rPr>
          </w:pPr>
          <w:hyperlink w:anchor="_Toc459986966" w:history="1">
            <w:r w:rsidR="00725883" w:rsidRPr="00C77DB2">
              <w:rPr>
                <w:rStyle w:val="Hyperlink"/>
                <w:noProof/>
                <w:lang w:eastAsia="en-AU"/>
              </w:rPr>
              <w:t>1.</w:t>
            </w:r>
            <w:r w:rsidR="00725883">
              <w:rPr>
                <w:rFonts w:asciiTheme="minorHAnsi" w:eastAsiaTheme="minorEastAsia" w:hAnsiTheme="minorHAnsi" w:cstheme="minorBidi"/>
                <w:b w:val="0"/>
                <w:noProof/>
                <w:sz w:val="22"/>
                <w:lang w:eastAsia="en-AU"/>
              </w:rPr>
              <w:tab/>
            </w:r>
            <w:r w:rsidR="00725883" w:rsidRPr="00C77DB2">
              <w:rPr>
                <w:rStyle w:val="Hyperlink"/>
                <w:noProof/>
                <w:lang w:eastAsia="en-AU"/>
              </w:rPr>
              <w:t>Introduction</w:t>
            </w:r>
            <w:r w:rsidR="00725883">
              <w:rPr>
                <w:noProof/>
                <w:webHidden/>
              </w:rPr>
              <w:tab/>
            </w:r>
            <w:r w:rsidR="00725883">
              <w:rPr>
                <w:noProof/>
                <w:webHidden/>
              </w:rPr>
              <w:fldChar w:fldCharType="begin"/>
            </w:r>
            <w:r w:rsidR="00725883">
              <w:rPr>
                <w:noProof/>
                <w:webHidden/>
              </w:rPr>
              <w:instrText xml:space="preserve"> PAGEREF _Toc459986966 \h </w:instrText>
            </w:r>
            <w:r w:rsidR="00725883">
              <w:rPr>
                <w:noProof/>
                <w:webHidden/>
              </w:rPr>
            </w:r>
            <w:r w:rsidR="00725883">
              <w:rPr>
                <w:noProof/>
                <w:webHidden/>
              </w:rPr>
              <w:fldChar w:fldCharType="separate"/>
            </w:r>
            <w:r w:rsidR="00725883">
              <w:rPr>
                <w:noProof/>
                <w:webHidden/>
              </w:rPr>
              <w:t>8</w:t>
            </w:r>
            <w:r w:rsidR="00725883">
              <w:rPr>
                <w:noProof/>
                <w:webHidden/>
              </w:rPr>
              <w:fldChar w:fldCharType="end"/>
            </w:r>
          </w:hyperlink>
        </w:p>
        <w:p w:rsidR="00725883" w:rsidRDefault="00D01137">
          <w:pPr>
            <w:pStyle w:val="TOC2"/>
            <w:tabs>
              <w:tab w:val="left" w:pos="1247"/>
            </w:tabs>
            <w:rPr>
              <w:rFonts w:asciiTheme="minorHAnsi" w:eastAsiaTheme="minorEastAsia" w:hAnsiTheme="minorHAnsi" w:cstheme="minorBidi"/>
              <w:b w:val="0"/>
              <w:noProof/>
              <w:sz w:val="22"/>
              <w:lang w:eastAsia="en-AU"/>
            </w:rPr>
          </w:pPr>
          <w:hyperlink w:anchor="_Toc459986967" w:history="1">
            <w:r w:rsidR="00725883" w:rsidRPr="00C77DB2">
              <w:rPr>
                <w:rStyle w:val="Hyperlink"/>
                <w:noProof/>
              </w:rPr>
              <w:t>2.</w:t>
            </w:r>
            <w:r w:rsidR="00725883">
              <w:rPr>
                <w:rFonts w:asciiTheme="minorHAnsi" w:eastAsiaTheme="minorEastAsia" w:hAnsiTheme="minorHAnsi" w:cstheme="minorBidi"/>
                <w:b w:val="0"/>
                <w:noProof/>
                <w:sz w:val="22"/>
                <w:lang w:eastAsia="en-AU"/>
              </w:rPr>
              <w:tab/>
            </w:r>
            <w:r w:rsidR="00725883" w:rsidRPr="00C77DB2">
              <w:rPr>
                <w:rStyle w:val="Hyperlink"/>
                <w:noProof/>
              </w:rPr>
              <w:t>Clinical rationale</w:t>
            </w:r>
            <w:r w:rsidR="00725883">
              <w:rPr>
                <w:noProof/>
                <w:webHidden/>
              </w:rPr>
              <w:tab/>
            </w:r>
            <w:r w:rsidR="00725883">
              <w:rPr>
                <w:noProof/>
                <w:webHidden/>
              </w:rPr>
              <w:fldChar w:fldCharType="begin"/>
            </w:r>
            <w:r w:rsidR="00725883">
              <w:rPr>
                <w:noProof/>
                <w:webHidden/>
              </w:rPr>
              <w:instrText xml:space="preserve"> PAGEREF _Toc459986967 \h </w:instrText>
            </w:r>
            <w:r w:rsidR="00725883">
              <w:rPr>
                <w:noProof/>
                <w:webHidden/>
              </w:rPr>
            </w:r>
            <w:r w:rsidR="00725883">
              <w:rPr>
                <w:noProof/>
                <w:webHidden/>
              </w:rPr>
              <w:fldChar w:fldCharType="separate"/>
            </w:r>
            <w:r w:rsidR="00725883">
              <w:rPr>
                <w:noProof/>
                <w:webHidden/>
              </w:rPr>
              <w:t>8</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68" w:history="1">
            <w:r w:rsidR="00725883" w:rsidRPr="00C77DB2">
              <w:rPr>
                <w:rStyle w:val="Hyperlink"/>
                <w:noProof/>
              </w:rPr>
              <w:t>2.1.</w:t>
            </w:r>
            <w:r w:rsidR="00725883">
              <w:rPr>
                <w:rFonts w:asciiTheme="minorHAnsi" w:eastAsiaTheme="minorEastAsia" w:hAnsiTheme="minorHAnsi" w:cstheme="minorBidi"/>
                <w:noProof/>
                <w:lang w:eastAsia="en-AU"/>
              </w:rPr>
              <w:tab/>
            </w:r>
            <w:r w:rsidR="00725883" w:rsidRPr="00C77DB2">
              <w:rPr>
                <w:rStyle w:val="Hyperlink"/>
                <w:noProof/>
              </w:rPr>
              <w:t>Background</w:t>
            </w:r>
            <w:r w:rsidR="00725883">
              <w:rPr>
                <w:noProof/>
                <w:webHidden/>
              </w:rPr>
              <w:tab/>
            </w:r>
            <w:r w:rsidR="00725883">
              <w:rPr>
                <w:noProof/>
                <w:webHidden/>
              </w:rPr>
              <w:fldChar w:fldCharType="begin"/>
            </w:r>
            <w:r w:rsidR="00725883">
              <w:rPr>
                <w:noProof/>
                <w:webHidden/>
              </w:rPr>
              <w:instrText xml:space="preserve"> PAGEREF _Toc459986968 \h </w:instrText>
            </w:r>
            <w:r w:rsidR="00725883">
              <w:rPr>
                <w:noProof/>
                <w:webHidden/>
              </w:rPr>
            </w:r>
            <w:r w:rsidR="00725883">
              <w:rPr>
                <w:noProof/>
                <w:webHidden/>
              </w:rPr>
              <w:fldChar w:fldCharType="separate"/>
            </w:r>
            <w:r w:rsidR="00725883">
              <w:rPr>
                <w:noProof/>
                <w:webHidden/>
              </w:rPr>
              <w:t>8</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69" w:history="1">
            <w:r w:rsidR="00725883" w:rsidRPr="00C77DB2">
              <w:rPr>
                <w:rStyle w:val="Hyperlink"/>
                <w:noProof/>
              </w:rPr>
              <w:t>2.2.</w:t>
            </w:r>
            <w:r w:rsidR="00725883">
              <w:rPr>
                <w:rFonts w:asciiTheme="minorHAnsi" w:eastAsiaTheme="minorEastAsia" w:hAnsiTheme="minorHAnsi" w:cstheme="minorBidi"/>
                <w:noProof/>
                <w:lang w:eastAsia="en-AU"/>
              </w:rPr>
              <w:tab/>
            </w:r>
            <w:r w:rsidR="00725883" w:rsidRPr="00C77DB2">
              <w:rPr>
                <w:rStyle w:val="Hyperlink"/>
                <w:noProof/>
              </w:rPr>
              <w:t>Therapeutic context</w:t>
            </w:r>
            <w:r w:rsidR="00725883">
              <w:rPr>
                <w:noProof/>
                <w:webHidden/>
              </w:rPr>
              <w:tab/>
            </w:r>
            <w:r w:rsidR="00725883">
              <w:rPr>
                <w:noProof/>
                <w:webHidden/>
              </w:rPr>
              <w:fldChar w:fldCharType="begin"/>
            </w:r>
            <w:r w:rsidR="00725883">
              <w:rPr>
                <w:noProof/>
                <w:webHidden/>
              </w:rPr>
              <w:instrText xml:space="preserve"> PAGEREF _Toc459986969 \h </w:instrText>
            </w:r>
            <w:r w:rsidR="00725883">
              <w:rPr>
                <w:noProof/>
                <w:webHidden/>
              </w:rPr>
            </w:r>
            <w:r w:rsidR="00725883">
              <w:rPr>
                <w:noProof/>
                <w:webHidden/>
              </w:rPr>
              <w:fldChar w:fldCharType="separate"/>
            </w:r>
            <w:r w:rsidR="00725883">
              <w:rPr>
                <w:noProof/>
                <w:webHidden/>
              </w:rPr>
              <w:t>8</w:t>
            </w:r>
            <w:r w:rsidR="00725883">
              <w:rPr>
                <w:noProof/>
                <w:webHidden/>
              </w:rPr>
              <w:fldChar w:fldCharType="end"/>
            </w:r>
          </w:hyperlink>
        </w:p>
        <w:p w:rsidR="00725883" w:rsidRDefault="00D01137">
          <w:pPr>
            <w:pStyle w:val="TOC2"/>
            <w:tabs>
              <w:tab w:val="left" w:pos="1247"/>
            </w:tabs>
            <w:rPr>
              <w:rFonts w:asciiTheme="minorHAnsi" w:eastAsiaTheme="minorEastAsia" w:hAnsiTheme="minorHAnsi" w:cstheme="minorBidi"/>
              <w:b w:val="0"/>
              <w:noProof/>
              <w:sz w:val="22"/>
              <w:lang w:eastAsia="en-AU"/>
            </w:rPr>
          </w:pPr>
          <w:hyperlink w:anchor="_Toc459986970" w:history="1">
            <w:r w:rsidR="00725883" w:rsidRPr="00C77DB2">
              <w:rPr>
                <w:rStyle w:val="Hyperlink"/>
                <w:noProof/>
                <w:lang w:eastAsia="en-AU"/>
              </w:rPr>
              <w:t>3.</w:t>
            </w:r>
            <w:r w:rsidR="00725883">
              <w:rPr>
                <w:rFonts w:asciiTheme="minorHAnsi" w:eastAsiaTheme="minorEastAsia" w:hAnsiTheme="minorHAnsi" w:cstheme="minorBidi"/>
                <w:b w:val="0"/>
                <w:noProof/>
                <w:sz w:val="22"/>
                <w:lang w:eastAsia="en-AU"/>
              </w:rPr>
              <w:tab/>
            </w:r>
            <w:r w:rsidR="00725883" w:rsidRPr="00C77DB2">
              <w:rPr>
                <w:rStyle w:val="Hyperlink"/>
                <w:noProof/>
                <w:lang w:eastAsia="en-AU"/>
              </w:rPr>
              <w:t>Contents of the clinical dossier</w:t>
            </w:r>
            <w:r w:rsidR="00725883">
              <w:rPr>
                <w:noProof/>
                <w:webHidden/>
              </w:rPr>
              <w:tab/>
            </w:r>
            <w:r w:rsidR="00725883">
              <w:rPr>
                <w:noProof/>
                <w:webHidden/>
              </w:rPr>
              <w:fldChar w:fldCharType="begin"/>
            </w:r>
            <w:r w:rsidR="00725883">
              <w:rPr>
                <w:noProof/>
                <w:webHidden/>
              </w:rPr>
              <w:instrText xml:space="preserve"> PAGEREF _Toc459986970 \h </w:instrText>
            </w:r>
            <w:r w:rsidR="00725883">
              <w:rPr>
                <w:noProof/>
                <w:webHidden/>
              </w:rPr>
            </w:r>
            <w:r w:rsidR="00725883">
              <w:rPr>
                <w:noProof/>
                <w:webHidden/>
              </w:rPr>
              <w:fldChar w:fldCharType="separate"/>
            </w:r>
            <w:r w:rsidR="00725883">
              <w:rPr>
                <w:noProof/>
                <w:webHidden/>
              </w:rPr>
              <w:t>9</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71" w:history="1">
            <w:r w:rsidR="00725883" w:rsidRPr="00C77DB2">
              <w:rPr>
                <w:rStyle w:val="Hyperlink"/>
                <w:noProof/>
              </w:rPr>
              <w:t>3.1.</w:t>
            </w:r>
            <w:r w:rsidR="00725883">
              <w:rPr>
                <w:rFonts w:asciiTheme="minorHAnsi" w:eastAsiaTheme="minorEastAsia" w:hAnsiTheme="minorHAnsi" w:cstheme="minorBidi"/>
                <w:noProof/>
                <w:lang w:eastAsia="en-AU"/>
              </w:rPr>
              <w:tab/>
            </w:r>
            <w:r w:rsidR="00725883" w:rsidRPr="00C77DB2">
              <w:rPr>
                <w:rStyle w:val="Hyperlink"/>
                <w:noProof/>
              </w:rPr>
              <w:t>Scope of the clinical dossier</w:t>
            </w:r>
            <w:r w:rsidR="00725883">
              <w:rPr>
                <w:noProof/>
                <w:webHidden/>
              </w:rPr>
              <w:tab/>
            </w:r>
            <w:r w:rsidR="00725883">
              <w:rPr>
                <w:noProof/>
                <w:webHidden/>
              </w:rPr>
              <w:fldChar w:fldCharType="begin"/>
            </w:r>
            <w:r w:rsidR="00725883">
              <w:rPr>
                <w:noProof/>
                <w:webHidden/>
              </w:rPr>
              <w:instrText xml:space="preserve"> PAGEREF _Toc459986971 \h </w:instrText>
            </w:r>
            <w:r w:rsidR="00725883">
              <w:rPr>
                <w:noProof/>
                <w:webHidden/>
              </w:rPr>
            </w:r>
            <w:r w:rsidR="00725883">
              <w:rPr>
                <w:noProof/>
                <w:webHidden/>
              </w:rPr>
              <w:fldChar w:fldCharType="separate"/>
            </w:r>
            <w:r w:rsidR="00725883">
              <w:rPr>
                <w:noProof/>
                <w:webHidden/>
              </w:rPr>
              <w:t>9</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72" w:history="1">
            <w:r w:rsidR="00725883" w:rsidRPr="00C77DB2">
              <w:rPr>
                <w:rStyle w:val="Hyperlink"/>
                <w:noProof/>
              </w:rPr>
              <w:t>3.2.</w:t>
            </w:r>
            <w:r w:rsidR="00725883">
              <w:rPr>
                <w:rFonts w:asciiTheme="minorHAnsi" w:eastAsiaTheme="minorEastAsia" w:hAnsiTheme="minorHAnsi" w:cstheme="minorBidi"/>
                <w:noProof/>
                <w:lang w:eastAsia="en-AU"/>
              </w:rPr>
              <w:tab/>
            </w:r>
            <w:r w:rsidR="00725883" w:rsidRPr="00C77DB2">
              <w:rPr>
                <w:rStyle w:val="Hyperlink"/>
                <w:noProof/>
              </w:rPr>
              <w:t>Paediatric data</w:t>
            </w:r>
            <w:r w:rsidR="00725883">
              <w:rPr>
                <w:noProof/>
                <w:webHidden/>
              </w:rPr>
              <w:tab/>
            </w:r>
            <w:r w:rsidR="00725883">
              <w:rPr>
                <w:noProof/>
                <w:webHidden/>
              </w:rPr>
              <w:fldChar w:fldCharType="begin"/>
            </w:r>
            <w:r w:rsidR="00725883">
              <w:rPr>
                <w:noProof/>
                <w:webHidden/>
              </w:rPr>
              <w:instrText xml:space="preserve"> PAGEREF _Toc459986972 \h </w:instrText>
            </w:r>
            <w:r w:rsidR="00725883">
              <w:rPr>
                <w:noProof/>
                <w:webHidden/>
              </w:rPr>
            </w:r>
            <w:r w:rsidR="00725883">
              <w:rPr>
                <w:noProof/>
                <w:webHidden/>
              </w:rPr>
              <w:fldChar w:fldCharType="separate"/>
            </w:r>
            <w:r w:rsidR="00725883">
              <w:rPr>
                <w:noProof/>
                <w:webHidden/>
              </w:rPr>
              <w:t>9</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73" w:history="1">
            <w:r w:rsidR="00725883" w:rsidRPr="00C77DB2">
              <w:rPr>
                <w:rStyle w:val="Hyperlink"/>
                <w:noProof/>
              </w:rPr>
              <w:t>3.3.</w:t>
            </w:r>
            <w:r w:rsidR="00725883">
              <w:rPr>
                <w:rFonts w:asciiTheme="minorHAnsi" w:eastAsiaTheme="minorEastAsia" w:hAnsiTheme="minorHAnsi" w:cstheme="minorBidi"/>
                <w:noProof/>
                <w:lang w:eastAsia="en-AU"/>
              </w:rPr>
              <w:tab/>
            </w:r>
            <w:r w:rsidR="00725883" w:rsidRPr="00C77DB2">
              <w:rPr>
                <w:rStyle w:val="Hyperlink"/>
                <w:noProof/>
              </w:rPr>
              <w:t>Good clinical practice</w:t>
            </w:r>
            <w:r w:rsidR="00725883">
              <w:rPr>
                <w:noProof/>
                <w:webHidden/>
              </w:rPr>
              <w:tab/>
            </w:r>
            <w:r w:rsidR="00725883">
              <w:rPr>
                <w:noProof/>
                <w:webHidden/>
              </w:rPr>
              <w:fldChar w:fldCharType="begin"/>
            </w:r>
            <w:r w:rsidR="00725883">
              <w:rPr>
                <w:noProof/>
                <w:webHidden/>
              </w:rPr>
              <w:instrText xml:space="preserve"> PAGEREF _Toc459986973 \h </w:instrText>
            </w:r>
            <w:r w:rsidR="00725883">
              <w:rPr>
                <w:noProof/>
                <w:webHidden/>
              </w:rPr>
            </w:r>
            <w:r w:rsidR="00725883">
              <w:rPr>
                <w:noProof/>
                <w:webHidden/>
              </w:rPr>
              <w:fldChar w:fldCharType="separate"/>
            </w:r>
            <w:r w:rsidR="00725883">
              <w:rPr>
                <w:noProof/>
                <w:webHidden/>
              </w:rPr>
              <w:t>9</w:t>
            </w:r>
            <w:r w:rsidR="00725883">
              <w:rPr>
                <w:noProof/>
                <w:webHidden/>
              </w:rPr>
              <w:fldChar w:fldCharType="end"/>
            </w:r>
          </w:hyperlink>
        </w:p>
        <w:p w:rsidR="00725883" w:rsidRDefault="00D01137">
          <w:pPr>
            <w:pStyle w:val="TOC2"/>
            <w:tabs>
              <w:tab w:val="left" w:pos="1247"/>
            </w:tabs>
            <w:rPr>
              <w:rFonts w:asciiTheme="minorHAnsi" w:eastAsiaTheme="minorEastAsia" w:hAnsiTheme="minorHAnsi" w:cstheme="minorBidi"/>
              <w:b w:val="0"/>
              <w:noProof/>
              <w:sz w:val="22"/>
              <w:lang w:eastAsia="en-AU"/>
            </w:rPr>
          </w:pPr>
          <w:hyperlink w:anchor="_Toc459986974" w:history="1">
            <w:r w:rsidR="00725883" w:rsidRPr="00C77DB2">
              <w:rPr>
                <w:rStyle w:val="Hyperlink"/>
                <w:noProof/>
              </w:rPr>
              <w:t>4.</w:t>
            </w:r>
            <w:r w:rsidR="00725883">
              <w:rPr>
                <w:rFonts w:asciiTheme="minorHAnsi" w:eastAsiaTheme="minorEastAsia" w:hAnsiTheme="minorHAnsi" w:cstheme="minorBidi"/>
                <w:b w:val="0"/>
                <w:noProof/>
                <w:sz w:val="22"/>
                <w:lang w:eastAsia="en-AU"/>
              </w:rPr>
              <w:tab/>
            </w:r>
            <w:r w:rsidR="00725883" w:rsidRPr="00C77DB2">
              <w:rPr>
                <w:rStyle w:val="Hyperlink"/>
                <w:noProof/>
              </w:rPr>
              <w:t>Pharmacokinetics</w:t>
            </w:r>
            <w:r w:rsidR="00725883">
              <w:rPr>
                <w:noProof/>
                <w:webHidden/>
              </w:rPr>
              <w:tab/>
            </w:r>
            <w:r w:rsidR="00725883">
              <w:rPr>
                <w:noProof/>
                <w:webHidden/>
              </w:rPr>
              <w:fldChar w:fldCharType="begin"/>
            </w:r>
            <w:r w:rsidR="00725883">
              <w:rPr>
                <w:noProof/>
                <w:webHidden/>
              </w:rPr>
              <w:instrText xml:space="preserve"> PAGEREF _Toc459986974 \h </w:instrText>
            </w:r>
            <w:r w:rsidR="00725883">
              <w:rPr>
                <w:noProof/>
                <w:webHidden/>
              </w:rPr>
            </w:r>
            <w:r w:rsidR="00725883">
              <w:rPr>
                <w:noProof/>
                <w:webHidden/>
              </w:rPr>
              <w:fldChar w:fldCharType="separate"/>
            </w:r>
            <w:r w:rsidR="00725883">
              <w:rPr>
                <w:noProof/>
                <w:webHidden/>
              </w:rPr>
              <w:t>9</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75" w:history="1">
            <w:r w:rsidR="00725883" w:rsidRPr="00C77DB2">
              <w:rPr>
                <w:rStyle w:val="Hyperlink"/>
                <w:noProof/>
              </w:rPr>
              <w:t>4.1.</w:t>
            </w:r>
            <w:r w:rsidR="00725883">
              <w:rPr>
                <w:rFonts w:asciiTheme="minorHAnsi" w:eastAsiaTheme="minorEastAsia" w:hAnsiTheme="minorHAnsi" w:cstheme="minorBidi"/>
                <w:noProof/>
                <w:lang w:eastAsia="en-AU"/>
              </w:rPr>
              <w:tab/>
            </w:r>
            <w:r w:rsidR="00725883" w:rsidRPr="00C77DB2">
              <w:rPr>
                <w:rStyle w:val="Hyperlink"/>
                <w:noProof/>
              </w:rPr>
              <w:t>Summary of pharmacokinetics</w:t>
            </w:r>
            <w:r w:rsidR="00725883">
              <w:rPr>
                <w:noProof/>
                <w:webHidden/>
              </w:rPr>
              <w:tab/>
            </w:r>
            <w:r w:rsidR="00725883">
              <w:rPr>
                <w:noProof/>
                <w:webHidden/>
              </w:rPr>
              <w:fldChar w:fldCharType="begin"/>
            </w:r>
            <w:r w:rsidR="00725883">
              <w:rPr>
                <w:noProof/>
                <w:webHidden/>
              </w:rPr>
              <w:instrText xml:space="preserve"> PAGEREF _Toc459986975 \h </w:instrText>
            </w:r>
            <w:r w:rsidR="00725883">
              <w:rPr>
                <w:noProof/>
                <w:webHidden/>
              </w:rPr>
            </w:r>
            <w:r w:rsidR="00725883">
              <w:rPr>
                <w:noProof/>
                <w:webHidden/>
              </w:rPr>
              <w:fldChar w:fldCharType="separate"/>
            </w:r>
            <w:r w:rsidR="00725883">
              <w:rPr>
                <w:noProof/>
                <w:webHidden/>
              </w:rPr>
              <w:t>10</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76" w:history="1">
            <w:r w:rsidR="00725883" w:rsidRPr="00C77DB2">
              <w:rPr>
                <w:rStyle w:val="Hyperlink"/>
                <w:noProof/>
              </w:rPr>
              <w:t>4.2.</w:t>
            </w:r>
            <w:r w:rsidR="00725883">
              <w:rPr>
                <w:rFonts w:asciiTheme="minorHAnsi" w:eastAsiaTheme="minorEastAsia" w:hAnsiTheme="minorHAnsi" w:cstheme="minorBidi"/>
                <w:noProof/>
                <w:lang w:eastAsia="en-AU"/>
              </w:rPr>
              <w:tab/>
            </w:r>
            <w:r w:rsidR="00725883" w:rsidRPr="00C77DB2">
              <w:rPr>
                <w:rStyle w:val="Hyperlink"/>
                <w:noProof/>
              </w:rPr>
              <w:t>Pharmacokinetics in healthy subjects</w:t>
            </w:r>
            <w:r w:rsidR="00725883">
              <w:rPr>
                <w:noProof/>
                <w:webHidden/>
              </w:rPr>
              <w:tab/>
            </w:r>
            <w:r w:rsidR="00725883">
              <w:rPr>
                <w:noProof/>
                <w:webHidden/>
              </w:rPr>
              <w:fldChar w:fldCharType="begin"/>
            </w:r>
            <w:r w:rsidR="00725883">
              <w:rPr>
                <w:noProof/>
                <w:webHidden/>
              </w:rPr>
              <w:instrText xml:space="preserve"> PAGEREF _Toc459986976 \h </w:instrText>
            </w:r>
            <w:r w:rsidR="00725883">
              <w:rPr>
                <w:noProof/>
                <w:webHidden/>
              </w:rPr>
            </w:r>
            <w:r w:rsidR="00725883">
              <w:rPr>
                <w:noProof/>
                <w:webHidden/>
              </w:rPr>
              <w:fldChar w:fldCharType="separate"/>
            </w:r>
            <w:r w:rsidR="00725883">
              <w:rPr>
                <w:noProof/>
                <w:webHidden/>
              </w:rPr>
              <w:t>11</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77" w:history="1">
            <w:r w:rsidR="00725883" w:rsidRPr="00C77DB2">
              <w:rPr>
                <w:rStyle w:val="Hyperlink"/>
                <w:noProof/>
              </w:rPr>
              <w:t>4.3.</w:t>
            </w:r>
            <w:r w:rsidR="00725883">
              <w:rPr>
                <w:rFonts w:asciiTheme="minorHAnsi" w:eastAsiaTheme="minorEastAsia" w:hAnsiTheme="minorHAnsi" w:cstheme="minorBidi"/>
                <w:noProof/>
                <w:lang w:eastAsia="en-AU"/>
              </w:rPr>
              <w:tab/>
            </w:r>
            <w:r w:rsidR="00725883" w:rsidRPr="00C77DB2">
              <w:rPr>
                <w:rStyle w:val="Hyperlink"/>
                <w:noProof/>
              </w:rPr>
              <w:t>Pharmacokinetics in the target population</w:t>
            </w:r>
            <w:r w:rsidR="00725883">
              <w:rPr>
                <w:noProof/>
                <w:webHidden/>
              </w:rPr>
              <w:tab/>
            </w:r>
            <w:r w:rsidR="00725883">
              <w:rPr>
                <w:noProof/>
                <w:webHidden/>
              </w:rPr>
              <w:fldChar w:fldCharType="begin"/>
            </w:r>
            <w:r w:rsidR="00725883">
              <w:rPr>
                <w:noProof/>
                <w:webHidden/>
              </w:rPr>
              <w:instrText xml:space="preserve"> PAGEREF _Toc459986977 \h </w:instrText>
            </w:r>
            <w:r w:rsidR="00725883">
              <w:rPr>
                <w:noProof/>
                <w:webHidden/>
              </w:rPr>
            </w:r>
            <w:r w:rsidR="00725883">
              <w:rPr>
                <w:noProof/>
                <w:webHidden/>
              </w:rPr>
              <w:fldChar w:fldCharType="separate"/>
            </w:r>
            <w:r w:rsidR="00725883">
              <w:rPr>
                <w:noProof/>
                <w:webHidden/>
              </w:rPr>
              <w:t>14</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78" w:history="1">
            <w:r w:rsidR="00725883" w:rsidRPr="00C77DB2">
              <w:rPr>
                <w:rStyle w:val="Hyperlink"/>
                <w:noProof/>
              </w:rPr>
              <w:t>4.4.</w:t>
            </w:r>
            <w:r w:rsidR="00725883">
              <w:rPr>
                <w:rFonts w:asciiTheme="minorHAnsi" w:eastAsiaTheme="minorEastAsia" w:hAnsiTheme="minorHAnsi" w:cstheme="minorBidi"/>
                <w:noProof/>
                <w:lang w:eastAsia="en-AU"/>
              </w:rPr>
              <w:tab/>
            </w:r>
            <w:r w:rsidR="00725883" w:rsidRPr="00C77DB2">
              <w:rPr>
                <w:rStyle w:val="Hyperlink"/>
                <w:noProof/>
              </w:rPr>
              <w:t>Pharmacokinetics in other special populations</w:t>
            </w:r>
            <w:r w:rsidR="00725883">
              <w:rPr>
                <w:noProof/>
                <w:webHidden/>
              </w:rPr>
              <w:tab/>
            </w:r>
            <w:r w:rsidR="00725883">
              <w:rPr>
                <w:noProof/>
                <w:webHidden/>
              </w:rPr>
              <w:fldChar w:fldCharType="begin"/>
            </w:r>
            <w:r w:rsidR="00725883">
              <w:rPr>
                <w:noProof/>
                <w:webHidden/>
              </w:rPr>
              <w:instrText xml:space="preserve"> PAGEREF _Toc459986978 \h </w:instrText>
            </w:r>
            <w:r w:rsidR="00725883">
              <w:rPr>
                <w:noProof/>
                <w:webHidden/>
              </w:rPr>
            </w:r>
            <w:r w:rsidR="00725883">
              <w:rPr>
                <w:noProof/>
                <w:webHidden/>
              </w:rPr>
              <w:fldChar w:fldCharType="separate"/>
            </w:r>
            <w:r w:rsidR="00725883">
              <w:rPr>
                <w:noProof/>
                <w:webHidden/>
              </w:rPr>
              <w:t>14</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79" w:history="1">
            <w:r w:rsidR="00725883" w:rsidRPr="00C77DB2">
              <w:rPr>
                <w:rStyle w:val="Hyperlink"/>
                <w:noProof/>
              </w:rPr>
              <w:t>4.5.</w:t>
            </w:r>
            <w:r w:rsidR="00725883">
              <w:rPr>
                <w:rFonts w:asciiTheme="minorHAnsi" w:eastAsiaTheme="minorEastAsia" w:hAnsiTheme="minorHAnsi" w:cstheme="minorBidi"/>
                <w:noProof/>
                <w:lang w:eastAsia="en-AU"/>
              </w:rPr>
              <w:tab/>
            </w:r>
            <w:r w:rsidR="00725883" w:rsidRPr="00C77DB2">
              <w:rPr>
                <w:rStyle w:val="Hyperlink"/>
                <w:noProof/>
              </w:rPr>
              <w:t>Pharmacokinetic interactions</w:t>
            </w:r>
            <w:r w:rsidR="00725883">
              <w:rPr>
                <w:noProof/>
                <w:webHidden/>
              </w:rPr>
              <w:tab/>
            </w:r>
            <w:r w:rsidR="00725883">
              <w:rPr>
                <w:noProof/>
                <w:webHidden/>
              </w:rPr>
              <w:fldChar w:fldCharType="begin"/>
            </w:r>
            <w:r w:rsidR="00725883">
              <w:rPr>
                <w:noProof/>
                <w:webHidden/>
              </w:rPr>
              <w:instrText xml:space="preserve"> PAGEREF _Toc459986979 \h </w:instrText>
            </w:r>
            <w:r w:rsidR="00725883">
              <w:rPr>
                <w:noProof/>
                <w:webHidden/>
              </w:rPr>
            </w:r>
            <w:r w:rsidR="00725883">
              <w:rPr>
                <w:noProof/>
                <w:webHidden/>
              </w:rPr>
              <w:fldChar w:fldCharType="separate"/>
            </w:r>
            <w:r w:rsidR="00725883">
              <w:rPr>
                <w:noProof/>
                <w:webHidden/>
              </w:rPr>
              <w:t>16</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80" w:history="1">
            <w:r w:rsidR="00725883" w:rsidRPr="00C77DB2">
              <w:rPr>
                <w:rStyle w:val="Hyperlink"/>
                <w:noProof/>
              </w:rPr>
              <w:t>4.6.</w:t>
            </w:r>
            <w:r w:rsidR="00725883">
              <w:rPr>
                <w:rFonts w:asciiTheme="minorHAnsi" w:eastAsiaTheme="minorEastAsia" w:hAnsiTheme="minorHAnsi" w:cstheme="minorBidi"/>
                <w:noProof/>
                <w:lang w:eastAsia="en-AU"/>
              </w:rPr>
              <w:tab/>
            </w:r>
            <w:r w:rsidR="00725883" w:rsidRPr="00C77DB2">
              <w:rPr>
                <w:rStyle w:val="Hyperlink"/>
                <w:noProof/>
              </w:rPr>
              <w:t>Evaluator’s overall conclusions on pharmacokinetics</w:t>
            </w:r>
            <w:r w:rsidR="00725883">
              <w:rPr>
                <w:noProof/>
                <w:webHidden/>
              </w:rPr>
              <w:tab/>
            </w:r>
            <w:r w:rsidR="00725883">
              <w:rPr>
                <w:noProof/>
                <w:webHidden/>
              </w:rPr>
              <w:fldChar w:fldCharType="begin"/>
            </w:r>
            <w:r w:rsidR="00725883">
              <w:rPr>
                <w:noProof/>
                <w:webHidden/>
              </w:rPr>
              <w:instrText xml:space="preserve"> PAGEREF _Toc459986980 \h </w:instrText>
            </w:r>
            <w:r w:rsidR="00725883">
              <w:rPr>
                <w:noProof/>
                <w:webHidden/>
              </w:rPr>
            </w:r>
            <w:r w:rsidR="00725883">
              <w:rPr>
                <w:noProof/>
                <w:webHidden/>
              </w:rPr>
              <w:fldChar w:fldCharType="separate"/>
            </w:r>
            <w:r w:rsidR="00725883">
              <w:rPr>
                <w:noProof/>
                <w:webHidden/>
              </w:rPr>
              <w:t>16</w:t>
            </w:r>
            <w:r w:rsidR="00725883">
              <w:rPr>
                <w:noProof/>
                <w:webHidden/>
              </w:rPr>
              <w:fldChar w:fldCharType="end"/>
            </w:r>
          </w:hyperlink>
        </w:p>
        <w:p w:rsidR="00725883" w:rsidRDefault="00D01137">
          <w:pPr>
            <w:pStyle w:val="TOC2"/>
            <w:tabs>
              <w:tab w:val="left" w:pos="1247"/>
            </w:tabs>
            <w:rPr>
              <w:rFonts w:asciiTheme="minorHAnsi" w:eastAsiaTheme="minorEastAsia" w:hAnsiTheme="minorHAnsi" w:cstheme="minorBidi"/>
              <w:b w:val="0"/>
              <w:noProof/>
              <w:sz w:val="22"/>
              <w:lang w:eastAsia="en-AU"/>
            </w:rPr>
          </w:pPr>
          <w:hyperlink w:anchor="_Toc459986981" w:history="1">
            <w:r w:rsidR="00725883" w:rsidRPr="00C77DB2">
              <w:rPr>
                <w:rStyle w:val="Hyperlink"/>
                <w:noProof/>
              </w:rPr>
              <w:t>5.</w:t>
            </w:r>
            <w:r w:rsidR="00725883">
              <w:rPr>
                <w:rFonts w:asciiTheme="minorHAnsi" w:eastAsiaTheme="minorEastAsia" w:hAnsiTheme="minorHAnsi" w:cstheme="minorBidi"/>
                <w:b w:val="0"/>
                <w:noProof/>
                <w:sz w:val="22"/>
                <w:lang w:eastAsia="en-AU"/>
              </w:rPr>
              <w:tab/>
            </w:r>
            <w:r w:rsidR="00725883" w:rsidRPr="00C77DB2">
              <w:rPr>
                <w:rStyle w:val="Hyperlink"/>
                <w:noProof/>
              </w:rPr>
              <w:t>Pharmacodynamics</w:t>
            </w:r>
            <w:r w:rsidR="00725883">
              <w:rPr>
                <w:noProof/>
                <w:webHidden/>
              </w:rPr>
              <w:tab/>
            </w:r>
            <w:r w:rsidR="00725883">
              <w:rPr>
                <w:noProof/>
                <w:webHidden/>
              </w:rPr>
              <w:fldChar w:fldCharType="begin"/>
            </w:r>
            <w:r w:rsidR="00725883">
              <w:rPr>
                <w:noProof/>
                <w:webHidden/>
              </w:rPr>
              <w:instrText xml:space="preserve"> PAGEREF _Toc459986981 \h </w:instrText>
            </w:r>
            <w:r w:rsidR="00725883">
              <w:rPr>
                <w:noProof/>
                <w:webHidden/>
              </w:rPr>
            </w:r>
            <w:r w:rsidR="00725883">
              <w:rPr>
                <w:noProof/>
                <w:webHidden/>
              </w:rPr>
              <w:fldChar w:fldCharType="separate"/>
            </w:r>
            <w:r w:rsidR="00725883">
              <w:rPr>
                <w:noProof/>
                <w:webHidden/>
              </w:rPr>
              <w:t>16</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82" w:history="1">
            <w:r w:rsidR="00725883" w:rsidRPr="00C77DB2">
              <w:rPr>
                <w:rStyle w:val="Hyperlink"/>
                <w:noProof/>
              </w:rPr>
              <w:t>5.1.</w:t>
            </w:r>
            <w:r w:rsidR="00725883">
              <w:rPr>
                <w:rFonts w:asciiTheme="minorHAnsi" w:eastAsiaTheme="minorEastAsia" w:hAnsiTheme="minorHAnsi" w:cstheme="minorBidi"/>
                <w:noProof/>
                <w:lang w:eastAsia="en-AU"/>
              </w:rPr>
              <w:tab/>
            </w:r>
            <w:r w:rsidR="00725883" w:rsidRPr="00C77DB2">
              <w:rPr>
                <w:rStyle w:val="Hyperlink"/>
                <w:noProof/>
              </w:rPr>
              <w:t>Studies providing pharmacodynamic data</w:t>
            </w:r>
            <w:r w:rsidR="00725883">
              <w:rPr>
                <w:noProof/>
                <w:webHidden/>
              </w:rPr>
              <w:tab/>
            </w:r>
            <w:r w:rsidR="00725883">
              <w:rPr>
                <w:noProof/>
                <w:webHidden/>
              </w:rPr>
              <w:fldChar w:fldCharType="begin"/>
            </w:r>
            <w:r w:rsidR="00725883">
              <w:rPr>
                <w:noProof/>
                <w:webHidden/>
              </w:rPr>
              <w:instrText xml:space="preserve"> PAGEREF _Toc459986982 \h </w:instrText>
            </w:r>
            <w:r w:rsidR="00725883">
              <w:rPr>
                <w:noProof/>
                <w:webHidden/>
              </w:rPr>
            </w:r>
            <w:r w:rsidR="00725883">
              <w:rPr>
                <w:noProof/>
                <w:webHidden/>
              </w:rPr>
              <w:fldChar w:fldCharType="separate"/>
            </w:r>
            <w:r w:rsidR="00725883">
              <w:rPr>
                <w:noProof/>
                <w:webHidden/>
              </w:rPr>
              <w:t>16</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83" w:history="1">
            <w:r w:rsidR="00725883" w:rsidRPr="00C77DB2">
              <w:rPr>
                <w:rStyle w:val="Hyperlink"/>
                <w:noProof/>
              </w:rPr>
              <w:t>5.2.</w:t>
            </w:r>
            <w:r w:rsidR="00725883">
              <w:rPr>
                <w:rFonts w:asciiTheme="minorHAnsi" w:eastAsiaTheme="minorEastAsia" w:hAnsiTheme="minorHAnsi" w:cstheme="minorBidi"/>
                <w:noProof/>
                <w:lang w:eastAsia="en-AU"/>
              </w:rPr>
              <w:tab/>
            </w:r>
            <w:r w:rsidR="00725883" w:rsidRPr="00C77DB2">
              <w:rPr>
                <w:rStyle w:val="Hyperlink"/>
                <w:noProof/>
              </w:rPr>
              <w:t>Summary of pharmacodynamics</w:t>
            </w:r>
            <w:r w:rsidR="00725883">
              <w:rPr>
                <w:noProof/>
                <w:webHidden/>
              </w:rPr>
              <w:tab/>
            </w:r>
            <w:r w:rsidR="00725883">
              <w:rPr>
                <w:noProof/>
                <w:webHidden/>
              </w:rPr>
              <w:fldChar w:fldCharType="begin"/>
            </w:r>
            <w:r w:rsidR="00725883">
              <w:rPr>
                <w:noProof/>
                <w:webHidden/>
              </w:rPr>
              <w:instrText xml:space="preserve"> PAGEREF _Toc459986983 \h </w:instrText>
            </w:r>
            <w:r w:rsidR="00725883">
              <w:rPr>
                <w:noProof/>
                <w:webHidden/>
              </w:rPr>
            </w:r>
            <w:r w:rsidR="00725883">
              <w:rPr>
                <w:noProof/>
                <w:webHidden/>
              </w:rPr>
              <w:fldChar w:fldCharType="separate"/>
            </w:r>
            <w:r w:rsidR="00725883">
              <w:rPr>
                <w:noProof/>
                <w:webHidden/>
              </w:rPr>
              <w:t>16</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84" w:history="1">
            <w:r w:rsidR="00725883" w:rsidRPr="00C77DB2">
              <w:rPr>
                <w:rStyle w:val="Hyperlink"/>
                <w:noProof/>
              </w:rPr>
              <w:t>5.3.</w:t>
            </w:r>
            <w:r w:rsidR="00725883">
              <w:rPr>
                <w:rFonts w:asciiTheme="minorHAnsi" w:eastAsiaTheme="minorEastAsia" w:hAnsiTheme="minorHAnsi" w:cstheme="minorBidi"/>
                <w:noProof/>
                <w:lang w:eastAsia="en-AU"/>
              </w:rPr>
              <w:tab/>
            </w:r>
            <w:r w:rsidR="00725883" w:rsidRPr="00C77DB2">
              <w:rPr>
                <w:rStyle w:val="Hyperlink"/>
                <w:noProof/>
              </w:rPr>
              <w:t>Gender differences in pharmacodynamic response</w:t>
            </w:r>
            <w:r w:rsidR="00725883">
              <w:rPr>
                <w:noProof/>
                <w:webHidden/>
              </w:rPr>
              <w:tab/>
            </w:r>
            <w:r w:rsidR="00725883">
              <w:rPr>
                <w:noProof/>
                <w:webHidden/>
              </w:rPr>
              <w:fldChar w:fldCharType="begin"/>
            </w:r>
            <w:r w:rsidR="00725883">
              <w:rPr>
                <w:noProof/>
                <w:webHidden/>
              </w:rPr>
              <w:instrText xml:space="preserve"> PAGEREF _Toc459986984 \h </w:instrText>
            </w:r>
            <w:r w:rsidR="00725883">
              <w:rPr>
                <w:noProof/>
                <w:webHidden/>
              </w:rPr>
            </w:r>
            <w:r w:rsidR="00725883">
              <w:rPr>
                <w:noProof/>
                <w:webHidden/>
              </w:rPr>
              <w:fldChar w:fldCharType="separate"/>
            </w:r>
            <w:r w:rsidR="00725883">
              <w:rPr>
                <w:noProof/>
                <w:webHidden/>
              </w:rPr>
              <w:t>17</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85" w:history="1">
            <w:r w:rsidR="00725883" w:rsidRPr="00C77DB2">
              <w:rPr>
                <w:rStyle w:val="Hyperlink"/>
                <w:noProof/>
              </w:rPr>
              <w:t>5.4.</w:t>
            </w:r>
            <w:r w:rsidR="00725883">
              <w:rPr>
                <w:rFonts w:asciiTheme="minorHAnsi" w:eastAsiaTheme="minorEastAsia" w:hAnsiTheme="minorHAnsi" w:cstheme="minorBidi"/>
                <w:noProof/>
                <w:lang w:eastAsia="en-AU"/>
              </w:rPr>
              <w:tab/>
            </w:r>
            <w:r w:rsidR="00725883" w:rsidRPr="00C77DB2">
              <w:rPr>
                <w:rStyle w:val="Hyperlink"/>
                <w:noProof/>
              </w:rPr>
              <w:t>Pharmacodynamic interactions</w:t>
            </w:r>
            <w:r w:rsidR="00725883">
              <w:rPr>
                <w:noProof/>
                <w:webHidden/>
              </w:rPr>
              <w:tab/>
            </w:r>
            <w:r w:rsidR="00725883">
              <w:rPr>
                <w:noProof/>
                <w:webHidden/>
              </w:rPr>
              <w:fldChar w:fldCharType="begin"/>
            </w:r>
            <w:r w:rsidR="00725883">
              <w:rPr>
                <w:noProof/>
                <w:webHidden/>
              </w:rPr>
              <w:instrText xml:space="preserve"> PAGEREF _Toc459986985 \h </w:instrText>
            </w:r>
            <w:r w:rsidR="00725883">
              <w:rPr>
                <w:noProof/>
                <w:webHidden/>
              </w:rPr>
            </w:r>
            <w:r w:rsidR="00725883">
              <w:rPr>
                <w:noProof/>
                <w:webHidden/>
              </w:rPr>
              <w:fldChar w:fldCharType="separate"/>
            </w:r>
            <w:r w:rsidR="00725883">
              <w:rPr>
                <w:noProof/>
                <w:webHidden/>
              </w:rPr>
              <w:t>17</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86" w:history="1">
            <w:r w:rsidR="00725883" w:rsidRPr="00C77DB2">
              <w:rPr>
                <w:rStyle w:val="Hyperlink"/>
                <w:noProof/>
              </w:rPr>
              <w:t>5.5.</w:t>
            </w:r>
            <w:r w:rsidR="00725883">
              <w:rPr>
                <w:rFonts w:asciiTheme="minorHAnsi" w:eastAsiaTheme="minorEastAsia" w:hAnsiTheme="minorHAnsi" w:cstheme="minorBidi"/>
                <w:noProof/>
                <w:lang w:eastAsia="en-AU"/>
              </w:rPr>
              <w:tab/>
            </w:r>
            <w:r w:rsidR="00725883" w:rsidRPr="00C77DB2">
              <w:rPr>
                <w:rStyle w:val="Hyperlink"/>
                <w:noProof/>
              </w:rPr>
              <w:t>Evaluator’s overall conclusions on pharmacodynamics</w:t>
            </w:r>
            <w:r w:rsidR="00725883">
              <w:rPr>
                <w:noProof/>
                <w:webHidden/>
              </w:rPr>
              <w:tab/>
            </w:r>
            <w:r w:rsidR="00725883">
              <w:rPr>
                <w:noProof/>
                <w:webHidden/>
              </w:rPr>
              <w:fldChar w:fldCharType="begin"/>
            </w:r>
            <w:r w:rsidR="00725883">
              <w:rPr>
                <w:noProof/>
                <w:webHidden/>
              </w:rPr>
              <w:instrText xml:space="preserve"> PAGEREF _Toc459986986 \h </w:instrText>
            </w:r>
            <w:r w:rsidR="00725883">
              <w:rPr>
                <w:noProof/>
                <w:webHidden/>
              </w:rPr>
            </w:r>
            <w:r w:rsidR="00725883">
              <w:rPr>
                <w:noProof/>
                <w:webHidden/>
              </w:rPr>
              <w:fldChar w:fldCharType="separate"/>
            </w:r>
            <w:r w:rsidR="00725883">
              <w:rPr>
                <w:noProof/>
                <w:webHidden/>
              </w:rPr>
              <w:t>17</w:t>
            </w:r>
            <w:r w:rsidR="00725883">
              <w:rPr>
                <w:noProof/>
                <w:webHidden/>
              </w:rPr>
              <w:fldChar w:fldCharType="end"/>
            </w:r>
          </w:hyperlink>
        </w:p>
        <w:p w:rsidR="00725883" w:rsidRDefault="00D01137">
          <w:pPr>
            <w:pStyle w:val="TOC2"/>
            <w:tabs>
              <w:tab w:val="left" w:pos="1247"/>
            </w:tabs>
            <w:rPr>
              <w:rFonts w:asciiTheme="minorHAnsi" w:eastAsiaTheme="minorEastAsia" w:hAnsiTheme="minorHAnsi" w:cstheme="minorBidi"/>
              <w:b w:val="0"/>
              <w:noProof/>
              <w:sz w:val="22"/>
              <w:lang w:eastAsia="en-AU"/>
            </w:rPr>
          </w:pPr>
          <w:hyperlink w:anchor="_Toc459986987" w:history="1">
            <w:r w:rsidR="00725883" w:rsidRPr="00C77DB2">
              <w:rPr>
                <w:rStyle w:val="Hyperlink"/>
                <w:noProof/>
              </w:rPr>
              <w:t>6.</w:t>
            </w:r>
            <w:r w:rsidR="00725883">
              <w:rPr>
                <w:rFonts w:asciiTheme="minorHAnsi" w:eastAsiaTheme="minorEastAsia" w:hAnsiTheme="minorHAnsi" w:cstheme="minorBidi"/>
                <w:b w:val="0"/>
                <w:noProof/>
                <w:sz w:val="22"/>
                <w:lang w:eastAsia="en-AU"/>
              </w:rPr>
              <w:tab/>
            </w:r>
            <w:r w:rsidR="00725883" w:rsidRPr="00C77DB2">
              <w:rPr>
                <w:rStyle w:val="Hyperlink"/>
                <w:noProof/>
              </w:rPr>
              <w:t>Dosage selection for the pivotal studies</w:t>
            </w:r>
            <w:r w:rsidR="00725883">
              <w:rPr>
                <w:noProof/>
                <w:webHidden/>
              </w:rPr>
              <w:tab/>
            </w:r>
            <w:r w:rsidR="00725883">
              <w:rPr>
                <w:noProof/>
                <w:webHidden/>
              </w:rPr>
              <w:fldChar w:fldCharType="begin"/>
            </w:r>
            <w:r w:rsidR="00725883">
              <w:rPr>
                <w:noProof/>
                <w:webHidden/>
              </w:rPr>
              <w:instrText xml:space="preserve"> PAGEREF _Toc459986987 \h </w:instrText>
            </w:r>
            <w:r w:rsidR="00725883">
              <w:rPr>
                <w:noProof/>
                <w:webHidden/>
              </w:rPr>
            </w:r>
            <w:r w:rsidR="00725883">
              <w:rPr>
                <w:noProof/>
                <w:webHidden/>
              </w:rPr>
              <w:fldChar w:fldCharType="separate"/>
            </w:r>
            <w:r w:rsidR="00725883">
              <w:rPr>
                <w:noProof/>
                <w:webHidden/>
              </w:rPr>
              <w:t>17</w:t>
            </w:r>
            <w:r w:rsidR="00725883">
              <w:rPr>
                <w:noProof/>
                <w:webHidden/>
              </w:rPr>
              <w:fldChar w:fldCharType="end"/>
            </w:r>
          </w:hyperlink>
        </w:p>
        <w:p w:rsidR="00725883" w:rsidRDefault="00D01137">
          <w:pPr>
            <w:pStyle w:val="TOC2"/>
            <w:tabs>
              <w:tab w:val="left" w:pos="1247"/>
            </w:tabs>
            <w:rPr>
              <w:rFonts w:asciiTheme="minorHAnsi" w:eastAsiaTheme="minorEastAsia" w:hAnsiTheme="minorHAnsi" w:cstheme="minorBidi"/>
              <w:b w:val="0"/>
              <w:noProof/>
              <w:sz w:val="22"/>
              <w:lang w:eastAsia="en-AU"/>
            </w:rPr>
          </w:pPr>
          <w:hyperlink w:anchor="_Toc459986988" w:history="1">
            <w:r w:rsidR="00725883" w:rsidRPr="00C77DB2">
              <w:rPr>
                <w:rStyle w:val="Hyperlink"/>
                <w:noProof/>
              </w:rPr>
              <w:t>7.</w:t>
            </w:r>
            <w:r w:rsidR="00725883">
              <w:rPr>
                <w:rFonts w:asciiTheme="minorHAnsi" w:eastAsiaTheme="minorEastAsia" w:hAnsiTheme="minorHAnsi" w:cstheme="minorBidi"/>
                <w:b w:val="0"/>
                <w:noProof/>
                <w:sz w:val="22"/>
                <w:lang w:eastAsia="en-AU"/>
              </w:rPr>
              <w:tab/>
            </w:r>
            <w:r w:rsidR="00725883" w:rsidRPr="00C77DB2">
              <w:rPr>
                <w:rStyle w:val="Hyperlink"/>
                <w:noProof/>
              </w:rPr>
              <w:t>Clinical efficacy</w:t>
            </w:r>
            <w:r w:rsidR="00725883">
              <w:rPr>
                <w:noProof/>
                <w:webHidden/>
              </w:rPr>
              <w:tab/>
            </w:r>
            <w:r w:rsidR="00725883">
              <w:rPr>
                <w:noProof/>
                <w:webHidden/>
              </w:rPr>
              <w:fldChar w:fldCharType="begin"/>
            </w:r>
            <w:r w:rsidR="00725883">
              <w:rPr>
                <w:noProof/>
                <w:webHidden/>
              </w:rPr>
              <w:instrText xml:space="preserve"> PAGEREF _Toc459986988 \h </w:instrText>
            </w:r>
            <w:r w:rsidR="00725883">
              <w:rPr>
                <w:noProof/>
                <w:webHidden/>
              </w:rPr>
            </w:r>
            <w:r w:rsidR="00725883">
              <w:rPr>
                <w:noProof/>
                <w:webHidden/>
              </w:rPr>
              <w:fldChar w:fldCharType="separate"/>
            </w:r>
            <w:r w:rsidR="00725883">
              <w:rPr>
                <w:noProof/>
                <w:webHidden/>
              </w:rPr>
              <w:t>18</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89" w:history="1">
            <w:r w:rsidR="00725883" w:rsidRPr="00C77DB2">
              <w:rPr>
                <w:rStyle w:val="Hyperlink"/>
                <w:noProof/>
              </w:rPr>
              <w:t>7.1.</w:t>
            </w:r>
            <w:r w:rsidR="00725883">
              <w:rPr>
                <w:rFonts w:asciiTheme="minorHAnsi" w:eastAsiaTheme="minorEastAsia" w:hAnsiTheme="minorHAnsi" w:cstheme="minorBidi"/>
                <w:noProof/>
                <w:lang w:eastAsia="en-AU"/>
              </w:rPr>
              <w:tab/>
            </w:r>
            <w:r w:rsidR="00725883" w:rsidRPr="00C77DB2">
              <w:rPr>
                <w:rStyle w:val="Hyperlink"/>
                <w:noProof/>
              </w:rPr>
              <w:t>Pivotal efficacy studies</w:t>
            </w:r>
            <w:r w:rsidR="00725883">
              <w:rPr>
                <w:noProof/>
                <w:webHidden/>
              </w:rPr>
              <w:tab/>
            </w:r>
            <w:r w:rsidR="00725883">
              <w:rPr>
                <w:noProof/>
                <w:webHidden/>
              </w:rPr>
              <w:fldChar w:fldCharType="begin"/>
            </w:r>
            <w:r w:rsidR="00725883">
              <w:rPr>
                <w:noProof/>
                <w:webHidden/>
              </w:rPr>
              <w:instrText xml:space="preserve"> PAGEREF _Toc459986989 \h </w:instrText>
            </w:r>
            <w:r w:rsidR="00725883">
              <w:rPr>
                <w:noProof/>
                <w:webHidden/>
              </w:rPr>
            </w:r>
            <w:r w:rsidR="00725883">
              <w:rPr>
                <w:noProof/>
                <w:webHidden/>
              </w:rPr>
              <w:fldChar w:fldCharType="separate"/>
            </w:r>
            <w:r w:rsidR="00725883">
              <w:rPr>
                <w:noProof/>
                <w:webHidden/>
              </w:rPr>
              <w:t>18</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90" w:history="1">
            <w:r w:rsidR="00725883" w:rsidRPr="00C77DB2">
              <w:rPr>
                <w:rStyle w:val="Hyperlink"/>
                <w:noProof/>
              </w:rPr>
              <w:t>7.2.</w:t>
            </w:r>
            <w:r w:rsidR="00725883">
              <w:rPr>
                <w:rFonts w:asciiTheme="minorHAnsi" w:eastAsiaTheme="minorEastAsia" w:hAnsiTheme="minorHAnsi" w:cstheme="minorBidi"/>
                <w:noProof/>
                <w:lang w:eastAsia="en-AU"/>
              </w:rPr>
              <w:tab/>
            </w:r>
            <w:r w:rsidR="00725883" w:rsidRPr="00C77DB2">
              <w:rPr>
                <w:rStyle w:val="Hyperlink"/>
                <w:noProof/>
              </w:rPr>
              <w:t>TGA evaluator comment on pivotal trials</w:t>
            </w:r>
            <w:r w:rsidR="00725883">
              <w:rPr>
                <w:noProof/>
                <w:webHidden/>
              </w:rPr>
              <w:tab/>
            </w:r>
            <w:r w:rsidR="00725883">
              <w:rPr>
                <w:noProof/>
                <w:webHidden/>
              </w:rPr>
              <w:fldChar w:fldCharType="begin"/>
            </w:r>
            <w:r w:rsidR="00725883">
              <w:rPr>
                <w:noProof/>
                <w:webHidden/>
              </w:rPr>
              <w:instrText xml:space="preserve"> PAGEREF _Toc459986990 \h </w:instrText>
            </w:r>
            <w:r w:rsidR="00725883">
              <w:rPr>
                <w:noProof/>
                <w:webHidden/>
              </w:rPr>
            </w:r>
            <w:r w:rsidR="00725883">
              <w:rPr>
                <w:noProof/>
                <w:webHidden/>
              </w:rPr>
              <w:fldChar w:fldCharType="separate"/>
            </w:r>
            <w:r w:rsidR="00725883">
              <w:rPr>
                <w:noProof/>
                <w:webHidden/>
              </w:rPr>
              <w:t>34</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91" w:history="1">
            <w:r w:rsidR="00725883" w:rsidRPr="00C77DB2">
              <w:rPr>
                <w:rStyle w:val="Hyperlink"/>
                <w:noProof/>
              </w:rPr>
              <w:t>7.3.</w:t>
            </w:r>
            <w:r w:rsidR="00725883">
              <w:rPr>
                <w:rFonts w:asciiTheme="minorHAnsi" w:eastAsiaTheme="minorEastAsia" w:hAnsiTheme="minorHAnsi" w:cstheme="minorBidi"/>
                <w:noProof/>
                <w:lang w:eastAsia="en-AU"/>
              </w:rPr>
              <w:tab/>
            </w:r>
            <w:r w:rsidR="00725883" w:rsidRPr="00C77DB2">
              <w:rPr>
                <w:rStyle w:val="Hyperlink"/>
                <w:noProof/>
              </w:rPr>
              <w:t>Other efficacy studies</w:t>
            </w:r>
            <w:r w:rsidR="00725883">
              <w:rPr>
                <w:noProof/>
                <w:webHidden/>
              </w:rPr>
              <w:tab/>
            </w:r>
            <w:r w:rsidR="00725883">
              <w:rPr>
                <w:noProof/>
                <w:webHidden/>
              </w:rPr>
              <w:fldChar w:fldCharType="begin"/>
            </w:r>
            <w:r w:rsidR="00725883">
              <w:rPr>
                <w:noProof/>
                <w:webHidden/>
              </w:rPr>
              <w:instrText xml:space="preserve"> PAGEREF _Toc459986991 \h </w:instrText>
            </w:r>
            <w:r w:rsidR="00725883">
              <w:rPr>
                <w:noProof/>
                <w:webHidden/>
              </w:rPr>
            </w:r>
            <w:r w:rsidR="00725883">
              <w:rPr>
                <w:noProof/>
                <w:webHidden/>
              </w:rPr>
              <w:fldChar w:fldCharType="separate"/>
            </w:r>
            <w:r w:rsidR="00725883">
              <w:rPr>
                <w:noProof/>
                <w:webHidden/>
              </w:rPr>
              <w:t>37</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92" w:history="1">
            <w:r w:rsidR="00725883" w:rsidRPr="00C77DB2">
              <w:rPr>
                <w:rStyle w:val="Hyperlink"/>
                <w:noProof/>
              </w:rPr>
              <w:t>7.4.</w:t>
            </w:r>
            <w:r w:rsidR="00725883">
              <w:rPr>
                <w:rFonts w:asciiTheme="minorHAnsi" w:eastAsiaTheme="minorEastAsia" w:hAnsiTheme="minorHAnsi" w:cstheme="minorBidi"/>
                <w:noProof/>
                <w:lang w:eastAsia="en-AU"/>
              </w:rPr>
              <w:tab/>
            </w:r>
            <w:r w:rsidR="00725883" w:rsidRPr="00C77DB2">
              <w:rPr>
                <w:rStyle w:val="Hyperlink"/>
                <w:noProof/>
              </w:rPr>
              <w:t>Analyses performed across trials (pooled analyses)</w:t>
            </w:r>
            <w:r w:rsidR="00725883">
              <w:rPr>
                <w:noProof/>
                <w:webHidden/>
              </w:rPr>
              <w:tab/>
            </w:r>
            <w:r w:rsidR="00725883">
              <w:rPr>
                <w:noProof/>
                <w:webHidden/>
              </w:rPr>
              <w:fldChar w:fldCharType="begin"/>
            </w:r>
            <w:r w:rsidR="00725883">
              <w:rPr>
                <w:noProof/>
                <w:webHidden/>
              </w:rPr>
              <w:instrText xml:space="preserve"> PAGEREF _Toc459986992 \h </w:instrText>
            </w:r>
            <w:r w:rsidR="00725883">
              <w:rPr>
                <w:noProof/>
                <w:webHidden/>
              </w:rPr>
            </w:r>
            <w:r w:rsidR="00725883">
              <w:rPr>
                <w:noProof/>
                <w:webHidden/>
              </w:rPr>
              <w:fldChar w:fldCharType="separate"/>
            </w:r>
            <w:r w:rsidR="00725883">
              <w:rPr>
                <w:noProof/>
                <w:webHidden/>
              </w:rPr>
              <w:t>37</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93" w:history="1">
            <w:r w:rsidR="00725883" w:rsidRPr="00C77DB2">
              <w:rPr>
                <w:rStyle w:val="Hyperlink"/>
                <w:noProof/>
              </w:rPr>
              <w:t>7.5.</w:t>
            </w:r>
            <w:r w:rsidR="00725883">
              <w:rPr>
                <w:rFonts w:asciiTheme="minorHAnsi" w:eastAsiaTheme="minorEastAsia" w:hAnsiTheme="minorHAnsi" w:cstheme="minorBidi"/>
                <w:noProof/>
                <w:lang w:eastAsia="en-AU"/>
              </w:rPr>
              <w:tab/>
            </w:r>
            <w:r w:rsidR="00725883" w:rsidRPr="00C77DB2">
              <w:rPr>
                <w:rStyle w:val="Hyperlink"/>
                <w:noProof/>
              </w:rPr>
              <w:t>Evaluator’s conclusions on clinical efficacy</w:t>
            </w:r>
            <w:r w:rsidR="00725883">
              <w:rPr>
                <w:noProof/>
                <w:webHidden/>
              </w:rPr>
              <w:tab/>
            </w:r>
            <w:r w:rsidR="00725883">
              <w:rPr>
                <w:noProof/>
                <w:webHidden/>
              </w:rPr>
              <w:fldChar w:fldCharType="begin"/>
            </w:r>
            <w:r w:rsidR="00725883">
              <w:rPr>
                <w:noProof/>
                <w:webHidden/>
              </w:rPr>
              <w:instrText xml:space="preserve"> PAGEREF _Toc459986993 \h </w:instrText>
            </w:r>
            <w:r w:rsidR="00725883">
              <w:rPr>
                <w:noProof/>
                <w:webHidden/>
              </w:rPr>
            </w:r>
            <w:r w:rsidR="00725883">
              <w:rPr>
                <w:noProof/>
                <w:webHidden/>
              </w:rPr>
              <w:fldChar w:fldCharType="separate"/>
            </w:r>
            <w:r w:rsidR="00725883">
              <w:rPr>
                <w:noProof/>
                <w:webHidden/>
              </w:rPr>
              <w:t>39</w:t>
            </w:r>
            <w:r w:rsidR="00725883">
              <w:rPr>
                <w:noProof/>
                <w:webHidden/>
              </w:rPr>
              <w:fldChar w:fldCharType="end"/>
            </w:r>
          </w:hyperlink>
        </w:p>
        <w:p w:rsidR="00725883" w:rsidRDefault="00D01137">
          <w:pPr>
            <w:pStyle w:val="TOC2"/>
            <w:tabs>
              <w:tab w:val="left" w:pos="1247"/>
            </w:tabs>
            <w:rPr>
              <w:rFonts w:asciiTheme="minorHAnsi" w:eastAsiaTheme="minorEastAsia" w:hAnsiTheme="minorHAnsi" w:cstheme="minorBidi"/>
              <w:b w:val="0"/>
              <w:noProof/>
              <w:sz w:val="22"/>
              <w:lang w:eastAsia="en-AU"/>
            </w:rPr>
          </w:pPr>
          <w:hyperlink w:anchor="_Toc459986994" w:history="1">
            <w:r w:rsidR="00725883" w:rsidRPr="00C77DB2">
              <w:rPr>
                <w:rStyle w:val="Hyperlink"/>
                <w:noProof/>
              </w:rPr>
              <w:t>8.</w:t>
            </w:r>
            <w:r w:rsidR="00725883">
              <w:rPr>
                <w:rFonts w:asciiTheme="minorHAnsi" w:eastAsiaTheme="minorEastAsia" w:hAnsiTheme="minorHAnsi" w:cstheme="minorBidi"/>
                <w:b w:val="0"/>
                <w:noProof/>
                <w:sz w:val="22"/>
                <w:lang w:eastAsia="en-AU"/>
              </w:rPr>
              <w:tab/>
            </w:r>
            <w:r w:rsidR="00725883" w:rsidRPr="00C77DB2">
              <w:rPr>
                <w:rStyle w:val="Hyperlink"/>
                <w:noProof/>
              </w:rPr>
              <w:t>Clinical safety</w:t>
            </w:r>
            <w:r w:rsidR="00725883">
              <w:rPr>
                <w:noProof/>
                <w:webHidden/>
              </w:rPr>
              <w:tab/>
            </w:r>
            <w:r w:rsidR="00725883">
              <w:rPr>
                <w:noProof/>
                <w:webHidden/>
              </w:rPr>
              <w:fldChar w:fldCharType="begin"/>
            </w:r>
            <w:r w:rsidR="00725883">
              <w:rPr>
                <w:noProof/>
                <w:webHidden/>
              </w:rPr>
              <w:instrText xml:space="preserve"> PAGEREF _Toc459986994 \h </w:instrText>
            </w:r>
            <w:r w:rsidR="00725883">
              <w:rPr>
                <w:noProof/>
                <w:webHidden/>
              </w:rPr>
            </w:r>
            <w:r w:rsidR="00725883">
              <w:rPr>
                <w:noProof/>
                <w:webHidden/>
              </w:rPr>
              <w:fldChar w:fldCharType="separate"/>
            </w:r>
            <w:r w:rsidR="00725883">
              <w:rPr>
                <w:noProof/>
                <w:webHidden/>
              </w:rPr>
              <w:t>39</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95" w:history="1">
            <w:r w:rsidR="00725883" w:rsidRPr="00C77DB2">
              <w:rPr>
                <w:rStyle w:val="Hyperlink"/>
                <w:noProof/>
              </w:rPr>
              <w:t>8.1.</w:t>
            </w:r>
            <w:r w:rsidR="00725883">
              <w:rPr>
                <w:rFonts w:asciiTheme="minorHAnsi" w:eastAsiaTheme="minorEastAsia" w:hAnsiTheme="minorHAnsi" w:cstheme="minorBidi"/>
                <w:noProof/>
                <w:lang w:eastAsia="en-AU"/>
              </w:rPr>
              <w:tab/>
            </w:r>
            <w:r w:rsidR="00725883" w:rsidRPr="00C77DB2">
              <w:rPr>
                <w:rStyle w:val="Hyperlink"/>
                <w:noProof/>
              </w:rPr>
              <w:t>Studies providing evaluable safety data</w:t>
            </w:r>
            <w:r w:rsidR="00725883">
              <w:rPr>
                <w:noProof/>
                <w:webHidden/>
              </w:rPr>
              <w:tab/>
            </w:r>
            <w:r w:rsidR="00725883">
              <w:rPr>
                <w:noProof/>
                <w:webHidden/>
              </w:rPr>
              <w:fldChar w:fldCharType="begin"/>
            </w:r>
            <w:r w:rsidR="00725883">
              <w:rPr>
                <w:noProof/>
                <w:webHidden/>
              </w:rPr>
              <w:instrText xml:space="preserve"> PAGEREF _Toc459986995 \h </w:instrText>
            </w:r>
            <w:r w:rsidR="00725883">
              <w:rPr>
                <w:noProof/>
                <w:webHidden/>
              </w:rPr>
            </w:r>
            <w:r w:rsidR="00725883">
              <w:rPr>
                <w:noProof/>
                <w:webHidden/>
              </w:rPr>
              <w:fldChar w:fldCharType="separate"/>
            </w:r>
            <w:r w:rsidR="00725883">
              <w:rPr>
                <w:noProof/>
                <w:webHidden/>
              </w:rPr>
              <w:t>39</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96" w:history="1">
            <w:r w:rsidR="00725883" w:rsidRPr="00C77DB2">
              <w:rPr>
                <w:rStyle w:val="Hyperlink"/>
                <w:noProof/>
              </w:rPr>
              <w:t>8.2.</w:t>
            </w:r>
            <w:r w:rsidR="00725883">
              <w:rPr>
                <w:rFonts w:asciiTheme="minorHAnsi" w:eastAsiaTheme="minorEastAsia" w:hAnsiTheme="minorHAnsi" w:cstheme="minorBidi"/>
                <w:noProof/>
                <w:lang w:eastAsia="en-AU"/>
              </w:rPr>
              <w:tab/>
            </w:r>
            <w:r w:rsidR="00725883" w:rsidRPr="00C77DB2">
              <w:rPr>
                <w:rStyle w:val="Hyperlink"/>
                <w:noProof/>
              </w:rPr>
              <w:t>Patient exposure</w:t>
            </w:r>
            <w:r w:rsidR="00725883">
              <w:rPr>
                <w:noProof/>
                <w:webHidden/>
              </w:rPr>
              <w:tab/>
            </w:r>
            <w:r w:rsidR="00725883">
              <w:rPr>
                <w:noProof/>
                <w:webHidden/>
              </w:rPr>
              <w:fldChar w:fldCharType="begin"/>
            </w:r>
            <w:r w:rsidR="00725883">
              <w:rPr>
                <w:noProof/>
                <w:webHidden/>
              </w:rPr>
              <w:instrText xml:space="preserve"> PAGEREF _Toc459986996 \h </w:instrText>
            </w:r>
            <w:r w:rsidR="00725883">
              <w:rPr>
                <w:noProof/>
                <w:webHidden/>
              </w:rPr>
            </w:r>
            <w:r w:rsidR="00725883">
              <w:rPr>
                <w:noProof/>
                <w:webHidden/>
              </w:rPr>
              <w:fldChar w:fldCharType="separate"/>
            </w:r>
            <w:r w:rsidR="00725883">
              <w:rPr>
                <w:noProof/>
                <w:webHidden/>
              </w:rPr>
              <w:t>41</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97" w:history="1">
            <w:r w:rsidR="00725883" w:rsidRPr="00C77DB2">
              <w:rPr>
                <w:rStyle w:val="Hyperlink"/>
                <w:noProof/>
              </w:rPr>
              <w:t>8.3.</w:t>
            </w:r>
            <w:r w:rsidR="00725883">
              <w:rPr>
                <w:rFonts w:asciiTheme="minorHAnsi" w:eastAsiaTheme="minorEastAsia" w:hAnsiTheme="minorHAnsi" w:cstheme="minorBidi"/>
                <w:noProof/>
                <w:lang w:eastAsia="en-AU"/>
              </w:rPr>
              <w:tab/>
            </w:r>
            <w:r w:rsidR="00725883" w:rsidRPr="00C77DB2">
              <w:rPr>
                <w:rStyle w:val="Hyperlink"/>
                <w:noProof/>
              </w:rPr>
              <w:t>Adverse events</w:t>
            </w:r>
            <w:r w:rsidR="00725883">
              <w:rPr>
                <w:noProof/>
                <w:webHidden/>
              </w:rPr>
              <w:tab/>
            </w:r>
            <w:r w:rsidR="00725883">
              <w:rPr>
                <w:noProof/>
                <w:webHidden/>
              </w:rPr>
              <w:fldChar w:fldCharType="begin"/>
            </w:r>
            <w:r w:rsidR="00725883">
              <w:rPr>
                <w:noProof/>
                <w:webHidden/>
              </w:rPr>
              <w:instrText xml:space="preserve"> PAGEREF _Toc459986997 \h </w:instrText>
            </w:r>
            <w:r w:rsidR="00725883">
              <w:rPr>
                <w:noProof/>
                <w:webHidden/>
              </w:rPr>
            </w:r>
            <w:r w:rsidR="00725883">
              <w:rPr>
                <w:noProof/>
                <w:webHidden/>
              </w:rPr>
              <w:fldChar w:fldCharType="separate"/>
            </w:r>
            <w:r w:rsidR="00725883">
              <w:rPr>
                <w:noProof/>
                <w:webHidden/>
              </w:rPr>
              <w:t>43</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98" w:history="1">
            <w:r w:rsidR="00725883" w:rsidRPr="00C77DB2">
              <w:rPr>
                <w:rStyle w:val="Hyperlink"/>
                <w:noProof/>
              </w:rPr>
              <w:t>8.4.</w:t>
            </w:r>
            <w:r w:rsidR="00725883">
              <w:rPr>
                <w:rFonts w:asciiTheme="minorHAnsi" w:eastAsiaTheme="minorEastAsia" w:hAnsiTheme="minorHAnsi" w:cstheme="minorBidi"/>
                <w:noProof/>
                <w:lang w:eastAsia="en-AU"/>
              </w:rPr>
              <w:tab/>
            </w:r>
            <w:r w:rsidR="00725883" w:rsidRPr="00C77DB2">
              <w:rPr>
                <w:rStyle w:val="Hyperlink"/>
                <w:noProof/>
              </w:rPr>
              <w:t>Laboratory tests</w:t>
            </w:r>
            <w:r w:rsidR="00725883">
              <w:rPr>
                <w:noProof/>
                <w:webHidden/>
              </w:rPr>
              <w:tab/>
            </w:r>
            <w:r w:rsidR="00725883">
              <w:rPr>
                <w:noProof/>
                <w:webHidden/>
              </w:rPr>
              <w:fldChar w:fldCharType="begin"/>
            </w:r>
            <w:r w:rsidR="00725883">
              <w:rPr>
                <w:noProof/>
                <w:webHidden/>
              </w:rPr>
              <w:instrText xml:space="preserve"> PAGEREF _Toc459986998 \h </w:instrText>
            </w:r>
            <w:r w:rsidR="00725883">
              <w:rPr>
                <w:noProof/>
                <w:webHidden/>
              </w:rPr>
            </w:r>
            <w:r w:rsidR="00725883">
              <w:rPr>
                <w:noProof/>
                <w:webHidden/>
              </w:rPr>
              <w:fldChar w:fldCharType="separate"/>
            </w:r>
            <w:r w:rsidR="00725883">
              <w:rPr>
                <w:noProof/>
                <w:webHidden/>
              </w:rPr>
              <w:t>49</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6999" w:history="1">
            <w:r w:rsidR="00725883" w:rsidRPr="00C77DB2">
              <w:rPr>
                <w:rStyle w:val="Hyperlink"/>
                <w:noProof/>
              </w:rPr>
              <w:t>8.5.</w:t>
            </w:r>
            <w:r w:rsidR="00725883">
              <w:rPr>
                <w:rFonts w:asciiTheme="minorHAnsi" w:eastAsiaTheme="minorEastAsia" w:hAnsiTheme="minorHAnsi" w:cstheme="minorBidi"/>
                <w:noProof/>
                <w:lang w:eastAsia="en-AU"/>
              </w:rPr>
              <w:tab/>
            </w:r>
            <w:r w:rsidR="00725883" w:rsidRPr="00C77DB2">
              <w:rPr>
                <w:rStyle w:val="Hyperlink"/>
                <w:noProof/>
              </w:rPr>
              <w:t>Vital signs</w:t>
            </w:r>
            <w:r w:rsidR="00725883">
              <w:rPr>
                <w:noProof/>
                <w:webHidden/>
              </w:rPr>
              <w:tab/>
            </w:r>
            <w:r w:rsidR="00725883">
              <w:rPr>
                <w:noProof/>
                <w:webHidden/>
              </w:rPr>
              <w:fldChar w:fldCharType="begin"/>
            </w:r>
            <w:r w:rsidR="00725883">
              <w:rPr>
                <w:noProof/>
                <w:webHidden/>
              </w:rPr>
              <w:instrText xml:space="preserve"> PAGEREF _Toc459986999 \h </w:instrText>
            </w:r>
            <w:r w:rsidR="00725883">
              <w:rPr>
                <w:noProof/>
                <w:webHidden/>
              </w:rPr>
            </w:r>
            <w:r w:rsidR="00725883">
              <w:rPr>
                <w:noProof/>
                <w:webHidden/>
              </w:rPr>
              <w:fldChar w:fldCharType="separate"/>
            </w:r>
            <w:r w:rsidR="00725883">
              <w:rPr>
                <w:noProof/>
                <w:webHidden/>
              </w:rPr>
              <w:t>50</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7000" w:history="1">
            <w:r w:rsidR="00725883" w:rsidRPr="00C77DB2">
              <w:rPr>
                <w:rStyle w:val="Hyperlink"/>
                <w:noProof/>
              </w:rPr>
              <w:t>8.6.</w:t>
            </w:r>
            <w:r w:rsidR="00725883">
              <w:rPr>
                <w:rFonts w:asciiTheme="minorHAnsi" w:eastAsiaTheme="minorEastAsia" w:hAnsiTheme="minorHAnsi" w:cstheme="minorBidi"/>
                <w:noProof/>
                <w:lang w:eastAsia="en-AU"/>
              </w:rPr>
              <w:tab/>
            </w:r>
            <w:r w:rsidR="00725883" w:rsidRPr="00C77DB2">
              <w:rPr>
                <w:rStyle w:val="Hyperlink"/>
                <w:noProof/>
              </w:rPr>
              <w:t>Post-marketing experience</w:t>
            </w:r>
            <w:r w:rsidR="00725883">
              <w:rPr>
                <w:noProof/>
                <w:webHidden/>
              </w:rPr>
              <w:tab/>
            </w:r>
            <w:r w:rsidR="00725883">
              <w:rPr>
                <w:noProof/>
                <w:webHidden/>
              </w:rPr>
              <w:fldChar w:fldCharType="begin"/>
            </w:r>
            <w:r w:rsidR="00725883">
              <w:rPr>
                <w:noProof/>
                <w:webHidden/>
              </w:rPr>
              <w:instrText xml:space="preserve"> PAGEREF _Toc459987000 \h </w:instrText>
            </w:r>
            <w:r w:rsidR="00725883">
              <w:rPr>
                <w:noProof/>
                <w:webHidden/>
              </w:rPr>
            </w:r>
            <w:r w:rsidR="00725883">
              <w:rPr>
                <w:noProof/>
                <w:webHidden/>
              </w:rPr>
              <w:fldChar w:fldCharType="separate"/>
            </w:r>
            <w:r w:rsidR="00725883">
              <w:rPr>
                <w:noProof/>
                <w:webHidden/>
              </w:rPr>
              <w:t>50</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7001" w:history="1">
            <w:r w:rsidR="00725883" w:rsidRPr="00C77DB2">
              <w:rPr>
                <w:rStyle w:val="Hyperlink"/>
                <w:noProof/>
              </w:rPr>
              <w:t>8.7.</w:t>
            </w:r>
            <w:r w:rsidR="00725883">
              <w:rPr>
                <w:rFonts w:asciiTheme="minorHAnsi" w:eastAsiaTheme="minorEastAsia" w:hAnsiTheme="minorHAnsi" w:cstheme="minorBidi"/>
                <w:noProof/>
                <w:lang w:eastAsia="en-AU"/>
              </w:rPr>
              <w:tab/>
            </w:r>
            <w:r w:rsidR="00725883" w:rsidRPr="00C77DB2">
              <w:rPr>
                <w:rStyle w:val="Hyperlink"/>
                <w:noProof/>
              </w:rPr>
              <w:t>Safety issues with the potential for major regulatory impact</w:t>
            </w:r>
            <w:r w:rsidR="00725883">
              <w:rPr>
                <w:noProof/>
                <w:webHidden/>
              </w:rPr>
              <w:tab/>
            </w:r>
            <w:r w:rsidR="00725883">
              <w:rPr>
                <w:noProof/>
                <w:webHidden/>
              </w:rPr>
              <w:fldChar w:fldCharType="begin"/>
            </w:r>
            <w:r w:rsidR="00725883">
              <w:rPr>
                <w:noProof/>
                <w:webHidden/>
              </w:rPr>
              <w:instrText xml:space="preserve"> PAGEREF _Toc459987001 \h </w:instrText>
            </w:r>
            <w:r w:rsidR="00725883">
              <w:rPr>
                <w:noProof/>
                <w:webHidden/>
              </w:rPr>
            </w:r>
            <w:r w:rsidR="00725883">
              <w:rPr>
                <w:noProof/>
                <w:webHidden/>
              </w:rPr>
              <w:fldChar w:fldCharType="separate"/>
            </w:r>
            <w:r w:rsidR="00725883">
              <w:rPr>
                <w:noProof/>
                <w:webHidden/>
              </w:rPr>
              <w:t>51</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7002" w:history="1">
            <w:r w:rsidR="00725883" w:rsidRPr="00C77DB2">
              <w:rPr>
                <w:rStyle w:val="Hyperlink"/>
                <w:noProof/>
              </w:rPr>
              <w:t>8.8.</w:t>
            </w:r>
            <w:r w:rsidR="00725883">
              <w:rPr>
                <w:rFonts w:asciiTheme="minorHAnsi" w:eastAsiaTheme="minorEastAsia" w:hAnsiTheme="minorHAnsi" w:cstheme="minorBidi"/>
                <w:noProof/>
                <w:lang w:eastAsia="en-AU"/>
              </w:rPr>
              <w:tab/>
            </w:r>
            <w:r w:rsidR="00725883" w:rsidRPr="00C77DB2">
              <w:rPr>
                <w:rStyle w:val="Hyperlink"/>
                <w:noProof/>
              </w:rPr>
              <w:t>Safety in special populations</w:t>
            </w:r>
            <w:r w:rsidR="00725883">
              <w:rPr>
                <w:noProof/>
                <w:webHidden/>
              </w:rPr>
              <w:tab/>
            </w:r>
            <w:r w:rsidR="00725883">
              <w:rPr>
                <w:noProof/>
                <w:webHidden/>
              </w:rPr>
              <w:fldChar w:fldCharType="begin"/>
            </w:r>
            <w:r w:rsidR="00725883">
              <w:rPr>
                <w:noProof/>
                <w:webHidden/>
              </w:rPr>
              <w:instrText xml:space="preserve"> PAGEREF _Toc459987002 \h </w:instrText>
            </w:r>
            <w:r w:rsidR="00725883">
              <w:rPr>
                <w:noProof/>
                <w:webHidden/>
              </w:rPr>
            </w:r>
            <w:r w:rsidR="00725883">
              <w:rPr>
                <w:noProof/>
                <w:webHidden/>
              </w:rPr>
              <w:fldChar w:fldCharType="separate"/>
            </w:r>
            <w:r w:rsidR="00725883">
              <w:rPr>
                <w:noProof/>
                <w:webHidden/>
              </w:rPr>
              <w:t>52</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7003" w:history="1">
            <w:r w:rsidR="00725883" w:rsidRPr="00C77DB2">
              <w:rPr>
                <w:rStyle w:val="Hyperlink"/>
                <w:noProof/>
              </w:rPr>
              <w:t>8.9.</w:t>
            </w:r>
            <w:r w:rsidR="00725883">
              <w:rPr>
                <w:rFonts w:asciiTheme="minorHAnsi" w:eastAsiaTheme="minorEastAsia" w:hAnsiTheme="minorHAnsi" w:cstheme="minorBidi"/>
                <w:noProof/>
                <w:lang w:eastAsia="en-AU"/>
              </w:rPr>
              <w:tab/>
            </w:r>
            <w:r w:rsidR="00725883" w:rsidRPr="00C77DB2">
              <w:rPr>
                <w:rStyle w:val="Hyperlink"/>
                <w:noProof/>
              </w:rPr>
              <w:t>Evaluator’s overall conclusions on clinical safety</w:t>
            </w:r>
            <w:r w:rsidR="00725883">
              <w:rPr>
                <w:noProof/>
                <w:webHidden/>
              </w:rPr>
              <w:tab/>
            </w:r>
            <w:r w:rsidR="00725883">
              <w:rPr>
                <w:noProof/>
                <w:webHidden/>
              </w:rPr>
              <w:fldChar w:fldCharType="begin"/>
            </w:r>
            <w:r w:rsidR="00725883">
              <w:rPr>
                <w:noProof/>
                <w:webHidden/>
              </w:rPr>
              <w:instrText xml:space="preserve"> PAGEREF _Toc459987003 \h </w:instrText>
            </w:r>
            <w:r w:rsidR="00725883">
              <w:rPr>
                <w:noProof/>
                <w:webHidden/>
              </w:rPr>
            </w:r>
            <w:r w:rsidR="00725883">
              <w:rPr>
                <w:noProof/>
                <w:webHidden/>
              </w:rPr>
              <w:fldChar w:fldCharType="separate"/>
            </w:r>
            <w:r w:rsidR="00725883">
              <w:rPr>
                <w:noProof/>
                <w:webHidden/>
              </w:rPr>
              <w:t>53</w:t>
            </w:r>
            <w:r w:rsidR="00725883">
              <w:rPr>
                <w:noProof/>
                <w:webHidden/>
              </w:rPr>
              <w:fldChar w:fldCharType="end"/>
            </w:r>
          </w:hyperlink>
        </w:p>
        <w:p w:rsidR="00725883" w:rsidRDefault="00D01137">
          <w:pPr>
            <w:pStyle w:val="TOC2"/>
            <w:tabs>
              <w:tab w:val="left" w:pos="1247"/>
            </w:tabs>
            <w:rPr>
              <w:rFonts w:asciiTheme="minorHAnsi" w:eastAsiaTheme="minorEastAsia" w:hAnsiTheme="minorHAnsi" w:cstheme="minorBidi"/>
              <w:b w:val="0"/>
              <w:noProof/>
              <w:sz w:val="22"/>
              <w:lang w:eastAsia="en-AU"/>
            </w:rPr>
          </w:pPr>
          <w:hyperlink w:anchor="_Toc459987004" w:history="1">
            <w:r w:rsidR="00725883" w:rsidRPr="00C77DB2">
              <w:rPr>
                <w:rStyle w:val="Hyperlink"/>
                <w:noProof/>
              </w:rPr>
              <w:t>9.</w:t>
            </w:r>
            <w:r w:rsidR="00725883">
              <w:rPr>
                <w:rFonts w:asciiTheme="minorHAnsi" w:eastAsiaTheme="minorEastAsia" w:hAnsiTheme="minorHAnsi" w:cstheme="minorBidi"/>
                <w:b w:val="0"/>
                <w:noProof/>
                <w:sz w:val="22"/>
                <w:lang w:eastAsia="en-AU"/>
              </w:rPr>
              <w:tab/>
            </w:r>
            <w:r w:rsidR="00725883" w:rsidRPr="00C77DB2">
              <w:rPr>
                <w:rStyle w:val="Hyperlink"/>
                <w:noProof/>
              </w:rPr>
              <w:t>First round benefit-risk assessment</w:t>
            </w:r>
            <w:r w:rsidR="00725883">
              <w:rPr>
                <w:noProof/>
                <w:webHidden/>
              </w:rPr>
              <w:tab/>
            </w:r>
            <w:r w:rsidR="00725883">
              <w:rPr>
                <w:noProof/>
                <w:webHidden/>
              </w:rPr>
              <w:fldChar w:fldCharType="begin"/>
            </w:r>
            <w:r w:rsidR="00725883">
              <w:rPr>
                <w:noProof/>
                <w:webHidden/>
              </w:rPr>
              <w:instrText xml:space="preserve"> PAGEREF _Toc459987004 \h </w:instrText>
            </w:r>
            <w:r w:rsidR="00725883">
              <w:rPr>
                <w:noProof/>
                <w:webHidden/>
              </w:rPr>
            </w:r>
            <w:r w:rsidR="00725883">
              <w:rPr>
                <w:noProof/>
                <w:webHidden/>
              </w:rPr>
              <w:fldChar w:fldCharType="separate"/>
            </w:r>
            <w:r w:rsidR="00725883">
              <w:rPr>
                <w:noProof/>
                <w:webHidden/>
              </w:rPr>
              <w:t>54</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7005" w:history="1">
            <w:r w:rsidR="00725883" w:rsidRPr="00C77DB2">
              <w:rPr>
                <w:rStyle w:val="Hyperlink"/>
                <w:noProof/>
              </w:rPr>
              <w:t>9.1.</w:t>
            </w:r>
            <w:r w:rsidR="00725883">
              <w:rPr>
                <w:rFonts w:asciiTheme="minorHAnsi" w:eastAsiaTheme="minorEastAsia" w:hAnsiTheme="minorHAnsi" w:cstheme="minorBidi"/>
                <w:noProof/>
                <w:lang w:eastAsia="en-AU"/>
              </w:rPr>
              <w:tab/>
            </w:r>
            <w:r w:rsidR="00725883" w:rsidRPr="00C77DB2">
              <w:rPr>
                <w:rStyle w:val="Hyperlink"/>
                <w:noProof/>
              </w:rPr>
              <w:t>First round assessment of benefits</w:t>
            </w:r>
            <w:r w:rsidR="00725883">
              <w:rPr>
                <w:noProof/>
                <w:webHidden/>
              </w:rPr>
              <w:tab/>
            </w:r>
            <w:r w:rsidR="00725883">
              <w:rPr>
                <w:noProof/>
                <w:webHidden/>
              </w:rPr>
              <w:fldChar w:fldCharType="begin"/>
            </w:r>
            <w:r w:rsidR="00725883">
              <w:rPr>
                <w:noProof/>
                <w:webHidden/>
              </w:rPr>
              <w:instrText xml:space="preserve"> PAGEREF _Toc459987005 \h </w:instrText>
            </w:r>
            <w:r w:rsidR="00725883">
              <w:rPr>
                <w:noProof/>
                <w:webHidden/>
              </w:rPr>
            </w:r>
            <w:r w:rsidR="00725883">
              <w:rPr>
                <w:noProof/>
                <w:webHidden/>
              </w:rPr>
              <w:fldChar w:fldCharType="separate"/>
            </w:r>
            <w:r w:rsidR="00725883">
              <w:rPr>
                <w:noProof/>
                <w:webHidden/>
              </w:rPr>
              <w:t>54</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7006" w:history="1">
            <w:r w:rsidR="00725883" w:rsidRPr="00C77DB2">
              <w:rPr>
                <w:rStyle w:val="Hyperlink"/>
                <w:noProof/>
              </w:rPr>
              <w:t>9.2.</w:t>
            </w:r>
            <w:r w:rsidR="00725883">
              <w:rPr>
                <w:rFonts w:asciiTheme="minorHAnsi" w:eastAsiaTheme="minorEastAsia" w:hAnsiTheme="minorHAnsi" w:cstheme="minorBidi"/>
                <w:noProof/>
                <w:lang w:eastAsia="en-AU"/>
              </w:rPr>
              <w:tab/>
            </w:r>
            <w:r w:rsidR="00725883" w:rsidRPr="00C77DB2">
              <w:rPr>
                <w:rStyle w:val="Hyperlink"/>
                <w:noProof/>
              </w:rPr>
              <w:t>First round assessment of risks</w:t>
            </w:r>
            <w:r w:rsidR="00725883">
              <w:rPr>
                <w:noProof/>
                <w:webHidden/>
              </w:rPr>
              <w:tab/>
            </w:r>
            <w:r w:rsidR="00725883">
              <w:rPr>
                <w:noProof/>
                <w:webHidden/>
              </w:rPr>
              <w:fldChar w:fldCharType="begin"/>
            </w:r>
            <w:r w:rsidR="00725883">
              <w:rPr>
                <w:noProof/>
                <w:webHidden/>
              </w:rPr>
              <w:instrText xml:space="preserve"> PAGEREF _Toc459987006 \h </w:instrText>
            </w:r>
            <w:r w:rsidR="00725883">
              <w:rPr>
                <w:noProof/>
                <w:webHidden/>
              </w:rPr>
            </w:r>
            <w:r w:rsidR="00725883">
              <w:rPr>
                <w:noProof/>
                <w:webHidden/>
              </w:rPr>
              <w:fldChar w:fldCharType="separate"/>
            </w:r>
            <w:r w:rsidR="00725883">
              <w:rPr>
                <w:noProof/>
                <w:webHidden/>
              </w:rPr>
              <w:t>54</w:t>
            </w:r>
            <w:r w:rsidR="00725883">
              <w:rPr>
                <w:noProof/>
                <w:webHidden/>
              </w:rPr>
              <w:fldChar w:fldCharType="end"/>
            </w:r>
          </w:hyperlink>
        </w:p>
        <w:p w:rsidR="00725883" w:rsidRDefault="00D01137">
          <w:pPr>
            <w:pStyle w:val="TOC3"/>
            <w:tabs>
              <w:tab w:val="left" w:pos="1575"/>
            </w:tabs>
            <w:rPr>
              <w:rFonts w:asciiTheme="minorHAnsi" w:eastAsiaTheme="minorEastAsia" w:hAnsiTheme="minorHAnsi" w:cstheme="minorBidi"/>
              <w:noProof/>
              <w:lang w:eastAsia="en-AU"/>
            </w:rPr>
          </w:pPr>
          <w:hyperlink w:anchor="_Toc459987007" w:history="1">
            <w:r w:rsidR="00725883" w:rsidRPr="00C77DB2">
              <w:rPr>
                <w:rStyle w:val="Hyperlink"/>
                <w:noProof/>
              </w:rPr>
              <w:t>9.3.</w:t>
            </w:r>
            <w:r w:rsidR="00725883">
              <w:rPr>
                <w:rFonts w:asciiTheme="minorHAnsi" w:eastAsiaTheme="minorEastAsia" w:hAnsiTheme="minorHAnsi" w:cstheme="minorBidi"/>
                <w:noProof/>
                <w:lang w:eastAsia="en-AU"/>
              </w:rPr>
              <w:tab/>
            </w:r>
            <w:r w:rsidR="00725883" w:rsidRPr="00C77DB2">
              <w:rPr>
                <w:rStyle w:val="Hyperlink"/>
                <w:noProof/>
              </w:rPr>
              <w:t>First round assessment of benefit-risk balance</w:t>
            </w:r>
            <w:r w:rsidR="00725883">
              <w:rPr>
                <w:noProof/>
                <w:webHidden/>
              </w:rPr>
              <w:tab/>
            </w:r>
            <w:r w:rsidR="00725883">
              <w:rPr>
                <w:noProof/>
                <w:webHidden/>
              </w:rPr>
              <w:fldChar w:fldCharType="begin"/>
            </w:r>
            <w:r w:rsidR="00725883">
              <w:rPr>
                <w:noProof/>
                <w:webHidden/>
              </w:rPr>
              <w:instrText xml:space="preserve"> PAGEREF _Toc459987007 \h </w:instrText>
            </w:r>
            <w:r w:rsidR="00725883">
              <w:rPr>
                <w:noProof/>
                <w:webHidden/>
              </w:rPr>
            </w:r>
            <w:r w:rsidR="00725883">
              <w:rPr>
                <w:noProof/>
                <w:webHidden/>
              </w:rPr>
              <w:fldChar w:fldCharType="separate"/>
            </w:r>
            <w:r w:rsidR="00725883">
              <w:rPr>
                <w:noProof/>
                <w:webHidden/>
              </w:rPr>
              <w:t>54</w:t>
            </w:r>
            <w:r w:rsidR="00725883">
              <w:rPr>
                <w:noProof/>
                <w:webHidden/>
              </w:rPr>
              <w:fldChar w:fldCharType="end"/>
            </w:r>
          </w:hyperlink>
        </w:p>
        <w:p w:rsidR="00725883" w:rsidRDefault="00D01137">
          <w:pPr>
            <w:pStyle w:val="TOC2"/>
            <w:tabs>
              <w:tab w:val="left" w:pos="1247"/>
            </w:tabs>
            <w:rPr>
              <w:rFonts w:asciiTheme="minorHAnsi" w:eastAsiaTheme="minorEastAsia" w:hAnsiTheme="minorHAnsi" w:cstheme="minorBidi"/>
              <w:b w:val="0"/>
              <w:noProof/>
              <w:sz w:val="22"/>
              <w:lang w:eastAsia="en-AU"/>
            </w:rPr>
          </w:pPr>
          <w:hyperlink w:anchor="_Toc459987008" w:history="1">
            <w:r w:rsidR="00725883" w:rsidRPr="00C77DB2">
              <w:rPr>
                <w:rStyle w:val="Hyperlink"/>
                <w:noProof/>
              </w:rPr>
              <w:t>10.</w:t>
            </w:r>
            <w:r w:rsidR="00725883">
              <w:rPr>
                <w:rFonts w:asciiTheme="minorHAnsi" w:eastAsiaTheme="minorEastAsia" w:hAnsiTheme="minorHAnsi" w:cstheme="minorBidi"/>
                <w:b w:val="0"/>
                <w:noProof/>
                <w:sz w:val="22"/>
                <w:lang w:eastAsia="en-AU"/>
              </w:rPr>
              <w:tab/>
            </w:r>
            <w:r w:rsidR="00725883" w:rsidRPr="00C77DB2">
              <w:rPr>
                <w:rStyle w:val="Hyperlink"/>
                <w:noProof/>
              </w:rPr>
              <w:t>First round recommendation regarding authorisation</w:t>
            </w:r>
            <w:r w:rsidR="00725883">
              <w:rPr>
                <w:noProof/>
                <w:webHidden/>
              </w:rPr>
              <w:tab/>
            </w:r>
            <w:r w:rsidR="00725883">
              <w:rPr>
                <w:noProof/>
                <w:webHidden/>
              </w:rPr>
              <w:fldChar w:fldCharType="begin"/>
            </w:r>
            <w:r w:rsidR="00725883">
              <w:rPr>
                <w:noProof/>
                <w:webHidden/>
              </w:rPr>
              <w:instrText xml:space="preserve"> PAGEREF _Toc459987008 \h </w:instrText>
            </w:r>
            <w:r w:rsidR="00725883">
              <w:rPr>
                <w:noProof/>
                <w:webHidden/>
              </w:rPr>
            </w:r>
            <w:r w:rsidR="00725883">
              <w:rPr>
                <w:noProof/>
                <w:webHidden/>
              </w:rPr>
              <w:fldChar w:fldCharType="separate"/>
            </w:r>
            <w:r w:rsidR="00725883">
              <w:rPr>
                <w:noProof/>
                <w:webHidden/>
              </w:rPr>
              <w:t>54</w:t>
            </w:r>
            <w:r w:rsidR="00725883">
              <w:rPr>
                <w:noProof/>
                <w:webHidden/>
              </w:rPr>
              <w:fldChar w:fldCharType="end"/>
            </w:r>
          </w:hyperlink>
        </w:p>
        <w:p w:rsidR="00725883" w:rsidRDefault="00D01137">
          <w:pPr>
            <w:pStyle w:val="TOC3"/>
            <w:tabs>
              <w:tab w:val="left" w:pos="1697"/>
            </w:tabs>
            <w:rPr>
              <w:rFonts w:asciiTheme="minorHAnsi" w:eastAsiaTheme="minorEastAsia" w:hAnsiTheme="minorHAnsi" w:cstheme="minorBidi"/>
              <w:noProof/>
              <w:lang w:eastAsia="en-AU"/>
            </w:rPr>
          </w:pPr>
          <w:hyperlink w:anchor="_Toc459987009" w:history="1">
            <w:r w:rsidR="00725883" w:rsidRPr="00C77DB2">
              <w:rPr>
                <w:rStyle w:val="Hyperlink"/>
                <w:noProof/>
              </w:rPr>
              <w:t>10.1.</w:t>
            </w:r>
            <w:r w:rsidR="00725883">
              <w:rPr>
                <w:rFonts w:asciiTheme="minorHAnsi" w:eastAsiaTheme="minorEastAsia" w:hAnsiTheme="minorHAnsi" w:cstheme="minorBidi"/>
                <w:noProof/>
                <w:lang w:eastAsia="en-AU"/>
              </w:rPr>
              <w:tab/>
            </w:r>
            <w:r w:rsidR="00725883" w:rsidRPr="00C77DB2">
              <w:rPr>
                <w:rStyle w:val="Hyperlink"/>
                <w:noProof/>
              </w:rPr>
              <w:t>First round comments on clinical aspects of the Safety Specification in the draft RMP</w:t>
            </w:r>
            <w:r w:rsidR="00725883">
              <w:rPr>
                <w:noProof/>
                <w:webHidden/>
              </w:rPr>
              <w:tab/>
            </w:r>
            <w:r w:rsidR="00725883">
              <w:rPr>
                <w:noProof/>
                <w:webHidden/>
              </w:rPr>
              <w:fldChar w:fldCharType="begin"/>
            </w:r>
            <w:r w:rsidR="00725883">
              <w:rPr>
                <w:noProof/>
                <w:webHidden/>
              </w:rPr>
              <w:instrText xml:space="preserve"> PAGEREF _Toc459987009 \h </w:instrText>
            </w:r>
            <w:r w:rsidR="00725883">
              <w:rPr>
                <w:noProof/>
                <w:webHidden/>
              </w:rPr>
            </w:r>
            <w:r w:rsidR="00725883">
              <w:rPr>
                <w:noProof/>
                <w:webHidden/>
              </w:rPr>
              <w:fldChar w:fldCharType="separate"/>
            </w:r>
            <w:r w:rsidR="00725883">
              <w:rPr>
                <w:noProof/>
                <w:webHidden/>
              </w:rPr>
              <w:t>54</w:t>
            </w:r>
            <w:r w:rsidR="00725883">
              <w:rPr>
                <w:noProof/>
                <w:webHidden/>
              </w:rPr>
              <w:fldChar w:fldCharType="end"/>
            </w:r>
          </w:hyperlink>
        </w:p>
        <w:p w:rsidR="00725883" w:rsidRDefault="00D01137">
          <w:pPr>
            <w:pStyle w:val="TOC2"/>
            <w:tabs>
              <w:tab w:val="left" w:pos="1247"/>
            </w:tabs>
            <w:rPr>
              <w:rFonts w:asciiTheme="minorHAnsi" w:eastAsiaTheme="minorEastAsia" w:hAnsiTheme="minorHAnsi" w:cstheme="minorBidi"/>
              <w:b w:val="0"/>
              <w:noProof/>
              <w:sz w:val="22"/>
              <w:lang w:eastAsia="en-AU"/>
            </w:rPr>
          </w:pPr>
          <w:hyperlink w:anchor="_Toc459987010" w:history="1">
            <w:r w:rsidR="00725883" w:rsidRPr="00C77DB2">
              <w:rPr>
                <w:rStyle w:val="Hyperlink"/>
                <w:noProof/>
              </w:rPr>
              <w:t>11.</w:t>
            </w:r>
            <w:r w:rsidR="00725883">
              <w:rPr>
                <w:rFonts w:asciiTheme="minorHAnsi" w:eastAsiaTheme="minorEastAsia" w:hAnsiTheme="minorHAnsi" w:cstheme="minorBidi"/>
                <w:b w:val="0"/>
                <w:noProof/>
                <w:sz w:val="22"/>
                <w:lang w:eastAsia="en-AU"/>
              </w:rPr>
              <w:tab/>
            </w:r>
            <w:r w:rsidR="00725883" w:rsidRPr="00C77DB2">
              <w:rPr>
                <w:rStyle w:val="Hyperlink"/>
                <w:noProof/>
              </w:rPr>
              <w:t>Clinical questions</w:t>
            </w:r>
            <w:r w:rsidR="00725883">
              <w:rPr>
                <w:noProof/>
                <w:webHidden/>
              </w:rPr>
              <w:tab/>
            </w:r>
            <w:r w:rsidR="00725883">
              <w:rPr>
                <w:noProof/>
                <w:webHidden/>
              </w:rPr>
              <w:fldChar w:fldCharType="begin"/>
            </w:r>
            <w:r w:rsidR="00725883">
              <w:rPr>
                <w:noProof/>
                <w:webHidden/>
              </w:rPr>
              <w:instrText xml:space="preserve"> PAGEREF _Toc459987010 \h </w:instrText>
            </w:r>
            <w:r w:rsidR="00725883">
              <w:rPr>
                <w:noProof/>
                <w:webHidden/>
              </w:rPr>
            </w:r>
            <w:r w:rsidR="00725883">
              <w:rPr>
                <w:noProof/>
                <w:webHidden/>
              </w:rPr>
              <w:fldChar w:fldCharType="separate"/>
            </w:r>
            <w:r w:rsidR="00725883">
              <w:rPr>
                <w:noProof/>
                <w:webHidden/>
              </w:rPr>
              <w:t>54</w:t>
            </w:r>
            <w:r w:rsidR="00725883">
              <w:rPr>
                <w:noProof/>
                <w:webHidden/>
              </w:rPr>
              <w:fldChar w:fldCharType="end"/>
            </w:r>
          </w:hyperlink>
        </w:p>
        <w:p w:rsidR="00725883" w:rsidRDefault="00D01137">
          <w:pPr>
            <w:pStyle w:val="TOC3"/>
            <w:tabs>
              <w:tab w:val="left" w:pos="1697"/>
            </w:tabs>
            <w:rPr>
              <w:rFonts w:asciiTheme="minorHAnsi" w:eastAsiaTheme="minorEastAsia" w:hAnsiTheme="minorHAnsi" w:cstheme="minorBidi"/>
              <w:noProof/>
              <w:lang w:eastAsia="en-AU"/>
            </w:rPr>
          </w:pPr>
          <w:hyperlink w:anchor="_Toc459987011" w:history="1">
            <w:r w:rsidR="00725883" w:rsidRPr="00C77DB2">
              <w:rPr>
                <w:rStyle w:val="Hyperlink"/>
                <w:noProof/>
              </w:rPr>
              <w:t>11.1.</w:t>
            </w:r>
            <w:r w:rsidR="00725883">
              <w:rPr>
                <w:rFonts w:asciiTheme="minorHAnsi" w:eastAsiaTheme="minorEastAsia" w:hAnsiTheme="minorHAnsi" w:cstheme="minorBidi"/>
                <w:noProof/>
                <w:lang w:eastAsia="en-AU"/>
              </w:rPr>
              <w:tab/>
            </w:r>
            <w:r w:rsidR="00725883" w:rsidRPr="00C77DB2">
              <w:rPr>
                <w:rStyle w:val="Hyperlink"/>
                <w:noProof/>
              </w:rPr>
              <w:t>Additional expert input</w:t>
            </w:r>
            <w:r w:rsidR="00725883">
              <w:rPr>
                <w:noProof/>
                <w:webHidden/>
              </w:rPr>
              <w:tab/>
            </w:r>
            <w:r w:rsidR="00725883">
              <w:rPr>
                <w:noProof/>
                <w:webHidden/>
              </w:rPr>
              <w:fldChar w:fldCharType="begin"/>
            </w:r>
            <w:r w:rsidR="00725883">
              <w:rPr>
                <w:noProof/>
                <w:webHidden/>
              </w:rPr>
              <w:instrText xml:space="preserve"> PAGEREF _Toc459987011 \h </w:instrText>
            </w:r>
            <w:r w:rsidR="00725883">
              <w:rPr>
                <w:noProof/>
                <w:webHidden/>
              </w:rPr>
            </w:r>
            <w:r w:rsidR="00725883">
              <w:rPr>
                <w:noProof/>
                <w:webHidden/>
              </w:rPr>
              <w:fldChar w:fldCharType="separate"/>
            </w:r>
            <w:r w:rsidR="00725883">
              <w:rPr>
                <w:noProof/>
                <w:webHidden/>
              </w:rPr>
              <w:t>54</w:t>
            </w:r>
            <w:r w:rsidR="00725883">
              <w:rPr>
                <w:noProof/>
                <w:webHidden/>
              </w:rPr>
              <w:fldChar w:fldCharType="end"/>
            </w:r>
          </w:hyperlink>
        </w:p>
        <w:p w:rsidR="00725883" w:rsidRDefault="00D01137">
          <w:pPr>
            <w:pStyle w:val="TOC3"/>
            <w:tabs>
              <w:tab w:val="left" w:pos="1697"/>
            </w:tabs>
            <w:rPr>
              <w:rFonts w:asciiTheme="minorHAnsi" w:eastAsiaTheme="minorEastAsia" w:hAnsiTheme="minorHAnsi" w:cstheme="minorBidi"/>
              <w:noProof/>
              <w:lang w:eastAsia="en-AU"/>
            </w:rPr>
          </w:pPr>
          <w:hyperlink w:anchor="_Toc459987012" w:history="1">
            <w:r w:rsidR="00725883" w:rsidRPr="00C77DB2">
              <w:rPr>
                <w:rStyle w:val="Hyperlink"/>
                <w:noProof/>
              </w:rPr>
              <w:t>11.2.</w:t>
            </w:r>
            <w:r w:rsidR="00725883">
              <w:rPr>
                <w:rFonts w:asciiTheme="minorHAnsi" w:eastAsiaTheme="minorEastAsia" w:hAnsiTheme="minorHAnsi" w:cstheme="minorBidi"/>
                <w:noProof/>
                <w:lang w:eastAsia="en-AU"/>
              </w:rPr>
              <w:tab/>
            </w:r>
            <w:r w:rsidR="00725883" w:rsidRPr="00C77DB2">
              <w:rPr>
                <w:rStyle w:val="Hyperlink"/>
                <w:noProof/>
              </w:rPr>
              <w:t>Clinical questions for the sponsor</w:t>
            </w:r>
            <w:r w:rsidR="00725883">
              <w:rPr>
                <w:noProof/>
                <w:webHidden/>
              </w:rPr>
              <w:tab/>
            </w:r>
            <w:r w:rsidR="00725883">
              <w:rPr>
                <w:noProof/>
                <w:webHidden/>
              </w:rPr>
              <w:fldChar w:fldCharType="begin"/>
            </w:r>
            <w:r w:rsidR="00725883">
              <w:rPr>
                <w:noProof/>
                <w:webHidden/>
              </w:rPr>
              <w:instrText xml:space="preserve"> PAGEREF _Toc459987012 \h </w:instrText>
            </w:r>
            <w:r w:rsidR="00725883">
              <w:rPr>
                <w:noProof/>
                <w:webHidden/>
              </w:rPr>
            </w:r>
            <w:r w:rsidR="00725883">
              <w:rPr>
                <w:noProof/>
                <w:webHidden/>
              </w:rPr>
              <w:fldChar w:fldCharType="separate"/>
            </w:r>
            <w:r w:rsidR="00725883">
              <w:rPr>
                <w:noProof/>
                <w:webHidden/>
              </w:rPr>
              <w:t>55</w:t>
            </w:r>
            <w:r w:rsidR="00725883">
              <w:rPr>
                <w:noProof/>
                <w:webHidden/>
              </w:rPr>
              <w:fldChar w:fldCharType="end"/>
            </w:r>
          </w:hyperlink>
        </w:p>
        <w:p w:rsidR="00725883" w:rsidRDefault="00D01137">
          <w:pPr>
            <w:pStyle w:val="TOC2"/>
            <w:tabs>
              <w:tab w:val="left" w:pos="1247"/>
            </w:tabs>
            <w:rPr>
              <w:rFonts w:asciiTheme="minorHAnsi" w:eastAsiaTheme="minorEastAsia" w:hAnsiTheme="minorHAnsi" w:cstheme="minorBidi"/>
              <w:b w:val="0"/>
              <w:noProof/>
              <w:sz w:val="22"/>
              <w:lang w:eastAsia="en-AU"/>
            </w:rPr>
          </w:pPr>
          <w:hyperlink w:anchor="_Toc459987013" w:history="1">
            <w:r w:rsidR="00725883" w:rsidRPr="00C77DB2">
              <w:rPr>
                <w:rStyle w:val="Hyperlink"/>
                <w:noProof/>
              </w:rPr>
              <w:t>12.</w:t>
            </w:r>
            <w:r w:rsidR="00725883">
              <w:rPr>
                <w:rFonts w:asciiTheme="minorHAnsi" w:eastAsiaTheme="minorEastAsia" w:hAnsiTheme="minorHAnsi" w:cstheme="minorBidi"/>
                <w:b w:val="0"/>
                <w:noProof/>
                <w:sz w:val="22"/>
                <w:lang w:eastAsia="en-AU"/>
              </w:rPr>
              <w:tab/>
            </w:r>
            <w:r w:rsidR="00725883" w:rsidRPr="00C77DB2">
              <w:rPr>
                <w:rStyle w:val="Hyperlink"/>
                <w:noProof/>
              </w:rPr>
              <w:t>Second round evaluation of clinical data submitted in response to questions</w:t>
            </w:r>
            <w:r w:rsidR="00725883">
              <w:rPr>
                <w:noProof/>
                <w:webHidden/>
              </w:rPr>
              <w:tab/>
            </w:r>
            <w:r w:rsidR="00725883">
              <w:rPr>
                <w:noProof/>
                <w:webHidden/>
              </w:rPr>
              <w:fldChar w:fldCharType="begin"/>
            </w:r>
            <w:r w:rsidR="00725883">
              <w:rPr>
                <w:noProof/>
                <w:webHidden/>
              </w:rPr>
              <w:instrText xml:space="preserve"> PAGEREF _Toc459987013 \h </w:instrText>
            </w:r>
            <w:r w:rsidR="00725883">
              <w:rPr>
                <w:noProof/>
                <w:webHidden/>
              </w:rPr>
            </w:r>
            <w:r w:rsidR="00725883">
              <w:rPr>
                <w:noProof/>
                <w:webHidden/>
              </w:rPr>
              <w:fldChar w:fldCharType="separate"/>
            </w:r>
            <w:r w:rsidR="00725883">
              <w:rPr>
                <w:noProof/>
                <w:webHidden/>
              </w:rPr>
              <w:t>55</w:t>
            </w:r>
            <w:r w:rsidR="00725883">
              <w:rPr>
                <w:noProof/>
                <w:webHidden/>
              </w:rPr>
              <w:fldChar w:fldCharType="end"/>
            </w:r>
          </w:hyperlink>
        </w:p>
        <w:p w:rsidR="00725883" w:rsidRDefault="00D01137">
          <w:pPr>
            <w:pStyle w:val="TOC3"/>
            <w:tabs>
              <w:tab w:val="left" w:pos="1697"/>
            </w:tabs>
            <w:rPr>
              <w:rFonts w:asciiTheme="minorHAnsi" w:eastAsiaTheme="minorEastAsia" w:hAnsiTheme="minorHAnsi" w:cstheme="minorBidi"/>
              <w:noProof/>
              <w:lang w:eastAsia="en-AU"/>
            </w:rPr>
          </w:pPr>
          <w:hyperlink w:anchor="_Toc459987014" w:history="1">
            <w:r w:rsidR="00725883" w:rsidRPr="00C77DB2">
              <w:rPr>
                <w:rStyle w:val="Hyperlink"/>
                <w:noProof/>
              </w:rPr>
              <w:t>12.1.</w:t>
            </w:r>
            <w:r w:rsidR="00725883">
              <w:rPr>
                <w:rFonts w:asciiTheme="minorHAnsi" w:eastAsiaTheme="minorEastAsia" w:hAnsiTheme="minorHAnsi" w:cstheme="minorBidi"/>
                <w:noProof/>
                <w:lang w:eastAsia="en-AU"/>
              </w:rPr>
              <w:tab/>
            </w:r>
            <w:r w:rsidR="00725883" w:rsidRPr="00C77DB2">
              <w:rPr>
                <w:rStyle w:val="Hyperlink"/>
                <w:noProof/>
              </w:rPr>
              <w:t>Evaluators conclusions to clinical data submitted for second round evaluation</w:t>
            </w:r>
            <w:r w:rsidR="00725883">
              <w:rPr>
                <w:noProof/>
                <w:webHidden/>
              </w:rPr>
              <w:tab/>
            </w:r>
            <w:r w:rsidR="00725883">
              <w:rPr>
                <w:noProof/>
                <w:webHidden/>
              </w:rPr>
              <w:fldChar w:fldCharType="begin"/>
            </w:r>
            <w:r w:rsidR="00725883">
              <w:rPr>
                <w:noProof/>
                <w:webHidden/>
              </w:rPr>
              <w:instrText xml:space="preserve"> PAGEREF _Toc459987014 \h </w:instrText>
            </w:r>
            <w:r w:rsidR="00725883">
              <w:rPr>
                <w:noProof/>
                <w:webHidden/>
              </w:rPr>
            </w:r>
            <w:r w:rsidR="00725883">
              <w:rPr>
                <w:noProof/>
                <w:webHidden/>
              </w:rPr>
              <w:fldChar w:fldCharType="separate"/>
            </w:r>
            <w:r w:rsidR="00725883">
              <w:rPr>
                <w:noProof/>
                <w:webHidden/>
              </w:rPr>
              <w:t>57</w:t>
            </w:r>
            <w:r w:rsidR="00725883">
              <w:rPr>
                <w:noProof/>
                <w:webHidden/>
              </w:rPr>
              <w:fldChar w:fldCharType="end"/>
            </w:r>
          </w:hyperlink>
        </w:p>
        <w:p w:rsidR="00725883" w:rsidRDefault="00D01137">
          <w:pPr>
            <w:pStyle w:val="TOC2"/>
            <w:tabs>
              <w:tab w:val="left" w:pos="1247"/>
            </w:tabs>
            <w:rPr>
              <w:rFonts w:asciiTheme="minorHAnsi" w:eastAsiaTheme="minorEastAsia" w:hAnsiTheme="minorHAnsi" w:cstheme="minorBidi"/>
              <w:b w:val="0"/>
              <w:noProof/>
              <w:sz w:val="22"/>
              <w:lang w:eastAsia="en-AU"/>
            </w:rPr>
          </w:pPr>
          <w:hyperlink w:anchor="_Toc459987015" w:history="1">
            <w:r w:rsidR="00725883" w:rsidRPr="00C77DB2">
              <w:rPr>
                <w:rStyle w:val="Hyperlink"/>
                <w:noProof/>
              </w:rPr>
              <w:t>13.</w:t>
            </w:r>
            <w:r w:rsidR="00725883">
              <w:rPr>
                <w:rFonts w:asciiTheme="minorHAnsi" w:eastAsiaTheme="minorEastAsia" w:hAnsiTheme="minorHAnsi" w:cstheme="minorBidi"/>
                <w:b w:val="0"/>
                <w:noProof/>
                <w:sz w:val="22"/>
                <w:lang w:eastAsia="en-AU"/>
              </w:rPr>
              <w:tab/>
            </w:r>
            <w:r w:rsidR="00725883" w:rsidRPr="00C77DB2">
              <w:rPr>
                <w:rStyle w:val="Hyperlink"/>
                <w:noProof/>
              </w:rPr>
              <w:t>Second round benefit-risk assessment</w:t>
            </w:r>
            <w:r w:rsidR="00725883">
              <w:rPr>
                <w:noProof/>
                <w:webHidden/>
              </w:rPr>
              <w:tab/>
            </w:r>
            <w:r w:rsidR="00725883">
              <w:rPr>
                <w:noProof/>
                <w:webHidden/>
              </w:rPr>
              <w:fldChar w:fldCharType="begin"/>
            </w:r>
            <w:r w:rsidR="00725883">
              <w:rPr>
                <w:noProof/>
                <w:webHidden/>
              </w:rPr>
              <w:instrText xml:space="preserve"> PAGEREF _Toc459987015 \h </w:instrText>
            </w:r>
            <w:r w:rsidR="00725883">
              <w:rPr>
                <w:noProof/>
                <w:webHidden/>
              </w:rPr>
            </w:r>
            <w:r w:rsidR="00725883">
              <w:rPr>
                <w:noProof/>
                <w:webHidden/>
              </w:rPr>
              <w:fldChar w:fldCharType="separate"/>
            </w:r>
            <w:r w:rsidR="00725883">
              <w:rPr>
                <w:noProof/>
                <w:webHidden/>
              </w:rPr>
              <w:t>57</w:t>
            </w:r>
            <w:r w:rsidR="00725883">
              <w:rPr>
                <w:noProof/>
                <w:webHidden/>
              </w:rPr>
              <w:fldChar w:fldCharType="end"/>
            </w:r>
          </w:hyperlink>
        </w:p>
        <w:p w:rsidR="00725883" w:rsidRDefault="00D01137">
          <w:pPr>
            <w:pStyle w:val="TOC3"/>
            <w:tabs>
              <w:tab w:val="left" w:pos="1697"/>
            </w:tabs>
            <w:rPr>
              <w:rFonts w:asciiTheme="minorHAnsi" w:eastAsiaTheme="minorEastAsia" w:hAnsiTheme="minorHAnsi" w:cstheme="minorBidi"/>
              <w:noProof/>
              <w:lang w:eastAsia="en-AU"/>
            </w:rPr>
          </w:pPr>
          <w:hyperlink w:anchor="_Toc459987016" w:history="1">
            <w:r w:rsidR="00725883" w:rsidRPr="00C77DB2">
              <w:rPr>
                <w:rStyle w:val="Hyperlink"/>
                <w:noProof/>
              </w:rPr>
              <w:t>13.1.</w:t>
            </w:r>
            <w:r w:rsidR="00725883">
              <w:rPr>
                <w:rFonts w:asciiTheme="minorHAnsi" w:eastAsiaTheme="minorEastAsia" w:hAnsiTheme="minorHAnsi" w:cstheme="minorBidi"/>
                <w:noProof/>
                <w:lang w:eastAsia="en-AU"/>
              </w:rPr>
              <w:tab/>
            </w:r>
            <w:r w:rsidR="00725883" w:rsidRPr="00C77DB2">
              <w:rPr>
                <w:rStyle w:val="Hyperlink"/>
                <w:noProof/>
              </w:rPr>
              <w:t>Second round assessment of benefits</w:t>
            </w:r>
            <w:r w:rsidR="00725883">
              <w:rPr>
                <w:noProof/>
                <w:webHidden/>
              </w:rPr>
              <w:tab/>
            </w:r>
            <w:r w:rsidR="00725883">
              <w:rPr>
                <w:noProof/>
                <w:webHidden/>
              </w:rPr>
              <w:fldChar w:fldCharType="begin"/>
            </w:r>
            <w:r w:rsidR="00725883">
              <w:rPr>
                <w:noProof/>
                <w:webHidden/>
              </w:rPr>
              <w:instrText xml:space="preserve"> PAGEREF _Toc459987016 \h </w:instrText>
            </w:r>
            <w:r w:rsidR="00725883">
              <w:rPr>
                <w:noProof/>
                <w:webHidden/>
              </w:rPr>
            </w:r>
            <w:r w:rsidR="00725883">
              <w:rPr>
                <w:noProof/>
                <w:webHidden/>
              </w:rPr>
              <w:fldChar w:fldCharType="separate"/>
            </w:r>
            <w:r w:rsidR="00725883">
              <w:rPr>
                <w:noProof/>
                <w:webHidden/>
              </w:rPr>
              <w:t>57</w:t>
            </w:r>
            <w:r w:rsidR="00725883">
              <w:rPr>
                <w:noProof/>
                <w:webHidden/>
              </w:rPr>
              <w:fldChar w:fldCharType="end"/>
            </w:r>
          </w:hyperlink>
        </w:p>
        <w:p w:rsidR="00725883" w:rsidRDefault="00D01137">
          <w:pPr>
            <w:pStyle w:val="TOC3"/>
            <w:tabs>
              <w:tab w:val="left" w:pos="1697"/>
            </w:tabs>
            <w:rPr>
              <w:rFonts w:asciiTheme="minorHAnsi" w:eastAsiaTheme="minorEastAsia" w:hAnsiTheme="minorHAnsi" w:cstheme="minorBidi"/>
              <w:noProof/>
              <w:lang w:eastAsia="en-AU"/>
            </w:rPr>
          </w:pPr>
          <w:hyperlink w:anchor="_Toc459987017" w:history="1">
            <w:r w:rsidR="00725883" w:rsidRPr="00C77DB2">
              <w:rPr>
                <w:rStyle w:val="Hyperlink"/>
                <w:noProof/>
              </w:rPr>
              <w:t>13.2.</w:t>
            </w:r>
            <w:r w:rsidR="00725883">
              <w:rPr>
                <w:rFonts w:asciiTheme="minorHAnsi" w:eastAsiaTheme="minorEastAsia" w:hAnsiTheme="minorHAnsi" w:cstheme="minorBidi"/>
                <w:noProof/>
                <w:lang w:eastAsia="en-AU"/>
              </w:rPr>
              <w:tab/>
            </w:r>
            <w:r w:rsidR="00725883" w:rsidRPr="00C77DB2">
              <w:rPr>
                <w:rStyle w:val="Hyperlink"/>
                <w:noProof/>
              </w:rPr>
              <w:t>Second round assessment of risks</w:t>
            </w:r>
            <w:r w:rsidR="00725883">
              <w:rPr>
                <w:noProof/>
                <w:webHidden/>
              </w:rPr>
              <w:tab/>
            </w:r>
            <w:r w:rsidR="00725883">
              <w:rPr>
                <w:noProof/>
                <w:webHidden/>
              </w:rPr>
              <w:fldChar w:fldCharType="begin"/>
            </w:r>
            <w:r w:rsidR="00725883">
              <w:rPr>
                <w:noProof/>
                <w:webHidden/>
              </w:rPr>
              <w:instrText xml:space="preserve"> PAGEREF _Toc459987017 \h </w:instrText>
            </w:r>
            <w:r w:rsidR="00725883">
              <w:rPr>
                <w:noProof/>
                <w:webHidden/>
              </w:rPr>
            </w:r>
            <w:r w:rsidR="00725883">
              <w:rPr>
                <w:noProof/>
                <w:webHidden/>
              </w:rPr>
              <w:fldChar w:fldCharType="separate"/>
            </w:r>
            <w:r w:rsidR="00725883">
              <w:rPr>
                <w:noProof/>
                <w:webHidden/>
              </w:rPr>
              <w:t>57</w:t>
            </w:r>
            <w:r w:rsidR="00725883">
              <w:rPr>
                <w:noProof/>
                <w:webHidden/>
              </w:rPr>
              <w:fldChar w:fldCharType="end"/>
            </w:r>
          </w:hyperlink>
        </w:p>
        <w:p w:rsidR="00725883" w:rsidRDefault="00D01137">
          <w:pPr>
            <w:pStyle w:val="TOC3"/>
            <w:tabs>
              <w:tab w:val="left" w:pos="1697"/>
            </w:tabs>
            <w:rPr>
              <w:rFonts w:asciiTheme="minorHAnsi" w:eastAsiaTheme="minorEastAsia" w:hAnsiTheme="minorHAnsi" w:cstheme="minorBidi"/>
              <w:noProof/>
              <w:lang w:eastAsia="en-AU"/>
            </w:rPr>
          </w:pPr>
          <w:hyperlink w:anchor="_Toc459987018" w:history="1">
            <w:r w:rsidR="00725883" w:rsidRPr="00C77DB2">
              <w:rPr>
                <w:rStyle w:val="Hyperlink"/>
                <w:noProof/>
              </w:rPr>
              <w:t>13.3.</w:t>
            </w:r>
            <w:r w:rsidR="00725883">
              <w:rPr>
                <w:rFonts w:asciiTheme="minorHAnsi" w:eastAsiaTheme="minorEastAsia" w:hAnsiTheme="minorHAnsi" w:cstheme="minorBidi"/>
                <w:noProof/>
                <w:lang w:eastAsia="en-AU"/>
              </w:rPr>
              <w:tab/>
            </w:r>
            <w:r w:rsidR="00725883" w:rsidRPr="00C77DB2">
              <w:rPr>
                <w:rStyle w:val="Hyperlink"/>
                <w:noProof/>
              </w:rPr>
              <w:t>Second round assessment of benefit-risk balance</w:t>
            </w:r>
            <w:r w:rsidR="00725883">
              <w:rPr>
                <w:noProof/>
                <w:webHidden/>
              </w:rPr>
              <w:tab/>
            </w:r>
            <w:r w:rsidR="00725883">
              <w:rPr>
                <w:noProof/>
                <w:webHidden/>
              </w:rPr>
              <w:fldChar w:fldCharType="begin"/>
            </w:r>
            <w:r w:rsidR="00725883">
              <w:rPr>
                <w:noProof/>
                <w:webHidden/>
              </w:rPr>
              <w:instrText xml:space="preserve"> PAGEREF _Toc459987018 \h </w:instrText>
            </w:r>
            <w:r w:rsidR="00725883">
              <w:rPr>
                <w:noProof/>
                <w:webHidden/>
              </w:rPr>
            </w:r>
            <w:r w:rsidR="00725883">
              <w:rPr>
                <w:noProof/>
                <w:webHidden/>
              </w:rPr>
              <w:fldChar w:fldCharType="separate"/>
            </w:r>
            <w:r w:rsidR="00725883">
              <w:rPr>
                <w:noProof/>
                <w:webHidden/>
              </w:rPr>
              <w:t>57</w:t>
            </w:r>
            <w:r w:rsidR="00725883">
              <w:rPr>
                <w:noProof/>
                <w:webHidden/>
              </w:rPr>
              <w:fldChar w:fldCharType="end"/>
            </w:r>
          </w:hyperlink>
        </w:p>
        <w:p w:rsidR="00725883" w:rsidRDefault="00D01137">
          <w:pPr>
            <w:pStyle w:val="TOC2"/>
            <w:tabs>
              <w:tab w:val="left" w:pos="1247"/>
            </w:tabs>
            <w:rPr>
              <w:rFonts w:asciiTheme="minorHAnsi" w:eastAsiaTheme="minorEastAsia" w:hAnsiTheme="minorHAnsi" w:cstheme="minorBidi"/>
              <w:b w:val="0"/>
              <w:noProof/>
              <w:sz w:val="22"/>
              <w:lang w:eastAsia="en-AU"/>
            </w:rPr>
          </w:pPr>
          <w:hyperlink w:anchor="_Toc459987019" w:history="1">
            <w:r w:rsidR="00725883" w:rsidRPr="00C77DB2">
              <w:rPr>
                <w:rStyle w:val="Hyperlink"/>
                <w:noProof/>
              </w:rPr>
              <w:t>14.</w:t>
            </w:r>
            <w:r w:rsidR="00725883">
              <w:rPr>
                <w:rFonts w:asciiTheme="minorHAnsi" w:eastAsiaTheme="minorEastAsia" w:hAnsiTheme="minorHAnsi" w:cstheme="minorBidi"/>
                <w:b w:val="0"/>
                <w:noProof/>
                <w:sz w:val="22"/>
                <w:lang w:eastAsia="en-AU"/>
              </w:rPr>
              <w:tab/>
            </w:r>
            <w:r w:rsidR="00725883" w:rsidRPr="00C77DB2">
              <w:rPr>
                <w:rStyle w:val="Hyperlink"/>
                <w:noProof/>
              </w:rPr>
              <w:t>Second round recommendation regarding authorisation</w:t>
            </w:r>
            <w:r w:rsidR="00725883">
              <w:rPr>
                <w:noProof/>
                <w:webHidden/>
              </w:rPr>
              <w:tab/>
            </w:r>
            <w:r w:rsidR="00725883">
              <w:rPr>
                <w:noProof/>
                <w:webHidden/>
              </w:rPr>
              <w:fldChar w:fldCharType="begin"/>
            </w:r>
            <w:r w:rsidR="00725883">
              <w:rPr>
                <w:noProof/>
                <w:webHidden/>
              </w:rPr>
              <w:instrText xml:space="preserve"> PAGEREF _Toc459987019 \h </w:instrText>
            </w:r>
            <w:r w:rsidR="00725883">
              <w:rPr>
                <w:noProof/>
                <w:webHidden/>
              </w:rPr>
            </w:r>
            <w:r w:rsidR="00725883">
              <w:rPr>
                <w:noProof/>
                <w:webHidden/>
              </w:rPr>
              <w:fldChar w:fldCharType="separate"/>
            </w:r>
            <w:r w:rsidR="00725883">
              <w:rPr>
                <w:noProof/>
                <w:webHidden/>
              </w:rPr>
              <w:t>57</w:t>
            </w:r>
            <w:r w:rsidR="00725883">
              <w:rPr>
                <w:noProof/>
                <w:webHidden/>
              </w:rPr>
              <w:fldChar w:fldCharType="end"/>
            </w:r>
          </w:hyperlink>
        </w:p>
        <w:p w:rsidR="00725883" w:rsidRDefault="00D01137">
          <w:pPr>
            <w:pStyle w:val="TOC2"/>
            <w:tabs>
              <w:tab w:val="left" w:pos="1247"/>
            </w:tabs>
            <w:rPr>
              <w:rFonts w:asciiTheme="minorHAnsi" w:eastAsiaTheme="minorEastAsia" w:hAnsiTheme="minorHAnsi" w:cstheme="minorBidi"/>
              <w:b w:val="0"/>
              <w:noProof/>
              <w:sz w:val="22"/>
              <w:lang w:eastAsia="en-AU"/>
            </w:rPr>
          </w:pPr>
          <w:hyperlink w:anchor="_Toc459987020" w:history="1">
            <w:r w:rsidR="00725883" w:rsidRPr="00C77DB2">
              <w:rPr>
                <w:rStyle w:val="Hyperlink"/>
                <w:noProof/>
              </w:rPr>
              <w:t>15.</w:t>
            </w:r>
            <w:r w:rsidR="00725883">
              <w:rPr>
                <w:rFonts w:asciiTheme="minorHAnsi" w:eastAsiaTheme="minorEastAsia" w:hAnsiTheme="minorHAnsi" w:cstheme="minorBidi"/>
                <w:b w:val="0"/>
                <w:noProof/>
                <w:sz w:val="22"/>
                <w:lang w:eastAsia="en-AU"/>
              </w:rPr>
              <w:tab/>
            </w:r>
            <w:r w:rsidR="00725883" w:rsidRPr="00C77DB2">
              <w:rPr>
                <w:rStyle w:val="Hyperlink"/>
                <w:noProof/>
              </w:rPr>
              <w:t>References</w:t>
            </w:r>
            <w:r w:rsidR="00725883">
              <w:rPr>
                <w:noProof/>
                <w:webHidden/>
              </w:rPr>
              <w:tab/>
            </w:r>
            <w:r w:rsidR="00725883">
              <w:rPr>
                <w:noProof/>
                <w:webHidden/>
              </w:rPr>
              <w:fldChar w:fldCharType="begin"/>
            </w:r>
            <w:r w:rsidR="00725883">
              <w:rPr>
                <w:noProof/>
                <w:webHidden/>
              </w:rPr>
              <w:instrText xml:space="preserve"> PAGEREF _Toc459987020 \h </w:instrText>
            </w:r>
            <w:r w:rsidR="00725883">
              <w:rPr>
                <w:noProof/>
                <w:webHidden/>
              </w:rPr>
            </w:r>
            <w:r w:rsidR="00725883">
              <w:rPr>
                <w:noProof/>
                <w:webHidden/>
              </w:rPr>
              <w:fldChar w:fldCharType="separate"/>
            </w:r>
            <w:r w:rsidR="00725883">
              <w:rPr>
                <w:noProof/>
                <w:webHidden/>
              </w:rPr>
              <w:t>57</w:t>
            </w:r>
            <w:r w:rsidR="00725883">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D33570" w:rsidRPr="00D33570" w:rsidRDefault="00D33570" w:rsidP="000E7CA2">
      <w:pPr>
        <w:spacing w:before="0" w:after="200" w:line="0" w:lineRule="auto"/>
      </w:pPr>
      <w:bookmarkStart w:id="4" w:name="_Toc351716269"/>
      <w:bookmarkStart w:id="5" w:name="_Toc351718881"/>
      <w:bookmarkStart w:id="6" w:name="_Toc355338616"/>
    </w:p>
    <w:p w:rsidR="00D33570" w:rsidRDefault="00D33570">
      <w:pPr>
        <w:spacing w:before="0" w:after="200" w:line="0" w:lineRule="auto"/>
        <w:rPr>
          <w:rFonts w:ascii="Arial" w:eastAsia="Times New Roman" w:hAnsi="Arial"/>
          <w:b/>
          <w:bCs/>
          <w:sz w:val="32"/>
          <w:szCs w:val="26"/>
          <w:lang w:eastAsia="ja-JP"/>
        </w:rPr>
      </w:pPr>
      <w:r>
        <w:br w:type="page"/>
      </w:r>
    </w:p>
    <w:p w:rsidR="00586F98" w:rsidRDefault="00586F98" w:rsidP="00586F98">
      <w:pPr>
        <w:pStyle w:val="Heading2"/>
        <w:numPr>
          <w:ilvl w:val="0"/>
          <w:numId w:val="0"/>
        </w:numPr>
      </w:pPr>
      <w:bookmarkStart w:id="7" w:name="_Toc459986965"/>
      <w:r>
        <w:lastRenderedPageBreak/>
        <w:t xml:space="preserve">List of </w:t>
      </w:r>
      <w:r w:rsidR="00621EA0">
        <w:t xml:space="preserve">commonly used </w:t>
      </w:r>
      <w:r>
        <w:t>abbreviations</w:t>
      </w:r>
      <w:bookmarkEnd w:id="4"/>
      <w:bookmarkEnd w:id="5"/>
      <w:bookmarkEnd w:id="6"/>
      <w:bookmarkEnd w:id="7"/>
    </w:p>
    <w:tbl>
      <w:tblPr>
        <w:tblStyle w:val="TableTGAblue"/>
        <w:tblW w:w="0" w:type="auto"/>
        <w:tblLook w:val="04A0" w:firstRow="1" w:lastRow="0" w:firstColumn="1" w:lastColumn="0" w:noHBand="0" w:noVBand="1"/>
      </w:tblPr>
      <w:tblGrid>
        <w:gridCol w:w="2186"/>
        <w:gridCol w:w="6911"/>
      </w:tblGrid>
      <w:tr w:rsidR="00621EA0" w:rsidTr="00B836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Abbreviation</w:t>
            </w:r>
          </w:p>
        </w:tc>
        <w:tc>
          <w:tcPr>
            <w:tcW w:w="6911" w:type="dxa"/>
          </w:tcPr>
          <w:p w:rsidR="00621EA0" w:rsidRDefault="00621EA0" w:rsidP="000A63AF">
            <w:pPr>
              <w:cnfStyle w:val="100000000000" w:firstRow="1" w:lastRow="0" w:firstColumn="0" w:lastColumn="0" w:oddVBand="0" w:evenVBand="0" w:oddHBand="0" w:evenHBand="0" w:firstRowFirstColumn="0" w:firstRowLastColumn="0" w:lastRowFirstColumn="0" w:lastRowLastColumn="0"/>
            </w:pPr>
            <w:r>
              <w:t>Meaning</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5</w:t>
            </w:r>
            <w:r>
              <w:noBreakHyphen/>
              <w:t>CA</w:t>
            </w:r>
            <w:r>
              <w:noBreakHyphen/>
            </w:r>
            <w:r w:rsidRPr="007F32BD">
              <w:t>pirfenidone</w:t>
            </w:r>
          </w:p>
        </w:tc>
        <w:tc>
          <w:tcPr>
            <w:tcW w:w="6911" w:type="dxa"/>
          </w:tcPr>
          <w:p w:rsidR="00621EA0" w:rsidRDefault="000878A7" w:rsidP="00396C92">
            <w:pPr>
              <w:cnfStyle w:val="000000000000" w:firstRow="0" w:lastRow="0" w:firstColumn="0" w:lastColumn="0" w:oddVBand="0" w:evenVBand="0" w:oddHBand="0" w:evenHBand="0" w:firstRowFirstColumn="0" w:firstRowLastColumn="0" w:lastRowFirstColumn="0" w:lastRowLastColumn="0"/>
            </w:pPr>
            <w:r>
              <w:t>5-CA-pirfenidone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6MWT</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6</w:t>
            </w:r>
            <w:r w:rsidR="00E53935">
              <w:t xml:space="preserve"> </w:t>
            </w:r>
            <w:r>
              <w:t>Minute Walk Test</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ADR</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Adverse Drug Reaction</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AE</w:t>
            </w:r>
          </w:p>
        </w:tc>
        <w:tc>
          <w:tcPr>
            <w:tcW w:w="6911" w:type="dxa"/>
          </w:tcPr>
          <w:p w:rsidR="00621EA0" w:rsidRPr="007C37EF" w:rsidRDefault="00621EA0" w:rsidP="008D5C05">
            <w:pPr>
              <w:cnfStyle w:val="000000000000" w:firstRow="0" w:lastRow="0" w:firstColumn="0" w:lastColumn="0" w:oddVBand="0" w:evenVBand="0" w:oddHBand="0" w:evenHBand="0" w:firstRowFirstColumn="0" w:firstRowLastColumn="0" w:lastRowFirstColumn="0" w:lastRowLastColumn="0"/>
            </w:pPr>
            <w:r>
              <w:t>Adverse Event</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ALT</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rsidRPr="00A5386A">
              <w:t>Alanine transaminase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ANCOVA</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Analysis of Covariance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AST</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rsidRPr="00A5386A">
              <w:t>Aspartate transaminase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ATC</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rsidRPr="00304D17">
              <w:t>Anatomical Therapeutic Chemical Classification</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CER</w:t>
            </w:r>
          </w:p>
        </w:tc>
        <w:tc>
          <w:tcPr>
            <w:tcW w:w="6911" w:type="dxa"/>
          </w:tcPr>
          <w:p w:rsidR="00621EA0" w:rsidRPr="00304D17" w:rsidRDefault="00621EA0" w:rsidP="00396C92">
            <w:pPr>
              <w:cnfStyle w:val="000000000000" w:firstRow="0" w:lastRow="0" w:firstColumn="0" w:lastColumn="0" w:oddVBand="0" w:evenVBand="0" w:oddHBand="0" w:evenHBand="0" w:firstRowFirstColumn="0" w:firstRowLastColumn="0" w:lastRowFirstColumn="0" w:lastRowLastColumn="0"/>
            </w:pPr>
            <w:r>
              <w:t>Clinical Evaluation Data</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CHMP</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rsidRPr="007C37EF">
              <w:t>Committee for Medicinal Products for Human Use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C</w:t>
            </w:r>
            <w:r w:rsidRPr="007C37EF">
              <w:rPr>
                <w:vertAlign w:val="subscript"/>
              </w:rPr>
              <w:t>max</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Peak plasma concentration</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CNS</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Central Nervous System</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CSR</w:t>
            </w:r>
          </w:p>
        </w:tc>
        <w:tc>
          <w:tcPr>
            <w:tcW w:w="6911" w:type="dxa"/>
          </w:tcPr>
          <w:p w:rsidR="00621EA0" w:rsidRPr="00304D17" w:rsidRDefault="00621EA0" w:rsidP="00396C92">
            <w:pPr>
              <w:cnfStyle w:val="000000000000" w:firstRow="0" w:lastRow="0" w:firstColumn="0" w:lastColumn="0" w:oddVBand="0" w:evenVBand="0" w:oddHBand="0" w:evenHBand="0" w:firstRowFirstColumn="0" w:firstRowLastColumn="0" w:lastRowFirstColumn="0" w:lastRowLastColumn="0"/>
            </w:pPr>
            <w:r>
              <w:t>Clinical Safety Report</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Pr="009D5FB8" w:rsidRDefault="00621EA0" w:rsidP="000A63AF">
            <w:pPr>
              <w:rPr>
                <w:vertAlign w:val="subscript"/>
              </w:rPr>
            </w:pPr>
            <w:r>
              <w:t>D</w:t>
            </w:r>
            <w:r>
              <w:rPr>
                <w:vertAlign w:val="subscript"/>
              </w:rPr>
              <w:t>LCO</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Diffusing capacity of the Lungs for Carbon M</w:t>
            </w:r>
            <w:r w:rsidRPr="009D5FB8">
              <w:t>onoxide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DMC</w:t>
            </w:r>
          </w:p>
        </w:tc>
        <w:tc>
          <w:tcPr>
            <w:tcW w:w="6911" w:type="dxa"/>
          </w:tcPr>
          <w:p w:rsidR="00621EA0" w:rsidRPr="007C37EF" w:rsidRDefault="00621EA0" w:rsidP="00396C92">
            <w:pPr>
              <w:cnfStyle w:val="000000000000" w:firstRow="0" w:lastRow="0" w:firstColumn="0" w:lastColumn="0" w:oddVBand="0" w:evenVBand="0" w:oddHBand="0" w:evenHBand="0" w:firstRowFirstColumn="0" w:firstRowLastColumn="0" w:lastRowFirstColumn="0" w:lastRowLastColumn="0"/>
            </w:pPr>
            <w:r>
              <w:t>Data Monitoring Committee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ECG</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Electrocardiogram</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EMA</w:t>
            </w:r>
          </w:p>
        </w:tc>
        <w:tc>
          <w:tcPr>
            <w:tcW w:w="6911" w:type="dxa"/>
          </w:tcPr>
          <w:p w:rsidR="00621EA0" w:rsidRPr="00304D17" w:rsidRDefault="00621EA0" w:rsidP="00396C92">
            <w:pPr>
              <w:cnfStyle w:val="000000000000" w:firstRow="0" w:lastRow="0" w:firstColumn="0" w:lastColumn="0" w:oddVBand="0" w:evenVBand="0" w:oddHBand="0" w:evenHBand="0" w:firstRowFirstColumn="0" w:firstRowLastColumn="0" w:lastRowFirstColumn="0" w:lastRowLastColumn="0"/>
            </w:pPr>
            <w:r>
              <w:t>European Medicines Agency</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9D5FB8">
            <w:r>
              <w:t>ESRD</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End Stage Renal Disease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FDA</w:t>
            </w:r>
          </w:p>
        </w:tc>
        <w:tc>
          <w:tcPr>
            <w:tcW w:w="6911" w:type="dxa"/>
          </w:tcPr>
          <w:p w:rsidR="00621EA0" w:rsidRDefault="00621EA0" w:rsidP="00D11AB8">
            <w:pPr>
              <w:cnfStyle w:val="000000000000" w:firstRow="0" w:lastRow="0" w:firstColumn="0" w:lastColumn="0" w:oddVBand="0" w:evenVBand="0" w:oddHBand="0" w:evenHBand="0" w:firstRowFirstColumn="0" w:firstRowLastColumn="0" w:lastRowFirstColumn="0" w:lastRowLastColumn="0"/>
            </w:pPr>
            <w:r>
              <w:t>Food and Drug Administration (United States)</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Pr="00503F21" w:rsidRDefault="00621EA0" w:rsidP="000A63AF">
            <w:pPr>
              <w:rPr>
                <w:vertAlign w:val="subscript"/>
              </w:rPr>
            </w:pPr>
            <w:r>
              <w:t>FEV</w:t>
            </w:r>
            <w:r>
              <w:rPr>
                <w:vertAlign w:val="subscript"/>
              </w:rPr>
              <w:t>1</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1 second</w:t>
            </w:r>
            <w:r w:rsidR="00E53935">
              <w:t xml:space="preserve"> </w:t>
            </w:r>
            <w:r>
              <w:t>Forced Expiratory Volume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FVC</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Forced Vital Capacity</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GAP</w:t>
            </w:r>
          </w:p>
        </w:tc>
        <w:tc>
          <w:tcPr>
            <w:tcW w:w="6911" w:type="dxa"/>
          </w:tcPr>
          <w:p w:rsidR="00621EA0" w:rsidRPr="00621EA0" w:rsidRDefault="00621EA0" w:rsidP="00396C92">
            <w:pPr>
              <w:cnfStyle w:val="000000000000" w:firstRow="0" w:lastRow="0" w:firstColumn="0" w:lastColumn="0" w:oddVBand="0" w:evenVBand="0" w:oddHBand="0" w:evenHBand="0" w:firstRowFirstColumn="0" w:firstRowLastColumn="0" w:lastRowFirstColumn="0" w:lastRowLastColumn="0"/>
            </w:pPr>
            <w:r>
              <w:t>Gender/Age/2 lung Physiological variables (FVC and D</w:t>
            </w:r>
            <w:r w:rsidRPr="00621EA0">
              <w:rPr>
                <w:vertAlign w:val="subscript"/>
              </w:rPr>
              <w:t>LCO</w:t>
            </w:r>
            <w:r>
              <w:t>)</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GCP</w:t>
            </w:r>
          </w:p>
        </w:tc>
        <w:tc>
          <w:tcPr>
            <w:tcW w:w="6911" w:type="dxa"/>
          </w:tcPr>
          <w:p w:rsidR="00621EA0" w:rsidRPr="00304D17" w:rsidRDefault="00621EA0" w:rsidP="00396C92">
            <w:pPr>
              <w:cnfStyle w:val="000000000000" w:firstRow="0" w:lastRow="0" w:firstColumn="0" w:lastColumn="0" w:oddVBand="0" w:evenVBand="0" w:oddHBand="0" w:evenHBand="0" w:firstRowFirstColumn="0" w:firstRowLastColumn="0" w:lastRowFirstColumn="0" w:lastRowLastColumn="0"/>
            </w:pPr>
            <w:r>
              <w:t>Good Clinical (Research) Practice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621EA0">
            <w:r>
              <w:t>GORD</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Gastro</w:t>
            </w:r>
            <w:r w:rsidR="00E53935">
              <w:t xml:space="preserve"> </w:t>
            </w:r>
            <w:r>
              <w:t>Oesophageal Reflux Disease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lastRenderedPageBreak/>
              <w:t>IPF</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Idiopathic Pulmonary Fibrosis</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ISS</w:t>
            </w:r>
          </w:p>
        </w:tc>
        <w:tc>
          <w:tcPr>
            <w:tcW w:w="6911" w:type="dxa"/>
          </w:tcPr>
          <w:p w:rsidR="00621EA0" w:rsidRDefault="00621EA0" w:rsidP="00A5386A">
            <w:pPr>
              <w:cnfStyle w:val="000000000000" w:firstRow="0" w:lastRow="0" w:firstColumn="0" w:lastColumn="0" w:oddVBand="0" w:evenVBand="0" w:oddHBand="0" w:evenHBand="0" w:firstRowFirstColumn="0" w:firstRowLastColumn="0" w:lastRowFirstColumn="0" w:lastRowLastColumn="0"/>
            </w:pPr>
            <w:r>
              <w:t>Integrated Summary of Safety</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ITT</w:t>
            </w:r>
          </w:p>
        </w:tc>
        <w:tc>
          <w:tcPr>
            <w:tcW w:w="6911" w:type="dxa"/>
          </w:tcPr>
          <w:p w:rsidR="00621EA0" w:rsidRPr="007C37EF" w:rsidRDefault="00621EA0" w:rsidP="00396C92">
            <w:pPr>
              <w:cnfStyle w:val="000000000000" w:firstRow="0" w:lastRow="0" w:firstColumn="0" w:lastColumn="0" w:oddVBand="0" w:evenVBand="0" w:oddHBand="0" w:evenHBand="0" w:firstRowFirstColumn="0" w:firstRowLastColumn="0" w:lastRowFirstColumn="0" w:lastRowLastColumn="0"/>
            </w:pPr>
            <w:r>
              <w:t>Intention To Treat (analysis)</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IVRS</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Interactive Voice Response Software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LFT</w:t>
            </w:r>
          </w:p>
        </w:tc>
        <w:tc>
          <w:tcPr>
            <w:tcW w:w="6911" w:type="dxa"/>
          </w:tcPr>
          <w:p w:rsidR="00621EA0" w:rsidRPr="007C37EF" w:rsidRDefault="00621EA0" w:rsidP="00396C92">
            <w:pPr>
              <w:cnfStyle w:val="000000000000" w:firstRow="0" w:lastRow="0" w:firstColumn="0" w:lastColumn="0" w:oddVBand="0" w:evenVBand="0" w:oddHBand="0" w:evenHBand="0" w:firstRowFirstColumn="0" w:firstRowLastColumn="0" w:lastRowFirstColumn="0" w:lastRowLastColumn="0"/>
            </w:pPr>
            <w:r>
              <w:t>Liver Function Tests</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MAC</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Mortality Assessment Committee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MAH</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Marketing Authorisation Holder</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MedDRA</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Medical Dictionary for Regulatory Activities</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mITT</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Modified Intention to Treat Test</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NAC</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N-acetyl-cysteine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PD</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Pharmacodynamic</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PEY</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Person Exposure Years</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PFTs</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Pulmonary Function Tests</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PK</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Pharmacokinetic</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POP-PK</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Population Pharmacokinetics</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PSUR</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Post-market Safety Update Report</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QTcB</w:t>
            </w:r>
          </w:p>
        </w:tc>
        <w:tc>
          <w:tcPr>
            <w:tcW w:w="6911" w:type="dxa"/>
          </w:tcPr>
          <w:p w:rsidR="00621EA0" w:rsidRPr="00621EA0" w:rsidRDefault="00621EA0" w:rsidP="00396C92">
            <w:pPr>
              <w:cnfStyle w:val="000000000000" w:firstRow="0" w:lastRow="0" w:firstColumn="0" w:lastColumn="0" w:oddVBand="0" w:evenVBand="0" w:oddHBand="0" w:evenHBand="0" w:firstRowFirstColumn="0" w:firstRowLastColumn="0" w:lastRowFirstColumn="0" w:lastRowLastColumn="0"/>
              <w:rPr>
                <w:b/>
              </w:rPr>
            </w:pPr>
            <w:r>
              <w:t>Corrected QT</w:t>
            </w:r>
            <w:r w:rsidR="00E53935">
              <w:t xml:space="preserve"> </w:t>
            </w:r>
            <w:r>
              <w:t>interval using Bazett’s formula</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QTcF</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Corrected QT</w:t>
            </w:r>
            <w:r w:rsidR="00E53935">
              <w:t xml:space="preserve"> </w:t>
            </w:r>
            <w:r>
              <w:t>interval using Fridercia’s method</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QTcI</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Corrected QT</w:t>
            </w:r>
            <w:r w:rsidR="00E53935">
              <w:t xml:space="preserve"> </w:t>
            </w:r>
            <w:r>
              <w:t>Interval, individualisation optimisation of QT correction for HR</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RISE</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Resubmission Integrated Summary of Efficacy</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RSU</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Resubmission Safety Update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RSU</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Resubmission Safety Update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SADR</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Serious Adverse Drug Event</w:t>
            </w:r>
          </w:p>
        </w:tc>
      </w:tr>
      <w:tr w:rsidR="00621EA0" w:rsidTr="00DE7380">
        <w:trPr>
          <w:trHeight w:val="255"/>
        </w:trPr>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SAS</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Special Access Scheme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SMQ</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 xml:space="preserve">Standardised MedDRA (Medical Dictionary for Regulatory </w:t>
            </w:r>
            <w:r>
              <w:lastRenderedPageBreak/>
              <w:t>Activities) Query</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lastRenderedPageBreak/>
              <w:t>SOC</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System Organ Class</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SPC</w:t>
            </w:r>
          </w:p>
        </w:tc>
        <w:tc>
          <w:tcPr>
            <w:tcW w:w="6911" w:type="dxa"/>
          </w:tcPr>
          <w:p w:rsidR="00621EA0" w:rsidRPr="007C37EF" w:rsidRDefault="00621EA0" w:rsidP="00396C92">
            <w:pPr>
              <w:cnfStyle w:val="000000000000" w:firstRow="0" w:lastRow="0" w:firstColumn="0" w:lastColumn="0" w:oddVBand="0" w:evenVBand="0" w:oddHBand="0" w:evenHBand="0" w:firstRowFirstColumn="0" w:firstRowLastColumn="0" w:lastRowFirstColumn="0" w:lastRowLastColumn="0"/>
            </w:pPr>
            <w:r>
              <w:t>Summary of Product Characteristics</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SpO</w:t>
            </w:r>
            <w:r w:rsidRPr="009D5FB8">
              <w:rPr>
                <w:vertAlign w:val="subscript"/>
              </w:rPr>
              <w:t>2</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Mixed arteriovenous blood oxygen saturation</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E53935" w:rsidP="000A63AF">
            <w:r>
              <w:t>t</w:t>
            </w:r>
            <w:r w:rsidR="00621EA0">
              <w:t>½</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Half-life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TDD</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Total Daily dose</w:t>
            </w:r>
          </w:p>
        </w:tc>
      </w:tr>
      <w:tr w:rsidR="00621EA0" w:rsidTr="00B83660">
        <w:trPr>
          <w:trHeight w:val="467"/>
        </w:trPr>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TDS</w:t>
            </w:r>
          </w:p>
        </w:tc>
        <w:tc>
          <w:tcPr>
            <w:tcW w:w="6911" w:type="dxa"/>
          </w:tcPr>
          <w:p w:rsidR="00621EA0" w:rsidRPr="000A32D7" w:rsidRDefault="00621EA0" w:rsidP="006A4419">
            <w:pPr>
              <w:cnfStyle w:val="000000000000" w:firstRow="0" w:lastRow="0" w:firstColumn="0" w:lastColumn="0" w:oddVBand="0" w:evenVBand="0" w:oddHBand="0" w:evenHBand="0" w:firstRowFirstColumn="0" w:firstRowLastColumn="0" w:lastRowFirstColumn="0" w:lastRowLastColumn="0"/>
            </w:pPr>
            <w:r>
              <w:t>Three times daily (</w:t>
            </w:r>
            <w:r w:rsidRPr="006A4419">
              <w:rPr>
                <w:i/>
              </w:rPr>
              <w:t>latin:</w:t>
            </w:r>
            <w:r>
              <w:t xml:space="preserve"> </w:t>
            </w:r>
            <w:r w:rsidRPr="000A32D7">
              <w:rPr>
                <w:i/>
              </w:rPr>
              <w:t>ter die sumendus</w:t>
            </w:r>
            <w:r>
              <w:t>)</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TEAE</w:t>
            </w:r>
          </w:p>
        </w:tc>
        <w:tc>
          <w:tcPr>
            <w:tcW w:w="6911" w:type="dxa"/>
          </w:tcPr>
          <w:p w:rsidR="00621EA0" w:rsidRPr="007C37EF" w:rsidRDefault="00621EA0" w:rsidP="00396C92">
            <w:pPr>
              <w:cnfStyle w:val="000000000000" w:firstRow="0" w:lastRow="0" w:firstColumn="0" w:lastColumn="0" w:oddVBand="0" w:evenVBand="0" w:oddHBand="0" w:evenHBand="0" w:firstRowFirstColumn="0" w:firstRowLastColumn="0" w:lastRowFirstColumn="0" w:lastRowLastColumn="0"/>
            </w:pPr>
            <w:r>
              <w:t>Treatment Emergent Adverse Event</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T</w:t>
            </w:r>
            <w:r w:rsidRPr="009D5FB8">
              <w:rPr>
                <w:vertAlign w:val="subscript"/>
              </w:rPr>
              <w:t>LCO</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Transfer factor for Carbon M</w:t>
            </w:r>
            <w:r w:rsidRPr="009D5FB8">
              <w:t>onoxide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T</w:t>
            </w:r>
            <w:r w:rsidRPr="007C37EF">
              <w:rPr>
                <w:vertAlign w:val="subscript"/>
              </w:rPr>
              <w:t>max</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Time to peak plasma concentration</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UCSD SOBQ</w:t>
            </w:r>
          </w:p>
        </w:tc>
        <w:tc>
          <w:tcPr>
            <w:tcW w:w="6911" w:type="dxa"/>
          </w:tcPr>
          <w:p w:rsidR="00621EA0" w:rsidRPr="007C37EF" w:rsidRDefault="00621EA0" w:rsidP="00396C92">
            <w:pPr>
              <w:cnfStyle w:val="000000000000" w:firstRow="0" w:lastRow="0" w:firstColumn="0" w:lastColumn="0" w:oddVBand="0" w:evenVBand="0" w:oddHBand="0" w:evenHBand="0" w:firstRowFirstColumn="0" w:firstRowLastColumn="0" w:lastRowFirstColumn="0" w:lastRowLastColumn="0"/>
            </w:pPr>
            <w:r>
              <w:t>University of California Shortness Of Breath Questionnaire</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UIP</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Usual Interstitial Pneumonia</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ULN</w:t>
            </w:r>
          </w:p>
        </w:tc>
        <w:tc>
          <w:tcPr>
            <w:tcW w:w="6911" w:type="dxa"/>
          </w:tcPr>
          <w:p w:rsidR="00621EA0" w:rsidRDefault="00621EA0" w:rsidP="00396C92">
            <w:pPr>
              <w:cnfStyle w:val="000000000000" w:firstRow="0" w:lastRow="0" w:firstColumn="0" w:lastColumn="0" w:oddVBand="0" w:evenVBand="0" w:oddHBand="0" w:evenHBand="0" w:firstRowFirstColumn="0" w:firstRowLastColumn="0" w:lastRowFirstColumn="0" w:lastRowLastColumn="0"/>
            </w:pPr>
            <w:r>
              <w:t>Upper Limit of Normal</w:t>
            </w:r>
          </w:p>
        </w:tc>
      </w:tr>
      <w:tr w:rsidR="00621EA0" w:rsidTr="00B83660">
        <w:tc>
          <w:tcPr>
            <w:cnfStyle w:val="001000000000" w:firstRow="0" w:lastRow="0" w:firstColumn="1" w:lastColumn="0" w:oddVBand="0" w:evenVBand="0" w:oddHBand="0" w:evenHBand="0" w:firstRowFirstColumn="0" w:firstRowLastColumn="0" w:lastRowFirstColumn="0" w:lastRowLastColumn="0"/>
            <w:tcW w:w="2186" w:type="dxa"/>
          </w:tcPr>
          <w:p w:rsidR="00621EA0" w:rsidRDefault="00621EA0" w:rsidP="000A63AF">
            <w:r>
              <w:t>WHOCC</w:t>
            </w:r>
          </w:p>
        </w:tc>
        <w:tc>
          <w:tcPr>
            <w:tcW w:w="6911" w:type="dxa"/>
          </w:tcPr>
          <w:p w:rsidR="00621EA0" w:rsidRPr="00304D17" w:rsidRDefault="00621EA0" w:rsidP="00396C92">
            <w:pPr>
              <w:cnfStyle w:val="000000000000" w:firstRow="0" w:lastRow="0" w:firstColumn="0" w:lastColumn="0" w:oddVBand="0" w:evenVBand="0" w:oddHBand="0" w:evenHBand="0" w:firstRowFirstColumn="0" w:firstRowLastColumn="0" w:lastRowFirstColumn="0" w:lastRowLastColumn="0"/>
            </w:pPr>
            <w:r>
              <w:t>World Health Organisation Collaborating Centres</w:t>
            </w:r>
          </w:p>
        </w:tc>
      </w:tr>
    </w:tbl>
    <w:p w:rsidR="0094614A" w:rsidRDefault="0094614A" w:rsidP="0043797D">
      <w:pPr>
        <w:pStyle w:val="Heading2"/>
        <w:pageBreakBefore/>
        <w:rPr>
          <w:lang w:eastAsia="en-AU"/>
        </w:rPr>
      </w:pPr>
      <w:bookmarkStart w:id="8" w:name="_Toc459986966"/>
      <w:bookmarkStart w:id="9" w:name="_Toc351718900"/>
      <w:bookmarkStart w:id="10" w:name="_Toc355338635"/>
      <w:r>
        <w:rPr>
          <w:lang w:eastAsia="en-AU"/>
        </w:rPr>
        <w:lastRenderedPageBreak/>
        <w:t>Introduction</w:t>
      </w:r>
      <w:bookmarkEnd w:id="8"/>
    </w:p>
    <w:p w:rsidR="006B33B2" w:rsidRDefault="006B33B2" w:rsidP="006B33B2">
      <w:r w:rsidRPr="006B33B2">
        <w:t>This is a Category 1 submission to register the new chemical entity pirfenidone 267 mg hard capsules (Esbriet).</w:t>
      </w:r>
    </w:p>
    <w:p w:rsidR="006B33B2" w:rsidRDefault="006B33B2" w:rsidP="006B33B2">
      <w:r>
        <w:t xml:space="preserve">Pirfenidone (5-methyl-1-phenyl-2-(1H)-pyridone) is </w:t>
      </w:r>
      <w:r w:rsidR="0013255B">
        <w:t xml:space="preserve">the </w:t>
      </w:r>
      <w:r>
        <w:t>first in its pharmacological class</w:t>
      </w:r>
      <w:r w:rsidR="00304D17">
        <w:t xml:space="preserve"> a</w:t>
      </w:r>
      <w:r w:rsidR="000878A7">
        <w:t xml:space="preserve">nd is an immunosuppressant </w:t>
      </w:r>
      <w:r>
        <w:t>placed in the WHOCC</w:t>
      </w:r>
      <w:r w:rsidR="00304D17">
        <w:t xml:space="preserve"> </w:t>
      </w:r>
      <w:r>
        <w:t>ATC</w:t>
      </w:r>
      <w:r w:rsidR="00B36239">
        <w:t xml:space="preserve"> </w:t>
      </w:r>
      <w:r>
        <w:t>drug class</w:t>
      </w:r>
      <w:r w:rsidR="00304D17">
        <w:t xml:space="preserve"> of</w:t>
      </w:r>
      <w:r>
        <w:t xml:space="preserve"> </w:t>
      </w:r>
      <w:r w:rsidR="00B83660">
        <w:t>‘L04AX/</w:t>
      </w:r>
      <w:r w:rsidR="00304D17">
        <w:t>other immunosuppressants</w:t>
      </w:r>
      <w:r w:rsidR="00B83660">
        <w:t>’</w:t>
      </w:r>
      <w:r>
        <w:t xml:space="preserve"> and has the ATC code L04AX05.</w:t>
      </w:r>
    </w:p>
    <w:p w:rsidR="006B33B2" w:rsidRDefault="00304D17" w:rsidP="006B33B2">
      <w:r>
        <w:t>In this submission the sponsor proposed the following</w:t>
      </w:r>
      <w:r w:rsidR="00C945E7">
        <w:t xml:space="preserve"> indication</w:t>
      </w:r>
      <w:r w:rsidR="006B33B2">
        <w:t>:</w:t>
      </w:r>
    </w:p>
    <w:p w:rsidR="006B33B2" w:rsidRDefault="006B33B2" w:rsidP="006B33B2">
      <w:pPr>
        <w:ind w:firstLine="567"/>
        <w:rPr>
          <w:i/>
        </w:rPr>
      </w:pPr>
      <w:r w:rsidRPr="006B33B2">
        <w:rPr>
          <w:i/>
        </w:rPr>
        <w:t>‘Esbriet is indicated for the treatment of idiopathic pulmonary fibrosis (IPF).’</w:t>
      </w:r>
    </w:p>
    <w:p w:rsidR="00586F98" w:rsidRDefault="00586F98" w:rsidP="00A0427C">
      <w:pPr>
        <w:pStyle w:val="Heading2"/>
      </w:pPr>
      <w:bookmarkStart w:id="11" w:name="_Toc459986967"/>
      <w:r w:rsidRPr="0094614A">
        <w:t>Clinical rationale</w:t>
      </w:r>
      <w:bookmarkEnd w:id="11"/>
    </w:p>
    <w:p w:rsidR="00DA3942" w:rsidRPr="000E7CA2" w:rsidRDefault="00DA3942" w:rsidP="00A0427C">
      <w:pPr>
        <w:pStyle w:val="Heading3"/>
      </w:pPr>
      <w:bookmarkStart w:id="12" w:name="_Toc459986968"/>
      <w:r w:rsidRPr="000E7CA2">
        <w:t>Background</w:t>
      </w:r>
      <w:bookmarkEnd w:id="12"/>
    </w:p>
    <w:p w:rsidR="00DA3942" w:rsidRPr="000E7CA2" w:rsidRDefault="00DA3942" w:rsidP="000E7CA2">
      <w:r w:rsidRPr="000E7CA2">
        <w:t>Pirfenidone is an immunosuppressant; the mechanism of action has not been fully established.</w:t>
      </w:r>
    </w:p>
    <w:p w:rsidR="00DA3942" w:rsidRPr="000E7CA2" w:rsidRDefault="00DA3942">
      <w:r>
        <w:t>The</w:t>
      </w:r>
      <w:r w:rsidRPr="000E7CA2">
        <w:t xml:space="preserve"> Clinical Overview states that pirfenidone is an orally active small molecule (molecular weight 185.2 daltons) described as an antifibrotic agent with an</w:t>
      </w:r>
      <w:r>
        <w:t>ti-inflammatory properties. Non</w:t>
      </w:r>
      <w:r w:rsidRPr="000E7CA2">
        <w:t>clinical studies are quoted as demonstrating these characteristics, in particular in bleomycin-induc</w:t>
      </w:r>
      <w:r>
        <w:t>ed pulmonary fibrosis models.</w:t>
      </w:r>
    </w:p>
    <w:p w:rsidR="00DA3942" w:rsidRPr="000E7CA2" w:rsidRDefault="00DA3942">
      <w:r w:rsidRPr="000E7CA2">
        <w:t>Idiopathic pulmonary fibrosis (IPF) is a distinct form of chronic fibrosing interstitial pneumonia that is irreversible, causing respiratory insufficiency. The clinical course is characterised by debilitating loss of lung function, with an estimated median survival after diagnosis of only 2.5 to 5 years. One view of pathogenesis postulates fibroblastic foci and excess collagen following release of pro-fibrotic mediators, due to micro-i</w:t>
      </w:r>
      <w:r>
        <w:t>njuries to alveolar epithelium.</w:t>
      </w:r>
    </w:p>
    <w:p w:rsidR="00DA3942" w:rsidRPr="000E7CA2" w:rsidRDefault="00DA3942" w:rsidP="00A0427C">
      <w:pPr>
        <w:pStyle w:val="Heading3"/>
      </w:pPr>
      <w:bookmarkStart w:id="13" w:name="_Toc459986969"/>
      <w:r w:rsidRPr="000E7CA2">
        <w:t>Therapeutic context</w:t>
      </w:r>
      <w:bookmarkEnd w:id="13"/>
    </w:p>
    <w:p w:rsidR="00DA3942" w:rsidRPr="000E7CA2" w:rsidRDefault="00DA3942" w:rsidP="000E7CA2">
      <w:r w:rsidRPr="000E7CA2">
        <w:t>In 2011 the American Thoracic Society and other international respiratory organisations published Evidence-based Guidelines for Diagnosis and Management for IPF</w:t>
      </w:r>
      <w:r>
        <w:t>.</w:t>
      </w:r>
      <w:r>
        <w:rPr>
          <w:rStyle w:val="FootnoteReference"/>
        </w:rPr>
        <w:footnoteReference w:id="1"/>
      </w:r>
    </w:p>
    <w:p w:rsidR="00DA3942" w:rsidRPr="000E7CA2" w:rsidRDefault="00DA3942">
      <w:r w:rsidRPr="000E7CA2">
        <w:t>Early medical treatments for IPF were largely ineffective. Corticosteroids with or without adjunct immunosuppressive regimen is nonspecific and associated with significant adverse effects. A trial was stopped due to safety concerns in 2011 for N acetyl cysteine with azothioprine. N-acetyl-cysteine is available for some IPF patient</w:t>
      </w:r>
      <w:r>
        <w:t>s in Australia through the SAS.</w:t>
      </w:r>
    </w:p>
    <w:p w:rsidR="00DA3942" w:rsidRPr="000E7CA2" w:rsidRDefault="00DA3942">
      <w:r w:rsidRPr="000E7CA2">
        <w:t>IPF accounts for approximately 23% of lung transplantations performed worldwide; this is usually for</w:t>
      </w:r>
      <w:r>
        <w:t xml:space="preserve"> selected younger patients.</w:t>
      </w:r>
    </w:p>
    <w:p w:rsidR="00DA3942" w:rsidRPr="000E7CA2" w:rsidRDefault="00DA3942">
      <w:r w:rsidRPr="000E7CA2">
        <w:t>Nintedanib is approved for treatment of IPF by the USFDA, and re</w:t>
      </w:r>
      <w:r>
        <w:t>cently was approved by the TGA.</w:t>
      </w:r>
    </w:p>
    <w:p w:rsidR="00DA3942" w:rsidRPr="000E7CA2" w:rsidRDefault="00DA3942" w:rsidP="000E7CA2">
      <w:r w:rsidRPr="000E7CA2">
        <w:t>Pirfenidone has been proposed for tre</w:t>
      </w:r>
      <w:r w:rsidR="00C945E7" w:rsidRPr="000E7CA2">
        <w:t>atment of IPF for many years</w:t>
      </w:r>
      <w:r w:rsidRPr="000E7CA2">
        <w:t>.</w:t>
      </w:r>
      <w:r>
        <w:rPr>
          <w:rStyle w:val="FootnoteReference"/>
        </w:rPr>
        <w:footnoteReference w:id="2"/>
      </w:r>
      <w:r w:rsidRPr="000E7CA2">
        <w:t xml:space="preserve"> Pirfenidone is approved for treatment of IPF in other countries including the EU, USA and Canada. It is ava</w:t>
      </w:r>
      <w:r w:rsidR="00C945E7" w:rsidRPr="000E7CA2">
        <w:t>ilable through SAS in Australia</w:t>
      </w:r>
      <w:r w:rsidRPr="000E7CA2">
        <w:t>. The clinical development program for the product proposed for registration, ‘Esbriet’, included 1</w:t>
      </w:r>
      <w:r w:rsidR="00C945E7">
        <w:t>,</w:t>
      </w:r>
      <w:r w:rsidRPr="000E7CA2">
        <w:t xml:space="preserve">336 healthy subjects and patients with IPF or pulmonary fibrosis, including </w:t>
      </w:r>
      <w:r w:rsidRPr="000E7CA2">
        <w:lastRenderedPageBreak/>
        <w:t>1</w:t>
      </w:r>
      <w:r w:rsidR="00C945E7">
        <w:t>,</w:t>
      </w:r>
      <w:r w:rsidRPr="000E7CA2">
        <w:t>098 patients assigned to receive pirfenidone doses 2</w:t>
      </w:r>
      <w:r w:rsidR="00C945E7">
        <w:t>,</w:t>
      </w:r>
      <w:r w:rsidRPr="000E7CA2">
        <w:t>403 mg/day or higher. Post-marketing experience is based on cumulative exposure of over 15,000 patient-years.</w:t>
      </w:r>
    </w:p>
    <w:p w:rsidR="00586F98" w:rsidRDefault="00586F98" w:rsidP="00586F98">
      <w:pPr>
        <w:pStyle w:val="Heading2"/>
        <w:rPr>
          <w:lang w:eastAsia="en-AU"/>
        </w:rPr>
      </w:pPr>
      <w:bookmarkStart w:id="14" w:name="_Toc459986970"/>
      <w:r>
        <w:rPr>
          <w:lang w:eastAsia="en-AU"/>
        </w:rPr>
        <w:t>Contents of the clinical dossier</w:t>
      </w:r>
      <w:bookmarkEnd w:id="9"/>
      <w:bookmarkEnd w:id="10"/>
      <w:bookmarkEnd w:id="14"/>
    </w:p>
    <w:p w:rsidR="00586F98" w:rsidRDefault="00586F98" w:rsidP="00586F98">
      <w:pPr>
        <w:pStyle w:val="Heading3"/>
      </w:pPr>
      <w:bookmarkStart w:id="15" w:name="_Toc459986971"/>
      <w:r>
        <w:t>Scope of the clinical dossier</w:t>
      </w:r>
      <w:bookmarkEnd w:id="15"/>
    </w:p>
    <w:p w:rsidR="00D11AB8" w:rsidRDefault="00D11AB8" w:rsidP="00D11AB8">
      <w:r>
        <w:t>The submission included the following clinical information:</w:t>
      </w:r>
    </w:p>
    <w:p w:rsidR="00D11AB8" w:rsidRDefault="00D11AB8" w:rsidP="00D11AB8">
      <w:pPr>
        <w:pStyle w:val="ListBullet"/>
      </w:pPr>
      <w:r>
        <w:t>6 clinical pharmacology studies, including 5 that provided pharmacokinetic data and a pharmacodynamics study on ECG effects:</w:t>
      </w:r>
    </w:p>
    <w:p w:rsidR="00D11AB8" w:rsidRDefault="00D11AB8" w:rsidP="00D11AB8">
      <w:pPr>
        <w:pStyle w:val="ListBullet2"/>
      </w:pPr>
      <w:r>
        <w:t>1 population pharmacokinetic analysis</w:t>
      </w:r>
    </w:p>
    <w:p w:rsidR="00D11AB8" w:rsidRDefault="00D11AB8" w:rsidP="00D11AB8">
      <w:pPr>
        <w:pStyle w:val="ListBullet2"/>
      </w:pPr>
      <w:r>
        <w:t>3 pivotal efficacy/safety studies:</w:t>
      </w:r>
    </w:p>
    <w:p w:rsidR="00D11AB8" w:rsidRDefault="00D11AB8" w:rsidP="00D11AB8">
      <w:pPr>
        <w:pStyle w:val="ListBullet3"/>
      </w:pPr>
      <w:r>
        <w:t>PIPF</w:t>
      </w:r>
      <w:r>
        <w:noBreakHyphen/>
        <w:t>004</w:t>
      </w:r>
    </w:p>
    <w:p w:rsidR="00D11AB8" w:rsidRDefault="00D11AB8" w:rsidP="00D11AB8">
      <w:pPr>
        <w:pStyle w:val="ListBullet3"/>
      </w:pPr>
      <w:r>
        <w:t>PIPF</w:t>
      </w:r>
      <w:r>
        <w:noBreakHyphen/>
        <w:t>006</w:t>
      </w:r>
    </w:p>
    <w:p w:rsidR="00D11AB8" w:rsidRDefault="00D11AB8" w:rsidP="00D11AB8">
      <w:pPr>
        <w:pStyle w:val="ListBullet3"/>
      </w:pPr>
      <w:r>
        <w:t>PIPF</w:t>
      </w:r>
      <w:r>
        <w:noBreakHyphen/>
        <w:t>016</w:t>
      </w:r>
    </w:p>
    <w:p w:rsidR="00D11AB8" w:rsidRDefault="00D11AB8" w:rsidP="00D11AB8">
      <w:pPr>
        <w:pStyle w:val="ListBullet2"/>
      </w:pPr>
      <w:r>
        <w:t>2 ongoing long-term safety studies</w:t>
      </w:r>
    </w:p>
    <w:p w:rsidR="00D11AB8" w:rsidRDefault="00D11AB8" w:rsidP="00D11AB8">
      <w:pPr>
        <w:pStyle w:val="ListBullet"/>
      </w:pPr>
      <w:r>
        <w:t xml:space="preserve">Pooled analyses, </w:t>
      </w:r>
      <w:r w:rsidR="00D319FB">
        <w:t>Post-Marketing Safety Update Reports (</w:t>
      </w:r>
      <w:r>
        <w:t>PSUR</w:t>
      </w:r>
      <w:r w:rsidR="00D319FB">
        <w:t>)</w:t>
      </w:r>
      <w:r>
        <w:t>, Integrated Summary of Efficacy, and Integrated Summary of Safety.</w:t>
      </w:r>
    </w:p>
    <w:p w:rsidR="00D11AB8" w:rsidRDefault="00D11AB8" w:rsidP="00D11AB8">
      <w:pPr>
        <w:rPr>
          <w:lang w:eastAsia="ja-JP"/>
        </w:rPr>
      </w:pPr>
      <w:r>
        <w:rPr>
          <w:lang w:eastAsia="ja-JP"/>
        </w:rPr>
        <w:t>In addition the following were also provided:</w:t>
      </w:r>
    </w:p>
    <w:p w:rsidR="00D11AB8" w:rsidRDefault="00D11AB8" w:rsidP="00D11AB8">
      <w:pPr>
        <w:pStyle w:val="ListBullet"/>
      </w:pPr>
      <w:r>
        <w:t>Clinical Overview, Summary of Clinical Efficacy, Summary of Clinical Safety and literature references.</w:t>
      </w:r>
    </w:p>
    <w:p w:rsidR="00D11AB8" w:rsidRDefault="00D11AB8" w:rsidP="00D11AB8">
      <w:pPr>
        <w:pStyle w:val="ListBullet"/>
        <w:rPr>
          <w:lang w:eastAsia="ja-JP"/>
        </w:rPr>
      </w:pPr>
      <w:r>
        <w:t xml:space="preserve">European Medicines Agency (EMA) and Canadian regulatory reports were provided by the </w:t>
      </w:r>
      <w:r w:rsidR="007B6CE8">
        <w:t>s</w:t>
      </w:r>
      <w:r>
        <w:t>ponsor.</w:t>
      </w:r>
    </w:p>
    <w:p w:rsidR="00D360DF" w:rsidRPr="00445E08" w:rsidRDefault="007B6CE8" w:rsidP="00D360DF">
      <w:pPr>
        <w:pStyle w:val="Comment"/>
        <w:rPr>
          <w:lang w:eastAsia="ja-JP"/>
        </w:rPr>
      </w:pPr>
      <w:r>
        <w:rPr>
          <w:b/>
          <w:lang w:eastAsia="ja-JP"/>
        </w:rPr>
        <w:t>C</w:t>
      </w:r>
      <w:r w:rsidR="00D360DF" w:rsidRPr="00D360DF">
        <w:rPr>
          <w:b/>
          <w:lang w:eastAsia="ja-JP"/>
        </w:rPr>
        <w:t>omments</w:t>
      </w:r>
      <w:r w:rsidR="00D360DF">
        <w:rPr>
          <w:lang w:eastAsia="ja-JP"/>
        </w:rPr>
        <w:t xml:space="preserve">: Overall the development program was comprehensively documented and the </w:t>
      </w:r>
      <w:r w:rsidR="00FA271A">
        <w:rPr>
          <w:lang w:eastAsia="ja-JP"/>
        </w:rPr>
        <w:t xml:space="preserve">  </w:t>
      </w:r>
      <w:r w:rsidR="00D360DF" w:rsidRPr="00445E08">
        <w:rPr>
          <w:lang w:eastAsia="ja-JP"/>
        </w:rPr>
        <w:t>dossier well presented</w:t>
      </w:r>
      <w:r w:rsidRPr="00445E08">
        <w:rPr>
          <w:lang w:eastAsia="ja-JP"/>
        </w:rPr>
        <w:t>.</w:t>
      </w:r>
    </w:p>
    <w:p w:rsidR="00D360DF" w:rsidRPr="0094614A" w:rsidRDefault="00D360DF" w:rsidP="00D360DF">
      <w:pPr>
        <w:pStyle w:val="Comment"/>
        <w:ind w:firstLine="0"/>
        <w:rPr>
          <w:lang w:eastAsia="ja-JP"/>
        </w:rPr>
      </w:pPr>
      <w:r>
        <w:rPr>
          <w:lang w:eastAsia="ja-JP"/>
        </w:rPr>
        <w:t xml:space="preserve">This clinical evaluation report (CER) is based on the submitted </w:t>
      </w:r>
      <w:r w:rsidR="007B6CE8">
        <w:rPr>
          <w:lang w:eastAsia="ja-JP"/>
        </w:rPr>
        <w:t>d</w:t>
      </w:r>
      <w:r>
        <w:rPr>
          <w:lang w:eastAsia="ja-JP"/>
        </w:rPr>
        <w:t>ossier. Other agency reports were viewed for additional information.</w:t>
      </w:r>
    </w:p>
    <w:p w:rsidR="00586F98" w:rsidRDefault="00586F98" w:rsidP="00586F98">
      <w:pPr>
        <w:pStyle w:val="Heading3"/>
      </w:pPr>
      <w:bookmarkStart w:id="16" w:name="_Toc459986972"/>
      <w:r>
        <w:t>Paediatric data</w:t>
      </w:r>
      <w:bookmarkEnd w:id="16"/>
    </w:p>
    <w:p w:rsidR="00586F98" w:rsidRPr="0094614A" w:rsidRDefault="00D11AB8" w:rsidP="00586F98">
      <w:pPr>
        <w:rPr>
          <w:lang w:eastAsia="ja-JP"/>
        </w:rPr>
      </w:pPr>
      <w:r>
        <w:t>The submission did not include paediatric data. IPF occurs only in the adult population.</w:t>
      </w:r>
    </w:p>
    <w:p w:rsidR="00D11AB8" w:rsidRDefault="00586F98" w:rsidP="00A0427C">
      <w:pPr>
        <w:pStyle w:val="Heading3"/>
      </w:pPr>
      <w:bookmarkStart w:id="17" w:name="_Toc459986973"/>
      <w:r>
        <w:t>Good clinical practice</w:t>
      </w:r>
      <w:bookmarkEnd w:id="17"/>
    </w:p>
    <w:p w:rsidR="007B6CE8" w:rsidRDefault="007B6CE8" w:rsidP="00D11AB8">
      <w:pPr>
        <w:rPr>
          <w:lang w:eastAsia="ja-JP"/>
        </w:rPr>
      </w:pPr>
      <w:r w:rsidRPr="007B6CE8">
        <w:rPr>
          <w:lang w:eastAsia="ja-JP"/>
        </w:rPr>
        <w:t xml:space="preserve">The </w:t>
      </w:r>
      <w:r>
        <w:rPr>
          <w:lang w:eastAsia="ja-JP"/>
        </w:rPr>
        <w:t>clinical study reports provided in</w:t>
      </w:r>
      <w:r w:rsidRPr="007B6CE8">
        <w:rPr>
          <w:lang w:eastAsia="ja-JP"/>
        </w:rPr>
        <w:t xml:space="preserve"> addressed GCP appropriately for each study</w:t>
      </w:r>
      <w:r>
        <w:rPr>
          <w:lang w:eastAsia="ja-JP"/>
        </w:rPr>
        <w:t>.</w:t>
      </w:r>
    </w:p>
    <w:p w:rsidR="00586F98" w:rsidRDefault="00586F98" w:rsidP="00586F98">
      <w:pPr>
        <w:pStyle w:val="Heading2"/>
      </w:pPr>
      <w:bookmarkStart w:id="18" w:name="_Toc355338639"/>
      <w:bookmarkStart w:id="19" w:name="_Toc459986974"/>
      <w:r>
        <w:t>Pharmacokinetics</w:t>
      </w:r>
      <w:bookmarkEnd w:id="18"/>
      <w:bookmarkEnd w:id="19"/>
    </w:p>
    <w:p w:rsidR="00D360DF" w:rsidRDefault="00D360DF" w:rsidP="00586F98">
      <w:r w:rsidRPr="00D360DF">
        <w:t>Table 1 shows the studies relating to each pharmacokinetic</w:t>
      </w:r>
      <w:r w:rsidR="00AA76D4">
        <w:t xml:space="preserve"> (PK)</w:t>
      </w:r>
      <w:r w:rsidRPr="00D360DF">
        <w:t xml:space="preserve"> topic</w:t>
      </w:r>
      <w:r w:rsidR="007B6CE8">
        <w:t>.</w:t>
      </w:r>
    </w:p>
    <w:p w:rsidR="00D360DF" w:rsidRDefault="00D360DF" w:rsidP="00725883">
      <w:pPr>
        <w:pStyle w:val="Tabletitle"/>
        <w:pageBreakBefore/>
      </w:pPr>
      <w:r>
        <w:lastRenderedPageBreak/>
        <w:t>Table 1. Su</w:t>
      </w:r>
      <w:r w:rsidR="000878A7">
        <w:t>bmitted pharmacokinetic studies</w:t>
      </w:r>
    </w:p>
    <w:tbl>
      <w:tblPr>
        <w:tblStyle w:val="TableTGAblue"/>
        <w:tblW w:w="9322" w:type="dxa"/>
        <w:tblLook w:val="04A0" w:firstRow="1" w:lastRow="0" w:firstColumn="1" w:lastColumn="0" w:noHBand="0" w:noVBand="1"/>
        <w:tblCaption w:val="Table 1. Submitted pharmacokinetic studies"/>
        <w:tblDescription w:val="Studies sumbitted for pharmacokinetic analysis along with corresponding subtopic each study covered."/>
      </w:tblPr>
      <w:tblGrid>
        <w:gridCol w:w="1990"/>
        <w:gridCol w:w="4497"/>
        <w:gridCol w:w="2835"/>
      </w:tblGrid>
      <w:tr w:rsidR="00FC5089" w:rsidRPr="00630199" w:rsidTr="00FC50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90" w:type="dxa"/>
          </w:tcPr>
          <w:p w:rsidR="00FC5089" w:rsidRPr="00630199" w:rsidRDefault="00FC5089" w:rsidP="00630199">
            <w:pPr>
              <w:ind w:left="0" w:right="0"/>
              <w:rPr>
                <w:sz w:val="18"/>
                <w:szCs w:val="18"/>
              </w:rPr>
            </w:pPr>
            <w:r w:rsidRPr="00630199">
              <w:rPr>
                <w:sz w:val="18"/>
                <w:szCs w:val="18"/>
              </w:rPr>
              <w:t>PK topic</w:t>
            </w:r>
          </w:p>
        </w:tc>
        <w:tc>
          <w:tcPr>
            <w:tcW w:w="4497" w:type="dxa"/>
          </w:tcPr>
          <w:p w:rsidR="00FC5089" w:rsidRPr="00630199" w:rsidRDefault="00FC5089" w:rsidP="00630199">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630199">
              <w:rPr>
                <w:sz w:val="18"/>
                <w:szCs w:val="18"/>
              </w:rPr>
              <w:t>Subtopic</w:t>
            </w:r>
          </w:p>
        </w:tc>
        <w:tc>
          <w:tcPr>
            <w:tcW w:w="2835" w:type="dxa"/>
          </w:tcPr>
          <w:p w:rsidR="00FC5089" w:rsidRPr="00630199" w:rsidRDefault="00FC5089" w:rsidP="00630199">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630199">
              <w:rPr>
                <w:sz w:val="18"/>
                <w:szCs w:val="18"/>
              </w:rPr>
              <w:t>Study ID</w:t>
            </w:r>
          </w:p>
        </w:tc>
      </w:tr>
      <w:tr w:rsidR="00FC5089" w:rsidRPr="00630199" w:rsidTr="00FC5089">
        <w:tc>
          <w:tcPr>
            <w:cnfStyle w:val="001000000000" w:firstRow="0" w:lastRow="0" w:firstColumn="1" w:lastColumn="0" w:oddVBand="0" w:evenVBand="0" w:oddHBand="0" w:evenHBand="0" w:firstRowFirstColumn="0" w:firstRowLastColumn="0" w:lastRowFirstColumn="0" w:lastRowLastColumn="0"/>
            <w:tcW w:w="1990" w:type="dxa"/>
            <w:vMerge w:val="restart"/>
          </w:tcPr>
          <w:p w:rsidR="00FC5089" w:rsidRPr="00630199" w:rsidRDefault="00FC5089" w:rsidP="00630199">
            <w:pPr>
              <w:ind w:left="0" w:right="0"/>
              <w:rPr>
                <w:sz w:val="18"/>
                <w:szCs w:val="18"/>
              </w:rPr>
            </w:pPr>
            <w:r w:rsidRPr="00630199">
              <w:rPr>
                <w:sz w:val="18"/>
                <w:szCs w:val="18"/>
              </w:rPr>
              <w:t>PK in healthy adults</w:t>
            </w:r>
          </w:p>
        </w:tc>
        <w:tc>
          <w:tcPr>
            <w:tcW w:w="4497"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General PK (Single-dose, QT)</w:t>
            </w:r>
            <w:r w:rsidR="006F04B4" w:rsidRPr="00630199">
              <w:rPr>
                <w:sz w:val="18"/>
                <w:szCs w:val="18"/>
              </w:rPr>
              <w:t>*</w:t>
            </w:r>
          </w:p>
        </w:tc>
        <w:tc>
          <w:tcPr>
            <w:tcW w:w="2835"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PIPF 007</w:t>
            </w:r>
          </w:p>
        </w:tc>
      </w:tr>
      <w:tr w:rsidR="00FC5089" w:rsidRPr="00630199" w:rsidTr="00FC5089">
        <w:tc>
          <w:tcPr>
            <w:cnfStyle w:val="001000000000" w:firstRow="0" w:lastRow="0" w:firstColumn="1" w:lastColumn="0" w:oddVBand="0" w:evenVBand="0" w:oddHBand="0" w:evenHBand="0" w:firstRowFirstColumn="0" w:firstRowLastColumn="0" w:lastRowFirstColumn="0" w:lastRowLastColumn="0"/>
            <w:tcW w:w="1990" w:type="dxa"/>
            <w:vMerge/>
          </w:tcPr>
          <w:p w:rsidR="00FC5089" w:rsidRPr="00630199" w:rsidRDefault="00FC5089" w:rsidP="00630199">
            <w:pPr>
              <w:ind w:left="0" w:right="0"/>
              <w:rPr>
                <w:sz w:val="18"/>
                <w:szCs w:val="18"/>
              </w:rPr>
            </w:pPr>
          </w:p>
        </w:tc>
        <w:tc>
          <w:tcPr>
            <w:tcW w:w="4497"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General PK (Multi-dose)</w:t>
            </w:r>
            <w:r w:rsidR="006F04B4" w:rsidRPr="00630199">
              <w:rPr>
                <w:sz w:val="18"/>
                <w:szCs w:val="18"/>
              </w:rPr>
              <w:t>*</w:t>
            </w:r>
          </w:p>
        </w:tc>
        <w:tc>
          <w:tcPr>
            <w:tcW w:w="2835"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PIPF 005</w:t>
            </w:r>
          </w:p>
        </w:tc>
      </w:tr>
      <w:tr w:rsidR="00FC5089" w:rsidRPr="00630199" w:rsidTr="00FC5089">
        <w:tc>
          <w:tcPr>
            <w:cnfStyle w:val="001000000000" w:firstRow="0" w:lastRow="0" w:firstColumn="1" w:lastColumn="0" w:oddVBand="0" w:evenVBand="0" w:oddHBand="0" w:evenHBand="0" w:firstRowFirstColumn="0" w:firstRowLastColumn="0" w:lastRowFirstColumn="0" w:lastRowLastColumn="0"/>
            <w:tcW w:w="1990" w:type="dxa"/>
            <w:vMerge/>
          </w:tcPr>
          <w:p w:rsidR="00FC5089" w:rsidRPr="00630199" w:rsidRDefault="00FC5089" w:rsidP="00630199">
            <w:pPr>
              <w:ind w:left="0" w:right="0"/>
              <w:rPr>
                <w:sz w:val="18"/>
                <w:szCs w:val="18"/>
              </w:rPr>
            </w:pPr>
          </w:p>
        </w:tc>
        <w:tc>
          <w:tcPr>
            <w:tcW w:w="4497"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Bioequivalence† (Single dose)</w:t>
            </w:r>
          </w:p>
        </w:tc>
        <w:tc>
          <w:tcPr>
            <w:tcW w:w="2835" w:type="dxa"/>
          </w:tcPr>
          <w:p w:rsidR="00FC5089" w:rsidRPr="00630199" w:rsidRDefault="006908B3"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 xml:space="preserve">Not </w:t>
            </w:r>
            <w:r w:rsidR="000878A7" w:rsidRPr="00630199">
              <w:rPr>
                <w:sz w:val="18"/>
                <w:szCs w:val="18"/>
              </w:rPr>
              <w:t>applicable</w:t>
            </w:r>
          </w:p>
        </w:tc>
      </w:tr>
      <w:tr w:rsidR="00FC5089" w:rsidRPr="00630199" w:rsidTr="00FC5089">
        <w:tc>
          <w:tcPr>
            <w:cnfStyle w:val="001000000000" w:firstRow="0" w:lastRow="0" w:firstColumn="1" w:lastColumn="0" w:oddVBand="0" w:evenVBand="0" w:oddHBand="0" w:evenHBand="0" w:firstRowFirstColumn="0" w:firstRowLastColumn="0" w:lastRowFirstColumn="0" w:lastRowLastColumn="0"/>
            <w:tcW w:w="1990" w:type="dxa"/>
            <w:vMerge/>
          </w:tcPr>
          <w:p w:rsidR="00FC5089" w:rsidRPr="00630199" w:rsidRDefault="00FC5089" w:rsidP="00630199">
            <w:pPr>
              <w:ind w:left="0" w:right="0"/>
              <w:rPr>
                <w:sz w:val="18"/>
                <w:szCs w:val="18"/>
              </w:rPr>
            </w:pPr>
          </w:p>
        </w:tc>
        <w:tc>
          <w:tcPr>
            <w:tcW w:w="4497"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Bioequivalence† (Multi-dose)</w:t>
            </w:r>
          </w:p>
        </w:tc>
        <w:tc>
          <w:tcPr>
            <w:tcW w:w="2835" w:type="dxa"/>
          </w:tcPr>
          <w:p w:rsidR="00FC5089" w:rsidRPr="00630199" w:rsidRDefault="006908B3"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 xml:space="preserve">Not </w:t>
            </w:r>
            <w:r w:rsidR="000878A7" w:rsidRPr="00630199">
              <w:rPr>
                <w:sz w:val="18"/>
                <w:szCs w:val="18"/>
              </w:rPr>
              <w:t>applicable</w:t>
            </w:r>
          </w:p>
        </w:tc>
      </w:tr>
      <w:tr w:rsidR="00FC5089" w:rsidRPr="00630199" w:rsidTr="00FC5089">
        <w:tc>
          <w:tcPr>
            <w:cnfStyle w:val="001000000000" w:firstRow="0" w:lastRow="0" w:firstColumn="1" w:lastColumn="0" w:oddVBand="0" w:evenVBand="0" w:oddHBand="0" w:evenHBand="0" w:firstRowFirstColumn="0" w:firstRowLastColumn="0" w:lastRowFirstColumn="0" w:lastRowLastColumn="0"/>
            <w:tcW w:w="1990" w:type="dxa"/>
            <w:vMerge/>
          </w:tcPr>
          <w:p w:rsidR="00FC5089" w:rsidRPr="00630199" w:rsidRDefault="00FC5089" w:rsidP="00630199">
            <w:pPr>
              <w:ind w:left="0" w:right="0"/>
              <w:rPr>
                <w:sz w:val="18"/>
                <w:szCs w:val="18"/>
              </w:rPr>
            </w:pPr>
          </w:p>
        </w:tc>
        <w:tc>
          <w:tcPr>
            <w:tcW w:w="4497"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Food effect</w:t>
            </w:r>
          </w:p>
        </w:tc>
        <w:tc>
          <w:tcPr>
            <w:tcW w:w="2835"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PIPF 005</w:t>
            </w:r>
          </w:p>
        </w:tc>
      </w:tr>
      <w:tr w:rsidR="00FC5089" w:rsidRPr="00630199" w:rsidTr="00FC5089">
        <w:tc>
          <w:tcPr>
            <w:cnfStyle w:val="001000000000" w:firstRow="0" w:lastRow="0" w:firstColumn="1" w:lastColumn="0" w:oddVBand="0" w:evenVBand="0" w:oddHBand="0" w:evenHBand="0" w:firstRowFirstColumn="0" w:firstRowLastColumn="0" w:lastRowFirstColumn="0" w:lastRowLastColumn="0"/>
            <w:tcW w:w="1990" w:type="dxa"/>
            <w:vMerge w:val="restart"/>
          </w:tcPr>
          <w:p w:rsidR="00FC5089" w:rsidRPr="00630199" w:rsidRDefault="00FC5089" w:rsidP="00630199">
            <w:pPr>
              <w:ind w:left="0" w:right="0"/>
              <w:rPr>
                <w:sz w:val="18"/>
                <w:szCs w:val="18"/>
              </w:rPr>
            </w:pPr>
            <w:r w:rsidRPr="00630199">
              <w:rPr>
                <w:sz w:val="18"/>
                <w:szCs w:val="18"/>
              </w:rPr>
              <w:t>PK in special populations</w:t>
            </w:r>
          </w:p>
        </w:tc>
        <w:tc>
          <w:tcPr>
            <w:tcW w:w="4497"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Target population§ (Single and multiple dose)</w:t>
            </w:r>
          </w:p>
        </w:tc>
        <w:tc>
          <w:tcPr>
            <w:tcW w:w="2835"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PIPF 004</w:t>
            </w:r>
          </w:p>
        </w:tc>
      </w:tr>
      <w:tr w:rsidR="00FC5089" w:rsidRPr="00630199" w:rsidTr="00FC5089">
        <w:tc>
          <w:tcPr>
            <w:cnfStyle w:val="001000000000" w:firstRow="0" w:lastRow="0" w:firstColumn="1" w:lastColumn="0" w:oddVBand="0" w:evenVBand="0" w:oddHBand="0" w:evenHBand="0" w:firstRowFirstColumn="0" w:firstRowLastColumn="0" w:lastRowFirstColumn="0" w:lastRowLastColumn="0"/>
            <w:tcW w:w="1990" w:type="dxa"/>
            <w:vMerge/>
          </w:tcPr>
          <w:p w:rsidR="00FC5089" w:rsidRPr="00630199" w:rsidRDefault="00FC5089" w:rsidP="00630199">
            <w:pPr>
              <w:ind w:left="0" w:right="0"/>
              <w:rPr>
                <w:sz w:val="18"/>
                <w:szCs w:val="18"/>
              </w:rPr>
            </w:pPr>
          </w:p>
        </w:tc>
        <w:tc>
          <w:tcPr>
            <w:tcW w:w="4497"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Hepatic impairment</w:t>
            </w:r>
            <w:r w:rsidR="006F04B4" w:rsidRPr="00630199">
              <w:rPr>
                <w:sz w:val="18"/>
                <w:szCs w:val="18"/>
              </w:rPr>
              <w:t>*</w:t>
            </w:r>
          </w:p>
        </w:tc>
        <w:tc>
          <w:tcPr>
            <w:tcW w:w="2835"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PIPF 011</w:t>
            </w:r>
          </w:p>
        </w:tc>
      </w:tr>
      <w:tr w:rsidR="00FC5089" w:rsidRPr="00630199" w:rsidTr="00FC5089">
        <w:tc>
          <w:tcPr>
            <w:cnfStyle w:val="001000000000" w:firstRow="0" w:lastRow="0" w:firstColumn="1" w:lastColumn="0" w:oddVBand="0" w:evenVBand="0" w:oddHBand="0" w:evenHBand="0" w:firstRowFirstColumn="0" w:firstRowLastColumn="0" w:lastRowFirstColumn="0" w:lastRowLastColumn="0"/>
            <w:tcW w:w="1990" w:type="dxa"/>
            <w:vMerge/>
          </w:tcPr>
          <w:p w:rsidR="00FC5089" w:rsidRPr="00630199" w:rsidRDefault="00FC5089" w:rsidP="00630199">
            <w:pPr>
              <w:ind w:left="0" w:right="0"/>
              <w:rPr>
                <w:sz w:val="18"/>
                <w:szCs w:val="18"/>
              </w:rPr>
            </w:pPr>
          </w:p>
        </w:tc>
        <w:tc>
          <w:tcPr>
            <w:tcW w:w="4497"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Renal impairment</w:t>
            </w:r>
            <w:r w:rsidR="006F04B4" w:rsidRPr="00630199">
              <w:rPr>
                <w:sz w:val="18"/>
                <w:szCs w:val="18"/>
              </w:rPr>
              <w:t>*</w:t>
            </w:r>
          </w:p>
        </w:tc>
        <w:tc>
          <w:tcPr>
            <w:tcW w:w="2835"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PIPF 009</w:t>
            </w:r>
          </w:p>
        </w:tc>
      </w:tr>
      <w:tr w:rsidR="00FC5089" w:rsidRPr="00630199" w:rsidTr="00FC5089">
        <w:tc>
          <w:tcPr>
            <w:cnfStyle w:val="001000000000" w:firstRow="0" w:lastRow="0" w:firstColumn="1" w:lastColumn="0" w:oddVBand="0" w:evenVBand="0" w:oddHBand="0" w:evenHBand="0" w:firstRowFirstColumn="0" w:firstRowLastColumn="0" w:lastRowFirstColumn="0" w:lastRowLastColumn="0"/>
            <w:tcW w:w="1990" w:type="dxa"/>
            <w:vMerge/>
          </w:tcPr>
          <w:p w:rsidR="00FC5089" w:rsidRPr="00630199" w:rsidRDefault="00FC5089" w:rsidP="00630199">
            <w:pPr>
              <w:ind w:left="0" w:right="0"/>
              <w:rPr>
                <w:sz w:val="18"/>
                <w:szCs w:val="18"/>
              </w:rPr>
            </w:pPr>
          </w:p>
        </w:tc>
        <w:tc>
          <w:tcPr>
            <w:tcW w:w="4497"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Neonates/infants/</w:t>
            </w:r>
            <w:r w:rsidR="000878A7" w:rsidRPr="00630199">
              <w:rPr>
                <w:sz w:val="18"/>
                <w:szCs w:val="18"/>
              </w:rPr>
              <w:t>children/a</w:t>
            </w:r>
            <w:r w:rsidRPr="00630199">
              <w:rPr>
                <w:sz w:val="18"/>
                <w:szCs w:val="18"/>
              </w:rPr>
              <w:t>dolescents</w:t>
            </w:r>
          </w:p>
        </w:tc>
        <w:tc>
          <w:tcPr>
            <w:tcW w:w="2835" w:type="dxa"/>
          </w:tcPr>
          <w:p w:rsidR="00FC5089" w:rsidRPr="00630199" w:rsidRDefault="006908B3"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 xml:space="preserve">Not </w:t>
            </w:r>
            <w:r w:rsidR="000878A7" w:rsidRPr="00630199">
              <w:rPr>
                <w:sz w:val="18"/>
                <w:szCs w:val="18"/>
              </w:rPr>
              <w:t>applicable</w:t>
            </w:r>
          </w:p>
        </w:tc>
      </w:tr>
      <w:tr w:rsidR="00FC5089" w:rsidRPr="00630199" w:rsidTr="00FC5089">
        <w:tc>
          <w:tcPr>
            <w:cnfStyle w:val="001000000000" w:firstRow="0" w:lastRow="0" w:firstColumn="1" w:lastColumn="0" w:oddVBand="0" w:evenVBand="0" w:oddHBand="0" w:evenHBand="0" w:firstRowFirstColumn="0" w:firstRowLastColumn="0" w:lastRowFirstColumn="0" w:lastRowLastColumn="0"/>
            <w:tcW w:w="1990" w:type="dxa"/>
            <w:vMerge/>
          </w:tcPr>
          <w:p w:rsidR="00FC5089" w:rsidRPr="00630199" w:rsidRDefault="00FC5089" w:rsidP="00630199">
            <w:pPr>
              <w:ind w:left="0" w:right="0"/>
              <w:rPr>
                <w:sz w:val="18"/>
                <w:szCs w:val="18"/>
              </w:rPr>
            </w:pPr>
          </w:p>
        </w:tc>
        <w:tc>
          <w:tcPr>
            <w:tcW w:w="4497"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Elderly</w:t>
            </w:r>
          </w:p>
        </w:tc>
        <w:tc>
          <w:tcPr>
            <w:tcW w:w="2835"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See Pop PK</w:t>
            </w:r>
          </w:p>
        </w:tc>
      </w:tr>
      <w:tr w:rsidR="00FC5089" w:rsidRPr="00630199" w:rsidTr="00FC5089">
        <w:tc>
          <w:tcPr>
            <w:cnfStyle w:val="001000000000" w:firstRow="0" w:lastRow="0" w:firstColumn="1" w:lastColumn="0" w:oddVBand="0" w:evenVBand="0" w:oddHBand="0" w:evenHBand="0" w:firstRowFirstColumn="0" w:firstRowLastColumn="0" w:lastRowFirstColumn="0" w:lastRowLastColumn="0"/>
            <w:tcW w:w="1990" w:type="dxa"/>
          </w:tcPr>
          <w:p w:rsidR="00FC5089" w:rsidRPr="00630199" w:rsidRDefault="00FC5089" w:rsidP="00630199">
            <w:pPr>
              <w:ind w:left="0" w:right="0"/>
              <w:rPr>
                <w:sz w:val="18"/>
                <w:szCs w:val="18"/>
              </w:rPr>
            </w:pPr>
            <w:r w:rsidRPr="00630199">
              <w:rPr>
                <w:sz w:val="18"/>
                <w:szCs w:val="18"/>
              </w:rPr>
              <w:t>Genetic/gender-related PK</w:t>
            </w:r>
          </w:p>
        </w:tc>
        <w:tc>
          <w:tcPr>
            <w:tcW w:w="4497"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Males versus females</w:t>
            </w:r>
          </w:p>
        </w:tc>
        <w:tc>
          <w:tcPr>
            <w:tcW w:w="2835"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See pop PK</w:t>
            </w:r>
          </w:p>
        </w:tc>
      </w:tr>
      <w:tr w:rsidR="00FC5089" w:rsidRPr="00630199" w:rsidTr="00FC5089">
        <w:tc>
          <w:tcPr>
            <w:cnfStyle w:val="001000000000" w:firstRow="0" w:lastRow="0" w:firstColumn="1" w:lastColumn="0" w:oddVBand="0" w:evenVBand="0" w:oddHBand="0" w:evenHBand="0" w:firstRowFirstColumn="0" w:firstRowLastColumn="0" w:lastRowFirstColumn="0" w:lastRowLastColumn="0"/>
            <w:tcW w:w="1990" w:type="dxa"/>
            <w:vMerge w:val="restart"/>
          </w:tcPr>
          <w:p w:rsidR="00FC5089" w:rsidRPr="00630199" w:rsidRDefault="00FC5089" w:rsidP="00630199">
            <w:pPr>
              <w:ind w:left="0" w:right="0"/>
              <w:rPr>
                <w:sz w:val="18"/>
                <w:szCs w:val="18"/>
              </w:rPr>
            </w:pPr>
            <w:r w:rsidRPr="00630199">
              <w:rPr>
                <w:sz w:val="18"/>
                <w:szCs w:val="18"/>
              </w:rPr>
              <w:t>PK interactions</w:t>
            </w:r>
          </w:p>
        </w:tc>
        <w:tc>
          <w:tcPr>
            <w:tcW w:w="4497"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CYPA12 inhibitor Fluvoxamine</w:t>
            </w:r>
          </w:p>
        </w:tc>
        <w:tc>
          <w:tcPr>
            <w:tcW w:w="2835"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PIPF 010</w:t>
            </w:r>
          </w:p>
        </w:tc>
      </w:tr>
      <w:tr w:rsidR="00FC5089" w:rsidRPr="00630199" w:rsidTr="00FC5089">
        <w:tc>
          <w:tcPr>
            <w:cnfStyle w:val="001000000000" w:firstRow="0" w:lastRow="0" w:firstColumn="1" w:lastColumn="0" w:oddVBand="0" w:evenVBand="0" w:oddHBand="0" w:evenHBand="0" w:firstRowFirstColumn="0" w:firstRowLastColumn="0" w:lastRowFirstColumn="0" w:lastRowLastColumn="0"/>
            <w:tcW w:w="1990" w:type="dxa"/>
            <w:vMerge/>
          </w:tcPr>
          <w:p w:rsidR="00FC5089" w:rsidRPr="00630199" w:rsidRDefault="00FC5089" w:rsidP="00630199">
            <w:pPr>
              <w:ind w:left="0" w:right="0"/>
              <w:rPr>
                <w:sz w:val="18"/>
                <w:szCs w:val="18"/>
              </w:rPr>
            </w:pPr>
          </w:p>
        </w:tc>
        <w:tc>
          <w:tcPr>
            <w:tcW w:w="4497"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Ciprofloxacin</w:t>
            </w:r>
            <w:r w:rsidR="006F04B4" w:rsidRPr="00630199">
              <w:rPr>
                <w:sz w:val="18"/>
                <w:szCs w:val="18"/>
              </w:rPr>
              <w:t>*</w:t>
            </w:r>
          </w:p>
        </w:tc>
        <w:tc>
          <w:tcPr>
            <w:tcW w:w="2835"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PIPF 017</w:t>
            </w:r>
          </w:p>
        </w:tc>
      </w:tr>
      <w:tr w:rsidR="00FC5089" w:rsidRPr="00630199" w:rsidTr="00FC5089">
        <w:tc>
          <w:tcPr>
            <w:cnfStyle w:val="001000000000" w:firstRow="0" w:lastRow="0" w:firstColumn="1" w:lastColumn="0" w:oddVBand="0" w:evenVBand="0" w:oddHBand="0" w:evenHBand="0" w:firstRowFirstColumn="0" w:firstRowLastColumn="0" w:lastRowFirstColumn="0" w:lastRowLastColumn="0"/>
            <w:tcW w:w="1990" w:type="dxa"/>
            <w:vMerge/>
          </w:tcPr>
          <w:p w:rsidR="00FC5089" w:rsidRPr="00630199" w:rsidRDefault="00FC5089" w:rsidP="00630199">
            <w:pPr>
              <w:ind w:left="0" w:right="0"/>
              <w:rPr>
                <w:sz w:val="18"/>
                <w:szCs w:val="18"/>
              </w:rPr>
            </w:pPr>
          </w:p>
        </w:tc>
        <w:tc>
          <w:tcPr>
            <w:tcW w:w="4497"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Smoking</w:t>
            </w:r>
            <w:r w:rsidR="006F04B4" w:rsidRPr="00630199">
              <w:rPr>
                <w:sz w:val="18"/>
                <w:szCs w:val="18"/>
              </w:rPr>
              <w:t>*</w:t>
            </w:r>
          </w:p>
        </w:tc>
        <w:tc>
          <w:tcPr>
            <w:tcW w:w="2835"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PIPF 010</w:t>
            </w:r>
          </w:p>
        </w:tc>
      </w:tr>
      <w:tr w:rsidR="00FC5089" w:rsidRPr="00630199" w:rsidTr="00FC5089">
        <w:tc>
          <w:tcPr>
            <w:cnfStyle w:val="001000000000" w:firstRow="0" w:lastRow="0" w:firstColumn="1" w:lastColumn="0" w:oddVBand="0" w:evenVBand="0" w:oddHBand="0" w:evenHBand="0" w:firstRowFirstColumn="0" w:firstRowLastColumn="0" w:lastRowFirstColumn="0" w:lastRowLastColumn="0"/>
            <w:tcW w:w="1990" w:type="dxa"/>
            <w:vMerge w:val="restart"/>
          </w:tcPr>
          <w:p w:rsidR="00FC5089" w:rsidRPr="00630199" w:rsidRDefault="00FC5089" w:rsidP="00630199">
            <w:pPr>
              <w:ind w:left="0" w:right="0"/>
              <w:rPr>
                <w:sz w:val="18"/>
                <w:szCs w:val="18"/>
              </w:rPr>
            </w:pPr>
            <w:r w:rsidRPr="00630199">
              <w:rPr>
                <w:sz w:val="18"/>
                <w:szCs w:val="18"/>
              </w:rPr>
              <w:t>Population PK analyses</w:t>
            </w:r>
          </w:p>
        </w:tc>
        <w:tc>
          <w:tcPr>
            <w:tcW w:w="4497"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Healthy subjects</w:t>
            </w:r>
          </w:p>
        </w:tc>
        <w:tc>
          <w:tcPr>
            <w:tcW w:w="2835"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PIPF-ORD1</w:t>
            </w:r>
          </w:p>
        </w:tc>
      </w:tr>
      <w:tr w:rsidR="00FC5089" w:rsidRPr="00630199" w:rsidTr="00FC5089">
        <w:tc>
          <w:tcPr>
            <w:cnfStyle w:val="001000000000" w:firstRow="0" w:lastRow="0" w:firstColumn="1" w:lastColumn="0" w:oddVBand="0" w:evenVBand="0" w:oddHBand="0" w:evenHBand="0" w:firstRowFirstColumn="0" w:firstRowLastColumn="0" w:lastRowFirstColumn="0" w:lastRowLastColumn="0"/>
            <w:tcW w:w="1990" w:type="dxa"/>
            <w:vMerge/>
          </w:tcPr>
          <w:p w:rsidR="00FC5089" w:rsidRPr="00630199" w:rsidRDefault="00FC5089" w:rsidP="00630199">
            <w:pPr>
              <w:ind w:left="0" w:right="0"/>
              <w:rPr>
                <w:sz w:val="18"/>
                <w:szCs w:val="18"/>
              </w:rPr>
            </w:pPr>
          </w:p>
        </w:tc>
        <w:tc>
          <w:tcPr>
            <w:tcW w:w="4497"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Target population</w:t>
            </w:r>
          </w:p>
        </w:tc>
        <w:tc>
          <w:tcPr>
            <w:tcW w:w="2835"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PIPF-ORD1, PIPF-ORD2</w:t>
            </w:r>
          </w:p>
        </w:tc>
      </w:tr>
      <w:tr w:rsidR="00FC5089" w:rsidRPr="00630199" w:rsidTr="00FC5089">
        <w:tc>
          <w:tcPr>
            <w:cnfStyle w:val="001000000000" w:firstRow="0" w:lastRow="0" w:firstColumn="1" w:lastColumn="0" w:oddVBand="0" w:evenVBand="0" w:oddHBand="0" w:evenHBand="0" w:firstRowFirstColumn="0" w:firstRowLastColumn="0" w:lastRowFirstColumn="0" w:lastRowLastColumn="0"/>
            <w:tcW w:w="1990" w:type="dxa"/>
            <w:vMerge/>
          </w:tcPr>
          <w:p w:rsidR="00FC5089" w:rsidRPr="00630199" w:rsidRDefault="00FC5089" w:rsidP="00630199">
            <w:pPr>
              <w:ind w:left="0" w:right="0"/>
              <w:rPr>
                <w:sz w:val="18"/>
                <w:szCs w:val="18"/>
              </w:rPr>
            </w:pPr>
          </w:p>
        </w:tc>
        <w:tc>
          <w:tcPr>
            <w:tcW w:w="4497"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Other-combined</w:t>
            </w:r>
          </w:p>
        </w:tc>
        <w:tc>
          <w:tcPr>
            <w:tcW w:w="2835" w:type="dxa"/>
          </w:tcPr>
          <w:p w:rsidR="00FC5089" w:rsidRPr="00630199" w:rsidRDefault="00FC5089" w:rsidP="00630199">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30199">
              <w:rPr>
                <w:sz w:val="18"/>
                <w:szCs w:val="18"/>
              </w:rPr>
              <w:t>PIPF-ORD1</w:t>
            </w:r>
          </w:p>
        </w:tc>
      </w:tr>
    </w:tbl>
    <w:p w:rsidR="00FC5089" w:rsidRPr="00FC5089" w:rsidRDefault="00FC5089" w:rsidP="00FC5089">
      <w:pPr>
        <w:pStyle w:val="TableDescription"/>
      </w:pPr>
      <w:r>
        <w:t xml:space="preserve">*Indicates the primary aim of the study. </w:t>
      </w:r>
      <w:r w:rsidRPr="00FC5089">
        <w:rPr>
          <w:vertAlign w:val="superscript"/>
        </w:rPr>
        <w:t>†</w:t>
      </w:r>
      <w:r>
        <w:t xml:space="preserve">Bioequivalence of different formulations. </w:t>
      </w:r>
      <w:r w:rsidRPr="00FC5089">
        <w:rPr>
          <w:vertAlign w:val="superscript"/>
        </w:rPr>
        <w:t>§</w:t>
      </w:r>
      <w:r>
        <w:t>Subjects who would be eligible to receive the drug if approved for the proposed indication.</w:t>
      </w:r>
    </w:p>
    <w:p w:rsidR="00D360DF" w:rsidRDefault="00D360DF" w:rsidP="00D360DF">
      <w:r>
        <w:t>None of the pharmacokinetic studies had deficiencies that excluded their results from consideration.</w:t>
      </w:r>
    </w:p>
    <w:p w:rsidR="00FC5089" w:rsidRDefault="00FC5089" w:rsidP="00FC5089">
      <w:pPr>
        <w:pStyle w:val="Heading3"/>
      </w:pPr>
      <w:bookmarkStart w:id="20" w:name="_Toc459986975"/>
      <w:r>
        <w:t>Summary of pharmacokinetics</w:t>
      </w:r>
      <w:bookmarkEnd w:id="20"/>
    </w:p>
    <w:p w:rsidR="00FC5089" w:rsidRDefault="00FC5089" w:rsidP="00FC5089">
      <w:r>
        <w:t>The information is derived from conventional pharmacokinetic</w:t>
      </w:r>
      <w:r w:rsidR="00B36239">
        <w:t xml:space="preserve"> </w:t>
      </w:r>
      <w:r>
        <w:t xml:space="preserve">studies and population PK analyses used to fit models in compartmental analyses, using data from Phase </w:t>
      </w:r>
      <w:r w:rsidR="00DE0015">
        <w:t>I</w:t>
      </w:r>
      <w:r>
        <w:t xml:space="preserve"> studies and Phase </w:t>
      </w:r>
      <w:r w:rsidR="00DE0015">
        <w:t>III</w:t>
      </w:r>
      <w:r>
        <w:t xml:space="preserve"> </w:t>
      </w:r>
      <w:r w:rsidR="006F04B4">
        <w:t>S</w:t>
      </w:r>
      <w:r w:rsidR="00B83660">
        <w:t>tudy PIPF</w:t>
      </w:r>
      <w:r w:rsidR="00B83660">
        <w:noBreakHyphen/>
        <w:t>004 (PIPF</w:t>
      </w:r>
      <w:r w:rsidR="00B83660">
        <w:noBreakHyphen/>
      </w:r>
      <w:r>
        <w:t>ORD1). Non-compartmental analyses provided confirmatory results.</w:t>
      </w:r>
    </w:p>
    <w:p w:rsidR="006F04B4" w:rsidRDefault="006F04B4" w:rsidP="006F04B4">
      <w:pPr>
        <w:pStyle w:val="Heading3"/>
      </w:pPr>
      <w:bookmarkStart w:id="21" w:name="_Toc459986976"/>
      <w:r w:rsidRPr="006F04B4">
        <w:lastRenderedPageBreak/>
        <w:t>Pharmacokinetics in healthy subjects</w:t>
      </w:r>
      <w:bookmarkEnd w:id="21"/>
    </w:p>
    <w:p w:rsidR="007B6CE8" w:rsidRPr="007B6CE8" w:rsidRDefault="007B6CE8" w:rsidP="000E7CA2">
      <w:r w:rsidRPr="007B6CE8">
        <w:t>This inf</w:t>
      </w:r>
      <w:r>
        <w:t>ormation is based primarily on S</w:t>
      </w:r>
      <w:r w:rsidRPr="007B6CE8">
        <w:t>tudy PIPF-005</w:t>
      </w:r>
      <w:r>
        <w:t>.</w:t>
      </w:r>
      <w:r w:rsidR="00B36239">
        <w:t xml:space="preserve"> The objectives of the study were to characterise </w:t>
      </w:r>
      <w:r w:rsidR="00B36239" w:rsidRPr="00626E08">
        <w:t xml:space="preserve">the PK of pirfenidone and metabolites in plasma and urine after single 801 mg doses in fasted healthy older subjects, and the impact of food, antacids, food </w:t>
      </w:r>
      <w:r w:rsidR="00B36239">
        <w:t>and</w:t>
      </w:r>
      <w:r w:rsidR="00B36239" w:rsidRPr="00626E08">
        <w:t xml:space="preserve"> antacids, and the plasma PK of pirfenidone and metabolites of ascending daily doses 801, 1602, 2403, 3204, 4005 mg/day.</w:t>
      </w:r>
    </w:p>
    <w:p w:rsidR="006F04B4" w:rsidRPr="006F04B4" w:rsidRDefault="006F04B4" w:rsidP="006F04B4">
      <w:pPr>
        <w:pStyle w:val="Heading4"/>
      </w:pPr>
      <w:r w:rsidRPr="006F04B4">
        <w:t>Absorption</w:t>
      </w:r>
    </w:p>
    <w:p w:rsidR="006F04B4" w:rsidRDefault="006F04B4" w:rsidP="006F04B4">
      <w:pPr>
        <w:autoSpaceDE w:val="0"/>
        <w:autoSpaceDN w:val="0"/>
        <w:adjustRightInd w:val="0"/>
        <w:spacing w:before="0" w:after="0" w:line="240" w:lineRule="auto"/>
        <w:rPr>
          <w:rFonts w:eastAsiaTheme="minorHAnsi" w:cs="Cambria"/>
          <w:color w:val="000000"/>
        </w:rPr>
      </w:pPr>
      <w:r w:rsidRPr="006F04B4">
        <w:rPr>
          <w:rFonts w:eastAsiaTheme="minorHAnsi" w:cs="Cambria"/>
          <w:color w:val="000000"/>
        </w:rPr>
        <w:t xml:space="preserve">After ingestion of single dose of 801 mg (n = 16 with food) pirfenidone had mean peak plasma concentration of 7.8 </w:t>
      </w:r>
      <w:r w:rsidR="00FA7E6B">
        <w:rPr>
          <w:rFonts w:eastAsiaTheme="minorHAnsi" w:cs="Cambria"/>
          <w:color w:val="000000"/>
        </w:rPr>
        <w:t>µµg</w:t>
      </w:r>
      <w:r w:rsidRPr="006F04B4">
        <w:rPr>
          <w:rFonts w:eastAsiaTheme="minorHAnsi" w:cs="Cambria"/>
          <w:color w:val="000000"/>
        </w:rPr>
        <w:t>/mL about 3</w:t>
      </w:r>
      <w:r w:rsidR="000A32D7">
        <w:rPr>
          <w:rFonts w:eastAsiaTheme="minorHAnsi" w:cs="Cambria"/>
          <w:color w:val="000000"/>
        </w:rPr>
        <w:t xml:space="preserve"> to </w:t>
      </w:r>
      <w:r w:rsidRPr="006F04B4">
        <w:rPr>
          <w:rFonts w:eastAsiaTheme="minorHAnsi" w:cs="Cambria"/>
          <w:color w:val="000000"/>
        </w:rPr>
        <w:t xml:space="preserve">4 hours following administration. For the 801 mg </w:t>
      </w:r>
      <w:r w:rsidR="000A32D7">
        <w:rPr>
          <w:rFonts w:eastAsiaTheme="minorHAnsi" w:cs="Cambria"/>
          <w:color w:val="000000"/>
        </w:rPr>
        <w:t xml:space="preserve">three times daily </w:t>
      </w:r>
      <w:r w:rsidRPr="006F04B4">
        <w:rPr>
          <w:rFonts w:eastAsiaTheme="minorHAnsi" w:cs="Cambria"/>
          <w:color w:val="000000"/>
        </w:rPr>
        <w:t>(</w:t>
      </w:r>
      <w:r w:rsidR="000A32D7">
        <w:rPr>
          <w:rFonts w:eastAsiaTheme="minorHAnsi" w:cs="Cambria"/>
          <w:color w:val="000000"/>
        </w:rPr>
        <w:t>total daily dose = 2</w:t>
      </w:r>
      <w:r w:rsidR="00FA7E6B">
        <w:rPr>
          <w:rFonts w:eastAsiaTheme="minorHAnsi" w:cs="Cambria"/>
          <w:color w:val="000000"/>
        </w:rPr>
        <w:t>,</w:t>
      </w:r>
      <w:r w:rsidR="000A32D7">
        <w:rPr>
          <w:rFonts w:eastAsiaTheme="minorHAnsi" w:cs="Cambria"/>
          <w:color w:val="000000"/>
        </w:rPr>
        <w:t>403 mg) C</w:t>
      </w:r>
      <w:r w:rsidRPr="006F04B4">
        <w:rPr>
          <w:rFonts w:eastAsiaTheme="minorHAnsi" w:cs="Cambria"/>
          <w:color w:val="000000"/>
          <w:vertAlign w:val="subscript"/>
        </w:rPr>
        <w:t>max</w:t>
      </w:r>
      <w:r w:rsidR="00BC7B33">
        <w:rPr>
          <w:rFonts w:eastAsiaTheme="minorHAnsi" w:cs="Cambria"/>
          <w:color w:val="000000"/>
          <w:sz w:val="14"/>
          <w:szCs w:val="14"/>
        </w:rPr>
        <w:t xml:space="preserve"> </w:t>
      </w:r>
      <w:r w:rsidR="000A32D7">
        <w:rPr>
          <w:rFonts w:eastAsiaTheme="minorHAnsi" w:cs="Cambria"/>
          <w:color w:val="000000"/>
        </w:rPr>
        <w:t>was 11.85 </w:t>
      </w:r>
      <w:r w:rsidR="00FA7E6B">
        <w:rPr>
          <w:rFonts w:eastAsiaTheme="minorHAnsi" w:cs="Cambria"/>
          <w:color w:val="000000"/>
        </w:rPr>
        <w:t>µg</w:t>
      </w:r>
      <w:r w:rsidRPr="006F04B4">
        <w:rPr>
          <w:rFonts w:eastAsiaTheme="minorHAnsi" w:cs="Cambria"/>
          <w:color w:val="000000"/>
        </w:rPr>
        <w:t xml:space="preserve">/mL using data from the multiple dose cohort in </w:t>
      </w:r>
      <w:r w:rsidR="000A32D7">
        <w:rPr>
          <w:rFonts w:eastAsiaTheme="minorHAnsi" w:cs="Cambria"/>
          <w:color w:val="000000"/>
        </w:rPr>
        <w:t xml:space="preserve">Study </w:t>
      </w:r>
      <w:r w:rsidRPr="006F04B4">
        <w:rPr>
          <w:rFonts w:eastAsiaTheme="minorHAnsi" w:cs="Cambria"/>
          <w:color w:val="000000"/>
        </w:rPr>
        <w:t xml:space="preserve">PIPF-005 (n = 9 with food); </w:t>
      </w:r>
      <w:r w:rsidR="000A32D7">
        <w:rPr>
          <w:rFonts w:eastAsiaTheme="minorHAnsi" w:cs="Cambria"/>
          <w:color w:val="000000"/>
        </w:rPr>
        <w:t>time to peak drug plasma concentrations (T</w:t>
      </w:r>
      <w:r w:rsidR="000A32D7" w:rsidRPr="000A32D7">
        <w:rPr>
          <w:rFonts w:eastAsiaTheme="minorHAnsi" w:cs="Cambria"/>
          <w:color w:val="000000"/>
          <w:vertAlign w:val="subscript"/>
        </w:rPr>
        <w:t>max</w:t>
      </w:r>
      <w:r w:rsidR="000A32D7">
        <w:rPr>
          <w:rFonts w:eastAsiaTheme="minorHAnsi" w:cs="Cambria"/>
          <w:color w:val="000000"/>
        </w:rPr>
        <w:t>)</w:t>
      </w:r>
      <w:r w:rsidR="00F91295">
        <w:rPr>
          <w:rFonts w:eastAsiaTheme="minorHAnsi" w:cs="Cambria"/>
          <w:color w:val="000000"/>
        </w:rPr>
        <w:t xml:space="preserve"> </w:t>
      </w:r>
      <w:r w:rsidR="000A32D7">
        <w:rPr>
          <w:rFonts w:eastAsiaTheme="minorHAnsi" w:cs="Cambria"/>
          <w:color w:val="000000"/>
        </w:rPr>
        <w:t>(median) was at about 2 hours.</w:t>
      </w:r>
      <w:r w:rsidR="00BC7B33">
        <w:rPr>
          <w:rFonts w:eastAsiaTheme="minorHAnsi" w:cs="Cambria"/>
          <w:color w:val="000000"/>
        </w:rPr>
        <w:t xml:space="preserve"> </w:t>
      </w:r>
      <w:r w:rsidR="000A32D7">
        <w:rPr>
          <w:rFonts w:eastAsiaTheme="minorHAnsi" w:cs="Cambria"/>
          <w:color w:val="000000"/>
        </w:rPr>
        <w:t>Drug half-life (</w:t>
      </w:r>
      <w:r w:rsidR="00FA7E6B">
        <w:rPr>
          <w:rFonts w:eastAsiaTheme="minorHAnsi" w:cs="Cambria"/>
          <w:color w:val="000000"/>
        </w:rPr>
        <w:t>t</w:t>
      </w:r>
      <w:r w:rsidR="000A32D7" w:rsidRPr="000A32D7">
        <w:rPr>
          <w:rFonts w:eastAsiaTheme="minorHAnsi" w:cs="Cambria"/>
          <w:color w:val="000000"/>
          <w:szCs w:val="14"/>
        </w:rPr>
        <w:t>½</w:t>
      </w:r>
      <w:r w:rsidR="000A32D7">
        <w:rPr>
          <w:rFonts w:eastAsiaTheme="minorHAnsi" w:cs="Cambria"/>
          <w:color w:val="000000"/>
          <w:szCs w:val="14"/>
        </w:rPr>
        <w:t>) was</w:t>
      </w:r>
      <w:r w:rsidRPr="006F04B4">
        <w:rPr>
          <w:rFonts w:eastAsiaTheme="minorHAnsi" w:cs="Cambria"/>
          <w:color w:val="000000"/>
        </w:rPr>
        <w:t xml:space="preserve"> 1.39 h median, 1.5 h mean; the apparent terminal half-life </w:t>
      </w:r>
      <w:r w:rsidR="000878A7">
        <w:rPr>
          <w:rFonts w:eastAsiaTheme="minorHAnsi" w:cs="Cambria"/>
          <w:color w:val="000000"/>
        </w:rPr>
        <w:t>was</w:t>
      </w:r>
      <w:r w:rsidR="000A32D7">
        <w:rPr>
          <w:rFonts w:eastAsiaTheme="minorHAnsi" w:cs="Cambria"/>
          <w:color w:val="000000"/>
        </w:rPr>
        <w:t xml:space="preserve"> 2.24 h</w:t>
      </w:r>
      <w:r w:rsidR="000878A7">
        <w:rPr>
          <w:rFonts w:eastAsiaTheme="minorHAnsi" w:cs="Cambria"/>
          <w:color w:val="000000"/>
        </w:rPr>
        <w:t xml:space="preserve"> (median) and </w:t>
      </w:r>
      <w:r w:rsidR="000A32D7">
        <w:rPr>
          <w:rFonts w:eastAsiaTheme="minorHAnsi" w:cs="Cambria"/>
          <w:color w:val="000000"/>
        </w:rPr>
        <w:t>2.39 h</w:t>
      </w:r>
      <w:r w:rsidR="000878A7">
        <w:rPr>
          <w:rFonts w:eastAsiaTheme="minorHAnsi" w:cs="Cambria"/>
          <w:color w:val="000000"/>
        </w:rPr>
        <w:t xml:space="preserve"> (mean)</w:t>
      </w:r>
      <w:r w:rsidR="000A32D7">
        <w:rPr>
          <w:rFonts w:eastAsiaTheme="minorHAnsi" w:cs="Cambria"/>
          <w:color w:val="000000"/>
        </w:rPr>
        <w:t>.</w:t>
      </w:r>
    </w:p>
    <w:p w:rsidR="000A32D7" w:rsidRDefault="000A32D7" w:rsidP="000A32D7">
      <w:pPr>
        <w:pStyle w:val="Comment"/>
      </w:pPr>
      <w:r w:rsidRPr="00405DA7">
        <w:rPr>
          <w:b/>
        </w:rPr>
        <w:t>Comment</w:t>
      </w:r>
      <w:r>
        <w:rPr>
          <w:b/>
        </w:rPr>
        <w:t>:</w:t>
      </w:r>
      <w:r w:rsidRPr="00405DA7">
        <w:t xml:space="preserve"> The </w:t>
      </w:r>
      <w:r w:rsidR="007C37EF">
        <w:t xml:space="preserve">EMA’s </w:t>
      </w:r>
      <w:r w:rsidR="007C37EF" w:rsidRPr="007C37EF">
        <w:t>Committee for Medicinal Products for Human Use</w:t>
      </w:r>
      <w:r w:rsidR="007C37EF" w:rsidRPr="00405DA7">
        <w:t xml:space="preserve"> </w:t>
      </w:r>
      <w:r w:rsidR="007C37EF">
        <w:t>(</w:t>
      </w:r>
      <w:r w:rsidRPr="00405DA7">
        <w:t>CHMP</w:t>
      </w:r>
      <w:r w:rsidR="007C37EF">
        <w:t>)</w:t>
      </w:r>
      <w:r w:rsidRPr="00405DA7">
        <w:t xml:space="preserve"> report suggested that ‘slow absor</w:t>
      </w:r>
      <w:r>
        <w:t xml:space="preserve">ption might account for gastric </w:t>
      </w:r>
      <w:r w:rsidRPr="00405DA7">
        <w:t>irritancy’.</w:t>
      </w:r>
    </w:p>
    <w:p w:rsidR="00F91295" w:rsidRPr="007F32BD" w:rsidRDefault="00F91295" w:rsidP="00574B03">
      <w:pPr>
        <w:pStyle w:val="Heading4"/>
        <w:numPr>
          <w:ilvl w:val="2"/>
          <w:numId w:val="7"/>
        </w:numPr>
      </w:pPr>
      <w:bookmarkStart w:id="22" w:name="_Toc241374287"/>
      <w:bookmarkStart w:id="23" w:name="_Toc272414620"/>
      <w:bookmarkStart w:id="24" w:name="_Toc290846243"/>
      <w:bookmarkStart w:id="25" w:name="_Toc430785324"/>
      <w:r w:rsidRPr="007F32BD">
        <w:t>Bioavailability</w:t>
      </w:r>
      <w:bookmarkEnd w:id="22"/>
      <w:bookmarkEnd w:id="23"/>
      <w:bookmarkEnd w:id="24"/>
      <w:bookmarkEnd w:id="25"/>
    </w:p>
    <w:p w:rsidR="00A13AD4" w:rsidRPr="00626E08" w:rsidRDefault="00F91295" w:rsidP="00626E08">
      <w:r w:rsidRPr="003910E1">
        <w:t xml:space="preserve">Oral bioavailability is considered to be high. In Study PIPF-005 urinary recovery of pirfenidone and the primary metabolite </w:t>
      </w:r>
      <w:r w:rsidR="000878A7" w:rsidRPr="00626E08">
        <w:t>5-carboxy-pirfenidone (5</w:t>
      </w:r>
      <w:r w:rsidR="000878A7" w:rsidRPr="00626E08">
        <w:noBreakHyphen/>
        <w:t>CA</w:t>
      </w:r>
      <w:r w:rsidR="000878A7" w:rsidRPr="00626E08">
        <w:noBreakHyphen/>
        <w:t>pirfenidone)</w:t>
      </w:r>
      <w:r w:rsidRPr="00626E08">
        <w:t xml:space="preserve"> was approximately 80% of administered dose.</w:t>
      </w:r>
    </w:p>
    <w:p w:rsidR="00F91295" w:rsidRPr="00F91295" w:rsidRDefault="00F91295" w:rsidP="00F91295">
      <w:pPr>
        <w:pStyle w:val="Heading5"/>
      </w:pPr>
      <w:r w:rsidRPr="00F91295">
        <w:t>Absolute bioavailability</w:t>
      </w:r>
    </w:p>
    <w:p w:rsidR="00F91295" w:rsidRDefault="00F91295" w:rsidP="00F91295">
      <w:pPr>
        <w:autoSpaceDE w:val="0"/>
        <w:autoSpaceDN w:val="0"/>
        <w:adjustRightInd w:val="0"/>
      </w:pPr>
      <w:r>
        <w:t>According to the submission</w:t>
      </w:r>
      <w:r w:rsidRPr="00EA0C72">
        <w:t>, absolute bioavailability has not been determined in humans</w:t>
      </w:r>
      <w:r w:rsidRPr="007F32BD">
        <w:t xml:space="preserve"> due to lack </w:t>
      </w:r>
      <w:r>
        <w:t>of a</w:t>
      </w:r>
      <w:r w:rsidR="00FA7E6B">
        <w:t>n</w:t>
      </w:r>
      <w:r w:rsidR="00B36239">
        <w:t xml:space="preserve"> </w:t>
      </w:r>
      <w:r>
        <w:t xml:space="preserve">intravenous formulation. </w:t>
      </w:r>
      <w:r w:rsidRPr="00EA0C72">
        <w:t xml:space="preserve">The justification provided states that as pirfenidone is considered to be a highly soluble and highly permeable drug substance that demonstrates rapid </w:t>
      </w:r>
      <w:r w:rsidRPr="00F91295">
        <w:t xml:space="preserve">in vitro </w:t>
      </w:r>
      <w:r w:rsidRPr="00EA0C72">
        <w:t>dissolution in the proposed capsule dosage form, the rate and extend of drug absorption is unlikely to be dependent on drug dissolution and/or gastrointestinal transit time, with the capsules expe</w:t>
      </w:r>
      <w:r>
        <w:t>cted to behave like a solution.</w:t>
      </w:r>
    </w:p>
    <w:p w:rsidR="00FA7E6B" w:rsidRPr="00FA7E6B" w:rsidRDefault="00FA7E6B" w:rsidP="00FA7E6B">
      <w:pPr>
        <w:pStyle w:val="Heading4"/>
        <w:numPr>
          <w:ilvl w:val="2"/>
          <w:numId w:val="24"/>
        </w:numPr>
      </w:pPr>
      <w:r w:rsidRPr="00FA7E6B">
        <w:t>Bioequivalence of clinical trial and</w:t>
      </w:r>
      <w:r>
        <w:t xml:space="preserve"> market formulations</w:t>
      </w:r>
    </w:p>
    <w:p w:rsidR="00FA7E6B" w:rsidRPr="007F32BD" w:rsidRDefault="00FA7E6B" w:rsidP="000E7CA2">
      <w:r w:rsidRPr="00FA7E6B">
        <w:t>No specific</w:t>
      </w:r>
      <w:r w:rsidRPr="005A7D4D">
        <w:t xml:space="preserve"> </w:t>
      </w:r>
      <w:r w:rsidRPr="00FA7E6B">
        <w:t>information was provided.</w:t>
      </w:r>
    </w:p>
    <w:p w:rsidR="00F91295" w:rsidRPr="00F91295" w:rsidRDefault="00F91295" w:rsidP="00F91295">
      <w:pPr>
        <w:pStyle w:val="Heading5"/>
      </w:pPr>
      <w:r w:rsidRPr="00F91295">
        <w:t>Influence of food</w:t>
      </w:r>
    </w:p>
    <w:p w:rsidR="00F91295" w:rsidRPr="007F32BD" w:rsidRDefault="00F91295" w:rsidP="00F91295">
      <w:pPr>
        <w:autoSpaceDE w:val="0"/>
        <w:autoSpaceDN w:val="0"/>
        <w:adjustRightInd w:val="0"/>
      </w:pPr>
      <w:r w:rsidRPr="00EA0C72">
        <w:t>Study PIPF</w:t>
      </w:r>
      <w:r w:rsidR="000878A7">
        <w:noBreakHyphen/>
      </w:r>
      <w:r w:rsidRPr="00EA0C72">
        <w:t>005</w:t>
      </w:r>
      <w:r w:rsidRPr="007F32BD">
        <w:t xml:space="preserve"> showed that food reduced the rate and extent of </w:t>
      </w:r>
      <w:r w:rsidR="000878A7">
        <w:t>absorption (C</w:t>
      </w:r>
      <w:r w:rsidRPr="007A1554">
        <w:rPr>
          <w:vertAlign w:val="subscript"/>
        </w:rPr>
        <w:t>max</w:t>
      </w:r>
      <w:r w:rsidRPr="007F32BD">
        <w:t xml:space="preserve"> reduced by 50%, AUC</w:t>
      </w:r>
      <w:r w:rsidRPr="007A1554">
        <w:rPr>
          <w:vertAlign w:val="subscript"/>
        </w:rPr>
        <w:t xml:space="preserve">0-72 </w:t>
      </w:r>
      <w:r>
        <w:t xml:space="preserve">by 15 to </w:t>
      </w:r>
      <w:r w:rsidRPr="007F32BD">
        <w:t>20%) compared to fasting state, with subjects less likely to experience GI</w:t>
      </w:r>
      <w:r w:rsidR="008D5C05">
        <w:t xml:space="preserve"> </w:t>
      </w:r>
      <w:r w:rsidRPr="007F32BD">
        <w:t>or CNS</w:t>
      </w:r>
      <w:r w:rsidR="008D5C05">
        <w:t xml:space="preserve"> </w:t>
      </w:r>
      <w:r w:rsidRPr="007F32BD">
        <w:t>adverse events when pirfenidone was administered with food.</w:t>
      </w:r>
    </w:p>
    <w:p w:rsidR="00F91295" w:rsidRPr="00F91295" w:rsidRDefault="00F91295" w:rsidP="00F91295">
      <w:pPr>
        <w:pStyle w:val="Heading5"/>
      </w:pPr>
      <w:r w:rsidRPr="00F91295">
        <w:t>Dose proportionality</w:t>
      </w:r>
    </w:p>
    <w:p w:rsidR="00F91295" w:rsidRDefault="00F91295" w:rsidP="00F91295">
      <w:pPr>
        <w:autoSpaceDE w:val="0"/>
        <w:autoSpaceDN w:val="0"/>
        <w:adjustRightInd w:val="0"/>
      </w:pPr>
      <w:r w:rsidRPr="007F32BD">
        <w:t>Dose proport</w:t>
      </w:r>
      <w:r>
        <w:t xml:space="preserve">ionality seen in the multiple dose </w:t>
      </w:r>
      <w:r w:rsidRPr="007F32BD">
        <w:t>cohort</w:t>
      </w:r>
      <w:r>
        <w:t xml:space="preserve"> in PIPF-</w:t>
      </w:r>
      <w:r w:rsidRPr="007F32BD">
        <w:t xml:space="preserve">005 </w:t>
      </w:r>
      <w:r>
        <w:t xml:space="preserve">with a </w:t>
      </w:r>
      <w:r w:rsidRPr="007F32BD">
        <w:t>trend for decreased clearance with increasing dose</w:t>
      </w:r>
      <w:r w:rsidR="00CE2BF8">
        <w:t xml:space="preserve"> (see Table </w:t>
      </w:r>
      <w:r w:rsidR="00AF1B07">
        <w:t>2</w:t>
      </w:r>
      <w:r w:rsidR="00CE2BF8">
        <w:t>)</w:t>
      </w:r>
      <w:r>
        <w:t>. This was confirmed in population PK analyses; however non</w:t>
      </w:r>
      <w:r>
        <w:noBreakHyphen/>
        <w:t>linearity was not apparent at serum concentrations achieved following clinically relevant doses.</w:t>
      </w:r>
    </w:p>
    <w:p w:rsidR="00CE2BF8" w:rsidRDefault="00CE2BF8" w:rsidP="00626E08">
      <w:pPr>
        <w:pStyle w:val="Tabletitle"/>
      </w:pPr>
      <w:r>
        <w:lastRenderedPageBreak/>
        <w:t xml:space="preserve">Table </w:t>
      </w:r>
      <w:r w:rsidR="00AF1B07">
        <w:t>2</w:t>
      </w:r>
      <w:r>
        <w:t>: Summary statistics of pirfenidone PK parameters stratified by dose</w:t>
      </w:r>
      <w:r w:rsidR="002275F8">
        <w:t xml:space="preserve"> in</w:t>
      </w:r>
      <w:r>
        <w:t xml:space="preserve"> </w:t>
      </w:r>
      <w:r w:rsidR="002275F8">
        <w:t>the m</w:t>
      </w:r>
      <w:r>
        <w:t>ultiple</w:t>
      </w:r>
      <w:r>
        <w:noBreakHyphen/>
        <w:t>dose cohort</w:t>
      </w:r>
      <w:r w:rsidR="002275F8">
        <w:t xml:space="preserve"> of Study PIPF</w:t>
      </w:r>
      <w:r w:rsidR="002275F8">
        <w:noBreakHyphen/>
        <w:t>005</w:t>
      </w:r>
    </w:p>
    <w:p w:rsidR="00CE2BF8" w:rsidRPr="007F32BD" w:rsidRDefault="00CE2BF8" w:rsidP="00F91295">
      <w:pPr>
        <w:autoSpaceDE w:val="0"/>
        <w:autoSpaceDN w:val="0"/>
        <w:adjustRightInd w:val="0"/>
      </w:pPr>
      <w:r>
        <w:rPr>
          <w:noProof/>
          <w:lang w:eastAsia="en-AU"/>
        </w:rPr>
        <w:drawing>
          <wp:inline distT="0" distB="0" distL="0" distR="0" wp14:anchorId="2BA09E21" wp14:editId="4BDF1B80">
            <wp:extent cx="4981959" cy="5192202"/>
            <wp:effectExtent l="0" t="0" r="0" b="8890"/>
            <wp:docPr id="25" name="Picture 25" descr="Table 2: Summary statistics of pirfenidone PK parameters stratified by dose in the multiple dose cohort of Study PIPF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duotone>
                        <a:schemeClr val="bg2">
                          <a:shade val="45000"/>
                          <a:satMod val="135000"/>
                        </a:schemeClr>
                        <a:prstClr val="white"/>
                      </a:duotone>
                      <a:extLst>
                        <a:ext uri="{BEBA8EAE-BF5A-486C-A8C5-ECC9F3942E4B}">
                          <a14:imgProps xmlns:a14="http://schemas.microsoft.com/office/drawing/2010/main">
                            <a14:imgLayer r:embed="rId16">
                              <a14:imgEffect>
                                <a14:sharpenSoften amount="25000"/>
                              </a14:imgEffect>
                              <a14:imgEffect>
                                <a14:brightnessContrast bright="-11000" contrast="40000"/>
                              </a14:imgEffect>
                            </a14:imgLayer>
                          </a14:imgProps>
                        </a:ext>
                      </a:extLst>
                    </a:blip>
                    <a:stretch>
                      <a:fillRect/>
                    </a:stretch>
                  </pic:blipFill>
                  <pic:spPr>
                    <a:xfrm>
                      <a:off x="0" y="0"/>
                      <a:ext cx="4983590" cy="5193902"/>
                    </a:xfrm>
                    <a:prstGeom prst="rect">
                      <a:avLst/>
                    </a:prstGeom>
                  </pic:spPr>
                </pic:pic>
              </a:graphicData>
            </a:graphic>
          </wp:inline>
        </w:drawing>
      </w:r>
    </w:p>
    <w:p w:rsidR="00F91295" w:rsidRPr="00F91295" w:rsidRDefault="00F91295" w:rsidP="00F91295">
      <w:pPr>
        <w:pStyle w:val="Heading5"/>
      </w:pPr>
      <w:r w:rsidRPr="00F91295">
        <w:t>Bioavailability during multiple-dosing</w:t>
      </w:r>
    </w:p>
    <w:p w:rsidR="00F91295" w:rsidRDefault="00F91295" w:rsidP="00F91295">
      <w:pPr>
        <w:autoSpaceDE w:val="0"/>
        <w:autoSpaceDN w:val="0"/>
        <w:adjustRightInd w:val="0"/>
      </w:pPr>
      <w:r>
        <w:t>T</w:t>
      </w:r>
      <w:r w:rsidRPr="007F32BD">
        <w:t>he effect of multiple dosing was negligible within a dosing level, and significant</w:t>
      </w:r>
      <w:r>
        <w:t xml:space="preserve"> accumulation was not observed.</w:t>
      </w:r>
    </w:p>
    <w:p w:rsidR="00F91295" w:rsidRPr="007F32BD" w:rsidRDefault="00F91295" w:rsidP="00574B03">
      <w:pPr>
        <w:pStyle w:val="Heading4"/>
        <w:numPr>
          <w:ilvl w:val="2"/>
          <w:numId w:val="8"/>
        </w:numPr>
      </w:pPr>
      <w:bookmarkStart w:id="26" w:name="_Toc241374288"/>
      <w:bookmarkStart w:id="27" w:name="_Toc272414621"/>
      <w:bookmarkStart w:id="28" w:name="_Toc290846244"/>
      <w:bookmarkStart w:id="29" w:name="_Toc430785325"/>
      <w:r w:rsidRPr="00F91295">
        <w:t>Distribution</w:t>
      </w:r>
      <w:bookmarkEnd w:id="26"/>
      <w:bookmarkEnd w:id="27"/>
      <w:bookmarkEnd w:id="28"/>
      <w:bookmarkEnd w:id="29"/>
    </w:p>
    <w:p w:rsidR="00F91295" w:rsidRPr="007F32BD" w:rsidRDefault="00F91295" w:rsidP="00F91295">
      <w:pPr>
        <w:pStyle w:val="Heading5"/>
      </w:pPr>
      <w:r w:rsidRPr="007F32BD">
        <w:t xml:space="preserve">Volume of </w:t>
      </w:r>
      <w:r w:rsidRPr="00F91295">
        <w:t>distribution</w:t>
      </w:r>
    </w:p>
    <w:p w:rsidR="00F91295" w:rsidRPr="007F32BD" w:rsidRDefault="00F91295" w:rsidP="00F91295">
      <w:pPr>
        <w:autoSpaceDE w:val="0"/>
        <w:autoSpaceDN w:val="0"/>
        <w:adjustRightInd w:val="0"/>
      </w:pPr>
      <w:r w:rsidRPr="007F32BD">
        <w:t xml:space="preserve">Mean apparent </w:t>
      </w:r>
      <w:r>
        <w:t xml:space="preserve">oral </w:t>
      </w:r>
      <w:r w:rsidRPr="007F32BD">
        <w:t>steady</w:t>
      </w:r>
      <w:r w:rsidR="00FA7E6B">
        <w:t xml:space="preserve"> </w:t>
      </w:r>
      <w:r w:rsidRPr="007F32BD">
        <w:t>state volume of distribution was approximately 70 L</w:t>
      </w:r>
      <w:r>
        <w:t xml:space="preserve"> in subjects from PIPF-004 (PIPF-ORD1).</w:t>
      </w:r>
    </w:p>
    <w:p w:rsidR="00F91295" w:rsidRPr="007F32BD" w:rsidRDefault="00F91295" w:rsidP="00F91295">
      <w:pPr>
        <w:pStyle w:val="Heading5"/>
      </w:pPr>
      <w:r w:rsidRPr="007F32BD">
        <w:t>Plasma protein binding</w:t>
      </w:r>
    </w:p>
    <w:p w:rsidR="00F91295" w:rsidRPr="007F32BD" w:rsidRDefault="00F91295" w:rsidP="00F91295">
      <w:pPr>
        <w:autoSpaceDE w:val="0"/>
        <w:autoSpaceDN w:val="0"/>
        <w:adjustRightInd w:val="0"/>
      </w:pPr>
      <w:r w:rsidRPr="007F32BD">
        <w:t>Pirfenidone binds to human plasma proteins, primarily to serum albumin. The overall mean binding ranged from 50% to 58% at concentratio</w:t>
      </w:r>
      <w:r>
        <w:t>ns observed in clinical studi</w:t>
      </w:r>
      <w:r w:rsidR="008D5C05">
        <w:t>es (1 to 100 </w:t>
      </w:r>
      <w:r>
        <w:t>μg/mL).</w:t>
      </w:r>
    </w:p>
    <w:p w:rsidR="00F91295" w:rsidRPr="007F32BD" w:rsidRDefault="00F91295" w:rsidP="00F91295">
      <w:pPr>
        <w:pStyle w:val="Heading4"/>
      </w:pPr>
      <w:bookmarkStart w:id="30" w:name="_Toc272414622"/>
      <w:bookmarkStart w:id="31" w:name="_Toc290846245"/>
      <w:bookmarkStart w:id="32" w:name="_Toc430785326"/>
      <w:r w:rsidRPr="00F91295">
        <w:t>Metabolism</w:t>
      </w:r>
      <w:bookmarkEnd w:id="30"/>
      <w:bookmarkEnd w:id="31"/>
      <w:bookmarkEnd w:id="32"/>
    </w:p>
    <w:p w:rsidR="00F91295" w:rsidRPr="007F32BD" w:rsidRDefault="00FA7E6B" w:rsidP="00F91295">
      <w:r>
        <w:t xml:space="preserve">From nonclinical and Study </w:t>
      </w:r>
      <w:r w:rsidRPr="00FA7E6B">
        <w:t>PIPF -005</w:t>
      </w:r>
      <w:r>
        <w:t>.</w:t>
      </w:r>
      <w:r w:rsidRPr="00FA7E6B">
        <w:t xml:space="preserve"> </w:t>
      </w:r>
      <w:r w:rsidR="000878A7">
        <w:t xml:space="preserve">5-CA-pirfenidone </w:t>
      </w:r>
      <w:r w:rsidR="00F91295" w:rsidRPr="007F32BD">
        <w:t xml:space="preserve">is the main human metabolite, </w:t>
      </w:r>
      <w:r w:rsidR="00F91295">
        <w:t>and appears to have limited biological activity; two</w:t>
      </w:r>
      <w:r w:rsidR="00F91295" w:rsidRPr="007F32BD">
        <w:t xml:space="preserve"> other metabolites 5-HO</w:t>
      </w:r>
      <w:r w:rsidR="00F91295">
        <w:noBreakHyphen/>
        <w:t>methyl</w:t>
      </w:r>
      <w:r w:rsidR="00F91295">
        <w:noBreakHyphen/>
      </w:r>
      <w:r w:rsidR="00F91295" w:rsidRPr="007F32BD">
        <w:t xml:space="preserve">pirfenidone </w:t>
      </w:r>
      <w:r w:rsidR="00F91295">
        <w:t>and a 5</w:t>
      </w:r>
      <w:r w:rsidR="00F91295">
        <w:noBreakHyphen/>
        <w:t>O</w:t>
      </w:r>
      <w:r w:rsidR="00F91295">
        <w:noBreakHyphen/>
        <w:t>acyl</w:t>
      </w:r>
      <w:r w:rsidR="00F91295">
        <w:noBreakHyphen/>
        <w:t>glucuronide of 5</w:t>
      </w:r>
      <w:r w:rsidR="00F91295">
        <w:noBreakHyphen/>
        <w:t>CA</w:t>
      </w:r>
      <w:r w:rsidR="00F91295">
        <w:noBreakHyphen/>
      </w:r>
      <w:r w:rsidR="00F91295" w:rsidRPr="007F32BD">
        <w:t>pirfenidone are detectable in</w:t>
      </w:r>
      <w:r w:rsidR="00630199">
        <w:t>consistently and at low levels.</w:t>
      </w:r>
    </w:p>
    <w:p w:rsidR="00F91295" w:rsidRPr="007F32BD" w:rsidRDefault="00F91295" w:rsidP="00F91295">
      <w:pPr>
        <w:pStyle w:val="Heading5"/>
      </w:pPr>
      <w:r w:rsidRPr="007F32BD">
        <w:lastRenderedPageBreak/>
        <w:t xml:space="preserve">Sites of metabolism and mechanisms / enzyme systems </w:t>
      </w:r>
      <w:r w:rsidRPr="00F91295">
        <w:t>involved</w:t>
      </w:r>
    </w:p>
    <w:p w:rsidR="00F91295" w:rsidRPr="007F32BD" w:rsidRDefault="00F91295" w:rsidP="00F91295">
      <w:pPr>
        <w:autoSpaceDE w:val="0"/>
        <w:autoSpaceDN w:val="0"/>
        <w:adjustRightInd w:val="0"/>
      </w:pPr>
      <w:r w:rsidRPr="007F32BD">
        <w:t>In healthy human subjects significan</w:t>
      </w:r>
      <w:r>
        <w:t xml:space="preserve">tly reduced </w:t>
      </w:r>
      <w:r w:rsidRPr="007F32BD">
        <w:t>pirfenidone clearance was observed secondary to concomitant administration of CYP1A2 inhibitors (</w:t>
      </w:r>
      <w:r>
        <w:t>Studies PIPF-010 and</w:t>
      </w:r>
      <w:r w:rsidRPr="001758FD">
        <w:t xml:space="preserve"> PIPF-017),</w:t>
      </w:r>
      <w:r w:rsidR="000878A7">
        <w:t xml:space="preserve"> supporting </w:t>
      </w:r>
      <w:r w:rsidRPr="007F32BD">
        <w:t>CYP1A2 as the primary route of metabolism.</w:t>
      </w:r>
    </w:p>
    <w:p w:rsidR="00F91295" w:rsidRPr="007F32BD" w:rsidRDefault="00F91295" w:rsidP="00F91295">
      <w:pPr>
        <w:pStyle w:val="Heading5"/>
      </w:pPr>
      <w:r w:rsidRPr="007F32BD">
        <w:t xml:space="preserve">Metabolites identified </w:t>
      </w:r>
      <w:r w:rsidRPr="00F91295">
        <w:t>in</w:t>
      </w:r>
      <w:r w:rsidRPr="007F32BD">
        <w:t xml:space="preserve"> humans</w:t>
      </w:r>
    </w:p>
    <w:p w:rsidR="00741B13" w:rsidRDefault="00F91295" w:rsidP="00F91295">
      <w:r>
        <w:t xml:space="preserve">There were </w:t>
      </w:r>
      <w:r w:rsidRPr="007F32BD">
        <w:t>three identifi</w:t>
      </w:r>
      <w:r>
        <w:t>ed metabolites:</w:t>
      </w:r>
      <w:r w:rsidR="00741B13">
        <w:t xml:space="preserve"> </w:t>
      </w:r>
      <w:r>
        <w:t>5</w:t>
      </w:r>
      <w:r>
        <w:noBreakHyphen/>
        <w:t>hydroxymethyl</w:t>
      </w:r>
      <w:r>
        <w:noBreakHyphen/>
        <w:t>pirfenidone</w:t>
      </w:r>
      <w:r w:rsidR="00741B13">
        <w:t xml:space="preserve">, </w:t>
      </w:r>
      <w:r>
        <w:t>5-CA-pirfenidone</w:t>
      </w:r>
      <w:r w:rsidR="00741B13">
        <w:t xml:space="preserve"> and the </w:t>
      </w:r>
      <w:r>
        <w:t>5–O</w:t>
      </w:r>
      <w:r>
        <w:noBreakHyphen/>
        <w:t>acyl</w:t>
      </w:r>
      <w:r>
        <w:noBreakHyphen/>
      </w:r>
      <w:r w:rsidRPr="007F32BD">
        <w:t>glucuronide metabolite</w:t>
      </w:r>
      <w:r>
        <w:t xml:space="preserve"> of 5</w:t>
      </w:r>
      <w:r>
        <w:noBreakHyphen/>
        <w:t>CA</w:t>
      </w:r>
      <w:r>
        <w:noBreakHyphen/>
      </w:r>
      <w:r w:rsidRPr="007F32BD">
        <w:t>pirfenidone</w:t>
      </w:r>
      <w:r>
        <w:t>. O</w:t>
      </w:r>
      <w:r w:rsidRPr="007F32BD">
        <w:t>nly 5-CA-pirfenidone is present in plasma and urine in significant quantities.</w:t>
      </w:r>
    </w:p>
    <w:p w:rsidR="00741B13" w:rsidRPr="00001402" w:rsidRDefault="00741B13" w:rsidP="000E7CA2">
      <w:pPr>
        <w:pStyle w:val="Heading5"/>
      </w:pPr>
      <w:r w:rsidRPr="008340CD">
        <w:t>Active metabolites</w:t>
      </w:r>
    </w:p>
    <w:p w:rsidR="00F91295" w:rsidRPr="007F32BD" w:rsidRDefault="00F91295" w:rsidP="00F91295">
      <w:r>
        <w:t>None have been shown to be biologically active.</w:t>
      </w:r>
    </w:p>
    <w:p w:rsidR="00F91295" w:rsidRPr="007F32BD" w:rsidRDefault="00F91295" w:rsidP="00F91295">
      <w:pPr>
        <w:pStyle w:val="Heading5"/>
      </w:pPr>
      <w:r w:rsidRPr="007F32BD">
        <w:t xml:space="preserve">Consequences of </w:t>
      </w:r>
      <w:r w:rsidRPr="00F91295">
        <w:t>genetic</w:t>
      </w:r>
      <w:r w:rsidRPr="007F32BD">
        <w:t xml:space="preserve"> polymorphism</w:t>
      </w:r>
    </w:p>
    <w:p w:rsidR="00F91295" w:rsidRPr="007F32BD" w:rsidRDefault="00F91295" w:rsidP="00F91295">
      <w:pPr>
        <w:autoSpaceDE w:val="0"/>
        <w:autoSpaceDN w:val="0"/>
        <w:adjustRightInd w:val="0"/>
      </w:pPr>
      <w:r>
        <w:t>No information was provided.</w:t>
      </w:r>
    </w:p>
    <w:p w:rsidR="00F91295" w:rsidRPr="007F32BD" w:rsidRDefault="00F91295" w:rsidP="00F91295">
      <w:pPr>
        <w:pStyle w:val="Heading4"/>
      </w:pPr>
      <w:bookmarkStart w:id="33" w:name="_Toc241374289"/>
      <w:bookmarkStart w:id="34" w:name="_Toc272414623"/>
      <w:bookmarkStart w:id="35" w:name="_Toc290846246"/>
      <w:bookmarkStart w:id="36" w:name="_Toc430785327"/>
      <w:r w:rsidRPr="00F91295">
        <w:t>E</w:t>
      </w:r>
      <w:bookmarkEnd w:id="33"/>
      <w:r w:rsidRPr="00F91295">
        <w:t>xcretion</w:t>
      </w:r>
      <w:bookmarkEnd w:id="34"/>
      <w:bookmarkEnd w:id="35"/>
      <w:bookmarkEnd w:id="36"/>
    </w:p>
    <w:p w:rsidR="00F91295" w:rsidRPr="000E7CA2" w:rsidRDefault="00F91295" w:rsidP="00F91295">
      <w:r w:rsidRPr="007F32BD">
        <w:t>Following single dose administration of pirfenidone in healthy older adults, the mean apparent terminal elimination half-li</w:t>
      </w:r>
      <w:r>
        <w:t>fe was approximately 2.4 h</w:t>
      </w:r>
      <w:r w:rsidR="00741B13">
        <w:t>ours</w:t>
      </w:r>
      <w:r>
        <w:t>.</w:t>
      </w:r>
      <w:r w:rsidRPr="007F32BD">
        <w:t xml:space="preserve"> In a multiple dose, dose ranging study in healthy older adults administered doses ranging from 267 mg to 1</w:t>
      </w:r>
      <w:r w:rsidR="00741B13">
        <w:t>,</w:t>
      </w:r>
      <w:r w:rsidRPr="007F32BD">
        <w:t xml:space="preserve">335 mg </w:t>
      </w:r>
      <w:r w:rsidR="00741B13">
        <w:t>three times a day</w:t>
      </w:r>
      <w:r w:rsidRPr="007F32BD">
        <w:t>, the mean clearance decreased by approximately 25% above a do</w:t>
      </w:r>
      <w:r w:rsidR="000878A7">
        <w:t xml:space="preserve">se of 801 mg </w:t>
      </w:r>
      <w:r w:rsidR="00741B13" w:rsidRPr="00741B13">
        <w:t>three times a day</w:t>
      </w:r>
      <w:r w:rsidRPr="00741B13">
        <w:t>.</w:t>
      </w:r>
    </w:p>
    <w:p w:rsidR="00F91295" w:rsidRPr="007F32BD" w:rsidRDefault="00F91295" w:rsidP="006A4419">
      <w:pPr>
        <w:pStyle w:val="Heading5"/>
      </w:pPr>
      <w:r w:rsidRPr="007F32BD">
        <w:t xml:space="preserve">Routes and mechanisms of </w:t>
      </w:r>
      <w:r w:rsidRPr="006A4419">
        <w:t>excretion</w:t>
      </w:r>
    </w:p>
    <w:p w:rsidR="00F91295" w:rsidRPr="007F32BD" w:rsidRDefault="00F91295" w:rsidP="00F91295">
      <w:r w:rsidRPr="007F32BD">
        <w:t>Approximately 80% of an orally administered dose of pirfenidone</w:t>
      </w:r>
      <w:r w:rsidR="000878A7">
        <w:t xml:space="preserve"> is cleared in the urine within </w:t>
      </w:r>
      <w:r w:rsidRPr="007F32BD">
        <w:t>24</w:t>
      </w:r>
      <w:r w:rsidR="000878A7">
        <w:t xml:space="preserve"> h</w:t>
      </w:r>
      <w:r w:rsidR="00741B13">
        <w:t>ours</w:t>
      </w:r>
      <w:r>
        <w:t xml:space="preserve"> of dosing. </w:t>
      </w:r>
      <w:r w:rsidRPr="007F32BD">
        <w:t>The majority of p</w:t>
      </w:r>
      <w:r w:rsidR="006A4419">
        <w:t>irfenidone is excreted as the 5</w:t>
      </w:r>
      <w:r w:rsidR="006A4419">
        <w:noBreakHyphen/>
        <w:t>CA</w:t>
      </w:r>
      <w:r w:rsidR="006A4419">
        <w:noBreakHyphen/>
      </w:r>
      <w:r w:rsidRPr="007F32BD">
        <w:t>pirfenidone metab</w:t>
      </w:r>
      <w:r>
        <w:t>olite (&gt;</w:t>
      </w:r>
      <w:r w:rsidR="006A4419">
        <w:t> </w:t>
      </w:r>
      <w:r>
        <w:t>95% of that recovered).</w:t>
      </w:r>
    </w:p>
    <w:p w:rsidR="00F91295" w:rsidRPr="007F32BD" w:rsidRDefault="00F91295" w:rsidP="006A4419">
      <w:pPr>
        <w:pStyle w:val="Heading5"/>
      </w:pPr>
      <w:r w:rsidRPr="007F32BD">
        <w:t xml:space="preserve">Mass </w:t>
      </w:r>
      <w:r w:rsidRPr="006A4419">
        <w:t>balance</w:t>
      </w:r>
      <w:r w:rsidRPr="007F32BD">
        <w:t xml:space="preserve"> studies</w:t>
      </w:r>
    </w:p>
    <w:p w:rsidR="00F91295" w:rsidRPr="007F32BD" w:rsidRDefault="00F91295" w:rsidP="00F91295">
      <w:pPr>
        <w:autoSpaceDE w:val="0"/>
        <w:autoSpaceDN w:val="0"/>
        <w:adjustRightInd w:val="0"/>
      </w:pPr>
      <w:r>
        <w:t>There was n</w:t>
      </w:r>
      <w:r w:rsidRPr="007F32BD">
        <w:t>o formal mass balance study; PIPF-005 showed human urine recovery</w:t>
      </w:r>
      <w:r>
        <w:t xml:space="preserve"> of </w:t>
      </w:r>
      <w:r w:rsidRPr="007F32BD">
        <w:t>approximately 80% of administered dose.</w:t>
      </w:r>
    </w:p>
    <w:p w:rsidR="00F91295" w:rsidRPr="007F32BD" w:rsidRDefault="00F91295" w:rsidP="006A4419">
      <w:pPr>
        <w:pStyle w:val="Heading5"/>
      </w:pPr>
      <w:r w:rsidRPr="007F32BD">
        <w:t xml:space="preserve">Renal </w:t>
      </w:r>
      <w:r w:rsidRPr="006A4419">
        <w:t>clearance</w:t>
      </w:r>
    </w:p>
    <w:p w:rsidR="00F91295" w:rsidRDefault="00F91295" w:rsidP="00F91295">
      <w:pPr>
        <w:autoSpaceDE w:val="0"/>
        <w:autoSpaceDN w:val="0"/>
        <w:adjustRightInd w:val="0"/>
      </w:pPr>
      <w:r>
        <w:t>L</w:t>
      </w:r>
      <w:r w:rsidRPr="007F32BD">
        <w:t>ess than 1% of pirfenido</w:t>
      </w:r>
      <w:r>
        <w:t>ne excreted unchanged in urine.</w:t>
      </w:r>
      <w:r w:rsidRPr="007F32BD">
        <w:t xml:space="preserve"> </w:t>
      </w:r>
      <w:r>
        <w:t>T</w:t>
      </w:r>
      <w:r w:rsidRPr="00C71A86">
        <w:t>he metabolite 5</w:t>
      </w:r>
      <w:r>
        <w:t>-CA-</w:t>
      </w:r>
      <w:r w:rsidRPr="00C71A86">
        <w:t>pirfenidone is eliminated primarily through the kidney</w:t>
      </w:r>
      <w:r>
        <w:t>.</w:t>
      </w:r>
    </w:p>
    <w:p w:rsidR="001103E2" w:rsidRPr="00001402" w:rsidRDefault="001103E2" w:rsidP="000E7CA2">
      <w:pPr>
        <w:pStyle w:val="Heading5"/>
      </w:pPr>
      <w:r w:rsidRPr="008340CD">
        <w:t>Intra- and inter-individual variability of pharmacokinetics</w:t>
      </w:r>
    </w:p>
    <w:p w:rsidR="002275F8" w:rsidRDefault="001103E2" w:rsidP="000E7CA2">
      <w:r w:rsidRPr="001103E2">
        <w:t xml:space="preserve">Summary data show wide ranges for PK parameters (SD and 25th -75th </w:t>
      </w:r>
      <w:r>
        <w:t>centiles)</w:t>
      </w:r>
      <w:r w:rsidR="002275F8">
        <w:t xml:space="preserve"> (see Table </w:t>
      </w:r>
      <w:r w:rsidR="00351A53">
        <w:t>2</w:t>
      </w:r>
      <w:r w:rsidR="002275F8">
        <w:t xml:space="preserve"> above and Table </w:t>
      </w:r>
      <w:r w:rsidR="00351A53">
        <w:t>3</w:t>
      </w:r>
      <w:r w:rsidR="002275F8">
        <w:t xml:space="preserve"> below).</w:t>
      </w:r>
    </w:p>
    <w:p w:rsidR="001103E2" w:rsidRDefault="002275F8" w:rsidP="00626E08">
      <w:pPr>
        <w:pStyle w:val="Tabletitle"/>
      </w:pPr>
      <w:r>
        <w:lastRenderedPageBreak/>
        <w:t xml:space="preserve">Table </w:t>
      </w:r>
      <w:r w:rsidR="00351A53">
        <w:t>3</w:t>
      </w:r>
      <w:r>
        <w:t>: Summary statistics of derived PK parameters in the multiple</w:t>
      </w:r>
      <w:r>
        <w:noBreakHyphen/>
        <w:t>dose cohort of Study PIPF</w:t>
      </w:r>
      <w:r>
        <w:noBreakHyphen/>
        <w:t>005</w:t>
      </w:r>
    </w:p>
    <w:p w:rsidR="00CE2BF8" w:rsidRPr="001103E2" w:rsidRDefault="00CE2BF8" w:rsidP="000E7CA2">
      <w:r>
        <w:rPr>
          <w:noProof/>
          <w:lang w:eastAsia="en-AU"/>
        </w:rPr>
        <w:drawing>
          <wp:inline distT="0" distB="0" distL="0" distR="0" wp14:anchorId="492ECA3A" wp14:editId="2310ECE9">
            <wp:extent cx="5581816" cy="2843982"/>
            <wp:effectExtent l="0" t="0" r="0" b="0"/>
            <wp:docPr id="26" name="Picture 26" descr="Table 3: Summary statistics of derived PK parameters in the multiple dose cohort of Study PIPF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duotone>
                        <a:schemeClr val="accent1">
                          <a:shade val="45000"/>
                          <a:satMod val="135000"/>
                        </a:schemeClr>
                        <a:prstClr val="white"/>
                      </a:duotone>
                      <a:extLst>
                        <a:ext uri="{BEBA8EAE-BF5A-486C-A8C5-ECC9F3942E4B}">
                          <a14:imgProps xmlns:a14="http://schemas.microsoft.com/office/drawing/2010/main">
                            <a14:imgLayer r:embed="rId18">
                              <a14:imgEffect>
                                <a14:sharpenSoften amount="68000"/>
                              </a14:imgEffect>
                              <a14:imgEffect>
                                <a14:brightnessContrast contrast="-40000"/>
                              </a14:imgEffect>
                            </a14:imgLayer>
                          </a14:imgProps>
                        </a:ext>
                      </a:extLst>
                    </a:blip>
                    <a:stretch>
                      <a:fillRect/>
                    </a:stretch>
                  </pic:blipFill>
                  <pic:spPr>
                    <a:xfrm>
                      <a:off x="0" y="0"/>
                      <a:ext cx="5585876" cy="2846050"/>
                    </a:xfrm>
                    <a:prstGeom prst="rect">
                      <a:avLst/>
                    </a:prstGeom>
                  </pic:spPr>
                </pic:pic>
              </a:graphicData>
            </a:graphic>
          </wp:inline>
        </w:drawing>
      </w:r>
    </w:p>
    <w:p w:rsidR="006A4419" w:rsidRPr="007F32BD" w:rsidRDefault="006A4419" w:rsidP="006A4419">
      <w:pPr>
        <w:pStyle w:val="Heading3"/>
      </w:pPr>
      <w:bookmarkStart w:id="37" w:name="_Toc241374292"/>
      <w:bookmarkStart w:id="38" w:name="_Ref271189131"/>
      <w:bookmarkStart w:id="39" w:name="_Ref271189136"/>
      <w:bookmarkStart w:id="40" w:name="_Toc272414625"/>
      <w:bookmarkStart w:id="41" w:name="_Toc290846248"/>
      <w:bookmarkStart w:id="42" w:name="_Toc430785329"/>
      <w:bookmarkStart w:id="43" w:name="_Toc459986977"/>
      <w:r w:rsidRPr="006A4419">
        <w:t>Pharmacokinetics</w:t>
      </w:r>
      <w:r w:rsidRPr="007F32BD">
        <w:t xml:space="preserve"> in the target population</w:t>
      </w:r>
      <w:bookmarkEnd w:id="37"/>
      <w:bookmarkEnd w:id="38"/>
      <w:bookmarkEnd w:id="39"/>
      <w:bookmarkEnd w:id="40"/>
      <w:bookmarkEnd w:id="41"/>
      <w:bookmarkEnd w:id="42"/>
      <w:bookmarkEnd w:id="43"/>
    </w:p>
    <w:p w:rsidR="006A4419" w:rsidRDefault="006A4419" w:rsidP="006A4419">
      <w:pPr>
        <w:autoSpaceDE w:val="0"/>
        <w:autoSpaceDN w:val="0"/>
        <w:adjustRightInd w:val="0"/>
      </w:pPr>
      <w:r w:rsidRPr="001758FD">
        <w:t xml:space="preserve">This was derived from a population PK approach developed in Phase </w:t>
      </w:r>
      <w:r w:rsidR="00DE0015">
        <w:t>I</w:t>
      </w:r>
      <w:r w:rsidRPr="001758FD">
        <w:t xml:space="preserve"> studies and applied to the </w:t>
      </w:r>
      <w:r>
        <w:t>data from a</w:t>
      </w:r>
      <w:r w:rsidR="000878A7">
        <w:t xml:space="preserve"> subset of subjects from Phase III</w:t>
      </w:r>
      <w:r>
        <w:t xml:space="preserve"> Study PIPF-</w:t>
      </w:r>
      <w:r w:rsidRPr="001758FD">
        <w:t>004.</w:t>
      </w:r>
      <w:r>
        <w:t xml:space="preserve"> The submission provided the following arithmetic means (minimum</w:t>
      </w:r>
      <w:r w:rsidR="008D5C05">
        <w:noBreakHyphen/>
      </w:r>
      <w:r>
        <w:t>maximum) for pirfenidone PK par</w:t>
      </w:r>
      <w:r w:rsidR="000878A7">
        <w:t xml:space="preserve">ameters (see Table </w:t>
      </w:r>
      <w:r w:rsidR="00351A53">
        <w:t xml:space="preserve">4 </w:t>
      </w:r>
      <w:r w:rsidR="000878A7">
        <w:t>for Study PIPF</w:t>
      </w:r>
      <w:r w:rsidR="000878A7">
        <w:noBreakHyphen/>
        <w:t>004 data</w:t>
      </w:r>
      <w:r>
        <w:t>).</w:t>
      </w:r>
    </w:p>
    <w:p w:rsidR="006A4419" w:rsidRDefault="006A4419" w:rsidP="006A4419">
      <w:pPr>
        <w:pStyle w:val="Tabletitle"/>
      </w:pPr>
      <w:r>
        <w:t xml:space="preserve">Table </w:t>
      </w:r>
      <w:r w:rsidR="00351A53">
        <w:t>4</w:t>
      </w:r>
      <w:r>
        <w:t>. Arithmetic means ((minimum –maximum) for pirfenidone PK parameters).</w:t>
      </w:r>
    </w:p>
    <w:tbl>
      <w:tblPr>
        <w:tblStyle w:val="TableTGAblue"/>
        <w:tblW w:w="9464" w:type="dxa"/>
        <w:tblLayout w:type="fixed"/>
        <w:tblLook w:val="0020" w:firstRow="1" w:lastRow="0" w:firstColumn="0" w:lastColumn="0" w:noHBand="0" w:noVBand="0"/>
        <w:tblCaption w:val="Table 2. Arithmetic means ((minimum –maximum) for pirfenidone PK parameters)."/>
        <w:tblDescription w:val="Arithmetic means ((minimum –maximum) for pirfenidone PK parameters)."/>
      </w:tblPr>
      <w:tblGrid>
        <w:gridCol w:w="1668"/>
        <w:gridCol w:w="850"/>
        <w:gridCol w:w="1843"/>
        <w:gridCol w:w="1786"/>
        <w:gridCol w:w="1544"/>
        <w:gridCol w:w="1773"/>
      </w:tblGrid>
      <w:tr w:rsidR="005B275F" w:rsidTr="005B275F">
        <w:trPr>
          <w:cnfStyle w:val="100000000000" w:firstRow="1" w:lastRow="0" w:firstColumn="0" w:lastColumn="0" w:oddVBand="0" w:evenVBand="0" w:oddHBand="0" w:evenHBand="0" w:firstRowFirstColumn="0" w:firstRowLastColumn="0" w:lastRowFirstColumn="0" w:lastRowLastColumn="0"/>
          <w:cantSplit/>
        </w:trPr>
        <w:tc>
          <w:tcPr>
            <w:tcW w:w="1668" w:type="dxa"/>
          </w:tcPr>
          <w:p w:rsidR="006A4419" w:rsidRPr="006A4419" w:rsidRDefault="006A4419">
            <w:pPr>
              <w:autoSpaceDE w:val="0"/>
              <w:autoSpaceDN w:val="0"/>
              <w:adjustRightInd w:val="0"/>
              <w:rPr>
                <w:sz w:val="20"/>
              </w:rPr>
            </w:pPr>
            <w:r w:rsidRPr="006A4419">
              <w:rPr>
                <w:sz w:val="20"/>
              </w:rPr>
              <w:t xml:space="preserve">PIPF-004 </w:t>
            </w:r>
            <w:r>
              <w:rPr>
                <w:sz w:val="20"/>
              </w:rPr>
              <w:t>T</w:t>
            </w:r>
            <w:r w:rsidRPr="006A4419">
              <w:rPr>
                <w:sz w:val="20"/>
              </w:rPr>
              <w:t>otal daily dose (mg)</w:t>
            </w:r>
          </w:p>
        </w:tc>
        <w:tc>
          <w:tcPr>
            <w:tcW w:w="850" w:type="dxa"/>
          </w:tcPr>
          <w:p w:rsidR="006A4419" w:rsidRPr="006A4419" w:rsidRDefault="006A4419" w:rsidP="00A2437C">
            <w:pPr>
              <w:autoSpaceDE w:val="0"/>
              <w:autoSpaceDN w:val="0"/>
              <w:adjustRightInd w:val="0"/>
              <w:rPr>
                <w:sz w:val="20"/>
              </w:rPr>
            </w:pPr>
            <w:r w:rsidRPr="006A4419">
              <w:rPr>
                <w:sz w:val="20"/>
              </w:rPr>
              <w:t>N</w:t>
            </w:r>
          </w:p>
        </w:tc>
        <w:tc>
          <w:tcPr>
            <w:tcW w:w="1843" w:type="dxa"/>
          </w:tcPr>
          <w:p w:rsidR="006A4419" w:rsidRPr="006A4419" w:rsidRDefault="006A4419" w:rsidP="006A4419">
            <w:pPr>
              <w:autoSpaceDE w:val="0"/>
              <w:autoSpaceDN w:val="0"/>
              <w:adjustRightInd w:val="0"/>
              <w:rPr>
                <w:sz w:val="20"/>
              </w:rPr>
            </w:pPr>
            <w:r w:rsidRPr="006A4419">
              <w:rPr>
                <w:sz w:val="20"/>
              </w:rPr>
              <w:t xml:space="preserve">AUC </w:t>
            </w:r>
            <w:r w:rsidRPr="006A4419">
              <w:rPr>
                <w:sz w:val="20"/>
                <w:vertAlign w:val="subscript"/>
              </w:rPr>
              <w:t>0-24</w:t>
            </w:r>
            <w:r>
              <w:rPr>
                <w:sz w:val="20"/>
              </w:rPr>
              <w:t xml:space="preserve"> </w:t>
            </w:r>
            <w:r w:rsidRPr="006A4419">
              <w:rPr>
                <w:sz w:val="20"/>
              </w:rPr>
              <w:t>mg.hr/L</w:t>
            </w:r>
          </w:p>
        </w:tc>
        <w:tc>
          <w:tcPr>
            <w:tcW w:w="1786" w:type="dxa"/>
          </w:tcPr>
          <w:p w:rsidR="006A4419" w:rsidRPr="006A4419" w:rsidRDefault="006A4419" w:rsidP="006A4419">
            <w:pPr>
              <w:autoSpaceDE w:val="0"/>
              <w:autoSpaceDN w:val="0"/>
              <w:adjustRightInd w:val="0"/>
              <w:rPr>
                <w:sz w:val="20"/>
                <w:vertAlign w:val="subscript"/>
              </w:rPr>
            </w:pPr>
            <w:r w:rsidRPr="006A4419">
              <w:rPr>
                <w:sz w:val="20"/>
              </w:rPr>
              <w:t xml:space="preserve">C </w:t>
            </w:r>
            <w:r w:rsidRPr="006A4419">
              <w:rPr>
                <w:sz w:val="20"/>
                <w:vertAlign w:val="subscript"/>
              </w:rPr>
              <w:t xml:space="preserve">max </w:t>
            </w:r>
            <w:r w:rsidR="00FA7E6B">
              <w:rPr>
                <w:sz w:val="20"/>
              </w:rPr>
              <w:t>µg</w:t>
            </w:r>
            <w:r w:rsidRPr="006A4419">
              <w:rPr>
                <w:sz w:val="20"/>
              </w:rPr>
              <w:t>/mL</w:t>
            </w:r>
          </w:p>
        </w:tc>
        <w:tc>
          <w:tcPr>
            <w:tcW w:w="1544" w:type="dxa"/>
          </w:tcPr>
          <w:p w:rsidR="006A4419" w:rsidRPr="006A4419" w:rsidRDefault="006A4419" w:rsidP="006A4419">
            <w:pPr>
              <w:autoSpaceDE w:val="0"/>
              <w:autoSpaceDN w:val="0"/>
              <w:adjustRightInd w:val="0"/>
              <w:rPr>
                <w:sz w:val="20"/>
              </w:rPr>
            </w:pPr>
            <w:r w:rsidRPr="006A4419">
              <w:rPr>
                <w:sz w:val="20"/>
              </w:rPr>
              <w:t>C Lt/F</w:t>
            </w:r>
            <w:r>
              <w:rPr>
                <w:sz w:val="20"/>
              </w:rPr>
              <w:t xml:space="preserve"> </w:t>
            </w:r>
            <w:r w:rsidRPr="006A4419">
              <w:rPr>
                <w:sz w:val="20"/>
              </w:rPr>
              <w:t>L/hr</w:t>
            </w:r>
          </w:p>
        </w:tc>
        <w:tc>
          <w:tcPr>
            <w:tcW w:w="1773" w:type="dxa"/>
          </w:tcPr>
          <w:p w:rsidR="006A4419" w:rsidRPr="006A4419" w:rsidRDefault="006A4419" w:rsidP="006A4419">
            <w:pPr>
              <w:autoSpaceDE w:val="0"/>
              <w:autoSpaceDN w:val="0"/>
              <w:adjustRightInd w:val="0"/>
              <w:rPr>
                <w:sz w:val="20"/>
              </w:rPr>
            </w:pPr>
            <w:r w:rsidRPr="006A4419">
              <w:rPr>
                <w:sz w:val="20"/>
              </w:rPr>
              <w:t>Vss/F</w:t>
            </w:r>
            <w:r>
              <w:rPr>
                <w:sz w:val="20"/>
              </w:rPr>
              <w:t xml:space="preserve"> </w:t>
            </w:r>
            <w:r w:rsidRPr="006A4419">
              <w:rPr>
                <w:sz w:val="20"/>
              </w:rPr>
              <w:t>L</w:t>
            </w:r>
          </w:p>
        </w:tc>
      </w:tr>
      <w:tr w:rsidR="006A4419" w:rsidTr="005B275F">
        <w:trPr>
          <w:cantSplit/>
        </w:trPr>
        <w:tc>
          <w:tcPr>
            <w:tcW w:w="1668" w:type="dxa"/>
          </w:tcPr>
          <w:p w:rsidR="006A4419" w:rsidRPr="006A4419" w:rsidRDefault="006A4419" w:rsidP="00A2437C">
            <w:pPr>
              <w:autoSpaceDE w:val="0"/>
              <w:autoSpaceDN w:val="0"/>
              <w:adjustRightInd w:val="0"/>
              <w:rPr>
                <w:sz w:val="20"/>
              </w:rPr>
            </w:pPr>
            <w:r w:rsidRPr="006A4419">
              <w:rPr>
                <w:sz w:val="20"/>
              </w:rPr>
              <w:t>1</w:t>
            </w:r>
            <w:r w:rsidR="001103E2">
              <w:rPr>
                <w:sz w:val="20"/>
              </w:rPr>
              <w:t>,</w:t>
            </w:r>
            <w:r w:rsidRPr="006A4419">
              <w:rPr>
                <w:sz w:val="20"/>
              </w:rPr>
              <w:t>197</w:t>
            </w:r>
          </w:p>
        </w:tc>
        <w:tc>
          <w:tcPr>
            <w:tcW w:w="850" w:type="dxa"/>
          </w:tcPr>
          <w:p w:rsidR="006A4419" w:rsidRPr="006A4419" w:rsidRDefault="006A4419" w:rsidP="00A2437C">
            <w:pPr>
              <w:autoSpaceDE w:val="0"/>
              <w:autoSpaceDN w:val="0"/>
              <w:adjustRightInd w:val="0"/>
              <w:rPr>
                <w:sz w:val="20"/>
              </w:rPr>
            </w:pPr>
            <w:r w:rsidRPr="006A4419">
              <w:rPr>
                <w:sz w:val="20"/>
              </w:rPr>
              <w:t>31</w:t>
            </w:r>
          </w:p>
        </w:tc>
        <w:tc>
          <w:tcPr>
            <w:tcW w:w="1843" w:type="dxa"/>
          </w:tcPr>
          <w:p w:rsidR="006A4419" w:rsidRPr="006A4419" w:rsidRDefault="006A4419" w:rsidP="00A2437C">
            <w:pPr>
              <w:autoSpaceDE w:val="0"/>
              <w:autoSpaceDN w:val="0"/>
              <w:adjustRightInd w:val="0"/>
              <w:rPr>
                <w:sz w:val="20"/>
              </w:rPr>
            </w:pPr>
            <w:r w:rsidRPr="006A4419">
              <w:rPr>
                <w:sz w:val="20"/>
              </w:rPr>
              <w:t>94 (46-281)</w:t>
            </w:r>
          </w:p>
        </w:tc>
        <w:tc>
          <w:tcPr>
            <w:tcW w:w="1786" w:type="dxa"/>
          </w:tcPr>
          <w:p w:rsidR="006A4419" w:rsidRPr="006A4419" w:rsidRDefault="006A4419" w:rsidP="00A2437C">
            <w:pPr>
              <w:autoSpaceDE w:val="0"/>
              <w:autoSpaceDN w:val="0"/>
              <w:adjustRightInd w:val="0"/>
              <w:rPr>
                <w:sz w:val="20"/>
              </w:rPr>
            </w:pPr>
            <w:r w:rsidRPr="006A4419">
              <w:rPr>
                <w:sz w:val="20"/>
              </w:rPr>
              <w:t>7.5(4-17)</w:t>
            </w:r>
          </w:p>
        </w:tc>
        <w:tc>
          <w:tcPr>
            <w:tcW w:w="1544" w:type="dxa"/>
          </w:tcPr>
          <w:p w:rsidR="006A4419" w:rsidRPr="006A4419" w:rsidRDefault="006A4419" w:rsidP="00A2437C">
            <w:pPr>
              <w:autoSpaceDE w:val="0"/>
              <w:autoSpaceDN w:val="0"/>
              <w:adjustRightInd w:val="0"/>
              <w:rPr>
                <w:sz w:val="20"/>
              </w:rPr>
            </w:pPr>
            <w:r w:rsidRPr="006A4419">
              <w:rPr>
                <w:sz w:val="20"/>
              </w:rPr>
              <w:t>14.7 (4-26)</w:t>
            </w:r>
          </w:p>
        </w:tc>
        <w:tc>
          <w:tcPr>
            <w:tcW w:w="1773" w:type="dxa"/>
          </w:tcPr>
          <w:p w:rsidR="006A4419" w:rsidRPr="006A4419" w:rsidRDefault="006A4419" w:rsidP="00A2437C">
            <w:pPr>
              <w:autoSpaceDE w:val="0"/>
              <w:autoSpaceDN w:val="0"/>
              <w:adjustRightInd w:val="0"/>
              <w:rPr>
                <w:sz w:val="20"/>
              </w:rPr>
            </w:pPr>
            <w:r w:rsidRPr="006A4419">
              <w:rPr>
                <w:sz w:val="20"/>
              </w:rPr>
              <w:t>70.1(38-114)</w:t>
            </w:r>
          </w:p>
        </w:tc>
      </w:tr>
      <w:tr w:rsidR="006A4419" w:rsidTr="005B275F">
        <w:trPr>
          <w:cantSplit/>
        </w:trPr>
        <w:tc>
          <w:tcPr>
            <w:tcW w:w="1668" w:type="dxa"/>
          </w:tcPr>
          <w:p w:rsidR="006A4419" w:rsidRPr="006A4419" w:rsidRDefault="006A4419" w:rsidP="00A2437C">
            <w:pPr>
              <w:autoSpaceDE w:val="0"/>
              <w:autoSpaceDN w:val="0"/>
              <w:adjustRightInd w:val="0"/>
              <w:rPr>
                <w:sz w:val="20"/>
              </w:rPr>
            </w:pPr>
            <w:r w:rsidRPr="006A4419">
              <w:rPr>
                <w:sz w:val="20"/>
              </w:rPr>
              <w:t>2</w:t>
            </w:r>
            <w:r w:rsidR="001103E2">
              <w:rPr>
                <w:sz w:val="20"/>
              </w:rPr>
              <w:t>,</w:t>
            </w:r>
            <w:r w:rsidRPr="006A4419">
              <w:rPr>
                <w:sz w:val="20"/>
              </w:rPr>
              <w:t>403</w:t>
            </w:r>
          </w:p>
        </w:tc>
        <w:tc>
          <w:tcPr>
            <w:tcW w:w="850" w:type="dxa"/>
          </w:tcPr>
          <w:p w:rsidR="006A4419" w:rsidRPr="006A4419" w:rsidRDefault="006A4419" w:rsidP="00A2437C">
            <w:pPr>
              <w:autoSpaceDE w:val="0"/>
              <w:autoSpaceDN w:val="0"/>
              <w:adjustRightInd w:val="0"/>
              <w:rPr>
                <w:sz w:val="20"/>
              </w:rPr>
            </w:pPr>
            <w:r w:rsidRPr="006A4419">
              <w:rPr>
                <w:sz w:val="20"/>
              </w:rPr>
              <w:t>57</w:t>
            </w:r>
          </w:p>
        </w:tc>
        <w:tc>
          <w:tcPr>
            <w:tcW w:w="1843" w:type="dxa"/>
          </w:tcPr>
          <w:p w:rsidR="006A4419" w:rsidRPr="006A4419" w:rsidRDefault="006A4419" w:rsidP="00A2437C">
            <w:pPr>
              <w:autoSpaceDE w:val="0"/>
              <w:autoSpaceDN w:val="0"/>
              <w:adjustRightInd w:val="0"/>
              <w:rPr>
                <w:sz w:val="20"/>
              </w:rPr>
            </w:pPr>
            <w:r w:rsidRPr="006A4419">
              <w:rPr>
                <w:sz w:val="20"/>
              </w:rPr>
              <w:t>180 (86-544)</w:t>
            </w:r>
          </w:p>
        </w:tc>
        <w:tc>
          <w:tcPr>
            <w:tcW w:w="1786" w:type="dxa"/>
          </w:tcPr>
          <w:p w:rsidR="006A4419" w:rsidRPr="006A4419" w:rsidRDefault="006A4419" w:rsidP="00A2437C">
            <w:pPr>
              <w:autoSpaceDE w:val="0"/>
              <w:autoSpaceDN w:val="0"/>
              <w:adjustRightInd w:val="0"/>
              <w:rPr>
                <w:sz w:val="20"/>
              </w:rPr>
            </w:pPr>
            <w:r w:rsidRPr="006A4419">
              <w:rPr>
                <w:sz w:val="20"/>
              </w:rPr>
              <w:t>14.7(6.5-33.6)</w:t>
            </w:r>
          </w:p>
        </w:tc>
        <w:tc>
          <w:tcPr>
            <w:tcW w:w="1544" w:type="dxa"/>
          </w:tcPr>
          <w:p w:rsidR="006A4419" w:rsidRPr="006A4419" w:rsidRDefault="006A4419" w:rsidP="00A2437C">
            <w:pPr>
              <w:autoSpaceDE w:val="0"/>
              <w:autoSpaceDN w:val="0"/>
              <w:adjustRightInd w:val="0"/>
              <w:rPr>
                <w:sz w:val="20"/>
              </w:rPr>
            </w:pPr>
            <w:r w:rsidRPr="006A4419">
              <w:rPr>
                <w:sz w:val="20"/>
              </w:rPr>
              <w:t>15.8(4-28)</w:t>
            </w:r>
          </w:p>
        </w:tc>
        <w:tc>
          <w:tcPr>
            <w:tcW w:w="1773" w:type="dxa"/>
          </w:tcPr>
          <w:p w:rsidR="006A4419" w:rsidRPr="006A4419" w:rsidRDefault="006A4419" w:rsidP="00A2437C">
            <w:pPr>
              <w:autoSpaceDE w:val="0"/>
              <w:autoSpaceDN w:val="0"/>
              <w:adjustRightInd w:val="0"/>
              <w:rPr>
                <w:sz w:val="20"/>
              </w:rPr>
            </w:pPr>
            <w:r w:rsidRPr="006A4419">
              <w:rPr>
                <w:sz w:val="20"/>
              </w:rPr>
              <w:t>70.3(27-130)</w:t>
            </w:r>
          </w:p>
        </w:tc>
      </w:tr>
    </w:tbl>
    <w:p w:rsidR="006A4419" w:rsidRDefault="006A4419" w:rsidP="006A4419">
      <w:pPr>
        <w:pStyle w:val="TableDescription"/>
      </w:pPr>
      <w:r w:rsidRPr="004156CF">
        <w:t>C Lt/F</w:t>
      </w:r>
      <w:r>
        <w:t xml:space="preserve"> = apparent oral clearance, Vss/F = apparent steady state volume of distribution. AUC</w:t>
      </w:r>
      <w:r w:rsidRPr="006A4419">
        <w:rPr>
          <w:vertAlign w:val="subscript"/>
        </w:rPr>
        <w:t>0-24</w:t>
      </w:r>
      <w:r>
        <w:t xml:space="preserve"> = </w:t>
      </w:r>
      <w:r w:rsidRPr="006A4419">
        <w:t>area under the</w:t>
      </w:r>
      <w:r w:rsidR="005B275F">
        <w:t xml:space="preserve"> plasma drug concentration-time </w:t>
      </w:r>
      <w:r w:rsidRPr="006A4419">
        <w:t>curve</w:t>
      </w:r>
      <w:r w:rsidR="005B275F">
        <w:t xml:space="preserve"> in first 24 h post-dose).</w:t>
      </w:r>
    </w:p>
    <w:p w:rsidR="005B275F" w:rsidRPr="005B275F" w:rsidRDefault="005B275F" w:rsidP="005B275F">
      <w:pPr>
        <w:pStyle w:val="Heading3"/>
      </w:pPr>
      <w:bookmarkStart w:id="44" w:name="_Toc272414626"/>
      <w:bookmarkStart w:id="45" w:name="_Toc290846249"/>
      <w:bookmarkStart w:id="46" w:name="_Toc430785330"/>
      <w:bookmarkStart w:id="47" w:name="_Toc459986978"/>
      <w:r w:rsidRPr="005B275F">
        <w:t>Pharmacokinetics in other special populations</w:t>
      </w:r>
      <w:bookmarkEnd w:id="44"/>
      <w:bookmarkEnd w:id="45"/>
      <w:bookmarkEnd w:id="46"/>
      <w:bookmarkEnd w:id="47"/>
    </w:p>
    <w:p w:rsidR="005B275F" w:rsidRPr="00707CB2" w:rsidRDefault="005B275F" w:rsidP="005B275F">
      <w:r>
        <w:t>H</w:t>
      </w:r>
      <w:r w:rsidRPr="00C71A86">
        <w:t>epatic impairment</w:t>
      </w:r>
      <w:r>
        <w:t xml:space="preserve"> was likely to be of clinical significance.</w:t>
      </w:r>
    </w:p>
    <w:p w:rsidR="005B275F" w:rsidRPr="005B275F" w:rsidRDefault="005B275F" w:rsidP="005B275F">
      <w:pPr>
        <w:pStyle w:val="Heading4"/>
      </w:pPr>
      <w:bookmarkStart w:id="48" w:name="_Toc272414627"/>
      <w:bookmarkStart w:id="49" w:name="_Toc290846250"/>
      <w:bookmarkStart w:id="50" w:name="_Toc430785331"/>
      <w:r w:rsidRPr="005B275F">
        <w:t>Pharmacokinetics in subjects with impaired hepatic function</w:t>
      </w:r>
      <w:bookmarkEnd w:id="48"/>
      <w:bookmarkEnd w:id="49"/>
      <w:bookmarkEnd w:id="50"/>
    </w:p>
    <w:p w:rsidR="005B275F" w:rsidRDefault="005B275F" w:rsidP="005B275F">
      <w:pPr>
        <w:autoSpaceDE w:val="0"/>
        <w:autoSpaceDN w:val="0"/>
        <w:adjustRightInd w:val="0"/>
        <w:rPr>
          <w:bCs/>
        </w:rPr>
      </w:pPr>
      <w:r>
        <w:rPr>
          <w:bCs/>
        </w:rPr>
        <w:t>S</w:t>
      </w:r>
      <w:r w:rsidRPr="007F32BD">
        <w:rPr>
          <w:bCs/>
        </w:rPr>
        <w:t xml:space="preserve">tudy </w:t>
      </w:r>
      <w:r w:rsidRPr="005B275F">
        <w:rPr>
          <w:bCs/>
        </w:rPr>
        <w:t>PIPF-011</w:t>
      </w:r>
      <w:r w:rsidRPr="001E76D7">
        <w:rPr>
          <w:bCs/>
        </w:rPr>
        <w:t xml:space="preserve"> </w:t>
      </w:r>
      <w:r w:rsidRPr="007F32BD">
        <w:rPr>
          <w:bCs/>
        </w:rPr>
        <w:t>demonstrated stat</w:t>
      </w:r>
      <w:r>
        <w:rPr>
          <w:bCs/>
        </w:rPr>
        <w:t>istically</w:t>
      </w:r>
      <w:r w:rsidRPr="007F32BD">
        <w:rPr>
          <w:bCs/>
        </w:rPr>
        <w:t xml:space="preserve"> sig</w:t>
      </w:r>
      <w:r>
        <w:rPr>
          <w:bCs/>
        </w:rPr>
        <w:t>nificant</w:t>
      </w:r>
      <w:r w:rsidRPr="007F32BD">
        <w:rPr>
          <w:bCs/>
        </w:rPr>
        <w:t xml:space="preserve"> diff</w:t>
      </w:r>
      <w:r>
        <w:rPr>
          <w:bCs/>
        </w:rPr>
        <w:t>erence</w:t>
      </w:r>
      <w:r w:rsidRPr="007F32BD">
        <w:rPr>
          <w:bCs/>
        </w:rPr>
        <w:t xml:space="preserve"> in AUC between </w:t>
      </w:r>
      <w:r>
        <w:rPr>
          <w:bCs/>
        </w:rPr>
        <w:t>subjects with hepatic impairment and normal hepatic function</w:t>
      </w:r>
      <w:r w:rsidR="00D452FF">
        <w:rPr>
          <w:bCs/>
        </w:rPr>
        <w:t xml:space="preserve"> (see Table </w:t>
      </w:r>
      <w:r w:rsidR="00351A53">
        <w:rPr>
          <w:bCs/>
        </w:rPr>
        <w:t>5</w:t>
      </w:r>
      <w:r w:rsidR="00D452FF">
        <w:rPr>
          <w:bCs/>
        </w:rPr>
        <w:t xml:space="preserve"> below)</w:t>
      </w:r>
      <w:r>
        <w:rPr>
          <w:bCs/>
        </w:rPr>
        <w:t xml:space="preserve">. </w:t>
      </w:r>
      <w:r w:rsidRPr="001E76D7">
        <w:rPr>
          <w:bCs/>
        </w:rPr>
        <w:t>Patients with hepatic impairment will be expected to have variable and elevated serum levels of pirf</w:t>
      </w:r>
      <w:r>
        <w:rPr>
          <w:bCs/>
        </w:rPr>
        <w:t>enidone.</w:t>
      </w:r>
      <w:r w:rsidRPr="00C71A86">
        <w:rPr>
          <w:bCs/>
        </w:rPr>
        <w:t xml:space="preserve"> </w:t>
      </w:r>
      <w:r w:rsidR="007C37EF">
        <w:rPr>
          <w:bCs/>
        </w:rPr>
        <w:t xml:space="preserve">Monitoring </w:t>
      </w:r>
      <w:r w:rsidR="00A23057">
        <w:rPr>
          <w:bCs/>
        </w:rPr>
        <w:t xml:space="preserve">of </w:t>
      </w:r>
      <w:r w:rsidR="007C37EF">
        <w:rPr>
          <w:bCs/>
        </w:rPr>
        <w:t>LFT</w:t>
      </w:r>
      <w:r w:rsidR="00A23057">
        <w:rPr>
          <w:bCs/>
        </w:rPr>
        <w:t xml:space="preserve">s </w:t>
      </w:r>
      <w:r>
        <w:rPr>
          <w:bCs/>
        </w:rPr>
        <w:t>and recommendations for d</w:t>
      </w:r>
      <w:r w:rsidRPr="007F32BD">
        <w:rPr>
          <w:bCs/>
        </w:rPr>
        <w:t xml:space="preserve">ose adjustment or treatment discontinuation </w:t>
      </w:r>
      <w:r>
        <w:rPr>
          <w:bCs/>
        </w:rPr>
        <w:t xml:space="preserve">for elevated </w:t>
      </w:r>
      <w:r w:rsidRPr="007F32BD">
        <w:rPr>
          <w:bCs/>
        </w:rPr>
        <w:t>LFTs</w:t>
      </w:r>
      <w:r>
        <w:rPr>
          <w:bCs/>
        </w:rPr>
        <w:t xml:space="preserve"> and/or hepatic symptoms are included in the proposed PI.</w:t>
      </w:r>
    </w:p>
    <w:p w:rsidR="002275F8" w:rsidRDefault="002275F8" w:rsidP="00626E08">
      <w:pPr>
        <w:pStyle w:val="Tabletitle"/>
      </w:pPr>
      <w:r>
        <w:lastRenderedPageBreak/>
        <w:t xml:space="preserve">Table </w:t>
      </w:r>
      <w:r w:rsidR="00351A53">
        <w:t>5</w:t>
      </w:r>
      <w:r>
        <w:t>: Comparison of AUC</w:t>
      </w:r>
      <w:r w:rsidRPr="00626E08">
        <w:rPr>
          <w:vertAlign w:val="subscript"/>
        </w:rPr>
        <w:t>0</w:t>
      </w:r>
      <w:r w:rsidRPr="00626E08">
        <w:rPr>
          <w:vertAlign w:val="subscript"/>
        </w:rPr>
        <w:noBreakHyphen/>
      </w:r>
      <w:r w:rsidR="00D452FF" w:rsidRPr="00626E08">
        <w:rPr>
          <w:vertAlign w:val="subscript"/>
        </w:rPr>
        <w:t>∞</w:t>
      </w:r>
      <w:r w:rsidR="00D452FF">
        <w:t xml:space="preserve"> </w:t>
      </w:r>
      <w:r>
        <w:t>across hepatic impairment groups in Study PIPF</w:t>
      </w:r>
      <w:r>
        <w:noBreakHyphen/>
        <w:t>011</w:t>
      </w:r>
    </w:p>
    <w:p w:rsidR="002275F8" w:rsidRDefault="002275F8" w:rsidP="005B275F">
      <w:pPr>
        <w:autoSpaceDE w:val="0"/>
        <w:autoSpaceDN w:val="0"/>
        <w:adjustRightInd w:val="0"/>
        <w:rPr>
          <w:bCs/>
        </w:rPr>
      </w:pPr>
      <w:r>
        <w:rPr>
          <w:noProof/>
          <w:lang w:eastAsia="en-AU"/>
        </w:rPr>
        <w:drawing>
          <wp:inline distT="0" distB="0" distL="0" distR="0" wp14:anchorId="5B5D7851" wp14:editId="2BDD94D1">
            <wp:extent cx="4293704" cy="1373434"/>
            <wp:effectExtent l="0" t="0" r="0" b="0"/>
            <wp:docPr id="27" name="Picture 27" descr="Table 5: Comparison of AUC0 ∞ across hepatic impairment groups in Study PIPF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duotone>
                        <a:schemeClr val="accent1">
                          <a:shade val="45000"/>
                          <a:satMod val="135000"/>
                        </a:schemeClr>
                        <a:prstClr val="white"/>
                      </a:duotone>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302795" cy="1376342"/>
                    </a:xfrm>
                    <a:prstGeom prst="rect">
                      <a:avLst/>
                    </a:prstGeom>
                  </pic:spPr>
                </pic:pic>
              </a:graphicData>
            </a:graphic>
          </wp:inline>
        </w:drawing>
      </w:r>
    </w:p>
    <w:p w:rsidR="00D452FF" w:rsidRPr="007F32BD" w:rsidRDefault="00D452FF" w:rsidP="00626E08">
      <w:pPr>
        <w:pStyle w:val="TableDescription"/>
        <w:rPr>
          <w:bCs/>
        </w:rPr>
      </w:pPr>
      <w:r>
        <w:rPr>
          <w:bCs/>
        </w:rPr>
        <w:t xml:space="preserve">Group 1 (moderate hepatic impairment group, n = 12) participants were defined as having </w:t>
      </w:r>
      <w:r w:rsidRPr="007F32BD">
        <w:t>moderate liver cirrhosis (Child-Pugh Class B, score of 7-9) clinically stable other than abnormal LFTs</w:t>
      </w:r>
    </w:p>
    <w:p w:rsidR="005B275F" w:rsidRPr="005B275F" w:rsidRDefault="005B275F" w:rsidP="005B275F">
      <w:pPr>
        <w:pStyle w:val="Heading4"/>
      </w:pPr>
      <w:bookmarkStart w:id="51" w:name="_Toc272414628"/>
      <w:bookmarkStart w:id="52" w:name="_Toc290846251"/>
      <w:bookmarkStart w:id="53" w:name="_Toc430785332"/>
      <w:r w:rsidRPr="005B275F">
        <w:t>Pharmacokinetics in subjects with impaired renal function</w:t>
      </w:r>
      <w:bookmarkEnd w:id="51"/>
      <w:bookmarkEnd w:id="52"/>
      <w:bookmarkEnd w:id="53"/>
    </w:p>
    <w:p w:rsidR="005B275F" w:rsidRDefault="005B275F" w:rsidP="005B275F">
      <w:pPr>
        <w:autoSpaceDE w:val="0"/>
        <w:autoSpaceDN w:val="0"/>
        <w:adjustRightInd w:val="0"/>
        <w:rPr>
          <w:bCs/>
        </w:rPr>
      </w:pPr>
      <w:r>
        <w:rPr>
          <w:bCs/>
        </w:rPr>
        <w:t xml:space="preserve">Study </w:t>
      </w:r>
      <w:r w:rsidRPr="005B275F">
        <w:rPr>
          <w:bCs/>
        </w:rPr>
        <w:t>PIPF-009</w:t>
      </w:r>
      <w:r>
        <w:rPr>
          <w:bCs/>
        </w:rPr>
        <w:t xml:space="preserve"> indicated</w:t>
      </w:r>
      <w:r w:rsidRPr="007F32BD">
        <w:rPr>
          <w:bCs/>
        </w:rPr>
        <w:t xml:space="preserve"> </w:t>
      </w:r>
      <w:r>
        <w:rPr>
          <w:bCs/>
        </w:rPr>
        <w:t xml:space="preserve">that </w:t>
      </w:r>
      <w:r w:rsidRPr="007F32BD">
        <w:rPr>
          <w:bCs/>
        </w:rPr>
        <w:t xml:space="preserve">pirfenidone clearance </w:t>
      </w:r>
      <w:r>
        <w:rPr>
          <w:bCs/>
        </w:rPr>
        <w:t xml:space="preserve">was </w:t>
      </w:r>
      <w:r w:rsidRPr="007F32BD">
        <w:rPr>
          <w:bCs/>
        </w:rPr>
        <w:t>not primarily renal</w:t>
      </w:r>
      <w:r>
        <w:rPr>
          <w:bCs/>
        </w:rPr>
        <w:t>,</w:t>
      </w:r>
      <w:r w:rsidRPr="007F32BD">
        <w:rPr>
          <w:bCs/>
        </w:rPr>
        <w:t xml:space="preserve"> </w:t>
      </w:r>
      <w:r>
        <w:rPr>
          <w:bCs/>
        </w:rPr>
        <w:t>but metabolite 5</w:t>
      </w:r>
      <w:r>
        <w:rPr>
          <w:bCs/>
        </w:rPr>
        <w:noBreakHyphen/>
        <w:t>CA</w:t>
      </w:r>
      <w:r>
        <w:rPr>
          <w:bCs/>
        </w:rPr>
        <w:noBreakHyphen/>
      </w:r>
      <w:r w:rsidRPr="001E76D7">
        <w:rPr>
          <w:bCs/>
        </w:rPr>
        <w:t xml:space="preserve">pirfenidone was eliminated </w:t>
      </w:r>
      <w:r>
        <w:rPr>
          <w:bCs/>
        </w:rPr>
        <w:t xml:space="preserve">through the renal pathway </w:t>
      </w:r>
      <w:r w:rsidRPr="001E76D7">
        <w:rPr>
          <w:bCs/>
        </w:rPr>
        <w:t>and increased</w:t>
      </w:r>
      <w:r>
        <w:rPr>
          <w:bCs/>
        </w:rPr>
        <w:t xml:space="preserve"> </w:t>
      </w:r>
      <w:r w:rsidRPr="001E76D7">
        <w:rPr>
          <w:bCs/>
        </w:rPr>
        <w:t xml:space="preserve">serum concentrations </w:t>
      </w:r>
      <w:r>
        <w:rPr>
          <w:bCs/>
        </w:rPr>
        <w:t xml:space="preserve">of the metabolite </w:t>
      </w:r>
      <w:r w:rsidRPr="001E76D7">
        <w:rPr>
          <w:bCs/>
        </w:rPr>
        <w:t xml:space="preserve">were related to the </w:t>
      </w:r>
      <w:r>
        <w:rPr>
          <w:bCs/>
        </w:rPr>
        <w:t>degree of renal impairment</w:t>
      </w:r>
      <w:r w:rsidR="00206C63">
        <w:rPr>
          <w:bCs/>
        </w:rPr>
        <w:t xml:space="preserve"> (see Table </w:t>
      </w:r>
      <w:r w:rsidR="00351A53">
        <w:rPr>
          <w:bCs/>
        </w:rPr>
        <w:t>6</w:t>
      </w:r>
      <w:r w:rsidR="00206C63">
        <w:rPr>
          <w:bCs/>
        </w:rPr>
        <w:t xml:space="preserve"> below)</w:t>
      </w:r>
      <w:r>
        <w:rPr>
          <w:bCs/>
        </w:rPr>
        <w:t xml:space="preserve">. The recommendation for the proposed PI is </w:t>
      </w:r>
      <w:r w:rsidRPr="007F32BD">
        <w:rPr>
          <w:bCs/>
        </w:rPr>
        <w:t>‘use with caution’ for mild</w:t>
      </w:r>
      <w:r>
        <w:rPr>
          <w:bCs/>
        </w:rPr>
        <w:t>,</w:t>
      </w:r>
      <w:r w:rsidRPr="007F32BD">
        <w:rPr>
          <w:bCs/>
        </w:rPr>
        <w:t xml:space="preserve"> mod</w:t>
      </w:r>
      <w:r>
        <w:rPr>
          <w:bCs/>
        </w:rPr>
        <w:t>erate or</w:t>
      </w:r>
      <w:r w:rsidRPr="007F32BD">
        <w:rPr>
          <w:bCs/>
        </w:rPr>
        <w:t xml:space="preserve"> severe</w:t>
      </w:r>
      <w:r>
        <w:rPr>
          <w:bCs/>
        </w:rPr>
        <w:t xml:space="preserve"> renal impairment, and </w:t>
      </w:r>
      <w:r w:rsidRPr="007F32BD">
        <w:rPr>
          <w:bCs/>
        </w:rPr>
        <w:t>not recommended for ESRD.</w:t>
      </w:r>
    </w:p>
    <w:p w:rsidR="00206C63" w:rsidRPr="003910E1" w:rsidRDefault="00206C63" w:rsidP="00626E08">
      <w:pPr>
        <w:pStyle w:val="Tabletitle"/>
      </w:pPr>
      <w:r>
        <w:t xml:space="preserve">Table </w:t>
      </w:r>
      <w:r w:rsidR="00351A53">
        <w:t>6</w:t>
      </w:r>
      <w:r>
        <w:t xml:space="preserve"> Comparison of AUC</w:t>
      </w:r>
      <w:r w:rsidRPr="00626E08">
        <w:rPr>
          <w:vertAlign w:val="subscript"/>
        </w:rPr>
        <w:t>0</w:t>
      </w:r>
      <w:r w:rsidRPr="00626E08">
        <w:rPr>
          <w:vertAlign w:val="subscript"/>
        </w:rPr>
        <w:noBreakHyphen/>
        <w:t>∞</w:t>
      </w:r>
      <w:r>
        <w:t xml:space="preserve"> across renal impairment groups in Study PIPF</w:t>
      </w:r>
      <w:r>
        <w:noBreakHyphen/>
        <w:t>011</w:t>
      </w:r>
    </w:p>
    <w:p w:rsidR="00206C63" w:rsidRPr="007F32BD" w:rsidRDefault="00206C63" w:rsidP="005B275F">
      <w:pPr>
        <w:autoSpaceDE w:val="0"/>
        <w:autoSpaceDN w:val="0"/>
        <w:adjustRightInd w:val="0"/>
        <w:rPr>
          <w:bCs/>
        </w:rPr>
      </w:pPr>
      <w:r>
        <w:rPr>
          <w:noProof/>
          <w:lang w:eastAsia="en-AU"/>
        </w:rPr>
        <w:drawing>
          <wp:inline distT="0" distB="0" distL="0" distR="0" wp14:anchorId="6EA2E426" wp14:editId="7A1777EB">
            <wp:extent cx="5731510" cy="2829627"/>
            <wp:effectExtent l="0" t="0" r="2540" b="8890"/>
            <wp:docPr id="28" name="Picture 28" descr="Table 6 Comparison of AUC0 ∞ across renal impairment groups in Study PIPF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duotone>
                        <a:schemeClr val="accent1">
                          <a:shade val="45000"/>
                          <a:satMod val="135000"/>
                        </a:schemeClr>
                        <a:prstClr val="white"/>
                      </a:duotone>
                      <a:extLst>
                        <a:ext uri="{BEBA8EAE-BF5A-486C-A8C5-ECC9F3942E4B}">
                          <a14:imgProps xmlns:a14="http://schemas.microsoft.com/office/drawing/2010/main">
                            <a14:imgLayer r:embed="rId22">
                              <a14:imgEffect>
                                <a14:sharpenSoften amount="30000"/>
                              </a14:imgEffect>
                              <a14:imgEffect>
                                <a14:brightnessContrast bright="-6000" contrast="38000"/>
                              </a14:imgEffect>
                            </a14:imgLayer>
                          </a14:imgProps>
                        </a:ext>
                      </a:extLst>
                    </a:blip>
                    <a:stretch>
                      <a:fillRect/>
                    </a:stretch>
                  </pic:blipFill>
                  <pic:spPr>
                    <a:xfrm>
                      <a:off x="0" y="0"/>
                      <a:ext cx="5731510" cy="2829627"/>
                    </a:xfrm>
                    <a:prstGeom prst="rect">
                      <a:avLst/>
                    </a:prstGeom>
                  </pic:spPr>
                </pic:pic>
              </a:graphicData>
            </a:graphic>
          </wp:inline>
        </w:drawing>
      </w:r>
    </w:p>
    <w:p w:rsidR="005B275F" w:rsidRPr="005B275F" w:rsidRDefault="005B275F" w:rsidP="005B275F">
      <w:pPr>
        <w:pStyle w:val="Heading4"/>
      </w:pPr>
      <w:bookmarkStart w:id="54" w:name="_Toc272414629"/>
      <w:bookmarkStart w:id="55" w:name="_Toc290846252"/>
      <w:bookmarkStart w:id="56" w:name="_Toc430785333"/>
      <w:r w:rsidRPr="005B275F">
        <w:t>Pharmacokinetics according to age</w:t>
      </w:r>
      <w:bookmarkEnd w:id="54"/>
      <w:bookmarkEnd w:id="55"/>
      <w:r w:rsidRPr="005B275F">
        <w:t xml:space="preserve"> and other factors</w:t>
      </w:r>
      <w:bookmarkEnd w:id="56"/>
    </w:p>
    <w:p w:rsidR="005B275F" w:rsidRPr="007F32BD" w:rsidRDefault="005B275F" w:rsidP="005B275F">
      <w:pPr>
        <w:autoSpaceDE w:val="0"/>
        <w:autoSpaceDN w:val="0"/>
        <w:adjustRightInd w:val="0"/>
        <w:rPr>
          <w:bCs/>
        </w:rPr>
      </w:pPr>
      <w:r>
        <w:rPr>
          <w:bCs/>
        </w:rPr>
        <w:t>Based on p</w:t>
      </w:r>
      <w:r w:rsidRPr="00B50565">
        <w:rPr>
          <w:bCs/>
        </w:rPr>
        <w:t>opulation PK</w:t>
      </w:r>
      <w:r>
        <w:rPr>
          <w:bCs/>
        </w:rPr>
        <w:t xml:space="preserve"> analyses there was a relationship between ag</w:t>
      </w:r>
      <w:r w:rsidR="008D5C05">
        <w:rPr>
          <w:bCs/>
        </w:rPr>
        <w:t>e and dose</w:t>
      </w:r>
      <w:r w:rsidR="00A23057">
        <w:rPr>
          <w:bCs/>
        </w:rPr>
        <w:t xml:space="preserve"> </w:t>
      </w:r>
      <w:r w:rsidR="008D5C05">
        <w:rPr>
          <w:bCs/>
        </w:rPr>
        <w:t>normalised AUC and C</w:t>
      </w:r>
      <w:r w:rsidRPr="008D5C05">
        <w:rPr>
          <w:bCs/>
          <w:vertAlign w:val="subscript"/>
        </w:rPr>
        <w:t>max</w:t>
      </w:r>
      <w:r>
        <w:rPr>
          <w:bCs/>
        </w:rPr>
        <w:t>; modelling suggests an 80 year old would have approximately 23% higher exposure than a 50 year old. This was considered relatively small and unlikely to be clinically significa</w:t>
      </w:r>
      <w:r w:rsidR="008D5C05">
        <w:rPr>
          <w:bCs/>
        </w:rPr>
        <w:t>nt. Other factors affecting AUC</w:t>
      </w:r>
      <w:r w:rsidRPr="001E344A">
        <w:rPr>
          <w:bCs/>
          <w:vertAlign w:val="subscript"/>
        </w:rPr>
        <w:t>0-24</w:t>
      </w:r>
      <w:r>
        <w:rPr>
          <w:bCs/>
        </w:rPr>
        <w:t xml:space="preserve"> predicted were height (90</w:t>
      </w:r>
      <w:r w:rsidRPr="001E344A">
        <w:rPr>
          <w:bCs/>
          <w:vertAlign w:val="superscript"/>
        </w:rPr>
        <w:t>th</w:t>
      </w:r>
      <w:r>
        <w:rPr>
          <w:bCs/>
        </w:rPr>
        <w:t xml:space="preserve"> centile 24% lower), smoking (</w:t>
      </w:r>
      <w:r w:rsidR="00A23057">
        <w:rPr>
          <w:bCs/>
        </w:rPr>
        <w:t>non-smoker</w:t>
      </w:r>
      <w:r>
        <w:rPr>
          <w:bCs/>
        </w:rPr>
        <w:t xml:space="preserve"> </w:t>
      </w:r>
      <w:r w:rsidRPr="001E344A">
        <w:rPr>
          <w:bCs/>
        </w:rPr>
        <w:t>2</w:t>
      </w:r>
      <w:r>
        <w:rPr>
          <w:bCs/>
        </w:rPr>
        <w:t>3% higher than smoker) race (</w:t>
      </w:r>
      <w:r w:rsidR="00A23057">
        <w:rPr>
          <w:bCs/>
        </w:rPr>
        <w:t>W</w:t>
      </w:r>
      <w:r>
        <w:rPr>
          <w:bCs/>
        </w:rPr>
        <w:t xml:space="preserve">hite 21% lower than </w:t>
      </w:r>
      <w:r w:rsidR="00A23057">
        <w:rPr>
          <w:bCs/>
        </w:rPr>
        <w:t>N</w:t>
      </w:r>
      <w:r>
        <w:rPr>
          <w:bCs/>
        </w:rPr>
        <w:t>on-white). Mean C</w:t>
      </w:r>
      <w:r w:rsidRPr="001E344A">
        <w:rPr>
          <w:bCs/>
          <w:vertAlign w:val="subscript"/>
        </w:rPr>
        <w:t>max</w:t>
      </w:r>
      <w:r>
        <w:rPr>
          <w:bCs/>
        </w:rPr>
        <w:t xml:space="preserve"> of </w:t>
      </w:r>
      <w:r w:rsidR="00A23057" w:rsidRPr="00A23057">
        <w:rPr>
          <w:bCs/>
        </w:rPr>
        <w:t>pirfenidone</w:t>
      </w:r>
      <w:r>
        <w:rPr>
          <w:bCs/>
        </w:rPr>
        <w:t xml:space="preserve"> was 13.2 </w:t>
      </w:r>
      <w:r w:rsidR="00FA7E6B">
        <w:rPr>
          <w:bCs/>
        </w:rPr>
        <w:t>µg</w:t>
      </w:r>
      <w:r>
        <w:rPr>
          <w:bCs/>
        </w:rPr>
        <w:t xml:space="preserve">/mL in females and 11.9 </w:t>
      </w:r>
      <w:r w:rsidR="00FA7E6B">
        <w:rPr>
          <w:bCs/>
        </w:rPr>
        <w:t>µg</w:t>
      </w:r>
      <w:r>
        <w:rPr>
          <w:bCs/>
        </w:rPr>
        <w:t>/mL in males (p = 0.03), probably related to smaller body size. There was considerable overlap in distributions and the absolute difference was approximately 10% so it was considered unlikely to be clinically significant.</w:t>
      </w:r>
    </w:p>
    <w:p w:rsidR="005B275F" w:rsidRPr="007F32BD" w:rsidRDefault="005B275F" w:rsidP="005B275F">
      <w:pPr>
        <w:pStyle w:val="Heading3"/>
      </w:pPr>
      <w:bookmarkStart w:id="57" w:name="_Toc241374294"/>
      <w:bookmarkStart w:id="58" w:name="_Toc272414632"/>
      <w:bookmarkStart w:id="59" w:name="_Toc290846255"/>
      <w:bookmarkStart w:id="60" w:name="_Toc430785334"/>
      <w:bookmarkStart w:id="61" w:name="_Toc459986979"/>
      <w:r w:rsidRPr="007F32BD">
        <w:lastRenderedPageBreak/>
        <w:t xml:space="preserve">Pharmacokinetic </w:t>
      </w:r>
      <w:r w:rsidRPr="005B275F">
        <w:t>interactions</w:t>
      </w:r>
      <w:bookmarkEnd w:id="57"/>
      <w:bookmarkEnd w:id="58"/>
      <w:bookmarkEnd w:id="59"/>
      <w:bookmarkEnd w:id="60"/>
      <w:bookmarkEnd w:id="61"/>
    </w:p>
    <w:p w:rsidR="005B275F" w:rsidRPr="007F32BD" w:rsidRDefault="005B275F" w:rsidP="005B275F">
      <w:pPr>
        <w:pStyle w:val="Heading4"/>
      </w:pPr>
      <w:bookmarkStart w:id="62" w:name="_Toc272414633"/>
      <w:bookmarkStart w:id="63" w:name="_Toc290846256"/>
      <w:bookmarkStart w:id="64" w:name="_Toc430785335"/>
      <w:r w:rsidRPr="007F32BD">
        <w:t>Pharmacokinetic interactions demonstrated in human studies</w:t>
      </w:r>
      <w:bookmarkEnd w:id="62"/>
      <w:bookmarkEnd w:id="63"/>
      <w:bookmarkEnd w:id="64"/>
    </w:p>
    <w:p w:rsidR="005B275F" w:rsidRDefault="00A23057" w:rsidP="000E7CA2">
      <w:r w:rsidRPr="00A23057">
        <w:t>From Studies PIPF-010 and PIPF-017</w:t>
      </w:r>
      <w:r w:rsidR="002275F8">
        <w:t>,</w:t>
      </w:r>
      <w:r>
        <w:t xml:space="preserve"> </w:t>
      </w:r>
      <w:r w:rsidR="002275F8">
        <w:t>c</w:t>
      </w:r>
      <w:r w:rsidR="005B275F" w:rsidRPr="007F32BD">
        <w:t xml:space="preserve">o-administration of </w:t>
      </w:r>
      <w:r w:rsidR="005B275F">
        <w:t>pirfenidone</w:t>
      </w:r>
      <w:r w:rsidR="005B275F" w:rsidRPr="007F32BD">
        <w:t xml:space="preserve"> and fluvoxamine (a strong inhibitor of CYP1A2 with inhibitory effects on other CYP isoenzymes </w:t>
      </w:r>
      <w:r w:rsidR="005D2037">
        <w:t>(</w:t>
      </w:r>
      <w:r w:rsidR="005B275F" w:rsidRPr="007F32BD">
        <w:t xml:space="preserve">CYP2C9, </w:t>
      </w:r>
      <w:r w:rsidR="005B275F">
        <w:t>2C19, and 2D6</w:t>
      </w:r>
      <w:r w:rsidR="005D2037">
        <w:t>)</w:t>
      </w:r>
      <w:r w:rsidR="005B275F">
        <w:t>) resulted in a 4</w:t>
      </w:r>
      <w:r>
        <w:t xml:space="preserve"> </w:t>
      </w:r>
      <w:r w:rsidR="005B275F" w:rsidRPr="007F32BD">
        <w:t>fold increase in exposure to pirfenidone in non-smokers</w:t>
      </w:r>
      <w:r w:rsidR="005B275F">
        <w:t>.</w:t>
      </w:r>
    </w:p>
    <w:p w:rsidR="005B275F" w:rsidRDefault="005B275F" w:rsidP="005B275F">
      <w:pPr>
        <w:autoSpaceDE w:val="0"/>
        <w:autoSpaceDN w:val="0"/>
        <w:adjustRightInd w:val="0"/>
      </w:pPr>
      <w:r w:rsidRPr="007F32BD">
        <w:t>The exposure to pirfenidone in smokers was 50% of that observed in non-smokers. Smoking has the potential to induce hepatic enzyme production and thus increase clearance and decrease exposure</w:t>
      </w:r>
      <w:r>
        <w:t>.</w:t>
      </w:r>
    </w:p>
    <w:p w:rsidR="005B275F" w:rsidRPr="005B275F" w:rsidRDefault="005B275F" w:rsidP="005B275F">
      <w:pPr>
        <w:autoSpaceDE w:val="0"/>
        <w:autoSpaceDN w:val="0"/>
        <w:adjustRightInd w:val="0"/>
      </w:pPr>
      <w:r w:rsidRPr="007F32BD">
        <w:t xml:space="preserve">Co-administration of </w:t>
      </w:r>
      <w:r>
        <w:t xml:space="preserve">pirfenidone </w:t>
      </w:r>
      <w:r w:rsidRPr="007F32BD">
        <w:t>and 750 mg of ciprofloxacin (a moderate and selective inhibitor of CYP1A2) increased the exposure to pirfenidone by 81%.</w:t>
      </w:r>
    </w:p>
    <w:p w:rsidR="005B275F" w:rsidRPr="005B275F" w:rsidRDefault="005B275F" w:rsidP="005B275F">
      <w:pPr>
        <w:pStyle w:val="Heading4"/>
      </w:pPr>
      <w:bookmarkStart w:id="65" w:name="_Toc272414634"/>
      <w:bookmarkStart w:id="66" w:name="_Toc290846257"/>
      <w:bookmarkStart w:id="67" w:name="_Toc430785336"/>
      <w:r w:rsidRPr="005B275F">
        <w:t>Clinical implications of in vitro findings</w:t>
      </w:r>
      <w:bookmarkEnd w:id="65"/>
      <w:bookmarkEnd w:id="66"/>
      <w:bookmarkEnd w:id="67"/>
    </w:p>
    <w:p w:rsidR="005B275F" w:rsidRPr="007F32BD" w:rsidRDefault="005B275F" w:rsidP="005B275F">
      <w:r>
        <w:t>T</w:t>
      </w:r>
      <w:r w:rsidRPr="00B50565">
        <w:t xml:space="preserve">he </w:t>
      </w:r>
      <w:r w:rsidRPr="005B275F">
        <w:t>in vitro</w:t>
      </w:r>
      <w:r w:rsidRPr="00B50565">
        <w:t xml:space="preserve"> metabolism studies predicted PK interactions that were markedly less than those found in the clinical studies described </w:t>
      </w:r>
      <w:r>
        <w:t>above, for example</w:t>
      </w:r>
      <w:r w:rsidRPr="00B50565">
        <w:t xml:space="preserve"> with fluvoxamine and ciprofloxacin the interactions were underestimated</w:t>
      </w:r>
      <w:r w:rsidR="006261DC">
        <w:t>.</w:t>
      </w:r>
    </w:p>
    <w:p w:rsidR="005B275F" w:rsidRPr="007F32BD" w:rsidRDefault="005B275F" w:rsidP="005B275F">
      <w:pPr>
        <w:pStyle w:val="Heading3"/>
      </w:pPr>
      <w:bookmarkStart w:id="68" w:name="_Toc459986980"/>
      <w:r w:rsidRPr="007F32BD">
        <w:t>Evaluator’s overall conclusions on pharmacokinetics</w:t>
      </w:r>
      <w:bookmarkEnd w:id="68"/>
    </w:p>
    <w:p w:rsidR="005B275F" w:rsidRPr="005B275F" w:rsidRDefault="005B275F" w:rsidP="005B275F">
      <w:r>
        <w:t>Oral absorption, dose proportionality and aspects of metabolism of pirfenidone have been characterised sufficiently to make recommendations with respect to administration with food, dose titration, hepatic impairment and int</w:t>
      </w:r>
      <w:r w:rsidR="008D5C05">
        <w:t xml:space="preserve">eraction with other medicines. </w:t>
      </w:r>
      <w:r>
        <w:t>Pirfenidone is cleared rapidly and is not expected to accumulate appreciably with multiple dosing at the proposed dosage in patients with normal hepatic and renal function.</w:t>
      </w:r>
    </w:p>
    <w:p w:rsidR="00586F98" w:rsidRDefault="00586F98" w:rsidP="00586F98">
      <w:pPr>
        <w:pStyle w:val="Heading2"/>
      </w:pPr>
      <w:bookmarkStart w:id="69" w:name="_Toc459986981"/>
      <w:r>
        <w:t>Pharmacodynamics</w:t>
      </w:r>
      <w:bookmarkEnd w:id="69"/>
    </w:p>
    <w:p w:rsidR="005B275F" w:rsidRPr="007F32BD" w:rsidRDefault="005B275F" w:rsidP="005B275F">
      <w:pPr>
        <w:pStyle w:val="Heading3"/>
      </w:pPr>
      <w:bookmarkStart w:id="70" w:name="_Toc272414637"/>
      <w:bookmarkStart w:id="71" w:name="_Toc290846260"/>
      <w:bookmarkStart w:id="72" w:name="_Toc430785339"/>
      <w:bookmarkStart w:id="73" w:name="_Toc459986982"/>
      <w:r w:rsidRPr="007F32BD">
        <w:t>Studies providing pharmacodynamic data</w:t>
      </w:r>
      <w:bookmarkEnd w:id="70"/>
      <w:bookmarkEnd w:id="71"/>
      <w:bookmarkEnd w:id="72"/>
      <w:bookmarkEnd w:id="73"/>
    </w:p>
    <w:p w:rsidR="005B275F" w:rsidRDefault="005B275F" w:rsidP="005B275F">
      <w:r>
        <w:t>I</w:t>
      </w:r>
      <w:r w:rsidRPr="007F32BD">
        <w:t xml:space="preserve">nformation was derived from animal models and </w:t>
      </w:r>
      <w:r w:rsidRPr="005B275F">
        <w:t>in vitro</w:t>
      </w:r>
      <w:r w:rsidRPr="007F32BD">
        <w:t xml:space="preserve"> studies</w:t>
      </w:r>
      <w:r>
        <w:t>:</w:t>
      </w:r>
    </w:p>
    <w:p w:rsidR="005B275F" w:rsidRDefault="005B275F" w:rsidP="005B275F">
      <w:pPr>
        <w:pStyle w:val="ListBullet"/>
      </w:pPr>
      <w:r w:rsidRPr="00C50DB2">
        <w:t xml:space="preserve">Study </w:t>
      </w:r>
      <w:r w:rsidR="008D5C05">
        <w:t>PIPF</w:t>
      </w:r>
      <w:r w:rsidR="008D5C05">
        <w:noBreakHyphen/>
      </w:r>
      <w:r w:rsidRPr="005B275F">
        <w:t>005</w:t>
      </w:r>
      <w:r>
        <w:t xml:space="preserve"> </w:t>
      </w:r>
      <w:r w:rsidR="006261DC" w:rsidRPr="006261DC">
        <w:t>escalating doses were tested in the multiple dose cohort and the presence of food reduced the rate and extent of absorption of pirfenidone</w:t>
      </w:r>
      <w:r>
        <w:t>.</w:t>
      </w:r>
    </w:p>
    <w:p w:rsidR="005B275F" w:rsidRDefault="005B275F" w:rsidP="005B275F">
      <w:pPr>
        <w:pStyle w:val="ListBullet"/>
      </w:pPr>
      <w:r>
        <w:t xml:space="preserve">Study </w:t>
      </w:r>
      <w:r w:rsidR="008D5C05">
        <w:t>PIPF</w:t>
      </w:r>
      <w:r w:rsidR="008D5C05">
        <w:noBreakHyphen/>
      </w:r>
      <w:r w:rsidRPr="005B275F">
        <w:t>008</w:t>
      </w:r>
      <w:r>
        <w:t xml:space="preserve"> </w:t>
      </w:r>
      <w:r w:rsidR="00794FC6" w:rsidRPr="00794FC6">
        <w:t>studied escalating doses in healthy young adults</w:t>
      </w:r>
      <w:r>
        <w:t>.</w:t>
      </w:r>
    </w:p>
    <w:p w:rsidR="005B275F" w:rsidRDefault="005B275F" w:rsidP="005B275F">
      <w:pPr>
        <w:pStyle w:val="ListBullet"/>
      </w:pPr>
      <w:r>
        <w:t xml:space="preserve">Study </w:t>
      </w:r>
      <w:r w:rsidR="008D5C05">
        <w:t>PIPF</w:t>
      </w:r>
      <w:r w:rsidR="008D5C05">
        <w:noBreakHyphen/>
      </w:r>
      <w:r w:rsidRPr="005B275F">
        <w:t>007</w:t>
      </w:r>
      <w:r>
        <w:t xml:space="preserve"> </w:t>
      </w:r>
      <w:r w:rsidR="00794FC6" w:rsidRPr="00794FC6">
        <w:t>studied ECG effects of oral pi</w:t>
      </w:r>
      <w:r w:rsidR="00794FC6">
        <w:t xml:space="preserve">rfenidone at clinical and supra </w:t>
      </w:r>
      <w:r w:rsidR="00794FC6" w:rsidRPr="00794FC6">
        <w:t>therapeutic doses compared to placebo or placebo</w:t>
      </w:r>
      <w:r w:rsidR="00794FC6">
        <w:t xml:space="preserve"> </w:t>
      </w:r>
      <w:r w:rsidR="001F567F">
        <w:t>and</w:t>
      </w:r>
      <w:r w:rsidR="001F567F" w:rsidRPr="00794FC6">
        <w:t xml:space="preserve"> </w:t>
      </w:r>
      <w:r w:rsidR="00794FC6" w:rsidRPr="00794FC6">
        <w:t>moxifloxacin in</w:t>
      </w:r>
      <w:r w:rsidR="00794FC6">
        <w:t xml:space="preserve"> healthy volunteers</w:t>
      </w:r>
      <w:r>
        <w:t>.</w:t>
      </w:r>
    </w:p>
    <w:p w:rsidR="001F567F" w:rsidRDefault="001F567F" w:rsidP="00753043">
      <w:pPr>
        <w:pStyle w:val="ListBullet"/>
      </w:pPr>
      <w:r w:rsidRPr="00F928FF">
        <w:t>Study PIPF</w:t>
      </w:r>
      <w:r w:rsidRPr="00F928FF">
        <w:noBreakHyphen/>
        <w:t>004 had PK/</w:t>
      </w:r>
      <w:r w:rsidR="00A113DF">
        <w:t>PD</w:t>
      </w:r>
      <w:r w:rsidRPr="00F928FF">
        <w:t xml:space="preserve"> exploratory analyses of data from 88 subjects who had PK exposure estimates. However, there were lower </w:t>
      </w:r>
      <w:r w:rsidR="00A113DF">
        <w:t>AE</w:t>
      </w:r>
      <w:r w:rsidRPr="00F928FF">
        <w:t xml:space="preserve"> rates and differing rates of lung function decline compared with the full study population, so the subset of patients in the PK/PD analysis do not appear to be representative of the overall population in PIPF</w:t>
      </w:r>
      <w:r w:rsidRPr="00F928FF">
        <w:noBreakHyphen/>
        <w:t>004.</w:t>
      </w:r>
    </w:p>
    <w:p w:rsidR="005B275F" w:rsidRPr="007F32BD" w:rsidRDefault="005B275F" w:rsidP="005173DE">
      <w:pPr>
        <w:pStyle w:val="Heading3"/>
      </w:pPr>
      <w:bookmarkStart w:id="74" w:name="_Ref269119989"/>
      <w:bookmarkStart w:id="75" w:name="_Toc272414639"/>
      <w:bookmarkStart w:id="76" w:name="_Toc290846261"/>
      <w:bookmarkStart w:id="77" w:name="_Toc430785340"/>
      <w:bookmarkStart w:id="78" w:name="_Toc459986983"/>
      <w:r w:rsidRPr="007F32BD">
        <w:t>Summary of pharmacodynamics</w:t>
      </w:r>
      <w:bookmarkEnd w:id="74"/>
      <w:bookmarkEnd w:id="75"/>
      <w:bookmarkEnd w:id="76"/>
      <w:bookmarkEnd w:id="77"/>
      <w:bookmarkEnd w:id="78"/>
    </w:p>
    <w:p w:rsidR="005B275F" w:rsidRPr="007F32BD" w:rsidRDefault="005B275F" w:rsidP="005B275F">
      <w:r w:rsidRPr="00014CA6">
        <w:t>The text source for the PI Pharmacodynamics section is based on a nonclinical publication.</w:t>
      </w:r>
    </w:p>
    <w:p w:rsidR="005B275F" w:rsidRPr="007F32BD" w:rsidRDefault="005B275F" w:rsidP="000E7CA2">
      <w:pPr>
        <w:pStyle w:val="Heading4"/>
      </w:pPr>
      <w:bookmarkStart w:id="79" w:name="_Toc241374299"/>
      <w:bookmarkStart w:id="80" w:name="_Toc272414640"/>
      <w:bookmarkStart w:id="81" w:name="_Toc290846262"/>
      <w:bookmarkStart w:id="82" w:name="_Toc430785341"/>
      <w:r w:rsidRPr="005173DE">
        <w:t>Mechanism</w:t>
      </w:r>
      <w:r w:rsidRPr="007F32BD">
        <w:t xml:space="preserve"> of action</w:t>
      </w:r>
      <w:bookmarkEnd w:id="79"/>
      <w:bookmarkEnd w:id="80"/>
      <w:bookmarkEnd w:id="81"/>
      <w:bookmarkEnd w:id="82"/>
    </w:p>
    <w:p w:rsidR="005B275F" w:rsidRPr="000E7CA2" w:rsidRDefault="005B275F" w:rsidP="005B275F">
      <w:r>
        <w:t>The mechanism of action is n</w:t>
      </w:r>
      <w:r w:rsidRPr="007F32BD">
        <w:t>ot fully known</w:t>
      </w:r>
      <w:r>
        <w:t>.</w:t>
      </w:r>
    </w:p>
    <w:p w:rsidR="005B275F" w:rsidRPr="007F32BD" w:rsidRDefault="005B275F" w:rsidP="000E7CA2">
      <w:pPr>
        <w:pStyle w:val="Heading4"/>
      </w:pPr>
      <w:bookmarkStart w:id="83" w:name="_Toc241374300"/>
      <w:bookmarkStart w:id="84" w:name="_Toc272414641"/>
      <w:bookmarkStart w:id="85" w:name="_Toc290846263"/>
      <w:bookmarkStart w:id="86" w:name="_Toc430785342"/>
      <w:r w:rsidRPr="007F32BD">
        <w:lastRenderedPageBreak/>
        <w:t>Pharmacodynamic effects</w:t>
      </w:r>
      <w:bookmarkEnd w:id="83"/>
      <w:bookmarkEnd w:id="84"/>
      <w:bookmarkEnd w:id="85"/>
      <w:bookmarkEnd w:id="86"/>
    </w:p>
    <w:p w:rsidR="005B275F" w:rsidRPr="007F32BD" w:rsidRDefault="005B275F" w:rsidP="000E7CA2">
      <w:pPr>
        <w:pStyle w:val="Heading5"/>
      </w:pPr>
      <w:bookmarkStart w:id="87" w:name="_Toc272414642"/>
      <w:bookmarkStart w:id="88" w:name="_Toc290846264"/>
      <w:bookmarkStart w:id="89" w:name="_Toc430785343"/>
      <w:r w:rsidRPr="007F32BD">
        <w:t>Primary pharmacodynamic effects</w:t>
      </w:r>
      <w:bookmarkEnd w:id="87"/>
      <w:bookmarkEnd w:id="88"/>
      <w:bookmarkEnd w:id="89"/>
    </w:p>
    <w:p w:rsidR="005B275F" w:rsidRPr="007F32BD" w:rsidRDefault="005B275F" w:rsidP="005B275F">
      <w:r w:rsidRPr="007F32BD">
        <w:t xml:space="preserve">A PK/PD evaluation in a </w:t>
      </w:r>
      <w:r w:rsidR="005173DE">
        <w:t>subset of</w:t>
      </w:r>
      <w:r>
        <w:t xml:space="preserve"> </w:t>
      </w:r>
      <w:r w:rsidR="005173DE">
        <w:t xml:space="preserve">Study </w:t>
      </w:r>
      <w:r w:rsidRPr="005173DE">
        <w:t>PIPF</w:t>
      </w:r>
      <w:r w:rsidR="005D2037">
        <w:noBreakHyphen/>
      </w:r>
      <w:r w:rsidRPr="005173DE">
        <w:t>004</w:t>
      </w:r>
      <w:r>
        <w:t xml:space="preserve"> patients (n = 88) was conducted using PK exposure estimates for 1</w:t>
      </w:r>
      <w:r w:rsidR="00794FC6">
        <w:t>,</w:t>
      </w:r>
      <w:r>
        <w:t>197 mg/day and 2</w:t>
      </w:r>
      <w:r w:rsidR="00794FC6">
        <w:t>,</w:t>
      </w:r>
      <w:r>
        <w:t xml:space="preserve">403 mg/day dosage groups, and also characterising low </w:t>
      </w:r>
      <w:r w:rsidR="000B6AC6">
        <w:t>versus</w:t>
      </w:r>
      <w:r>
        <w:t xml:space="preserve"> high exposure (low exposure threshold 75</w:t>
      </w:r>
      <w:r w:rsidRPr="008D4CAA">
        <w:rPr>
          <w:vertAlign w:val="superscript"/>
        </w:rPr>
        <w:t>th</w:t>
      </w:r>
      <w:r>
        <w:t xml:space="preserve"> percentile of exposure measure obtained for the patients receiving 1</w:t>
      </w:r>
      <w:r w:rsidR="00794FC6">
        <w:t>,</w:t>
      </w:r>
      <w:r>
        <w:t xml:space="preserve">197 mg/day). Analysis </w:t>
      </w:r>
      <w:r w:rsidRPr="007F32BD">
        <w:t xml:space="preserve">showed </w:t>
      </w:r>
      <w:r>
        <w:t xml:space="preserve">a weak </w:t>
      </w:r>
      <w:r w:rsidRPr="007F32BD">
        <w:t>positiv</w:t>
      </w:r>
      <w:r>
        <w:t xml:space="preserve">e relationship between exposure </w:t>
      </w:r>
      <w:r w:rsidRPr="007F32BD">
        <w:t>and the primary endpoint of change from baseline in percent predicted forced vital capacity (FV</w:t>
      </w:r>
      <w:r>
        <w:t>C).</w:t>
      </w:r>
    </w:p>
    <w:p w:rsidR="005B275F" w:rsidRPr="005173DE" w:rsidRDefault="005B275F" w:rsidP="005173DE">
      <w:pPr>
        <w:pStyle w:val="Heading4"/>
      </w:pPr>
      <w:bookmarkStart w:id="90" w:name="_Toc272414643"/>
      <w:bookmarkStart w:id="91" w:name="_Toc290846265"/>
      <w:bookmarkStart w:id="92" w:name="_Toc430785344"/>
      <w:r w:rsidRPr="005173DE">
        <w:t>Secondary pharmacodynamic effects</w:t>
      </w:r>
      <w:bookmarkEnd w:id="90"/>
      <w:bookmarkEnd w:id="91"/>
      <w:bookmarkEnd w:id="92"/>
    </w:p>
    <w:p w:rsidR="005B275F" w:rsidRPr="005173DE" w:rsidRDefault="005B275F" w:rsidP="005B275F">
      <w:r w:rsidRPr="00C50DB2">
        <w:t xml:space="preserve">In Study </w:t>
      </w:r>
      <w:r w:rsidRPr="005173DE">
        <w:t>PIPF-005</w:t>
      </w:r>
      <w:r w:rsidRPr="00C50DB2">
        <w:t xml:space="preserve"> higher C</w:t>
      </w:r>
      <w:r w:rsidRPr="00C50DB2">
        <w:rPr>
          <w:vertAlign w:val="subscript"/>
        </w:rPr>
        <w:t>max</w:t>
      </w:r>
      <w:r w:rsidRPr="00C50DB2">
        <w:t xml:space="preserve"> values increased the odds of experiencing a GI AE</w:t>
      </w:r>
      <w:r>
        <w:t xml:space="preserve">. This was consistent with </w:t>
      </w:r>
      <w:r w:rsidR="005173DE">
        <w:t xml:space="preserve">Study </w:t>
      </w:r>
      <w:r w:rsidRPr="005173DE">
        <w:t>PIPF-008</w:t>
      </w:r>
      <w:r>
        <w:t>; as the total daily dose (TDD) increased, so did the number of AEs repo</w:t>
      </w:r>
      <w:r w:rsidR="005173DE">
        <w:t xml:space="preserve">rted. </w:t>
      </w:r>
      <w:r>
        <w:t>The AE rate was higher in women.</w:t>
      </w:r>
    </w:p>
    <w:p w:rsidR="005B275F" w:rsidRPr="00C2325F" w:rsidRDefault="005173DE" w:rsidP="005B275F">
      <w:r>
        <w:t xml:space="preserve">Study </w:t>
      </w:r>
      <w:r w:rsidR="005B275F" w:rsidRPr="005173DE">
        <w:t>PIPF-007</w:t>
      </w:r>
      <w:r w:rsidR="005B275F" w:rsidRPr="00C2325F">
        <w:rPr>
          <w:b/>
        </w:rPr>
        <w:t xml:space="preserve"> </w:t>
      </w:r>
      <w:r w:rsidR="005B275F" w:rsidRPr="00C2325F">
        <w:t>analysed ECG</w:t>
      </w:r>
      <w:r w:rsidR="00794FC6">
        <w:t xml:space="preserve"> e</w:t>
      </w:r>
      <w:r w:rsidR="005B275F" w:rsidRPr="00C2325F">
        <w:t xml:space="preserve">ffects </w:t>
      </w:r>
      <w:r w:rsidR="005B275F">
        <w:t xml:space="preserve">at baseline, </w:t>
      </w:r>
      <w:r>
        <w:t>Day 6 and D</w:t>
      </w:r>
      <w:r w:rsidR="005B275F">
        <w:t>ay 10 from</w:t>
      </w:r>
      <w:r w:rsidR="005B275F" w:rsidRPr="00C2325F">
        <w:t xml:space="preserve"> 160 participants i</w:t>
      </w:r>
      <w:r>
        <w:t>n 4 groups; pirfenidone 2</w:t>
      </w:r>
      <w:r w:rsidR="00794FC6">
        <w:t>,</w:t>
      </w:r>
      <w:r>
        <w:t>403 mg</w:t>
      </w:r>
      <w:r w:rsidR="005B275F" w:rsidRPr="00C2325F">
        <w:t>/day, pi</w:t>
      </w:r>
      <w:r>
        <w:t>rfenidone 4</w:t>
      </w:r>
      <w:r w:rsidR="00794FC6">
        <w:t>,</w:t>
      </w:r>
      <w:r>
        <w:t>005 mg/day, placebo </w:t>
      </w:r>
      <w:r w:rsidR="00753043">
        <w:t>and </w:t>
      </w:r>
      <w:r w:rsidR="005B275F">
        <w:t>moxifloxacin</w:t>
      </w:r>
      <w:r>
        <w:t xml:space="preserve"> D</w:t>
      </w:r>
      <w:r w:rsidR="005B275F">
        <w:t>ay 10, and placebo only.</w:t>
      </w:r>
      <w:r w:rsidR="00794FC6">
        <w:t xml:space="preserve"> </w:t>
      </w:r>
      <w:r w:rsidR="00503F21">
        <w:t>Upper bound</w:t>
      </w:r>
      <w:r w:rsidR="005B275F" w:rsidRPr="00C2325F">
        <w:t xml:space="preserve"> of </w:t>
      </w:r>
      <w:r>
        <w:t xml:space="preserve">the </w:t>
      </w:r>
      <w:r w:rsidR="005B275F" w:rsidRPr="00C2325F">
        <w:t>95% confid</w:t>
      </w:r>
      <w:r w:rsidR="005B275F">
        <w:t>ence interval was &lt;</w:t>
      </w:r>
      <w:r>
        <w:t> 10 </w:t>
      </w:r>
      <w:r w:rsidR="005B275F">
        <w:t xml:space="preserve">ms for the therapeutic (Group </w:t>
      </w:r>
      <w:r w:rsidR="00AA76D4">
        <w:t>I</w:t>
      </w:r>
      <w:r w:rsidR="005B275F">
        <w:t xml:space="preserve">) </w:t>
      </w:r>
      <w:r w:rsidR="005B275F" w:rsidRPr="00C2325F">
        <w:t>and supra</w:t>
      </w:r>
      <w:r w:rsidR="008340CD">
        <w:t xml:space="preserve"> </w:t>
      </w:r>
      <w:r w:rsidR="00AA76D4">
        <w:t>therapeutic (Group II</w:t>
      </w:r>
      <w:r w:rsidR="005B275F" w:rsidRPr="00C2325F">
        <w:t>) treatment groups</w:t>
      </w:r>
      <w:r w:rsidR="005B275F">
        <w:t xml:space="preserve"> at all the time points</w:t>
      </w:r>
      <w:r w:rsidR="005B275F" w:rsidRPr="00C2325F">
        <w:t xml:space="preserve">. </w:t>
      </w:r>
      <w:r w:rsidR="005B275F">
        <w:t xml:space="preserve">The results indicate that the </w:t>
      </w:r>
      <w:r w:rsidR="005B275F" w:rsidRPr="003C1217">
        <w:t>mean e</w:t>
      </w:r>
      <w:r w:rsidR="005B275F">
        <w:t>ffect of pirfenidone on the QTcI</w:t>
      </w:r>
      <w:r w:rsidR="008340CD">
        <w:t xml:space="preserve"> interval</w:t>
      </w:r>
      <w:r>
        <w:t xml:space="preserve"> </w:t>
      </w:r>
      <w:r w:rsidR="005B275F" w:rsidRPr="003C1217">
        <w:t>is not greater than approximately 5 ms and that pirfenidone is unlikely to have a significant ef</w:t>
      </w:r>
      <w:r w:rsidR="005B275F">
        <w:t xml:space="preserve">fect on cardiac repolarization. </w:t>
      </w:r>
      <w:r w:rsidR="005B275F" w:rsidRPr="003C1217">
        <w:t xml:space="preserve">No clinically significant changes in heart rate and in PR and QRS intervals or morphology were observed. </w:t>
      </w:r>
      <w:r w:rsidR="005B275F">
        <w:t>Increased AEs were associated with the high dose especially in female subjects.</w:t>
      </w:r>
    </w:p>
    <w:p w:rsidR="005B275F" w:rsidRDefault="005B275F" w:rsidP="005B275F">
      <w:r>
        <w:t xml:space="preserve">The </w:t>
      </w:r>
      <w:r w:rsidR="005173DE">
        <w:t xml:space="preserve">Study </w:t>
      </w:r>
      <w:r w:rsidRPr="005173DE">
        <w:t>PIPF-004</w:t>
      </w:r>
      <w:r>
        <w:t xml:space="preserve"> s</w:t>
      </w:r>
      <w:r w:rsidRPr="003B50D5">
        <w:t>ubset analysis also identified a weak relationship between h</w:t>
      </w:r>
      <w:r>
        <w:t>igher drug exposure and shorter progression</w:t>
      </w:r>
      <w:r w:rsidR="008340CD">
        <w:t xml:space="preserve"> </w:t>
      </w:r>
      <w:r>
        <w:t>free survival (PFS); however this was based on only 20 patients who had IPF progression in the PK/PD population. There were appreciably higher occurrences of common AEs of nausea, photosensitivity, rash and dizziness, as well as reduction in body weight in the higher dose group, but relationships were considered to be not significant on multivariable modelling of pirfenidone exposure as predictor.</w:t>
      </w:r>
    </w:p>
    <w:p w:rsidR="005B275F" w:rsidRPr="007F32BD" w:rsidRDefault="005B275F" w:rsidP="005B275F">
      <w:r>
        <w:t xml:space="preserve">Of note, the </w:t>
      </w:r>
      <w:r w:rsidR="005173DE">
        <w:t>C</w:t>
      </w:r>
      <w:r w:rsidRPr="001C5F2A">
        <w:rPr>
          <w:vertAlign w:val="subscript"/>
        </w:rPr>
        <w:t xml:space="preserve">max </w:t>
      </w:r>
      <w:r>
        <w:t xml:space="preserve">of </w:t>
      </w:r>
      <w:r w:rsidR="005173DE">
        <w:t>5</w:t>
      </w:r>
      <w:r w:rsidR="005173DE">
        <w:noBreakHyphen/>
        <w:t>CA</w:t>
      </w:r>
      <w:r w:rsidR="005173DE">
        <w:noBreakHyphen/>
      </w:r>
      <w:r>
        <w:t>pirfenidone was associated with approximately a doubling of the risk of photosensitivity, and 5-CA-pirfenidone is considered an indicator of overall drug exposure.</w:t>
      </w:r>
    </w:p>
    <w:p w:rsidR="005B275F" w:rsidRDefault="005B275F" w:rsidP="005173DE">
      <w:pPr>
        <w:pStyle w:val="Heading3"/>
      </w:pPr>
      <w:bookmarkStart w:id="93" w:name="_Toc241374304"/>
      <w:bookmarkStart w:id="94" w:name="_Toc272414646"/>
      <w:bookmarkStart w:id="95" w:name="_Toc290846268"/>
      <w:bookmarkStart w:id="96" w:name="_Toc430785345"/>
      <w:bookmarkStart w:id="97" w:name="_Toc459986984"/>
      <w:r>
        <w:t>G</w:t>
      </w:r>
      <w:r w:rsidRPr="007F32BD">
        <w:t>ender</w:t>
      </w:r>
      <w:r>
        <w:t xml:space="preserve"> </w:t>
      </w:r>
      <w:r w:rsidRPr="007F32BD">
        <w:t xml:space="preserve">differences in </w:t>
      </w:r>
      <w:r w:rsidRPr="005173DE">
        <w:t>pharmacodynamic</w:t>
      </w:r>
      <w:r w:rsidRPr="007F32BD">
        <w:t xml:space="preserve"> response</w:t>
      </w:r>
      <w:bookmarkEnd w:id="93"/>
      <w:bookmarkEnd w:id="94"/>
      <w:bookmarkEnd w:id="95"/>
      <w:bookmarkEnd w:id="96"/>
      <w:bookmarkEnd w:id="97"/>
    </w:p>
    <w:p w:rsidR="005B275F" w:rsidRPr="007F32BD" w:rsidRDefault="005B275F" w:rsidP="005B275F">
      <w:r>
        <w:t>Generally women had less tolerance, with increased occurrence of adverse events, particularly GI and CNS effects, associated with higher doses.</w:t>
      </w:r>
    </w:p>
    <w:p w:rsidR="005B275F" w:rsidRPr="007F32BD" w:rsidRDefault="005B275F" w:rsidP="00380800">
      <w:pPr>
        <w:pStyle w:val="Heading3"/>
      </w:pPr>
      <w:bookmarkStart w:id="98" w:name="_Toc241374303"/>
      <w:bookmarkStart w:id="99" w:name="_Toc272414647"/>
      <w:bookmarkStart w:id="100" w:name="_Toc290846269"/>
      <w:bookmarkStart w:id="101" w:name="_Toc430785346"/>
      <w:bookmarkStart w:id="102" w:name="_Toc459986985"/>
      <w:r w:rsidRPr="00380800">
        <w:t>Pharmacodynamic</w:t>
      </w:r>
      <w:r w:rsidRPr="007F32BD">
        <w:t xml:space="preserve"> interactions</w:t>
      </w:r>
      <w:bookmarkEnd w:id="98"/>
      <w:bookmarkEnd w:id="99"/>
      <w:bookmarkEnd w:id="100"/>
      <w:bookmarkEnd w:id="101"/>
      <w:bookmarkEnd w:id="102"/>
    </w:p>
    <w:p w:rsidR="005B275F" w:rsidRPr="007F32BD" w:rsidRDefault="005B275F" w:rsidP="00380800">
      <w:r>
        <w:t>No information was available. See PK interactions above.</w:t>
      </w:r>
    </w:p>
    <w:p w:rsidR="005B275F" w:rsidRPr="007F32BD" w:rsidRDefault="005B275F" w:rsidP="00380800">
      <w:pPr>
        <w:pStyle w:val="Heading3"/>
      </w:pPr>
      <w:bookmarkStart w:id="103" w:name="_Ref269983272"/>
      <w:bookmarkStart w:id="104" w:name="_Toc272414648"/>
      <w:bookmarkStart w:id="105" w:name="_Toc290846270"/>
      <w:bookmarkStart w:id="106" w:name="_Toc430785347"/>
      <w:bookmarkStart w:id="107" w:name="_Toc459986986"/>
      <w:r w:rsidRPr="007F32BD">
        <w:t>Evaluator’s overall conclusions on pharmacodynamics</w:t>
      </w:r>
      <w:bookmarkEnd w:id="103"/>
      <w:bookmarkEnd w:id="104"/>
      <w:bookmarkEnd w:id="105"/>
      <w:bookmarkEnd w:id="106"/>
      <w:bookmarkEnd w:id="107"/>
    </w:p>
    <w:p w:rsidR="005B275F" w:rsidRPr="005B275F" w:rsidRDefault="005B275F" w:rsidP="005B275F">
      <w:r>
        <w:t>PK/PD correlation was demonstrated for common adverse effects including GI and dermatologic AEs</w:t>
      </w:r>
      <w:r w:rsidR="00380800">
        <w:t>.</w:t>
      </w:r>
    </w:p>
    <w:p w:rsidR="00586F98" w:rsidRDefault="00C22678" w:rsidP="00586F98">
      <w:pPr>
        <w:pStyle w:val="Heading2"/>
      </w:pPr>
      <w:bookmarkStart w:id="108" w:name="_Toc459986987"/>
      <w:r>
        <w:t>Dosage selection for the pivotal studies</w:t>
      </w:r>
      <w:bookmarkEnd w:id="108"/>
    </w:p>
    <w:p w:rsidR="00380800" w:rsidRPr="007F32BD" w:rsidRDefault="00380800" w:rsidP="00380800">
      <w:r w:rsidRPr="007F32BD">
        <w:t>The PK</w:t>
      </w:r>
      <w:r w:rsidR="008340CD">
        <w:t xml:space="preserve"> </w:t>
      </w:r>
      <w:r w:rsidR="00AA76D4">
        <w:t>based</w:t>
      </w:r>
      <w:r w:rsidRPr="007F32BD">
        <w:t xml:space="preserve"> </w:t>
      </w:r>
      <w:r w:rsidR="00AA76D4">
        <w:t>S</w:t>
      </w:r>
      <w:r w:rsidRPr="007F32BD">
        <w:t xml:space="preserve">tudy </w:t>
      </w:r>
      <w:r w:rsidRPr="00380800">
        <w:t>PIPF-005</w:t>
      </w:r>
      <w:r w:rsidR="00AA76D4">
        <w:t xml:space="preserve"> (see also Pharmacokinetics, and </w:t>
      </w:r>
      <w:r>
        <w:t>Pharmacodynamics</w:t>
      </w:r>
      <w:r w:rsidR="00AA76D4">
        <w:t xml:space="preserve"> above</w:t>
      </w:r>
      <w:r>
        <w:t>)</w:t>
      </w:r>
      <w:r w:rsidRPr="007F32BD">
        <w:t xml:space="preserve"> showed reduced incidence of AEs at a dose of 801 mg/day (as 267 mg capsules three times daily) when taken with food. The Maximum Tolerated Dose Study PIPF-008 confirmed that at </w:t>
      </w:r>
      <w:r w:rsidRPr="007F32BD">
        <w:lastRenderedPageBreak/>
        <w:t>doses above 2</w:t>
      </w:r>
      <w:r w:rsidR="00001402">
        <w:t>,</w:t>
      </w:r>
      <w:r w:rsidRPr="007F32BD">
        <w:t xml:space="preserve">403 mg/day, women were likely to have significant adverse effects </w:t>
      </w:r>
      <w:r w:rsidR="00001402">
        <w:t>(</w:t>
      </w:r>
      <w:r w:rsidRPr="007F32BD">
        <w:t>GI and</w:t>
      </w:r>
      <w:r w:rsidR="00AA76D4">
        <w:t xml:space="preserve"> CNS</w:t>
      </w:r>
      <w:r w:rsidR="00001402">
        <w:t>)</w:t>
      </w:r>
      <w:r>
        <w:t xml:space="preserve"> </w:t>
      </w:r>
      <w:r w:rsidRPr="007F32BD">
        <w:t>resulting in discontinuation.</w:t>
      </w:r>
    </w:p>
    <w:p w:rsidR="00380800" w:rsidRPr="007F32BD" w:rsidRDefault="00380800" w:rsidP="00380800">
      <w:r w:rsidRPr="007F32BD">
        <w:t xml:space="preserve">However the CSR for </w:t>
      </w:r>
      <w:r w:rsidR="00AA76D4">
        <w:t xml:space="preserve">Study </w:t>
      </w:r>
      <w:r w:rsidR="00503F21">
        <w:t>PIPF</w:t>
      </w:r>
      <w:r w:rsidR="00503F21">
        <w:noBreakHyphen/>
      </w:r>
      <w:r w:rsidRPr="00380800">
        <w:t xml:space="preserve">004 </w:t>
      </w:r>
      <w:r w:rsidRPr="007F32BD">
        <w:t xml:space="preserve">stated that the maximum tolerated dose was </w:t>
      </w:r>
      <w:r w:rsidRPr="001C5F2A">
        <w:t xml:space="preserve">not </w:t>
      </w:r>
      <w:r w:rsidRPr="007F32BD">
        <w:t>determined in these studies, and that selection of doses and frequency of administration was based on a published</w:t>
      </w:r>
      <w:r>
        <w:t xml:space="preserve"> Phase </w:t>
      </w:r>
      <w:r w:rsidR="00AA76D4">
        <w:t>II</w:t>
      </w:r>
      <w:r>
        <w:t xml:space="preserve"> study in IPF patients </w:t>
      </w:r>
      <w:r w:rsidR="003463B7">
        <w:t xml:space="preserve">(published by </w:t>
      </w:r>
      <w:r w:rsidR="00001402" w:rsidRPr="00001402">
        <w:t>Azuma et al</w:t>
      </w:r>
      <w:r w:rsidR="003463B7">
        <w:t>;</w:t>
      </w:r>
      <w:r w:rsidR="003463B7" w:rsidRPr="00001402">
        <w:t xml:space="preserve"> </w:t>
      </w:r>
      <w:r w:rsidR="00001402" w:rsidRPr="00001402">
        <w:t>2005</w:t>
      </w:r>
      <w:r w:rsidR="003463B7">
        <w:t>)</w:t>
      </w:r>
      <w:r w:rsidR="00001402" w:rsidRPr="00001402">
        <w:t xml:space="preserve"> ‘Double-blind, placebo controlled trial of pirfenidone in patients with idiopathic pulmonary fibrosis’ </w:t>
      </w:r>
      <w:r w:rsidRPr="007F32BD">
        <w:t xml:space="preserve">that used a maximum dose of pirfenidone 600 mg </w:t>
      </w:r>
      <w:r>
        <w:t>TDS</w:t>
      </w:r>
      <w:r w:rsidRPr="007F32BD">
        <w:t xml:space="preserve"> and empirical experience generated by investigators in the USA since 1995</w:t>
      </w:r>
      <w:r>
        <w:t>.</w:t>
      </w:r>
      <w:r>
        <w:rPr>
          <w:rStyle w:val="FootnoteReference"/>
        </w:rPr>
        <w:footnoteReference w:id="3"/>
      </w:r>
    </w:p>
    <w:p w:rsidR="00380800" w:rsidRPr="007F32BD" w:rsidRDefault="00380800" w:rsidP="00380800">
      <w:pPr>
        <w:autoSpaceDE w:val="0"/>
        <w:autoSpaceDN w:val="0"/>
        <w:adjustRightInd w:val="0"/>
      </w:pPr>
      <w:r w:rsidRPr="007F32BD">
        <w:t>Doses of 1</w:t>
      </w:r>
      <w:r w:rsidR="00001402">
        <w:t>,</w:t>
      </w:r>
      <w:r w:rsidRPr="007F32BD">
        <w:t>197 mg/day and 2</w:t>
      </w:r>
      <w:r w:rsidR="00001402">
        <w:t>,</w:t>
      </w:r>
      <w:r w:rsidRPr="007F32BD">
        <w:t>403 mg/day were chosen fo</w:t>
      </w:r>
      <w:r>
        <w:t xml:space="preserve">r </w:t>
      </w:r>
      <w:r w:rsidR="00AA76D4">
        <w:t xml:space="preserve">Study </w:t>
      </w:r>
      <w:r w:rsidRPr="00380800">
        <w:t>PIPF-004</w:t>
      </w:r>
      <w:r>
        <w:t xml:space="preserve"> and </w:t>
      </w:r>
      <w:r w:rsidR="00001402">
        <w:t>2,403 mg</w:t>
      </w:r>
      <w:r>
        <w:t xml:space="preserve">/day for </w:t>
      </w:r>
      <w:r w:rsidR="00AA76D4">
        <w:t xml:space="preserve">Study </w:t>
      </w:r>
      <w:r w:rsidRPr="00380800">
        <w:t>PIPF</w:t>
      </w:r>
      <w:r>
        <w:noBreakHyphen/>
      </w:r>
      <w:r w:rsidRPr="00380800">
        <w:t>006</w:t>
      </w:r>
      <w:r>
        <w:t xml:space="preserve"> and </w:t>
      </w:r>
      <w:r w:rsidR="00AA76D4">
        <w:t xml:space="preserve">Study </w:t>
      </w:r>
      <w:r>
        <w:t>PIPF</w:t>
      </w:r>
      <w:r>
        <w:noBreakHyphen/>
      </w:r>
      <w:r w:rsidRPr="00380800">
        <w:t>016</w:t>
      </w:r>
      <w:r>
        <w:t>.</w:t>
      </w:r>
      <w:r w:rsidRPr="007F32BD">
        <w:t xml:space="preserve"> The </w:t>
      </w:r>
      <w:r w:rsidR="00001402">
        <w:t>2,403 mg</w:t>
      </w:r>
      <w:r w:rsidRPr="007F32BD">
        <w:t xml:space="preserve"> dose was considered to be that needed to achieve efficacy based on previous clinical experience, and the </w:t>
      </w:r>
      <w:r w:rsidR="00001402">
        <w:t>1,197 mg</w:t>
      </w:r>
      <w:r w:rsidRPr="007F32BD">
        <w:t xml:space="preserve"> dose was included for additional qualitative safety and efficacy information.</w:t>
      </w:r>
    </w:p>
    <w:p w:rsidR="00380800" w:rsidRDefault="00C22678" w:rsidP="00380800">
      <w:pPr>
        <w:pStyle w:val="Heading2"/>
      </w:pPr>
      <w:bookmarkStart w:id="109" w:name="_Toc459986988"/>
      <w:r>
        <w:t>Clinical efficacy</w:t>
      </w:r>
      <w:bookmarkEnd w:id="109"/>
    </w:p>
    <w:p w:rsidR="00001402" w:rsidRPr="00A16FA7" w:rsidRDefault="00001402" w:rsidP="000E7CA2">
      <w:r w:rsidRPr="00001402">
        <w:rPr>
          <w:lang w:eastAsia="ja-JP"/>
        </w:rPr>
        <w:t>The proposed indication is ‘</w:t>
      </w:r>
      <w:r w:rsidRPr="000E7CA2">
        <w:rPr>
          <w:i/>
          <w:lang w:eastAsia="ja-JP"/>
        </w:rPr>
        <w:t>Esbriet is indicated for the treatment of idiopathic pulmonary fibrosis (IPF)</w:t>
      </w:r>
      <w:r w:rsidRPr="00001402">
        <w:rPr>
          <w:lang w:eastAsia="ja-JP"/>
        </w:rPr>
        <w:t>.’</w:t>
      </w:r>
    </w:p>
    <w:p w:rsidR="00380800" w:rsidRPr="007F32BD" w:rsidRDefault="00380800" w:rsidP="00126306">
      <w:pPr>
        <w:pStyle w:val="Heading3"/>
      </w:pPr>
      <w:bookmarkStart w:id="110" w:name="_Ref271037274"/>
      <w:bookmarkStart w:id="111" w:name="_Toc272414652"/>
      <w:bookmarkStart w:id="112" w:name="_Toc290846274"/>
      <w:bookmarkStart w:id="113" w:name="_Toc430785351"/>
      <w:bookmarkStart w:id="114" w:name="_Toc459986989"/>
      <w:r w:rsidRPr="007F32BD">
        <w:t>Pivotal efficacy studies</w:t>
      </w:r>
      <w:bookmarkEnd w:id="110"/>
      <w:bookmarkEnd w:id="111"/>
      <w:bookmarkEnd w:id="112"/>
      <w:bookmarkEnd w:id="113"/>
      <w:bookmarkEnd w:id="114"/>
    </w:p>
    <w:p w:rsidR="00380800" w:rsidRPr="00126306" w:rsidRDefault="00380800" w:rsidP="00380800">
      <w:pPr>
        <w:rPr>
          <w:highlight w:val="yellow"/>
        </w:rPr>
      </w:pPr>
      <w:r w:rsidRPr="007F32BD">
        <w:t xml:space="preserve">There were </w:t>
      </w:r>
      <w:r w:rsidRPr="00D15F25">
        <w:t>three</w:t>
      </w:r>
      <w:r w:rsidRPr="007F32BD">
        <w:t xml:space="preserve"> Phase III </w:t>
      </w:r>
      <w:r w:rsidR="00126306">
        <w:t>randomised, double</w:t>
      </w:r>
      <w:r w:rsidR="00001402">
        <w:t xml:space="preserve"> </w:t>
      </w:r>
      <w:r w:rsidR="00126306">
        <w:t>blind, placebo</w:t>
      </w:r>
      <w:r w:rsidR="00001402">
        <w:t xml:space="preserve"> </w:t>
      </w:r>
      <w:r>
        <w:t xml:space="preserve">controlled, </w:t>
      </w:r>
      <w:r w:rsidRPr="007F32BD">
        <w:t xml:space="preserve">efficacy studies using the </w:t>
      </w:r>
      <w:r>
        <w:t xml:space="preserve">pirfenidone </w:t>
      </w:r>
      <w:r w:rsidRPr="007F32BD">
        <w:t>at the proposed dose</w:t>
      </w:r>
      <w:r>
        <w:t xml:space="preserve"> in patients with IPF</w:t>
      </w:r>
      <w:r w:rsidR="00001402">
        <w:t xml:space="preserve">; </w:t>
      </w:r>
      <w:r w:rsidR="00AA76D4">
        <w:t xml:space="preserve">Studies PIPF-004, </w:t>
      </w:r>
      <w:r w:rsidRPr="00126306">
        <w:t>PIPF-006, and PIPF-016.</w:t>
      </w:r>
    </w:p>
    <w:p w:rsidR="00380800" w:rsidRPr="007F32BD" w:rsidRDefault="00380800" w:rsidP="00126306">
      <w:pPr>
        <w:pStyle w:val="Heading4"/>
      </w:pPr>
      <w:bookmarkStart w:id="115" w:name="_Ref243301615"/>
      <w:bookmarkStart w:id="116" w:name="_Ref271040927"/>
      <w:bookmarkStart w:id="117" w:name="_Ref271040932"/>
      <w:bookmarkStart w:id="118" w:name="_Toc272414653"/>
      <w:bookmarkStart w:id="119" w:name="_Toc290846275"/>
      <w:bookmarkStart w:id="120" w:name="_Toc430785352"/>
      <w:r w:rsidRPr="007F32BD">
        <w:t xml:space="preserve">Study </w:t>
      </w:r>
      <w:bookmarkEnd w:id="115"/>
      <w:bookmarkEnd w:id="116"/>
      <w:bookmarkEnd w:id="117"/>
      <w:bookmarkEnd w:id="118"/>
      <w:bookmarkEnd w:id="119"/>
      <w:r w:rsidRPr="007F32BD">
        <w:t>PIPF-004</w:t>
      </w:r>
      <w:bookmarkEnd w:id="120"/>
    </w:p>
    <w:p w:rsidR="00380800" w:rsidRPr="007F32BD" w:rsidRDefault="00AA76D4" w:rsidP="00380800">
      <w:r>
        <w:t xml:space="preserve">Studies </w:t>
      </w:r>
      <w:r w:rsidR="00380800">
        <w:t xml:space="preserve">PIPF-004 and PIPF-006 were closely similar and </w:t>
      </w:r>
      <w:r w:rsidR="00380800" w:rsidRPr="007F32BD">
        <w:t xml:space="preserve">concurrently conducted pivotal efficacy and safety studies submitted to the EMA </w:t>
      </w:r>
      <w:r w:rsidR="00380800">
        <w:t xml:space="preserve">for assessment for authorisation, </w:t>
      </w:r>
      <w:r w:rsidR="00380800" w:rsidRPr="007F32BD">
        <w:t xml:space="preserve">and initially to </w:t>
      </w:r>
      <w:r w:rsidR="00380800">
        <w:t xml:space="preserve">the </w:t>
      </w:r>
      <w:r w:rsidR="00380800" w:rsidRPr="007F32BD">
        <w:t>FDA.</w:t>
      </w:r>
    </w:p>
    <w:p w:rsidR="00380800" w:rsidRPr="007F32BD" w:rsidRDefault="00380800" w:rsidP="00633D58">
      <w:pPr>
        <w:pStyle w:val="Heading5"/>
      </w:pPr>
      <w:bookmarkStart w:id="121" w:name="_Toc430785353"/>
      <w:r w:rsidRPr="007F32BD">
        <w:t>Study design, objectives, locations and dates</w:t>
      </w:r>
      <w:bookmarkEnd w:id="121"/>
    </w:p>
    <w:p w:rsidR="00380800" w:rsidRPr="000E7CA2" w:rsidRDefault="00AA76D4" w:rsidP="00380800">
      <w:pPr>
        <w:autoSpaceDE w:val="0"/>
        <w:autoSpaceDN w:val="0"/>
        <w:adjustRightInd w:val="0"/>
      </w:pPr>
      <w:r>
        <w:t xml:space="preserve">Study </w:t>
      </w:r>
      <w:r w:rsidR="00380800" w:rsidRPr="007F32BD">
        <w:t>PIPF-004 was a randomised double blind placebo</w:t>
      </w:r>
      <w:r w:rsidR="00001402">
        <w:t xml:space="preserve"> </w:t>
      </w:r>
      <w:r w:rsidR="00380800" w:rsidRPr="007F32BD">
        <w:t xml:space="preserve">controlled three arm study of safety and efficacy of pirfenidone in patients with IPF. The objectives were to assess safety and efficacy of treatment with pirfenidone daily doses of </w:t>
      </w:r>
      <w:r w:rsidR="00001402">
        <w:t>1,197 mg</w:t>
      </w:r>
      <w:r w:rsidR="00380800" w:rsidRPr="007F32BD">
        <w:t xml:space="preserve"> and </w:t>
      </w:r>
      <w:r w:rsidR="00001402">
        <w:t>2,403 mg</w:t>
      </w:r>
      <w:r w:rsidR="00380800" w:rsidRPr="007F32BD">
        <w:t>.</w:t>
      </w:r>
      <w:r w:rsidR="005D2037">
        <w:t xml:space="preserve"> </w:t>
      </w:r>
      <w:r w:rsidR="00380800" w:rsidRPr="007F32BD">
        <w:t>This study was conducted by 64 investigators at 64 sites in United States, Canada, Mexico, United Kingdom, France, Italy, Poland and Australia, from July 2006 to November 2008.</w:t>
      </w:r>
    </w:p>
    <w:p w:rsidR="00380800" w:rsidRPr="00126306" w:rsidRDefault="00380800" w:rsidP="00380800">
      <w:pPr>
        <w:autoSpaceDE w:val="0"/>
        <w:autoSpaceDN w:val="0"/>
        <w:adjustRightInd w:val="0"/>
      </w:pPr>
      <w:r w:rsidRPr="007F32BD">
        <w:t>Patients (n = 435) were randomised 2:</w:t>
      </w:r>
      <w:r w:rsidR="00001402">
        <w:t xml:space="preserve"> </w:t>
      </w:r>
      <w:r w:rsidRPr="007F32BD">
        <w:t>2:</w:t>
      </w:r>
      <w:r w:rsidR="00001402">
        <w:t xml:space="preserve"> </w:t>
      </w:r>
      <w:r w:rsidRPr="007F32BD">
        <w:t xml:space="preserve">1 to receive pirfenidone </w:t>
      </w:r>
      <w:r w:rsidR="00001402">
        <w:t>2,403 mg</w:t>
      </w:r>
      <w:r w:rsidRPr="007F32BD">
        <w:t xml:space="preserve">/day (n = 174), placebo (n = 174), or pirfenidone </w:t>
      </w:r>
      <w:r w:rsidR="00001402">
        <w:t>1,197 mg</w:t>
      </w:r>
      <w:r w:rsidRPr="007F32BD">
        <w:t>/day (n = 87) respectively.</w:t>
      </w:r>
      <w:r w:rsidR="005D2037">
        <w:t xml:space="preserve"> </w:t>
      </w:r>
      <w:r w:rsidRPr="00D15F25">
        <w:t>The study included a 28</w:t>
      </w:r>
      <w:r w:rsidR="00001402">
        <w:t> </w:t>
      </w:r>
      <w:r w:rsidRPr="00D15F25">
        <w:t>day washout period (for patients to discontinue all prohibited medications before screening), a 40 day screening period, a 72 week study treatment period, and a final follow-up visit 3 to 4 weeks after the treatment completion v</w:t>
      </w:r>
      <w:r w:rsidR="00126306">
        <w:t>isit.</w:t>
      </w:r>
    </w:p>
    <w:p w:rsidR="00380800" w:rsidRPr="007F32BD" w:rsidRDefault="00380800" w:rsidP="00126306">
      <w:pPr>
        <w:autoSpaceDE w:val="0"/>
        <w:autoSpaceDN w:val="0"/>
        <w:adjustRightInd w:val="0"/>
      </w:pPr>
      <w:r w:rsidRPr="007F32BD">
        <w:t xml:space="preserve">All patients were to receive study treatment from randomisation until approximately 72 weeks after the last patient had been randomised in the study. The treatment dose was to be escalated over 15 days to a full maintenance dose beginning with one </w:t>
      </w:r>
      <w:r w:rsidR="00126306">
        <w:t xml:space="preserve">capsule 3 times daily on Days 1 to </w:t>
      </w:r>
      <w:r w:rsidRPr="007F32BD">
        <w:t>7, then 2 capsules 3 times daily on Days 8</w:t>
      </w:r>
      <w:r w:rsidR="00126306">
        <w:t xml:space="preserve"> to </w:t>
      </w:r>
      <w:r w:rsidRPr="007F32BD">
        <w:t xml:space="preserve">14, to a full maintenance dose of 3 capsules </w:t>
      </w:r>
      <w:r w:rsidR="00001402" w:rsidRPr="00001402">
        <w:t>3 times daily</w:t>
      </w:r>
      <w:r w:rsidRPr="007F32BD">
        <w:t xml:space="preserve"> on Day 15. Dose modification guidelines were provided for commonly seen AEs including fatigue, GI effects and photosensitivity rash.</w:t>
      </w:r>
    </w:p>
    <w:p w:rsidR="00380800" w:rsidRPr="007F32BD" w:rsidRDefault="00380800" w:rsidP="00633D58">
      <w:pPr>
        <w:pStyle w:val="Heading5"/>
      </w:pPr>
      <w:bookmarkStart w:id="122" w:name="_Toc430785354"/>
      <w:r w:rsidRPr="007F32BD">
        <w:lastRenderedPageBreak/>
        <w:t>Inclusion and exclusion criteria</w:t>
      </w:r>
      <w:bookmarkEnd w:id="122"/>
    </w:p>
    <w:p w:rsidR="00E22EEA" w:rsidRDefault="00380800" w:rsidP="00126306">
      <w:r w:rsidRPr="007F32BD">
        <w:t>Eligible m</w:t>
      </w:r>
      <w:r w:rsidR="00126306">
        <w:t xml:space="preserve">ale and female patients aged 40 to </w:t>
      </w:r>
      <w:r w:rsidRPr="007F32BD">
        <w:t>80 years must have had a confident clinical and radiographic diagnosis of IPF without evidence or suspicion of an alternative diagnosis that may have contributed to the patients’ interstitial lung disease, and they must have had evidence of IPF disease progression.</w:t>
      </w:r>
    </w:p>
    <w:p w:rsidR="00E22EEA" w:rsidRDefault="00E22EEA" w:rsidP="00126306">
      <w:r>
        <w:t>Detailed inclusion criteria were as follows:</w:t>
      </w:r>
    </w:p>
    <w:p w:rsidR="00E22EEA" w:rsidRPr="007F32BD" w:rsidRDefault="00E22EEA" w:rsidP="003910E1">
      <w:pPr>
        <w:pStyle w:val="ListBullet"/>
      </w:pPr>
      <w:r w:rsidRPr="007F32BD">
        <w:t xml:space="preserve">Clinical symptoms consistent with IPF, including insidious onset of otherwise unexplained </w:t>
      </w:r>
      <w:r w:rsidR="002A3062" w:rsidRPr="007F32BD">
        <w:t>dyspnoea</w:t>
      </w:r>
      <w:r w:rsidRPr="007F32BD">
        <w:t xml:space="preserve"> on exertion of </w:t>
      </w:r>
      <w:r w:rsidRPr="007F32BD">
        <w:rPr>
          <w:rFonts w:hint="eastAsia"/>
        </w:rPr>
        <w:t>≥</w:t>
      </w:r>
      <w:r w:rsidR="002A3062">
        <w:t xml:space="preserve"> </w:t>
      </w:r>
      <w:r w:rsidRPr="007F32BD">
        <w:t>3 months duration</w:t>
      </w:r>
    </w:p>
    <w:p w:rsidR="00E22EEA" w:rsidRPr="007F32BD" w:rsidRDefault="00E22EEA" w:rsidP="003910E1">
      <w:pPr>
        <w:pStyle w:val="ListBullet"/>
      </w:pPr>
      <w:r w:rsidRPr="007F32BD">
        <w:t>Diagnosis of IPF, defined as the first instance a patient was informed of having IPF, within 48 months of randomization</w:t>
      </w:r>
    </w:p>
    <w:p w:rsidR="00E22EEA" w:rsidRPr="007F32BD" w:rsidRDefault="00E22EEA" w:rsidP="003910E1">
      <w:pPr>
        <w:pStyle w:val="ListBullet"/>
      </w:pPr>
      <w:r w:rsidRPr="007F32BD">
        <w:t>Age 40 through 80 years, inclusive</w:t>
      </w:r>
    </w:p>
    <w:p w:rsidR="00E22EEA" w:rsidRPr="007F32BD" w:rsidRDefault="00E22EEA" w:rsidP="003910E1">
      <w:pPr>
        <w:pStyle w:val="ListBullet"/>
      </w:pPr>
      <w:r w:rsidRPr="007F32BD">
        <w:t>High-resolution computed tomography (HRCT) scan showing a pattern of disease consistent with a confident (definite) radiographic diagnosis of usual interstitial pneumonia (UIP)/IPF. For patients with surgical lung biopsy showing definite or probable UIP, the HRCT criterion of pr</w:t>
      </w:r>
      <w:r>
        <w:t>obable (UIP)/IPF was sufficient</w:t>
      </w:r>
    </w:p>
    <w:p w:rsidR="00E22EEA" w:rsidRPr="007F32BD" w:rsidRDefault="00E22EEA" w:rsidP="003910E1">
      <w:pPr>
        <w:pStyle w:val="ListBullet"/>
      </w:pPr>
      <w:r w:rsidRPr="007F32BD">
        <w:t>For patients &lt;</w:t>
      </w:r>
      <w:r w:rsidR="002A3062">
        <w:t xml:space="preserve"> </w:t>
      </w:r>
      <w:r w:rsidRPr="007F32BD">
        <w:t xml:space="preserve">50 years of age: open or video-assisted thoracoscopic surgical (VATS) lung biopsy showing definite or probable UIP within 48 months of randomisation. In addition, there were no features that supported an alternative diagnosis on transbronchial biopsy or bronchoalveolar lavage </w:t>
      </w:r>
      <w:r>
        <w:t>(BAL), if performed</w:t>
      </w:r>
    </w:p>
    <w:p w:rsidR="00E22EEA" w:rsidRDefault="00E22EEA" w:rsidP="003910E1">
      <w:pPr>
        <w:pStyle w:val="ListBullet"/>
      </w:pPr>
      <w:r w:rsidRPr="007F32BD">
        <w:t xml:space="preserve">For patients </w:t>
      </w:r>
      <w:r w:rsidRPr="007F32BD">
        <w:rPr>
          <w:rFonts w:hint="eastAsia"/>
        </w:rPr>
        <w:t>≥</w:t>
      </w:r>
      <w:r w:rsidR="002A3062">
        <w:t xml:space="preserve"> </w:t>
      </w:r>
      <w:r w:rsidRPr="007F32BD">
        <w:t>50 years of age: at least one of the following diagnostic findings, as well as the absence of any features on specimens resulting from these procedures, which supported an alternative diagnosis within 48 months of randomisation:</w:t>
      </w:r>
    </w:p>
    <w:p w:rsidR="00E22EEA" w:rsidRPr="00E22EEA" w:rsidRDefault="00E22EEA" w:rsidP="003910E1">
      <w:pPr>
        <w:pStyle w:val="ListBullet2"/>
      </w:pPr>
      <w:r w:rsidRPr="00E22EEA">
        <w:t>Open or VATS lung biopsy that showed definite or probable UIP</w:t>
      </w:r>
    </w:p>
    <w:p w:rsidR="00E22EEA" w:rsidRPr="007F32BD" w:rsidRDefault="00E22EEA" w:rsidP="003910E1">
      <w:pPr>
        <w:pStyle w:val="ListBullet2"/>
      </w:pPr>
      <w:r w:rsidRPr="007F32BD">
        <w:t>Transbronchial biopsy that showed no features of an alternative diagnosis</w:t>
      </w:r>
    </w:p>
    <w:p w:rsidR="00E22EEA" w:rsidRPr="007F32BD" w:rsidRDefault="00E22EEA" w:rsidP="003910E1">
      <w:pPr>
        <w:pStyle w:val="ListBullet2"/>
      </w:pPr>
      <w:r>
        <w:t>B</w:t>
      </w:r>
      <w:r w:rsidRPr="007F32BD">
        <w:t>AL that showed no features of an alternative diagnosis.</w:t>
      </w:r>
    </w:p>
    <w:p w:rsidR="00E22EEA" w:rsidRPr="007F32BD" w:rsidRDefault="00E22EEA" w:rsidP="003910E1">
      <w:pPr>
        <w:pStyle w:val="ListBullet"/>
      </w:pPr>
      <w:r w:rsidRPr="007F32BD">
        <w:t>IPF disease severity and progression:</w:t>
      </w:r>
    </w:p>
    <w:p w:rsidR="00E22EEA" w:rsidRPr="007F32BD" w:rsidRDefault="00E22EEA" w:rsidP="003910E1">
      <w:pPr>
        <w:pStyle w:val="ListBullet2"/>
      </w:pPr>
      <w:r w:rsidRPr="007F32BD">
        <w:t xml:space="preserve">Percent predicted FVC </w:t>
      </w:r>
      <w:r w:rsidRPr="007F32BD">
        <w:rPr>
          <w:rFonts w:hint="eastAsia"/>
        </w:rPr>
        <w:t>≥</w:t>
      </w:r>
      <w:r w:rsidRPr="007F32BD">
        <w:t xml:space="preserve">50% at screening and Day 1 (before randomisation). The change in FVC between screening and Day 1 must have been </w:t>
      </w:r>
      <w:r w:rsidRPr="007F32BD">
        <w:rPr>
          <w:rFonts w:hint="eastAsia"/>
        </w:rPr>
        <w:t>≤</w:t>
      </w:r>
      <w:r w:rsidR="00947AD6">
        <w:t> </w:t>
      </w:r>
      <w:r w:rsidRPr="007F32BD">
        <w:t>10% relative difference</w:t>
      </w:r>
    </w:p>
    <w:p w:rsidR="00E22EEA" w:rsidRPr="007F32BD" w:rsidRDefault="00E22EEA" w:rsidP="003910E1">
      <w:pPr>
        <w:pStyle w:val="ListBullet2"/>
      </w:pPr>
      <w:r w:rsidRPr="007F32BD">
        <w:t>Haemoglobin (Hgb)-corrected carbon monoxide diffusing capacity/carbon monoxide transfer capacity (DL</w:t>
      </w:r>
      <w:r w:rsidRPr="007F32BD">
        <w:rPr>
          <w:vertAlign w:val="subscript"/>
        </w:rPr>
        <w:t>CO</w:t>
      </w:r>
      <w:r w:rsidRPr="007F32BD">
        <w:t>/TL</w:t>
      </w:r>
      <w:r w:rsidRPr="007F32BD">
        <w:rPr>
          <w:vertAlign w:val="subscript"/>
        </w:rPr>
        <w:t>CO</w:t>
      </w:r>
      <w:r w:rsidRPr="007F32BD">
        <w:t xml:space="preserve">) </w:t>
      </w:r>
      <w:r w:rsidRPr="007F32BD">
        <w:rPr>
          <w:rFonts w:hint="eastAsia"/>
        </w:rPr>
        <w:t>≥</w:t>
      </w:r>
      <w:r w:rsidR="00947AD6">
        <w:t> </w:t>
      </w:r>
      <w:r w:rsidRPr="007F32BD">
        <w:t>35% of predicted value at screening only</w:t>
      </w:r>
    </w:p>
    <w:p w:rsidR="00E22EEA" w:rsidRPr="007F32BD" w:rsidRDefault="00E22EEA" w:rsidP="003910E1">
      <w:pPr>
        <w:pStyle w:val="ListBullet2"/>
      </w:pPr>
      <w:r w:rsidRPr="007F32BD">
        <w:t>Either FVC or Hgb-corrected DL</w:t>
      </w:r>
      <w:r w:rsidRPr="007F32BD">
        <w:rPr>
          <w:vertAlign w:val="subscript"/>
        </w:rPr>
        <w:t>CO</w:t>
      </w:r>
      <w:r w:rsidRPr="007F32BD">
        <w:t xml:space="preserve"> </w:t>
      </w:r>
      <w:r w:rsidRPr="007F32BD">
        <w:rPr>
          <w:rFonts w:hint="eastAsia"/>
        </w:rPr>
        <w:t>≤</w:t>
      </w:r>
      <w:r w:rsidR="00947AD6">
        <w:t> </w:t>
      </w:r>
      <w:r w:rsidRPr="007F32BD">
        <w:t>90% of predicted value at screening</w:t>
      </w:r>
    </w:p>
    <w:p w:rsidR="00E22EEA" w:rsidRPr="007F32BD" w:rsidRDefault="00E22EEA" w:rsidP="003910E1">
      <w:pPr>
        <w:pStyle w:val="ListBullet2"/>
      </w:pPr>
      <w:r w:rsidRPr="007F32BD">
        <w:t>No evidence of improvement in measures of IPF disease severity over the year preceding study entry</w:t>
      </w:r>
    </w:p>
    <w:p w:rsidR="00E22EEA" w:rsidRPr="007F32BD" w:rsidRDefault="00E22EEA" w:rsidP="003910E1">
      <w:pPr>
        <w:pStyle w:val="ListBullet2"/>
      </w:pPr>
      <w:r w:rsidRPr="007F32BD">
        <w:t xml:space="preserve">Distance walked </w:t>
      </w:r>
      <w:r w:rsidRPr="007F32BD">
        <w:rPr>
          <w:rFonts w:hint="eastAsia"/>
        </w:rPr>
        <w:t>≥</w:t>
      </w:r>
      <w:r w:rsidR="002A3062">
        <w:t xml:space="preserve"> </w:t>
      </w:r>
      <w:r w:rsidRPr="007F32BD">
        <w:t>150 metres with O</w:t>
      </w:r>
      <w:r w:rsidRPr="007F32BD">
        <w:rPr>
          <w:vertAlign w:val="subscript"/>
        </w:rPr>
        <w:t>2</w:t>
      </w:r>
      <w:r w:rsidRPr="007F32BD">
        <w:t xml:space="preserve"> saturation </w:t>
      </w:r>
      <w:r w:rsidRPr="007F32BD">
        <w:rPr>
          <w:rFonts w:hint="eastAsia"/>
        </w:rPr>
        <w:t>≥</w:t>
      </w:r>
      <w:r w:rsidR="00947AD6">
        <w:t> </w:t>
      </w:r>
      <w:r w:rsidRPr="007F32BD">
        <w:t xml:space="preserve">83% on </w:t>
      </w:r>
      <w:r w:rsidRPr="007F32BD">
        <w:rPr>
          <w:rFonts w:hint="eastAsia"/>
        </w:rPr>
        <w:t>≤</w:t>
      </w:r>
      <w:r w:rsidRPr="007F32BD">
        <w:t xml:space="preserve"> 6 L/minute of O</w:t>
      </w:r>
      <w:r w:rsidRPr="007F32BD">
        <w:rPr>
          <w:vertAlign w:val="subscript"/>
        </w:rPr>
        <w:t>2</w:t>
      </w:r>
      <w:r w:rsidRPr="007F32BD">
        <w:t xml:space="preserve"> during the 6-Minute Walk Test (6MWT) oxygen titration procedure performed at screening.</w:t>
      </w:r>
    </w:p>
    <w:p w:rsidR="00E22EEA" w:rsidRPr="007F32BD" w:rsidRDefault="00E22EEA" w:rsidP="00626E08">
      <w:pPr>
        <w:pStyle w:val="ListBullet"/>
      </w:pPr>
      <w:r w:rsidRPr="007F32BD">
        <w:t>Ability to understand and sign a written informed consent form.</w:t>
      </w:r>
    </w:p>
    <w:p w:rsidR="00E22EEA" w:rsidRDefault="00E22EEA" w:rsidP="003910E1">
      <w:pPr>
        <w:pStyle w:val="ListBullet"/>
      </w:pPr>
      <w:r w:rsidRPr="007F32BD">
        <w:t>Ability to understand the importance of adherence to study treatment and the study protocol, including the concomitant medication restrictions throughout the study period.</w:t>
      </w:r>
    </w:p>
    <w:p w:rsidR="00380800" w:rsidRDefault="00380800" w:rsidP="00126306">
      <w:r w:rsidRPr="007F32BD">
        <w:t>Patients were excluded from participating in the study based on disease</w:t>
      </w:r>
      <w:r w:rsidR="00001402">
        <w:t xml:space="preserve"> </w:t>
      </w:r>
      <w:r w:rsidRPr="007F32BD">
        <w:t>related, medical, laboratory, and concomitant therapy criteria.</w:t>
      </w:r>
      <w:r w:rsidR="00E22EEA">
        <w:t xml:space="preserve"> Patients who met any of the following criteria were ineligible to participate in the study:</w:t>
      </w:r>
    </w:p>
    <w:p w:rsidR="00E22EEA" w:rsidRPr="002A3062" w:rsidRDefault="00947AD6" w:rsidP="002A3062">
      <w:pPr>
        <w:keepNext/>
        <w:rPr>
          <w:i/>
        </w:rPr>
      </w:pPr>
      <w:r w:rsidRPr="002A3062">
        <w:rPr>
          <w:i/>
        </w:rPr>
        <w:lastRenderedPageBreak/>
        <w:t>Disease-related exclusions</w:t>
      </w:r>
    </w:p>
    <w:p w:rsidR="00E22EEA" w:rsidRPr="007F32BD" w:rsidRDefault="00E22EEA" w:rsidP="00626E08">
      <w:pPr>
        <w:pStyle w:val="ListBullet"/>
      </w:pPr>
      <w:r w:rsidRPr="007F32BD">
        <w:t>Not a suitable candidate for enrolment or unlikely to comply with the requirements of this study, in the opinion of the investigator</w:t>
      </w:r>
    </w:p>
    <w:p w:rsidR="00E22EEA" w:rsidRPr="007F32BD" w:rsidRDefault="00E22EEA" w:rsidP="00626E08">
      <w:pPr>
        <w:pStyle w:val="ListBullet"/>
      </w:pPr>
      <w:r w:rsidRPr="007F32BD">
        <w:t>Prem</w:t>
      </w:r>
      <w:r>
        <w:t>ature withdrawal from a randomis</w:t>
      </w:r>
      <w:r w:rsidRPr="007F32BD">
        <w:t>ed IPF clinical trial in the 2 years before study entry for any reason other than sponsor decision or current participation in a clinical drug trial</w:t>
      </w:r>
    </w:p>
    <w:p w:rsidR="00E22EEA" w:rsidRPr="007F32BD" w:rsidRDefault="00E22EEA" w:rsidP="00626E08">
      <w:pPr>
        <w:pStyle w:val="ListBullet"/>
      </w:pPr>
      <w:r w:rsidRPr="007F32BD">
        <w:t>Forced expiratory volume in one second (FEV1)/FVC ratio &lt;</w:t>
      </w:r>
      <w:r w:rsidR="002A3062">
        <w:t xml:space="preserve"> </w:t>
      </w:r>
      <w:r w:rsidRPr="007F32BD">
        <w:t>0.7 after administration of bronchodilator at the screen visit and day 1 before randomisation</w:t>
      </w:r>
    </w:p>
    <w:p w:rsidR="00E22EEA" w:rsidRPr="007F32BD" w:rsidRDefault="00E22EEA" w:rsidP="00626E08">
      <w:pPr>
        <w:pStyle w:val="ListBullet"/>
      </w:pPr>
      <w:r w:rsidRPr="007F32BD">
        <w:t>Bronchodilator response defined by an absolute increase of ≥</w:t>
      </w:r>
      <w:r w:rsidR="002A3062">
        <w:t xml:space="preserve"> </w:t>
      </w:r>
      <w:r w:rsidRPr="007F32BD">
        <w:t>12% and an increase of 200 mL in the predicted FEV1 or FVC or both after bronchodilator use compared to the values seen before bronchodilator at the screen visit and day 1 before randomisation</w:t>
      </w:r>
    </w:p>
    <w:p w:rsidR="00E22EEA" w:rsidRPr="007F32BD" w:rsidRDefault="00E22EEA" w:rsidP="00626E08">
      <w:pPr>
        <w:pStyle w:val="ListBullet"/>
      </w:pPr>
      <w:r w:rsidRPr="007F32BD">
        <w:t>Residual volume (RV) &gt;</w:t>
      </w:r>
      <w:r>
        <w:t xml:space="preserve"> </w:t>
      </w:r>
      <w:r w:rsidRPr="007F32BD">
        <w:t>120% of predicted (before administration of bronchodilator)</w:t>
      </w:r>
    </w:p>
    <w:p w:rsidR="00E22EEA" w:rsidRPr="007F32BD" w:rsidRDefault="00E22EEA" w:rsidP="00626E08">
      <w:pPr>
        <w:pStyle w:val="ListBullet"/>
      </w:pPr>
      <w:r w:rsidRPr="007F32BD">
        <w:t>History of clinically significant environmental exposure known to cause PF (including but not limited to drugs, asbestos, beryllium, radiation, domestic birds)</w:t>
      </w:r>
    </w:p>
    <w:p w:rsidR="00E22EEA" w:rsidRPr="007F32BD" w:rsidRDefault="00E22EEA" w:rsidP="00626E08">
      <w:pPr>
        <w:pStyle w:val="ListBullet"/>
      </w:pPr>
      <w:r w:rsidRPr="007F32BD">
        <w:t>Known explanation for interstitial lung disease, including but not limited to radiation, sarcoidosis, hypersensitivity pneumonitis, bronchiolitis obliterans organizing pneumonia, human immunodeficiency virus (HIV), viral hepatitis and cancer</w:t>
      </w:r>
    </w:p>
    <w:p w:rsidR="00E22EEA" w:rsidRPr="007F32BD" w:rsidRDefault="00E22EEA" w:rsidP="00626E08">
      <w:pPr>
        <w:pStyle w:val="ListBullet"/>
      </w:pPr>
      <w:r w:rsidRPr="007F32BD">
        <w:t>Diagnosis of any connective tissue disease, including but not limited to scleroderma, systemic lupus erythematosus, and rheumatoid arthritis</w:t>
      </w:r>
    </w:p>
    <w:p w:rsidR="00E22EEA" w:rsidRPr="007F32BD" w:rsidRDefault="00E22EEA" w:rsidP="00626E08">
      <w:pPr>
        <w:pStyle w:val="ListBullet"/>
      </w:pPr>
      <w:r w:rsidRPr="007F32BD">
        <w:t>Clinical evidence of active infection, including but not limited to bronchitis, pneumonia, sinusitis, urinary tract infection, or cellulitis</w:t>
      </w:r>
    </w:p>
    <w:p w:rsidR="00E22EEA" w:rsidRPr="007F32BD" w:rsidRDefault="00E22EEA" w:rsidP="00626E08">
      <w:pPr>
        <w:pStyle w:val="ListBullet"/>
      </w:pPr>
      <w:r w:rsidRPr="007F32BD">
        <w:t>In the clinical opinion of the investigator, the patient was expected to need and be eligible for a lung transplantation within 72 weeks after randomisation</w:t>
      </w:r>
    </w:p>
    <w:p w:rsidR="00E22EEA" w:rsidRPr="007F32BD" w:rsidRDefault="00E22EEA" w:rsidP="00626E08">
      <w:pPr>
        <w:pStyle w:val="ListBullet"/>
      </w:pPr>
      <w:r w:rsidRPr="007F32BD">
        <w:t>Unable to undergo pulmonary function testing, which included meeting the following reproducibility standards:</w:t>
      </w:r>
    </w:p>
    <w:p w:rsidR="00E22EEA" w:rsidRPr="007F32BD" w:rsidRDefault="00E22EEA" w:rsidP="00626E08">
      <w:pPr>
        <w:pStyle w:val="ListBullet2"/>
      </w:pPr>
      <w:r w:rsidRPr="007F32BD">
        <w:t>At screening, the 2 highest acceptable FVC values were within 0.100 litre</w:t>
      </w:r>
    </w:p>
    <w:p w:rsidR="00E22EEA" w:rsidRPr="007F32BD" w:rsidRDefault="00E22EEA" w:rsidP="00626E08">
      <w:pPr>
        <w:pStyle w:val="ListBullet2"/>
      </w:pPr>
      <w:r w:rsidRPr="007F32BD">
        <w:t>At day 1, the 2 highest acceptable FVC values were within 0.100 litre</w:t>
      </w:r>
    </w:p>
    <w:p w:rsidR="00E22EEA" w:rsidRDefault="00E22EEA" w:rsidP="00626E08">
      <w:pPr>
        <w:pStyle w:val="ListBullet2"/>
      </w:pPr>
      <w:r w:rsidRPr="007F32BD">
        <w:t>At screening, 2 of the 3 acceptable DL</w:t>
      </w:r>
      <w:r w:rsidRPr="007F32BD">
        <w:rPr>
          <w:vertAlign w:val="subscript"/>
        </w:rPr>
        <w:t>CO</w:t>
      </w:r>
      <w:r w:rsidRPr="007F32BD">
        <w:t xml:space="preserve"> values were within 2 units (for carbon monoxide transfer capacity [TL</w:t>
      </w:r>
      <w:r w:rsidRPr="007F32BD">
        <w:rPr>
          <w:vertAlign w:val="subscript"/>
        </w:rPr>
        <w:t>CO</w:t>
      </w:r>
      <w:r w:rsidRPr="007F32BD">
        <w:t>], within 0.67 SI units) of each other</w:t>
      </w:r>
      <w:r>
        <w:t>.</w:t>
      </w:r>
    </w:p>
    <w:p w:rsidR="00947AD6" w:rsidRPr="002A3062" w:rsidRDefault="00947AD6" w:rsidP="002A3062">
      <w:pPr>
        <w:keepNext/>
        <w:rPr>
          <w:i/>
        </w:rPr>
      </w:pPr>
      <w:r w:rsidRPr="002A3062">
        <w:rPr>
          <w:i/>
        </w:rPr>
        <w:t>Medical exclusions</w:t>
      </w:r>
    </w:p>
    <w:p w:rsidR="00E22EEA" w:rsidRPr="007F32BD" w:rsidRDefault="00E22EEA" w:rsidP="00E22EEA">
      <w:pPr>
        <w:pStyle w:val="ListBullet"/>
      </w:pPr>
      <w:r w:rsidRPr="007F32BD">
        <w:t>Any history of malignancy likely to have resulted in death or significant disability or likely to have required significant medical or surgical intervention within 2 years after study entry. This did not include minor surgical procedur</w:t>
      </w:r>
      <w:r w:rsidR="002A3062">
        <w:t>es for localized carcinoma (for example</w:t>
      </w:r>
      <w:r w:rsidRPr="007F32BD">
        <w:t>, basal cell carcinoma)</w:t>
      </w:r>
    </w:p>
    <w:p w:rsidR="00E22EEA" w:rsidRPr="007F32BD" w:rsidRDefault="00E22EEA" w:rsidP="00E22EEA">
      <w:pPr>
        <w:pStyle w:val="ListBullet"/>
      </w:pPr>
      <w:r w:rsidRPr="007F32BD">
        <w:t>Any condition other than IPF which, in the opinion of the investigator, was likely to result in the death of the patient within 2 years after study entry</w:t>
      </w:r>
    </w:p>
    <w:p w:rsidR="00E22EEA" w:rsidRPr="007F32BD" w:rsidRDefault="00E22EEA" w:rsidP="00E22EEA">
      <w:pPr>
        <w:pStyle w:val="ListBullet"/>
      </w:pPr>
      <w:r w:rsidRPr="007F32BD">
        <w:t>History of advanced cirrhosis or clinically significant liver disease</w:t>
      </w:r>
    </w:p>
    <w:p w:rsidR="00E22EEA" w:rsidRPr="007F32BD" w:rsidRDefault="00E22EEA" w:rsidP="00E22EEA">
      <w:pPr>
        <w:pStyle w:val="ListBullet"/>
      </w:pPr>
      <w:r w:rsidRPr="007F32BD">
        <w:t>History of unstable or deteriorating cardiac or pulmonary disease (other than IPF) within 6 months before study entry, including but not limited to the following:</w:t>
      </w:r>
    </w:p>
    <w:p w:rsidR="00E22EEA" w:rsidRPr="007F32BD" w:rsidRDefault="00E22EEA" w:rsidP="00626E08">
      <w:pPr>
        <w:pStyle w:val="ListBullet2"/>
      </w:pPr>
      <w:r w:rsidRPr="007F32BD">
        <w:t>Myocardial infarction, unstable angina pectoris, coronary artery bypass surgery, or coronary angioplasty</w:t>
      </w:r>
    </w:p>
    <w:p w:rsidR="00E22EEA" w:rsidRPr="007F32BD" w:rsidRDefault="00E22EEA" w:rsidP="00626E08">
      <w:pPr>
        <w:pStyle w:val="ListBullet2"/>
      </w:pPr>
      <w:r w:rsidRPr="007F32BD">
        <w:t>Congestive heart failure requiring hospitalisation</w:t>
      </w:r>
    </w:p>
    <w:p w:rsidR="00E22EEA" w:rsidRPr="007F32BD" w:rsidRDefault="00947AD6" w:rsidP="00626E08">
      <w:pPr>
        <w:pStyle w:val="ListBullet2"/>
      </w:pPr>
      <w:r>
        <w:t>Uncontrolled arrhythmias</w:t>
      </w:r>
    </w:p>
    <w:p w:rsidR="00E22EEA" w:rsidRPr="007F32BD" w:rsidRDefault="00E22EEA" w:rsidP="00626E08">
      <w:pPr>
        <w:pStyle w:val="ListBullet2"/>
      </w:pPr>
      <w:r w:rsidRPr="007F32BD">
        <w:lastRenderedPageBreak/>
        <w:t>Asthma or chronic bronchitis requiring hospitalization in the 6 months before study entry</w:t>
      </w:r>
    </w:p>
    <w:p w:rsidR="00E22EEA" w:rsidRPr="007F32BD" w:rsidRDefault="00E22EEA" w:rsidP="00E22EEA">
      <w:pPr>
        <w:pStyle w:val="ListBullet"/>
      </w:pPr>
      <w:r w:rsidRPr="007F32BD">
        <w:t>Any condition, which, in the opinion of the investigator, might have been significantly exacerbated by the known side effects associated with the administration of pirfenidone</w:t>
      </w:r>
    </w:p>
    <w:p w:rsidR="00E22EEA" w:rsidRPr="007F32BD" w:rsidRDefault="002A3062" w:rsidP="00E22EEA">
      <w:pPr>
        <w:pStyle w:val="ListBullet"/>
      </w:pPr>
      <w:r>
        <w:t xml:space="preserve">Poorly </w:t>
      </w:r>
      <w:r w:rsidR="00E22EEA" w:rsidRPr="007F32BD">
        <w:t>controlled diabetes (defined by glycosylated haemoglobin [HbA1C] &gt;</w:t>
      </w:r>
      <w:r>
        <w:t xml:space="preserve"> </w:t>
      </w:r>
      <w:r w:rsidR="00E22EEA" w:rsidRPr="007F32BD">
        <w:t>10)</w:t>
      </w:r>
    </w:p>
    <w:p w:rsidR="00E22EEA" w:rsidRPr="007F32BD" w:rsidRDefault="00E22EEA" w:rsidP="00E22EEA">
      <w:pPr>
        <w:pStyle w:val="ListBullet"/>
      </w:pPr>
      <w:r w:rsidRPr="007F32BD">
        <w:t>Pregnancy or lactation. Women of childbearing capacity were required to have a negative serum pregnancy test before treatment and must have agreed to maintain highly effective methods of contraception by practicing abstinence or by using at least two methods of birth control from the date of consent through the end of the study. If abstinence was not practised, then one of the two methods of birth control should have been an oral contraceptive (</w:t>
      </w:r>
      <w:r w:rsidR="002A3062">
        <w:t>for example</w:t>
      </w:r>
      <w:r w:rsidRPr="007F32BD">
        <w:t>, oral contraception and a spermicide).</w:t>
      </w:r>
    </w:p>
    <w:p w:rsidR="00E22EEA" w:rsidRPr="007F32BD" w:rsidRDefault="00E22EEA" w:rsidP="00E22EEA">
      <w:pPr>
        <w:pStyle w:val="ListBullet"/>
      </w:pPr>
      <w:r w:rsidRPr="007F32BD">
        <w:t>History of alcohol or substance abuse in the 2 years before study entry</w:t>
      </w:r>
    </w:p>
    <w:p w:rsidR="00E22EEA" w:rsidRPr="007F32BD" w:rsidRDefault="00E22EEA" w:rsidP="00E22EEA">
      <w:pPr>
        <w:pStyle w:val="ListBullet"/>
      </w:pPr>
      <w:r w:rsidRPr="007F32BD">
        <w:t>History of any condition or habit associated with altered consciousness and a risk of aspiration in the 2 years before study entry</w:t>
      </w:r>
    </w:p>
    <w:p w:rsidR="00E22EEA" w:rsidRPr="007F32BD" w:rsidRDefault="00E22EEA" w:rsidP="00E22EEA">
      <w:pPr>
        <w:pStyle w:val="ListBullet"/>
      </w:pPr>
      <w:r w:rsidRPr="007F32BD">
        <w:t>Family or personal history of long QT Syndrome</w:t>
      </w:r>
    </w:p>
    <w:p w:rsidR="00E22EEA" w:rsidRPr="002A3062" w:rsidRDefault="00E22EEA" w:rsidP="002A3062">
      <w:pPr>
        <w:keepNext/>
        <w:rPr>
          <w:i/>
        </w:rPr>
      </w:pPr>
      <w:r w:rsidRPr="002A3062">
        <w:rPr>
          <w:i/>
        </w:rPr>
        <w:t xml:space="preserve">Laboratory </w:t>
      </w:r>
      <w:r w:rsidR="00947AD6" w:rsidRPr="002A3062">
        <w:rPr>
          <w:i/>
        </w:rPr>
        <w:t>exclusions</w:t>
      </w:r>
    </w:p>
    <w:p w:rsidR="00E22EEA" w:rsidRPr="007F32BD" w:rsidRDefault="00E22EEA" w:rsidP="00E22EEA">
      <w:pPr>
        <w:pStyle w:val="ListBullet"/>
      </w:pPr>
      <w:r w:rsidRPr="007F32BD">
        <w:t>Any of the following liver function test (LFT) criteria above specified limits: total bilirubin &gt;</w:t>
      </w:r>
      <w:r w:rsidR="002A3062">
        <w:t> </w:t>
      </w:r>
      <w:r w:rsidRPr="007F32BD">
        <w:t>2.5 x ULN; aspartate or alanine aminotransferase (AST or ALT) &gt;</w:t>
      </w:r>
      <w:r w:rsidR="002A3062">
        <w:t xml:space="preserve"> </w:t>
      </w:r>
      <w:r w:rsidRPr="007F32BD">
        <w:t>2.5 x ULN; alkaline phosphatase &gt;</w:t>
      </w:r>
      <w:r w:rsidR="002A3062">
        <w:t xml:space="preserve"> </w:t>
      </w:r>
      <w:r w:rsidRPr="007F32BD">
        <w:t>2.5 x ULN</w:t>
      </w:r>
    </w:p>
    <w:p w:rsidR="00E22EEA" w:rsidRPr="007F32BD" w:rsidRDefault="00E22EEA" w:rsidP="00E22EEA">
      <w:pPr>
        <w:pStyle w:val="ListBullet"/>
      </w:pPr>
      <w:r w:rsidRPr="007F32BD">
        <w:t>Screening or day 1 (ECG) with a QTcB (Bazett</w:t>
      </w:r>
      <w:r w:rsidR="00947AD6">
        <w:t>’</w:t>
      </w:r>
      <w:r w:rsidRPr="007F32BD">
        <w:t>s corrected QT) interval &gt;</w:t>
      </w:r>
      <w:r w:rsidR="002A3062">
        <w:t xml:space="preserve"> </w:t>
      </w:r>
      <w:r w:rsidRPr="007F32BD">
        <w:t>500 milliseconds (ms)</w:t>
      </w:r>
    </w:p>
    <w:p w:rsidR="00E22EEA" w:rsidRPr="002A3062" w:rsidRDefault="00947AD6" w:rsidP="002A3062">
      <w:pPr>
        <w:keepNext/>
        <w:rPr>
          <w:i/>
        </w:rPr>
      </w:pPr>
      <w:r w:rsidRPr="002A3062">
        <w:rPr>
          <w:i/>
        </w:rPr>
        <w:t>Concomitant therapy exclusions</w:t>
      </w:r>
    </w:p>
    <w:p w:rsidR="00E22EEA" w:rsidRPr="007F32BD" w:rsidRDefault="00E22EEA" w:rsidP="00E22EEA">
      <w:pPr>
        <w:pStyle w:val="ListBullet"/>
      </w:pPr>
      <w:r w:rsidRPr="007F32BD">
        <w:t>Prior use of pirfenidone or known hypersensitivity to any of the components of study treatment</w:t>
      </w:r>
    </w:p>
    <w:p w:rsidR="00E22EEA" w:rsidRPr="007F32BD" w:rsidRDefault="00E22EEA" w:rsidP="00E22EEA">
      <w:pPr>
        <w:pStyle w:val="ListBullet"/>
      </w:pPr>
      <w:r w:rsidRPr="007F32BD">
        <w:t>Patients were excluded if they required the following therapies within 28 days before screening:</w:t>
      </w:r>
    </w:p>
    <w:p w:rsidR="00E22EEA" w:rsidRPr="007F32BD" w:rsidRDefault="00E22EEA" w:rsidP="00626E08">
      <w:pPr>
        <w:pStyle w:val="ListBullet2"/>
      </w:pPr>
      <w:r w:rsidRPr="007F32BD">
        <w:t>Investigational therapy defined as any drug that was not approved for marketing for any indication in the country of the participating site</w:t>
      </w:r>
    </w:p>
    <w:p w:rsidR="00E22EEA" w:rsidRPr="007F32BD" w:rsidRDefault="00E22EEA" w:rsidP="00626E08">
      <w:pPr>
        <w:pStyle w:val="ListBullet2"/>
      </w:pPr>
      <w:r w:rsidRPr="007F32BD">
        <w:t xml:space="preserve">Any cytotoxic, immunosuppressive, cytokine modulating, or endothelin receptor antagonist agents including but not limited to: azathioprine, bosentan, cyclophosphamide, corticosteroids, cyclosporine, etanercept, iloprost, infliximab, leukotrienes, methotrexate, mycophenolate mofetil, sildenafil (daily), tetrathiomolybdate, TNF-α inhibitors, </w:t>
      </w:r>
      <w:r w:rsidRPr="007F32BD">
        <w:rPr>
          <w:i/>
          <w:iCs/>
        </w:rPr>
        <w:t>N</w:t>
      </w:r>
      <w:r w:rsidRPr="007F32BD">
        <w:t>-acetylcysteine (NAC), imatinib mesylate, Interferon gamma-1b, tyrosine kinase inhibitors.</w:t>
      </w:r>
    </w:p>
    <w:p w:rsidR="00E22EEA" w:rsidRPr="007F32BD" w:rsidRDefault="00E22EEA" w:rsidP="00626E08">
      <w:pPr>
        <w:pStyle w:val="ListBullet2"/>
      </w:pPr>
      <w:r w:rsidRPr="007F32BD">
        <w:t>Concomitant medications being used for the treatment of IPF (including but not limited to: ACE</w:t>
      </w:r>
      <w:r w:rsidR="00947AD6">
        <w:noBreakHyphen/>
      </w:r>
      <w:r w:rsidRPr="007F32BD">
        <w:t>inhibitors,</w:t>
      </w:r>
      <w:r w:rsidR="00947AD6">
        <w:t xml:space="preserve"> </w:t>
      </w:r>
      <w:r w:rsidRPr="007F32BD">
        <w:t>colchicine, warfarin, heparin, sildenafil, and HMG-CoA inhibitors). These drugs could have been used if given for a non-IPF indication if there was no clinically acceptable alternative therapy for the same indication.</w:t>
      </w:r>
    </w:p>
    <w:p w:rsidR="00E22EEA" w:rsidRPr="00947AD6" w:rsidRDefault="00E22EEA">
      <w:r w:rsidRPr="00947AD6">
        <w:t>There were pre</w:t>
      </w:r>
      <w:r w:rsidR="00947AD6">
        <w:noBreakHyphen/>
      </w:r>
      <w:r w:rsidRPr="00947AD6">
        <w:t xml:space="preserve">specified permitted therapies for IPF and respiratory </w:t>
      </w:r>
      <w:r w:rsidR="00947AD6">
        <w:t>decompensation, including pulse</w:t>
      </w:r>
      <w:r w:rsidR="00947AD6">
        <w:noBreakHyphen/>
      </w:r>
      <w:r w:rsidRPr="00947AD6">
        <w:t>dose steroids. There were no restrictions applied to steroids used for reasons other than IPF therapy.</w:t>
      </w:r>
    </w:p>
    <w:p w:rsidR="00380800" w:rsidRPr="007F32BD" w:rsidRDefault="00380800" w:rsidP="00633D58">
      <w:pPr>
        <w:pStyle w:val="Heading5"/>
      </w:pPr>
      <w:bookmarkStart w:id="123" w:name="_Toc430785355"/>
      <w:r w:rsidRPr="007F32BD">
        <w:lastRenderedPageBreak/>
        <w:t>Study treatments</w:t>
      </w:r>
      <w:bookmarkEnd w:id="123"/>
    </w:p>
    <w:p w:rsidR="00380800" w:rsidRPr="007F32BD" w:rsidRDefault="00380800" w:rsidP="00633D58">
      <w:pPr>
        <w:pStyle w:val="Heading6"/>
      </w:pPr>
      <w:r w:rsidRPr="007F32BD">
        <w:t>Test products</w:t>
      </w:r>
    </w:p>
    <w:p w:rsidR="00380800" w:rsidRPr="007F32BD" w:rsidRDefault="00126306" w:rsidP="00380800">
      <w:r>
        <w:t xml:space="preserve">A total of </w:t>
      </w:r>
      <w:r w:rsidR="00001402">
        <w:t>1,197 mg</w:t>
      </w:r>
      <w:r w:rsidR="00380800" w:rsidRPr="007F32BD">
        <w:t>/day of pirfenidone administered orally in three</w:t>
      </w:r>
      <w:r w:rsidR="00380800">
        <w:t xml:space="preserve"> divided doses (three 133 </w:t>
      </w:r>
      <w:r w:rsidR="00380800" w:rsidRPr="007F32BD">
        <w:t xml:space="preserve">mg capsules </w:t>
      </w:r>
      <w:r w:rsidR="00001402">
        <w:t xml:space="preserve">three times per day </w:t>
      </w:r>
      <w:r w:rsidR="00380800" w:rsidRPr="007F32BD">
        <w:t>for a total of 9 capsules per day) with food.</w:t>
      </w:r>
    </w:p>
    <w:p w:rsidR="00380800" w:rsidRPr="007F32BD" w:rsidRDefault="00126306" w:rsidP="00380800">
      <w:r>
        <w:t xml:space="preserve">A total of </w:t>
      </w:r>
      <w:r w:rsidR="00001402">
        <w:t>2,403 mg</w:t>
      </w:r>
      <w:r w:rsidR="00380800" w:rsidRPr="007F32BD">
        <w:t>/day of pirfenidone administered orall</w:t>
      </w:r>
      <w:r w:rsidR="00380800">
        <w:t xml:space="preserve">y in 3 divided doses (three 267 </w:t>
      </w:r>
      <w:r w:rsidR="00380800" w:rsidRPr="007F32BD">
        <w:t xml:space="preserve">mg capsules </w:t>
      </w:r>
      <w:r w:rsidR="00001402">
        <w:t>3</w:t>
      </w:r>
      <w:r w:rsidR="00001402" w:rsidRPr="00001402">
        <w:t xml:space="preserve"> times per day</w:t>
      </w:r>
      <w:r w:rsidR="00380800" w:rsidRPr="007F32BD">
        <w:t xml:space="preserve"> for a total of 9 capsules per day) with food.</w:t>
      </w:r>
    </w:p>
    <w:p w:rsidR="00380800" w:rsidRPr="007F32BD" w:rsidRDefault="00380800" w:rsidP="00633D58">
      <w:pPr>
        <w:pStyle w:val="Heading6"/>
      </w:pPr>
      <w:r w:rsidRPr="007F32BD">
        <w:t>Reference therapy</w:t>
      </w:r>
    </w:p>
    <w:p w:rsidR="00380800" w:rsidRPr="00126306" w:rsidRDefault="00380800" w:rsidP="00126306">
      <w:pPr>
        <w:rPr>
          <w:b/>
        </w:rPr>
      </w:pPr>
      <w:r w:rsidRPr="007F32BD">
        <w:t xml:space="preserve">Placebo capsules administered orally in 3 divided doses (3 placebo capsules 3 </w:t>
      </w:r>
      <w:r w:rsidR="00001402" w:rsidRPr="00001402">
        <w:t>times per day</w:t>
      </w:r>
      <w:r w:rsidRPr="007F32BD">
        <w:t xml:space="preserve"> for a total of 9 capsules per day) with food.</w:t>
      </w:r>
    </w:p>
    <w:p w:rsidR="00126306" w:rsidRDefault="00380800" w:rsidP="00126306">
      <w:pPr>
        <w:autoSpaceDE w:val="0"/>
        <w:autoSpaceDN w:val="0"/>
        <w:adjustRightInd w:val="0"/>
        <w:jc w:val="both"/>
      </w:pPr>
      <w:r w:rsidRPr="007F32BD">
        <w:t>Subjects were cautioned to use sunblock and appropriate clothing to minimise sun</w:t>
      </w:r>
      <w:bookmarkStart w:id="124" w:name="_Toc430785356"/>
      <w:r w:rsidR="00126306">
        <w:t xml:space="preserve"> exposure throughout the study.</w:t>
      </w:r>
    </w:p>
    <w:p w:rsidR="00380800" w:rsidRPr="007F32BD" w:rsidRDefault="00380800" w:rsidP="00633D58">
      <w:pPr>
        <w:pStyle w:val="Heading5"/>
      </w:pPr>
      <w:r w:rsidRPr="007F32BD">
        <w:t xml:space="preserve">Efficacy variables </w:t>
      </w:r>
      <w:r w:rsidRPr="00633D58">
        <w:t>and</w:t>
      </w:r>
      <w:r w:rsidRPr="007F32BD">
        <w:t xml:space="preserve"> outcomes</w:t>
      </w:r>
      <w:bookmarkEnd w:id="124"/>
    </w:p>
    <w:p w:rsidR="00380800" w:rsidRPr="007F32BD" w:rsidRDefault="00380800" w:rsidP="00380800">
      <w:r w:rsidRPr="007F32BD">
        <w:t xml:space="preserve">The main efficacy assessment measurements were </w:t>
      </w:r>
      <w:r>
        <w:t xml:space="preserve">standardised </w:t>
      </w:r>
      <w:r w:rsidRPr="007F32BD">
        <w:t xml:space="preserve">spirometry measurements of FVC to measure lung function. Other measurements included </w:t>
      </w:r>
      <w:r w:rsidR="008701A7">
        <w:t>forced expiratory volume (</w:t>
      </w:r>
      <w:r w:rsidRPr="007F32BD">
        <w:t>FEV</w:t>
      </w:r>
      <w:r w:rsidRPr="007F32BD">
        <w:rPr>
          <w:vertAlign w:val="subscript"/>
        </w:rPr>
        <w:t>1</w:t>
      </w:r>
      <w:r w:rsidR="008701A7">
        <w:t xml:space="preserve">,) </w:t>
      </w:r>
      <w:r w:rsidRPr="007F32BD">
        <w:t>oxygen saturation by pulse oximetry</w:t>
      </w:r>
      <w:r w:rsidR="00126306">
        <w:t xml:space="preserve"> (</w:t>
      </w:r>
      <w:r w:rsidR="008701A7" w:rsidRPr="008701A7">
        <w:t>SpO</w:t>
      </w:r>
      <w:r w:rsidR="008701A7" w:rsidRPr="008701A7">
        <w:rPr>
          <w:vertAlign w:val="subscript"/>
        </w:rPr>
        <w:t>2</w:t>
      </w:r>
      <w:r w:rsidR="008701A7">
        <w:t>)</w:t>
      </w:r>
      <w:r w:rsidRPr="007F32BD">
        <w:t>, distance walked in 6 minutes (6MWT)</w:t>
      </w:r>
      <w:r w:rsidR="00C840D8">
        <w:t>, CO diffusing capacity (D</w:t>
      </w:r>
      <w:r w:rsidR="00C840D8" w:rsidRPr="000E7CA2">
        <w:t>L</w:t>
      </w:r>
      <w:r w:rsidRPr="00C840D8">
        <w:rPr>
          <w:vertAlign w:val="subscript"/>
        </w:rPr>
        <w:t>CO</w:t>
      </w:r>
      <w:r w:rsidRPr="007F32BD">
        <w:t>)</w:t>
      </w:r>
      <w:r>
        <w:t xml:space="preserve"> and</w:t>
      </w:r>
      <w:r w:rsidRPr="007F32BD">
        <w:t xml:space="preserve"> carbon monoxide transfer capacity</w:t>
      </w:r>
      <w:r>
        <w:t xml:space="preserve"> (</w:t>
      </w:r>
      <w:r w:rsidRPr="007F32BD">
        <w:t>T</w:t>
      </w:r>
      <w:r w:rsidRPr="000E7CA2">
        <w:t>L</w:t>
      </w:r>
      <w:r w:rsidRPr="00C840D8">
        <w:rPr>
          <w:vertAlign w:val="subscript"/>
        </w:rPr>
        <w:t>CO</w:t>
      </w:r>
      <w:r w:rsidRPr="007F32BD">
        <w:t>)</w:t>
      </w:r>
      <w:r>
        <w:t>.</w:t>
      </w:r>
      <w:r w:rsidR="00126306">
        <w:rPr>
          <w:rStyle w:val="FootnoteReference"/>
        </w:rPr>
        <w:footnoteReference w:id="4"/>
      </w:r>
      <w:r w:rsidR="00AA76D4">
        <w:rPr>
          <w:vertAlign w:val="superscript"/>
        </w:rPr>
        <w:t>,</w:t>
      </w:r>
      <w:r w:rsidR="008701A7">
        <w:rPr>
          <w:rStyle w:val="FootnoteReference"/>
        </w:rPr>
        <w:footnoteReference w:id="5"/>
      </w:r>
      <w:r w:rsidR="00AA76D4">
        <w:rPr>
          <w:vertAlign w:val="superscript"/>
        </w:rPr>
        <w:t>,</w:t>
      </w:r>
      <w:r w:rsidR="008701A7">
        <w:rPr>
          <w:rStyle w:val="FootnoteReference"/>
        </w:rPr>
        <w:footnoteReference w:id="6"/>
      </w:r>
      <w:r w:rsidR="00AA76D4">
        <w:rPr>
          <w:vertAlign w:val="superscript"/>
        </w:rPr>
        <w:t>,</w:t>
      </w:r>
      <w:r w:rsidR="00C840D8">
        <w:rPr>
          <w:rStyle w:val="FootnoteReference"/>
        </w:rPr>
        <w:footnoteReference w:id="7"/>
      </w:r>
    </w:p>
    <w:p w:rsidR="00380800" w:rsidRPr="007F32BD" w:rsidRDefault="00380800" w:rsidP="00380800">
      <w:r w:rsidRPr="007F32BD">
        <w:t xml:space="preserve">The </w:t>
      </w:r>
      <w:r w:rsidRPr="00C840D8">
        <w:t>primary efficacy outcome</w:t>
      </w:r>
      <w:r w:rsidR="00AA76D4">
        <w:t xml:space="preserve"> was:</w:t>
      </w:r>
    </w:p>
    <w:p w:rsidR="00380800" w:rsidRPr="00126306" w:rsidRDefault="00380800" w:rsidP="00C840D8">
      <w:pPr>
        <w:pStyle w:val="ListBullet"/>
      </w:pPr>
      <w:r w:rsidRPr="007F32BD">
        <w:t>Absolute change in percent predicted FVC from Baseline to Week 72.</w:t>
      </w:r>
    </w:p>
    <w:p w:rsidR="00380800" w:rsidRPr="007F32BD" w:rsidRDefault="00380800" w:rsidP="00380800">
      <w:r w:rsidRPr="00C840D8">
        <w:t>Secondary efficacy outcomes</w:t>
      </w:r>
      <w:r w:rsidRPr="007F32BD">
        <w:t xml:space="preserve"> included</w:t>
      </w:r>
      <w:r w:rsidR="00AA76D4">
        <w:t>:</w:t>
      </w:r>
    </w:p>
    <w:p w:rsidR="00380800" w:rsidRDefault="00380800" w:rsidP="00C840D8">
      <w:pPr>
        <w:pStyle w:val="ListBullet"/>
      </w:pPr>
      <w:r w:rsidRPr="007F32BD">
        <w:t>Time to worsening of IPF (worsening defined as the first occurrence of acute IPF exacerbation, IPF</w:t>
      </w:r>
      <w:r w:rsidR="005C1B9D">
        <w:t xml:space="preserve"> </w:t>
      </w:r>
      <w:r w:rsidRPr="007F32BD">
        <w:t>related death, lung transplantation, or respiratory hospitalisation)</w:t>
      </w:r>
    </w:p>
    <w:p w:rsidR="00380800" w:rsidRDefault="00C840D8" w:rsidP="00C840D8">
      <w:pPr>
        <w:pStyle w:val="ListBullet"/>
      </w:pPr>
      <w:r>
        <w:t>P</w:t>
      </w:r>
      <w:r w:rsidR="00380800" w:rsidRPr="007F32BD">
        <w:t>rogression</w:t>
      </w:r>
      <w:r w:rsidR="005C1B9D">
        <w:t xml:space="preserve"> </w:t>
      </w:r>
      <w:r w:rsidR="00380800" w:rsidRPr="007F32BD">
        <w:t xml:space="preserve">free survival (progression defined as the first occurrence of a 10% absolute decline from baseline in % predicted FVC, a 15% absolute decline from </w:t>
      </w:r>
      <w:r w:rsidR="00AA76D4">
        <w:t>B</w:t>
      </w:r>
      <w:r w:rsidR="00380800" w:rsidRPr="007F32BD">
        <w:t>aseline in % predicted Hgb-corrected D</w:t>
      </w:r>
      <w:r w:rsidR="00380800" w:rsidRPr="000E7CA2">
        <w:t>L</w:t>
      </w:r>
      <w:r w:rsidR="00380800" w:rsidRPr="007F32BD">
        <w:rPr>
          <w:vertAlign w:val="subscript"/>
        </w:rPr>
        <w:t>CO</w:t>
      </w:r>
      <w:r w:rsidR="00380800" w:rsidRPr="007F32BD">
        <w:t>, or death)</w:t>
      </w:r>
    </w:p>
    <w:p w:rsidR="00380800" w:rsidRDefault="00C840D8" w:rsidP="00C840D8">
      <w:pPr>
        <w:pStyle w:val="ListBullet"/>
      </w:pPr>
      <w:r>
        <w:t>C</w:t>
      </w:r>
      <w:r w:rsidR="00380800" w:rsidRPr="007F32BD">
        <w:t>ategorical assessment of absolute change in percent predict</w:t>
      </w:r>
      <w:r>
        <w:t xml:space="preserve">ed FVC from baseline to </w:t>
      </w:r>
      <w:r w:rsidR="00AA76D4">
        <w:t>W</w:t>
      </w:r>
      <w:r w:rsidR="0041743B">
        <w:t>eek </w:t>
      </w:r>
      <w:r>
        <w:t>72</w:t>
      </w:r>
    </w:p>
    <w:p w:rsidR="00380800" w:rsidRPr="00C840D8" w:rsidRDefault="00C840D8" w:rsidP="00C840D8">
      <w:pPr>
        <w:pStyle w:val="ListBullet"/>
      </w:pPr>
      <w:r>
        <w:t>O</w:t>
      </w:r>
      <w:r w:rsidR="00380800" w:rsidRPr="007F32BD">
        <w:t xml:space="preserve">ther selected measures of pulmonary function such as change in worst oxygen saturation or distance walked </w:t>
      </w:r>
      <w:r>
        <w:t>during 6MWT.</w:t>
      </w:r>
    </w:p>
    <w:p w:rsidR="00380800" w:rsidRPr="007F32BD" w:rsidRDefault="00380800" w:rsidP="00C840D8">
      <w:pPr>
        <w:autoSpaceDE w:val="0"/>
        <w:autoSpaceDN w:val="0"/>
        <w:adjustRightInd w:val="0"/>
      </w:pPr>
      <w:r w:rsidRPr="007442E1">
        <w:t xml:space="preserve">Plasma samples were obtained from a subset of patients at selected sites in North America at </w:t>
      </w:r>
      <w:r w:rsidR="00AA76D4">
        <w:t>W</w:t>
      </w:r>
      <w:r w:rsidRPr="007442E1">
        <w:t>eeks 2, 36 and 72 for drug concentration measurement.</w:t>
      </w:r>
    </w:p>
    <w:p w:rsidR="00380800" w:rsidRPr="007F32BD" w:rsidRDefault="00380800" w:rsidP="00633D58">
      <w:pPr>
        <w:pStyle w:val="Heading5"/>
      </w:pPr>
      <w:bookmarkStart w:id="125" w:name="_Toc430785357"/>
      <w:r w:rsidRPr="007F32BD">
        <w:t>Randomisation and blinding methods</w:t>
      </w:r>
      <w:bookmarkEnd w:id="125"/>
    </w:p>
    <w:p w:rsidR="00380800" w:rsidRPr="007F32BD" w:rsidRDefault="00380800" w:rsidP="00380800">
      <w:r w:rsidRPr="007F32BD">
        <w:t xml:space="preserve">Patients were randomised 2:2:1 to pirfenidone </w:t>
      </w:r>
      <w:r w:rsidR="00001402">
        <w:t>2,403 mg</w:t>
      </w:r>
      <w:r w:rsidRPr="007F32BD">
        <w:t xml:space="preserve">/day, placebo or pirfenidone </w:t>
      </w:r>
      <w:r w:rsidR="00001402">
        <w:t>1,197 mg</w:t>
      </w:r>
      <w:r w:rsidRPr="007F32BD">
        <w:t xml:space="preserve">/day using </w:t>
      </w:r>
      <w:r w:rsidR="00633D58">
        <w:t xml:space="preserve">an </w:t>
      </w:r>
      <w:r w:rsidRPr="007F32BD">
        <w:t>IVRS</w:t>
      </w:r>
      <w:r w:rsidR="00633D58">
        <w:t xml:space="preserve"> on D</w:t>
      </w:r>
      <w:r w:rsidRPr="007F32BD">
        <w:t>ay 1</w:t>
      </w:r>
      <w:r w:rsidR="00633D58">
        <w:t xml:space="preserve"> of</w:t>
      </w:r>
      <w:r w:rsidRPr="007F32BD">
        <w:t xml:space="preserve"> visit.</w:t>
      </w:r>
      <w:r w:rsidR="00633D58">
        <w:rPr>
          <w:rStyle w:val="FootnoteReference"/>
        </w:rPr>
        <w:footnoteReference w:id="8"/>
      </w:r>
      <w:r w:rsidRPr="007F32BD">
        <w:t xml:space="preserve"> All pirfenidone and placebo capsules were supplied in opaque, hard, white gelatin capsules that were visually indistinguishable. Pirfenidone was </w:t>
      </w:r>
      <w:r w:rsidRPr="007F32BD">
        <w:lastRenderedPageBreak/>
        <w:t xml:space="preserve">supplied in either 267 mg or 133 mg capsules for the </w:t>
      </w:r>
      <w:r w:rsidR="00001402">
        <w:t>2,403 mg</w:t>
      </w:r>
      <w:r w:rsidRPr="007F32BD">
        <w:t xml:space="preserve">/day or </w:t>
      </w:r>
      <w:r w:rsidR="00001402">
        <w:t>1,197 mg</w:t>
      </w:r>
      <w:r w:rsidRPr="007F32BD">
        <w:t>/day doses, respectively. The sponsor supplied all study treatment.</w:t>
      </w:r>
    </w:p>
    <w:p w:rsidR="00380800" w:rsidRPr="007F32BD" w:rsidRDefault="00380800" w:rsidP="00380800">
      <w:r w:rsidRPr="007F32BD">
        <w:t>The sponsor, site investigators, study personnel, and patients were blinded to treatment assignments. Personnel involved in conducting PFTs, measuring arterial blood gas (ABG) samples, or administering the 6MWT were instructed not to inquire about or be involved in the assessment of AEs and pulmonary symptoms. Identical packaging and labelling were used for the activ</w:t>
      </w:r>
      <w:r>
        <w:t>e and placebo study treatments.</w:t>
      </w:r>
      <w:r w:rsidR="00633D58">
        <w:rPr>
          <w:rStyle w:val="FootnoteReference"/>
        </w:rPr>
        <w:footnoteReference w:id="9"/>
      </w:r>
      <w:r>
        <w:t xml:space="preserve"> </w:t>
      </w:r>
      <w:r w:rsidRPr="007F32BD">
        <w:t>There was an independent Data Monitoring Committee (DMC) to review unblinded safety and efficacy data at regular intervals during the study and to evaluate the conduct and integrity of the study.</w:t>
      </w:r>
    </w:p>
    <w:p w:rsidR="00380800" w:rsidRPr="007F32BD" w:rsidRDefault="00380800" w:rsidP="00633D58">
      <w:pPr>
        <w:pStyle w:val="Heading5"/>
      </w:pPr>
      <w:bookmarkStart w:id="126" w:name="_Toc430785358"/>
      <w:r w:rsidRPr="007F32BD">
        <w:t>Analysis populations</w:t>
      </w:r>
      <w:bookmarkEnd w:id="126"/>
    </w:p>
    <w:p w:rsidR="00380800" w:rsidRPr="007F32BD" w:rsidDel="0081373E" w:rsidRDefault="00380800" w:rsidP="00380800">
      <w:pPr>
        <w:autoSpaceDE w:val="0"/>
        <w:autoSpaceDN w:val="0"/>
        <w:adjustRightInd w:val="0"/>
        <w:jc w:val="both"/>
      </w:pPr>
      <w:r w:rsidRPr="007F32BD">
        <w:t xml:space="preserve">The primary efficacy analysis compared the treatment effect of pirfenidone </w:t>
      </w:r>
      <w:r w:rsidR="00001402">
        <w:t>2,403 mg</w:t>
      </w:r>
      <w:r w:rsidRPr="007F32BD">
        <w:t>/day versus placebo in the MITT (modified intent</w:t>
      </w:r>
      <w:r w:rsidR="006375D7">
        <w:t xml:space="preserve"> </w:t>
      </w:r>
      <w:r w:rsidRPr="007F32BD">
        <w:t>to</w:t>
      </w:r>
      <w:r w:rsidR="006375D7">
        <w:t xml:space="preserve"> </w:t>
      </w:r>
      <w:r w:rsidRPr="007F32BD">
        <w:t>treat) population (defined for the primary e</w:t>
      </w:r>
      <w:r>
        <w:t>fficacy analysis as all randomis</w:t>
      </w:r>
      <w:r w:rsidRPr="007F32BD">
        <w:t xml:space="preserve">ed patients in the </w:t>
      </w:r>
      <w:r w:rsidR="00001402">
        <w:t>2,403 mg</w:t>
      </w:r>
      <w:r w:rsidRPr="007F32BD">
        <w:t>/day and the placebo groups who received any amount of study treatment). The treatment</w:t>
      </w:r>
      <w:r w:rsidR="006375D7">
        <w:t xml:space="preserve"> </w:t>
      </w:r>
      <w:r w:rsidRPr="007F32BD">
        <w:t>adherent population was all MITT patients who received 80% of the prescribed doses of study treatment.</w:t>
      </w:r>
    </w:p>
    <w:p w:rsidR="00380800" w:rsidRPr="007F32BD" w:rsidDel="0081373E" w:rsidRDefault="00380800" w:rsidP="00633D58">
      <w:pPr>
        <w:pStyle w:val="Heading5"/>
      </w:pPr>
      <w:bookmarkStart w:id="127" w:name="_Toc430785359"/>
      <w:r w:rsidRPr="007F32BD" w:rsidDel="0081373E">
        <w:t xml:space="preserve">Sample </w:t>
      </w:r>
      <w:r w:rsidRPr="00633D58" w:rsidDel="0081373E">
        <w:t>size</w:t>
      </w:r>
      <w:bookmarkEnd w:id="127"/>
    </w:p>
    <w:p w:rsidR="00380800" w:rsidRPr="007F32BD" w:rsidRDefault="00380800" w:rsidP="00633D58">
      <w:r w:rsidRPr="007F32BD">
        <w:t xml:space="preserve">For the primary efficacy </w:t>
      </w:r>
      <w:r w:rsidR="006375D7">
        <w:t>comparison</w:t>
      </w:r>
      <w:r w:rsidR="006375D7" w:rsidRPr="007F32BD">
        <w:t xml:space="preserve"> </w:t>
      </w:r>
      <w:r w:rsidRPr="007F32BD">
        <w:t xml:space="preserve">of change in percent predicted FVC between the </w:t>
      </w:r>
      <w:r w:rsidR="006375D7">
        <w:t>2,403 </w:t>
      </w:r>
      <w:r w:rsidR="00001402">
        <w:t>mg</w:t>
      </w:r>
      <w:r w:rsidRPr="007F32BD">
        <w:t>/day and placebo groups, 160 patients per group were expected to provide 97% power to detect a 50% relative reduction in the rate of FVC change from baseline to Week 72 at 0.05 significance level. This assumed an absolute percent predicted FVC change between baseline and Week 72 of 5.5% in the placebo arm and 2.75% in pirfenidone arm with a standard deviation of 6.0%.</w:t>
      </w:r>
    </w:p>
    <w:p w:rsidR="00380800" w:rsidRPr="007F32BD" w:rsidRDefault="00380800" w:rsidP="00633D58">
      <w:pPr>
        <w:pStyle w:val="Heading5"/>
      </w:pPr>
      <w:bookmarkStart w:id="128" w:name="_Toc430785360"/>
      <w:r w:rsidRPr="00633D58">
        <w:t>Statistical</w:t>
      </w:r>
      <w:r w:rsidRPr="007F32BD">
        <w:t xml:space="preserve"> methods</w:t>
      </w:r>
      <w:bookmarkEnd w:id="128"/>
    </w:p>
    <w:p w:rsidR="00380800" w:rsidRPr="0041743B" w:rsidRDefault="00380800" w:rsidP="00380800">
      <w:pPr>
        <w:rPr>
          <w:highlight w:val="yellow"/>
        </w:rPr>
      </w:pPr>
      <w:r w:rsidRPr="007F32BD">
        <w:t xml:space="preserve">The primary efficacy outcome variable was the absolute change in percent predicted FVC from baseline to Week 72. Baseline FVC was defined as the mean of the maximum acceptable FVC measurements obtained during the screening and the </w:t>
      </w:r>
      <w:r w:rsidR="00633D58">
        <w:t>Day 1 v</w:t>
      </w:r>
      <w:r w:rsidRPr="007F32BD">
        <w:t>isits. The FVC at Week 72 was defined as the mean of the maximum acceptable FVC measurements obtained on two separate days at the Week 72 Visit. The data were analysed using a rank analysis of covariance (ANCOVA) model with a standardised rank change in FVC as the outcome variable and standardized rank baseline FVC as a covariate. The analysis was</w:t>
      </w:r>
      <w:r w:rsidR="00633D58">
        <w:t xml:space="preserve"> stratified by geographic region, </w:t>
      </w:r>
      <w:r w:rsidR="006375D7">
        <w:t xml:space="preserve">that is, </w:t>
      </w:r>
      <w:r w:rsidR="00633D58">
        <w:t>USA compared with</w:t>
      </w:r>
      <w:r w:rsidRPr="007F32BD">
        <w:t xml:space="preserve"> rest of world (ROW). The test of significance for the primary analysis of the primary efficacy outcome variable was to use a two</w:t>
      </w:r>
      <w:r w:rsidR="006375D7">
        <w:t xml:space="preserve"> </w:t>
      </w:r>
      <w:r w:rsidRPr="007F32BD">
        <w:t>sided alpha of 0.0498</w:t>
      </w:r>
      <w:r>
        <w:t>, to account for interim analyses. Strategies for handling missing data were pre-specified in the protocol and SAP.</w:t>
      </w:r>
      <w:r w:rsidR="00633D58">
        <w:rPr>
          <w:rStyle w:val="FootnoteReference"/>
        </w:rPr>
        <w:footnoteReference w:id="10"/>
      </w:r>
    </w:p>
    <w:p w:rsidR="00380800" w:rsidRDefault="00380800" w:rsidP="00380800">
      <w:r w:rsidRPr="007F32BD">
        <w:t>Descriptive statistics were used to analyse the primary efficacy results from the pirfenidone 1</w:t>
      </w:r>
      <w:r w:rsidR="006375D7">
        <w:t>,</w:t>
      </w:r>
      <w:r w:rsidRPr="007F32BD">
        <w:t>197</w:t>
      </w:r>
      <w:r w:rsidR="006375D7">
        <w:t xml:space="preserve"> </w:t>
      </w:r>
      <w:r w:rsidRPr="007F32BD">
        <w:t xml:space="preserve">mg/day group. Secondary and exploratory efficacy analyses were conducted for the pirfenidone </w:t>
      </w:r>
      <w:r w:rsidR="00001402">
        <w:t>2,403 mg</w:t>
      </w:r>
      <w:r w:rsidRPr="007F32BD">
        <w:t>/day and placebo dose groups to evaluate treatment effect</w:t>
      </w:r>
      <w:r>
        <w:t>.</w:t>
      </w:r>
    </w:p>
    <w:p w:rsidR="00633D58" w:rsidRPr="007F32BD" w:rsidRDefault="00633D58" w:rsidP="00633D58">
      <w:pPr>
        <w:pStyle w:val="Heading5"/>
      </w:pPr>
      <w:bookmarkStart w:id="129" w:name="_Toc430785361"/>
      <w:r w:rsidRPr="00633D58">
        <w:t>Participant</w:t>
      </w:r>
      <w:r w:rsidRPr="007F32BD">
        <w:t xml:space="preserve"> flow</w:t>
      </w:r>
      <w:bookmarkEnd w:id="129"/>
    </w:p>
    <w:p w:rsidR="00633D58" w:rsidRPr="0021405F" w:rsidRDefault="00633D58" w:rsidP="00633D58">
      <w:r w:rsidRPr="007F32BD">
        <w:t>The majority of patients in each treatment group completed study treatment, including</w:t>
      </w:r>
      <w:r w:rsidR="00A2437C">
        <w:t xml:space="preserve"> </w:t>
      </w:r>
      <w:r w:rsidRPr="007F32BD">
        <w:t>78.2% (136</w:t>
      </w:r>
      <w:r w:rsidR="006375D7">
        <w:t xml:space="preserve"> out of </w:t>
      </w:r>
      <w:r w:rsidRPr="007F32BD">
        <w:t>174), 82.2% (143</w:t>
      </w:r>
      <w:r w:rsidR="006375D7">
        <w:t xml:space="preserve"> out of </w:t>
      </w:r>
      <w:r w:rsidRPr="007F32BD">
        <w:t>174), and 80.5% (70</w:t>
      </w:r>
      <w:r w:rsidR="006375D7">
        <w:t xml:space="preserve"> out of </w:t>
      </w:r>
      <w:r w:rsidRPr="007F32BD">
        <w:t xml:space="preserve">87) of patients in the pirfenidone </w:t>
      </w:r>
      <w:r w:rsidR="00001402">
        <w:t>2,403 mg</w:t>
      </w:r>
      <w:r w:rsidRPr="007F32BD">
        <w:t xml:space="preserve">/day, placebo, and pirfenidone </w:t>
      </w:r>
      <w:r w:rsidR="00001402">
        <w:t>1,197 mg</w:t>
      </w:r>
      <w:r w:rsidRPr="007F32BD">
        <w:t>/day groups, respectively. Patients who discontinued study treatment before their treatment completion visit were encouraged to remain on study, regardless of cause (except lung transplantation patients). Most patients followed this recommendation as reflected by the high number of study completers as shown</w:t>
      </w:r>
      <w:r w:rsidR="00A2437C">
        <w:t xml:space="preserve"> in Table </w:t>
      </w:r>
      <w:r w:rsidR="00351A53">
        <w:t xml:space="preserve">7 </w:t>
      </w:r>
      <w:r w:rsidR="00A2437C">
        <w:t>below.</w:t>
      </w:r>
    </w:p>
    <w:p w:rsidR="00633D58" w:rsidRPr="00A2437C" w:rsidRDefault="00A2437C" w:rsidP="00A2437C">
      <w:pPr>
        <w:pStyle w:val="Tabletitle"/>
      </w:pPr>
      <w:r w:rsidRPr="00A2437C">
        <w:lastRenderedPageBreak/>
        <w:t xml:space="preserve">Table </w:t>
      </w:r>
      <w:r w:rsidR="00351A53">
        <w:t>7</w:t>
      </w:r>
      <w:r w:rsidRPr="00A2437C">
        <w:t xml:space="preserve">. Disposition of patients </w:t>
      </w:r>
      <w:r>
        <w:t>in S</w:t>
      </w:r>
      <w:r w:rsidRPr="00A2437C">
        <w:t>tudy</w:t>
      </w:r>
      <w:r>
        <w:t xml:space="preserve"> PIPF-004</w:t>
      </w:r>
      <w:r w:rsidRPr="00A2437C">
        <w:t xml:space="preserve"> (all randomised patients)</w:t>
      </w:r>
    </w:p>
    <w:p w:rsidR="00633D58" w:rsidRDefault="00633D58" w:rsidP="00A2437C">
      <w:r>
        <w:rPr>
          <w:noProof/>
          <w:lang w:eastAsia="en-AU"/>
        </w:rPr>
        <w:drawing>
          <wp:inline distT="0" distB="0" distL="0" distR="0" wp14:anchorId="716064C9" wp14:editId="1A075AF3">
            <wp:extent cx="4520794" cy="1623975"/>
            <wp:effectExtent l="0" t="0" r="0" b="0"/>
            <wp:docPr id="6" name="Picture 6" descr="Table 7. Disposition of patients in Study PIPF-004 (all randomis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lum bright="-1000" contrast="10000"/>
                      <a:extLst>
                        <a:ext uri="{28A0092B-C50C-407E-A947-70E740481C1C}">
                          <a14:useLocalDpi xmlns:a14="http://schemas.microsoft.com/office/drawing/2010/main" val="0"/>
                        </a:ext>
                      </a:extLst>
                    </a:blip>
                    <a:srcRect l="961" t="-1" b="28155"/>
                    <a:stretch/>
                  </pic:blipFill>
                  <pic:spPr bwMode="auto">
                    <a:xfrm>
                      <a:off x="0" y="0"/>
                      <a:ext cx="4518605" cy="1623189"/>
                    </a:xfrm>
                    <a:prstGeom prst="rect">
                      <a:avLst/>
                    </a:prstGeom>
                    <a:noFill/>
                    <a:ln>
                      <a:noFill/>
                    </a:ln>
                    <a:extLst>
                      <a:ext uri="{53640926-AAD7-44D8-BBD7-CCE9431645EC}">
                        <a14:shadowObscured xmlns:a14="http://schemas.microsoft.com/office/drawing/2010/main"/>
                      </a:ext>
                    </a:extLst>
                  </pic:spPr>
                </pic:pic>
              </a:graphicData>
            </a:graphic>
          </wp:inline>
        </w:drawing>
      </w:r>
    </w:p>
    <w:p w:rsidR="00A2437C" w:rsidRPr="00A2437C" w:rsidRDefault="00A2437C" w:rsidP="00A2437C">
      <w:pPr>
        <w:pStyle w:val="TableDescription"/>
      </w:pPr>
      <w:r>
        <w:rPr>
          <w:vertAlign w:val="superscript"/>
        </w:rPr>
        <w:t>a</w:t>
      </w:r>
      <w:r>
        <w:t xml:space="preserve"> Patients were considered to have withdrawn from the study if they did not complete their scheduled Treatment Completion Visit (including patients who completed treatment and those who perm</w:t>
      </w:r>
      <w:r w:rsidR="00AA76D4">
        <w:t>anently discontinued treatment.</w:t>
      </w:r>
      <w:r w:rsidR="006375D7">
        <w:t xml:space="preserve"> </w:t>
      </w:r>
      <w:r>
        <w:rPr>
          <w:vertAlign w:val="superscript"/>
        </w:rPr>
        <w:t xml:space="preserve">b </w:t>
      </w:r>
      <w:r>
        <w:t>The other reason for premature withdrawal from the study was deportation (n = 1)</w:t>
      </w:r>
    </w:p>
    <w:p w:rsidR="00633D58" w:rsidRPr="007F32BD" w:rsidRDefault="00633D58" w:rsidP="00A2437C">
      <w:pPr>
        <w:pStyle w:val="Heading5"/>
      </w:pPr>
      <w:bookmarkStart w:id="130" w:name="_Toc430785362"/>
      <w:r w:rsidRPr="007F32BD">
        <w:t>Major protocol violations/deviations</w:t>
      </w:r>
      <w:bookmarkEnd w:id="130"/>
    </w:p>
    <w:p w:rsidR="00633D58" w:rsidRPr="007F32BD" w:rsidRDefault="00633D58" w:rsidP="00633D58">
      <w:pPr>
        <w:autoSpaceDE w:val="0"/>
        <w:autoSpaceDN w:val="0"/>
        <w:adjustRightInd w:val="0"/>
      </w:pPr>
      <w:r w:rsidRPr="007F32BD">
        <w:t>A total of 19.6% (34</w:t>
      </w:r>
      <w:r w:rsidR="006375D7">
        <w:t xml:space="preserve"> out of </w:t>
      </w:r>
      <w:r w:rsidRPr="007F32BD">
        <w:t>174),</w:t>
      </w:r>
      <w:r>
        <w:t xml:space="preserve"> 20.1% (35</w:t>
      </w:r>
      <w:r w:rsidR="006375D7">
        <w:t xml:space="preserve"> out of </w:t>
      </w:r>
      <w:r>
        <w:t xml:space="preserve">174), </w:t>
      </w:r>
      <w:r w:rsidRPr="0021405F">
        <w:t>and 17.2%</w:t>
      </w:r>
      <w:r w:rsidR="00A2437C">
        <w:t xml:space="preserve"> (15</w:t>
      </w:r>
      <w:r w:rsidR="006375D7">
        <w:t xml:space="preserve"> out of </w:t>
      </w:r>
      <w:r w:rsidR="00A2437C">
        <w:t xml:space="preserve">87) of patients in </w:t>
      </w:r>
      <w:r w:rsidRPr="007F32BD">
        <w:t xml:space="preserve">pirfenidone </w:t>
      </w:r>
      <w:r w:rsidR="00001402">
        <w:t>2,403 mg</w:t>
      </w:r>
      <w:r w:rsidRPr="007F32BD">
        <w:t xml:space="preserve">, placebo, and pirfenidone </w:t>
      </w:r>
      <w:r w:rsidR="00001402">
        <w:t>1,197 mg</w:t>
      </w:r>
      <w:r>
        <w:t xml:space="preserve"> groups respectively</w:t>
      </w:r>
      <w:r w:rsidRPr="007F32BD">
        <w:t xml:space="preserve"> reported important protocol deviations, most related to concomitant use of prohibited medications</w:t>
      </w:r>
      <w:r>
        <w:t xml:space="preserve">; </w:t>
      </w:r>
      <w:r w:rsidRPr="00E519BB">
        <w:t xml:space="preserve">commonly systemic corticosteroids (8% and 11.5% for pirfenidone </w:t>
      </w:r>
      <w:r w:rsidR="00001402">
        <w:t>2,403 mg</w:t>
      </w:r>
      <w:r w:rsidRPr="00E519BB">
        <w:t xml:space="preserve"> and placebo respectively).</w:t>
      </w:r>
      <w:r w:rsidRPr="007F32BD">
        <w:t xml:space="preserve"> No patients received incorrect study treatment and no patients who developed withdrawal criteria during tr</w:t>
      </w:r>
      <w:r w:rsidR="00A2437C">
        <w:t>eatment remained in the study.</w:t>
      </w:r>
    </w:p>
    <w:p w:rsidR="00633D58" w:rsidRPr="007F32BD" w:rsidRDefault="00633D58" w:rsidP="00A2437C">
      <w:pPr>
        <w:pStyle w:val="Heading5"/>
      </w:pPr>
      <w:bookmarkStart w:id="131" w:name="_Toc430785363"/>
      <w:r w:rsidRPr="007F32BD">
        <w:t>Baseline data</w:t>
      </w:r>
      <w:bookmarkEnd w:id="131"/>
    </w:p>
    <w:p w:rsidR="00633D58" w:rsidRPr="0021405F" w:rsidRDefault="00633D58" w:rsidP="00633D58">
      <w:pPr>
        <w:autoSpaceDE w:val="0"/>
        <w:autoSpaceDN w:val="0"/>
        <w:adjustRightInd w:val="0"/>
      </w:pPr>
      <w:r w:rsidRPr="007F32BD">
        <w:t>Demographic characteristics were comparable between treatment groups. Mean age was around 66 years in all groups (range 40</w:t>
      </w:r>
      <w:r w:rsidR="00A2437C">
        <w:t xml:space="preserve"> to </w:t>
      </w:r>
      <w:r w:rsidRPr="007F32BD">
        <w:t>81</w:t>
      </w:r>
      <w:r w:rsidR="00A2437C">
        <w:t xml:space="preserve"> years</w:t>
      </w:r>
      <w:r w:rsidRPr="007F32BD">
        <w:t xml:space="preserve">); approximately 70% were male, at least 95% were </w:t>
      </w:r>
      <w:r w:rsidR="006375D7">
        <w:t>W</w:t>
      </w:r>
      <w:r w:rsidRPr="007F32BD">
        <w:t>hite, and mean BMI was approximately 30 kg/m</w:t>
      </w:r>
      <w:r w:rsidRPr="007F32BD">
        <w:rPr>
          <w:vertAlign w:val="superscript"/>
        </w:rPr>
        <w:t>2</w:t>
      </w:r>
      <w:r w:rsidRPr="007F32BD">
        <w:t xml:space="preserve"> in all groups. Approximately 66% were enrolled in </w:t>
      </w:r>
      <w:r>
        <w:t>the USA. Other</w:t>
      </w:r>
      <w:r w:rsidRPr="007F32BD">
        <w:t xml:space="preserve"> baseline characteristics were comparable across groups</w:t>
      </w:r>
      <w:r w:rsidR="00A2437C">
        <w:t>.</w:t>
      </w:r>
    </w:p>
    <w:p w:rsidR="00633D58" w:rsidRPr="007F32BD" w:rsidRDefault="00633D58" w:rsidP="00633D58">
      <w:pPr>
        <w:autoSpaceDE w:val="0"/>
        <w:autoSpaceDN w:val="0"/>
        <w:adjustRightInd w:val="0"/>
      </w:pPr>
      <w:r w:rsidRPr="007F32BD">
        <w:t>Percent compliance per patient was 80% or more in 88.5%, 86.8% and 92.5%</w:t>
      </w:r>
      <w:r>
        <w:t xml:space="preserve"> </w:t>
      </w:r>
      <w:r w:rsidRPr="007F32BD">
        <w:t xml:space="preserve">of the pirfenidone </w:t>
      </w:r>
      <w:r w:rsidR="00001402">
        <w:t>1,197 mg</w:t>
      </w:r>
      <w:r w:rsidRPr="007F32BD">
        <w:t xml:space="preserve">, </w:t>
      </w:r>
      <w:r w:rsidR="00001402">
        <w:t>2,403 mg</w:t>
      </w:r>
      <w:r w:rsidRPr="007F32BD">
        <w:t>, and placebo groups respectively.</w:t>
      </w:r>
    </w:p>
    <w:p w:rsidR="00633D58" w:rsidRPr="007F32BD" w:rsidRDefault="00633D58" w:rsidP="00A2437C">
      <w:pPr>
        <w:pStyle w:val="Heading5"/>
      </w:pPr>
      <w:bookmarkStart w:id="132" w:name="_Toc430785364"/>
      <w:r w:rsidRPr="007F32BD">
        <w:t>Results for the primary efficacy outcome</w:t>
      </w:r>
      <w:bookmarkEnd w:id="132"/>
    </w:p>
    <w:p w:rsidR="00273B92" w:rsidRPr="007F32BD" w:rsidRDefault="00633D58" w:rsidP="00633D58">
      <w:r w:rsidRPr="007F32BD">
        <w:t>The primary analysis was comparison of FVC mean change from baseline between pirfenidone</w:t>
      </w:r>
      <w:r w:rsidR="00273B92">
        <w:t xml:space="preserve"> </w:t>
      </w:r>
      <w:r w:rsidR="00001402">
        <w:t>2,403 mg</w:t>
      </w:r>
      <w:r w:rsidR="00273B92">
        <w:t>/day and placebo groups.</w:t>
      </w:r>
    </w:p>
    <w:p w:rsidR="00633D58" w:rsidRDefault="00273B92" w:rsidP="00273B92">
      <w:pPr>
        <w:pStyle w:val="FigureTitle"/>
      </w:pPr>
      <w:r>
        <w:lastRenderedPageBreak/>
        <w:t>Fig</w:t>
      </w:r>
      <w:r w:rsidR="005D2037">
        <w:t>ure</w:t>
      </w:r>
      <w:r w:rsidR="00A2437C">
        <w:t xml:space="preserve"> </w:t>
      </w:r>
      <w:r>
        <w:t>1:</w:t>
      </w:r>
      <w:r w:rsidR="00A2437C">
        <w:t xml:space="preserve"> Mean change from baseline as a</w:t>
      </w:r>
      <w:r w:rsidR="00633D58" w:rsidRPr="007F32BD">
        <w:t xml:space="preserve"> percent</w:t>
      </w:r>
      <w:r w:rsidR="00A2437C">
        <w:t>age</w:t>
      </w:r>
      <w:r w:rsidR="00633D58" w:rsidRPr="007F32BD">
        <w:t xml:space="preserve"> predicted FVC (all randomised patients</w:t>
      </w:r>
      <w:r w:rsidR="00A2437C">
        <w:t xml:space="preserve"> in Study PIPF-004</w:t>
      </w:r>
      <w:r w:rsidR="00633D58" w:rsidRPr="007F32BD">
        <w:t>)</w:t>
      </w:r>
      <w:r>
        <w:rPr>
          <w:noProof/>
          <w:lang w:eastAsia="en-AU"/>
        </w:rPr>
        <w:drawing>
          <wp:inline distT="0" distB="0" distL="0" distR="0" wp14:anchorId="2738CD5B" wp14:editId="492AF4EC">
            <wp:extent cx="4638675" cy="2781300"/>
            <wp:effectExtent l="0" t="0" r="9525" b="0"/>
            <wp:docPr id="5" name="Picture 5" descr="Figure 1: Mean change from baseline as a percentage predicted FVC (all randomised patients in Study PIPF-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8675" cy="2781300"/>
                    </a:xfrm>
                    <a:prstGeom prst="rect">
                      <a:avLst/>
                    </a:prstGeom>
                    <a:noFill/>
                    <a:ln>
                      <a:noFill/>
                    </a:ln>
                  </pic:spPr>
                </pic:pic>
              </a:graphicData>
            </a:graphic>
          </wp:inline>
        </w:drawing>
      </w:r>
    </w:p>
    <w:p w:rsidR="000B0709" w:rsidRPr="00A2437C" w:rsidRDefault="000B0709" w:rsidP="000E7CA2">
      <w:r w:rsidRPr="000B0709">
        <w:t>The difference was statistically significant and reached a maximum absolute difference of 4.8% in favour of pirfenidone at 48 weeks</w:t>
      </w:r>
      <w:r>
        <w:t>.</w:t>
      </w:r>
    </w:p>
    <w:p w:rsidR="00633D58" w:rsidRPr="00A2437C" w:rsidRDefault="00A2437C" w:rsidP="00A2437C">
      <w:pPr>
        <w:pStyle w:val="Tabletitle"/>
      </w:pPr>
      <w:r>
        <w:t xml:space="preserve">Table </w:t>
      </w:r>
      <w:r w:rsidR="00351A53">
        <w:t>8</w:t>
      </w:r>
      <w:r>
        <w:t xml:space="preserve">. </w:t>
      </w:r>
      <w:r w:rsidR="00633D58" w:rsidRPr="003A4240">
        <w:t xml:space="preserve">Mean change </w:t>
      </w:r>
      <w:r>
        <w:t>as a</w:t>
      </w:r>
      <w:r w:rsidR="00633D58" w:rsidRPr="003A4240">
        <w:t xml:space="preserve"> percent</w:t>
      </w:r>
      <w:r>
        <w:t>age</w:t>
      </w:r>
      <w:r w:rsidR="00633D58" w:rsidRPr="003A4240">
        <w:t xml:space="preserve"> predicted FVC (all randomised patients)</w:t>
      </w:r>
      <w:r w:rsidR="009A7A7A">
        <w:t xml:space="preserve"> in Study PIPF-004</w:t>
      </w:r>
    </w:p>
    <w:p w:rsidR="00633D58" w:rsidRPr="007F32BD" w:rsidRDefault="00633D58" w:rsidP="00633D58">
      <w:r>
        <w:rPr>
          <w:noProof/>
          <w:lang w:eastAsia="en-AU"/>
        </w:rPr>
        <w:drawing>
          <wp:inline distT="0" distB="0" distL="0" distR="0" wp14:anchorId="1002EBE9" wp14:editId="5B210BE1">
            <wp:extent cx="4371975" cy="2238375"/>
            <wp:effectExtent l="0" t="0" r="9525" b="9525"/>
            <wp:docPr id="4" name="Picture 4" descr="Table 8. Mean change as a percentage predicted FVC (all randomised patients) in Study PIPF-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lum bright="-28000" contrast="50000"/>
                      <a:extLst>
                        <a:ext uri="{28A0092B-C50C-407E-A947-70E740481C1C}">
                          <a14:useLocalDpi xmlns:a14="http://schemas.microsoft.com/office/drawing/2010/main" val="0"/>
                        </a:ext>
                      </a:extLst>
                    </a:blip>
                    <a:srcRect/>
                    <a:stretch>
                      <a:fillRect/>
                    </a:stretch>
                  </pic:blipFill>
                  <pic:spPr bwMode="auto">
                    <a:xfrm>
                      <a:off x="0" y="0"/>
                      <a:ext cx="4371975" cy="2238375"/>
                    </a:xfrm>
                    <a:prstGeom prst="rect">
                      <a:avLst/>
                    </a:prstGeom>
                    <a:noFill/>
                    <a:ln>
                      <a:noFill/>
                    </a:ln>
                    <a:effectLst/>
                  </pic:spPr>
                </pic:pic>
              </a:graphicData>
            </a:graphic>
          </wp:inline>
        </w:drawing>
      </w:r>
    </w:p>
    <w:p w:rsidR="00633D58" w:rsidRDefault="00633D58" w:rsidP="00273B92">
      <w:pPr>
        <w:pStyle w:val="Heading5"/>
      </w:pPr>
      <w:bookmarkStart w:id="133" w:name="_Toc430785365"/>
      <w:r w:rsidRPr="007F32BD">
        <w:t>Results for other efficacy outcomes</w:t>
      </w:r>
      <w:bookmarkEnd w:id="133"/>
    </w:p>
    <w:p w:rsidR="00633D58" w:rsidRDefault="00633D58" w:rsidP="00633D58">
      <w:r>
        <w:t>The categorical assessment of absolute change in % predicted FVC reflected the primary variable in showing evidence o</w:t>
      </w:r>
      <w:r w:rsidR="00273B92">
        <w:t xml:space="preserve">f treatment effect, as per Table </w:t>
      </w:r>
      <w:r w:rsidR="00725883">
        <w:t>9</w:t>
      </w:r>
      <w:r w:rsidR="00273B92">
        <w:t>. (see below)</w:t>
      </w:r>
      <w:r w:rsidR="000B0709">
        <w:t>.</w:t>
      </w:r>
    </w:p>
    <w:p w:rsidR="00273B92" w:rsidRDefault="00273B92" w:rsidP="00273B92">
      <w:pPr>
        <w:pStyle w:val="Tabletitle"/>
      </w:pPr>
      <w:r>
        <w:lastRenderedPageBreak/>
        <w:t xml:space="preserve">Table </w:t>
      </w:r>
      <w:r w:rsidR="00351A53">
        <w:t>9</w:t>
      </w:r>
      <w:r>
        <w:t xml:space="preserve">. Change from Baseline to Week 72 in </w:t>
      </w:r>
      <w:r w:rsidR="00A86118">
        <w:t xml:space="preserve">the </w:t>
      </w:r>
      <w:r w:rsidR="006A04AC">
        <w:t>p</w:t>
      </w:r>
      <w:r>
        <w:t>irfenidone (</w:t>
      </w:r>
      <w:r w:rsidR="00001402">
        <w:t>2,403 mg</w:t>
      </w:r>
      <w:r>
        <w:t xml:space="preserve">/day) versus placebo groups </w:t>
      </w:r>
      <w:r w:rsidR="00A86118">
        <w:t>of</w:t>
      </w:r>
      <w:r>
        <w:t xml:space="preserve"> Study PIPF-004.</w:t>
      </w:r>
    </w:p>
    <w:p w:rsidR="00633D58" w:rsidRDefault="00633D58" w:rsidP="00633D58">
      <w:r>
        <w:rPr>
          <w:noProof/>
          <w:lang w:eastAsia="en-AU"/>
        </w:rPr>
        <w:drawing>
          <wp:inline distT="0" distB="0" distL="0" distR="0" wp14:anchorId="1DD1A675" wp14:editId="0EEBA9AD">
            <wp:extent cx="4410075" cy="2143125"/>
            <wp:effectExtent l="0" t="0" r="9525" b="9525"/>
            <wp:docPr id="3" name="Picture 3" descr="Table 9. Change from Baseline to Week 72 in the pirfenidone (2,403 mg/day) versus placebo groups of Study PIPF-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lum bright="-26000" contrast="51000"/>
                      <a:extLst>
                        <a:ext uri="{28A0092B-C50C-407E-A947-70E740481C1C}">
                          <a14:useLocalDpi xmlns:a14="http://schemas.microsoft.com/office/drawing/2010/main" val="0"/>
                        </a:ext>
                      </a:extLst>
                    </a:blip>
                    <a:srcRect/>
                    <a:stretch>
                      <a:fillRect/>
                    </a:stretch>
                  </pic:blipFill>
                  <pic:spPr bwMode="auto">
                    <a:xfrm>
                      <a:off x="0" y="0"/>
                      <a:ext cx="4410075" cy="2143125"/>
                    </a:xfrm>
                    <a:prstGeom prst="rect">
                      <a:avLst/>
                    </a:prstGeom>
                    <a:noFill/>
                    <a:ln>
                      <a:noFill/>
                    </a:ln>
                  </pic:spPr>
                </pic:pic>
              </a:graphicData>
            </a:graphic>
          </wp:inline>
        </w:drawing>
      </w:r>
    </w:p>
    <w:p w:rsidR="00633D58" w:rsidRDefault="000B0709" w:rsidP="00633D58">
      <w:r>
        <w:t xml:space="preserve">The results for other pre-defined endpoints were provided. </w:t>
      </w:r>
      <w:r w:rsidR="00633D58">
        <w:t>P</w:t>
      </w:r>
      <w:r w:rsidR="00633D58" w:rsidRPr="00621B79">
        <w:t>rogression</w:t>
      </w:r>
      <w:r>
        <w:t xml:space="preserve"> </w:t>
      </w:r>
      <w:r w:rsidR="00633D58" w:rsidRPr="00621B79">
        <w:t>free</w:t>
      </w:r>
      <w:r w:rsidR="00633D58">
        <w:t xml:space="preserve"> </w:t>
      </w:r>
      <w:r w:rsidR="00633D58" w:rsidRPr="00621B79">
        <w:t xml:space="preserve">survival rate </w:t>
      </w:r>
      <w:r w:rsidR="00633D58">
        <w:t xml:space="preserve">was higher for pirfenidone </w:t>
      </w:r>
      <w:r w:rsidR="00001402">
        <w:t>2,403 mg</w:t>
      </w:r>
      <w:r w:rsidR="00633D58">
        <w:t xml:space="preserve"> than placebo </w:t>
      </w:r>
      <w:r w:rsidR="00633D58" w:rsidRPr="00621B79">
        <w:t xml:space="preserve">(73.8%, </w:t>
      </w:r>
      <w:r w:rsidR="006A04AC">
        <w:t>(</w:t>
      </w:r>
      <w:r w:rsidR="00633D58" w:rsidRPr="00621B79">
        <w:t>127</w:t>
      </w:r>
      <w:r>
        <w:t xml:space="preserve"> out of </w:t>
      </w:r>
      <w:r w:rsidR="00633D58">
        <w:t>172</w:t>
      </w:r>
      <w:r w:rsidR="006A04AC">
        <w:t>)</w:t>
      </w:r>
      <w:r w:rsidR="00633D58">
        <w:t xml:space="preserve"> v</w:t>
      </w:r>
      <w:r w:rsidR="00273B92">
        <w:t>ersus</w:t>
      </w:r>
      <w:r w:rsidR="006A04AC">
        <w:t xml:space="preserve"> 64.2%</w:t>
      </w:r>
      <w:r w:rsidR="00633D58">
        <w:t xml:space="preserve"> </w:t>
      </w:r>
      <w:r w:rsidR="006A04AC">
        <w:t>(</w:t>
      </w:r>
      <w:r w:rsidR="00633D58">
        <w:t>111</w:t>
      </w:r>
      <w:r>
        <w:t xml:space="preserve"> out of </w:t>
      </w:r>
      <w:r w:rsidR="00633D58">
        <w:t>173</w:t>
      </w:r>
      <w:r w:rsidR="006A04AC">
        <w:t>)</w:t>
      </w:r>
      <w:r w:rsidR="00633D58">
        <w:t>;</w:t>
      </w:r>
      <w:r w:rsidR="006A04AC">
        <w:t xml:space="preserve"> with 45 </w:t>
      </w:r>
      <w:r w:rsidR="00633D58">
        <w:t xml:space="preserve">death or disease progression with pirfenidone </w:t>
      </w:r>
      <w:r w:rsidR="00001402">
        <w:t>2,403 mg</w:t>
      </w:r>
      <w:r w:rsidR="00633D58" w:rsidRPr="004C76CB">
        <w:t xml:space="preserve"> </w:t>
      </w:r>
      <w:r w:rsidR="00273B92">
        <w:t>versus</w:t>
      </w:r>
      <w:r w:rsidR="00633D58">
        <w:t xml:space="preserve"> 62 for placebo, HR 0.64 (95% CI 0.44</w:t>
      </w:r>
      <w:r w:rsidR="006A04AC">
        <w:t> to </w:t>
      </w:r>
      <w:r w:rsidR="00633D58">
        <w:t xml:space="preserve">0.95)). In the pirfenidone </w:t>
      </w:r>
      <w:r w:rsidR="00001402">
        <w:t>2,403 mg</w:t>
      </w:r>
      <w:r w:rsidR="00633D58">
        <w:t xml:space="preserve"> </w:t>
      </w:r>
      <w:r w:rsidR="0041743B">
        <w:t>group, 14.9% (26</w:t>
      </w:r>
      <w:r>
        <w:t xml:space="preserve"> out of </w:t>
      </w:r>
      <w:r w:rsidR="00633D58" w:rsidRPr="00621B79">
        <w:t>74) of patients experienced worsening</w:t>
      </w:r>
      <w:r w:rsidR="00633D58">
        <w:t xml:space="preserve"> of IPF </w:t>
      </w:r>
      <w:r w:rsidR="00633D58" w:rsidRPr="00621B79">
        <w:t>compared with 17.2% (30</w:t>
      </w:r>
      <w:r>
        <w:t xml:space="preserve"> out of </w:t>
      </w:r>
      <w:r w:rsidR="00633D58" w:rsidRPr="00621B79">
        <w:t>174) of patients in the placebo group</w:t>
      </w:r>
      <w:r w:rsidR="00633D58">
        <w:t>;</w:t>
      </w:r>
      <w:r w:rsidR="00633D58" w:rsidRPr="00621B79">
        <w:t xml:space="preserve"> HR</w:t>
      </w:r>
      <w:r w:rsidR="00633D58">
        <w:t xml:space="preserve"> 0.84 (</w:t>
      </w:r>
      <w:r w:rsidR="00633D58" w:rsidRPr="00621B79">
        <w:t>0.50</w:t>
      </w:r>
      <w:r w:rsidR="00633D58" w:rsidRPr="00621B79">
        <w:rPr>
          <w:rFonts w:hint="eastAsia"/>
        </w:rPr>
        <w:t>–</w:t>
      </w:r>
      <w:r w:rsidR="00633D58">
        <w:t>1.42</w:t>
      </w:r>
      <w:r w:rsidR="00633D58" w:rsidRPr="00621B79">
        <w:t>)</w:t>
      </w:r>
      <w:r w:rsidR="00273B92">
        <w:t>.</w:t>
      </w:r>
    </w:p>
    <w:p w:rsidR="00633D58" w:rsidRDefault="00633D58" w:rsidP="00380800">
      <w:r>
        <w:t>At b</w:t>
      </w:r>
      <w:r w:rsidRPr="00BB0D1A">
        <w:t>aseline, the mean 6MWT distance was 411.1</w:t>
      </w:r>
      <w:r>
        <w:t xml:space="preserve"> m in the pirfenidone </w:t>
      </w:r>
      <w:r w:rsidR="00001402">
        <w:t>2,403 mg</w:t>
      </w:r>
      <w:r>
        <w:t xml:space="preserve"> </w:t>
      </w:r>
      <w:r w:rsidRPr="00BB0D1A">
        <w:t>group and 410.0</w:t>
      </w:r>
      <w:r w:rsidR="000B0709">
        <w:t> </w:t>
      </w:r>
      <w:r w:rsidRPr="00BB0D1A">
        <w:t>m in the placebo group</w:t>
      </w:r>
      <w:r>
        <w:t xml:space="preserve">. At </w:t>
      </w:r>
      <w:r w:rsidR="000B0709">
        <w:t>W</w:t>
      </w:r>
      <w:r w:rsidRPr="00BB0D1A">
        <w:t>eek 72</w:t>
      </w:r>
      <w:r>
        <w:t xml:space="preserve"> the mean decline was </w:t>
      </w:r>
      <w:r w:rsidR="00273B92">
        <w:noBreakHyphen/>
      </w:r>
      <w:r w:rsidRPr="00BB0D1A">
        <w:t>60.4 v</w:t>
      </w:r>
      <w:r w:rsidR="00273B92">
        <w:t xml:space="preserve">ersus </w:t>
      </w:r>
      <w:r w:rsidR="00273B92">
        <w:noBreakHyphen/>
      </w:r>
      <w:r w:rsidRPr="00BB0D1A">
        <w:t>76.8 m</w:t>
      </w:r>
      <w:r>
        <w:t xml:space="preserve">; at </w:t>
      </w:r>
      <w:r w:rsidR="000B0709">
        <w:t>W</w:t>
      </w:r>
      <w:r>
        <w:t>eeks 48 and 60 the di</w:t>
      </w:r>
      <w:r w:rsidR="00E13365">
        <w:t>fference</w:t>
      </w:r>
      <w:r w:rsidR="00273B92">
        <w:t xml:space="preserve"> between groups was somewhat greater.</w:t>
      </w:r>
    </w:p>
    <w:p w:rsidR="00A86118" w:rsidRPr="007F32BD" w:rsidRDefault="00A86118" w:rsidP="00A86118">
      <w:pPr>
        <w:pStyle w:val="Heading4"/>
      </w:pPr>
      <w:bookmarkStart w:id="134" w:name="_Toc290846276"/>
      <w:bookmarkStart w:id="135" w:name="_Toc430785366"/>
      <w:r w:rsidRPr="007F32BD">
        <w:t xml:space="preserve">Study </w:t>
      </w:r>
      <w:bookmarkEnd w:id="134"/>
      <w:r w:rsidRPr="00A86118">
        <w:t>PIPF</w:t>
      </w:r>
      <w:r w:rsidR="00B75166">
        <w:noBreakHyphen/>
      </w:r>
      <w:r w:rsidRPr="007F32BD">
        <w:t>006</w:t>
      </w:r>
      <w:bookmarkEnd w:id="135"/>
    </w:p>
    <w:p w:rsidR="00A86118" w:rsidRPr="007F32BD" w:rsidRDefault="00A86118" w:rsidP="00A86118">
      <w:r w:rsidRPr="007F32BD">
        <w:t xml:space="preserve">This study </w:t>
      </w:r>
      <w:r>
        <w:t xml:space="preserve">of </w:t>
      </w:r>
      <w:r w:rsidR="00001402">
        <w:t>2,403 mg</w:t>
      </w:r>
      <w:r>
        <w:t xml:space="preserve">/day was </w:t>
      </w:r>
      <w:r w:rsidRPr="007F32BD">
        <w:t xml:space="preserve">submitted to the EMA and </w:t>
      </w:r>
      <w:r>
        <w:t xml:space="preserve">with the </w:t>
      </w:r>
      <w:r w:rsidRPr="007F32BD">
        <w:t xml:space="preserve">initial </w:t>
      </w:r>
      <w:r>
        <w:t>application to FDA.</w:t>
      </w:r>
    </w:p>
    <w:p w:rsidR="00A86118" w:rsidRPr="007F32BD" w:rsidRDefault="00A86118" w:rsidP="00B75166">
      <w:pPr>
        <w:pStyle w:val="Heading5"/>
      </w:pPr>
      <w:bookmarkStart w:id="136" w:name="_Toc430785367"/>
      <w:r w:rsidRPr="007F32BD">
        <w:t>Study design, objectives, locations and dates</w:t>
      </w:r>
      <w:bookmarkEnd w:id="136"/>
    </w:p>
    <w:p w:rsidR="00B75166" w:rsidRDefault="00A86118" w:rsidP="00B75166">
      <w:pPr>
        <w:autoSpaceDE w:val="0"/>
        <w:autoSpaceDN w:val="0"/>
        <w:adjustRightInd w:val="0"/>
      </w:pPr>
      <w:r w:rsidRPr="007F32BD">
        <w:t xml:space="preserve">The study objective was to assess efficacy and safety of pirfenidone </w:t>
      </w:r>
      <w:r w:rsidR="00001402">
        <w:t>2,403 mg</w:t>
      </w:r>
      <w:r w:rsidRPr="007F32BD">
        <w:t>/day compared wi</w:t>
      </w:r>
      <w:r w:rsidR="00B75166">
        <w:t xml:space="preserve">th placebo in patients with IPF over 72 weeks. </w:t>
      </w:r>
      <w:r w:rsidRPr="007F32BD">
        <w:t xml:space="preserve">The Phase </w:t>
      </w:r>
      <w:r w:rsidR="006A04AC">
        <w:t>III</w:t>
      </w:r>
      <w:r w:rsidR="00B75166">
        <w:t xml:space="preserve"> multicentre randomised double</w:t>
      </w:r>
      <w:r w:rsidR="000B0709">
        <w:t xml:space="preserve"> </w:t>
      </w:r>
      <w:r w:rsidRPr="007F32BD">
        <w:t xml:space="preserve">blind study design was largely identical </w:t>
      </w:r>
      <w:r w:rsidR="00B75166">
        <w:t xml:space="preserve">to that of </w:t>
      </w:r>
      <w:r w:rsidR="006A04AC">
        <w:t xml:space="preserve">Study </w:t>
      </w:r>
      <w:r w:rsidR="00B75166">
        <w:t>PIPF</w:t>
      </w:r>
      <w:r w:rsidR="00B75166">
        <w:noBreakHyphen/>
      </w:r>
      <w:r w:rsidRPr="007F32BD">
        <w:t xml:space="preserve">004 but with subjects randomised </w:t>
      </w:r>
      <w:r w:rsidR="00B75166">
        <w:t xml:space="preserve">in a ratio of </w:t>
      </w:r>
      <w:r w:rsidRPr="007F32BD">
        <w:t>1:</w:t>
      </w:r>
      <w:r w:rsidR="000B0709">
        <w:t xml:space="preserve"> </w:t>
      </w:r>
      <w:r w:rsidRPr="007F32BD">
        <w:t>1 to two treatment arms (pirf</w:t>
      </w:r>
      <w:r w:rsidR="00B75166">
        <w:t xml:space="preserve">enidone </w:t>
      </w:r>
      <w:r w:rsidR="00001402">
        <w:t>2,403 mg</w:t>
      </w:r>
      <w:r w:rsidR="00B75166">
        <w:t>/day n = 171, versus</w:t>
      </w:r>
      <w:r w:rsidRPr="007F32BD">
        <w:t xml:space="preserve"> placebo n = 173). The study was conducted at 46 sites in the USA, Australia, Belgium, Germany, Ireland, Spain, and Switzerland from April 2006</w:t>
      </w:r>
      <w:bookmarkStart w:id="137" w:name="_Toc430785368"/>
      <w:r w:rsidR="00B75166">
        <w:t xml:space="preserve"> to October 2008.</w:t>
      </w:r>
    </w:p>
    <w:p w:rsidR="00A86118" w:rsidRPr="007F32BD" w:rsidRDefault="00A86118" w:rsidP="00B75166">
      <w:pPr>
        <w:pStyle w:val="Heading5"/>
      </w:pPr>
      <w:r w:rsidRPr="007F32BD">
        <w:t>Inclusion and exclusion criteria</w:t>
      </w:r>
      <w:bookmarkEnd w:id="137"/>
    </w:p>
    <w:p w:rsidR="00B75166" w:rsidRDefault="00A86118" w:rsidP="00B75166">
      <w:pPr>
        <w:rPr>
          <w:b/>
        </w:rPr>
      </w:pPr>
      <w:r w:rsidRPr="007F32BD">
        <w:t>Criteria were ident</w:t>
      </w:r>
      <w:bookmarkStart w:id="138" w:name="_Toc430785369"/>
      <w:r w:rsidR="00B75166">
        <w:t>ical to those f</w:t>
      </w:r>
      <w:r w:rsidR="006A04AC">
        <w:t>or Study PIPF-004</w:t>
      </w:r>
      <w:r w:rsidR="00B75166">
        <w:t>.</w:t>
      </w:r>
    </w:p>
    <w:p w:rsidR="00A86118" w:rsidRPr="007F32BD" w:rsidRDefault="00A86118" w:rsidP="00B75166">
      <w:pPr>
        <w:pStyle w:val="Heading5"/>
      </w:pPr>
      <w:r w:rsidRPr="007F32BD">
        <w:t>Study treatments</w:t>
      </w:r>
      <w:bookmarkEnd w:id="138"/>
    </w:p>
    <w:p w:rsidR="00A86118" w:rsidRPr="00B75166" w:rsidRDefault="00A86118" w:rsidP="00B75166">
      <w:r w:rsidRPr="00B75166">
        <w:t xml:space="preserve">Patients who completed the washout period and met the screening criteria were randomised to receive pirfenidone </w:t>
      </w:r>
      <w:r w:rsidR="00001402">
        <w:t>2,403 mg</w:t>
      </w:r>
      <w:r w:rsidRPr="00B75166">
        <w:t xml:space="preserve">/day or placebo equivalent via oral </w:t>
      </w:r>
      <w:r w:rsidR="00B75166" w:rsidRPr="00B75166">
        <w:t xml:space="preserve">administration in divided doses </w:t>
      </w:r>
      <w:r w:rsidRPr="00B75166">
        <w:t xml:space="preserve">(3 capsules </w:t>
      </w:r>
      <w:r w:rsidR="000B0709" w:rsidRPr="000B0709">
        <w:t>3 times daily</w:t>
      </w:r>
      <w:r w:rsidRPr="00B75166">
        <w:t xml:space="preserve">) with a meal. Study treatments were to be escalated as for </w:t>
      </w:r>
      <w:r w:rsidR="006A04AC">
        <w:t xml:space="preserve">Study </w:t>
      </w:r>
      <w:r w:rsidRPr="00B75166">
        <w:t>PIPF</w:t>
      </w:r>
      <w:r w:rsidR="00B75166">
        <w:noBreakHyphen/>
      </w:r>
      <w:r w:rsidRPr="00B75166">
        <w:t>004. Treatments were supplied as visually indistinguishable hard white gelatin capsules, containing either pirfenidone 267 mg plus excipients, or excipients only.</w:t>
      </w:r>
    </w:p>
    <w:p w:rsidR="00A86118" w:rsidRPr="00B75166" w:rsidRDefault="00A86118" w:rsidP="00B75166">
      <w:r w:rsidRPr="00B75166">
        <w:t>There were pre-specified permitted therapies for IPF during the study period.</w:t>
      </w:r>
    </w:p>
    <w:p w:rsidR="00A86118" w:rsidRPr="007F32BD" w:rsidRDefault="00A86118" w:rsidP="00B75166">
      <w:pPr>
        <w:pStyle w:val="Heading5"/>
      </w:pPr>
      <w:bookmarkStart w:id="139" w:name="_Toc430785370"/>
      <w:r w:rsidRPr="007F32BD">
        <w:t xml:space="preserve">Efficacy </w:t>
      </w:r>
      <w:r w:rsidRPr="00B75166">
        <w:t>variables</w:t>
      </w:r>
      <w:r w:rsidRPr="007F32BD">
        <w:t xml:space="preserve"> and outcomes</w:t>
      </w:r>
      <w:bookmarkEnd w:id="139"/>
    </w:p>
    <w:p w:rsidR="000B0709" w:rsidRDefault="00A86118" w:rsidP="000E7CA2">
      <w:pPr>
        <w:spacing w:line="276" w:lineRule="auto"/>
      </w:pPr>
      <w:r w:rsidRPr="007F32BD">
        <w:t xml:space="preserve">The primary efficacy outcome variable was, as for </w:t>
      </w:r>
      <w:r w:rsidR="006A04AC">
        <w:t xml:space="preserve">Study </w:t>
      </w:r>
      <w:r w:rsidRPr="007F32BD">
        <w:t xml:space="preserve">PIPF-004, the absolute change in percent predicted FVC from </w:t>
      </w:r>
      <w:r w:rsidR="006A04AC">
        <w:t>B</w:t>
      </w:r>
      <w:r w:rsidRPr="007F32BD">
        <w:t>asel</w:t>
      </w:r>
      <w:r w:rsidR="006A04AC">
        <w:t>ine to W</w:t>
      </w:r>
      <w:r w:rsidRPr="007F32BD">
        <w:t>eek 72.</w:t>
      </w:r>
      <w:r w:rsidR="000B0709">
        <w:t xml:space="preserve"> </w:t>
      </w:r>
      <w:r w:rsidRPr="007F32BD">
        <w:t>Other efficacy outcomes included:</w:t>
      </w:r>
    </w:p>
    <w:p w:rsidR="00A86118" w:rsidRPr="007F32BD" w:rsidRDefault="000B0709" w:rsidP="000B0709">
      <w:pPr>
        <w:pStyle w:val="ListBullet"/>
      </w:pPr>
      <w:r>
        <w:lastRenderedPageBreak/>
        <w:t>time to worsening IPF</w:t>
      </w:r>
    </w:p>
    <w:p w:rsidR="00A86118" w:rsidRPr="007F32BD" w:rsidRDefault="00B75166" w:rsidP="00B75166">
      <w:pPr>
        <w:pStyle w:val="ListBullet"/>
      </w:pPr>
      <w:r>
        <w:t>Progression</w:t>
      </w:r>
      <w:r w:rsidR="000B0709">
        <w:t xml:space="preserve"> </w:t>
      </w:r>
      <w:r w:rsidR="00A86118" w:rsidRPr="007F32BD">
        <w:t>free survival</w:t>
      </w:r>
    </w:p>
    <w:p w:rsidR="00A86118" w:rsidRPr="007F32BD" w:rsidRDefault="00B75166" w:rsidP="00B75166">
      <w:pPr>
        <w:pStyle w:val="ListBullet"/>
      </w:pPr>
      <w:r>
        <w:t>C</w:t>
      </w:r>
      <w:r w:rsidR="00A86118" w:rsidRPr="007F32BD">
        <w:t xml:space="preserve">ategorical assessment of absolute change from </w:t>
      </w:r>
      <w:r>
        <w:t xml:space="preserve">Baseline to Week 72 </w:t>
      </w:r>
      <w:r w:rsidR="000B0709">
        <w:t xml:space="preserve">in % </w:t>
      </w:r>
      <w:r w:rsidR="00A86118" w:rsidRPr="007F32BD">
        <w:t>predicted FVC</w:t>
      </w:r>
    </w:p>
    <w:p w:rsidR="00A86118" w:rsidRPr="007F32BD" w:rsidRDefault="00A86118" w:rsidP="00B75166">
      <w:pPr>
        <w:pStyle w:val="ListBullet"/>
      </w:pPr>
      <w:r w:rsidRPr="007F32BD">
        <w:t xml:space="preserve">Change from </w:t>
      </w:r>
      <w:r w:rsidR="00B75166">
        <w:t>B</w:t>
      </w:r>
      <w:r w:rsidRPr="007F32BD">
        <w:t xml:space="preserve">aseline to </w:t>
      </w:r>
      <w:r w:rsidR="00B75166">
        <w:t>Week 72 in other pre</w:t>
      </w:r>
      <w:r w:rsidR="000B0709">
        <w:t xml:space="preserve"> </w:t>
      </w:r>
      <w:r w:rsidRPr="007F32BD">
        <w:t>sp</w:t>
      </w:r>
      <w:r w:rsidR="00B75166">
        <w:t>ecified assessments as for PIPF</w:t>
      </w:r>
      <w:r w:rsidR="00B75166">
        <w:noBreakHyphen/>
      </w:r>
      <w:r w:rsidRPr="007F32BD">
        <w:t>004.</w:t>
      </w:r>
    </w:p>
    <w:p w:rsidR="00A86118" w:rsidRPr="007F32BD" w:rsidRDefault="00A86118" w:rsidP="00B75166">
      <w:pPr>
        <w:pStyle w:val="Heading5"/>
      </w:pPr>
      <w:bookmarkStart w:id="140" w:name="_Toc430785371"/>
      <w:r w:rsidRPr="00B75166">
        <w:t>Statistical</w:t>
      </w:r>
      <w:r w:rsidRPr="007F32BD">
        <w:t xml:space="preserve"> methods</w:t>
      </w:r>
      <w:bookmarkEnd w:id="140"/>
    </w:p>
    <w:p w:rsidR="00A86118" w:rsidRPr="007F32BD" w:rsidRDefault="00A86118" w:rsidP="00A86118">
      <w:r w:rsidRPr="007F32BD">
        <w:t xml:space="preserve">Statistical methods were as for PIPF-004 for the comparison between </w:t>
      </w:r>
      <w:r w:rsidR="00B75166">
        <w:t xml:space="preserve">the pirfenidone </w:t>
      </w:r>
      <w:r w:rsidR="000B0709">
        <w:t>2,403 </w:t>
      </w:r>
      <w:r w:rsidR="00001402">
        <w:t>mg</w:t>
      </w:r>
      <w:r w:rsidR="00B75166">
        <w:t>/day versus</w:t>
      </w:r>
      <w:r w:rsidRPr="007F32BD">
        <w:t xml:space="preserve"> placebo </w:t>
      </w:r>
      <w:r w:rsidR="00B75166">
        <w:t xml:space="preserve">groups </w:t>
      </w:r>
      <w:r w:rsidRPr="007F32BD">
        <w:t xml:space="preserve">from </w:t>
      </w:r>
      <w:r w:rsidR="00B75166">
        <w:t>Baseline to W</w:t>
      </w:r>
      <w:r w:rsidRPr="007F32BD">
        <w:t xml:space="preserve">eek 72. </w:t>
      </w:r>
      <w:r>
        <w:t>T</w:t>
      </w:r>
      <w:r w:rsidRPr="007F32BD">
        <w:t xml:space="preserve">he sample size </w:t>
      </w:r>
      <w:r>
        <w:t>was 320 and the duration</w:t>
      </w:r>
      <w:r w:rsidRPr="007F32BD">
        <w:t xml:space="preserve"> 72 weeks. This assumed an absolute percen</w:t>
      </w:r>
      <w:r w:rsidR="00AA0C34">
        <w:t>t predicted FVC change between B</w:t>
      </w:r>
      <w:r w:rsidRPr="007F32BD">
        <w:t>aseline and Week 72 of 5.5% in the placebo arm and 2.75% in pirfenidone arm wit</w:t>
      </w:r>
      <w:r w:rsidR="00AA0C34">
        <w:t>h a standard deviation of 6.0%.</w:t>
      </w:r>
    </w:p>
    <w:p w:rsidR="00A86118" w:rsidRDefault="00A86118" w:rsidP="00AA0C34">
      <w:pPr>
        <w:pStyle w:val="Heading5"/>
      </w:pPr>
      <w:bookmarkStart w:id="141" w:name="_Toc430785372"/>
      <w:r w:rsidRPr="007F32BD">
        <w:t>Participant flow</w:t>
      </w:r>
      <w:bookmarkEnd w:id="141"/>
    </w:p>
    <w:p w:rsidR="00AA0C34" w:rsidRPr="00AA0C34" w:rsidRDefault="00AA0C34" w:rsidP="00AA0C34">
      <w:r>
        <w:t xml:space="preserve">Table </w:t>
      </w:r>
      <w:r w:rsidR="00351A53">
        <w:t xml:space="preserve">10 </w:t>
      </w:r>
      <w:r>
        <w:t>below follows the dispositio</w:t>
      </w:r>
      <w:r w:rsidR="005D2037">
        <w:t>n of patients in Study PIPF</w:t>
      </w:r>
      <w:r w:rsidR="005D2037">
        <w:noBreakHyphen/>
        <w:t>006</w:t>
      </w:r>
      <w:r w:rsidR="000B0709">
        <w:t>.</w:t>
      </w:r>
    </w:p>
    <w:p w:rsidR="00A86118" w:rsidRPr="007F32BD" w:rsidRDefault="00AA0C34" w:rsidP="00AA0C34">
      <w:pPr>
        <w:pStyle w:val="Tabletitle"/>
      </w:pPr>
      <w:r>
        <w:t xml:space="preserve">Table </w:t>
      </w:r>
      <w:r w:rsidR="00351A53">
        <w:t>10</w:t>
      </w:r>
      <w:r>
        <w:t xml:space="preserve">. </w:t>
      </w:r>
      <w:r w:rsidR="00A86118" w:rsidRPr="007F32BD">
        <w:t>Disposition of patients in the study</w:t>
      </w:r>
      <w:r w:rsidR="006A04AC">
        <w:t xml:space="preserve"> (all randomised patients</w:t>
      </w:r>
      <w:r w:rsidR="001941F5">
        <w:t>, Study PIPF</w:t>
      </w:r>
      <w:r w:rsidR="001941F5">
        <w:noBreakHyphen/>
        <w:t>006</w:t>
      </w:r>
      <w:r w:rsidR="006A04AC">
        <w:t>)</w:t>
      </w:r>
    </w:p>
    <w:p w:rsidR="00A86118" w:rsidRPr="007F32BD" w:rsidRDefault="00A86118" w:rsidP="00AA0C34">
      <w:r>
        <w:rPr>
          <w:noProof/>
          <w:lang w:eastAsia="en-AU"/>
        </w:rPr>
        <w:drawing>
          <wp:inline distT="0" distB="0" distL="0" distR="0" wp14:anchorId="01D91D28" wp14:editId="014029B4">
            <wp:extent cx="4374515" cy="1609090"/>
            <wp:effectExtent l="0" t="0" r="6985" b="0"/>
            <wp:docPr id="10" name="Picture 10" descr="Table 10. Disposition of patients in the study (all randomised patients, Study PIPF 006)" title="Table 10. Disposition of patients in the study (all randomised patients, Study PIPF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lum contrast="6000"/>
                      <a:extLst>
                        <a:ext uri="{28A0092B-C50C-407E-A947-70E740481C1C}">
                          <a14:useLocalDpi xmlns:a14="http://schemas.microsoft.com/office/drawing/2010/main" val="0"/>
                        </a:ext>
                      </a:extLst>
                    </a:blip>
                    <a:srcRect/>
                    <a:stretch>
                      <a:fillRect/>
                    </a:stretch>
                  </pic:blipFill>
                  <pic:spPr bwMode="auto">
                    <a:xfrm>
                      <a:off x="0" y="0"/>
                      <a:ext cx="4374515" cy="1609090"/>
                    </a:xfrm>
                    <a:prstGeom prst="rect">
                      <a:avLst/>
                    </a:prstGeom>
                    <a:noFill/>
                    <a:ln>
                      <a:noFill/>
                    </a:ln>
                  </pic:spPr>
                </pic:pic>
              </a:graphicData>
            </a:graphic>
          </wp:inline>
        </w:drawing>
      </w:r>
    </w:p>
    <w:p w:rsidR="00A86118" w:rsidRPr="007F32BD" w:rsidRDefault="00A86118" w:rsidP="00AA0C34">
      <w:pPr>
        <w:pStyle w:val="Heading5"/>
      </w:pPr>
      <w:bookmarkStart w:id="142" w:name="_Toc430785373"/>
      <w:r w:rsidRPr="007F32BD">
        <w:t>Major protocol violations/deviations</w:t>
      </w:r>
      <w:bookmarkEnd w:id="142"/>
    </w:p>
    <w:p w:rsidR="00A86118" w:rsidRPr="007F32BD" w:rsidRDefault="00A86118" w:rsidP="00A86118">
      <w:pPr>
        <w:autoSpaceDE w:val="0"/>
        <w:autoSpaceDN w:val="0"/>
        <w:adjustRightInd w:val="0"/>
      </w:pPr>
      <w:r w:rsidRPr="007F32BD">
        <w:t>There were no major imbalances between the treatment groups in the proportion of patients with important protocol deviations. A total of 17.5% (30</w:t>
      </w:r>
      <w:r w:rsidR="000B0709">
        <w:t xml:space="preserve"> out of </w:t>
      </w:r>
      <w:r w:rsidRPr="007F32BD">
        <w:t>171) and 21.4% (</w:t>
      </w:r>
      <w:r w:rsidR="00AA0C34">
        <w:t>37</w:t>
      </w:r>
      <w:r w:rsidR="000B0709">
        <w:t xml:space="preserve"> out of </w:t>
      </w:r>
      <w:r w:rsidR="00AA0C34">
        <w:t xml:space="preserve">174) in the pirfenidone </w:t>
      </w:r>
      <w:r w:rsidR="00001402">
        <w:t>2,403 mg</w:t>
      </w:r>
      <w:r w:rsidR="00AA0C34">
        <w:t xml:space="preserve">/day and placebo groups respectively </w:t>
      </w:r>
      <w:r w:rsidRPr="007F32BD">
        <w:t>reported an important protocol deviation, and most were related to the use of prohibited medications (16.4%</w:t>
      </w:r>
      <w:r w:rsidR="00AA0C34">
        <w:t xml:space="preserve"> in the pirfenidone treated group and</w:t>
      </w:r>
      <w:r w:rsidRPr="007F32BD">
        <w:t xml:space="preserve"> 19.7%</w:t>
      </w:r>
      <w:r w:rsidR="00AA0C34">
        <w:t xml:space="preserve"> in the placebo treated group</w:t>
      </w:r>
      <w:r w:rsidRPr="007F32BD">
        <w:t>). Sy</w:t>
      </w:r>
      <w:r w:rsidR="00AA0C34">
        <w:t xml:space="preserve">stemic corticosteroids (5.3% in the pirfenidone treated group </w:t>
      </w:r>
      <w:r w:rsidRPr="007F32BD">
        <w:t>and 11.6%</w:t>
      </w:r>
      <w:r w:rsidR="00AA0C34">
        <w:t xml:space="preserve"> in the placebo treated group</w:t>
      </w:r>
      <w:r w:rsidRPr="007F32BD">
        <w:t>) and drugs for obstructive airway disease (7.0%</w:t>
      </w:r>
      <w:r w:rsidR="00AA0C34">
        <w:t xml:space="preserve"> in the pirfenidone</w:t>
      </w:r>
      <w:r w:rsidRPr="007F32BD">
        <w:t xml:space="preserve"> and 4.0%</w:t>
      </w:r>
      <w:r w:rsidR="00AA0C34">
        <w:t xml:space="preserve"> in the placebo treated groups</w:t>
      </w:r>
      <w:r w:rsidRPr="007F32BD">
        <w:t>) were the most common categories of prohibited medications reported in the pirfenidone and placebo groups, respectively.</w:t>
      </w:r>
    </w:p>
    <w:p w:rsidR="00A86118" w:rsidRPr="007F32BD" w:rsidRDefault="00A86118" w:rsidP="00AA0C34">
      <w:pPr>
        <w:pStyle w:val="Heading5"/>
      </w:pPr>
      <w:bookmarkStart w:id="143" w:name="_Toc430785374"/>
      <w:r w:rsidRPr="007F32BD">
        <w:t>Baseline</w:t>
      </w:r>
      <w:r w:rsidRPr="00AA0C34">
        <w:rPr>
          <w:rStyle w:val="Heading5Char"/>
        </w:rPr>
        <w:t xml:space="preserve"> </w:t>
      </w:r>
      <w:r w:rsidRPr="007F32BD">
        <w:t>data</w:t>
      </w:r>
      <w:bookmarkEnd w:id="143"/>
    </w:p>
    <w:p w:rsidR="00A86118" w:rsidRPr="007F32BD" w:rsidRDefault="00A86118" w:rsidP="00A86118">
      <w:pPr>
        <w:autoSpaceDE w:val="0"/>
        <w:autoSpaceDN w:val="0"/>
        <w:adjustRightInd w:val="0"/>
      </w:pPr>
      <w:r w:rsidRPr="007F32BD">
        <w:t xml:space="preserve">Demographic characteristics were comparable between groups. Most patients were </w:t>
      </w:r>
      <w:r w:rsidR="000B0709">
        <w:t>W</w:t>
      </w:r>
      <w:r w:rsidRPr="007F32BD">
        <w:t>hite (98.8% and 98.8%), male (71.9%, 71.7%), and ≥</w:t>
      </w:r>
      <w:r>
        <w:t xml:space="preserve"> </w:t>
      </w:r>
      <w:r w:rsidRPr="007F32BD">
        <w:t>65 years of age (59.0%, 64.8%). Mean age was 66.8 years (range: 45</w:t>
      </w:r>
      <w:r w:rsidR="00AA0C34">
        <w:t xml:space="preserve"> to </w:t>
      </w:r>
      <w:r w:rsidRPr="007F32BD">
        <w:t>80</w:t>
      </w:r>
      <w:r w:rsidR="00AA0C34">
        <w:t xml:space="preserve"> years) and 67.0 years (range: 42 to </w:t>
      </w:r>
      <w:r w:rsidRPr="007F32BD">
        <w:t>80</w:t>
      </w:r>
      <w:r w:rsidR="00AA0C34">
        <w:t xml:space="preserve"> years</w:t>
      </w:r>
      <w:r w:rsidRPr="007F32BD">
        <w:t>) in pirfenidone and placebo groups, respectively. Mean weight was 95.4 and 93.2 kg for males a</w:t>
      </w:r>
      <w:r>
        <w:t>nd 76.6 and 77.5 kg for females</w:t>
      </w:r>
      <w:r w:rsidRPr="007F32BD">
        <w:t>; mean BMI was 31.1 and 30.4 kg/m</w:t>
      </w:r>
      <w:r w:rsidRPr="00AA0C34">
        <w:rPr>
          <w:vertAlign w:val="superscript"/>
        </w:rPr>
        <w:t>2</w:t>
      </w:r>
      <w:r w:rsidRPr="007F32BD">
        <w:t xml:space="preserve"> for males and 29.9 and 30.2 kg/m</w:t>
      </w:r>
      <w:r w:rsidRPr="00AA0C34">
        <w:rPr>
          <w:vertAlign w:val="superscript"/>
        </w:rPr>
        <w:t>2</w:t>
      </w:r>
      <w:r w:rsidRPr="007F32BD">
        <w:t xml:space="preserve"> for females. More than 80% were enrolled at sites in the USA. Other baseline characteristics were comparable</w:t>
      </w:r>
      <w:r w:rsidR="00AA0C34">
        <w:t>.</w:t>
      </w:r>
      <w:r w:rsidR="000B0709">
        <w:t xml:space="preserve"> </w:t>
      </w:r>
      <w:r w:rsidRPr="007F32BD">
        <w:t xml:space="preserve">The prior use of systemic corticosteroids was reported in 12.9% pirfenidone and 9.8% of placebo patients. The number of patients who used selected CYP1A2 inhibitors was higher in the pirfenidone group (15.8% </w:t>
      </w:r>
      <w:r w:rsidR="000B6AC6">
        <w:t>versus</w:t>
      </w:r>
      <w:r w:rsidRPr="007F32BD">
        <w:t>11.0%). Percent compliance per patient was 80% or more in 89% of pirfenidone pat</w:t>
      </w:r>
      <w:r w:rsidR="00AA0C34">
        <w:t>ients and 94% placebo patients.</w:t>
      </w:r>
    </w:p>
    <w:p w:rsidR="00A86118" w:rsidRPr="007F32BD" w:rsidRDefault="00A86118" w:rsidP="00AA0C34">
      <w:pPr>
        <w:pStyle w:val="Heading5"/>
      </w:pPr>
      <w:bookmarkStart w:id="144" w:name="_Toc430785375"/>
      <w:r w:rsidRPr="007F32BD">
        <w:lastRenderedPageBreak/>
        <w:t>Results for the primary efficacy outcome</w:t>
      </w:r>
      <w:bookmarkEnd w:id="144"/>
    </w:p>
    <w:p w:rsidR="00A86118" w:rsidRDefault="00A86118" w:rsidP="00A86118">
      <w:r w:rsidRPr="007F32BD">
        <w:t xml:space="preserve">The primary analysis was comparison of FVC mean change from baseline between pirfenidone </w:t>
      </w:r>
      <w:r w:rsidR="00001402">
        <w:t>2,403 mg</w:t>
      </w:r>
      <w:r w:rsidR="006A04AC">
        <w:t>/day and placebo groups.</w:t>
      </w:r>
    </w:p>
    <w:p w:rsidR="00A86118" w:rsidRPr="007F32BD" w:rsidRDefault="00AA0C34" w:rsidP="00AA0C34">
      <w:pPr>
        <w:pStyle w:val="FigureTitle"/>
      </w:pPr>
      <w:r>
        <w:t>Fig</w:t>
      </w:r>
      <w:r w:rsidR="005D2037">
        <w:t>ure</w:t>
      </w:r>
      <w:r>
        <w:t xml:space="preserve"> 2: </w:t>
      </w:r>
      <w:r w:rsidR="00A86118" w:rsidRPr="003A4240">
        <w:t>Mean change from baseline in percent predicted FVC (all randomised patients</w:t>
      </w:r>
      <w:r w:rsidR="001941F5">
        <w:t xml:space="preserve"> Study PIPF</w:t>
      </w:r>
      <w:r w:rsidR="001941F5">
        <w:noBreakHyphen/>
        <w:t>006</w:t>
      </w:r>
      <w:r w:rsidR="00A86118" w:rsidRPr="003A4240">
        <w:t>)</w:t>
      </w:r>
    </w:p>
    <w:p w:rsidR="00A86118" w:rsidRPr="007F32BD" w:rsidRDefault="00A86118" w:rsidP="00A86118">
      <w:r>
        <w:rPr>
          <w:noProof/>
          <w:lang w:eastAsia="en-AU"/>
        </w:rPr>
        <w:drawing>
          <wp:inline distT="0" distB="0" distL="0" distR="0" wp14:anchorId="158C8B47" wp14:editId="4BC7E5B3">
            <wp:extent cx="4220845" cy="2720975"/>
            <wp:effectExtent l="0" t="0" r="8255" b="3175"/>
            <wp:docPr id="9" name="Picture 9" descr="Figure 2: Mean change from baseline in percent predicted FVC (all randomised patients Study PIPF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0845" cy="2720975"/>
                    </a:xfrm>
                    <a:prstGeom prst="rect">
                      <a:avLst/>
                    </a:prstGeom>
                    <a:noFill/>
                    <a:ln>
                      <a:noFill/>
                    </a:ln>
                  </pic:spPr>
                </pic:pic>
              </a:graphicData>
            </a:graphic>
          </wp:inline>
        </w:drawing>
      </w:r>
    </w:p>
    <w:p w:rsidR="00A86118" w:rsidRPr="00AA0C34" w:rsidRDefault="00A86118" w:rsidP="00A86118">
      <w:r w:rsidRPr="007F32BD">
        <w:t>This showed no significant difference between groups at 72 weeks. Between 12 and 48 weeks there was a difference between groups for this outcome var</w:t>
      </w:r>
      <w:r>
        <w:t>iable, as shown in</w:t>
      </w:r>
      <w:r w:rsidR="00AA0C34">
        <w:t xml:space="preserve"> Table</w:t>
      </w:r>
      <w:r w:rsidR="001941F5">
        <w:t xml:space="preserve"> </w:t>
      </w:r>
      <w:r w:rsidR="00351A53">
        <w:t xml:space="preserve">11 </w:t>
      </w:r>
      <w:r w:rsidR="001941F5">
        <w:t>below.</w:t>
      </w:r>
    </w:p>
    <w:p w:rsidR="00A86118" w:rsidRPr="007F32BD" w:rsidRDefault="004223C5" w:rsidP="004223C5">
      <w:pPr>
        <w:pStyle w:val="Tabletitle"/>
      </w:pPr>
      <w:r>
        <w:t xml:space="preserve">Table </w:t>
      </w:r>
      <w:r w:rsidR="00351A53">
        <w:t>11</w:t>
      </w:r>
      <w:r>
        <w:t xml:space="preserve">. </w:t>
      </w:r>
      <w:r w:rsidR="00A86118" w:rsidRPr="007F32BD">
        <w:t>Mean change in percent predicted FVC (all randomised patients</w:t>
      </w:r>
      <w:r w:rsidR="001941F5">
        <w:t xml:space="preserve"> Study PIPF</w:t>
      </w:r>
      <w:r w:rsidR="001941F5">
        <w:noBreakHyphen/>
        <w:t>006</w:t>
      </w:r>
      <w:r w:rsidR="00A86118" w:rsidRPr="007F32BD">
        <w:t>)</w:t>
      </w:r>
    </w:p>
    <w:p w:rsidR="00A86118" w:rsidRPr="007F32BD" w:rsidRDefault="00A86118" w:rsidP="00A86118">
      <w:r>
        <w:rPr>
          <w:noProof/>
          <w:lang w:eastAsia="en-AU"/>
        </w:rPr>
        <w:drawing>
          <wp:inline distT="0" distB="0" distL="0" distR="0" wp14:anchorId="4EC3D29C" wp14:editId="49737AC5">
            <wp:extent cx="5449570" cy="2933700"/>
            <wp:effectExtent l="0" t="0" r="0" b="0"/>
            <wp:docPr id="8" name="Picture 8" descr="Table 11. Mean change in percent predicted FVC (all randomised patients Study PIPF 006)" title="Table 11. Mean change in percent predicted FVC (all randomised patients Study PIPF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lum bright="-2000"/>
                      <a:extLst>
                        <a:ext uri="{28A0092B-C50C-407E-A947-70E740481C1C}">
                          <a14:useLocalDpi xmlns:a14="http://schemas.microsoft.com/office/drawing/2010/main" val="0"/>
                        </a:ext>
                      </a:extLst>
                    </a:blip>
                    <a:srcRect/>
                    <a:stretch>
                      <a:fillRect/>
                    </a:stretch>
                  </pic:blipFill>
                  <pic:spPr bwMode="auto">
                    <a:xfrm>
                      <a:off x="0" y="0"/>
                      <a:ext cx="5449570" cy="2933700"/>
                    </a:xfrm>
                    <a:prstGeom prst="rect">
                      <a:avLst/>
                    </a:prstGeom>
                    <a:noFill/>
                    <a:ln>
                      <a:noFill/>
                    </a:ln>
                  </pic:spPr>
                </pic:pic>
              </a:graphicData>
            </a:graphic>
          </wp:inline>
        </w:drawing>
      </w:r>
    </w:p>
    <w:p w:rsidR="00A86118" w:rsidRPr="007F32BD" w:rsidRDefault="00A86118" w:rsidP="004223C5">
      <w:pPr>
        <w:pStyle w:val="Heading5"/>
      </w:pPr>
      <w:r w:rsidRPr="007F32BD">
        <w:t xml:space="preserve">Results </w:t>
      </w:r>
      <w:r w:rsidRPr="004223C5">
        <w:t>for</w:t>
      </w:r>
      <w:r w:rsidRPr="007F32BD">
        <w:t xml:space="preserve"> other efficacy outcomes</w:t>
      </w:r>
    </w:p>
    <w:p w:rsidR="00A86118" w:rsidRDefault="00A86118" w:rsidP="00A86118">
      <w:r>
        <w:t xml:space="preserve">For the categorical assessment of change in % predicted FVC, a </w:t>
      </w:r>
      <w:r w:rsidRPr="007F32BD">
        <w:t xml:space="preserve">lower proportion of patients receiving pirfenidone </w:t>
      </w:r>
      <w:r>
        <w:t xml:space="preserve">had a moderate or severe </w:t>
      </w:r>
      <w:r w:rsidRPr="007F32BD">
        <w:t>decline (</w:t>
      </w:r>
      <w:r w:rsidR="004223C5">
        <w:t>that is, a</w:t>
      </w:r>
      <w:r w:rsidRPr="007F32BD">
        <w:t xml:space="preserve"> decline of</w:t>
      </w:r>
      <w:r>
        <w:t xml:space="preserve"> </w:t>
      </w:r>
      <w:r w:rsidRPr="007F32BD">
        <w:t>≥</w:t>
      </w:r>
      <w:r>
        <w:t xml:space="preserve"> </w:t>
      </w:r>
      <w:r w:rsidRPr="007F32BD">
        <w:t>10</w:t>
      </w:r>
      <w:r>
        <w:t>%) in percent predicted FVC at week 72 (22.8%, 39</w:t>
      </w:r>
      <w:r w:rsidR="003F616D">
        <w:t xml:space="preserve"> out of </w:t>
      </w:r>
      <w:r>
        <w:t>171</w:t>
      </w:r>
      <w:r w:rsidRPr="007F32BD">
        <w:t xml:space="preserve"> </w:t>
      </w:r>
      <w:r w:rsidR="004223C5">
        <w:t>pirfenidone versus</w:t>
      </w:r>
      <w:r>
        <w:t xml:space="preserve"> </w:t>
      </w:r>
      <w:r w:rsidRPr="007F32BD">
        <w:t>26.6%, 46</w:t>
      </w:r>
      <w:r w:rsidR="003F616D">
        <w:t xml:space="preserve"> out of </w:t>
      </w:r>
      <w:r w:rsidRPr="007F32BD">
        <w:t>173</w:t>
      </w:r>
      <w:r>
        <w:t xml:space="preserve"> placebo) and a slightly higher proportion</w:t>
      </w:r>
      <w:r w:rsidRPr="007F32BD">
        <w:t xml:space="preserve"> had mild or moderate improvement</w:t>
      </w:r>
      <w:r w:rsidR="004223C5">
        <w:t xml:space="preserve"> (25.8%; 44</w:t>
      </w:r>
      <w:r w:rsidR="003F616D">
        <w:t xml:space="preserve"> out of </w:t>
      </w:r>
      <w:r w:rsidR="004223C5">
        <w:t>171 versus</w:t>
      </w:r>
      <w:r w:rsidRPr="007F32BD">
        <w:t xml:space="preserve"> 22.0%, 38</w:t>
      </w:r>
      <w:r w:rsidR="003F616D">
        <w:t xml:space="preserve"> out of </w:t>
      </w:r>
      <w:r w:rsidRPr="007F32BD">
        <w:t>173)</w:t>
      </w:r>
      <w:r>
        <w:t>, but differences were not statistically significant</w:t>
      </w:r>
      <w:r w:rsidRPr="007F32BD">
        <w:t>.</w:t>
      </w:r>
    </w:p>
    <w:p w:rsidR="00A86118" w:rsidRPr="004F0705" w:rsidRDefault="00A86118" w:rsidP="00A86118">
      <w:r>
        <w:lastRenderedPageBreak/>
        <w:t xml:space="preserve">There were </w:t>
      </w:r>
      <w:r w:rsidR="004223C5">
        <w:t>similar progression</w:t>
      </w:r>
      <w:r w:rsidR="003F616D">
        <w:t xml:space="preserve"> </w:t>
      </w:r>
      <w:r w:rsidRPr="007F32BD">
        <w:t>free su</w:t>
      </w:r>
      <w:r w:rsidR="004223C5">
        <w:t>rvival rates (68.2%, 116</w:t>
      </w:r>
      <w:r w:rsidR="003F616D">
        <w:t xml:space="preserve"> out of </w:t>
      </w:r>
      <w:r w:rsidR="004223C5">
        <w:t>170 versus</w:t>
      </w:r>
      <w:r w:rsidRPr="007F32BD">
        <w:t xml:space="preserve"> 65.1%, 112</w:t>
      </w:r>
      <w:r w:rsidR="003F616D">
        <w:t xml:space="preserve"> out of </w:t>
      </w:r>
      <w:r w:rsidRPr="007F32BD">
        <w:t>172 for pirfen</w:t>
      </w:r>
      <w:r w:rsidR="004223C5">
        <w:t>idone or placebo respectively).</w:t>
      </w:r>
    </w:p>
    <w:p w:rsidR="00A86118" w:rsidRDefault="00A86118" w:rsidP="00A86118">
      <w:r w:rsidRPr="004F0705">
        <w:t>The 6 MWT distance result was somewhat better for pirfenidone in this study</w:t>
      </w:r>
      <w:r w:rsidR="004223C5">
        <w:t xml:space="preserve"> (in comparison with PIPF</w:t>
      </w:r>
      <w:r w:rsidR="004223C5">
        <w:noBreakHyphen/>
        <w:t>004)</w:t>
      </w:r>
      <w:r w:rsidRPr="004F0705">
        <w:t xml:space="preserve"> as</w:t>
      </w:r>
      <w:r w:rsidR="001941F5">
        <w:t xml:space="preserve"> seen in Figure 3</w:t>
      </w:r>
      <w:r w:rsidR="004223C5">
        <w:t xml:space="preserve"> below</w:t>
      </w:r>
      <w:r w:rsidR="003F616D">
        <w:t>.</w:t>
      </w:r>
    </w:p>
    <w:p w:rsidR="004223C5" w:rsidRPr="007F32BD" w:rsidRDefault="004223C5" w:rsidP="004223C5">
      <w:pPr>
        <w:pStyle w:val="FigureTitle"/>
      </w:pPr>
      <w:r>
        <w:t>Fig</w:t>
      </w:r>
      <w:r w:rsidR="00583EB3">
        <w:t>ure</w:t>
      </w:r>
      <w:r>
        <w:t xml:space="preserve"> 3: Change from Baseline to Week 72 in Distance Walked (metres) using the 6MWT.</w:t>
      </w:r>
    </w:p>
    <w:p w:rsidR="00A86118" w:rsidRDefault="00A86118" w:rsidP="00380800">
      <w:r>
        <w:rPr>
          <w:noProof/>
          <w:lang w:eastAsia="en-AU"/>
        </w:rPr>
        <w:drawing>
          <wp:inline distT="0" distB="0" distL="0" distR="0" wp14:anchorId="6E39B812" wp14:editId="375788F2">
            <wp:extent cx="5756910" cy="3569970"/>
            <wp:effectExtent l="0" t="0" r="0" b="0"/>
            <wp:docPr id="7" name="Picture 7" descr="Figure 3: Change from Baseline to Week 72 in Distance Walked (metres) using the 6M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3569970"/>
                    </a:xfrm>
                    <a:prstGeom prst="rect">
                      <a:avLst/>
                    </a:prstGeom>
                    <a:noFill/>
                    <a:ln>
                      <a:noFill/>
                    </a:ln>
                  </pic:spPr>
                </pic:pic>
              </a:graphicData>
            </a:graphic>
          </wp:inline>
        </w:drawing>
      </w:r>
    </w:p>
    <w:p w:rsidR="00A16DEB" w:rsidRPr="00A16DEB" w:rsidRDefault="00A16DEB" w:rsidP="00A16DEB">
      <w:pPr>
        <w:pStyle w:val="Heading4"/>
      </w:pPr>
      <w:bookmarkStart w:id="145" w:name="_Toc430785376"/>
      <w:r>
        <w:t>Study PIPF</w:t>
      </w:r>
      <w:r>
        <w:noBreakHyphen/>
      </w:r>
      <w:r w:rsidRPr="00A16DEB">
        <w:t>016</w:t>
      </w:r>
      <w:bookmarkEnd w:id="145"/>
    </w:p>
    <w:p w:rsidR="00A16DEB" w:rsidRPr="007F32BD" w:rsidRDefault="00A16DEB" w:rsidP="00A16DEB">
      <w:r w:rsidRPr="007F32BD">
        <w:t>This ‘confirmator</w:t>
      </w:r>
      <w:r>
        <w:t>y’ efficacy and safety study was</w:t>
      </w:r>
      <w:r w:rsidRPr="007F32BD">
        <w:t xml:space="preserve"> submitted to the FDA following initial rejection of the application for approval of pirfenidone in IPF</w:t>
      </w:r>
      <w:r>
        <w:t>, and published in 2014.</w:t>
      </w:r>
      <w:r>
        <w:rPr>
          <w:rStyle w:val="FootnoteReference"/>
        </w:rPr>
        <w:footnoteReference w:id="11"/>
      </w:r>
      <w:r w:rsidRPr="007F32BD">
        <w:t xml:space="preserve"> </w:t>
      </w:r>
      <w:r>
        <w:t>This study</w:t>
      </w:r>
      <w:r w:rsidRPr="007F32BD">
        <w:t xml:space="preserve"> was not included in the </w:t>
      </w:r>
      <w:r>
        <w:t xml:space="preserve">initial </w:t>
      </w:r>
      <w:r w:rsidRPr="007F32BD">
        <w:t>CHMP</w:t>
      </w:r>
      <w:r>
        <w:t xml:space="preserve"> Review provided by the s</w:t>
      </w:r>
      <w:r w:rsidRPr="007F32BD">
        <w:t>ponsor because the EMA had already approved pirfenidone</w:t>
      </w:r>
      <w:r>
        <w:t xml:space="preserve"> subject to post</w:t>
      </w:r>
      <w:r>
        <w:noBreakHyphen/>
      </w:r>
      <w:r w:rsidRPr="007F32BD">
        <w:t>market study requirements</w:t>
      </w:r>
      <w:r>
        <w:t>; however it was evaluated for subsequent inclusion into the Summary of Product Characteristics (SPC)</w:t>
      </w:r>
      <w:r w:rsidRPr="007F32BD">
        <w:t xml:space="preserve">. Compared to </w:t>
      </w:r>
      <w:r w:rsidR="00CF2613">
        <w:t xml:space="preserve">Study </w:t>
      </w:r>
      <w:r w:rsidRPr="007F32BD">
        <w:t xml:space="preserve">PIPF-004 and </w:t>
      </w:r>
      <w:r w:rsidR="00CF2613">
        <w:t xml:space="preserve">Study </w:t>
      </w:r>
      <w:r w:rsidRPr="007F32BD">
        <w:t>PIPF-006 there were some modifications to eligibility,</w:t>
      </w:r>
      <w:r w:rsidR="00CF2613">
        <w:t xml:space="preserve"> methodology and analyses</w:t>
      </w:r>
      <w:r w:rsidR="003F616D">
        <w:t>.</w:t>
      </w:r>
    </w:p>
    <w:p w:rsidR="00A16DEB" w:rsidRPr="007F32BD" w:rsidRDefault="00A16DEB" w:rsidP="00CF2613">
      <w:pPr>
        <w:pStyle w:val="Heading5"/>
      </w:pPr>
      <w:bookmarkStart w:id="146" w:name="_Toc430785377"/>
      <w:r w:rsidRPr="007F32BD">
        <w:t>Study design, objectives, locations and dates</w:t>
      </w:r>
      <w:bookmarkEnd w:id="146"/>
    </w:p>
    <w:p w:rsidR="00A16DEB" w:rsidRDefault="00A16DEB" w:rsidP="00A16DEB">
      <w:r w:rsidRPr="007F32BD">
        <w:t>PIPF-016 was a randomised double blind placebo</w:t>
      </w:r>
      <w:r w:rsidR="003F616D">
        <w:t xml:space="preserve"> </w:t>
      </w:r>
      <w:r w:rsidRPr="007F32BD">
        <w:t>controlled multinational study to evaluate efficacy and safety of pirfenidone in patients with IPF</w:t>
      </w:r>
      <w:r>
        <w:t xml:space="preserve"> over 52 weeks</w:t>
      </w:r>
      <w:r w:rsidR="00CF2613">
        <w:t xml:space="preserve">. </w:t>
      </w:r>
      <w:r w:rsidRPr="007F32BD">
        <w:t xml:space="preserve">It was conducted in 127 sites in the USA, Australia, Brazil, Croatia, Israel, Mexico, New Zealand, Peru </w:t>
      </w:r>
      <w:r>
        <w:t>and Singapore between June 2011</w:t>
      </w:r>
      <w:r w:rsidRPr="007F32BD">
        <w:t xml:space="preserve"> and February 2014.</w:t>
      </w:r>
    </w:p>
    <w:p w:rsidR="00A16DEB" w:rsidRPr="007F32BD" w:rsidRDefault="001941F5" w:rsidP="00CF2613">
      <w:pPr>
        <w:pStyle w:val="FigureTitle"/>
      </w:pPr>
      <w:r>
        <w:lastRenderedPageBreak/>
        <w:t>Figure</w:t>
      </w:r>
      <w:r w:rsidR="00CF2613">
        <w:t xml:space="preserve"> 4: </w:t>
      </w:r>
      <w:r>
        <w:t>Flowchart for the timeline</w:t>
      </w:r>
      <w:r w:rsidR="00CF2613">
        <w:t xml:space="preserve"> of Study PIPF</w:t>
      </w:r>
      <w:r w:rsidR="00CF2613">
        <w:noBreakHyphen/>
        <w:t>016</w:t>
      </w:r>
      <w:r w:rsidR="00CF2613">
        <w:rPr>
          <w:noProof/>
          <w:lang w:eastAsia="en-AU"/>
        </w:rPr>
        <w:drawing>
          <wp:inline distT="0" distB="0" distL="0" distR="0" wp14:anchorId="342D6FE0" wp14:editId="4E29B48C">
            <wp:extent cx="5106035" cy="2385060"/>
            <wp:effectExtent l="0" t="0" r="0" b="0"/>
            <wp:docPr id="14" name="Picture 14" descr="Figure 4: Timeline of Study PIPF 016. 1) Patients signed informed consent forms (day -85 before study started) 2) Patients underwent a washout period from day -85 to day -57 3) Screening took place from day -56 to day -2 4) Randomisation started on Day 1, to either Pirfenidone or Placebo. Those taking pirfenidone underwent dose escalation until day 15, and both groups recieved randomised intervention up until Week 52 (end of treatment. 6) Final follow up occured 28 to 35 days after last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6035" cy="2385060"/>
                    </a:xfrm>
                    <a:prstGeom prst="rect">
                      <a:avLst/>
                    </a:prstGeom>
                    <a:noFill/>
                    <a:ln>
                      <a:noFill/>
                    </a:ln>
                  </pic:spPr>
                </pic:pic>
              </a:graphicData>
            </a:graphic>
          </wp:inline>
        </w:drawing>
      </w:r>
    </w:p>
    <w:p w:rsidR="00A16DEB" w:rsidRPr="007F32BD" w:rsidRDefault="00A16DEB" w:rsidP="00A16DEB">
      <w:r w:rsidRPr="007F32BD">
        <w:t>IPF patients were randomised</w:t>
      </w:r>
      <w:r w:rsidR="00CF2613">
        <w:t xml:space="preserve"> in a ratio of</w:t>
      </w:r>
      <w:r w:rsidRPr="007F32BD">
        <w:t xml:space="preserve"> 1:</w:t>
      </w:r>
      <w:r w:rsidR="00EC278F">
        <w:t xml:space="preserve"> </w:t>
      </w:r>
      <w:r w:rsidRPr="007F32BD">
        <w:t xml:space="preserve">1 to either pirfenidone </w:t>
      </w:r>
      <w:r w:rsidR="00001402">
        <w:t>2,403 mg</w:t>
      </w:r>
      <w:r w:rsidRPr="007F32BD">
        <w:t xml:space="preserve"> /day (n = 278) or matching placebo (n = 277) treatment for 52 weeks, with dose escalation over the first 14 days. An extension </w:t>
      </w:r>
      <w:r w:rsidR="00CF2613">
        <w:t>S</w:t>
      </w:r>
      <w:r w:rsidRPr="007F32BD">
        <w:t xml:space="preserve">tudy PIPF-012 was planned for eligible patients after the </w:t>
      </w:r>
      <w:r w:rsidR="001941F5">
        <w:t>W</w:t>
      </w:r>
      <w:r w:rsidRPr="007F32BD">
        <w:t xml:space="preserve">eek 52 visit. There was a </w:t>
      </w:r>
      <w:r w:rsidR="00EC278F">
        <w:t>data monitoring committee (</w:t>
      </w:r>
      <w:r w:rsidR="007C37EF">
        <w:t>DMC</w:t>
      </w:r>
      <w:r w:rsidR="00EC278F">
        <w:t>)</w:t>
      </w:r>
      <w:r w:rsidRPr="007F32BD">
        <w:t xml:space="preserve"> for interim safety monitoring.</w:t>
      </w:r>
    </w:p>
    <w:p w:rsidR="00A16DEB" w:rsidRPr="007F32BD" w:rsidRDefault="00A16DEB" w:rsidP="00CF2613">
      <w:pPr>
        <w:pStyle w:val="Heading5"/>
      </w:pPr>
      <w:bookmarkStart w:id="147" w:name="_Toc430785378"/>
      <w:r w:rsidRPr="007F32BD">
        <w:t>Inclusion and exclusion criteria</w:t>
      </w:r>
      <w:bookmarkEnd w:id="147"/>
    </w:p>
    <w:p w:rsidR="00CF2613" w:rsidRDefault="00A16DEB" w:rsidP="00CF2613">
      <w:r w:rsidRPr="007F32BD">
        <w:t>Eligible m</w:t>
      </w:r>
      <w:r w:rsidR="00CF2613">
        <w:t xml:space="preserve">ale and female patients aged 40 to </w:t>
      </w:r>
      <w:r w:rsidRPr="007F32BD">
        <w:t>80 years must have had a confident diagnosis of IPF on clinical or radiologic data without evidence or suspicion of an alternative diagnosis</w:t>
      </w:r>
      <w:r>
        <w:t xml:space="preserve"> and </w:t>
      </w:r>
      <w:r w:rsidR="00CF2613">
        <w:t xml:space="preserve">an </w:t>
      </w:r>
      <w:r>
        <w:t>IPF diagnosis at least 6 months before randomisation</w:t>
      </w:r>
      <w:r w:rsidRPr="007F32BD">
        <w:rPr>
          <w:i/>
        </w:rPr>
        <w:t xml:space="preserve">. </w:t>
      </w:r>
      <w:r w:rsidRPr="004A5DEB">
        <w:t xml:space="preserve">The criteria for disease severity and progression were confirmed by central review. </w:t>
      </w:r>
      <w:r w:rsidRPr="007F32BD">
        <w:t xml:space="preserve">The eligibility criteria included patients with a greater risk of disease progression compared to PIPF-004 and </w:t>
      </w:r>
      <w:r>
        <w:t>PIPF</w:t>
      </w:r>
      <w:r w:rsidRPr="007F32BD">
        <w:t>-006</w:t>
      </w:r>
      <w:bookmarkStart w:id="148" w:name="_Toc430785379"/>
      <w:r w:rsidR="00CF2613">
        <w:t>.</w:t>
      </w:r>
    </w:p>
    <w:p w:rsidR="00A16DEB" w:rsidRPr="007F32BD" w:rsidRDefault="00A16DEB" w:rsidP="00CF2613">
      <w:pPr>
        <w:pStyle w:val="Heading5"/>
      </w:pPr>
      <w:r w:rsidRPr="007F32BD">
        <w:t>Study treatments</w:t>
      </w:r>
      <w:bookmarkEnd w:id="148"/>
    </w:p>
    <w:p w:rsidR="00EC278F" w:rsidRDefault="00EC278F" w:rsidP="00A16DEB">
      <w:r>
        <w:t xml:space="preserve">Test group: </w:t>
      </w:r>
      <w:r w:rsidR="00A16DEB" w:rsidRPr="00D32A50">
        <w:t>Opaque hard white</w:t>
      </w:r>
      <w:r w:rsidR="00A16DEB" w:rsidRPr="007F32BD">
        <w:t xml:space="preserve"> gelatin capsules; </w:t>
      </w:r>
      <w:r w:rsidR="00001402">
        <w:t>2,403 mg</w:t>
      </w:r>
      <w:r w:rsidR="00A16DEB" w:rsidRPr="007F32BD">
        <w:t>/day of pirfenidone administered orall</w:t>
      </w:r>
      <w:r w:rsidR="00A16DEB">
        <w:t xml:space="preserve">y in 3 divided doses (three 267 </w:t>
      </w:r>
      <w:r w:rsidR="00A16DEB" w:rsidRPr="007F32BD">
        <w:t xml:space="preserve">mg capsules </w:t>
      </w:r>
      <w:r>
        <w:t>3 times per day</w:t>
      </w:r>
      <w:r w:rsidR="00A16DEB" w:rsidRPr="007F32BD">
        <w:t xml:space="preserve"> for a total of 9 capsules per day) with food.</w:t>
      </w:r>
      <w:r w:rsidR="00CF2613">
        <w:t xml:space="preserve"> </w:t>
      </w:r>
    </w:p>
    <w:p w:rsidR="00A16DEB" w:rsidRPr="007F32BD" w:rsidRDefault="00EC278F" w:rsidP="00A16DEB">
      <w:r>
        <w:t xml:space="preserve">Reference Group: </w:t>
      </w:r>
      <w:r w:rsidR="00A16DEB" w:rsidRPr="007F32BD">
        <w:t>matching</w:t>
      </w:r>
      <w:r w:rsidR="00A16DEB" w:rsidRPr="007F32BD">
        <w:rPr>
          <w:b/>
        </w:rPr>
        <w:t xml:space="preserve"> </w:t>
      </w:r>
      <w:r w:rsidR="00A16DEB" w:rsidRPr="007F32BD">
        <w:t>white gelatin</w:t>
      </w:r>
      <w:r w:rsidR="00A16DEB" w:rsidRPr="007F32BD">
        <w:rPr>
          <w:b/>
        </w:rPr>
        <w:t xml:space="preserve"> </w:t>
      </w:r>
      <w:r w:rsidR="00A16DEB" w:rsidRPr="007F32BD">
        <w:t xml:space="preserve">placebo capsules administered orally in 3 divided doses (3 placebo capsules </w:t>
      </w:r>
      <w:r w:rsidRPr="00EC278F">
        <w:t>3 times per day</w:t>
      </w:r>
      <w:r w:rsidR="00A16DEB" w:rsidRPr="007F32BD">
        <w:t xml:space="preserve"> for a total of 9 capsules per day) with food.</w:t>
      </w:r>
    </w:p>
    <w:p w:rsidR="00A16DEB" w:rsidRPr="007F32BD" w:rsidRDefault="00A16DEB" w:rsidP="00A16DEB">
      <w:r w:rsidRPr="007F32BD">
        <w:t xml:space="preserve">Study treatments were escalated over the first 14 days as for </w:t>
      </w:r>
      <w:r w:rsidR="00CF2613">
        <w:t xml:space="preserve">Study </w:t>
      </w:r>
      <w:r w:rsidRPr="007F32BD">
        <w:t>PIPF</w:t>
      </w:r>
      <w:r w:rsidR="00CF2613">
        <w:noBreakHyphen/>
      </w:r>
      <w:r w:rsidRPr="007F32BD">
        <w:t xml:space="preserve">004 and </w:t>
      </w:r>
      <w:r w:rsidR="00CF2613">
        <w:t>Study PIPF</w:t>
      </w:r>
      <w:r w:rsidR="00EC278F">
        <w:noBreakHyphen/>
      </w:r>
      <w:r w:rsidRPr="007F32BD">
        <w:t>006:</w:t>
      </w:r>
      <w:r w:rsidR="00CF2613">
        <w:t xml:space="preserve"> </w:t>
      </w:r>
      <w:r w:rsidRPr="007F32BD">
        <w:t xml:space="preserve">1 capsule </w:t>
      </w:r>
      <w:r w:rsidR="00EC278F">
        <w:t xml:space="preserve">3 x daily </w:t>
      </w:r>
      <w:r w:rsidR="001941F5">
        <w:t>for D</w:t>
      </w:r>
      <w:r w:rsidR="00CF2613">
        <w:t>ays 1</w:t>
      </w:r>
      <w:r w:rsidR="00EC278F">
        <w:t xml:space="preserve"> to </w:t>
      </w:r>
      <w:r w:rsidR="00CF2613">
        <w:t xml:space="preserve">7; 2 capsules </w:t>
      </w:r>
      <w:r w:rsidR="00EC278F" w:rsidRPr="00EC278F">
        <w:t>3 x daily</w:t>
      </w:r>
      <w:r w:rsidR="00CF2613">
        <w:t xml:space="preserve"> for</w:t>
      </w:r>
      <w:r w:rsidRPr="007F32BD">
        <w:t xml:space="preserve"> </w:t>
      </w:r>
      <w:r w:rsidR="001941F5">
        <w:t>D</w:t>
      </w:r>
      <w:r w:rsidRPr="007F32BD">
        <w:t>ays 8</w:t>
      </w:r>
      <w:r w:rsidR="00EC278F">
        <w:t xml:space="preserve"> to </w:t>
      </w:r>
      <w:r w:rsidRPr="007F32BD">
        <w:t>14; 3</w:t>
      </w:r>
      <w:r w:rsidR="00CF2613">
        <w:t xml:space="preserve"> capsules </w:t>
      </w:r>
      <w:r w:rsidR="00EC278F" w:rsidRPr="00EC278F">
        <w:t>3 x daily</w:t>
      </w:r>
      <w:r w:rsidR="001941F5">
        <w:t xml:space="preserve"> from D</w:t>
      </w:r>
      <w:r w:rsidRPr="007F32BD">
        <w:t>ay 15. Patients were to protect themselves from sunlight exposure and there were recommended p</w:t>
      </w:r>
      <w:r>
        <w:t>rocedures for dose modificat</w:t>
      </w:r>
      <w:r w:rsidR="00CF2613">
        <w:t xml:space="preserve">ion, in particular for </w:t>
      </w:r>
      <w:r w:rsidR="00EC278F">
        <w:t>elevated</w:t>
      </w:r>
      <w:r w:rsidR="00CF2613">
        <w:t xml:space="preserve"> </w:t>
      </w:r>
      <w:r>
        <w:t>LFTs.</w:t>
      </w:r>
    </w:p>
    <w:p w:rsidR="00A16DEB" w:rsidRPr="007F32BD" w:rsidRDefault="00A16DEB" w:rsidP="00A16DEB">
      <w:r w:rsidRPr="007F32BD">
        <w:t>Corticosteroids were used at the discretion of the investigator, without dose restriction, for up to</w:t>
      </w:r>
      <w:r w:rsidR="00CF2613">
        <w:t xml:space="preserve"> </w:t>
      </w:r>
      <w:r w:rsidRPr="007F32BD">
        <w:t>21 days in patients experiencing acute IPF exacerbation. The study drug was continued during this time if possible.</w:t>
      </w:r>
    </w:p>
    <w:p w:rsidR="00A16DEB" w:rsidRPr="007F32BD" w:rsidRDefault="00A16DEB" w:rsidP="00CF2613">
      <w:pPr>
        <w:pStyle w:val="Heading5"/>
      </w:pPr>
      <w:bookmarkStart w:id="149" w:name="_Toc430785380"/>
      <w:r w:rsidRPr="007F32BD">
        <w:t>Efficacy variables and outcomes</w:t>
      </w:r>
      <w:bookmarkEnd w:id="149"/>
    </w:p>
    <w:p w:rsidR="00A16DEB" w:rsidRPr="007F32BD" w:rsidRDefault="00A16DEB" w:rsidP="00A16DEB">
      <w:r w:rsidRPr="007F32BD">
        <w:t>The primary measure of lung function was FVC. Study measurements and assessments included spirometry for FVC and FEV1, D</w:t>
      </w:r>
      <w:r w:rsidRPr="000E7CA2">
        <w:t>L</w:t>
      </w:r>
      <w:r w:rsidRPr="007F32BD">
        <w:rPr>
          <w:vertAlign w:val="subscript"/>
        </w:rPr>
        <w:t>CO</w:t>
      </w:r>
      <w:r w:rsidRPr="007F32BD">
        <w:t>, 6MWT, UCSD</w:t>
      </w:r>
      <w:r w:rsidR="00CF2613">
        <w:t xml:space="preserve"> </w:t>
      </w:r>
      <w:r w:rsidRPr="007F32BD">
        <w:t>SOBQ.</w:t>
      </w:r>
      <w:r w:rsidR="00343D13">
        <w:rPr>
          <w:rStyle w:val="FootnoteReference"/>
        </w:rPr>
        <w:footnoteReference w:id="12"/>
      </w:r>
    </w:p>
    <w:p w:rsidR="00A16DEB" w:rsidRPr="007F32BD" w:rsidRDefault="00A16DEB" w:rsidP="00A16DEB">
      <w:r w:rsidRPr="007F32BD">
        <w:t xml:space="preserve">The primary efficacy outcome was the change in % predicted FVC from </w:t>
      </w:r>
      <w:r w:rsidR="00343D13">
        <w:t>B</w:t>
      </w:r>
      <w:r w:rsidRPr="007F32BD">
        <w:t xml:space="preserve">aseline to </w:t>
      </w:r>
      <w:r w:rsidR="00343D13">
        <w:t>W</w:t>
      </w:r>
      <w:r w:rsidRPr="007F32BD">
        <w:t>eek 52.</w:t>
      </w:r>
    </w:p>
    <w:p w:rsidR="00A16DEB" w:rsidRDefault="00A16DEB" w:rsidP="00A16DEB">
      <w:r w:rsidRPr="00D32A50">
        <w:lastRenderedPageBreak/>
        <w:t>In this study, presentation was by categorical assessment of change in % predicted FVC.</w:t>
      </w:r>
    </w:p>
    <w:p w:rsidR="00A16DEB" w:rsidRPr="007F32BD" w:rsidRDefault="00A16DEB" w:rsidP="00A16DEB">
      <w:r w:rsidRPr="007F32BD">
        <w:t>Two key secondary efficacy endpoints were</w:t>
      </w:r>
      <w:r>
        <w:t xml:space="preserve"> different to PIPF-004 and PIPF-006:</w:t>
      </w:r>
    </w:p>
    <w:p w:rsidR="00A16DEB" w:rsidRPr="007F32BD" w:rsidRDefault="00343D13" w:rsidP="00343D13">
      <w:pPr>
        <w:pStyle w:val="ListBullet"/>
      </w:pPr>
      <w:r>
        <w:t>C</w:t>
      </w:r>
      <w:r w:rsidR="00A16DEB" w:rsidRPr="007F32BD">
        <w:t xml:space="preserve">hange in 6 MWT distance from baseline to </w:t>
      </w:r>
      <w:r>
        <w:t>W</w:t>
      </w:r>
      <w:r w:rsidR="00A16DEB" w:rsidRPr="007F32BD">
        <w:t>eek 52</w:t>
      </w:r>
    </w:p>
    <w:p w:rsidR="00A16DEB" w:rsidRDefault="00343D13" w:rsidP="00A16DEB">
      <w:pPr>
        <w:pStyle w:val="ListBullet"/>
      </w:pPr>
      <w:r>
        <w:t>P</w:t>
      </w:r>
      <w:r w:rsidR="00A16DEB" w:rsidRPr="007F32BD">
        <w:t>rogression free survival defined as time to first occurrence of any of the following; death, confirmed</w:t>
      </w:r>
      <w:r w:rsidR="00A16DEB">
        <w:t xml:space="preserve"> </w:t>
      </w:r>
      <w:r w:rsidR="00A16DEB" w:rsidRPr="007F32BD">
        <w:t>≥</w:t>
      </w:r>
      <w:r w:rsidR="00A16DEB">
        <w:t xml:space="preserve"> </w:t>
      </w:r>
      <w:r w:rsidR="00A16DEB" w:rsidRPr="007F32BD">
        <w:t>10% absolute decline from baseline in % predicted FVC, or confirmed ≥</w:t>
      </w:r>
      <w:r w:rsidR="001941F5">
        <w:t xml:space="preserve"> </w:t>
      </w:r>
      <w:r>
        <w:t>50 </w:t>
      </w:r>
      <w:r w:rsidR="00A16DEB" w:rsidRPr="007F32BD">
        <w:t>m decline from baseline in 6MWT distance</w:t>
      </w:r>
      <w:r>
        <w:t>.</w:t>
      </w:r>
    </w:p>
    <w:p w:rsidR="00A16DEB" w:rsidRDefault="00A16DEB" w:rsidP="00A16DEB">
      <w:r w:rsidRPr="007F32BD">
        <w:t>Additional secondary outcomes were</w:t>
      </w:r>
      <w:r w:rsidR="00EC278F">
        <w:t>:</w:t>
      </w:r>
    </w:p>
    <w:p w:rsidR="00A16DEB" w:rsidRDefault="00343D13" w:rsidP="00343D13">
      <w:pPr>
        <w:pStyle w:val="ListBullet"/>
      </w:pPr>
      <w:r>
        <w:t>C</w:t>
      </w:r>
      <w:r w:rsidR="00A16DEB" w:rsidRPr="007F32BD">
        <w:t>hange in dyspnoea</w:t>
      </w:r>
      <w:r w:rsidR="00A16DEB">
        <w:t xml:space="preserve"> measured by UCSD</w:t>
      </w:r>
      <w:r>
        <w:t xml:space="preserve"> SOBQ score from baseline to W</w:t>
      </w:r>
      <w:r w:rsidR="00A16DEB">
        <w:t>eek 52</w:t>
      </w:r>
    </w:p>
    <w:p w:rsidR="00A16DEB" w:rsidRPr="007F32BD" w:rsidRDefault="00343D13" w:rsidP="00A16DEB">
      <w:pPr>
        <w:pStyle w:val="ListBullet"/>
      </w:pPr>
      <w:r>
        <w:t>M</w:t>
      </w:r>
      <w:r w:rsidR="00A16DEB" w:rsidRPr="007F32BD">
        <w:t>ortality including all</w:t>
      </w:r>
      <w:r w:rsidR="00EC278F">
        <w:t xml:space="preserve"> </w:t>
      </w:r>
      <w:r w:rsidR="00A16DEB" w:rsidRPr="007F32BD">
        <w:t>cause and</w:t>
      </w:r>
      <w:r>
        <w:t xml:space="preserve"> treatment</w:t>
      </w:r>
      <w:r w:rsidR="00EC278F">
        <w:t xml:space="preserve"> </w:t>
      </w:r>
      <w:r>
        <w:t xml:space="preserve">emergent IPF </w:t>
      </w:r>
      <w:r w:rsidR="00A16DEB" w:rsidRPr="007F32BD">
        <w:t>related mortality.</w:t>
      </w:r>
    </w:p>
    <w:p w:rsidR="00A16DEB" w:rsidRPr="007F32BD" w:rsidRDefault="00A16DEB" w:rsidP="00343D13">
      <w:pPr>
        <w:pStyle w:val="Heading5"/>
      </w:pPr>
      <w:bookmarkStart w:id="150" w:name="_Toc430785381"/>
      <w:r w:rsidRPr="007F32BD">
        <w:t>Randomisation and blinding</w:t>
      </w:r>
      <w:bookmarkEnd w:id="150"/>
    </w:p>
    <w:p w:rsidR="00A16DEB" w:rsidRPr="007F32BD" w:rsidRDefault="00A16DEB" w:rsidP="00A16DEB">
      <w:r w:rsidRPr="007F32BD">
        <w:t>Randomisation was by automated system using permuted block randomisation codes generated independently without stratification. Patients and study personnel/investigators were blinded and treatments were visually indistinguishable. Unblinded safety data were monitored independently for the DMC.</w:t>
      </w:r>
    </w:p>
    <w:p w:rsidR="00A16DEB" w:rsidRPr="007F32BD" w:rsidRDefault="00A16DEB" w:rsidP="00343D13">
      <w:pPr>
        <w:pStyle w:val="Heading5"/>
      </w:pPr>
      <w:bookmarkStart w:id="151" w:name="_Toc430785382"/>
      <w:r w:rsidRPr="007F32BD">
        <w:t>Analysis populations</w:t>
      </w:r>
      <w:bookmarkEnd w:id="151"/>
    </w:p>
    <w:p w:rsidR="00A16DEB" w:rsidRPr="007F32BD" w:rsidRDefault="00A16DEB" w:rsidP="00A16DEB">
      <w:r w:rsidRPr="007F32BD">
        <w:t>The efficacy analysis population is the ITT population consisting of all patients who signed in</w:t>
      </w:r>
      <w:r>
        <w:t>formed consent and were randomis</w:t>
      </w:r>
      <w:r w:rsidRPr="007F32BD">
        <w:t>ed to study treatment.</w:t>
      </w:r>
    </w:p>
    <w:p w:rsidR="00A16DEB" w:rsidRPr="007F32BD" w:rsidRDefault="00A16DEB" w:rsidP="00343D13">
      <w:pPr>
        <w:pStyle w:val="Heading5"/>
      </w:pPr>
      <w:bookmarkStart w:id="152" w:name="_Toc430785383"/>
      <w:r w:rsidRPr="007F32BD">
        <w:t>Sample size</w:t>
      </w:r>
      <w:bookmarkEnd w:id="152"/>
    </w:p>
    <w:p w:rsidR="00A16DEB" w:rsidRPr="007F32BD" w:rsidRDefault="00A16DEB" w:rsidP="00A16DEB">
      <w:r w:rsidRPr="007F32BD">
        <w:t>Sample size estimates were based on th</w:t>
      </w:r>
      <w:r w:rsidR="00343D13">
        <w:t>e pooled data analysis of Studies PIPF</w:t>
      </w:r>
      <w:r w:rsidR="00343D13">
        <w:noBreakHyphen/>
      </w:r>
      <w:r w:rsidRPr="007F32BD">
        <w:t>004/006. For the primary efficacy comparison 250 patients per group provided at least 90% power to detect a difference in normalized ranks of 0.08, with a standard deviation of 0.27.</w:t>
      </w:r>
    </w:p>
    <w:p w:rsidR="00A16DEB" w:rsidRPr="007F32BD" w:rsidRDefault="00A16DEB" w:rsidP="00343D13">
      <w:pPr>
        <w:pStyle w:val="Heading5"/>
      </w:pPr>
      <w:bookmarkStart w:id="153" w:name="_Toc430785384"/>
      <w:r w:rsidRPr="007F32BD">
        <w:t>Statistical methods</w:t>
      </w:r>
      <w:bookmarkEnd w:id="153"/>
    </w:p>
    <w:p w:rsidR="00A16DEB" w:rsidRPr="007F32BD" w:rsidRDefault="00A16DEB" w:rsidP="00A16DEB">
      <w:r w:rsidRPr="007F32BD">
        <w:t xml:space="preserve">The change in </w:t>
      </w:r>
      <w:r w:rsidR="00343D13">
        <w:t>percent</w:t>
      </w:r>
      <w:r w:rsidRPr="007F32BD">
        <w:t xml:space="preserve"> predicted FVC fro</w:t>
      </w:r>
      <w:r w:rsidR="00343D13">
        <w:t>m Baseline to W</w:t>
      </w:r>
      <w:r w:rsidRPr="007F32BD">
        <w:t xml:space="preserve">eek 52 was analysed using a fixed effect rank ANCOVA comparing pirfenidone and placebo in the ITT population, with ranked baseline </w:t>
      </w:r>
      <w:r w:rsidR="00343D13">
        <w:t>percent</w:t>
      </w:r>
      <w:r w:rsidRPr="007F32BD">
        <w:t xml:space="preserve"> predicted FVC value as a covariate</w:t>
      </w:r>
      <w:r w:rsidR="00343D13">
        <w:t xml:space="preserve">. </w:t>
      </w:r>
      <w:r w:rsidRPr="007F32BD">
        <w:t xml:space="preserve">This analysis was tested at an alpha level of 0.0498, adjusting for </w:t>
      </w:r>
      <w:r w:rsidR="00343D13">
        <w:t>two interim mortality analyses.</w:t>
      </w:r>
    </w:p>
    <w:p w:rsidR="00A16DEB" w:rsidRPr="007F32BD" w:rsidRDefault="00A16DEB" w:rsidP="00A16DEB">
      <w:r w:rsidRPr="007F32BD">
        <w:t xml:space="preserve">The magnitude of the treatment effect of pirfenidone was presented as the distribution of patients across the following categories of change from </w:t>
      </w:r>
      <w:r w:rsidR="00343D13">
        <w:t>B</w:t>
      </w:r>
      <w:r w:rsidRPr="007F32BD">
        <w:t>asel</w:t>
      </w:r>
      <w:r w:rsidR="00343D13">
        <w:t>ine: decline in percent predicted FVC ≥ 10% or death; decline in percent</w:t>
      </w:r>
      <w:r w:rsidRPr="007F32BD">
        <w:t xml:space="preserve"> predicted FVC</w:t>
      </w:r>
      <w:r w:rsidR="00343D13">
        <w:t> &lt; </w:t>
      </w:r>
      <w:r w:rsidRPr="007F32BD">
        <w:t xml:space="preserve">10% to 0% </w:t>
      </w:r>
      <w:r>
        <w:t xml:space="preserve">or </w:t>
      </w:r>
      <w:r w:rsidR="00343D13">
        <w:t>no decline in percent</w:t>
      </w:r>
      <w:r w:rsidRPr="007F32BD">
        <w:t xml:space="preserve"> predicted FVC.</w:t>
      </w:r>
    </w:p>
    <w:p w:rsidR="00A16DEB" w:rsidRPr="007F32BD" w:rsidRDefault="00A16DEB" w:rsidP="00A16DEB">
      <w:r>
        <w:t>Change from b</w:t>
      </w:r>
      <w:r w:rsidRPr="007F32BD">
        <w:t>aseline in 6MWT distance was analysed using a rank ANCOVA model, with ranked baseline 6MWT distance and ranked baseline DL</w:t>
      </w:r>
      <w:r w:rsidRPr="007F32BD">
        <w:rPr>
          <w:vertAlign w:val="subscript"/>
        </w:rPr>
        <w:t>CO</w:t>
      </w:r>
      <w:r w:rsidRPr="007F32BD">
        <w:t xml:space="preserve"> as covariates. Kaplan-Meier estimates were used to summarise progression</w:t>
      </w:r>
      <w:r w:rsidR="00EC278F">
        <w:t xml:space="preserve"> </w:t>
      </w:r>
      <w:r w:rsidRPr="007F32BD">
        <w:t>free survival time.</w:t>
      </w:r>
    </w:p>
    <w:p w:rsidR="00A16DEB" w:rsidRPr="007F32BD" w:rsidRDefault="00A16DEB" w:rsidP="00343D13">
      <w:pPr>
        <w:pStyle w:val="Heading5"/>
      </w:pPr>
      <w:bookmarkStart w:id="154" w:name="_Toc430785385"/>
      <w:r w:rsidRPr="007F32BD">
        <w:t>Partici</w:t>
      </w:r>
      <w:r w:rsidRPr="00343D13">
        <w:t>p</w:t>
      </w:r>
      <w:r w:rsidRPr="007F32BD">
        <w:t>ant flow</w:t>
      </w:r>
      <w:bookmarkEnd w:id="154"/>
    </w:p>
    <w:p w:rsidR="00EC278F" w:rsidRDefault="00EC278F" w:rsidP="00A16DEB">
      <w:r>
        <w:t xml:space="preserve">See Figure 5 for a flow diagram taking into account those who ‘completed treatment’ and those who ‘completed study’. </w:t>
      </w:r>
      <w:r w:rsidR="00D36BA5">
        <w:t xml:space="preserve">Table </w:t>
      </w:r>
      <w:r w:rsidR="00351A53">
        <w:t>12</w:t>
      </w:r>
      <w:r w:rsidR="00351A53" w:rsidRPr="007F32BD">
        <w:t xml:space="preserve"> </w:t>
      </w:r>
      <w:r w:rsidR="00A16DEB" w:rsidRPr="007F32BD">
        <w:t>belo</w:t>
      </w:r>
      <w:r w:rsidR="001941F5">
        <w:t>w</w:t>
      </w:r>
      <w:r w:rsidR="00D36BA5">
        <w:t xml:space="preserve"> details the</w:t>
      </w:r>
      <w:r w:rsidR="00A16DEB" w:rsidRPr="007F32BD">
        <w:t xml:space="preserve"> disposition</w:t>
      </w:r>
      <w:r w:rsidR="00D36BA5">
        <w:t xml:space="preserve"> of patients</w:t>
      </w:r>
      <w:r w:rsidR="00A16DEB" w:rsidRPr="007F32BD">
        <w:t xml:space="preserve"> according to study treatment</w:t>
      </w:r>
      <w:r>
        <w:t>.</w:t>
      </w:r>
    </w:p>
    <w:p w:rsidR="00522355" w:rsidRDefault="00EC278F" w:rsidP="000E7CA2">
      <w:pPr>
        <w:pStyle w:val="FigureTitle"/>
        <w:keepNext/>
      </w:pPr>
      <w:r>
        <w:lastRenderedPageBreak/>
        <w:t xml:space="preserve">Figure 5. Study </w:t>
      </w:r>
      <w:r w:rsidRPr="00EC278F">
        <w:t>PIPF-016 Disposition of patients by study treatment</w:t>
      </w:r>
      <w:r w:rsidR="004B3FDE">
        <w:t xml:space="preserve"> (randomised allocation to pirfenidone 2403 mg/day (n = 278) or placebo (n = 277)</w:t>
      </w:r>
    </w:p>
    <w:p w:rsidR="00A16DEB" w:rsidRDefault="00522355" w:rsidP="00A16DEB">
      <w:r>
        <w:rPr>
          <w:noProof/>
          <w:lang w:eastAsia="en-AU"/>
        </w:rPr>
        <w:drawing>
          <wp:inline distT="0" distB="0" distL="0" distR="0" wp14:anchorId="31004656" wp14:editId="72972529">
            <wp:extent cx="5669280" cy="4671705"/>
            <wp:effectExtent l="0" t="0" r="7620" b="0"/>
            <wp:docPr id="20" name="Picture 20" descr="Figure 5. Study PIPF-016 Disposition of patients by study treatment: 555 patients were randomised in Study PIPF-016.&#10;278 patients recieved 2403 mg/day of pirfenidone and 223 completed treatment versus 277 patients recieving placeco. 55 patients in the treatment arm permanently discontinued treatment, 35 due to adverse events, 4 due to death, 6 due to lung transplantation, 9 listed as patient with drawals, and one patient ran out of study medication.&#10;Of the 277 placebo patients, 238 completed treatment and 39 discontinued treatment due in adverse events in 24, death in 5, loss to follow‑up in one, lung transplant in another, and withdrawal of treatment in 7. One patient in the placebo group discontinued due to personal reasons on Day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42000"/>
                              </a14:imgEffect>
                              <a14:imgEffect>
                                <a14:brightnessContrast bright="-10000" contrast="56000"/>
                              </a14:imgEffect>
                            </a14:imgLayer>
                          </a14:imgProps>
                        </a:ext>
                      </a:extLst>
                    </a:blip>
                    <a:stretch>
                      <a:fillRect/>
                    </a:stretch>
                  </pic:blipFill>
                  <pic:spPr>
                    <a:xfrm>
                      <a:off x="0" y="0"/>
                      <a:ext cx="5672075" cy="4674008"/>
                    </a:xfrm>
                    <a:prstGeom prst="rect">
                      <a:avLst/>
                    </a:prstGeom>
                  </pic:spPr>
                </pic:pic>
              </a:graphicData>
            </a:graphic>
          </wp:inline>
        </w:drawing>
      </w:r>
    </w:p>
    <w:p w:rsidR="00D36BA5" w:rsidRPr="007F32BD" w:rsidRDefault="00D36BA5" w:rsidP="00D36BA5">
      <w:pPr>
        <w:pStyle w:val="Tabletitle"/>
      </w:pPr>
      <w:r>
        <w:t xml:space="preserve">Table </w:t>
      </w:r>
      <w:r w:rsidR="00351A53">
        <w:t>12</w:t>
      </w:r>
      <w:r>
        <w:t>. Disposition of patients in Study PIPF</w:t>
      </w:r>
      <w:r>
        <w:noBreakHyphen/>
        <w:t>016 according to study treatment</w:t>
      </w:r>
    </w:p>
    <w:p w:rsidR="00A16DEB" w:rsidRPr="007F32BD" w:rsidRDefault="00A16DEB" w:rsidP="00A16DEB">
      <w:r>
        <w:rPr>
          <w:noProof/>
          <w:lang w:eastAsia="en-AU"/>
        </w:rPr>
        <w:drawing>
          <wp:inline distT="0" distB="0" distL="0" distR="0" wp14:anchorId="2B798085" wp14:editId="6F443412">
            <wp:extent cx="4981699" cy="1878196"/>
            <wp:effectExtent l="0" t="0" r="0" b="8255"/>
            <wp:docPr id="13" name="Picture 13" descr="Table 12. Disposition of patients in Study PIPF 016 according to study treatment" title="Table 12. Disposition of patients in Study PIPF 016 according to stud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lum bright="-21000" contrast="33000"/>
                      <a:extLst>
                        <a:ext uri="{28A0092B-C50C-407E-A947-70E740481C1C}">
                          <a14:useLocalDpi xmlns:a14="http://schemas.microsoft.com/office/drawing/2010/main" val="0"/>
                        </a:ext>
                      </a:extLst>
                    </a:blip>
                    <a:srcRect/>
                    <a:stretch>
                      <a:fillRect/>
                    </a:stretch>
                  </pic:blipFill>
                  <pic:spPr bwMode="auto">
                    <a:xfrm>
                      <a:off x="0" y="0"/>
                      <a:ext cx="4985804" cy="1879744"/>
                    </a:xfrm>
                    <a:prstGeom prst="rect">
                      <a:avLst/>
                    </a:prstGeom>
                    <a:noFill/>
                    <a:ln>
                      <a:noFill/>
                    </a:ln>
                  </pic:spPr>
                </pic:pic>
              </a:graphicData>
            </a:graphic>
          </wp:inline>
        </w:drawing>
      </w:r>
    </w:p>
    <w:p w:rsidR="00A16DEB" w:rsidRPr="007F32BD" w:rsidRDefault="00A16DEB" w:rsidP="00D36BA5">
      <w:pPr>
        <w:pStyle w:val="Heading5"/>
      </w:pPr>
      <w:bookmarkStart w:id="155" w:name="_Toc430785386"/>
      <w:r w:rsidRPr="007F32BD">
        <w:t>Major protocol violations/deviations</w:t>
      </w:r>
      <w:bookmarkEnd w:id="155"/>
    </w:p>
    <w:p w:rsidR="00A16DEB" w:rsidRPr="007F32BD" w:rsidRDefault="00A16DEB" w:rsidP="00A16DEB">
      <w:r w:rsidRPr="007F32BD">
        <w:t>There were no major imbalances between the treatment groups in the proportion of patients with protocol deviations.</w:t>
      </w:r>
    </w:p>
    <w:p w:rsidR="00A16DEB" w:rsidRPr="007F32BD" w:rsidRDefault="00A16DEB" w:rsidP="00D36BA5">
      <w:pPr>
        <w:pStyle w:val="Heading5"/>
      </w:pPr>
      <w:bookmarkStart w:id="156" w:name="_Toc430785387"/>
      <w:r w:rsidRPr="007F32BD">
        <w:t>Baseline data</w:t>
      </w:r>
      <w:bookmarkEnd w:id="156"/>
    </w:p>
    <w:p w:rsidR="00A22FFF" w:rsidRDefault="00A16DEB" w:rsidP="00A16DEB">
      <w:r w:rsidRPr="007F32BD">
        <w:t xml:space="preserve">Demographic characteristics were comparable between the treatment groups; most study patients were </w:t>
      </w:r>
      <w:r w:rsidR="00A22FFF">
        <w:t>W</w:t>
      </w:r>
      <w:r w:rsidRPr="007F32BD">
        <w:t xml:space="preserve">hite (91.2%), male (78.4%), and </w:t>
      </w:r>
      <w:r w:rsidRPr="007F32BD">
        <w:rPr>
          <w:rFonts w:hint="eastAsia"/>
        </w:rPr>
        <w:t>≥</w:t>
      </w:r>
      <w:r w:rsidR="00914B23">
        <w:t xml:space="preserve"> </w:t>
      </w:r>
      <w:r w:rsidRPr="007F32BD">
        <w:t xml:space="preserve">65 years of age (71.0%; overall mean 68.1 years). </w:t>
      </w:r>
      <w:r>
        <w:t>T</w:t>
      </w:r>
      <w:r w:rsidRPr="007F32BD">
        <w:t>wo</w:t>
      </w:r>
      <w:r w:rsidR="001941F5">
        <w:t xml:space="preserve"> </w:t>
      </w:r>
      <w:r w:rsidRPr="007F32BD">
        <w:t xml:space="preserve">thirds (67.3% </w:t>
      </w:r>
      <w:r>
        <w:t xml:space="preserve">pirfenidone </w:t>
      </w:r>
      <w:r w:rsidRPr="007F32BD">
        <w:t>and 66.4%</w:t>
      </w:r>
      <w:r>
        <w:t xml:space="preserve"> placebo</w:t>
      </w:r>
      <w:r w:rsidRPr="007F32BD">
        <w:t xml:space="preserve">) were enrolled in the USA. Baseline </w:t>
      </w:r>
      <w:r w:rsidRPr="007F32BD">
        <w:lastRenderedPageBreak/>
        <w:t>disease characteristics were generally comparable between the treatment groups</w:t>
      </w:r>
      <w:r w:rsidR="00914B23">
        <w:t>.</w:t>
      </w:r>
      <w:r w:rsidRPr="007F32BD">
        <w:rPr>
          <w:b/>
        </w:rPr>
        <w:t xml:space="preserve"> </w:t>
      </w:r>
      <w:r w:rsidRPr="007F32BD">
        <w:t>Prior medications were generally comparable; systemic corticosteroids were used by a total of 2.2% and 0.7% of patients in pirfenidone and</w:t>
      </w:r>
      <w:r w:rsidR="00914B23">
        <w:t xml:space="preserve"> placebo groups, respectively. </w:t>
      </w:r>
      <w:r w:rsidRPr="007F32BD">
        <w:t xml:space="preserve">The frequency of concomitant use of systemic corticosteroids was lower in </w:t>
      </w:r>
      <w:r w:rsidR="00914B23">
        <w:t xml:space="preserve">the pirfenidone group (29.5% versus </w:t>
      </w:r>
      <w:r w:rsidRPr="007F32BD">
        <w:t>36.5%). The concomitant use of spe</w:t>
      </w:r>
      <w:r w:rsidR="00914B23">
        <w:t>cific CYP1A2 inhibitors was pre</w:t>
      </w:r>
      <w:r w:rsidR="00914B23">
        <w:noBreakHyphen/>
      </w:r>
      <w:r w:rsidRPr="007F32BD">
        <w:t>specified for analysis; use was lower in the pir</w:t>
      </w:r>
      <w:r w:rsidR="00914B23">
        <w:t xml:space="preserve">fenidone group overall (8.3% versus </w:t>
      </w:r>
      <w:r w:rsidRPr="007F32BD">
        <w:t>12.6%). Other use o</w:t>
      </w:r>
      <w:r w:rsidR="00914B23">
        <w:t xml:space="preserve">f interest included NAC (1.8% versus 2.2%). </w:t>
      </w:r>
    </w:p>
    <w:p w:rsidR="00A16DEB" w:rsidRPr="007F32BD" w:rsidRDefault="00A16DEB" w:rsidP="00A16DEB">
      <w:r w:rsidRPr="007F32BD">
        <w:t xml:space="preserve">The proportion of patients in the pirfenidone group </w:t>
      </w:r>
      <w:r>
        <w:t>who</w:t>
      </w:r>
      <w:r w:rsidRPr="007F32BD">
        <w:t xml:space="preserve"> took </w:t>
      </w:r>
      <w:r w:rsidRPr="007F32BD">
        <w:rPr>
          <w:rFonts w:hint="eastAsia"/>
        </w:rPr>
        <w:t>≥</w:t>
      </w:r>
      <w:r>
        <w:t xml:space="preserve"> </w:t>
      </w:r>
      <w:r w:rsidRPr="007F32BD">
        <w:t>80% of their prescribed dose was lower than in the placebo group (85.3% v</w:t>
      </w:r>
      <w:r w:rsidR="001941F5">
        <w:t>ersus</w:t>
      </w:r>
      <w:r w:rsidRPr="007F32BD">
        <w:t xml:space="preserve"> 92.4%).</w:t>
      </w:r>
    </w:p>
    <w:p w:rsidR="00A16DEB" w:rsidRPr="007F32BD" w:rsidRDefault="00A16DEB" w:rsidP="00914B23">
      <w:pPr>
        <w:pStyle w:val="Heading5"/>
      </w:pPr>
      <w:bookmarkStart w:id="157" w:name="_Toc430785388"/>
      <w:r w:rsidRPr="007F32BD">
        <w:t>Results for primary efficacy outcome</w:t>
      </w:r>
      <w:bookmarkEnd w:id="157"/>
    </w:p>
    <w:p w:rsidR="00A16DEB" w:rsidRDefault="00A16DEB" w:rsidP="00A16DEB">
      <w:r w:rsidRPr="007F32BD">
        <w:t xml:space="preserve">The primary efficacy analysis of the change in the percent predicted FVC from </w:t>
      </w:r>
      <w:r w:rsidR="00914B23">
        <w:t>Baseline at W</w:t>
      </w:r>
      <w:r w:rsidRPr="007F32BD">
        <w:t xml:space="preserve">eek 52 demonstrated a statistically significant treatment effect of pirfenidone compared with placebo </w:t>
      </w:r>
      <w:r w:rsidR="00914B23">
        <w:t>(p &lt; 0.000001, rank ANCOVA).</w:t>
      </w:r>
    </w:p>
    <w:p w:rsidR="00A16DEB" w:rsidRDefault="00A16DEB" w:rsidP="00A16DEB">
      <w:r w:rsidRPr="007F32BD">
        <w:t>This is presented</w:t>
      </w:r>
      <w:r w:rsidR="004E5B32">
        <w:t xml:space="preserve"> in Table </w:t>
      </w:r>
      <w:r w:rsidR="00351A53">
        <w:t>13</w:t>
      </w:r>
      <w:r w:rsidR="00351A53" w:rsidRPr="007F32BD">
        <w:t xml:space="preserve"> </w:t>
      </w:r>
      <w:r w:rsidRPr="007F32BD">
        <w:t>as the proportion</w:t>
      </w:r>
      <w:r w:rsidR="00914B23">
        <w:t xml:space="preserve"> of patients with change in pre</w:t>
      </w:r>
      <w:r w:rsidR="00914B23">
        <w:noBreakHyphen/>
      </w:r>
      <w:r w:rsidRPr="007F32BD">
        <w:t>specified categories</w:t>
      </w:r>
      <w:r w:rsidR="00A22FFF">
        <w:t>.</w:t>
      </w:r>
    </w:p>
    <w:p w:rsidR="00A16DEB" w:rsidRPr="007F32BD" w:rsidRDefault="00914B23" w:rsidP="004E5B32">
      <w:pPr>
        <w:pStyle w:val="Tabletitle"/>
      </w:pPr>
      <w:r>
        <w:t xml:space="preserve">Table </w:t>
      </w:r>
      <w:r w:rsidR="00351A53">
        <w:t>13</w:t>
      </w:r>
      <w:r>
        <w:t xml:space="preserve">. </w:t>
      </w:r>
      <w:r w:rsidR="00A16DEB" w:rsidRPr="007F32BD">
        <w:t>Percent predicted FVC: c</w:t>
      </w:r>
      <w:r w:rsidR="001941F5">
        <w:t>hange from baseline at week 52</w:t>
      </w:r>
    </w:p>
    <w:p w:rsidR="00A16DEB" w:rsidRPr="004E5B32" w:rsidRDefault="00A16DEB" w:rsidP="00A16DEB">
      <w:r>
        <w:rPr>
          <w:noProof/>
          <w:lang w:eastAsia="en-AU"/>
        </w:rPr>
        <w:drawing>
          <wp:inline distT="0" distB="0" distL="0" distR="0" wp14:anchorId="268E9ADD" wp14:editId="47D7E195">
            <wp:extent cx="5918200" cy="1294765"/>
            <wp:effectExtent l="0" t="0" r="6350" b="635"/>
            <wp:docPr id="12" name="Picture 12" descr="Table 13. Percent predicted FVC: change from baseline at week 52" title="Table 13. Percent predicted FVC: change from baseline at we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8200" cy="1294765"/>
                    </a:xfrm>
                    <a:prstGeom prst="rect">
                      <a:avLst/>
                    </a:prstGeom>
                    <a:noFill/>
                    <a:ln>
                      <a:noFill/>
                    </a:ln>
                  </pic:spPr>
                </pic:pic>
              </a:graphicData>
            </a:graphic>
          </wp:inline>
        </w:drawing>
      </w:r>
    </w:p>
    <w:p w:rsidR="00A16DEB" w:rsidRPr="007F32BD" w:rsidRDefault="004E5B32" w:rsidP="004E5B32">
      <w:pPr>
        <w:pStyle w:val="FigureTitle"/>
      </w:pPr>
      <w:r>
        <w:t xml:space="preserve">Figure </w:t>
      </w:r>
      <w:r w:rsidR="00A22FFF">
        <w:t>6</w:t>
      </w:r>
      <w:r>
        <w:t xml:space="preserve">. </w:t>
      </w:r>
      <w:r w:rsidR="00A16DEB" w:rsidRPr="007F32BD">
        <w:t>Percent predicted FVC: proportion with decrease &gt;</w:t>
      </w:r>
      <w:r>
        <w:t> </w:t>
      </w:r>
      <w:r w:rsidR="00A16DEB" w:rsidRPr="007F32BD">
        <w:t xml:space="preserve">10% from baseline or death to </w:t>
      </w:r>
      <w:r w:rsidR="00583EB3">
        <w:t>W</w:t>
      </w:r>
      <w:r w:rsidR="00A16DEB" w:rsidRPr="007F32BD">
        <w:t>eek 52 (all ran</w:t>
      </w:r>
      <w:r w:rsidR="001941F5">
        <w:t>domised)</w:t>
      </w:r>
      <w:r>
        <w:rPr>
          <w:noProof/>
          <w:lang w:eastAsia="en-AU"/>
        </w:rPr>
        <w:drawing>
          <wp:inline distT="0" distB="0" distL="0" distR="0" wp14:anchorId="3FF5EE0A" wp14:editId="58B9D876">
            <wp:extent cx="5486400" cy="3562350"/>
            <wp:effectExtent l="0" t="0" r="0" b="0"/>
            <wp:docPr id="11" name="Picture 11" descr="Figure 6. Percent predicted FVC: proportion with decrease &gt; 10% from baseline or death to Week 52 (all random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562350"/>
                    </a:xfrm>
                    <a:prstGeom prst="rect">
                      <a:avLst/>
                    </a:prstGeom>
                    <a:noFill/>
                    <a:ln>
                      <a:noFill/>
                    </a:ln>
                  </pic:spPr>
                </pic:pic>
              </a:graphicData>
            </a:graphic>
          </wp:inline>
        </w:drawing>
      </w:r>
    </w:p>
    <w:p w:rsidR="00A16DEB" w:rsidRPr="007F32BD" w:rsidRDefault="00A16DEB" w:rsidP="00A16DEB">
      <w:r w:rsidRPr="0057548E">
        <w:t>There was an absolute mean differe</w:t>
      </w:r>
      <w:r w:rsidR="004E5B32">
        <w:t>nce of 192.8 mL in change from Baseline at W</w:t>
      </w:r>
      <w:r w:rsidRPr="0057548E">
        <w:t>eek 52 in FVC volume between the two treatment groups, favouring pirfenidone.</w:t>
      </w:r>
      <w:r>
        <w:t xml:space="preserve"> The trend was supported by </w:t>
      </w:r>
      <w:r>
        <w:lastRenderedPageBreak/>
        <w:t xml:space="preserve">linear slope analysis of the annual rate of decline in FVC volume. The SAP pre-specified analysis of </w:t>
      </w:r>
      <w:r w:rsidR="004E5B32">
        <w:t>ranked change from baseline in percent</w:t>
      </w:r>
      <w:r>
        <w:t xml:space="preserve"> predicted FVC as a supportive analysis of the primary efficacy endpo</w:t>
      </w:r>
      <w:r w:rsidR="004E5B32">
        <w:t xml:space="preserve">int; the least square mean was </w:t>
      </w:r>
      <w:r w:rsidR="004E5B32">
        <w:noBreakHyphen/>
        <w:t xml:space="preserve">6.17 for pirfenidone versus </w:t>
      </w:r>
      <w:r w:rsidR="004E5B32">
        <w:noBreakHyphen/>
      </w:r>
      <w:r>
        <w:t>10.95 for placebo, a difference of 4.78 favouring pirfenidone.</w:t>
      </w:r>
    </w:p>
    <w:p w:rsidR="00A16DEB" w:rsidRPr="007F32BD" w:rsidRDefault="00A16DEB" w:rsidP="004E5B32">
      <w:pPr>
        <w:pStyle w:val="Heading5"/>
      </w:pPr>
      <w:bookmarkStart w:id="158" w:name="_Toc430785389"/>
      <w:r w:rsidRPr="007F32BD">
        <w:t>Results for other efficacy outcomes</w:t>
      </w:r>
      <w:bookmarkEnd w:id="158"/>
    </w:p>
    <w:p w:rsidR="00A16DEB" w:rsidRPr="00525513" w:rsidRDefault="00A16DEB" w:rsidP="000E7CA2">
      <w:pPr>
        <w:pStyle w:val="Heading6"/>
      </w:pPr>
      <w:r w:rsidRPr="00525513">
        <w:t xml:space="preserve">Change from baseline </w:t>
      </w:r>
      <w:r>
        <w:t xml:space="preserve">to week 52 </w:t>
      </w:r>
      <w:r w:rsidRPr="00525513">
        <w:t>in 6MWT distance</w:t>
      </w:r>
    </w:p>
    <w:p w:rsidR="00A16DEB" w:rsidRPr="007F32BD" w:rsidRDefault="00A16DEB" w:rsidP="00A16DEB">
      <w:r>
        <w:t xml:space="preserve">The </w:t>
      </w:r>
      <w:r w:rsidRPr="0057548E">
        <w:t>proportion of patients having an absolute decline ≥</w:t>
      </w:r>
      <w:r>
        <w:t xml:space="preserve"> </w:t>
      </w:r>
      <w:r w:rsidRPr="0057548E">
        <w:t>50</w:t>
      </w:r>
      <w:r w:rsidR="00A22FFF">
        <w:t xml:space="preserve"> </w:t>
      </w:r>
      <w:r w:rsidRPr="0057548E">
        <w:t>m</w:t>
      </w:r>
      <w:r w:rsidR="00A22FFF">
        <w:t>etres</w:t>
      </w:r>
      <w:r w:rsidRPr="0057548E">
        <w:t xml:space="preserve"> at w</w:t>
      </w:r>
      <w:r w:rsidR="004E5B32">
        <w:t>eek 52 was 25.9% pirfenidone versus</w:t>
      </w:r>
      <w:r w:rsidRPr="0057548E">
        <w:t xml:space="preserve"> 35.7%</w:t>
      </w:r>
      <w:r w:rsidRPr="007F32BD">
        <w:t xml:space="preserve"> placebo.</w:t>
      </w:r>
    </w:p>
    <w:p w:rsidR="00A16DEB" w:rsidRPr="00525513" w:rsidRDefault="004E5B32" w:rsidP="000E7CA2">
      <w:pPr>
        <w:pStyle w:val="Heading6"/>
      </w:pPr>
      <w:r>
        <w:t>Progression free survival</w:t>
      </w:r>
    </w:p>
    <w:p w:rsidR="00A16DEB" w:rsidRPr="007F32BD" w:rsidRDefault="00A16DEB" w:rsidP="00A16DEB">
      <w:r>
        <w:t>P</w:t>
      </w:r>
      <w:r w:rsidRPr="007F32BD">
        <w:t>irfen</w:t>
      </w:r>
      <w:r>
        <w:t>i</w:t>
      </w:r>
      <w:r w:rsidRPr="007F32BD">
        <w:t xml:space="preserve">done was associated with significant risk reduction; </w:t>
      </w:r>
      <w:r w:rsidRPr="00525513">
        <w:t>HR 0.57</w:t>
      </w:r>
      <w:r w:rsidRPr="00525513">
        <w:rPr>
          <w:b/>
        </w:rPr>
        <w:t>,</w:t>
      </w:r>
      <w:r w:rsidRPr="00525513">
        <w:t xml:space="preserve"> 95% CI </w:t>
      </w:r>
      <w:r w:rsidR="004E5B32">
        <w:t xml:space="preserve">0.43 to </w:t>
      </w:r>
      <w:r w:rsidRPr="00525513">
        <w:t>0.77.</w:t>
      </w:r>
    </w:p>
    <w:p w:rsidR="00A16DEB" w:rsidRPr="00525513" w:rsidRDefault="00A16DEB" w:rsidP="000E7CA2">
      <w:pPr>
        <w:pStyle w:val="Heading6"/>
      </w:pPr>
      <w:r w:rsidRPr="00525513">
        <w:t>Dyspnoea</w:t>
      </w:r>
    </w:p>
    <w:p w:rsidR="00A16DEB" w:rsidRDefault="00A16DEB" w:rsidP="00A16DEB">
      <w:r w:rsidRPr="007F32BD">
        <w:t xml:space="preserve">There was </w:t>
      </w:r>
      <w:r w:rsidRPr="00525513">
        <w:t>a</w:t>
      </w:r>
      <w:r>
        <w:t xml:space="preserve"> </w:t>
      </w:r>
      <w:r w:rsidRPr="00525513">
        <w:t xml:space="preserve">reduction of </w:t>
      </w:r>
      <w:r w:rsidRPr="007F32BD">
        <w:t>in the proportion of patients with worsening dyspno</w:t>
      </w:r>
      <w:r>
        <w:t>ea as measured by the change from b</w:t>
      </w:r>
      <w:r w:rsidRPr="007F32BD">
        <w:t>aseline in the UCSD SOBQ score</w:t>
      </w:r>
      <w:r>
        <w:t xml:space="preserve"> of ≥ 20 points</w:t>
      </w:r>
      <w:r w:rsidRPr="007F32BD">
        <w:t>, favouring pirfenidone, but this did not reach statist</w:t>
      </w:r>
      <w:r w:rsidR="00583EB3">
        <w:t>ical significance (p = </w:t>
      </w:r>
      <w:r w:rsidR="004E5B32">
        <w:t>0.1577).</w:t>
      </w:r>
    </w:p>
    <w:p w:rsidR="00A16DEB" w:rsidRPr="004E5B32" w:rsidRDefault="00A16DEB" w:rsidP="000E7CA2">
      <w:pPr>
        <w:pStyle w:val="Heading6"/>
      </w:pPr>
      <w:r w:rsidRPr="00525513">
        <w:t>Mortality</w:t>
      </w:r>
    </w:p>
    <w:p w:rsidR="00A16DEB" w:rsidRDefault="00A16DEB" w:rsidP="00A16DEB">
      <w:r w:rsidRPr="00525513">
        <w:t>Patients who disco</w:t>
      </w:r>
      <w:r>
        <w:t>ntinued study treatment before w</w:t>
      </w:r>
      <w:r w:rsidRPr="00525513">
        <w:t>eek 52 were to be followed for vital status</w:t>
      </w:r>
      <w:r>
        <w:t xml:space="preserve"> to the w</w:t>
      </w:r>
      <w:r w:rsidRPr="00525513">
        <w:t>eek 52 time point</w:t>
      </w:r>
      <w:r>
        <w:t>. T</w:t>
      </w:r>
      <w:r w:rsidRPr="00525513">
        <w:t xml:space="preserve">he mortality endpoint of </w:t>
      </w:r>
      <w:r w:rsidR="00A22FFF" w:rsidRPr="00525513">
        <w:t>all</w:t>
      </w:r>
      <w:r w:rsidR="00A22FFF">
        <w:t>-</w:t>
      </w:r>
      <w:r w:rsidR="00A22FFF" w:rsidRPr="00525513">
        <w:t>cause</w:t>
      </w:r>
      <w:r w:rsidRPr="00525513">
        <w:t xml:space="preserve"> mortality </w:t>
      </w:r>
      <w:r>
        <w:t xml:space="preserve">and the supportive mortality </w:t>
      </w:r>
      <w:r w:rsidR="004E5B32">
        <w:t xml:space="preserve">endpoint of IPF </w:t>
      </w:r>
      <w:r w:rsidRPr="00525513">
        <w:t>related mortality included all events</w:t>
      </w:r>
      <w:r>
        <w:t xml:space="preserve"> </w:t>
      </w:r>
      <w:r w:rsidRPr="00525513">
        <w:t>occurring during this extended period.</w:t>
      </w:r>
      <w:r w:rsidR="004E5B32">
        <w:t xml:space="preserve"> Treatment emergent IPF </w:t>
      </w:r>
      <w:r>
        <w:t xml:space="preserve">related </w:t>
      </w:r>
      <w:r w:rsidRPr="00525513">
        <w:t xml:space="preserve">deaths and the supportive mortality endpoint of </w:t>
      </w:r>
      <w:r w:rsidR="004E5B32">
        <w:t>treatment</w:t>
      </w:r>
      <w:r w:rsidR="00A22FFF">
        <w:t> </w:t>
      </w:r>
      <w:r w:rsidR="004E5B32">
        <w:t>emergent all-</w:t>
      </w:r>
      <w:r w:rsidR="004E5B32" w:rsidRPr="00525513">
        <w:t>cause</w:t>
      </w:r>
      <w:r w:rsidRPr="00525513">
        <w:t xml:space="preserve"> mortality included</w:t>
      </w:r>
      <w:r>
        <w:t xml:space="preserve"> </w:t>
      </w:r>
      <w:r w:rsidRPr="00525513">
        <w:t xml:space="preserve">all deaths occurring after the first dose of study treatment and up </w:t>
      </w:r>
      <w:r>
        <w:t>to 28 days after the last dose. ‘</w:t>
      </w:r>
      <w:r w:rsidR="004E5B32">
        <w:t xml:space="preserve">IPF </w:t>
      </w:r>
      <w:r w:rsidRPr="00525513">
        <w:t>related</w:t>
      </w:r>
      <w:r>
        <w:t>’</w:t>
      </w:r>
      <w:r w:rsidRPr="00525513">
        <w:t xml:space="preserve"> was defined as those deaths considered to be directly related to IPF by the Mortality</w:t>
      </w:r>
      <w:r>
        <w:t xml:space="preserve"> </w:t>
      </w:r>
      <w:r w:rsidRPr="00525513">
        <w:t>Assessment Committee.</w:t>
      </w:r>
    </w:p>
    <w:p w:rsidR="00F7635F" w:rsidRDefault="00A16DEB" w:rsidP="00380800">
      <w:r>
        <w:t xml:space="preserve">A smaller proportion of patients died in the pirfenidone group (4.0%) </w:t>
      </w:r>
      <w:r w:rsidR="004E5B32">
        <w:t xml:space="preserve">than the placebo group (7.2%). </w:t>
      </w:r>
      <w:r w:rsidRPr="007F32BD">
        <w:t xml:space="preserve">Analyses suggested a </w:t>
      </w:r>
      <w:r w:rsidRPr="00525513">
        <w:t>non-significant</w:t>
      </w:r>
      <w:r w:rsidRPr="007F32BD">
        <w:t xml:space="preserve"> reduced risk of a</w:t>
      </w:r>
      <w:r w:rsidR="004E5B32">
        <w:t>ll-cause mortality through the W</w:t>
      </w:r>
      <w:r w:rsidRPr="007F32BD">
        <w:t xml:space="preserve">eek 52 time point </w:t>
      </w:r>
      <w:r>
        <w:t xml:space="preserve">for </w:t>
      </w:r>
      <w:r w:rsidRPr="007F32BD">
        <w:t>pirf</w:t>
      </w:r>
      <w:r>
        <w:t xml:space="preserve">enidone compared with </w:t>
      </w:r>
      <w:r w:rsidRPr="007F32BD">
        <w:t>placebo</w:t>
      </w:r>
      <w:r w:rsidR="004E5B32">
        <w:t xml:space="preserve"> (</w:t>
      </w:r>
      <w:r w:rsidRPr="00525513">
        <w:t>HR 0.55; 95% CI, 0.26</w:t>
      </w:r>
      <w:r w:rsidR="004E5B32">
        <w:t xml:space="preserve"> to </w:t>
      </w:r>
      <w:r w:rsidRPr="00525513">
        <w:t xml:space="preserve">1.15; </w:t>
      </w:r>
      <w:r w:rsidR="004E5B32">
        <w:t>p = 0.1045, log rank test)</w:t>
      </w:r>
      <w:r w:rsidRPr="00525513">
        <w:t xml:space="preserve"> </w:t>
      </w:r>
      <w:r w:rsidR="004E5B32">
        <w:t>h</w:t>
      </w:r>
      <w:r>
        <w:t>owever t</w:t>
      </w:r>
      <w:r w:rsidRPr="00525513">
        <w:t xml:space="preserve">he study was not powered for this </w:t>
      </w:r>
      <w:r>
        <w:t xml:space="preserve">or other mortality </w:t>
      </w:r>
      <w:r w:rsidRPr="00525513">
        <w:t>endpoint</w:t>
      </w:r>
      <w:r>
        <w:t>s</w:t>
      </w:r>
      <w:r w:rsidRPr="00525513">
        <w:t>.</w:t>
      </w:r>
    </w:p>
    <w:p w:rsidR="003B1573" w:rsidRPr="003B1573" w:rsidRDefault="003B1573" w:rsidP="003B1573">
      <w:pPr>
        <w:pStyle w:val="Heading3"/>
      </w:pPr>
      <w:bookmarkStart w:id="159" w:name="_Toc459986990"/>
      <w:r w:rsidRPr="003B1573">
        <w:t xml:space="preserve">TGA </w:t>
      </w:r>
      <w:r>
        <w:t>e</w:t>
      </w:r>
      <w:r w:rsidRPr="003B1573">
        <w:t xml:space="preserve">valuator </w:t>
      </w:r>
      <w:r>
        <w:t>c</w:t>
      </w:r>
      <w:r w:rsidRPr="003B1573">
        <w:t>omment on pivotal trials</w:t>
      </w:r>
      <w:bookmarkEnd w:id="159"/>
    </w:p>
    <w:p w:rsidR="003B1573" w:rsidRPr="003B1573" w:rsidRDefault="003B1573" w:rsidP="003B1573">
      <w:pPr>
        <w:rPr>
          <w:rFonts w:ascii="Calibri" w:hAnsi="Calibri" w:cs="Calibri"/>
        </w:rPr>
      </w:pPr>
      <w:r w:rsidRPr="003B1573">
        <w:t xml:space="preserve">The </w:t>
      </w:r>
      <w:r w:rsidR="00351A53">
        <w:t>S</w:t>
      </w:r>
      <w:r w:rsidR="00351A53" w:rsidRPr="003B1573">
        <w:t xml:space="preserve">tudies </w:t>
      </w:r>
      <w:r w:rsidRPr="003B1573">
        <w:t>PIPF</w:t>
      </w:r>
      <w:r w:rsidRPr="003B1573">
        <w:noBreakHyphen/>
        <w:t>004, PIPF</w:t>
      </w:r>
      <w:r w:rsidRPr="003B1573">
        <w:noBreakHyphen/>
        <w:t>006 and PIPF</w:t>
      </w:r>
      <w:r w:rsidRPr="003B1573">
        <w:noBreakHyphen/>
        <w:t>016 were well designed and conducted, considering the difficulties of testing treatments in this progressive and uncommon disease.</w:t>
      </w:r>
      <w:r w:rsidRPr="00525513">
        <w:rPr>
          <w:rFonts w:ascii="Calibri" w:hAnsi="Calibri" w:cs="Calibri"/>
        </w:rPr>
        <w:t xml:space="preserve"> </w:t>
      </w:r>
      <w:r w:rsidRPr="00525513">
        <w:rPr>
          <w:rFonts w:asciiTheme="minorHAnsi" w:hAnsiTheme="minorHAnsi" w:cstheme="minorHAnsi"/>
        </w:rPr>
        <w:t xml:space="preserve">The designs </w:t>
      </w:r>
      <w:r>
        <w:rPr>
          <w:rFonts w:asciiTheme="minorHAnsi" w:hAnsiTheme="minorHAnsi" w:cstheme="minorHAnsi"/>
        </w:rPr>
        <w:t>could</w:t>
      </w:r>
      <w:r w:rsidRPr="00525513">
        <w:rPr>
          <w:rFonts w:asciiTheme="minorHAnsi" w:hAnsiTheme="minorHAnsi" w:cstheme="minorHAnsi"/>
        </w:rPr>
        <w:t xml:space="preserve"> reasonably </w:t>
      </w:r>
      <w:r>
        <w:rPr>
          <w:rFonts w:asciiTheme="minorHAnsi" w:hAnsiTheme="minorHAnsi" w:cstheme="minorHAnsi"/>
        </w:rPr>
        <w:t xml:space="preserve">be </w:t>
      </w:r>
      <w:r w:rsidRPr="00525513">
        <w:rPr>
          <w:rFonts w:asciiTheme="minorHAnsi" w:hAnsiTheme="minorHAnsi" w:cstheme="minorHAnsi"/>
        </w:rPr>
        <w:t xml:space="preserve">expected to minimise sources of bias and allow for adequate power to evaluate </w:t>
      </w:r>
      <w:r>
        <w:rPr>
          <w:rFonts w:asciiTheme="minorHAnsi" w:hAnsiTheme="minorHAnsi" w:cstheme="minorHAnsi"/>
        </w:rPr>
        <w:t xml:space="preserve">the </w:t>
      </w:r>
      <w:r w:rsidRPr="00525513">
        <w:rPr>
          <w:rFonts w:asciiTheme="minorHAnsi" w:hAnsiTheme="minorHAnsi" w:cstheme="minorHAnsi"/>
        </w:rPr>
        <w:t xml:space="preserve">primary efficacy outcome </w:t>
      </w:r>
      <w:r>
        <w:rPr>
          <w:rFonts w:asciiTheme="minorHAnsi" w:hAnsiTheme="minorHAnsi" w:cstheme="minorHAnsi"/>
        </w:rPr>
        <w:t xml:space="preserve">for </w:t>
      </w:r>
      <w:r w:rsidRPr="00525513">
        <w:rPr>
          <w:rFonts w:asciiTheme="minorHAnsi" w:hAnsiTheme="minorHAnsi" w:cstheme="minorHAnsi"/>
        </w:rPr>
        <w:t>pirfe</w:t>
      </w:r>
      <w:r>
        <w:rPr>
          <w:rFonts w:asciiTheme="minorHAnsi" w:hAnsiTheme="minorHAnsi" w:cstheme="minorHAnsi"/>
        </w:rPr>
        <w:t xml:space="preserve">nidone </w:t>
      </w:r>
      <w:r w:rsidR="00001402">
        <w:rPr>
          <w:rFonts w:asciiTheme="minorHAnsi" w:hAnsiTheme="minorHAnsi" w:cstheme="minorHAnsi"/>
        </w:rPr>
        <w:t>2,403 mg</w:t>
      </w:r>
      <w:r>
        <w:rPr>
          <w:rFonts w:asciiTheme="minorHAnsi" w:hAnsiTheme="minorHAnsi" w:cstheme="minorHAnsi"/>
        </w:rPr>
        <w:t xml:space="preserve">/day versus placebo. </w:t>
      </w:r>
      <w:r w:rsidRPr="00525513">
        <w:rPr>
          <w:rFonts w:asciiTheme="minorHAnsi" w:hAnsiTheme="minorHAnsi" w:cstheme="minorHAnsi"/>
        </w:rPr>
        <w:t>There was an adequate plan for attaining adequate clinical data quality and integrity of the studies.</w:t>
      </w:r>
    </w:p>
    <w:p w:rsidR="003B1573" w:rsidRPr="003B1573" w:rsidRDefault="003B1573" w:rsidP="003B1573">
      <w:r w:rsidRPr="00525513">
        <w:t>FVC was used as a pri</w:t>
      </w:r>
      <w:r>
        <w:t xml:space="preserve">mary measure of lung function. </w:t>
      </w:r>
      <w:r w:rsidR="00351A53">
        <w:t xml:space="preserve">(See Table 14 below for a tabulation comparing aspects of the three studies) </w:t>
      </w:r>
      <w:r w:rsidRPr="00525513">
        <w:t>Decrement in percent predicted FVC</w:t>
      </w:r>
      <w:r w:rsidR="00782D8F">
        <w:t> </w:t>
      </w:r>
      <w:r w:rsidRPr="00525513">
        <w:t>≥</w:t>
      </w:r>
      <w:r w:rsidR="00A22FFF">
        <w:t> </w:t>
      </w:r>
      <w:r>
        <w:t>10% in an individual patient i</w:t>
      </w:r>
      <w:r w:rsidRPr="00525513">
        <w:t xml:space="preserve">s considered to be a clinically meaningful indicator of disease progression, </w:t>
      </w:r>
      <w:r>
        <w:t xml:space="preserve">and </w:t>
      </w:r>
      <w:r w:rsidRPr="00525513">
        <w:t>predictive of mortality</w:t>
      </w:r>
      <w:r>
        <w:t xml:space="preserve">, as supported by </w:t>
      </w:r>
      <w:r w:rsidR="00782D8F" w:rsidRPr="00782D8F">
        <w:t>by publications such as Collard et al. 2003</w:t>
      </w:r>
      <w:r w:rsidR="00782D8F">
        <w:t>,</w:t>
      </w:r>
      <w:r>
        <w:rPr>
          <w:rStyle w:val="FootnoteReference"/>
        </w:rPr>
        <w:footnoteReference w:id="13"/>
      </w:r>
      <w:r w:rsidR="00782D8F">
        <w:t xml:space="preserve"> </w:t>
      </w:r>
      <w:r w:rsidR="00782D8F" w:rsidRPr="00782D8F">
        <w:t>du Bois et al. 2011</w:t>
      </w:r>
      <w:r w:rsidR="00782D8F">
        <w:t>.</w:t>
      </w:r>
      <w:r w:rsidR="00782D8F" w:rsidRPr="00782D8F">
        <w:t xml:space="preserve"> </w:t>
      </w:r>
      <w:r>
        <w:rPr>
          <w:rStyle w:val="FootnoteReference"/>
        </w:rPr>
        <w:footnoteReference w:id="14"/>
      </w:r>
      <w:r w:rsidR="00782D8F">
        <w:t xml:space="preserve"> </w:t>
      </w:r>
      <w:r w:rsidR="00782D8F" w:rsidRPr="00782D8F">
        <w:t>The estimated minimum clinically important difference was considered to be 2 to 6% in patients with IPF (du Bois R et al. 2011</w:t>
      </w:r>
      <w:r w:rsidR="00782D8F">
        <w:rPr>
          <w:rStyle w:val="FootnoteReference"/>
        </w:rPr>
        <w:footnoteReference w:id="15"/>
      </w:r>
      <w:r w:rsidR="00782D8F" w:rsidRPr="00782D8F">
        <w:t>(9)).</w:t>
      </w:r>
    </w:p>
    <w:p w:rsidR="003B1573" w:rsidRPr="003B1573" w:rsidRDefault="003B1573" w:rsidP="003B1573">
      <w:r w:rsidRPr="00525513">
        <w:lastRenderedPageBreak/>
        <w:t xml:space="preserve">The primary efficacy outcome, decline in percent predicted FVC over 12 to 18 months, is </w:t>
      </w:r>
      <w:r>
        <w:t xml:space="preserve">therefore </w:t>
      </w:r>
      <w:r w:rsidRPr="00525513">
        <w:t>accepted as clinically relevant, although an indirect indicat</w:t>
      </w:r>
      <w:r>
        <w:t>or of mortality and morbidity.</w:t>
      </w:r>
    </w:p>
    <w:p w:rsidR="003B1573" w:rsidRDefault="003B1573" w:rsidP="003B1573">
      <w:pPr>
        <w:rPr>
          <w:rFonts w:asciiTheme="minorHAnsi" w:hAnsiTheme="minorHAnsi" w:cstheme="minorHAnsi"/>
        </w:rPr>
      </w:pPr>
      <w:r w:rsidRPr="00525513">
        <w:rPr>
          <w:rFonts w:asciiTheme="minorHAnsi" w:hAnsiTheme="minorHAnsi" w:cstheme="minorHAnsi"/>
        </w:rPr>
        <w:t xml:space="preserve">Analyses and presentation </w:t>
      </w:r>
      <w:r>
        <w:rPr>
          <w:rFonts w:asciiTheme="minorHAnsi" w:hAnsiTheme="minorHAnsi" w:cstheme="minorHAnsi"/>
        </w:rPr>
        <w:t xml:space="preserve">were </w:t>
      </w:r>
      <w:r w:rsidRPr="00525513">
        <w:rPr>
          <w:rFonts w:asciiTheme="minorHAnsi" w:hAnsiTheme="minorHAnsi" w:cstheme="minorHAnsi"/>
        </w:rPr>
        <w:t xml:space="preserve">appropriate. The three individual trials appear to have a high quality rating for underlying methodology with no </w:t>
      </w:r>
      <w:r>
        <w:rPr>
          <w:rFonts w:asciiTheme="minorHAnsi" w:hAnsiTheme="minorHAnsi" w:cstheme="minorHAnsi"/>
        </w:rPr>
        <w:t>serious limitations due to bias.</w:t>
      </w:r>
    </w:p>
    <w:p w:rsidR="003B1573" w:rsidRDefault="003B1573" w:rsidP="003B1573">
      <w:pPr>
        <w:rPr>
          <w:rFonts w:asciiTheme="minorHAnsi" w:hAnsiTheme="minorHAnsi" w:cstheme="minorHAnsi"/>
        </w:rPr>
      </w:pPr>
      <w:r w:rsidRPr="006A39E3">
        <w:rPr>
          <w:rFonts w:asciiTheme="minorHAnsi" w:hAnsiTheme="minorHAnsi" w:cstheme="minorHAnsi"/>
        </w:rPr>
        <w:t xml:space="preserve">However the absolute difference in treatment effect, </w:t>
      </w:r>
      <w:r>
        <w:rPr>
          <w:rFonts w:asciiTheme="minorHAnsi" w:hAnsiTheme="minorHAnsi" w:cstheme="minorHAnsi"/>
        </w:rPr>
        <w:t>namely</w:t>
      </w:r>
      <w:r w:rsidRPr="006A39E3">
        <w:rPr>
          <w:rFonts w:asciiTheme="minorHAnsi" w:hAnsiTheme="minorHAnsi" w:cstheme="minorHAnsi"/>
        </w:rPr>
        <w:t xml:space="preserve"> the </w:t>
      </w:r>
      <w:r>
        <w:rPr>
          <w:rFonts w:asciiTheme="minorHAnsi" w:hAnsiTheme="minorHAnsi" w:cstheme="minorHAnsi"/>
        </w:rPr>
        <w:t xml:space="preserve">mean </w:t>
      </w:r>
      <w:r w:rsidRPr="006A39E3">
        <w:rPr>
          <w:rFonts w:asciiTheme="minorHAnsi" w:hAnsiTheme="minorHAnsi" w:cstheme="minorHAnsi"/>
        </w:rPr>
        <w:t xml:space="preserve">reduction in decline in </w:t>
      </w:r>
      <w:r>
        <w:rPr>
          <w:rFonts w:asciiTheme="minorHAnsi" w:hAnsiTheme="minorHAnsi" w:cstheme="minorHAnsi"/>
        </w:rPr>
        <w:t>percent</w:t>
      </w:r>
      <w:r w:rsidRPr="006A39E3">
        <w:rPr>
          <w:rFonts w:asciiTheme="minorHAnsi" w:hAnsiTheme="minorHAnsi" w:cstheme="minorHAnsi"/>
        </w:rPr>
        <w:t xml:space="preserve"> predicted FEV, is small.</w:t>
      </w:r>
    </w:p>
    <w:p w:rsidR="003B1573" w:rsidRDefault="003B1573" w:rsidP="003B1573">
      <w:pPr>
        <w:rPr>
          <w:rFonts w:asciiTheme="minorHAnsi" w:hAnsiTheme="minorHAnsi" w:cstheme="minorHAnsi"/>
        </w:rPr>
      </w:pPr>
      <w:r>
        <w:rPr>
          <w:rFonts w:asciiTheme="minorHAnsi" w:hAnsiTheme="minorHAnsi" w:cstheme="minorHAnsi"/>
        </w:rPr>
        <w:t>T</w:t>
      </w:r>
      <w:r w:rsidRPr="00525513">
        <w:rPr>
          <w:rFonts w:asciiTheme="minorHAnsi" w:hAnsiTheme="minorHAnsi" w:cstheme="minorHAnsi"/>
        </w:rPr>
        <w:t xml:space="preserve">rial </w:t>
      </w:r>
      <w:r>
        <w:rPr>
          <w:rFonts w:asciiTheme="minorHAnsi" w:hAnsiTheme="minorHAnsi" w:cstheme="minorHAnsi"/>
        </w:rPr>
        <w:t>results were inconsistent in that Study PIPF-004 and Study PIPF-016 showed a statistically significant effect of pirfenidone on the primary efficacy variable, but the result in PIPF-006 was not statistically significant.</w:t>
      </w:r>
    </w:p>
    <w:p w:rsidR="001941F5" w:rsidRDefault="003B1573" w:rsidP="001941F5">
      <w:pPr>
        <w:rPr>
          <w:rFonts w:asciiTheme="minorHAnsi" w:hAnsiTheme="minorHAnsi" w:cstheme="minorHAnsi"/>
        </w:rPr>
      </w:pPr>
      <w:r>
        <w:rPr>
          <w:rFonts w:asciiTheme="minorHAnsi" w:hAnsiTheme="minorHAnsi" w:cstheme="minorHAnsi"/>
        </w:rPr>
        <w:t>T</w:t>
      </w:r>
      <w:r w:rsidRPr="00905359">
        <w:rPr>
          <w:rFonts w:asciiTheme="minorHAnsi" w:hAnsiTheme="minorHAnsi" w:cstheme="minorHAnsi"/>
        </w:rPr>
        <w:t xml:space="preserve">he placebo group in </w:t>
      </w:r>
      <w:r>
        <w:rPr>
          <w:rFonts w:asciiTheme="minorHAnsi" w:hAnsiTheme="minorHAnsi" w:cstheme="minorHAnsi"/>
        </w:rPr>
        <w:t xml:space="preserve">Study </w:t>
      </w:r>
      <w:r w:rsidRPr="00905359">
        <w:rPr>
          <w:rFonts w:asciiTheme="minorHAnsi" w:hAnsiTheme="minorHAnsi" w:cstheme="minorHAnsi"/>
        </w:rPr>
        <w:t xml:space="preserve">PIPF-006 demonstrated a smaller decline </w:t>
      </w:r>
      <w:r>
        <w:rPr>
          <w:rFonts w:asciiTheme="minorHAnsi" w:hAnsiTheme="minorHAnsi" w:cstheme="minorHAnsi"/>
        </w:rPr>
        <w:t xml:space="preserve">in percent </w:t>
      </w:r>
      <w:r w:rsidRPr="00905359">
        <w:rPr>
          <w:rFonts w:asciiTheme="minorHAnsi" w:hAnsiTheme="minorHAnsi" w:cstheme="minorHAnsi"/>
        </w:rPr>
        <w:t>predicted FVC than placebo group in PIPF</w:t>
      </w:r>
      <w:r>
        <w:rPr>
          <w:rFonts w:asciiTheme="minorHAnsi" w:hAnsiTheme="minorHAnsi" w:cstheme="minorHAnsi"/>
        </w:rPr>
        <w:t>-004, consistent with variability in disease</w:t>
      </w:r>
      <w:r w:rsidRPr="00905359">
        <w:rPr>
          <w:rFonts w:asciiTheme="minorHAnsi" w:hAnsiTheme="minorHAnsi" w:cstheme="minorHAnsi"/>
        </w:rPr>
        <w:t xml:space="preserve"> </w:t>
      </w:r>
      <w:r>
        <w:rPr>
          <w:rFonts w:asciiTheme="minorHAnsi" w:hAnsiTheme="minorHAnsi" w:cstheme="minorHAnsi"/>
        </w:rPr>
        <w:t>progression.</w:t>
      </w:r>
    </w:p>
    <w:p w:rsidR="001941F5" w:rsidRPr="001941F5" w:rsidRDefault="001941F5" w:rsidP="001941F5">
      <w:pPr>
        <w:spacing w:before="0" w:after="200" w:line="0" w:lineRule="auto"/>
        <w:rPr>
          <w:rFonts w:asciiTheme="minorHAnsi" w:hAnsiTheme="minorHAnsi" w:cstheme="minorHAnsi"/>
        </w:rPr>
      </w:pPr>
      <w:r>
        <w:rPr>
          <w:rFonts w:asciiTheme="minorHAnsi" w:hAnsiTheme="minorHAnsi" w:cstheme="minorHAnsi"/>
        </w:rPr>
        <w:br w:type="page"/>
      </w:r>
    </w:p>
    <w:p w:rsidR="00C47B1F" w:rsidRDefault="00C47B1F" w:rsidP="00C47B1F">
      <w:pPr>
        <w:pStyle w:val="Tabletitle"/>
      </w:pPr>
      <w:r>
        <w:lastRenderedPageBreak/>
        <w:t xml:space="preserve">Table </w:t>
      </w:r>
      <w:r w:rsidR="00351A53">
        <w:t>14</w:t>
      </w:r>
      <w:r>
        <w:t xml:space="preserve">. Evaluator’s tabulation of </w:t>
      </w:r>
      <w:r w:rsidRPr="0021405F">
        <w:t xml:space="preserve">relevant </w:t>
      </w:r>
      <w:r>
        <w:t>differences between Study PIPF</w:t>
      </w:r>
      <w:r>
        <w:noBreakHyphen/>
        <w:t>004, Study PIPF</w:t>
      </w:r>
      <w:r>
        <w:noBreakHyphen/>
      </w:r>
      <w:r w:rsidRPr="0021405F">
        <w:t>006 and</w:t>
      </w:r>
      <w:r>
        <w:t xml:space="preserve"> Study</w:t>
      </w:r>
      <w:r w:rsidR="001941F5">
        <w:t xml:space="preserve"> PIPF</w:t>
      </w:r>
      <w:r w:rsidR="001941F5">
        <w:noBreakHyphen/>
        <w:t>016. (n = ITT population)</w:t>
      </w:r>
    </w:p>
    <w:tbl>
      <w:tblPr>
        <w:tblStyle w:val="TableTGAblue"/>
        <w:tblW w:w="4992" w:type="pct"/>
        <w:tblLayout w:type="fixed"/>
        <w:tblCellMar>
          <w:left w:w="29" w:type="dxa"/>
          <w:right w:w="29" w:type="dxa"/>
        </w:tblCellMar>
        <w:tblLook w:val="0020" w:firstRow="1" w:lastRow="0" w:firstColumn="0" w:lastColumn="0" w:noHBand="0" w:noVBand="0"/>
      </w:tblPr>
      <w:tblGrid>
        <w:gridCol w:w="1057"/>
        <w:gridCol w:w="1607"/>
        <w:gridCol w:w="1451"/>
        <w:gridCol w:w="1319"/>
        <w:gridCol w:w="1585"/>
        <w:gridCol w:w="2050"/>
      </w:tblGrid>
      <w:tr w:rsidR="00C47B1F" w:rsidRPr="003B1573" w:rsidTr="000E7CA2">
        <w:trPr>
          <w:cnfStyle w:val="100000000000" w:firstRow="1" w:lastRow="0" w:firstColumn="0" w:lastColumn="0" w:oddVBand="0" w:evenVBand="0" w:oddHBand="0" w:evenHBand="0" w:firstRowFirstColumn="0" w:firstRowLastColumn="0" w:lastRowFirstColumn="0" w:lastRowLastColumn="0"/>
          <w:cantSplit/>
          <w:trHeight w:val="1859"/>
          <w:tblHeader/>
        </w:trPr>
        <w:tc>
          <w:tcPr>
            <w:tcW w:w="583" w:type="pct"/>
          </w:tcPr>
          <w:p w:rsidR="003B1573" w:rsidRPr="001941F5" w:rsidRDefault="00C47B1F" w:rsidP="001941F5">
            <w:pPr>
              <w:spacing w:line="240" w:lineRule="auto"/>
              <w:rPr>
                <w:rFonts w:asciiTheme="minorHAnsi" w:hAnsiTheme="minorHAnsi" w:cstheme="minorHAnsi"/>
                <w:sz w:val="18"/>
              </w:rPr>
            </w:pPr>
            <w:r w:rsidRPr="001941F5">
              <w:rPr>
                <w:rFonts w:asciiTheme="minorHAnsi" w:hAnsiTheme="minorHAnsi" w:cstheme="minorHAnsi"/>
                <w:sz w:val="18"/>
              </w:rPr>
              <w:t>Study ID </w:t>
            </w:r>
            <w:r w:rsidR="003B1573" w:rsidRPr="001941F5">
              <w:rPr>
                <w:rFonts w:asciiTheme="minorHAnsi" w:hAnsiTheme="minorHAnsi" w:cstheme="minorHAnsi"/>
                <w:sz w:val="18"/>
              </w:rPr>
              <w:t>Year</w:t>
            </w:r>
          </w:p>
        </w:tc>
        <w:tc>
          <w:tcPr>
            <w:tcW w:w="886" w:type="pct"/>
          </w:tcPr>
          <w:p w:rsidR="003B1573" w:rsidRPr="001941F5" w:rsidRDefault="003B1573" w:rsidP="001941F5">
            <w:pPr>
              <w:spacing w:line="240" w:lineRule="auto"/>
              <w:rPr>
                <w:rFonts w:asciiTheme="minorHAnsi" w:hAnsiTheme="minorHAnsi" w:cstheme="minorHAnsi"/>
                <w:sz w:val="18"/>
              </w:rPr>
            </w:pPr>
            <w:r w:rsidRPr="001941F5">
              <w:rPr>
                <w:rFonts w:asciiTheme="minorHAnsi" w:hAnsiTheme="minorHAnsi" w:cstheme="minorHAnsi"/>
                <w:sz w:val="18"/>
              </w:rPr>
              <w:t>Population</w:t>
            </w:r>
            <w:r w:rsidR="00782D8F">
              <w:rPr>
                <w:rFonts w:asciiTheme="minorHAnsi" w:hAnsiTheme="minorHAnsi" w:cstheme="minorHAnsi"/>
                <w:sz w:val="18"/>
              </w:rPr>
              <w:t xml:space="preserve"> </w:t>
            </w:r>
            <w:r w:rsidR="00C47B1F" w:rsidRPr="001941F5">
              <w:rPr>
                <w:rFonts w:asciiTheme="minorHAnsi" w:hAnsiTheme="minorHAnsi" w:cstheme="minorHAnsi"/>
                <w:sz w:val="18"/>
              </w:rPr>
              <w:t>Age;</w:t>
            </w:r>
            <w:r w:rsidR="00782D8F">
              <w:rPr>
                <w:rFonts w:asciiTheme="minorHAnsi" w:hAnsiTheme="minorHAnsi" w:cstheme="minorHAnsi"/>
                <w:sz w:val="18"/>
              </w:rPr>
              <w:t xml:space="preserve"> </w:t>
            </w:r>
            <w:r w:rsidRPr="001941F5">
              <w:rPr>
                <w:rFonts w:asciiTheme="minorHAnsi" w:hAnsiTheme="minorHAnsi" w:cstheme="minorHAnsi"/>
                <w:sz w:val="18"/>
              </w:rPr>
              <w:t>Key IPF physiological characteristics;</w:t>
            </w:r>
            <w:r w:rsidR="00782D8F">
              <w:rPr>
                <w:rFonts w:asciiTheme="minorHAnsi" w:hAnsiTheme="minorHAnsi" w:cstheme="minorHAnsi"/>
                <w:sz w:val="18"/>
              </w:rPr>
              <w:t xml:space="preserve"> </w:t>
            </w:r>
            <w:r w:rsidRPr="001941F5">
              <w:rPr>
                <w:rFonts w:asciiTheme="minorHAnsi" w:hAnsiTheme="minorHAnsi" w:cstheme="minorHAnsi"/>
                <w:sz w:val="18"/>
              </w:rPr>
              <w:t>Study duration</w:t>
            </w:r>
          </w:p>
        </w:tc>
        <w:tc>
          <w:tcPr>
            <w:tcW w:w="800" w:type="pct"/>
          </w:tcPr>
          <w:p w:rsidR="003B1573" w:rsidRPr="001941F5" w:rsidRDefault="001941F5" w:rsidP="001941F5">
            <w:pPr>
              <w:spacing w:line="240" w:lineRule="auto"/>
              <w:rPr>
                <w:rFonts w:asciiTheme="minorHAnsi" w:hAnsiTheme="minorHAnsi" w:cstheme="minorHAnsi"/>
                <w:sz w:val="18"/>
              </w:rPr>
            </w:pPr>
            <w:r>
              <w:rPr>
                <w:rFonts w:asciiTheme="minorHAnsi" w:hAnsiTheme="minorHAnsi" w:cstheme="minorHAnsi"/>
                <w:sz w:val="18"/>
              </w:rPr>
              <w:t>Treatment</w:t>
            </w:r>
            <w:r w:rsidR="00782D8F">
              <w:rPr>
                <w:rFonts w:asciiTheme="minorHAnsi" w:hAnsiTheme="minorHAnsi" w:cstheme="minorHAnsi"/>
                <w:sz w:val="18"/>
              </w:rPr>
              <w:t xml:space="preserve"> </w:t>
            </w:r>
            <w:r w:rsidR="003B1573" w:rsidRPr="001941F5">
              <w:rPr>
                <w:rFonts w:asciiTheme="minorHAnsi" w:hAnsiTheme="minorHAnsi" w:cstheme="minorHAnsi"/>
                <w:sz w:val="18"/>
              </w:rPr>
              <w:t>Pirfenidone total dose (mg/day)</w:t>
            </w:r>
          </w:p>
        </w:tc>
        <w:tc>
          <w:tcPr>
            <w:tcW w:w="727" w:type="pct"/>
          </w:tcPr>
          <w:p w:rsidR="003B1573" w:rsidRPr="001941F5" w:rsidRDefault="003B1573" w:rsidP="001941F5">
            <w:pPr>
              <w:spacing w:line="240" w:lineRule="auto"/>
              <w:rPr>
                <w:rFonts w:asciiTheme="minorHAnsi" w:hAnsiTheme="minorHAnsi" w:cstheme="minorHAnsi"/>
                <w:sz w:val="18"/>
              </w:rPr>
            </w:pPr>
            <w:r w:rsidRPr="001941F5">
              <w:rPr>
                <w:rFonts w:asciiTheme="minorHAnsi" w:hAnsiTheme="minorHAnsi" w:cstheme="minorHAnsi"/>
                <w:sz w:val="18"/>
              </w:rPr>
              <w:t>Comparator</w:t>
            </w:r>
            <w:r w:rsidR="00782D8F">
              <w:rPr>
                <w:rFonts w:asciiTheme="minorHAnsi" w:hAnsiTheme="minorHAnsi" w:cstheme="minorHAnsi"/>
                <w:sz w:val="18"/>
              </w:rPr>
              <w:t xml:space="preserve"> </w:t>
            </w:r>
            <w:r w:rsidRPr="001941F5">
              <w:rPr>
                <w:rFonts w:asciiTheme="minorHAnsi" w:hAnsiTheme="minorHAnsi" w:cstheme="minorHAnsi"/>
                <w:sz w:val="18"/>
              </w:rPr>
              <w:t>Placebo</w:t>
            </w:r>
          </w:p>
        </w:tc>
        <w:tc>
          <w:tcPr>
            <w:tcW w:w="874" w:type="pct"/>
          </w:tcPr>
          <w:p w:rsidR="003B1573" w:rsidRPr="001941F5" w:rsidRDefault="003B1573" w:rsidP="001941F5">
            <w:pPr>
              <w:spacing w:line="240" w:lineRule="auto"/>
              <w:rPr>
                <w:rFonts w:asciiTheme="minorHAnsi" w:hAnsiTheme="minorHAnsi" w:cstheme="minorHAnsi"/>
                <w:sz w:val="18"/>
              </w:rPr>
            </w:pPr>
            <w:r w:rsidRPr="001941F5">
              <w:rPr>
                <w:rFonts w:asciiTheme="minorHAnsi" w:hAnsiTheme="minorHAnsi" w:cstheme="minorHAnsi"/>
                <w:sz w:val="18"/>
              </w:rPr>
              <w:t>Primary efficacy endpoint</w:t>
            </w:r>
          </w:p>
        </w:tc>
        <w:tc>
          <w:tcPr>
            <w:tcW w:w="1130" w:type="pct"/>
          </w:tcPr>
          <w:p w:rsidR="003B1573" w:rsidRPr="001941F5" w:rsidRDefault="003B1573" w:rsidP="001941F5">
            <w:pPr>
              <w:spacing w:line="240" w:lineRule="auto"/>
              <w:rPr>
                <w:rFonts w:asciiTheme="minorHAnsi" w:hAnsiTheme="minorHAnsi" w:cstheme="minorHAnsi"/>
                <w:sz w:val="18"/>
              </w:rPr>
            </w:pPr>
            <w:r w:rsidRPr="001941F5">
              <w:rPr>
                <w:rFonts w:asciiTheme="minorHAnsi" w:hAnsiTheme="minorHAnsi" w:cstheme="minorHAnsi"/>
                <w:sz w:val="18"/>
              </w:rPr>
              <w:t>Secondary endpoints</w:t>
            </w:r>
          </w:p>
        </w:tc>
      </w:tr>
      <w:tr w:rsidR="00C47B1F" w:rsidRPr="003B1573" w:rsidTr="000E7CA2">
        <w:trPr>
          <w:cantSplit/>
          <w:trHeight w:val="2170"/>
        </w:trPr>
        <w:tc>
          <w:tcPr>
            <w:tcW w:w="583" w:type="pct"/>
          </w:tcPr>
          <w:p w:rsidR="003B1573" w:rsidRPr="00C47B1F" w:rsidRDefault="00C47B1F"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PIPF</w:t>
            </w:r>
            <w:r w:rsidR="003B1573" w:rsidRPr="00C47B1F">
              <w:rPr>
                <w:rFonts w:asciiTheme="minorHAnsi" w:hAnsiTheme="minorHAnsi" w:cstheme="minorHAnsi"/>
                <w:sz w:val="19"/>
                <w:szCs w:val="19"/>
              </w:rPr>
              <w:t>004</w:t>
            </w:r>
          </w:p>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Nov 2008</w:t>
            </w:r>
          </w:p>
        </w:tc>
        <w:tc>
          <w:tcPr>
            <w:tcW w:w="886" w:type="pct"/>
          </w:tcPr>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40-80 yr, duration of diagnosis ≤</w:t>
            </w:r>
            <w:r w:rsidR="00782D8F">
              <w:rPr>
                <w:rFonts w:asciiTheme="minorHAnsi" w:hAnsiTheme="minorHAnsi" w:cstheme="minorHAnsi"/>
                <w:sz w:val="19"/>
                <w:szCs w:val="19"/>
              </w:rPr>
              <w:t xml:space="preserve"> </w:t>
            </w:r>
            <w:r w:rsidRPr="00C47B1F">
              <w:rPr>
                <w:rFonts w:asciiTheme="minorHAnsi" w:hAnsiTheme="minorHAnsi" w:cstheme="minorHAnsi"/>
                <w:sz w:val="19"/>
                <w:szCs w:val="19"/>
              </w:rPr>
              <w:t>48 months,</w:t>
            </w:r>
          </w:p>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FVC ≥</w:t>
            </w:r>
            <w:r w:rsidR="00782D8F">
              <w:rPr>
                <w:rFonts w:asciiTheme="minorHAnsi" w:hAnsiTheme="minorHAnsi" w:cstheme="minorHAnsi"/>
                <w:sz w:val="19"/>
                <w:szCs w:val="19"/>
              </w:rPr>
              <w:t xml:space="preserve"> </w:t>
            </w:r>
            <w:r w:rsidRPr="00C47B1F">
              <w:rPr>
                <w:rFonts w:asciiTheme="minorHAnsi" w:hAnsiTheme="minorHAnsi" w:cstheme="minorHAnsi"/>
                <w:sz w:val="19"/>
                <w:szCs w:val="19"/>
              </w:rPr>
              <w:t xml:space="preserve">50% </w:t>
            </w:r>
            <w:r w:rsidR="00782D8F">
              <w:rPr>
                <w:rFonts w:asciiTheme="minorHAnsi" w:hAnsiTheme="minorHAnsi" w:cstheme="minorHAnsi"/>
                <w:sz w:val="19"/>
                <w:szCs w:val="19"/>
              </w:rPr>
              <w:t>and</w:t>
            </w:r>
            <w:r w:rsidR="00782D8F" w:rsidRPr="00C47B1F">
              <w:rPr>
                <w:rFonts w:asciiTheme="minorHAnsi" w:hAnsiTheme="minorHAnsi" w:cstheme="minorHAnsi"/>
                <w:sz w:val="19"/>
                <w:szCs w:val="19"/>
              </w:rPr>
              <w:t xml:space="preserve"> </w:t>
            </w:r>
            <w:r w:rsidRPr="00C47B1F">
              <w:rPr>
                <w:rFonts w:asciiTheme="minorHAnsi" w:hAnsiTheme="minorHAnsi" w:cstheme="minorHAnsi"/>
                <w:sz w:val="19"/>
                <w:szCs w:val="19"/>
              </w:rPr>
              <w:t>DLco ≥</w:t>
            </w:r>
            <w:r w:rsidR="00782D8F">
              <w:rPr>
                <w:rFonts w:asciiTheme="minorHAnsi" w:hAnsiTheme="minorHAnsi" w:cstheme="minorHAnsi"/>
                <w:sz w:val="19"/>
                <w:szCs w:val="19"/>
              </w:rPr>
              <w:t xml:space="preserve"> </w:t>
            </w:r>
            <w:r w:rsidRPr="00C47B1F">
              <w:rPr>
                <w:rFonts w:asciiTheme="minorHAnsi" w:hAnsiTheme="minorHAnsi" w:cstheme="minorHAnsi"/>
                <w:sz w:val="19"/>
                <w:szCs w:val="19"/>
              </w:rPr>
              <w:t>35% predicted;</w:t>
            </w:r>
            <w:r w:rsidR="00782D8F">
              <w:rPr>
                <w:rFonts w:asciiTheme="minorHAnsi" w:hAnsiTheme="minorHAnsi" w:cstheme="minorHAnsi"/>
                <w:sz w:val="19"/>
                <w:szCs w:val="19"/>
              </w:rPr>
              <w:t xml:space="preserve"> </w:t>
            </w:r>
            <w:r w:rsidRPr="00C47B1F">
              <w:rPr>
                <w:rFonts w:asciiTheme="minorHAnsi" w:hAnsiTheme="minorHAnsi" w:cstheme="minorHAnsi"/>
                <w:sz w:val="19"/>
                <w:szCs w:val="19"/>
              </w:rPr>
              <w:t>72 weeks</w:t>
            </w:r>
          </w:p>
        </w:tc>
        <w:tc>
          <w:tcPr>
            <w:tcW w:w="800" w:type="pct"/>
          </w:tcPr>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2</w:t>
            </w:r>
            <w:r w:rsidR="00782D8F">
              <w:rPr>
                <w:rFonts w:asciiTheme="minorHAnsi" w:hAnsiTheme="minorHAnsi" w:cstheme="minorHAnsi"/>
                <w:sz w:val="19"/>
                <w:szCs w:val="19"/>
              </w:rPr>
              <w:t>,</w:t>
            </w:r>
            <w:r w:rsidRPr="00C47B1F">
              <w:rPr>
                <w:rFonts w:asciiTheme="minorHAnsi" w:hAnsiTheme="minorHAnsi" w:cstheme="minorHAnsi"/>
                <w:sz w:val="19"/>
                <w:szCs w:val="19"/>
              </w:rPr>
              <w:t>403</w:t>
            </w:r>
            <w:r w:rsidR="00782D8F">
              <w:rPr>
                <w:rFonts w:asciiTheme="minorHAnsi" w:hAnsiTheme="minorHAnsi" w:cstheme="minorHAnsi"/>
                <w:sz w:val="19"/>
                <w:szCs w:val="19"/>
              </w:rPr>
              <w:t xml:space="preserve"> mg </w:t>
            </w:r>
            <w:r w:rsidRPr="00C47B1F">
              <w:rPr>
                <w:rFonts w:asciiTheme="minorHAnsi" w:hAnsiTheme="minorHAnsi" w:cstheme="minorHAnsi"/>
                <w:sz w:val="19"/>
                <w:szCs w:val="19"/>
              </w:rPr>
              <w:t>N</w:t>
            </w:r>
            <w:r w:rsidR="00782D8F">
              <w:rPr>
                <w:rFonts w:asciiTheme="minorHAnsi" w:hAnsiTheme="minorHAnsi" w:cstheme="minorHAnsi"/>
                <w:sz w:val="19"/>
                <w:szCs w:val="19"/>
              </w:rPr>
              <w:t> </w:t>
            </w:r>
            <w:r w:rsidRPr="00C47B1F">
              <w:rPr>
                <w:rFonts w:asciiTheme="minorHAnsi" w:hAnsiTheme="minorHAnsi" w:cstheme="minorHAnsi"/>
                <w:sz w:val="19"/>
                <w:szCs w:val="19"/>
              </w:rPr>
              <w:t>=</w:t>
            </w:r>
            <w:r w:rsidR="00782D8F">
              <w:rPr>
                <w:rFonts w:asciiTheme="minorHAnsi" w:hAnsiTheme="minorHAnsi" w:cstheme="minorHAnsi"/>
                <w:sz w:val="19"/>
                <w:szCs w:val="19"/>
              </w:rPr>
              <w:t> </w:t>
            </w:r>
            <w:r w:rsidRPr="00C47B1F">
              <w:rPr>
                <w:rFonts w:asciiTheme="minorHAnsi" w:hAnsiTheme="minorHAnsi" w:cstheme="minorHAnsi"/>
                <w:sz w:val="19"/>
                <w:szCs w:val="19"/>
              </w:rPr>
              <w:t>174</w:t>
            </w:r>
          </w:p>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1</w:t>
            </w:r>
            <w:r w:rsidR="00782D8F">
              <w:rPr>
                <w:rFonts w:asciiTheme="minorHAnsi" w:hAnsiTheme="minorHAnsi" w:cstheme="minorHAnsi"/>
                <w:sz w:val="19"/>
                <w:szCs w:val="19"/>
              </w:rPr>
              <w:t>,</w:t>
            </w:r>
            <w:r w:rsidRPr="00C47B1F">
              <w:rPr>
                <w:rFonts w:asciiTheme="minorHAnsi" w:hAnsiTheme="minorHAnsi" w:cstheme="minorHAnsi"/>
                <w:sz w:val="19"/>
                <w:szCs w:val="19"/>
              </w:rPr>
              <w:t>197</w:t>
            </w:r>
            <w:r w:rsidR="00782D8F">
              <w:rPr>
                <w:rFonts w:asciiTheme="minorHAnsi" w:hAnsiTheme="minorHAnsi" w:cstheme="minorHAnsi"/>
                <w:sz w:val="19"/>
                <w:szCs w:val="19"/>
              </w:rPr>
              <w:t xml:space="preserve"> mg </w:t>
            </w:r>
            <w:r w:rsidRPr="00C47B1F">
              <w:rPr>
                <w:rFonts w:asciiTheme="minorHAnsi" w:hAnsiTheme="minorHAnsi" w:cstheme="minorHAnsi"/>
                <w:sz w:val="19"/>
                <w:szCs w:val="19"/>
              </w:rPr>
              <w:t>N = 87</w:t>
            </w:r>
          </w:p>
        </w:tc>
        <w:tc>
          <w:tcPr>
            <w:tcW w:w="727" w:type="pct"/>
          </w:tcPr>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N = 174</w:t>
            </w:r>
          </w:p>
        </w:tc>
        <w:tc>
          <w:tcPr>
            <w:tcW w:w="874" w:type="pct"/>
          </w:tcPr>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Change in % predicted FVC from baseline to week 72; Absolute difference 4.4% in favour of pirfenidone at week 72, significant</w:t>
            </w:r>
          </w:p>
        </w:tc>
        <w:tc>
          <w:tcPr>
            <w:tcW w:w="1130" w:type="pct"/>
          </w:tcPr>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Time to worsening IPF,</w:t>
            </w:r>
          </w:p>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Progression-free survival,</w:t>
            </w:r>
          </w:p>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 xml:space="preserve">Change 6MWT, Categorical assessment of absolute change in % predicted FVC from baseline to week 72 </w:t>
            </w:r>
          </w:p>
        </w:tc>
      </w:tr>
      <w:tr w:rsidR="00C47B1F" w:rsidRPr="003B1573" w:rsidTr="000E7CA2">
        <w:trPr>
          <w:cantSplit/>
          <w:trHeight w:val="2170"/>
        </w:trPr>
        <w:tc>
          <w:tcPr>
            <w:tcW w:w="583" w:type="pct"/>
          </w:tcPr>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PIPF-006</w:t>
            </w:r>
          </w:p>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Nov 2008</w:t>
            </w:r>
          </w:p>
        </w:tc>
        <w:tc>
          <w:tcPr>
            <w:tcW w:w="886" w:type="pct"/>
          </w:tcPr>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As above</w:t>
            </w:r>
          </w:p>
        </w:tc>
        <w:tc>
          <w:tcPr>
            <w:tcW w:w="800" w:type="pct"/>
          </w:tcPr>
          <w:p w:rsidR="003B1573" w:rsidRPr="00C47B1F" w:rsidRDefault="00782D8F" w:rsidP="001941F5">
            <w:pPr>
              <w:spacing w:line="240" w:lineRule="auto"/>
              <w:rPr>
                <w:rFonts w:asciiTheme="minorHAnsi" w:hAnsiTheme="minorHAnsi" w:cstheme="minorHAnsi"/>
                <w:sz w:val="19"/>
                <w:szCs w:val="19"/>
              </w:rPr>
            </w:pPr>
            <w:r w:rsidRPr="00782D8F">
              <w:rPr>
                <w:rFonts w:asciiTheme="minorHAnsi" w:hAnsiTheme="minorHAnsi" w:cstheme="minorHAnsi"/>
                <w:sz w:val="19"/>
                <w:szCs w:val="19"/>
              </w:rPr>
              <w:t>2,403</w:t>
            </w:r>
            <w:r w:rsidR="00931E82">
              <w:rPr>
                <w:rFonts w:asciiTheme="minorHAnsi" w:hAnsiTheme="minorHAnsi" w:cstheme="minorHAnsi"/>
                <w:sz w:val="19"/>
                <w:szCs w:val="19"/>
              </w:rPr>
              <w:t xml:space="preserve"> mg</w:t>
            </w:r>
            <w:r w:rsidRPr="00782D8F">
              <w:rPr>
                <w:rFonts w:asciiTheme="minorHAnsi" w:hAnsiTheme="minorHAnsi" w:cstheme="minorHAnsi"/>
                <w:sz w:val="19"/>
                <w:szCs w:val="19"/>
              </w:rPr>
              <w:t xml:space="preserve"> </w:t>
            </w:r>
            <w:r w:rsidR="003B1573" w:rsidRPr="00C47B1F">
              <w:rPr>
                <w:rFonts w:asciiTheme="minorHAnsi" w:hAnsiTheme="minorHAnsi" w:cstheme="minorHAnsi"/>
                <w:sz w:val="19"/>
                <w:szCs w:val="19"/>
              </w:rPr>
              <w:t>N</w:t>
            </w:r>
            <w:r w:rsidR="00931E82">
              <w:rPr>
                <w:rFonts w:asciiTheme="minorHAnsi" w:hAnsiTheme="minorHAnsi" w:cstheme="minorHAnsi"/>
                <w:sz w:val="19"/>
                <w:szCs w:val="19"/>
              </w:rPr>
              <w:t> </w:t>
            </w:r>
            <w:r w:rsidR="003B1573" w:rsidRPr="00C47B1F">
              <w:rPr>
                <w:rFonts w:asciiTheme="minorHAnsi" w:hAnsiTheme="minorHAnsi" w:cstheme="minorHAnsi"/>
                <w:sz w:val="19"/>
                <w:szCs w:val="19"/>
              </w:rPr>
              <w:t>=</w:t>
            </w:r>
            <w:r w:rsidR="00931E82">
              <w:rPr>
                <w:rFonts w:asciiTheme="minorHAnsi" w:hAnsiTheme="minorHAnsi" w:cstheme="minorHAnsi"/>
                <w:sz w:val="19"/>
                <w:szCs w:val="19"/>
              </w:rPr>
              <w:t> </w:t>
            </w:r>
            <w:r w:rsidR="003B1573" w:rsidRPr="00C47B1F">
              <w:rPr>
                <w:rFonts w:asciiTheme="minorHAnsi" w:hAnsiTheme="minorHAnsi" w:cstheme="minorHAnsi"/>
                <w:sz w:val="19"/>
                <w:szCs w:val="19"/>
              </w:rPr>
              <w:t>171</w:t>
            </w:r>
          </w:p>
        </w:tc>
        <w:tc>
          <w:tcPr>
            <w:tcW w:w="727" w:type="pct"/>
          </w:tcPr>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N = 173</w:t>
            </w:r>
          </w:p>
        </w:tc>
        <w:tc>
          <w:tcPr>
            <w:tcW w:w="874" w:type="pct"/>
          </w:tcPr>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Change in % predicted FVC from baseline to week 72;</w:t>
            </w:r>
            <w:r w:rsidR="00931E82">
              <w:rPr>
                <w:rFonts w:asciiTheme="minorHAnsi" w:hAnsiTheme="minorHAnsi" w:cstheme="minorHAnsi"/>
                <w:sz w:val="19"/>
                <w:szCs w:val="19"/>
              </w:rPr>
              <w:t xml:space="preserve"> </w:t>
            </w:r>
            <w:r w:rsidRPr="00C47B1F">
              <w:rPr>
                <w:rFonts w:asciiTheme="minorHAnsi" w:hAnsiTheme="minorHAnsi" w:cstheme="minorHAnsi"/>
                <w:sz w:val="19"/>
                <w:szCs w:val="19"/>
              </w:rPr>
              <w:t xml:space="preserve">Absolute difference 0.6% in favour of pirfenidone, non-significant </w:t>
            </w:r>
          </w:p>
        </w:tc>
        <w:tc>
          <w:tcPr>
            <w:tcW w:w="1130" w:type="pct"/>
          </w:tcPr>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As above</w:t>
            </w:r>
          </w:p>
        </w:tc>
      </w:tr>
      <w:tr w:rsidR="00C47B1F" w:rsidRPr="003B1573" w:rsidTr="000E7CA2">
        <w:trPr>
          <w:cantSplit/>
          <w:trHeight w:val="2170"/>
        </w:trPr>
        <w:tc>
          <w:tcPr>
            <w:tcW w:w="583" w:type="pct"/>
          </w:tcPr>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PIPF -016</w:t>
            </w:r>
          </w:p>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Feb 2014</w:t>
            </w:r>
          </w:p>
        </w:tc>
        <w:tc>
          <w:tcPr>
            <w:tcW w:w="886" w:type="pct"/>
          </w:tcPr>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40-80 yr, duration of diagnosis ≥</w:t>
            </w:r>
            <w:r w:rsidR="00931E82">
              <w:rPr>
                <w:rFonts w:asciiTheme="minorHAnsi" w:hAnsiTheme="minorHAnsi" w:cstheme="minorHAnsi"/>
                <w:sz w:val="19"/>
                <w:szCs w:val="19"/>
              </w:rPr>
              <w:t xml:space="preserve"> </w:t>
            </w:r>
            <w:r w:rsidRPr="00C47B1F">
              <w:rPr>
                <w:rFonts w:asciiTheme="minorHAnsi" w:hAnsiTheme="minorHAnsi" w:cstheme="minorHAnsi"/>
                <w:sz w:val="19"/>
                <w:szCs w:val="19"/>
              </w:rPr>
              <w:t>6 months to ≤</w:t>
            </w:r>
            <w:r w:rsidR="00931E82">
              <w:rPr>
                <w:rFonts w:asciiTheme="minorHAnsi" w:hAnsiTheme="minorHAnsi" w:cstheme="minorHAnsi"/>
                <w:sz w:val="19"/>
                <w:szCs w:val="19"/>
              </w:rPr>
              <w:t xml:space="preserve"> </w:t>
            </w:r>
            <w:r w:rsidRPr="00C47B1F">
              <w:rPr>
                <w:rFonts w:asciiTheme="minorHAnsi" w:hAnsiTheme="minorHAnsi" w:cstheme="minorHAnsi"/>
                <w:sz w:val="19"/>
                <w:szCs w:val="19"/>
              </w:rPr>
              <w:t>48 months,</w:t>
            </w:r>
          </w:p>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FVC ≥</w:t>
            </w:r>
            <w:r w:rsidR="00931E82">
              <w:rPr>
                <w:rFonts w:asciiTheme="minorHAnsi" w:hAnsiTheme="minorHAnsi" w:cstheme="minorHAnsi"/>
                <w:sz w:val="19"/>
                <w:szCs w:val="19"/>
              </w:rPr>
              <w:t xml:space="preserve"> </w:t>
            </w:r>
            <w:r w:rsidRPr="00C47B1F">
              <w:rPr>
                <w:rFonts w:asciiTheme="minorHAnsi" w:hAnsiTheme="minorHAnsi" w:cstheme="minorHAnsi"/>
                <w:sz w:val="19"/>
                <w:szCs w:val="19"/>
              </w:rPr>
              <w:t>50%</w:t>
            </w:r>
            <w:r w:rsidR="005D2037">
              <w:rPr>
                <w:rFonts w:asciiTheme="minorHAnsi" w:hAnsiTheme="minorHAnsi" w:cstheme="minorHAnsi"/>
                <w:sz w:val="19"/>
                <w:szCs w:val="19"/>
              </w:rPr>
              <w:t xml:space="preserve"> </w:t>
            </w:r>
            <w:r w:rsidRPr="00C47B1F">
              <w:rPr>
                <w:rFonts w:asciiTheme="minorHAnsi" w:hAnsiTheme="minorHAnsi" w:cstheme="minorHAnsi"/>
                <w:sz w:val="19"/>
                <w:szCs w:val="19"/>
              </w:rPr>
              <w:t>DLco ≥</w:t>
            </w:r>
            <w:r w:rsidR="00931E82">
              <w:rPr>
                <w:rFonts w:asciiTheme="minorHAnsi" w:hAnsiTheme="minorHAnsi" w:cstheme="minorHAnsi"/>
                <w:sz w:val="19"/>
                <w:szCs w:val="19"/>
              </w:rPr>
              <w:t> </w:t>
            </w:r>
            <w:r w:rsidRPr="00C47B1F">
              <w:rPr>
                <w:rFonts w:asciiTheme="minorHAnsi" w:hAnsiTheme="minorHAnsi" w:cstheme="minorHAnsi"/>
                <w:sz w:val="19"/>
                <w:szCs w:val="19"/>
              </w:rPr>
              <w:t xml:space="preserve">30% </w:t>
            </w:r>
            <w:r w:rsidR="00931E82">
              <w:rPr>
                <w:rFonts w:asciiTheme="minorHAnsi" w:hAnsiTheme="minorHAnsi" w:cstheme="minorHAnsi"/>
                <w:sz w:val="19"/>
                <w:szCs w:val="19"/>
              </w:rPr>
              <w:t xml:space="preserve">and </w:t>
            </w:r>
            <w:r w:rsidRPr="00C47B1F">
              <w:rPr>
                <w:rFonts w:asciiTheme="minorHAnsi" w:hAnsiTheme="minorHAnsi" w:cstheme="minorHAnsi"/>
                <w:sz w:val="19"/>
                <w:szCs w:val="19"/>
              </w:rPr>
              <w:t>both</w:t>
            </w:r>
            <w:r w:rsidR="00931E82">
              <w:rPr>
                <w:rFonts w:asciiTheme="minorHAnsi" w:hAnsiTheme="minorHAnsi" w:cstheme="minorHAnsi"/>
                <w:sz w:val="19"/>
                <w:szCs w:val="19"/>
              </w:rPr>
              <w:t xml:space="preserve"> </w:t>
            </w:r>
            <w:r w:rsidRPr="00C47B1F">
              <w:rPr>
                <w:rFonts w:asciiTheme="minorHAnsi" w:hAnsiTheme="minorHAnsi" w:cstheme="minorHAnsi"/>
                <w:sz w:val="19"/>
                <w:szCs w:val="19"/>
              </w:rPr>
              <w:t>≤</w:t>
            </w:r>
            <w:r w:rsidR="00931E82">
              <w:rPr>
                <w:rFonts w:asciiTheme="minorHAnsi" w:hAnsiTheme="minorHAnsi" w:cstheme="minorHAnsi"/>
                <w:sz w:val="19"/>
                <w:szCs w:val="19"/>
              </w:rPr>
              <w:t> </w:t>
            </w:r>
            <w:r w:rsidRPr="00C47B1F">
              <w:rPr>
                <w:rFonts w:asciiTheme="minorHAnsi" w:hAnsiTheme="minorHAnsi" w:cstheme="minorHAnsi"/>
                <w:sz w:val="19"/>
                <w:szCs w:val="19"/>
              </w:rPr>
              <w:t xml:space="preserve">90% predicted </w:t>
            </w:r>
            <w:r w:rsidR="00931E82">
              <w:rPr>
                <w:rFonts w:asciiTheme="minorHAnsi" w:hAnsiTheme="minorHAnsi" w:cstheme="minorHAnsi"/>
                <w:sz w:val="19"/>
                <w:szCs w:val="19"/>
              </w:rPr>
              <w:t xml:space="preserve">and </w:t>
            </w:r>
            <w:r w:rsidRPr="00C47B1F">
              <w:rPr>
                <w:rFonts w:asciiTheme="minorHAnsi" w:hAnsiTheme="minorHAnsi" w:cstheme="minorHAnsi"/>
                <w:sz w:val="19"/>
                <w:szCs w:val="19"/>
              </w:rPr>
              <w:t>centrally reviewed; 52 weeks</w:t>
            </w:r>
          </w:p>
        </w:tc>
        <w:tc>
          <w:tcPr>
            <w:tcW w:w="800" w:type="pct"/>
          </w:tcPr>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2403 N = 278</w:t>
            </w:r>
          </w:p>
        </w:tc>
        <w:tc>
          <w:tcPr>
            <w:tcW w:w="727" w:type="pct"/>
          </w:tcPr>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 xml:space="preserve">N = 277 </w:t>
            </w:r>
          </w:p>
        </w:tc>
        <w:tc>
          <w:tcPr>
            <w:tcW w:w="874" w:type="pct"/>
          </w:tcPr>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 xml:space="preserve">Change in % predicted FVC from baseline to week 52 </w:t>
            </w:r>
            <w:r w:rsidRPr="00C47B1F">
              <w:rPr>
                <w:rFonts w:ascii="Calibri" w:hAnsi="Calibri" w:cs="Calibri"/>
                <w:sz w:val="19"/>
                <w:szCs w:val="19"/>
              </w:rPr>
              <w:t>by categorical assessment</w:t>
            </w:r>
            <w:r w:rsidRPr="00C47B1F">
              <w:rPr>
                <w:rFonts w:asciiTheme="minorHAnsi" w:hAnsiTheme="minorHAnsi" w:cstheme="minorHAnsi"/>
                <w:sz w:val="19"/>
                <w:szCs w:val="19"/>
              </w:rPr>
              <w:t xml:space="preserve">; difference 15.3% in favour of pirfenidone, i.e. decline FVC ≥ 10% or death 16.5% </w:t>
            </w:r>
            <w:r w:rsidR="000B6AC6">
              <w:rPr>
                <w:rFonts w:asciiTheme="minorHAnsi" w:hAnsiTheme="minorHAnsi" w:cstheme="minorHAnsi"/>
                <w:sz w:val="19"/>
                <w:szCs w:val="19"/>
              </w:rPr>
              <w:t>versus</w:t>
            </w:r>
            <w:r w:rsidR="00931E82">
              <w:rPr>
                <w:rFonts w:asciiTheme="minorHAnsi" w:hAnsiTheme="minorHAnsi" w:cstheme="minorHAnsi"/>
                <w:sz w:val="19"/>
                <w:szCs w:val="19"/>
              </w:rPr>
              <w:t xml:space="preserve"> </w:t>
            </w:r>
            <w:r w:rsidRPr="00C47B1F">
              <w:rPr>
                <w:rFonts w:asciiTheme="minorHAnsi" w:hAnsiTheme="minorHAnsi" w:cstheme="minorHAnsi"/>
                <w:sz w:val="19"/>
                <w:szCs w:val="19"/>
              </w:rPr>
              <w:t>31.8%;</w:t>
            </w:r>
            <w:r w:rsidR="005D2037">
              <w:rPr>
                <w:rFonts w:asciiTheme="minorHAnsi" w:hAnsiTheme="minorHAnsi" w:cstheme="minorHAnsi"/>
                <w:sz w:val="19"/>
                <w:szCs w:val="19"/>
              </w:rPr>
              <w:t xml:space="preserve"> </w:t>
            </w:r>
            <w:r w:rsidRPr="00C47B1F">
              <w:rPr>
                <w:rFonts w:ascii="Calibri" w:hAnsi="Calibri" w:cs="Calibri"/>
                <w:sz w:val="19"/>
                <w:szCs w:val="19"/>
              </w:rPr>
              <w:t>%</w:t>
            </w:r>
            <w:r w:rsidRPr="00C47B1F">
              <w:rPr>
                <w:rFonts w:asciiTheme="minorHAnsi" w:hAnsiTheme="minorHAnsi" w:cstheme="minorHAnsi"/>
                <w:sz w:val="19"/>
                <w:szCs w:val="19"/>
              </w:rPr>
              <w:t xml:space="preserve">predicted FVC </w:t>
            </w:r>
            <w:r w:rsidRPr="00C47B1F">
              <w:rPr>
                <w:rFonts w:ascii="Calibri" w:hAnsi="Calibri" w:cs="Calibri"/>
                <w:sz w:val="19"/>
                <w:szCs w:val="19"/>
              </w:rPr>
              <w:t>LSM difference 4.8% in favour of pirfenidone</w:t>
            </w:r>
            <w:r w:rsidR="00C47B1F" w:rsidRPr="00C47B1F">
              <w:rPr>
                <w:rFonts w:ascii="Calibri" w:hAnsi="Calibri" w:cs="Calibri"/>
                <w:sz w:val="19"/>
                <w:szCs w:val="19"/>
              </w:rPr>
              <w:t>*</w:t>
            </w:r>
          </w:p>
        </w:tc>
        <w:tc>
          <w:tcPr>
            <w:tcW w:w="1130" w:type="pct"/>
          </w:tcPr>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Change in 6 MWT distance from baseline to week 52,</w:t>
            </w:r>
          </w:p>
          <w:p w:rsidR="003B1573" w:rsidRPr="00C47B1F" w:rsidRDefault="003B1573" w:rsidP="001941F5">
            <w:pPr>
              <w:spacing w:line="240" w:lineRule="auto"/>
              <w:rPr>
                <w:rFonts w:asciiTheme="minorHAnsi" w:hAnsiTheme="minorHAnsi" w:cstheme="minorHAnsi"/>
                <w:sz w:val="19"/>
                <w:szCs w:val="19"/>
              </w:rPr>
            </w:pPr>
            <w:r w:rsidRPr="00C47B1F">
              <w:rPr>
                <w:rFonts w:asciiTheme="minorHAnsi" w:hAnsiTheme="minorHAnsi" w:cstheme="minorHAnsi"/>
                <w:sz w:val="19"/>
                <w:szCs w:val="19"/>
              </w:rPr>
              <w:t>Progression free survival</w:t>
            </w:r>
            <w:r w:rsidR="00931E82">
              <w:rPr>
                <w:rFonts w:asciiTheme="minorHAnsi" w:hAnsiTheme="minorHAnsi" w:cstheme="minorHAnsi"/>
                <w:sz w:val="19"/>
                <w:szCs w:val="19"/>
              </w:rPr>
              <w:t xml:space="preserve"> </w:t>
            </w:r>
            <w:r w:rsidRPr="00C47B1F">
              <w:rPr>
                <w:rFonts w:asciiTheme="minorHAnsi" w:hAnsiTheme="minorHAnsi" w:cstheme="minorHAnsi"/>
                <w:sz w:val="19"/>
                <w:szCs w:val="19"/>
              </w:rPr>
              <w:t>(amended definition), Dyspnoea,</w:t>
            </w:r>
            <w:r w:rsidR="00931E82">
              <w:rPr>
                <w:rFonts w:asciiTheme="minorHAnsi" w:hAnsiTheme="minorHAnsi" w:cstheme="minorHAnsi"/>
                <w:sz w:val="19"/>
                <w:szCs w:val="19"/>
              </w:rPr>
              <w:t xml:space="preserve"> </w:t>
            </w:r>
            <w:r w:rsidRPr="00C47B1F">
              <w:rPr>
                <w:rFonts w:asciiTheme="minorHAnsi" w:hAnsiTheme="minorHAnsi" w:cstheme="minorHAnsi"/>
                <w:sz w:val="19"/>
                <w:szCs w:val="19"/>
              </w:rPr>
              <w:t>Mortality</w:t>
            </w:r>
          </w:p>
        </w:tc>
      </w:tr>
    </w:tbl>
    <w:p w:rsidR="00C47B1F" w:rsidRDefault="00C47B1F" w:rsidP="00C47B1F">
      <w:pPr>
        <w:pStyle w:val="TableDescription"/>
      </w:pPr>
      <w:r w:rsidRPr="003B4994">
        <w:t>*LSM at week 52 change from baseline % predicted FVC</w:t>
      </w:r>
      <w:r>
        <w:t xml:space="preserve"> (SE)</w:t>
      </w:r>
      <w:r w:rsidRPr="003B4994">
        <w:t>: pirfenidone -6.17</w:t>
      </w:r>
      <w:r>
        <w:t xml:space="preserve"> (0.875)</w:t>
      </w:r>
      <w:r w:rsidRPr="003B4994">
        <w:t>, placebo -10.95</w:t>
      </w:r>
      <w:r>
        <w:t xml:space="preserve"> (0.877), difference in LS mean 4.781, p</w:t>
      </w:r>
      <w:r w:rsidR="00931E82">
        <w:t xml:space="preserve"> </w:t>
      </w:r>
      <w:r>
        <w:t>&lt; 0.0001.</w:t>
      </w:r>
    </w:p>
    <w:p w:rsidR="00C47B1F" w:rsidRPr="00C47B1F" w:rsidRDefault="00C47B1F" w:rsidP="00C47B1F">
      <w:pPr>
        <w:rPr>
          <w:rFonts w:ascii="Calibri" w:hAnsi="Calibri" w:cs="Calibri"/>
        </w:rPr>
      </w:pPr>
      <w:r w:rsidRPr="003A4240">
        <w:lastRenderedPageBreak/>
        <w:t>Due to apparent heterogeneity of the IPF study population</w:t>
      </w:r>
      <w:r>
        <w:t xml:space="preserve"> in the earlier studies</w:t>
      </w:r>
      <w:r w:rsidRPr="003A4240">
        <w:t>,</w:t>
      </w:r>
      <w:r>
        <w:t xml:space="preserve"> changes in </w:t>
      </w:r>
      <w:r w:rsidRPr="005806D5">
        <w:t>study population selection in PIPF-016 were directed towards increasing the proportion at risk of progression from IPF (increased duration of diagnosis, reduction in lower limit of DL</w:t>
      </w:r>
      <w:r w:rsidRPr="000E7CA2">
        <w:rPr>
          <w:vertAlign w:val="subscript"/>
        </w:rPr>
        <w:t>CO</w:t>
      </w:r>
      <w:r w:rsidRPr="005806D5">
        <w:t>), and reducing the proportion of subjects with significant co-existing COPD (FEV1/FVC ratio &lt;</w:t>
      </w:r>
      <w:r w:rsidR="00931E82">
        <w:t xml:space="preserve"> </w:t>
      </w:r>
      <w:r w:rsidRPr="005806D5">
        <w:t>0.8 after administration of bronchodilator at screening, confirmed by central review) while enlarging the sample size. As demonstrated by the baseline data, overall the study populations were similar. No specific rationale was presented for widening the target population stated in the Indication from ‘mild to moderate IPF’, as approved in EU an</w:t>
      </w:r>
      <w:r w:rsidR="005806D5" w:rsidRPr="005806D5">
        <w:t>d Canada, to IPF generally</w:t>
      </w:r>
      <w:r w:rsidR="00931E82">
        <w:t>, that is</w:t>
      </w:r>
      <w:r w:rsidRPr="005806D5">
        <w:t xml:space="preserve"> including severe grade IPF.</w:t>
      </w:r>
    </w:p>
    <w:p w:rsidR="003B1573" w:rsidRDefault="00C47B1F" w:rsidP="00380800">
      <w:r>
        <w:t xml:space="preserve">The </w:t>
      </w:r>
      <w:r w:rsidRPr="004D13E6">
        <w:t>decrement of ≥</w:t>
      </w:r>
      <w:r>
        <w:t> </w:t>
      </w:r>
      <w:r w:rsidRPr="004D13E6">
        <w:t xml:space="preserve">10% in percent predicted FVC </w:t>
      </w:r>
      <w:r>
        <w:t>was considered clinically relevant. T</w:t>
      </w:r>
      <w:r w:rsidRPr="004D13E6">
        <w:t>he selection of the distribution of patients</w:t>
      </w:r>
      <w:r w:rsidR="00CC72BC">
        <w:t xml:space="preserve"> across pre</w:t>
      </w:r>
      <w:r w:rsidR="00CC72BC">
        <w:noBreakHyphen/>
      </w:r>
      <w:r w:rsidRPr="004D13E6">
        <w:t xml:space="preserve">specified categories of change </w:t>
      </w:r>
      <w:r w:rsidR="00CC72BC">
        <w:t>in percent</w:t>
      </w:r>
      <w:r>
        <w:t xml:space="preserve"> predicted FVC w</w:t>
      </w:r>
      <w:r w:rsidRPr="004D13E6">
        <w:t xml:space="preserve">as the primary presentation of </w:t>
      </w:r>
      <w:r>
        <w:t xml:space="preserve">treatment effect </w:t>
      </w:r>
      <w:r w:rsidR="00CC72BC">
        <w:t>in Study PIPF</w:t>
      </w:r>
      <w:r w:rsidR="00CC72BC">
        <w:noBreakHyphen/>
      </w:r>
      <w:r w:rsidRPr="004D13E6">
        <w:t>016.</w:t>
      </w:r>
      <w:r>
        <w:t xml:space="preserve"> </w:t>
      </w:r>
      <w:r w:rsidRPr="003A4240">
        <w:t>This did not change the underlying data collected or the primary efficacy variable</w:t>
      </w:r>
      <w:r w:rsidR="00931E82">
        <w:t xml:space="preserve"> that is </w:t>
      </w:r>
      <w:r w:rsidRPr="003A4240">
        <w:t xml:space="preserve">change </w:t>
      </w:r>
      <w:r w:rsidR="00CC72BC">
        <w:t>in percent</w:t>
      </w:r>
      <w:r w:rsidRPr="003A4240">
        <w:t xml:space="preserve"> predicted FVC. This is acceptable, although </w:t>
      </w:r>
      <w:r>
        <w:t xml:space="preserve">the treatment effect appears larger </w:t>
      </w:r>
      <w:r w:rsidRPr="003A4240">
        <w:t xml:space="preserve">than </w:t>
      </w:r>
      <w:r>
        <w:t>when it is presented as mean difference</w:t>
      </w:r>
      <w:r w:rsidR="00CC72BC">
        <w:t xml:space="preserve"> in percent</w:t>
      </w:r>
      <w:r w:rsidRPr="003A4240">
        <w:t xml:space="preserve"> predicted FVC overall.</w:t>
      </w:r>
    </w:p>
    <w:p w:rsidR="00F23A19" w:rsidRPr="007F32BD" w:rsidRDefault="00F23A19" w:rsidP="00F23A19">
      <w:pPr>
        <w:pStyle w:val="Heading3"/>
      </w:pPr>
      <w:bookmarkStart w:id="160" w:name="_Ref271037188"/>
      <w:bookmarkStart w:id="161" w:name="_Ref271037210"/>
      <w:bookmarkStart w:id="162" w:name="_Toc272414655"/>
      <w:bookmarkStart w:id="163" w:name="_Toc290846277"/>
      <w:bookmarkStart w:id="164" w:name="_Toc430785390"/>
      <w:bookmarkStart w:id="165" w:name="_Toc459986991"/>
      <w:bookmarkStart w:id="166" w:name="_Toc241374311"/>
      <w:bookmarkStart w:id="167" w:name="_Ref243294291"/>
      <w:r w:rsidRPr="007F32BD">
        <w:t>Other efficacy studies</w:t>
      </w:r>
      <w:bookmarkEnd w:id="160"/>
      <w:bookmarkEnd w:id="161"/>
      <w:bookmarkEnd w:id="162"/>
      <w:bookmarkEnd w:id="163"/>
      <w:bookmarkEnd w:id="164"/>
      <w:bookmarkEnd w:id="165"/>
    </w:p>
    <w:p w:rsidR="00F23A19" w:rsidRPr="007F32BD" w:rsidRDefault="00F23A19" w:rsidP="00F23A19">
      <w:pPr>
        <w:pStyle w:val="Heading4"/>
      </w:pPr>
      <w:bookmarkStart w:id="168" w:name="_Toc430785391"/>
      <w:bookmarkEnd w:id="166"/>
      <w:bookmarkEnd w:id="167"/>
      <w:r>
        <w:t>PIPF-</w:t>
      </w:r>
      <w:r w:rsidRPr="007F32BD">
        <w:t>012</w:t>
      </w:r>
      <w:bookmarkEnd w:id="168"/>
    </w:p>
    <w:p w:rsidR="00F23A19" w:rsidRPr="007F32BD" w:rsidRDefault="00F23A19" w:rsidP="00F23A19">
      <w:pPr>
        <w:autoSpaceDE w:val="0"/>
        <w:autoSpaceDN w:val="0"/>
        <w:adjustRightInd w:val="0"/>
      </w:pPr>
      <w:r w:rsidRPr="007F32BD">
        <w:t>Study PIPF-012 is an ongoing, uncontrolled, open</w:t>
      </w:r>
      <w:r w:rsidR="00931E82">
        <w:t xml:space="preserve"> </w:t>
      </w:r>
      <w:r w:rsidRPr="007F32BD">
        <w:t xml:space="preserve">label extension study </w:t>
      </w:r>
      <w:r>
        <w:t xml:space="preserve">for </w:t>
      </w:r>
      <w:r w:rsidRPr="007F32BD">
        <w:t xml:space="preserve">eligible patients completing Studies PIPF-004 and PIPF-006 </w:t>
      </w:r>
      <w:r>
        <w:t xml:space="preserve">who </w:t>
      </w:r>
      <w:r w:rsidRPr="007F32BD">
        <w:t>receiv</w:t>
      </w:r>
      <w:r>
        <w:t>e</w:t>
      </w:r>
      <w:r w:rsidRPr="007F32BD">
        <w:t xml:space="preserve"> </w:t>
      </w:r>
      <w:r>
        <w:t xml:space="preserve">treatment with pirfenidone </w:t>
      </w:r>
      <w:r w:rsidR="00931E82">
        <w:t>2,403 </w:t>
      </w:r>
      <w:r w:rsidR="00001402">
        <w:t>mg</w:t>
      </w:r>
      <w:r w:rsidRPr="007F32BD">
        <w:t xml:space="preserve">/day. </w:t>
      </w:r>
      <w:r w:rsidRPr="00581080">
        <w:t>The primary objective was to assess long</w:t>
      </w:r>
      <w:r>
        <w:t>-term safety</w:t>
      </w:r>
      <w:r w:rsidRPr="00581080">
        <w:t xml:space="preserve"> and </w:t>
      </w:r>
      <w:r>
        <w:t xml:space="preserve">provide ongoing access to </w:t>
      </w:r>
      <w:r w:rsidRPr="00581080">
        <w:t>pirfenidone.</w:t>
      </w:r>
      <w:r w:rsidRPr="007F32BD">
        <w:t xml:space="preserve"> Over the 180</w:t>
      </w:r>
      <w:r w:rsidR="00931E82">
        <w:t xml:space="preserve"> </w:t>
      </w:r>
      <w:r w:rsidRPr="007F32BD">
        <w:t>week observation period</w:t>
      </w:r>
      <w:r>
        <w:t xml:space="preserve">, </w:t>
      </w:r>
      <w:r w:rsidRPr="007F32BD">
        <w:t>mean percent predicted FVC decline</w:t>
      </w:r>
      <w:r>
        <w:t xml:space="preserve">d from </w:t>
      </w:r>
      <w:r w:rsidRPr="007F32BD">
        <w:t xml:space="preserve">70.9% (n = 584) to 65.9% (n = 255). </w:t>
      </w:r>
      <w:r w:rsidRPr="00B95DFD">
        <w:t>The Kaplan Meier estimate of survival, from the time of the first dose of pirfenidone in PIP</w:t>
      </w:r>
      <w:r>
        <w:t>F-012, was 69% (standard error (SE)</w:t>
      </w:r>
      <w:r w:rsidRPr="00B95DFD">
        <w:t xml:space="preserve"> = 2.4%) at Week 228</w:t>
      </w:r>
      <w:r>
        <w:t>.</w:t>
      </w:r>
      <w:r w:rsidRPr="00B95DFD">
        <w:t xml:space="preserve"> </w:t>
      </w:r>
      <w:r w:rsidRPr="0057548E">
        <w:t>Large patient drop-out over time as well as open label and lack of control limit the interpretation with respect to efficacy.</w:t>
      </w:r>
    </w:p>
    <w:p w:rsidR="00F23A19" w:rsidRPr="007F32BD" w:rsidRDefault="00F23A19" w:rsidP="00F23A19">
      <w:pPr>
        <w:pStyle w:val="Heading4"/>
      </w:pPr>
      <w:bookmarkStart w:id="169" w:name="_Toc430785392"/>
      <w:r>
        <w:t>PIPF-002</w:t>
      </w:r>
      <w:bookmarkEnd w:id="169"/>
    </w:p>
    <w:p w:rsidR="00F23A19" w:rsidRDefault="00F23A19" w:rsidP="00F23A19">
      <w:pPr>
        <w:autoSpaceDE w:val="0"/>
        <w:autoSpaceDN w:val="0"/>
        <w:adjustRightInd w:val="0"/>
      </w:pPr>
      <w:r w:rsidRPr="00581080">
        <w:t>PIPF-002 was a long-term open label single</w:t>
      </w:r>
      <w:r w:rsidR="00931E82">
        <w:t xml:space="preserve"> </w:t>
      </w:r>
      <w:r w:rsidRPr="00581080">
        <w:t>arm study originally designed to assess the safety and efficacy of long-term pirfenidone treatment at doses up to 3</w:t>
      </w:r>
      <w:r w:rsidR="00931E82">
        <w:t>,</w:t>
      </w:r>
      <w:r w:rsidRPr="00581080">
        <w:t>600</w:t>
      </w:r>
      <w:r>
        <w:t xml:space="preserve"> mg/day.</w:t>
      </w:r>
      <w:r w:rsidRPr="00581080">
        <w:t xml:space="preserve"> A total of 83 patients were enrolled in Study PIPF-002</w:t>
      </w:r>
      <w:r>
        <w:t>,</w:t>
      </w:r>
      <w:r w:rsidRPr="00581080">
        <w:t xml:space="preserve"> and 11 (13.3%) remained on study at 7 August 2013 with a median duration of pirfenidone exposure of 156 weeks (range 3 to 519). There was minimal change from baseline in key pulmonary function tests and the Kaplan-Meier estimated survival rate was 58%.</w:t>
      </w:r>
    </w:p>
    <w:p w:rsidR="00F23A19" w:rsidRPr="007F32BD" w:rsidRDefault="00F23A19" w:rsidP="00F23A19">
      <w:pPr>
        <w:pStyle w:val="Heading3"/>
      </w:pPr>
      <w:bookmarkStart w:id="170" w:name="_Toc241374312"/>
      <w:bookmarkStart w:id="171" w:name="_Toc272414656"/>
      <w:bookmarkStart w:id="172" w:name="_Toc290846281"/>
      <w:bookmarkStart w:id="173" w:name="_Toc430785393"/>
      <w:bookmarkStart w:id="174" w:name="_Toc459986992"/>
      <w:r w:rsidRPr="007F32BD">
        <w:t>Analyses performed</w:t>
      </w:r>
      <w:r>
        <w:t xml:space="preserve"> across trials (pooled analyses</w:t>
      </w:r>
      <w:r w:rsidRPr="007F32BD">
        <w:t>)</w:t>
      </w:r>
      <w:bookmarkEnd w:id="170"/>
      <w:bookmarkEnd w:id="171"/>
      <w:bookmarkEnd w:id="172"/>
      <w:bookmarkEnd w:id="173"/>
      <w:bookmarkEnd w:id="174"/>
    </w:p>
    <w:p w:rsidR="00F23A19" w:rsidRDefault="00F23A19" w:rsidP="00F23A19">
      <w:pPr>
        <w:autoSpaceDE w:val="0"/>
        <w:autoSpaceDN w:val="0"/>
        <w:adjustRightInd w:val="0"/>
      </w:pPr>
      <w:r w:rsidRPr="0057548E">
        <w:t xml:space="preserve">Results from patients in the pirfenidone </w:t>
      </w:r>
      <w:r w:rsidR="00001402">
        <w:t>2,403 mg</w:t>
      </w:r>
      <w:r w:rsidRPr="0057548E">
        <w:t xml:space="preserve">/day </w:t>
      </w:r>
      <w:r>
        <w:t xml:space="preserve">(n = 623) </w:t>
      </w:r>
      <w:r w:rsidRPr="0057548E">
        <w:t>and placebo</w:t>
      </w:r>
      <w:r>
        <w:t xml:space="preserve"> (n = 624) </w:t>
      </w:r>
      <w:r w:rsidRPr="0057548E">
        <w:t xml:space="preserve">treatment groups </w:t>
      </w:r>
      <w:r>
        <w:t xml:space="preserve">from PIPF-004, PIPF-006, and PIPF-016 over 12 months </w:t>
      </w:r>
      <w:r w:rsidRPr="0057548E">
        <w:t>were pooled for the resubmission integrated s</w:t>
      </w:r>
      <w:r>
        <w:t>ummary of efficacy for the FDA; referred to as ‘2014 RISE’</w:t>
      </w:r>
      <w:r w:rsidRPr="00525513">
        <w:t>.</w:t>
      </w:r>
      <w:r>
        <w:t xml:space="preserve"> The groups were closely matched for baseline demographic characteristics; mean age 67.2 and 67.21 years, 74% male both groups, 95% </w:t>
      </w:r>
      <w:r w:rsidR="00931E82">
        <w:t>W</w:t>
      </w:r>
      <w:r>
        <w:t>hite, mean weight 91 kg and 89 kg in pirfenidone and placebo groups respectively.</w:t>
      </w:r>
    </w:p>
    <w:p w:rsidR="00F23A19" w:rsidRDefault="00F23A19" w:rsidP="00F23A19">
      <w:pPr>
        <w:autoSpaceDE w:val="0"/>
        <w:autoSpaceDN w:val="0"/>
        <w:adjustRightInd w:val="0"/>
      </w:pPr>
      <w:r>
        <w:t>Other baseline characteristics were also well matched in the pooled dataset. As expected, the mean b</w:t>
      </w:r>
      <w:r w:rsidRPr="00DC366F">
        <w:t xml:space="preserve">aseline </w:t>
      </w:r>
      <w:r>
        <w:t xml:space="preserve">percent predicted FVC was slightly </w:t>
      </w:r>
      <w:r w:rsidRPr="00DC366F">
        <w:t>lower in PIPF-016 compared with PIPF-004</w:t>
      </w:r>
      <w:r>
        <w:t xml:space="preserve"> and PIPF-006 (68.2% versus </w:t>
      </w:r>
      <w:r w:rsidRPr="00DC366F">
        <w:t>75.4% and 74.0%</w:t>
      </w:r>
      <w:r>
        <w:t xml:space="preserve"> </w:t>
      </w:r>
      <w:r w:rsidRPr="00DC366F">
        <w:t>respec</w:t>
      </w:r>
      <w:r>
        <w:t>tively), however, the range of b</w:t>
      </w:r>
      <w:r w:rsidRPr="00DC366F">
        <w:t>aseline values of percent predicted FVC was similar and</w:t>
      </w:r>
      <w:r>
        <w:t xml:space="preserve"> </w:t>
      </w:r>
      <w:r w:rsidRPr="00DC366F">
        <w:t>overlapping across the three study populations.</w:t>
      </w:r>
    </w:p>
    <w:p w:rsidR="00F23A19" w:rsidRDefault="00F23A19" w:rsidP="00F23A19">
      <w:pPr>
        <w:autoSpaceDE w:val="0"/>
        <w:autoSpaceDN w:val="0"/>
        <w:adjustRightInd w:val="0"/>
      </w:pPr>
      <w:r>
        <w:t xml:space="preserve">There was a wide range around mean values for baseline lung function and exercise tolerance within each study and across studies, representing a range of presentations and disease </w:t>
      </w:r>
      <w:r>
        <w:lastRenderedPageBreak/>
        <w:t xml:space="preserve">severity, including the </w:t>
      </w:r>
      <w:r w:rsidRPr="00A741AE">
        <w:t>gender/age/</w:t>
      </w:r>
      <w:r>
        <w:t>physiological variables (GAP index) staging for IPF</w:t>
      </w:r>
      <w:r w:rsidR="00931E82">
        <w:t xml:space="preserve"> </w:t>
      </w:r>
      <w:r w:rsidR="00931E82" w:rsidRPr="00931E82">
        <w:t>(Ley 2012</w:t>
      </w:r>
      <w:r w:rsidR="00931E82">
        <w:t>).</w:t>
      </w:r>
      <w:r w:rsidR="00931E82" w:rsidRPr="00931E82">
        <w:t xml:space="preserve"> </w:t>
      </w:r>
      <w:r w:rsidR="00F438EE">
        <w:rPr>
          <w:rStyle w:val="FootnoteReference"/>
        </w:rPr>
        <w:footnoteReference w:id="16"/>
      </w:r>
    </w:p>
    <w:p w:rsidR="00F23A19" w:rsidRDefault="00F23A19" w:rsidP="00F23A19">
      <w:pPr>
        <w:autoSpaceDE w:val="0"/>
        <w:autoSpaceDN w:val="0"/>
        <w:adjustRightInd w:val="0"/>
      </w:pPr>
      <w:r w:rsidRPr="0057548E">
        <w:t>The data for the change from baseline outcomes were analysed using a rank analysis of covariance (ANCOVA) model with rank change from baseline as the outcome and rank baseline value as a covariate. This allows weighting for the worst outcome, death, as well as non-normal distribution of the efficacy outcome.</w:t>
      </w:r>
      <w:r>
        <w:t xml:space="preserve"> </w:t>
      </w:r>
      <w:r w:rsidRPr="0057548E">
        <w:t>In all studies, 89.9% of p</w:t>
      </w:r>
      <w:r w:rsidR="00F438EE">
        <w:t xml:space="preserve">atients in the pirfenidone </w:t>
      </w:r>
      <w:r w:rsidR="009B1B86">
        <w:t>2,403 </w:t>
      </w:r>
      <w:r w:rsidR="00001402">
        <w:t>mg</w:t>
      </w:r>
      <w:r w:rsidRPr="0057548E">
        <w:t>/day and 88.1% in the placebo groups completed 12 months of study procedures.</w:t>
      </w:r>
    </w:p>
    <w:p w:rsidR="00F23A19" w:rsidRDefault="00F23A19" w:rsidP="00F23A19">
      <w:pPr>
        <w:autoSpaceDE w:val="0"/>
        <w:autoSpaceDN w:val="0"/>
        <w:adjustRightInd w:val="0"/>
      </w:pPr>
      <w:r w:rsidRPr="0057548E">
        <w:t>In the pooled analysis pirfenidone</w:t>
      </w:r>
      <w:r>
        <w:t xml:space="preserve"> </w:t>
      </w:r>
      <w:r w:rsidRPr="0057548E">
        <w:t xml:space="preserve">reduced the decline in percent predicted FVC compared with placebo </w:t>
      </w:r>
      <w:r>
        <w:t xml:space="preserve">over 12 months </w:t>
      </w:r>
      <w:r w:rsidRPr="0057548E">
        <w:t xml:space="preserve">(p &lt; 0.0001; rank ANCOVA). In the combined studies there was a relative reduction in the proportion of patients with a decline in percent predicted FVC </w:t>
      </w:r>
      <w:r w:rsidRPr="0057548E">
        <w:rPr>
          <w:rFonts w:hint="eastAsia"/>
        </w:rPr>
        <w:t>≥</w:t>
      </w:r>
      <w:r>
        <w:t xml:space="preserve"> </w:t>
      </w:r>
      <w:r w:rsidRPr="0057548E">
        <w:t>10% or death</w:t>
      </w:r>
      <w:r>
        <w:t>,</w:t>
      </w:r>
      <w:r w:rsidRPr="0057548E">
        <w:t xml:space="preserve"> and a</w:t>
      </w:r>
      <w:r>
        <w:t xml:space="preserve">n </w:t>
      </w:r>
      <w:r w:rsidRPr="0057548E">
        <w:t>increase in the proportion with no decline in percent predicted FVC</w:t>
      </w:r>
      <w:r>
        <w:t xml:space="preserve">, </w:t>
      </w:r>
      <w:r w:rsidRPr="0057548E">
        <w:t>in those receiving pirfenidone compar</w:t>
      </w:r>
      <w:r>
        <w:t xml:space="preserve">ed with those receiving placebo as per </w:t>
      </w:r>
      <w:r w:rsidRPr="00F438EE">
        <w:t xml:space="preserve">2014 RISE </w:t>
      </w:r>
      <w:r w:rsidR="009B1B86">
        <w:t>(</w:t>
      </w:r>
      <w:r w:rsidRPr="00F438EE">
        <w:t xml:space="preserve">Table </w:t>
      </w:r>
      <w:r w:rsidR="00351A53" w:rsidRPr="00F438EE">
        <w:t>1</w:t>
      </w:r>
      <w:r w:rsidR="00351A53">
        <w:t>5</w:t>
      </w:r>
      <w:r w:rsidR="009B1B86">
        <w:t>).</w:t>
      </w:r>
    </w:p>
    <w:p w:rsidR="00F438EE" w:rsidRPr="00F438EE" w:rsidRDefault="00F438EE" w:rsidP="00F438EE">
      <w:pPr>
        <w:pStyle w:val="Tabletitle"/>
      </w:pPr>
      <w:r w:rsidRPr="00F438EE">
        <w:t xml:space="preserve">Table </w:t>
      </w:r>
      <w:r w:rsidR="00351A53" w:rsidRPr="00F438EE">
        <w:t>1</w:t>
      </w:r>
      <w:r w:rsidR="00351A53">
        <w:t>5</w:t>
      </w:r>
      <w:r w:rsidRPr="00F438EE">
        <w:t>. Categorical analysis of change from baseline to month 12 i</w:t>
      </w:r>
      <w:r w:rsidR="001941F5">
        <w:t>n % predicted FVC, pooled data</w:t>
      </w:r>
    </w:p>
    <w:p w:rsidR="00F438EE" w:rsidRPr="00F438EE" w:rsidRDefault="00F438EE" w:rsidP="00F438EE">
      <w:pPr>
        <w:autoSpaceDE w:val="0"/>
        <w:autoSpaceDN w:val="0"/>
        <w:adjustRightInd w:val="0"/>
      </w:pPr>
      <w:r>
        <w:rPr>
          <w:i/>
          <w:noProof/>
          <w:lang w:eastAsia="en-AU"/>
        </w:rPr>
        <w:drawing>
          <wp:inline distT="0" distB="0" distL="0" distR="0" wp14:anchorId="6CB2171B" wp14:editId="072D6AC3">
            <wp:extent cx="5106035" cy="1192530"/>
            <wp:effectExtent l="0" t="0" r="0" b="7620"/>
            <wp:docPr id="17" name="Picture 17" descr="Table 15. Categorical analysis of change from baseline to month 12 in % predicted FVC,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6035" cy="1192530"/>
                    </a:xfrm>
                    <a:prstGeom prst="rect">
                      <a:avLst/>
                    </a:prstGeom>
                    <a:noFill/>
                    <a:ln>
                      <a:noFill/>
                    </a:ln>
                  </pic:spPr>
                </pic:pic>
              </a:graphicData>
            </a:graphic>
          </wp:inline>
        </w:drawing>
      </w:r>
    </w:p>
    <w:p w:rsidR="00F438EE" w:rsidRPr="00F438EE" w:rsidRDefault="00F438EE" w:rsidP="00F438EE">
      <w:pPr>
        <w:pStyle w:val="FigureTitle"/>
        <w:rPr>
          <w:highlight w:val="yellow"/>
        </w:rPr>
      </w:pPr>
      <w:r>
        <w:t xml:space="preserve">Figure </w:t>
      </w:r>
      <w:r w:rsidR="009B1B86">
        <w:t>7</w:t>
      </w:r>
      <w:r>
        <w:t xml:space="preserve">. </w:t>
      </w:r>
      <w:r w:rsidRPr="0057548E">
        <w:t>Proportion of patients with decline &gt; 10% in percent predicted FVC or death, pooled analysis</w:t>
      </w:r>
    </w:p>
    <w:p w:rsidR="00F438EE" w:rsidRPr="00F438EE" w:rsidRDefault="00F438EE" w:rsidP="00F438EE">
      <w:pPr>
        <w:autoSpaceDE w:val="0"/>
        <w:autoSpaceDN w:val="0"/>
        <w:adjustRightInd w:val="0"/>
        <w:rPr>
          <w:b/>
          <w:highlight w:val="yellow"/>
        </w:rPr>
      </w:pPr>
      <w:r>
        <w:rPr>
          <w:b/>
          <w:noProof/>
          <w:lang w:eastAsia="en-AU"/>
        </w:rPr>
        <w:drawing>
          <wp:inline distT="0" distB="0" distL="0" distR="0" wp14:anchorId="7465695E" wp14:editId="718833A1">
            <wp:extent cx="3950335" cy="2765425"/>
            <wp:effectExtent l="0" t="0" r="0" b="0"/>
            <wp:docPr id="16" name="Picture 16" descr="Figure 7. Proportion of patients with decline &gt; 10% in percent predicted FVC or death, pool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0335" cy="2765425"/>
                    </a:xfrm>
                    <a:prstGeom prst="rect">
                      <a:avLst/>
                    </a:prstGeom>
                    <a:noFill/>
                    <a:ln>
                      <a:noFill/>
                    </a:ln>
                  </pic:spPr>
                </pic:pic>
              </a:graphicData>
            </a:graphic>
          </wp:inline>
        </w:drawing>
      </w:r>
    </w:p>
    <w:p w:rsidR="00F438EE" w:rsidRDefault="00F438EE" w:rsidP="00F438EE">
      <w:pPr>
        <w:pStyle w:val="Heading4"/>
      </w:pPr>
      <w:r>
        <w:t>Mortality</w:t>
      </w:r>
    </w:p>
    <w:p w:rsidR="00F438EE" w:rsidRDefault="00F438EE" w:rsidP="00F438EE">
      <w:pPr>
        <w:autoSpaceDE w:val="0"/>
        <w:autoSpaceDN w:val="0"/>
        <w:adjustRightInd w:val="0"/>
      </w:pPr>
      <w:r w:rsidRPr="003D58BA">
        <w:t xml:space="preserve">In a pooled analysis of data from PIPF-016, PIPF-004, and PIPF-006 the risk of </w:t>
      </w:r>
      <w:r w:rsidR="009B1B86" w:rsidRPr="003D58BA">
        <w:t>all</w:t>
      </w:r>
      <w:r w:rsidR="009B1B86">
        <w:t>-</w:t>
      </w:r>
      <w:r w:rsidR="009B1B86" w:rsidRPr="003D58BA">
        <w:t>cause</w:t>
      </w:r>
      <w:r w:rsidRPr="003D58BA">
        <w:t xml:space="preserve"> mortality within one year was reduced in the pirfenidone group compared with the placebo group (HR 0.52; 95% CI, 0.31</w:t>
      </w:r>
      <w:r>
        <w:t xml:space="preserve"> to </w:t>
      </w:r>
      <w:r w:rsidRPr="003D58BA">
        <w:t>0.87; p = 0.0107, log-rank test), and the risk of treatment</w:t>
      </w:r>
      <w:r w:rsidR="009B1B86">
        <w:t xml:space="preserve"> </w:t>
      </w:r>
      <w:r w:rsidRPr="003D58BA">
        <w:t>emergent IPF</w:t>
      </w:r>
      <w:r w:rsidR="009B1B86">
        <w:t xml:space="preserve"> </w:t>
      </w:r>
      <w:r w:rsidRPr="003D58BA">
        <w:t xml:space="preserve">related death was </w:t>
      </w:r>
      <w:r>
        <w:t xml:space="preserve">also </w:t>
      </w:r>
      <w:r w:rsidRPr="003D58BA">
        <w:t>reduced (HR 0.32; 95% CI, 0.14</w:t>
      </w:r>
      <w:r>
        <w:t xml:space="preserve"> to </w:t>
      </w:r>
      <w:r w:rsidRPr="003D58BA">
        <w:t>0.76;</w:t>
      </w:r>
      <w:r>
        <w:t xml:space="preserve"> </w:t>
      </w:r>
      <w:r w:rsidRPr="003D58BA">
        <w:t xml:space="preserve">p = 0.0061, </w:t>
      </w:r>
      <w:r w:rsidRPr="003D58BA">
        <w:lastRenderedPageBreak/>
        <w:t>log</w:t>
      </w:r>
      <w:r>
        <w:noBreakHyphen/>
      </w:r>
      <w:r w:rsidRPr="003D58BA">
        <w:t>rank test) in the pirfenidone group</w:t>
      </w:r>
      <w:r w:rsidR="00351A53">
        <w:t xml:space="preserve"> (see Table 16 below)</w:t>
      </w:r>
      <w:r w:rsidRPr="003D58BA">
        <w:t>.</w:t>
      </w:r>
      <w:r>
        <w:t xml:space="preserve"> Overall the number of IPF-related deaths on study was small.</w:t>
      </w:r>
    </w:p>
    <w:p w:rsidR="00F438EE" w:rsidRDefault="00F438EE" w:rsidP="00F438EE">
      <w:pPr>
        <w:pStyle w:val="Tabletitle"/>
      </w:pPr>
      <w:r>
        <w:t xml:space="preserve">Table </w:t>
      </w:r>
      <w:r w:rsidR="00351A53">
        <w:t>16</w:t>
      </w:r>
      <w:r>
        <w:t xml:space="preserve">. </w:t>
      </w:r>
      <w:r w:rsidRPr="004F235C">
        <w:t xml:space="preserve">Overview of mortality endpoints at </w:t>
      </w:r>
      <w:r w:rsidR="009B1B86">
        <w:t>M</w:t>
      </w:r>
      <w:r w:rsidRPr="004F235C">
        <w:t>onth 1</w:t>
      </w:r>
      <w:r w:rsidR="009B1B86">
        <w:t>2 (</w:t>
      </w:r>
      <w:r w:rsidR="001941F5">
        <w:t>from 2014 RISE</w:t>
      </w:r>
      <w:r w:rsidR="009B1B86">
        <w:t>)</w:t>
      </w:r>
    </w:p>
    <w:p w:rsidR="00F438EE" w:rsidRPr="007F32BD" w:rsidRDefault="00F438EE" w:rsidP="00F438EE">
      <w:pPr>
        <w:autoSpaceDE w:val="0"/>
        <w:autoSpaceDN w:val="0"/>
        <w:adjustRightInd w:val="0"/>
      </w:pPr>
      <w:r>
        <w:rPr>
          <w:noProof/>
          <w:lang w:eastAsia="en-AU"/>
        </w:rPr>
        <w:drawing>
          <wp:inline distT="0" distB="0" distL="0" distR="0" wp14:anchorId="1131AAB1" wp14:editId="396DFDE0">
            <wp:extent cx="5918200" cy="1550670"/>
            <wp:effectExtent l="0" t="0" r="6350" b="0"/>
            <wp:docPr id="18" name="Picture 18" descr="Table 16. Overview of mortality endpoints at Month 12 (from 2014 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8200" cy="1550670"/>
                    </a:xfrm>
                    <a:prstGeom prst="rect">
                      <a:avLst/>
                    </a:prstGeom>
                    <a:noFill/>
                    <a:ln>
                      <a:noFill/>
                    </a:ln>
                  </pic:spPr>
                </pic:pic>
              </a:graphicData>
            </a:graphic>
          </wp:inline>
        </w:drawing>
      </w:r>
    </w:p>
    <w:p w:rsidR="00F438EE" w:rsidRPr="007F32BD" w:rsidRDefault="00F438EE" w:rsidP="00F438EE">
      <w:pPr>
        <w:pStyle w:val="Heading3"/>
      </w:pPr>
      <w:bookmarkStart w:id="175" w:name="_Toc430785394"/>
      <w:bookmarkStart w:id="176" w:name="_Ref271126605"/>
      <w:bookmarkStart w:id="177" w:name="_Toc272414657"/>
      <w:bookmarkStart w:id="178" w:name="_Toc290846282"/>
      <w:bookmarkStart w:id="179" w:name="_Toc459986993"/>
      <w:r w:rsidRPr="007F32BD">
        <w:t>Evaluator’s conclusions on clinical efficacy</w:t>
      </w:r>
      <w:bookmarkEnd w:id="175"/>
      <w:bookmarkEnd w:id="176"/>
      <w:bookmarkEnd w:id="177"/>
      <w:bookmarkEnd w:id="178"/>
      <w:bookmarkEnd w:id="179"/>
    </w:p>
    <w:p w:rsidR="00F438EE" w:rsidRDefault="00F438EE" w:rsidP="00F438EE">
      <w:r>
        <w:t>PIPF</w:t>
      </w:r>
      <w:r>
        <w:noBreakHyphen/>
      </w:r>
      <w:r w:rsidRPr="00F438EE">
        <w:t>004</w:t>
      </w:r>
      <w:r w:rsidRPr="007F32BD">
        <w:t xml:space="preserve"> demonstrated statistically significant </w:t>
      </w:r>
      <w:r>
        <w:t xml:space="preserve">difference from placebo favouring pirfenidone in change from baseline in % predicted FVC, </w:t>
      </w:r>
      <w:r w:rsidRPr="007F32BD">
        <w:t>but</w:t>
      </w:r>
      <w:r>
        <w:t xml:space="preserve"> in </w:t>
      </w:r>
      <w:r w:rsidRPr="00F438EE">
        <w:t>PIPF</w:t>
      </w:r>
      <w:r w:rsidRPr="00F438EE">
        <w:noBreakHyphen/>
        <w:t>006</w:t>
      </w:r>
      <w:r w:rsidRPr="007F32BD">
        <w:t xml:space="preserve"> </w:t>
      </w:r>
      <w:r>
        <w:t>no significant difference was shown.</w:t>
      </w:r>
    </w:p>
    <w:p w:rsidR="00F438EE" w:rsidRDefault="00F438EE" w:rsidP="00F438EE">
      <w:r w:rsidRPr="007F32BD">
        <w:t xml:space="preserve">Small adjustments in the inclusion criteria </w:t>
      </w:r>
      <w:r>
        <w:t>‘</w:t>
      </w:r>
      <w:r w:rsidRPr="007F32BD">
        <w:t>to increase the chances of disease progression</w:t>
      </w:r>
      <w:r>
        <w:t xml:space="preserve">’ were made for </w:t>
      </w:r>
      <w:r w:rsidR="00E17771">
        <w:t>PIPF</w:t>
      </w:r>
      <w:r w:rsidR="00E17771">
        <w:noBreakHyphen/>
      </w:r>
      <w:r w:rsidRPr="00E17771">
        <w:t>016</w:t>
      </w:r>
      <w:r>
        <w:t>. T</w:t>
      </w:r>
      <w:r w:rsidRPr="007F32BD">
        <w:t>he study was larger</w:t>
      </w:r>
      <w:r>
        <w:t>,</w:t>
      </w:r>
      <w:r w:rsidRPr="007F32BD">
        <w:t xml:space="preserve"> with changes in the definition for disease progression and clinically relevant</w:t>
      </w:r>
      <w:r>
        <w:t xml:space="preserve"> secondary </w:t>
      </w:r>
      <w:r w:rsidRPr="007F32BD">
        <w:t>endpoints</w:t>
      </w:r>
      <w:r>
        <w:t xml:space="preserve"> as well as the change in the presentation of the primary efficacy variable</w:t>
      </w:r>
      <w:r w:rsidRPr="007F32BD">
        <w:t xml:space="preserve">. </w:t>
      </w:r>
      <w:r w:rsidRPr="00E17771">
        <w:t>PIPF</w:t>
      </w:r>
      <w:r w:rsidR="00E17771">
        <w:noBreakHyphen/>
      </w:r>
      <w:r w:rsidRPr="00E17771">
        <w:t>016</w:t>
      </w:r>
      <w:r w:rsidRPr="00CC020C">
        <w:rPr>
          <w:b/>
        </w:rPr>
        <w:t xml:space="preserve"> </w:t>
      </w:r>
      <w:r w:rsidRPr="007F32BD">
        <w:t xml:space="preserve">demonstrated </w:t>
      </w:r>
      <w:r>
        <w:t xml:space="preserve">a statistically significant difference in change from baseline </w:t>
      </w:r>
      <w:r w:rsidR="00E17771">
        <w:t>percent</w:t>
      </w:r>
      <w:r>
        <w:t xml:space="preserve"> predicted FVC decline ≥ 10% or death, favouring pirfenidone </w:t>
      </w:r>
      <w:r w:rsidR="00001402">
        <w:t>2,403 mg</w:t>
      </w:r>
      <w:r w:rsidRPr="007F32BD">
        <w:t>/day</w:t>
      </w:r>
      <w:r>
        <w:t xml:space="preserve"> over placebo.</w:t>
      </w:r>
    </w:p>
    <w:p w:rsidR="00F438EE" w:rsidRDefault="00F438EE" w:rsidP="00F438EE">
      <w:r>
        <w:t>As supportive evidence, in the pooled analysis t</w:t>
      </w:r>
      <w:r w:rsidRPr="00F27A3B">
        <w:t xml:space="preserve">he proportion of patients with FVC decline </w:t>
      </w:r>
      <w:r w:rsidR="00E17771">
        <w:t>&gt; </w:t>
      </w:r>
      <w:r w:rsidRPr="00F27A3B">
        <w:t>10% or death was significantly reduced over 1 year</w:t>
      </w:r>
      <w:r w:rsidR="00E17771">
        <w:t>; pirfenidone 14.8% versus</w:t>
      </w:r>
      <w:r>
        <w:t xml:space="preserve"> placebo 26.3%.</w:t>
      </w:r>
      <w:r w:rsidRPr="00F27A3B">
        <w:t xml:space="preserve"> </w:t>
      </w:r>
      <w:r>
        <w:t>Analyses for all-cause mortality were also supportive.</w:t>
      </w:r>
    </w:p>
    <w:p w:rsidR="00F23A19" w:rsidRPr="00CC72BC" w:rsidRDefault="00F438EE" w:rsidP="00E17771">
      <w:r>
        <w:t>For regulatory purposes in the context of current international approval, efficacy of pirfenidone w</w:t>
      </w:r>
      <w:r w:rsidRPr="007F32BD">
        <w:t>as satisfactorily demonstrated</w:t>
      </w:r>
      <w:r>
        <w:t xml:space="preserve"> </w:t>
      </w:r>
      <w:r w:rsidRPr="007F32BD">
        <w:t>in a patient population with a clear diagnosis of</w:t>
      </w:r>
      <w:r>
        <w:t xml:space="preserve"> idiopathic pulmonary fibrosi</w:t>
      </w:r>
      <w:r w:rsidRPr="00514CBD">
        <w:t>s</w:t>
      </w:r>
      <w:r w:rsidRPr="00052842">
        <w:t xml:space="preserve">. However at Round 1 it </w:t>
      </w:r>
      <w:r w:rsidR="001F567F">
        <w:t>wa</w:t>
      </w:r>
      <w:r w:rsidRPr="00052842">
        <w:t>s not clear whether this population included an appreciable number of patients with ‘severe’ disease or whether the indication should be restricted to ‘mild to moderate’ IPF, as for the EMA and Canadian approvals.</w:t>
      </w:r>
    </w:p>
    <w:p w:rsidR="00C22678" w:rsidRDefault="00C22678" w:rsidP="00C22678">
      <w:pPr>
        <w:pStyle w:val="Heading2"/>
      </w:pPr>
      <w:bookmarkStart w:id="180" w:name="_Toc459986994"/>
      <w:r>
        <w:t>Clinical safety</w:t>
      </w:r>
      <w:bookmarkEnd w:id="180"/>
    </w:p>
    <w:p w:rsidR="00E17771" w:rsidRPr="007F32BD" w:rsidRDefault="00E17771" w:rsidP="00E17771">
      <w:pPr>
        <w:pStyle w:val="Heading3"/>
      </w:pPr>
      <w:bookmarkStart w:id="181" w:name="_Toc272414659"/>
      <w:bookmarkStart w:id="182" w:name="_Toc290846284"/>
      <w:bookmarkStart w:id="183" w:name="_Toc430785396"/>
      <w:bookmarkStart w:id="184" w:name="_Toc459986995"/>
      <w:r w:rsidRPr="007F32BD">
        <w:t>Studies providing evaluable safety data</w:t>
      </w:r>
      <w:bookmarkEnd w:id="181"/>
      <w:bookmarkEnd w:id="182"/>
      <w:bookmarkEnd w:id="183"/>
      <w:bookmarkEnd w:id="184"/>
    </w:p>
    <w:p w:rsidR="003F508A" w:rsidRDefault="00E17771" w:rsidP="00E17771">
      <w:bookmarkStart w:id="185" w:name="_Ref268776745"/>
      <w:r w:rsidRPr="007F32BD">
        <w:t>The following studies provided</w:t>
      </w:r>
      <w:r>
        <w:t xml:space="preserve"> </w:t>
      </w:r>
      <w:r w:rsidRPr="007F32BD">
        <w:t>safety data:</w:t>
      </w:r>
    </w:p>
    <w:p w:rsidR="003F508A" w:rsidRDefault="003F508A" w:rsidP="003F508A">
      <w:pPr>
        <w:pStyle w:val="ListBullet"/>
      </w:pPr>
      <w:r>
        <w:t>P</w:t>
      </w:r>
      <w:r w:rsidR="00E17771">
        <w:t>ivotal studies</w:t>
      </w:r>
      <w:r>
        <w:t>:</w:t>
      </w:r>
    </w:p>
    <w:p w:rsidR="003F508A" w:rsidRDefault="001941F5" w:rsidP="003F508A">
      <w:pPr>
        <w:pStyle w:val="ListBullet2"/>
      </w:pPr>
      <w:r>
        <w:t xml:space="preserve">Study </w:t>
      </w:r>
      <w:r w:rsidR="00E17771" w:rsidRPr="00932CD3">
        <w:t>PIPF-004</w:t>
      </w:r>
    </w:p>
    <w:p w:rsidR="003F508A" w:rsidRDefault="001941F5" w:rsidP="003F508A">
      <w:pPr>
        <w:pStyle w:val="ListBullet2"/>
      </w:pPr>
      <w:r>
        <w:t xml:space="preserve">Study </w:t>
      </w:r>
      <w:r w:rsidR="00E17771" w:rsidRPr="00932CD3">
        <w:t>PIPF-006</w:t>
      </w:r>
    </w:p>
    <w:p w:rsidR="003F508A" w:rsidRDefault="001941F5" w:rsidP="00E17771">
      <w:pPr>
        <w:pStyle w:val="ListBullet2"/>
      </w:pPr>
      <w:r>
        <w:t xml:space="preserve">Study </w:t>
      </w:r>
      <w:r w:rsidR="00E17771" w:rsidRPr="00932CD3">
        <w:t>PIPF-016</w:t>
      </w:r>
      <w:r w:rsidR="003F508A">
        <w:t>;</w:t>
      </w:r>
    </w:p>
    <w:p w:rsidR="003F508A" w:rsidRDefault="001941F5" w:rsidP="003F508A">
      <w:pPr>
        <w:pStyle w:val="ListBullet"/>
      </w:pPr>
      <w:r>
        <w:t>Stud</w:t>
      </w:r>
      <w:r w:rsidR="001F567F">
        <w:t>ies</w:t>
      </w:r>
      <w:r>
        <w:t xml:space="preserve"> </w:t>
      </w:r>
      <w:r w:rsidR="00E17771" w:rsidRPr="00DE7380">
        <w:t>PIPF-002 and</w:t>
      </w:r>
      <w:r>
        <w:t xml:space="preserve"> </w:t>
      </w:r>
      <w:r w:rsidR="00E17771" w:rsidRPr="00DE7380">
        <w:t>PIPF-012</w:t>
      </w:r>
      <w:r w:rsidR="00E17771" w:rsidRPr="007F32BD">
        <w:t xml:space="preserve"> (cut-off 7/8/2013)</w:t>
      </w:r>
      <w:r w:rsidR="00E17771">
        <w:t>;</w:t>
      </w:r>
    </w:p>
    <w:p w:rsidR="00E17771" w:rsidRDefault="00E17771" w:rsidP="003F508A">
      <w:pPr>
        <w:pStyle w:val="ListBullet"/>
      </w:pPr>
      <w:r w:rsidRPr="007F32BD">
        <w:t xml:space="preserve">7 Phase </w:t>
      </w:r>
      <w:r w:rsidR="001941F5">
        <w:t>I</w:t>
      </w:r>
      <w:r w:rsidRPr="007F32BD">
        <w:t xml:space="preserve"> studies</w:t>
      </w:r>
      <w:r w:rsidR="00DE7380">
        <w:t>.</w:t>
      </w:r>
    </w:p>
    <w:p w:rsidR="00E17771" w:rsidRPr="00E17771" w:rsidRDefault="00E17771" w:rsidP="00E17771">
      <w:r w:rsidRPr="007F32BD">
        <w:t xml:space="preserve">An Integrated Safety Summary submitted to the FDA as the 2014 Resubmission Safety Update </w:t>
      </w:r>
      <w:r w:rsidRPr="00DE7380">
        <w:t>(‘2014 RSU’</w:t>
      </w:r>
      <w:r w:rsidRPr="007F32BD">
        <w:t xml:space="preserve">) was a review of </w:t>
      </w:r>
      <w:r>
        <w:t xml:space="preserve">pooled </w:t>
      </w:r>
      <w:r w:rsidRPr="007F32BD">
        <w:t xml:space="preserve">safety data, focussed on analyses of </w:t>
      </w:r>
      <w:r>
        <w:t xml:space="preserve">safety data for </w:t>
      </w:r>
      <w:r w:rsidR="00683C20">
        <w:lastRenderedPageBreak/>
        <w:t xml:space="preserve">pirfenidone </w:t>
      </w:r>
      <w:r w:rsidR="00001402">
        <w:t>2,403 mg</w:t>
      </w:r>
      <w:r w:rsidR="00683C20">
        <w:t>/day versus</w:t>
      </w:r>
      <w:r w:rsidRPr="007F32BD">
        <w:t xml:space="preserve"> placebo.</w:t>
      </w:r>
      <w:r>
        <w:t xml:space="preserve"> It is the source of the information summarised in this section except where results from individual studies are mentioned.</w:t>
      </w:r>
    </w:p>
    <w:p w:rsidR="00E17771" w:rsidRPr="00E17771" w:rsidRDefault="00E17771" w:rsidP="00683C20">
      <w:pPr>
        <w:pStyle w:val="Comment"/>
      </w:pPr>
      <w:r w:rsidRPr="00932CD3">
        <w:rPr>
          <w:b/>
        </w:rPr>
        <w:t>Comment</w:t>
      </w:r>
      <w:r w:rsidR="00A16FA7" w:rsidRPr="000E7CA2">
        <w:rPr>
          <w:b/>
        </w:rPr>
        <w:t>:</w:t>
      </w:r>
      <w:r w:rsidR="00A16FA7">
        <w:t xml:space="preserve"> </w:t>
      </w:r>
      <w:r w:rsidRPr="00932CD3">
        <w:t xml:space="preserve">The 2014 RSU referred to data sourced from the original 2009 ISS </w:t>
      </w:r>
      <w:r w:rsidR="00683C20">
        <w:t xml:space="preserve">but the links were not active. </w:t>
      </w:r>
      <w:r w:rsidRPr="00932CD3">
        <w:t xml:space="preserve">These aspects could not be verified by the evaluator but are accepted as evaluated </w:t>
      </w:r>
      <w:r>
        <w:t>in the CHMP report</w:t>
      </w:r>
      <w:r w:rsidRPr="00932CD3">
        <w:t>.</w:t>
      </w:r>
    </w:p>
    <w:p w:rsidR="00E17771" w:rsidRPr="003B4994" w:rsidRDefault="00E17771" w:rsidP="00E17771">
      <w:pPr>
        <w:pStyle w:val="Heading4"/>
      </w:pPr>
      <w:r w:rsidRPr="003B4994">
        <w:t>Pivotal efficacy and safety studies</w:t>
      </w:r>
      <w:bookmarkEnd w:id="185"/>
    </w:p>
    <w:p w:rsidR="00E17771" w:rsidRPr="007F32BD" w:rsidRDefault="00E17771" w:rsidP="00E17771">
      <w:r w:rsidRPr="00757BFA">
        <w:t>In the</w:t>
      </w:r>
      <w:r>
        <w:t xml:space="preserve"> pivotal </w:t>
      </w:r>
      <w:r w:rsidRPr="00757BFA">
        <w:t>studies, safety data were collected</w:t>
      </w:r>
      <w:r>
        <w:t xml:space="preserve"> as specified in study protocols</w:t>
      </w:r>
      <w:r w:rsidRPr="00757BFA">
        <w:t>:</w:t>
      </w:r>
    </w:p>
    <w:p w:rsidR="00E17771" w:rsidRPr="007F32BD" w:rsidRDefault="00E17771" w:rsidP="00683C20">
      <w:pPr>
        <w:pStyle w:val="ListBullet"/>
      </w:pPr>
      <w:r w:rsidRPr="007F32BD">
        <w:t xml:space="preserve">General adverse events </w:t>
      </w:r>
      <w:r w:rsidR="00583EB3">
        <w:t xml:space="preserve">AEs </w:t>
      </w:r>
      <w:r w:rsidRPr="007F32BD">
        <w:t xml:space="preserve">were </w:t>
      </w:r>
      <w:r>
        <w:t>recorded at every patient contact</w:t>
      </w:r>
      <w:r w:rsidRPr="007F32BD">
        <w:t>.</w:t>
      </w:r>
      <w:r w:rsidR="00683C20">
        <w:t xml:space="preserve"> </w:t>
      </w:r>
      <w:r>
        <w:t>Treatment emergent AEs (TEAEs) were defined as AEs that occurred after the first dose and within 28 days of the</w:t>
      </w:r>
      <w:r w:rsidR="00683C20">
        <w:t xml:space="preserve"> last dose of study treatment. </w:t>
      </w:r>
      <w:r>
        <w:t>AEs were classified as serious or non-serious, and graded as mild, moderate, severe or life-threatening (Grades 1</w:t>
      </w:r>
      <w:r w:rsidR="00A16FA7">
        <w:t xml:space="preserve"> to </w:t>
      </w:r>
      <w:r>
        <w:t>4)</w:t>
      </w:r>
    </w:p>
    <w:p w:rsidR="00E17771" w:rsidRPr="007F32BD" w:rsidRDefault="00E17771" w:rsidP="00683C20">
      <w:pPr>
        <w:pStyle w:val="ListBullet"/>
      </w:pPr>
      <w:r w:rsidRPr="007F32BD">
        <w:t>AEs of particular interest</w:t>
      </w:r>
      <w:r>
        <w:t>,</w:t>
      </w:r>
      <w:r w:rsidRPr="007F32BD">
        <w:t xml:space="preserve"> </w:t>
      </w:r>
      <w:r>
        <w:t>including dermatologic AEs, were recorded at patient contacts</w:t>
      </w:r>
    </w:p>
    <w:p w:rsidR="00E17771" w:rsidRPr="007F32BD" w:rsidRDefault="00E17771" w:rsidP="00683C20">
      <w:pPr>
        <w:pStyle w:val="ListBullet"/>
      </w:pPr>
      <w:r>
        <w:t>Standard l</w:t>
      </w:r>
      <w:r w:rsidRPr="007F32BD">
        <w:t xml:space="preserve">aboratory tests </w:t>
      </w:r>
      <w:r>
        <w:t xml:space="preserve">for haematology and chemistry. </w:t>
      </w:r>
      <w:r w:rsidRPr="00757BFA">
        <w:t xml:space="preserve">Liver </w:t>
      </w:r>
      <w:r>
        <w:t>chemistry tests were performed at pre-specified intervals according to the study protocol</w:t>
      </w:r>
    </w:p>
    <w:p w:rsidR="00E17771" w:rsidRPr="00E17771" w:rsidRDefault="00E17771" w:rsidP="00683C20">
      <w:pPr>
        <w:pStyle w:val="ListBullet"/>
      </w:pPr>
      <w:r>
        <w:t>ECGs, physical examination, weight and vital signs.</w:t>
      </w:r>
    </w:p>
    <w:p w:rsidR="00E17771" w:rsidRPr="003B4994" w:rsidRDefault="00E17771" w:rsidP="00E17771">
      <w:pPr>
        <w:pStyle w:val="Heading4"/>
      </w:pPr>
      <w:r w:rsidRPr="003B4994">
        <w:t>Other studies</w:t>
      </w:r>
    </w:p>
    <w:p w:rsidR="00E17771" w:rsidRDefault="00E17771" w:rsidP="000E7CA2">
      <w:pPr>
        <w:pStyle w:val="ListBullet"/>
      </w:pPr>
      <w:r w:rsidRPr="00400C48">
        <w:t>Study PIPF-012</w:t>
      </w:r>
      <w:r w:rsidR="001F567F">
        <w:t>:</w:t>
      </w:r>
      <w:r w:rsidRPr="003B4994">
        <w:t xml:space="preserve"> As this was an extension study, </w:t>
      </w:r>
      <w:r w:rsidR="001F567F">
        <w:t>‘</w:t>
      </w:r>
      <w:r w:rsidR="00DF10F2">
        <w:t>TEAEs</w:t>
      </w:r>
      <w:r w:rsidR="001F567F">
        <w:t>’</w:t>
      </w:r>
      <w:r w:rsidRPr="003B4994">
        <w:t xml:space="preserve"> were defined as pre-existing AEs that worsened after the first dose in PIPF-012, or started after first dose in PIPF-012 until 28 days after last dose.</w:t>
      </w:r>
    </w:p>
    <w:p w:rsidR="00A16FA7" w:rsidRPr="003B4994" w:rsidRDefault="00A16FA7" w:rsidP="000E7CA2">
      <w:pPr>
        <w:pStyle w:val="ListBullet"/>
      </w:pPr>
      <w:r w:rsidRPr="00A16FA7">
        <w:t>Clinical pharmacology studies</w:t>
      </w:r>
      <w:r>
        <w:t>.</w:t>
      </w:r>
    </w:p>
    <w:p w:rsidR="00E17771" w:rsidRPr="007F32BD" w:rsidRDefault="00E17771" w:rsidP="00E17771">
      <w:pPr>
        <w:pStyle w:val="Heading3"/>
      </w:pPr>
      <w:bookmarkStart w:id="186" w:name="_Toc241374318"/>
      <w:bookmarkStart w:id="187" w:name="_Ref271196630"/>
      <w:bookmarkStart w:id="188" w:name="_Toc272414662"/>
      <w:bookmarkStart w:id="189" w:name="_Toc290846300"/>
      <w:bookmarkStart w:id="190" w:name="_Toc430785397"/>
      <w:bookmarkStart w:id="191" w:name="_Toc459986996"/>
      <w:r w:rsidRPr="007F32BD">
        <w:lastRenderedPageBreak/>
        <w:t>Patient exposure</w:t>
      </w:r>
      <w:bookmarkEnd w:id="186"/>
      <w:bookmarkEnd w:id="187"/>
      <w:bookmarkEnd w:id="188"/>
      <w:bookmarkEnd w:id="189"/>
      <w:bookmarkEnd w:id="190"/>
      <w:bookmarkEnd w:id="191"/>
    </w:p>
    <w:p w:rsidR="00E17771" w:rsidRDefault="00683C20" w:rsidP="00683C20">
      <w:pPr>
        <w:pStyle w:val="Tabletitle"/>
      </w:pPr>
      <w:r>
        <w:t xml:space="preserve">Table </w:t>
      </w:r>
      <w:r w:rsidR="00351A53">
        <w:t>17</w:t>
      </w:r>
      <w:r>
        <w:t xml:space="preserve">. </w:t>
      </w:r>
      <w:r w:rsidR="00E17771" w:rsidRPr="007F32BD">
        <w:t>Summary of studies in pirfenidone IP</w:t>
      </w:r>
      <w:r w:rsidR="001941F5">
        <w:t>F clinical development program</w:t>
      </w:r>
    </w:p>
    <w:p w:rsidR="00E17771" w:rsidRDefault="00E17771" w:rsidP="00E17771">
      <w:pPr>
        <w:autoSpaceDE w:val="0"/>
        <w:autoSpaceDN w:val="0"/>
        <w:adjustRightInd w:val="0"/>
      </w:pPr>
      <w:r>
        <w:rPr>
          <w:noProof/>
          <w:lang w:eastAsia="en-AU"/>
        </w:rPr>
        <w:drawing>
          <wp:inline distT="0" distB="0" distL="0" distR="0" wp14:anchorId="4BB14F58" wp14:editId="6C3DBC0E">
            <wp:extent cx="5947410" cy="6042660"/>
            <wp:effectExtent l="0" t="0" r="0" b="0"/>
            <wp:docPr id="23" name="Picture 23" descr="Table 17. Summary of studies in pirfenidone IPF clinical develop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7410" cy="6042660"/>
                    </a:xfrm>
                    <a:prstGeom prst="rect">
                      <a:avLst/>
                    </a:prstGeom>
                    <a:noFill/>
                    <a:ln>
                      <a:noFill/>
                    </a:ln>
                  </pic:spPr>
                </pic:pic>
              </a:graphicData>
            </a:graphic>
          </wp:inline>
        </w:drawing>
      </w:r>
    </w:p>
    <w:p w:rsidR="00E17771" w:rsidRDefault="00E17771" w:rsidP="00E17771">
      <w:r>
        <w:t>T</w:t>
      </w:r>
      <w:r w:rsidRPr="007F32BD">
        <w:t xml:space="preserve">he Phase </w:t>
      </w:r>
      <w:r w:rsidR="001941F5">
        <w:t>II</w:t>
      </w:r>
      <w:r w:rsidRPr="007F32BD">
        <w:t xml:space="preserve"> </w:t>
      </w:r>
      <w:r w:rsidR="001F567F">
        <w:t>S</w:t>
      </w:r>
      <w:r w:rsidR="001F567F" w:rsidRPr="007F32BD">
        <w:t xml:space="preserve">tudies </w:t>
      </w:r>
      <w:r w:rsidRPr="007F32BD">
        <w:t>P</w:t>
      </w:r>
      <w:r w:rsidR="00683C20">
        <w:t>IPF</w:t>
      </w:r>
      <w:r w:rsidR="00683C20">
        <w:noBreakHyphen/>
      </w:r>
      <w:r w:rsidRPr="007F32BD">
        <w:t xml:space="preserve">001 </w:t>
      </w:r>
      <w:r w:rsidR="00683C20">
        <w:t>(prednisolone control) and PIPF</w:t>
      </w:r>
      <w:r w:rsidR="00683C20">
        <w:noBreakHyphen/>
      </w:r>
      <w:r w:rsidRPr="007F32BD">
        <w:t xml:space="preserve">003 (placebo control) were both terminated </w:t>
      </w:r>
      <w:r w:rsidRPr="00400C48">
        <w:t xml:space="preserve">early. No data were located in the 2014 RISE but </w:t>
      </w:r>
      <w:r w:rsidR="00683C20">
        <w:t>the sponsor</w:t>
      </w:r>
      <w:r w:rsidRPr="00400C48">
        <w:t xml:space="preserve"> included a brief summary</w:t>
      </w:r>
      <w:r>
        <w:t>.</w:t>
      </w:r>
    </w:p>
    <w:p w:rsidR="00E17771" w:rsidRDefault="00E17771" w:rsidP="00E17771">
      <w:r w:rsidRPr="007F32BD">
        <w:t xml:space="preserve">Subjects contributing to pooled safety data from Phase </w:t>
      </w:r>
      <w:r w:rsidR="001941F5">
        <w:t>II and III</w:t>
      </w:r>
      <w:r w:rsidRPr="007F32BD">
        <w:t xml:space="preserve"> clinical studies had exposure as </w:t>
      </w:r>
      <w:r w:rsidR="00A16FA7">
        <w:t xml:space="preserve">shown </w:t>
      </w:r>
      <w:r w:rsidR="00A16FA7" w:rsidRPr="00A0427C">
        <w:t>in Table 1</w:t>
      </w:r>
      <w:r w:rsidR="00A0427C" w:rsidRPr="00A0427C">
        <w:t>8</w:t>
      </w:r>
      <w:r w:rsidR="00A16FA7" w:rsidRPr="00A0427C">
        <w:t>.</w:t>
      </w:r>
    </w:p>
    <w:p w:rsidR="00683C20" w:rsidRPr="007F32BD" w:rsidRDefault="00683C20" w:rsidP="00683C20">
      <w:pPr>
        <w:pStyle w:val="Tabletitle"/>
      </w:pPr>
      <w:r>
        <w:lastRenderedPageBreak/>
        <w:t xml:space="preserve">Table </w:t>
      </w:r>
      <w:r w:rsidR="00351A53">
        <w:t>18</w:t>
      </w:r>
      <w:r>
        <w:t>. P</w:t>
      </w:r>
      <w:r w:rsidRPr="007F32BD">
        <w:t>ooled safety data</w:t>
      </w:r>
      <w:r>
        <w:t xml:space="preserve"> (patient exposure)</w:t>
      </w:r>
      <w:r w:rsidRPr="007F32BD">
        <w:t xml:space="preserve"> from</w:t>
      </w:r>
      <w:r w:rsidR="001941F5">
        <w:t xml:space="preserve"> Phase </w:t>
      </w:r>
      <w:r w:rsidR="00DE0015">
        <w:t>II</w:t>
      </w:r>
      <w:r w:rsidR="001941F5">
        <w:t xml:space="preserve"> and </w:t>
      </w:r>
      <w:r w:rsidR="00DE0015">
        <w:t>Phase III</w:t>
      </w:r>
      <w:r w:rsidR="001941F5">
        <w:t xml:space="preserve"> clinical studies</w:t>
      </w:r>
    </w:p>
    <w:p w:rsidR="00E17771" w:rsidRPr="007F32BD" w:rsidRDefault="00E17771" w:rsidP="00E17771">
      <w:r>
        <w:rPr>
          <w:noProof/>
          <w:lang w:eastAsia="en-AU"/>
        </w:rPr>
        <w:drawing>
          <wp:inline distT="0" distB="0" distL="0" distR="0" wp14:anchorId="1764642B" wp14:editId="01637B80">
            <wp:extent cx="5106035" cy="6188710"/>
            <wp:effectExtent l="0" t="0" r="0" b="2540"/>
            <wp:docPr id="22" name="Picture 22" descr="Table 18. Pooled safety data (patient exposure) from Phase II and Phase III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6035" cy="6188710"/>
                    </a:xfrm>
                    <a:prstGeom prst="rect">
                      <a:avLst/>
                    </a:prstGeom>
                    <a:noFill/>
                    <a:ln>
                      <a:noFill/>
                    </a:ln>
                  </pic:spPr>
                </pic:pic>
              </a:graphicData>
            </a:graphic>
          </wp:inline>
        </w:drawing>
      </w:r>
    </w:p>
    <w:p w:rsidR="00E17771" w:rsidRPr="007F32BD" w:rsidRDefault="00E17771" w:rsidP="00E17771">
      <w:r w:rsidRPr="007F32BD">
        <w:t xml:space="preserve">The </w:t>
      </w:r>
      <w:r w:rsidRPr="00683C20">
        <w:t>‘Randomised patient</w:t>
      </w:r>
      <w:r w:rsidRPr="00C45D28">
        <w:rPr>
          <w:b/>
        </w:rPr>
        <w:t xml:space="preserve"> </w:t>
      </w:r>
      <w:r w:rsidRPr="00683C20">
        <w:t xml:space="preserve">subset’ </w:t>
      </w:r>
      <w:r w:rsidRPr="007F32BD">
        <w:t xml:space="preserve">was the </w:t>
      </w:r>
      <w:r w:rsidR="00001402">
        <w:t>2,403 mg</w:t>
      </w:r>
      <w:r w:rsidRPr="007F32BD">
        <w:t xml:space="preserve">/day pirfenidone </w:t>
      </w:r>
      <w:r>
        <w:t>(</w:t>
      </w:r>
      <w:r w:rsidRPr="007F32BD">
        <w:t xml:space="preserve">n = 623) and the placebo </w:t>
      </w:r>
      <w:r w:rsidR="00683C20">
        <w:t xml:space="preserve">groups (n = 624) from </w:t>
      </w:r>
      <w:r w:rsidR="001941F5">
        <w:t xml:space="preserve">Studies </w:t>
      </w:r>
      <w:r w:rsidR="00683C20">
        <w:t>PIPF-004, PIPF-006, and PIPF</w:t>
      </w:r>
      <w:r w:rsidRPr="007F32BD">
        <w:t xml:space="preserve">-016. Overall the demographics across treatment groups were well balanced. </w:t>
      </w:r>
      <w:r w:rsidRPr="00AC72B1">
        <w:t>Most of the information below focuses on information from this subset.</w:t>
      </w:r>
    </w:p>
    <w:p w:rsidR="00E17771" w:rsidRPr="007F32BD" w:rsidRDefault="00E17771" w:rsidP="00E17771">
      <w:r w:rsidRPr="007F32BD">
        <w:t>The ‘</w:t>
      </w:r>
      <w:r w:rsidRPr="00683C20">
        <w:t>Pirfenidone patient subset’</w:t>
      </w:r>
      <w:r w:rsidRPr="007F32BD">
        <w:t xml:space="preserve"> additionally included patients from PIPF-002 and PIPF-012, and those treated with pirfenidone </w:t>
      </w:r>
      <w:r w:rsidR="00001402">
        <w:t>1,197 mg</w:t>
      </w:r>
      <w:r w:rsidRPr="007F32BD">
        <w:t>/day in PIPF-004 (total n = 1</w:t>
      </w:r>
      <w:r w:rsidR="00A16FA7">
        <w:t>,</w:t>
      </w:r>
      <w:r w:rsidRPr="007F32BD">
        <w:t xml:space="preserve">067, n = 980 treated with </w:t>
      </w:r>
      <w:r w:rsidR="00001402">
        <w:t>2,403 mg</w:t>
      </w:r>
      <w:r w:rsidRPr="007F32BD">
        <w:t>/day pirfenidone dose).</w:t>
      </w:r>
    </w:p>
    <w:p w:rsidR="00E17771" w:rsidRDefault="00E17771" w:rsidP="00E17771">
      <w:r w:rsidRPr="007F32BD">
        <w:t>Long-term exposure in clinical studies included 172 patients treated for at least five years.</w:t>
      </w:r>
    </w:p>
    <w:p w:rsidR="00E17771" w:rsidRPr="007F32BD" w:rsidRDefault="00683C20" w:rsidP="00683C20">
      <w:pPr>
        <w:pStyle w:val="Tabletitle"/>
      </w:pPr>
      <w:r>
        <w:lastRenderedPageBreak/>
        <w:t xml:space="preserve">Table </w:t>
      </w:r>
      <w:r w:rsidR="00351A53">
        <w:t>19</w:t>
      </w:r>
      <w:r>
        <w:t xml:space="preserve">. </w:t>
      </w:r>
      <w:r w:rsidR="00E17771" w:rsidRPr="004F235C">
        <w:t xml:space="preserve">Exposure to pirfenidone </w:t>
      </w:r>
      <w:r w:rsidR="00001402">
        <w:t>2,403 mg</w:t>
      </w:r>
      <w:r w:rsidR="00E17771" w:rsidRPr="004F235C">
        <w:t>/day in clinical</w:t>
      </w:r>
      <w:r w:rsidR="001941F5">
        <w:t xml:space="preserve"> studies, according to duration</w:t>
      </w:r>
    </w:p>
    <w:p w:rsidR="00E17771" w:rsidRPr="007F32BD" w:rsidRDefault="001848CA" w:rsidP="00E17771">
      <w:r>
        <w:rPr>
          <w:noProof/>
          <w:lang w:eastAsia="en-AU"/>
        </w:rPr>
        <w:drawing>
          <wp:inline distT="0" distB="0" distL="0" distR="0" wp14:anchorId="6085819D" wp14:editId="7CCA5300">
            <wp:extent cx="5731510" cy="6296701"/>
            <wp:effectExtent l="0" t="0" r="2540" b="8890"/>
            <wp:docPr id="19" name="Picture 19" descr="Table 19. Exposure to pirfenidone 2,403 mg/day in clinical studies, according to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6296701"/>
                    </a:xfrm>
                    <a:prstGeom prst="rect">
                      <a:avLst/>
                    </a:prstGeom>
                  </pic:spPr>
                </pic:pic>
              </a:graphicData>
            </a:graphic>
          </wp:inline>
        </w:drawing>
      </w:r>
    </w:p>
    <w:p w:rsidR="00E17771" w:rsidRDefault="00E17771" w:rsidP="00583EB3">
      <w:pPr>
        <w:jc w:val="center"/>
      </w:pPr>
    </w:p>
    <w:p w:rsidR="00E17771" w:rsidRPr="00E17771" w:rsidRDefault="00E17771" w:rsidP="00E17771">
      <w:pPr>
        <w:autoSpaceDE w:val="0"/>
        <w:autoSpaceDN w:val="0"/>
        <w:adjustRightInd w:val="0"/>
        <w:rPr>
          <w:b/>
        </w:rPr>
      </w:pPr>
      <w:r w:rsidRPr="007F32BD">
        <w:t>The majority of patients (64%) had a mean daily dose of pirfenidone &gt; 2</w:t>
      </w:r>
      <w:r w:rsidR="00A16FA7">
        <w:t>,</w:t>
      </w:r>
      <w:r w:rsidRPr="007F32BD">
        <w:t>200 to ≤ 2</w:t>
      </w:r>
      <w:r w:rsidR="00A16FA7">
        <w:t>,</w:t>
      </w:r>
      <w:r w:rsidRPr="007F32BD">
        <w:t>600 mg/day.</w:t>
      </w:r>
    </w:p>
    <w:p w:rsidR="00E17771" w:rsidRPr="007F32BD" w:rsidRDefault="00E17771" w:rsidP="00E17771">
      <w:pPr>
        <w:pStyle w:val="Heading3"/>
      </w:pPr>
      <w:bookmarkStart w:id="192" w:name="_Toc241374319"/>
      <w:bookmarkStart w:id="193" w:name="_Ref271044764"/>
      <w:bookmarkStart w:id="194" w:name="_Toc272414663"/>
      <w:bookmarkStart w:id="195" w:name="_Toc290846301"/>
      <w:bookmarkStart w:id="196" w:name="_Toc430785398"/>
      <w:bookmarkStart w:id="197" w:name="_Toc459986997"/>
      <w:r w:rsidRPr="007F32BD">
        <w:t>Adverse events</w:t>
      </w:r>
      <w:bookmarkEnd w:id="192"/>
      <w:bookmarkEnd w:id="193"/>
      <w:bookmarkEnd w:id="194"/>
      <w:bookmarkEnd w:id="195"/>
      <w:bookmarkEnd w:id="196"/>
      <w:bookmarkEnd w:id="197"/>
    </w:p>
    <w:p w:rsidR="00E17771" w:rsidRPr="002B23BD" w:rsidRDefault="00E17771" w:rsidP="002B23BD">
      <w:r w:rsidRPr="002B23BD">
        <w:t>Almost all patients experienced a</w:t>
      </w:r>
      <w:r w:rsidR="00A16FA7">
        <w:t xml:space="preserve"> treatment emergent </w:t>
      </w:r>
      <w:r w:rsidR="002B23BD">
        <w:t>AE</w:t>
      </w:r>
      <w:r w:rsidRPr="002B23BD">
        <w:t xml:space="preserve">. </w:t>
      </w:r>
      <w:r w:rsidR="002B23BD">
        <w:t>In Studies PIPF</w:t>
      </w:r>
      <w:r w:rsidR="002B23BD">
        <w:noBreakHyphen/>
        <w:t>004, PIPF</w:t>
      </w:r>
      <w:r w:rsidR="002B23BD">
        <w:noBreakHyphen/>
        <w:t>006</w:t>
      </w:r>
      <w:r w:rsidR="000B6AC6" w:rsidRPr="002B23BD">
        <w:t xml:space="preserve"> and PIPF</w:t>
      </w:r>
      <w:r w:rsidR="000B6AC6" w:rsidRPr="002B23BD">
        <w:noBreakHyphen/>
      </w:r>
      <w:r w:rsidRPr="002B23BD">
        <w:t xml:space="preserve">016, the protocol included dose modification guidelines on the occurrence of selected AEs including GI events, hepatic events, photosensitivity or rash, and fatigue. While 42.7% of patients in the pirfenidone treatment group in the randomised patient subset had a TEAE that led to a dose reduction of any duration </w:t>
      </w:r>
      <w:r w:rsidR="002B23BD">
        <w:t>(</w:t>
      </w:r>
      <w:r w:rsidRPr="002B23BD">
        <w:t xml:space="preserve">compared </w:t>
      </w:r>
      <w:r w:rsidR="002B23BD">
        <w:t>with 16.2% for placebo)</w:t>
      </w:r>
      <w:r w:rsidRPr="002B23BD">
        <w:t xml:space="preserve"> a lower percentage discontinued </w:t>
      </w:r>
      <w:r w:rsidR="002B23BD">
        <w:t>treatment early due to any</w:t>
      </w:r>
      <w:r w:rsidRPr="002B23BD">
        <w:t xml:space="preserve"> TEAE </w:t>
      </w:r>
      <w:r w:rsidR="000B6AC6" w:rsidRPr="002B23BD">
        <w:t>(14.6% versus 9.6%).</w:t>
      </w:r>
    </w:p>
    <w:p w:rsidR="00E17771" w:rsidRPr="007F32BD" w:rsidRDefault="002B23BD" w:rsidP="00E17771">
      <w:r>
        <w:lastRenderedPageBreak/>
        <w:t xml:space="preserve">Table </w:t>
      </w:r>
      <w:r w:rsidR="00351A53">
        <w:t xml:space="preserve">20 </w:t>
      </w:r>
      <w:r w:rsidR="00B4265B">
        <w:t xml:space="preserve">shows </w:t>
      </w:r>
      <w:r w:rsidR="00E17771">
        <w:t>an o</w:t>
      </w:r>
      <w:r w:rsidR="00E17771" w:rsidRPr="00C45D28">
        <w:t xml:space="preserve">verview of all adverse events in the </w:t>
      </w:r>
      <w:r>
        <w:t>randomised patient subset</w:t>
      </w:r>
      <w:r w:rsidR="00B4265B">
        <w:t>.</w:t>
      </w:r>
    </w:p>
    <w:p w:rsidR="00E17771" w:rsidRPr="007F32BD" w:rsidRDefault="000B6AC6" w:rsidP="000B6AC6">
      <w:pPr>
        <w:pStyle w:val="Tabletitle"/>
      </w:pPr>
      <w:r>
        <w:t xml:space="preserve">Table </w:t>
      </w:r>
      <w:r w:rsidR="00351A53">
        <w:t>20</w:t>
      </w:r>
      <w:r>
        <w:t>. Randomised patient subset: An o</w:t>
      </w:r>
      <w:r w:rsidRPr="00C45D28">
        <w:t xml:space="preserve">verview of all adverse events in the </w:t>
      </w:r>
      <w:r w:rsidR="001941F5">
        <w:t>randomised patient subset</w:t>
      </w:r>
    </w:p>
    <w:p w:rsidR="00E17771" w:rsidRDefault="00BC7605" w:rsidP="00E17771">
      <w:r>
        <w:rPr>
          <w:noProof/>
          <w:lang w:eastAsia="en-AU"/>
        </w:rPr>
        <mc:AlternateContent>
          <mc:Choice Requires="wpc">
            <w:drawing>
              <wp:inline distT="0" distB="0" distL="0" distR="0" wp14:anchorId="78DF330A" wp14:editId="25B5F335">
                <wp:extent cx="3496945" cy="3284220"/>
                <wp:effectExtent l="0" t="0" r="8255" b="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 name="Picture 5" descr="Table 20. Randomised patient subset: An overview of all adverse events in the randomised patient subset"/>
                          <pic:cNvPicPr>
                            <a:picLocks noChangeAspect="1" noChangeArrowheads="1"/>
                          </pic:cNvPicPr>
                        </pic:nvPicPr>
                        <pic:blipFill rotWithShape="1">
                          <a:blip r:embed="rId43">
                            <a:extLst>
                              <a:ext uri="{28A0092B-C50C-407E-A947-70E740481C1C}">
                                <a14:useLocalDpi xmlns:a14="http://schemas.microsoft.com/office/drawing/2010/main" val="0"/>
                              </a:ext>
                            </a:extLst>
                          </a:blip>
                          <a:srcRect l="1" r="1114" b="1168"/>
                          <a:stretch/>
                        </pic:blipFill>
                        <pic:spPr bwMode="auto">
                          <a:xfrm>
                            <a:off x="0" y="1"/>
                            <a:ext cx="3467405" cy="3255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4" o:spid="_x0000_s1026" editas="canvas" style="width:275.35pt;height:258.6pt;mso-position-horizontal-relative:char;mso-position-vertical-relative:line" coordsize="34969,32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969;height:32842;visibility:visible;mso-wrap-style:square">
                  <v:fill o:detectmouseclick="t"/>
                  <v:path o:connecttype="none"/>
                </v:shape>
                <v:shape id="Picture 5" o:spid="_x0000_s1028" type="#_x0000_t75" alt="Table 20. Randomised patient subset: An overview of all adverse events in the randomised patient subset" style="position:absolute;width:34674;height:32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eSLBAAAA2wAAAA8AAABkcnMvZG93bnJldi54bWxET0uLwjAQvgv7H8II3jR1V1epRllkxXpx&#10;8QFeh2Zsi82k20St/94Igrf5+J4znTemFFeqXWFZQb8XgSBOrS44U3DYL7tjEM4jaywtk4I7OZjP&#10;PlpTjLW98ZauO5+JEMIuRgW591UspUtzMuh6tiIO3MnWBn2AdSZ1jbcQbkr5GUXf0mDBoSHHihY5&#10;pefdxSj4a/T6dzX4X2C03yTJqDzawf1LqU67+ZmA8NT4t/jlTnSYP4TnL+EA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eSLBAAAA2wAAAA8AAAAAAAAAAAAAAAAAnwIA&#10;AGRycy9kb3ducmV2LnhtbFBLBQYAAAAABAAEAPcAAACNAwAAAAA=&#10;">
                  <v:imagedata r:id="rId44" o:title=" An overview of all adverse events in the randomised patient subset" cropbottom="765f" cropleft="1f" cropright="730f"/>
                </v:shape>
                <w10:anchorlock/>
              </v:group>
            </w:pict>
          </mc:Fallback>
        </mc:AlternateContent>
      </w:r>
    </w:p>
    <w:p w:rsidR="00E17771" w:rsidRPr="000B6AC6" w:rsidRDefault="00B4265B" w:rsidP="00E17771">
      <w:pPr>
        <w:rPr>
          <w:highlight w:val="yellow"/>
        </w:rPr>
      </w:pPr>
      <w:r>
        <w:t xml:space="preserve">A table from </w:t>
      </w:r>
      <w:r w:rsidRPr="00B4265B">
        <w:t xml:space="preserve">2014 RSU </w:t>
      </w:r>
      <w:r>
        <w:t xml:space="preserve">was provided that </w:t>
      </w:r>
      <w:r w:rsidRPr="00B4265B">
        <w:t>details by maximum intensity TEAEs occurring w</w:t>
      </w:r>
      <w:r>
        <w:t xml:space="preserve">ith a crude rate of 5% or more. </w:t>
      </w:r>
      <w:r w:rsidR="00E17771">
        <w:t xml:space="preserve">For </w:t>
      </w:r>
      <w:r w:rsidR="00E17771" w:rsidRPr="005646EE">
        <w:t xml:space="preserve">common </w:t>
      </w:r>
      <w:r w:rsidR="00E17771" w:rsidRPr="0050600C">
        <w:t>TEAEs</w:t>
      </w:r>
      <w:r w:rsidR="00E17771">
        <w:t>,</w:t>
      </w:r>
      <w:r w:rsidR="00E17771" w:rsidRPr="0050600C">
        <w:t xml:space="preserve"> </w:t>
      </w:r>
      <w:r w:rsidR="00E17771">
        <w:t>compared to any TEAEs as tabulated above</w:t>
      </w:r>
      <w:r w:rsidR="00E17771" w:rsidRPr="005646EE">
        <w:t xml:space="preserve">, a greater proportion were mild, </w:t>
      </w:r>
      <w:r w:rsidR="00E17771">
        <w:t xml:space="preserve">and a lesser proportion </w:t>
      </w:r>
      <w:r w:rsidR="00E17771" w:rsidRPr="005646EE">
        <w:t>severe or life</w:t>
      </w:r>
      <w:r>
        <w:t xml:space="preserve"> </w:t>
      </w:r>
      <w:r w:rsidR="00E17771" w:rsidRPr="005646EE">
        <w:t>threatening.</w:t>
      </w:r>
    </w:p>
    <w:p w:rsidR="00E17771" w:rsidRPr="000B6AC6" w:rsidRDefault="00B4265B" w:rsidP="000E7CA2">
      <w:pPr>
        <w:pStyle w:val="Comment"/>
      </w:pPr>
      <w:r>
        <w:rPr>
          <w:b/>
        </w:rPr>
        <w:t>C</w:t>
      </w:r>
      <w:r w:rsidR="00E17771" w:rsidRPr="00236FAA">
        <w:rPr>
          <w:b/>
        </w:rPr>
        <w:t>omment</w:t>
      </w:r>
      <w:r w:rsidR="000B6AC6">
        <w:t xml:space="preserve">: </w:t>
      </w:r>
      <w:r w:rsidR="00E17771">
        <w:t>A</w:t>
      </w:r>
      <w:r w:rsidR="00E17771" w:rsidRPr="00236FAA">
        <w:t xml:space="preserve"> high rate of AEs is not unexpected in patients with a prog</w:t>
      </w:r>
      <w:r w:rsidR="000B6AC6">
        <w:t>ressive condition such as IPF</w:t>
      </w:r>
      <w:r>
        <w:t>. H</w:t>
      </w:r>
      <w:r w:rsidR="000B6AC6">
        <w:t>owever</w:t>
      </w:r>
      <w:r w:rsidR="00E17771" w:rsidRPr="00236FAA">
        <w:t xml:space="preserve"> there </w:t>
      </w:r>
      <w:r w:rsidR="00E17771">
        <w:t>was</w:t>
      </w:r>
      <w:r w:rsidR="00E17771" w:rsidRPr="00236FAA">
        <w:t xml:space="preserve"> clearly </w:t>
      </w:r>
      <w:r w:rsidR="00E17771">
        <w:t xml:space="preserve">a </w:t>
      </w:r>
      <w:r w:rsidR="00E17771" w:rsidRPr="00236FAA">
        <w:t>higher rate of treatment</w:t>
      </w:r>
      <w:r>
        <w:t xml:space="preserve"> </w:t>
      </w:r>
      <w:r w:rsidR="00E17771" w:rsidRPr="00236FAA">
        <w:t>related AEs in the pirfenidone group, including SAEs, and AEs leading to early discontinuation or dose interruption or adjustment.</w:t>
      </w:r>
    </w:p>
    <w:p w:rsidR="00E17771" w:rsidRPr="007F32BD" w:rsidRDefault="00E17771" w:rsidP="00E17771">
      <w:pPr>
        <w:pStyle w:val="Heading4"/>
      </w:pPr>
      <w:bookmarkStart w:id="198" w:name="_Ref272317284"/>
      <w:bookmarkStart w:id="199" w:name="_Ref272333565"/>
      <w:bookmarkStart w:id="200" w:name="_Toc272414664"/>
      <w:bookmarkStart w:id="201" w:name="_Toc290846302"/>
      <w:bookmarkStart w:id="202" w:name="_Toc430785399"/>
      <w:r w:rsidRPr="007F32BD">
        <w:t>All adverse events (irrespective of relationship to study treatment)</w:t>
      </w:r>
      <w:bookmarkEnd w:id="198"/>
      <w:bookmarkEnd w:id="199"/>
      <w:bookmarkEnd w:id="200"/>
      <w:bookmarkEnd w:id="201"/>
      <w:bookmarkEnd w:id="202"/>
    </w:p>
    <w:p w:rsidR="00E17771" w:rsidRPr="00112D52" w:rsidRDefault="00E17771" w:rsidP="00E17771">
      <w:r>
        <w:t xml:space="preserve">As above, overall AEs were </w:t>
      </w:r>
      <w:r w:rsidR="002B23BD">
        <w:t xml:space="preserve">reported for 99% of pirfenidone </w:t>
      </w:r>
      <w:r>
        <w:t>treated subjects a</w:t>
      </w:r>
      <w:r w:rsidR="000B6AC6">
        <w:t xml:space="preserve">nd 97.9% in the placebo group. </w:t>
      </w:r>
      <w:r w:rsidRPr="007F32BD">
        <w:t xml:space="preserve">The most frequently reported events </w:t>
      </w:r>
      <w:r w:rsidRPr="00E90CA4">
        <w:t>with incidence greater for pirfenidone</w:t>
      </w:r>
      <w:r w:rsidRPr="007F32BD">
        <w:t xml:space="preserve"> were G</w:t>
      </w:r>
      <w:r w:rsidR="000B6AC6">
        <w:t>I disorders (pirfenidone 72% versus placebo 52%); for example nausea 36% versus 15%, diarrhoea 26% versus 20%, dyspepsia 18% versus 7%, vomiting 13% versus</w:t>
      </w:r>
      <w:r w:rsidRPr="007F32BD">
        <w:t xml:space="preserve"> 6%. This was followed by skin disorders (41% v</w:t>
      </w:r>
      <w:r w:rsidR="000B6AC6">
        <w:t>ersus</w:t>
      </w:r>
      <w:r w:rsidRPr="007F32BD">
        <w:t xml:space="preserve"> 15%)</w:t>
      </w:r>
      <w:r>
        <w:t>;</w:t>
      </w:r>
      <w:r w:rsidRPr="007F32BD">
        <w:t xml:space="preserve"> rash (30% </w:t>
      </w:r>
      <w:r w:rsidR="000B6AC6">
        <w:t>versus</w:t>
      </w:r>
      <w:r w:rsidRPr="007F32BD">
        <w:t xml:space="preserve"> 10%)</w:t>
      </w:r>
      <w:r>
        <w:t>,</w:t>
      </w:r>
      <w:r w:rsidRPr="007F32BD">
        <w:t xml:space="preserve"> photosensitivity (9% </w:t>
      </w:r>
      <w:r w:rsidR="000B6AC6">
        <w:t>versus</w:t>
      </w:r>
      <w:r w:rsidRPr="007F32BD">
        <w:t xml:space="preserve"> 1%)</w:t>
      </w:r>
      <w:r>
        <w:t>,</w:t>
      </w:r>
      <w:r w:rsidRPr="007F32BD">
        <w:t xml:space="preserve"> and pruritus (8% </w:t>
      </w:r>
      <w:r w:rsidR="000B6AC6">
        <w:t>versus</w:t>
      </w:r>
      <w:r w:rsidRPr="007F32BD">
        <w:t xml:space="preserve"> 5%). In other </w:t>
      </w:r>
      <w:r w:rsidRPr="00BC7605">
        <w:t>SOCs</w:t>
      </w:r>
      <w:r w:rsidRPr="007F32BD">
        <w:t xml:space="preserve"> differences were seen in fatigue (26% </w:t>
      </w:r>
      <w:r w:rsidR="000B6AC6">
        <w:t>versus</w:t>
      </w:r>
      <w:r w:rsidRPr="007F32BD">
        <w:t xml:space="preserve"> 19%)</w:t>
      </w:r>
      <w:r>
        <w:t>,</w:t>
      </w:r>
      <w:r w:rsidRPr="007F32BD">
        <w:t xml:space="preserve"> dizziness (18% </w:t>
      </w:r>
      <w:r w:rsidR="000B6AC6">
        <w:t>versus</w:t>
      </w:r>
      <w:r w:rsidR="00B4265B">
        <w:t xml:space="preserve"> </w:t>
      </w:r>
      <w:r w:rsidRPr="007F32BD">
        <w:t>11%)</w:t>
      </w:r>
      <w:r>
        <w:t>,</w:t>
      </w:r>
      <w:r w:rsidRPr="007F32BD">
        <w:t xml:space="preserve"> </w:t>
      </w:r>
      <w:r>
        <w:t>anorexia (</w:t>
      </w:r>
      <w:r w:rsidRPr="007F32BD">
        <w:t xml:space="preserve">13% </w:t>
      </w:r>
      <w:r w:rsidR="000B6AC6">
        <w:t>versus</w:t>
      </w:r>
      <w:r w:rsidRPr="007F32BD">
        <w:t xml:space="preserve"> 5%), insomnia (10% </w:t>
      </w:r>
      <w:r w:rsidR="000B6AC6">
        <w:t>versus</w:t>
      </w:r>
      <w:r w:rsidRPr="007F32BD">
        <w:t xml:space="preserve"> 7%)</w:t>
      </w:r>
      <w:r>
        <w:t>,</w:t>
      </w:r>
      <w:r w:rsidRPr="007F32BD">
        <w:t xml:space="preserve"> weight decreased (10% </w:t>
      </w:r>
      <w:r w:rsidR="000B6AC6">
        <w:t>versus</w:t>
      </w:r>
      <w:r w:rsidRPr="007F32BD">
        <w:t xml:space="preserve"> 5%) and hot flush (4% </w:t>
      </w:r>
      <w:r w:rsidR="000B6AC6">
        <w:t>versus</w:t>
      </w:r>
      <w:r w:rsidR="00BC7605">
        <w:t xml:space="preserve"> </w:t>
      </w:r>
      <w:r w:rsidR="000B6AC6">
        <w:t>2%).</w:t>
      </w:r>
    </w:p>
    <w:p w:rsidR="000B6AC6" w:rsidRPr="000E7CA2" w:rsidRDefault="00E17771" w:rsidP="00E17771">
      <w:r w:rsidRPr="00112D52">
        <w:t xml:space="preserve">In the </w:t>
      </w:r>
      <w:r w:rsidRPr="000B6AC6">
        <w:t>randomised patient subset</w:t>
      </w:r>
      <w:r w:rsidRPr="00112D52">
        <w:t xml:space="preserve"> the proportions of patients with Grade 3 (severe) common TEAEs were pirfenidone (16.4%) </w:t>
      </w:r>
      <w:r w:rsidR="000B6AC6">
        <w:t>versus</w:t>
      </w:r>
      <w:r w:rsidRPr="00112D52">
        <w:t xml:space="preserve"> placebo (15.5%); a smaller proportion of patients in the pirfenid</w:t>
      </w:r>
      <w:r w:rsidR="000B6AC6">
        <w:t>one group experienced Grade 4 (</w:t>
      </w:r>
      <w:r w:rsidRPr="00112D52">
        <w:t>life thre</w:t>
      </w:r>
      <w:r w:rsidR="000B6AC6">
        <w:t xml:space="preserve">atening) common TEAEs (1.9% versus </w:t>
      </w:r>
      <w:r w:rsidRPr="00112D52">
        <w:t>4.0%). All w</w:t>
      </w:r>
      <w:r w:rsidR="000B6AC6">
        <w:t>ere respiratory events; IPF 8 versus</w:t>
      </w:r>
      <w:r w:rsidRPr="00112D52">
        <w:t xml:space="preserve"> 23 patients, pneumonia 3 </w:t>
      </w:r>
      <w:r w:rsidR="000B6AC6">
        <w:t>versus</w:t>
      </w:r>
      <w:r w:rsidRPr="00112D52">
        <w:t xml:space="preserve"> 2, dyspnoea 1 </w:t>
      </w:r>
      <w:r w:rsidR="000B6AC6">
        <w:t>versus</w:t>
      </w:r>
      <w:r>
        <w:t xml:space="preserve"> </w:t>
      </w:r>
      <w:r w:rsidR="000B6AC6">
        <w:t xml:space="preserve">0. </w:t>
      </w:r>
      <w:r>
        <w:t>Hepatic treatment</w:t>
      </w:r>
      <w:r w:rsidR="00B4265B">
        <w:t xml:space="preserve"> </w:t>
      </w:r>
      <w:r>
        <w:t xml:space="preserve">emergent adverse events were analysed by </w:t>
      </w:r>
      <w:r w:rsidRPr="001848CA">
        <w:t>MedDRA SMQ</w:t>
      </w:r>
      <w:r>
        <w:t>; more pirfenidone</w:t>
      </w:r>
      <w:r w:rsidR="00B4265B">
        <w:t xml:space="preserve"> </w:t>
      </w:r>
      <w:r>
        <w:t xml:space="preserve">treated patients had hepatic events than in placebo group (9.5% </w:t>
      </w:r>
      <w:r w:rsidR="000B6AC6">
        <w:t>versus</w:t>
      </w:r>
      <w:r>
        <w:t xml:space="preserve"> 4.3</w:t>
      </w:r>
      <w:r w:rsidR="000B6AC6">
        <w:t>%).</w:t>
      </w:r>
      <w:r w:rsidR="00DF10F2">
        <w:rPr>
          <w:rStyle w:val="FootnoteReference"/>
        </w:rPr>
        <w:footnoteReference w:id="17"/>
      </w:r>
    </w:p>
    <w:p w:rsidR="00E17771" w:rsidRPr="000E7CA2" w:rsidRDefault="00E17771" w:rsidP="00E17771">
      <w:pPr>
        <w:rPr>
          <w:highlight w:val="yellow"/>
        </w:rPr>
      </w:pPr>
      <w:r>
        <w:lastRenderedPageBreak/>
        <w:t>I</w:t>
      </w:r>
      <w:r w:rsidRPr="007977E2">
        <w:t xml:space="preserve">n the </w:t>
      </w:r>
      <w:r w:rsidRPr="000B6AC6">
        <w:t>pirfenidone patient subset</w:t>
      </w:r>
      <w:r w:rsidRPr="007977E2">
        <w:t xml:space="preserve"> almost every patient exposed over </w:t>
      </w:r>
      <w:r>
        <w:t>a</w:t>
      </w:r>
      <w:r w:rsidRPr="007977E2">
        <w:t xml:space="preserve"> longer duration </w:t>
      </w:r>
      <w:r>
        <w:t>had a TE</w:t>
      </w:r>
      <w:r w:rsidRPr="007977E2">
        <w:t>AE</w:t>
      </w:r>
      <w:r>
        <w:t xml:space="preserve"> </w:t>
      </w:r>
      <w:r w:rsidRPr="007977E2">
        <w:t>(1064</w:t>
      </w:r>
      <w:r w:rsidR="00B4265B">
        <w:t xml:space="preserve"> out of </w:t>
      </w:r>
      <w:r w:rsidRPr="007977E2">
        <w:t>1067</w:t>
      </w:r>
      <w:r>
        <w:t>)</w:t>
      </w:r>
      <w:r w:rsidRPr="007977E2">
        <w:t>.</w:t>
      </w:r>
      <w:r>
        <w:t xml:space="preserve"> </w:t>
      </w:r>
      <w:r w:rsidRPr="00FF04A2">
        <w:t>The</w:t>
      </w:r>
      <w:r>
        <w:t xml:space="preserve"> </w:t>
      </w:r>
      <w:r w:rsidRPr="00FF04A2">
        <w:t xml:space="preserve">pattern </w:t>
      </w:r>
      <w:r>
        <w:t xml:space="preserve">was </w:t>
      </w:r>
      <w:r w:rsidRPr="00FF04A2">
        <w:t xml:space="preserve">similar </w:t>
      </w:r>
      <w:r>
        <w:t>to the randomised subset</w:t>
      </w:r>
      <w:r w:rsidRPr="00FF04A2">
        <w:t xml:space="preserve">. </w:t>
      </w:r>
      <w:r>
        <w:t xml:space="preserve">For </w:t>
      </w:r>
      <w:r w:rsidR="00DF10F2">
        <w:t>common TE</w:t>
      </w:r>
      <w:r w:rsidRPr="00E90CA4">
        <w:t>AEs (crude rate</w:t>
      </w:r>
      <w:r w:rsidR="00DF10F2">
        <w:t> </w:t>
      </w:r>
      <w:r w:rsidRPr="00E90CA4">
        <w:t>≥</w:t>
      </w:r>
      <w:r w:rsidR="00DF10F2">
        <w:t> </w:t>
      </w:r>
      <w:r w:rsidRPr="00E90CA4">
        <w:t xml:space="preserve">5%) </w:t>
      </w:r>
      <w:r>
        <w:t xml:space="preserve">adjusted incidence/100 PEY was 27.5 for severe (Grade 3) events, 3.5 for life-threatening (Grade 4), 6.8 for deaths, 48.5 for SAEs, 14.7 for discontinuations due to AE and 53.7 for AE leading to dose reduction or interruption. </w:t>
      </w:r>
      <w:r w:rsidRPr="00FF04A2">
        <w:t>Higher frequencies reflect longer exposure</w:t>
      </w:r>
      <w:r>
        <w:rPr>
          <w:i/>
        </w:rPr>
        <w:t xml:space="preserve"> </w:t>
      </w:r>
      <w:r w:rsidRPr="00FF04A2">
        <w:t>but exposure</w:t>
      </w:r>
      <w:r w:rsidR="00B4265B">
        <w:t xml:space="preserve"> </w:t>
      </w:r>
      <w:r w:rsidRPr="00FF04A2">
        <w:t>adjusted rates were stable over time. The GI events were reported for the majority of pati</w:t>
      </w:r>
      <w:r w:rsidR="000B6AC6">
        <w:t>ents within the first 3 months</w:t>
      </w:r>
      <w:r w:rsidR="00373D76">
        <w:t>,</w:t>
      </w:r>
      <w:r w:rsidR="000B6AC6">
        <w:t xml:space="preserve"> </w:t>
      </w:r>
      <w:r w:rsidRPr="00FF04A2">
        <w:t xml:space="preserve">other AEs </w:t>
      </w:r>
      <w:r w:rsidR="000B6AC6">
        <w:t>reported within the first 6 months.</w:t>
      </w:r>
    </w:p>
    <w:p w:rsidR="00E17771" w:rsidRPr="003B4994" w:rsidRDefault="00E17771" w:rsidP="00E17771">
      <w:pPr>
        <w:pStyle w:val="Heading5"/>
      </w:pPr>
      <w:r w:rsidRPr="003B4994">
        <w:t>Pivotal studies</w:t>
      </w:r>
    </w:p>
    <w:p w:rsidR="00E17771" w:rsidRPr="00BC48D6" w:rsidRDefault="001941F5" w:rsidP="00E17771">
      <w:pPr>
        <w:rPr>
          <w:b/>
        </w:rPr>
      </w:pPr>
      <w:r>
        <w:rPr>
          <w:b/>
        </w:rPr>
        <w:t xml:space="preserve">Study </w:t>
      </w:r>
      <w:r w:rsidR="00E17771" w:rsidRPr="00BC48D6">
        <w:rPr>
          <w:b/>
        </w:rPr>
        <w:t>PIPF</w:t>
      </w:r>
      <w:r w:rsidR="00BC7605">
        <w:rPr>
          <w:b/>
        </w:rPr>
        <w:noBreakHyphen/>
      </w:r>
      <w:r w:rsidR="00E17771" w:rsidRPr="00BC48D6">
        <w:rPr>
          <w:b/>
        </w:rPr>
        <w:t>004</w:t>
      </w:r>
    </w:p>
    <w:p w:rsidR="00E17771" w:rsidRPr="00AB195F" w:rsidRDefault="00E17771" w:rsidP="000E7CA2">
      <w:pPr>
        <w:spacing w:before="240"/>
      </w:pPr>
      <w:r w:rsidRPr="00BC48D6">
        <w:t xml:space="preserve">As noted </w:t>
      </w:r>
      <w:r w:rsidR="00AB195F">
        <w:t xml:space="preserve">in the </w:t>
      </w:r>
      <w:r w:rsidRPr="00BC48D6">
        <w:t>Pharmacodynamics</w:t>
      </w:r>
      <w:r w:rsidR="00AB195F">
        <w:t xml:space="preserve"> section</w:t>
      </w:r>
      <w:r w:rsidRPr="00BC48D6">
        <w:t>, there appeared to be a dose</w:t>
      </w:r>
      <w:r w:rsidR="00373D76">
        <w:t xml:space="preserve"> </w:t>
      </w:r>
      <w:r w:rsidRPr="00BC48D6">
        <w:t xml:space="preserve">response </w:t>
      </w:r>
      <w:r w:rsidR="00373D76">
        <w:t>(</w:t>
      </w:r>
      <w:r w:rsidR="00001402">
        <w:t>1,197 mg</w:t>
      </w:r>
      <w:r w:rsidRPr="00BC48D6">
        <w:t xml:space="preserve">/day </w:t>
      </w:r>
      <w:r w:rsidR="000B6AC6">
        <w:t>versus</w:t>
      </w:r>
      <w:r w:rsidR="00AB195F">
        <w:t xml:space="preserve"> </w:t>
      </w:r>
      <w:r w:rsidR="00001402">
        <w:t>2,403 mg</w:t>
      </w:r>
      <w:r w:rsidR="00AB195F">
        <w:t>/day</w:t>
      </w:r>
      <w:r w:rsidR="00373D76">
        <w:t>)</w:t>
      </w:r>
      <w:r w:rsidR="00AB195F">
        <w:t xml:space="preserve"> </w:t>
      </w:r>
      <w:r w:rsidR="00373D76">
        <w:t xml:space="preserve">in </w:t>
      </w:r>
      <w:r w:rsidRPr="00BC48D6">
        <w:t xml:space="preserve">the reported incidence rate for some common TEAEs including rash (17% </w:t>
      </w:r>
      <w:r w:rsidR="000B6AC6">
        <w:t>versus</w:t>
      </w:r>
      <w:r w:rsidRPr="00BC48D6">
        <w:t xml:space="preserve"> 30%), photosensitivity reaction (7% </w:t>
      </w:r>
      <w:r w:rsidR="000B6AC6">
        <w:t>versus</w:t>
      </w:r>
      <w:r w:rsidRPr="00BC48D6">
        <w:t xml:space="preserve"> 14%), nausea</w:t>
      </w:r>
      <w:r>
        <w:t xml:space="preserve"> (25% </w:t>
      </w:r>
      <w:r w:rsidR="000B6AC6">
        <w:t>versus</w:t>
      </w:r>
      <w:r>
        <w:t xml:space="preserve"> 34%)</w:t>
      </w:r>
      <w:r w:rsidRPr="00BC48D6">
        <w:t xml:space="preserve">, dyspepsia (14% </w:t>
      </w:r>
      <w:r w:rsidR="000B6AC6">
        <w:t>versus</w:t>
      </w:r>
      <w:r w:rsidRPr="00BC48D6">
        <w:t xml:space="preserve"> 17%), </w:t>
      </w:r>
      <w:r>
        <w:t>headache (</w:t>
      </w:r>
      <w:r w:rsidRPr="00BC48D6">
        <w:t xml:space="preserve">16% </w:t>
      </w:r>
      <w:r w:rsidR="000B6AC6">
        <w:t>versus</w:t>
      </w:r>
      <w:r w:rsidR="00AB195F">
        <w:t xml:space="preserve"> 21%) and dizziness </w:t>
      </w:r>
      <w:r w:rsidRPr="00BC48D6">
        <w:t xml:space="preserve">(16% </w:t>
      </w:r>
      <w:r w:rsidR="000B6AC6">
        <w:t>versus</w:t>
      </w:r>
      <w:r w:rsidR="00AB195F">
        <w:t xml:space="preserve"> 19%) </w:t>
      </w:r>
      <w:r w:rsidR="00BC7605">
        <w:t xml:space="preserve">No dose </w:t>
      </w:r>
      <w:r w:rsidRPr="00BC48D6">
        <w:t>response was appar</w:t>
      </w:r>
      <w:r w:rsidR="00CA506A">
        <w:t>ent for many other common TEAEs.</w:t>
      </w:r>
    </w:p>
    <w:p w:rsidR="00E17771" w:rsidRPr="003B4994" w:rsidRDefault="00E17771" w:rsidP="00E17771">
      <w:pPr>
        <w:pStyle w:val="Heading5"/>
      </w:pPr>
      <w:r w:rsidRPr="003B4994">
        <w:t>Other studies</w:t>
      </w:r>
    </w:p>
    <w:p w:rsidR="00E17771" w:rsidRPr="00E17771" w:rsidRDefault="00E17771" w:rsidP="00E17771">
      <w:pPr>
        <w:rPr>
          <w:b/>
        </w:rPr>
      </w:pPr>
      <w:r w:rsidRPr="007F32BD">
        <w:t xml:space="preserve">A total of 269 subjects </w:t>
      </w:r>
      <w:r>
        <w:t xml:space="preserve">were </w:t>
      </w:r>
      <w:r w:rsidRPr="007F32BD">
        <w:t>treated with pirfenid</w:t>
      </w:r>
      <w:r w:rsidR="00AB195F">
        <w:t xml:space="preserve">one in the Phase </w:t>
      </w:r>
      <w:r w:rsidR="00DE0015">
        <w:t>I</w:t>
      </w:r>
      <w:r w:rsidR="00AB195F">
        <w:t xml:space="preserve"> </w:t>
      </w:r>
      <w:r w:rsidRPr="007F32BD">
        <w:t xml:space="preserve">trials. The </w:t>
      </w:r>
      <w:r>
        <w:t>adverse events</w:t>
      </w:r>
      <w:r w:rsidRPr="007F32BD">
        <w:t xml:space="preserve"> </w:t>
      </w:r>
      <w:r>
        <w:t xml:space="preserve">of </w:t>
      </w:r>
      <w:r w:rsidRPr="007F32BD">
        <w:t>headache, nausea, and dizziness</w:t>
      </w:r>
      <w:r>
        <w:t xml:space="preserve"> were </w:t>
      </w:r>
      <w:r w:rsidR="00AB195F">
        <w:t xml:space="preserve">the </w:t>
      </w:r>
      <w:r w:rsidRPr="007F32BD">
        <w:t xml:space="preserve">most </w:t>
      </w:r>
      <w:r>
        <w:t>frequently reported</w:t>
      </w:r>
      <w:r w:rsidRPr="007F32BD">
        <w:t>. The TEAEs were generally of</w:t>
      </w:r>
      <w:r>
        <w:t xml:space="preserve"> </w:t>
      </w:r>
      <w:r w:rsidRPr="007F32BD">
        <w:t>mild to moderate severity.</w:t>
      </w:r>
      <w:r w:rsidR="00AB195F">
        <w:t xml:space="preserve"> </w:t>
      </w:r>
      <w:r w:rsidRPr="00606EE3">
        <w:t>In</w:t>
      </w:r>
      <w:r w:rsidR="00AB195F">
        <w:rPr>
          <w:b/>
        </w:rPr>
        <w:t xml:space="preserve"> </w:t>
      </w:r>
      <w:r w:rsidR="00AB195F">
        <w:t>PIPF</w:t>
      </w:r>
      <w:r w:rsidR="00AB195F">
        <w:noBreakHyphen/>
        <w:t xml:space="preserve">011 </w:t>
      </w:r>
      <w:r w:rsidRPr="00606EE3">
        <w:t>after a single dose there were more AE reports in patients with hepatic insufficiency</w:t>
      </w:r>
      <w:r w:rsidR="00AB195F">
        <w:t>.</w:t>
      </w:r>
    </w:p>
    <w:p w:rsidR="00E17771" w:rsidRPr="007F32BD" w:rsidRDefault="00E17771" w:rsidP="00E17771">
      <w:r>
        <w:t xml:space="preserve">In extension </w:t>
      </w:r>
      <w:r w:rsidR="0049386B">
        <w:t>S</w:t>
      </w:r>
      <w:r>
        <w:t xml:space="preserve">tudy </w:t>
      </w:r>
      <w:r w:rsidR="00AB195F">
        <w:t>PIPF</w:t>
      </w:r>
      <w:r w:rsidR="00AB195F">
        <w:noBreakHyphen/>
      </w:r>
      <w:r w:rsidRPr="00AB195F">
        <w:t>012</w:t>
      </w:r>
      <w:r>
        <w:t xml:space="preserve"> there was long-term exposure (me</w:t>
      </w:r>
      <w:r w:rsidR="00AB195F">
        <w:t xml:space="preserve">dian 163 weeks). Severe or life </w:t>
      </w:r>
      <w:r>
        <w:t>threatening and serious AEs were mostly r</w:t>
      </w:r>
      <w:r w:rsidR="00AB195F">
        <w:t>elated to the underlying IPF</w:t>
      </w:r>
      <w:r w:rsidR="00373D76">
        <w:t>. H</w:t>
      </w:r>
      <w:r>
        <w:t xml:space="preserve">owever, high rates of GI, dermatologic and hepatic events were also reported. Of note, 8 patients (1.3%) had a severe dermatologic TEAE including </w:t>
      </w:r>
      <w:r w:rsidRPr="00F27A3B">
        <w:t xml:space="preserve">2 patients with urticaria. </w:t>
      </w:r>
      <w:r>
        <w:t>Severe TEAEs base</w:t>
      </w:r>
      <w:r w:rsidRPr="00B0316A">
        <w:t>d on liver t</w:t>
      </w:r>
      <w:r>
        <w:t>est results included 2 patients</w:t>
      </w:r>
      <w:r w:rsidRPr="00B0316A">
        <w:t xml:space="preserve"> with </w:t>
      </w:r>
      <w:r w:rsidR="00373D76" w:rsidRPr="00373D76">
        <w:t>hepatic enzyme increased</w:t>
      </w:r>
      <w:r w:rsidR="00373D76">
        <w:t xml:space="preserve">, 2 with liver function test abnormal, </w:t>
      </w:r>
      <w:r w:rsidRPr="00B0316A">
        <w:t>one p</w:t>
      </w:r>
      <w:r>
        <w:t>atient with hyperbilirubina</w:t>
      </w:r>
      <w:r w:rsidRPr="00B0316A">
        <w:t xml:space="preserve">emia and </w:t>
      </w:r>
      <w:r>
        <w:t xml:space="preserve">one </w:t>
      </w:r>
      <w:r w:rsidR="00373D76">
        <w:t xml:space="preserve">with </w:t>
      </w:r>
      <w:r w:rsidR="00AB195F">
        <w:t>GGT</w:t>
      </w:r>
      <w:r w:rsidRPr="00B0316A">
        <w:t xml:space="preserve"> increased.</w:t>
      </w:r>
    </w:p>
    <w:p w:rsidR="00E17771" w:rsidRPr="007F32BD" w:rsidRDefault="00E17771" w:rsidP="00E17771">
      <w:pPr>
        <w:pStyle w:val="Heading4"/>
      </w:pPr>
      <w:bookmarkStart w:id="203" w:name="_Ref272333567"/>
      <w:bookmarkStart w:id="204" w:name="_Toc272414665"/>
      <w:bookmarkStart w:id="205" w:name="_Toc290846303"/>
      <w:bookmarkStart w:id="206" w:name="_Toc430785400"/>
      <w:r w:rsidRPr="007F32BD">
        <w:t xml:space="preserve">Treatment-related adverse events </w:t>
      </w:r>
      <w:r w:rsidRPr="00CB5345">
        <w:t>(adverse drug reactions)</w:t>
      </w:r>
      <w:bookmarkEnd w:id="203"/>
      <w:bookmarkEnd w:id="204"/>
      <w:bookmarkEnd w:id="205"/>
      <w:bookmarkEnd w:id="206"/>
    </w:p>
    <w:p w:rsidR="00E17771" w:rsidRDefault="00373D76" w:rsidP="00E17771">
      <w:r>
        <w:t>The Clinical Overview states</w:t>
      </w:r>
      <w:r w:rsidR="00E17771" w:rsidRPr="00CA506A">
        <w:t xml:space="preserve"> that two analyses were conducted. In the first, a treatment</w:t>
      </w:r>
      <w:r>
        <w:t xml:space="preserve"> </w:t>
      </w:r>
      <w:r w:rsidR="00E17771" w:rsidRPr="00CA506A">
        <w:t>related TEAE was defined according the opinion of the reporting investig</w:t>
      </w:r>
      <w:r w:rsidR="00CA506A">
        <w:t>ator; the second method defined ‘</w:t>
      </w:r>
      <w:r w:rsidR="00E17771" w:rsidRPr="00CA506A">
        <w:t>common and likely treatment related adverse events</w:t>
      </w:r>
      <w:r w:rsidR="00CA506A">
        <w:t>’ on the basis of a frequency of</w:t>
      </w:r>
      <w:r w:rsidR="001848CA">
        <w:t> </w:t>
      </w:r>
      <w:r w:rsidR="00E17771" w:rsidRPr="00CA506A">
        <w:rPr>
          <w:rFonts w:hint="eastAsia"/>
        </w:rPr>
        <w:t>≥</w:t>
      </w:r>
      <w:r w:rsidR="00CA506A">
        <w:t> </w:t>
      </w:r>
      <w:r w:rsidR="00E17771" w:rsidRPr="00CA506A">
        <w:t xml:space="preserve">5% plus an incidence </w:t>
      </w:r>
      <w:r w:rsidR="00E17771" w:rsidRPr="00CA506A">
        <w:rPr>
          <w:rFonts w:hint="eastAsia"/>
        </w:rPr>
        <w:t>≥</w:t>
      </w:r>
      <w:r w:rsidR="00CA506A">
        <w:t> </w:t>
      </w:r>
      <w:r w:rsidR="00E17771" w:rsidRPr="00CA506A">
        <w:t xml:space="preserve">1.5 times that observed with placebo. The tabulated summaries of ADRs in the proposed product labelling were </w:t>
      </w:r>
      <w:r w:rsidR="00CA506A">
        <w:t>derived using the first method.</w:t>
      </w:r>
      <w:r w:rsidR="00E17771" w:rsidRPr="00CA506A">
        <w:t xml:space="preserve"> In the proposed Australian PI this sect</w:t>
      </w:r>
      <w:r w:rsidR="00CA506A">
        <w:t xml:space="preserve">ion is referenced to </w:t>
      </w:r>
      <w:r w:rsidR="007539DB">
        <w:t xml:space="preserve">‘EU </w:t>
      </w:r>
      <w:r w:rsidR="00CA506A" w:rsidRPr="001848CA">
        <w:t>SmPC’.</w:t>
      </w:r>
      <w:r w:rsidR="00BC7605" w:rsidRPr="001848CA">
        <w:rPr>
          <w:rStyle w:val="FootnoteReference"/>
        </w:rPr>
        <w:footnoteReference w:id="18"/>
      </w:r>
    </w:p>
    <w:p w:rsidR="00E17771" w:rsidRPr="007F32BD" w:rsidRDefault="00E17771" w:rsidP="00E17771">
      <w:r w:rsidRPr="00CA506A">
        <w:t xml:space="preserve">The most commonly reported </w:t>
      </w:r>
      <w:r w:rsidR="00CA506A" w:rsidRPr="00CA506A">
        <w:t>ADRs</w:t>
      </w:r>
      <w:r w:rsidRPr="00CA506A">
        <w:t xml:space="preserve"> in the randomised patient subset (based on investigator assessment) in patients treated with pirfenidone compared to placebo respectively, were: nausea (32.4% </w:t>
      </w:r>
      <w:r w:rsidR="000B6AC6" w:rsidRPr="00CA506A">
        <w:t>versus</w:t>
      </w:r>
      <w:r w:rsidRPr="00CA506A">
        <w:t xml:space="preserve"> 12.2%), rash (26.2% </w:t>
      </w:r>
      <w:r w:rsidR="000B6AC6" w:rsidRPr="00CA506A">
        <w:t>versus</w:t>
      </w:r>
      <w:r w:rsidRPr="00CA506A">
        <w:t xml:space="preserve"> 7.7%), diarrhoea (18.8% </w:t>
      </w:r>
      <w:r w:rsidR="000B6AC6" w:rsidRPr="00CA506A">
        <w:t>versus</w:t>
      </w:r>
      <w:r w:rsidRPr="00CA506A">
        <w:t xml:space="preserve"> 14.4%), fatigue (18.5% </w:t>
      </w:r>
      <w:r w:rsidR="000B6AC6" w:rsidRPr="00CA506A">
        <w:t>versus</w:t>
      </w:r>
      <w:r w:rsidRPr="00CA506A">
        <w:t xml:space="preserve"> 10.4%), dyspepsia (16.1% </w:t>
      </w:r>
      <w:r w:rsidR="000B6AC6" w:rsidRPr="00CA506A">
        <w:t>versus</w:t>
      </w:r>
      <w:r w:rsidRPr="00CA506A">
        <w:t xml:space="preserve"> 5.0%), anorexia (11.4% </w:t>
      </w:r>
      <w:r w:rsidR="000B6AC6" w:rsidRPr="00CA506A">
        <w:t>versus</w:t>
      </w:r>
      <w:r w:rsidRPr="00CA506A">
        <w:t xml:space="preserve"> 3.5%), headache (10.1% </w:t>
      </w:r>
      <w:r w:rsidR="000B6AC6" w:rsidRPr="00CA506A">
        <w:t>versus</w:t>
      </w:r>
      <w:r w:rsidRPr="00CA506A">
        <w:t xml:space="preserve"> 7.7%), and photosensitivity reaction (9.3% </w:t>
      </w:r>
      <w:r w:rsidR="000B6AC6" w:rsidRPr="00CA506A">
        <w:t>versus</w:t>
      </w:r>
      <w:r w:rsidRPr="00CA506A">
        <w:t xml:space="preserve"> 1.1%).</w:t>
      </w:r>
    </w:p>
    <w:p w:rsidR="00E17771" w:rsidRDefault="00E17771" w:rsidP="00E17771">
      <w:r w:rsidRPr="00837586">
        <w:t xml:space="preserve">The observed crude rates according to the second method are described in </w:t>
      </w:r>
      <w:r w:rsidRPr="001848CA">
        <w:t>the 2014 RSU</w:t>
      </w:r>
      <w:r w:rsidRPr="00837586">
        <w:t xml:space="preserve"> as follows</w:t>
      </w:r>
      <w:r>
        <w:t>:</w:t>
      </w:r>
    </w:p>
    <w:p w:rsidR="00CA506A" w:rsidRDefault="00CA506A" w:rsidP="00CA506A">
      <w:pPr>
        <w:pStyle w:val="ListBullet"/>
      </w:pPr>
      <w:r>
        <w:t>GI disorders</w:t>
      </w:r>
      <w:r w:rsidR="00CC24CB">
        <w:t>:</w:t>
      </w:r>
    </w:p>
    <w:p w:rsidR="00CA506A" w:rsidRDefault="00E17771" w:rsidP="00E17771">
      <w:pPr>
        <w:pStyle w:val="ListBullet2"/>
      </w:pPr>
      <w:r w:rsidRPr="00837586">
        <w:t>Nausea (</w:t>
      </w:r>
      <w:r>
        <w:t xml:space="preserve">pirfenidone </w:t>
      </w:r>
      <w:r w:rsidRPr="00837586">
        <w:t xml:space="preserve">36.1%, </w:t>
      </w:r>
      <w:r>
        <w:t xml:space="preserve">placebo </w:t>
      </w:r>
      <w:r w:rsidR="00CA506A">
        <w:t>15.5%),</w:t>
      </w:r>
    </w:p>
    <w:p w:rsidR="00CC24CB" w:rsidRDefault="00CA506A" w:rsidP="00E17771">
      <w:pPr>
        <w:pStyle w:val="ListBullet2"/>
      </w:pPr>
      <w:r>
        <w:t>D</w:t>
      </w:r>
      <w:r w:rsidR="00CC24CB">
        <w:t>yspepsia (18.5%, 6.9%)</w:t>
      </w:r>
    </w:p>
    <w:p w:rsidR="00CC24CB" w:rsidRDefault="00CC24CB" w:rsidP="00E17771">
      <w:pPr>
        <w:pStyle w:val="ListBullet2"/>
      </w:pPr>
      <w:r>
        <w:t>Vomiting (13.3%, 6.3%)</w:t>
      </w:r>
    </w:p>
    <w:p w:rsidR="00CC24CB" w:rsidRDefault="00CC24CB" w:rsidP="00E17771">
      <w:pPr>
        <w:pStyle w:val="ListBullet2"/>
      </w:pPr>
      <w:r>
        <w:lastRenderedPageBreak/>
        <w:t>GORD (11.1%, 7.1%)</w:t>
      </w:r>
    </w:p>
    <w:p w:rsidR="00CC24CB" w:rsidRDefault="00CC24CB" w:rsidP="00E17771">
      <w:pPr>
        <w:pStyle w:val="ListBullet2"/>
      </w:pPr>
      <w:r>
        <w:t>Stomach discomfort (8.5%, 2.9%)</w:t>
      </w:r>
    </w:p>
    <w:p w:rsidR="00CC24CB" w:rsidRDefault="00CC24CB" w:rsidP="00E17771">
      <w:pPr>
        <w:pStyle w:val="ListBullet2"/>
      </w:pPr>
      <w:r>
        <w:t>A</w:t>
      </w:r>
      <w:r w:rsidR="00E17771" w:rsidRPr="00837586">
        <w:t>bdominal pain (6.3%, 2.9%)</w:t>
      </w:r>
    </w:p>
    <w:p w:rsidR="00CC24CB" w:rsidRDefault="00E17771" w:rsidP="00CC24CB">
      <w:pPr>
        <w:pStyle w:val="ListBullet"/>
      </w:pPr>
      <w:r w:rsidRPr="00CC24CB">
        <w:t>General Disorders and Administration Site Conditions</w:t>
      </w:r>
      <w:r w:rsidR="00CC24CB">
        <w:t>:</w:t>
      </w:r>
    </w:p>
    <w:p w:rsidR="00CC24CB" w:rsidRDefault="00E17771" w:rsidP="00CC24CB">
      <w:pPr>
        <w:pStyle w:val="ListBullet2"/>
      </w:pPr>
      <w:r w:rsidRPr="00837586">
        <w:t>Asthenia (6.4%, 3.8%)</w:t>
      </w:r>
    </w:p>
    <w:p w:rsidR="00CC24CB" w:rsidRDefault="00E17771" w:rsidP="00CC24CB">
      <w:pPr>
        <w:pStyle w:val="ListBullet"/>
      </w:pPr>
      <w:r w:rsidRPr="00CC24CB">
        <w:rPr>
          <w:bCs/>
        </w:rPr>
        <w:t>Investigations</w:t>
      </w:r>
      <w:r w:rsidR="00CC24CB">
        <w:t>:</w:t>
      </w:r>
    </w:p>
    <w:p w:rsidR="00CC24CB" w:rsidRDefault="00E17771" w:rsidP="00CC24CB">
      <w:pPr>
        <w:pStyle w:val="ListBullet2"/>
      </w:pPr>
      <w:r w:rsidRPr="00837586">
        <w:t>Decreased weight (10.1%, 5.4%)</w:t>
      </w:r>
    </w:p>
    <w:p w:rsidR="00CC24CB" w:rsidRPr="00CC24CB" w:rsidRDefault="00E17771" w:rsidP="00CC24CB">
      <w:pPr>
        <w:pStyle w:val="ListBullet"/>
      </w:pPr>
      <w:r w:rsidRPr="00CC24CB">
        <w:rPr>
          <w:bCs/>
        </w:rPr>
        <w:t>Metabolism and Nutrition Disorders</w:t>
      </w:r>
      <w:r w:rsidR="00CC24CB" w:rsidRPr="00CC24CB">
        <w:t>:</w:t>
      </w:r>
    </w:p>
    <w:p w:rsidR="00CC24CB" w:rsidRDefault="00E17771" w:rsidP="00CC24CB">
      <w:pPr>
        <w:pStyle w:val="ListBullet2"/>
      </w:pPr>
      <w:r w:rsidRPr="00837586">
        <w:t>Anorexia (1</w:t>
      </w:r>
      <w:r w:rsidR="00CC24CB">
        <w:t>3.0%, 5.0%)</w:t>
      </w:r>
    </w:p>
    <w:p w:rsidR="00CC24CB" w:rsidRDefault="00CC24CB" w:rsidP="00E17771">
      <w:pPr>
        <w:pStyle w:val="ListBullet2"/>
      </w:pPr>
      <w:r>
        <w:t>D</w:t>
      </w:r>
      <w:r w:rsidR="00E17771">
        <w:t xml:space="preserve">ecreased appetite </w:t>
      </w:r>
      <w:r>
        <w:t xml:space="preserve">(8.0%, </w:t>
      </w:r>
      <w:r w:rsidR="00E17771" w:rsidRPr="00837586">
        <w:t>3.2%)</w:t>
      </w:r>
    </w:p>
    <w:p w:rsidR="00CC24CB" w:rsidRPr="00CC24CB" w:rsidRDefault="00CC24CB" w:rsidP="00CC24CB">
      <w:pPr>
        <w:pStyle w:val="ListBullet"/>
      </w:pPr>
      <w:r w:rsidRPr="00CC24CB">
        <w:rPr>
          <w:bCs/>
        </w:rPr>
        <w:t>N</w:t>
      </w:r>
      <w:r w:rsidR="00E17771" w:rsidRPr="00CC24CB">
        <w:rPr>
          <w:bCs/>
        </w:rPr>
        <w:t>ervous System Disorders</w:t>
      </w:r>
      <w:r w:rsidRPr="00CC24CB">
        <w:t>:</w:t>
      </w:r>
    </w:p>
    <w:p w:rsidR="00CC24CB" w:rsidRPr="00CC24CB" w:rsidRDefault="00E17771" w:rsidP="00CC24CB">
      <w:pPr>
        <w:pStyle w:val="ListBullet2"/>
      </w:pPr>
      <w:r w:rsidRPr="00CC24CB">
        <w:t xml:space="preserve">Dizziness (18.0%, </w:t>
      </w:r>
      <w:r w:rsidR="00CC24CB" w:rsidRPr="00CC24CB">
        <w:t>11.4%)</w:t>
      </w:r>
    </w:p>
    <w:p w:rsidR="00CC24CB" w:rsidRPr="00CC24CB" w:rsidRDefault="00CC24CB" w:rsidP="00E17771">
      <w:pPr>
        <w:pStyle w:val="ListBullet2"/>
      </w:pPr>
      <w:r w:rsidRPr="00CC24CB">
        <w:t>D</w:t>
      </w:r>
      <w:r w:rsidR="00E17771" w:rsidRPr="00CC24CB">
        <w:t>ysgeusia (5.8%, 2.2%)</w:t>
      </w:r>
    </w:p>
    <w:p w:rsidR="00CC24CB" w:rsidRPr="00CC24CB" w:rsidRDefault="00E17771" w:rsidP="00CC24CB">
      <w:pPr>
        <w:pStyle w:val="ListBullet"/>
      </w:pPr>
      <w:r w:rsidRPr="00CC24CB">
        <w:rPr>
          <w:bCs/>
        </w:rPr>
        <w:t>Psychiatric Disorders</w:t>
      </w:r>
      <w:r w:rsidR="00CC24CB" w:rsidRPr="00CC24CB">
        <w:t>:</w:t>
      </w:r>
    </w:p>
    <w:p w:rsidR="00CC24CB" w:rsidRPr="00CC24CB" w:rsidRDefault="00E17771" w:rsidP="00E17771">
      <w:pPr>
        <w:pStyle w:val="ListBullet2"/>
      </w:pPr>
      <w:r w:rsidRPr="00CC24CB">
        <w:t>Insomnia (10.4%, 6.6%)</w:t>
      </w:r>
    </w:p>
    <w:p w:rsidR="00CC24CB" w:rsidRPr="00CC24CB" w:rsidRDefault="00E17771" w:rsidP="00CC24CB">
      <w:pPr>
        <w:pStyle w:val="ListBullet"/>
      </w:pPr>
      <w:r w:rsidRPr="00CC24CB">
        <w:rPr>
          <w:bCs/>
        </w:rPr>
        <w:t>Skin and Subcutaneous Tissue Disorders</w:t>
      </w:r>
      <w:r w:rsidR="00CC24CB" w:rsidRPr="00CC24CB">
        <w:t>:</w:t>
      </w:r>
    </w:p>
    <w:p w:rsidR="00CC24CB" w:rsidRPr="00CC24CB" w:rsidRDefault="00E17771" w:rsidP="00CC24CB">
      <w:pPr>
        <w:pStyle w:val="ListBullet2"/>
      </w:pPr>
      <w:r w:rsidRPr="00CC24CB">
        <w:t>Rash (3</w:t>
      </w:r>
      <w:r w:rsidR="00CC24CB" w:rsidRPr="00CC24CB">
        <w:t>0.3%, 10.3%)</w:t>
      </w:r>
    </w:p>
    <w:p w:rsidR="00CC24CB" w:rsidRPr="00CC24CB" w:rsidRDefault="00CC24CB" w:rsidP="00E17771">
      <w:pPr>
        <w:pStyle w:val="ListBullet2"/>
      </w:pPr>
      <w:r w:rsidRPr="00CC24CB">
        <w:t>P</w:t>
      </w:r>
      <w:r w:rsidR="00E17771" w:rsidRPr="00CC24CB">
        <w:t>hotosensitivity reaction (9.3%, 1.1%)</w:t>
      </w:r>
    </w:p>
    <w:p w:rsidR="00CC24CB" w:rsidRPr="00CC24CB" w:rsidRDefault="00E17771" w:rsidP="00CC24CB">
      <w:pPr>
        <w:pStyle w:val="ListBullet"/>
      </w:pPr>
      <w:r w:rsidRPr="00CC24CB">
        <w:rPr>
          <w:bCs/>
        </w:rPr>
        <w:t>Vascular Disorders</w:t>
      </w:r>
      <w:r w:rsidR="00CC24CB" w:rsidRPr="00CC24CB">
        <w:t>:</w:t>
      </w:r>
    </w:p>
    <w:p w:rsidR="00E17771" w:rsidRPr="00CC24CB" w:rsidRDefault="00E17771" w:rsidP="00CC24CB">
      <w:pPr>
        <w:pStyle w:val="ListBullet2"/>
      </w:pPr>
      <w:r w:rsidRPr="00CC24CB">
        <w:t>Hot flush (4.0%, 2.2%)</w:t>
      </w:r>
    </w:p>
    <w:p w:rsidR="00CC24CB" w:rsidRDefault="00CC24CB" w:rsidP="00E17771">
      <w:r>
        <w:t xml:space="preserve">Treatment </w:t>
      </w:r>
      <w:r w:rsidR="00E17771" w:rsidRPr="00CC24CB">
        <w:t>related SAEs</w:t>
      </w:r>
      <w:r w:rsidR="00E17771">
        <w:t xml:space="preserve"> (investigator assessment)</w:t>
      </w:r>
      <w:r w:rsidR="00E17771" w:rsidRPr="00E13ED1">
        <w:t xml:space="preserve"> occurred in </w:t>
      </w:r>
      <w:r w:rsidR="00E17771">
        <w:t>33 patients</w:t>
      </w:r>
      <w:r w:rsidR="00E17771" w:rsidRPr="00E13ED1">
        <w:t xml:space="preserve"> in the pirfenidone group </w:t>
      </w:r>
      <w:r w:rsidR="00E17771">
        <w:t>(n =623) (</w:t>
      </w:r>
      <w:r w:rsidR="00E17771" w:rsidRPr="00E13ED1">
        <w:t>5.3%</w:t>
      </w:r>
      <w:r w:rsidR="00E17771">
        <w:t>)</w:t>
      </w:r>
      <w:r w:rsidR="00E17771" w:rsidRPr="00E13ED1">
        <w:t xml:space="preserve"> </w:t>
      </w:r>
      <w:r w:rsidR="000B6AC6">
        <w:t>versus</w:t>
      </w:r>
      <w:r w:rsidR="00E17771" w:rsidRPr="00E13ED1">
        <w:t xml:space="preserve"> 27 pat</w:t>
      </w:r>
      <w:r w:rsidR="00E17771">
        <w:t xml:space="preserve">ients (4.3%) in the placebo group (n = 624). The events by SOC </w:t>
      </w:r>
      <w:r>
        <w:t>were as follows:</w:t>
      </w:r>
    </w:p>
    <w:p w:rsidR="00CC24CB" w:rsidRDefault="00CC24CB" w:rsidP="00CC24CB">
      <w:pPr>
        <w:pStyle w:val="ListBullet"/>
      </w:pPr>
      <w:r>
        <w:t>C</w:t>
      </w:r>
      <w:r w:rsidR="00E17771">
        <w:t>ardiac disorders</w:t>
      </w:r>
      <w:r>
        <w:t xml:space="preserve"> (</w:t>
      </w:r>
      <w:r w:rsidR="00E17771">
        <w:t xml:space="preserve">4 </w:t>
      </w:r>
      <w:r w:rsidR="000B6AC6">
        <w:t>versus</w:t>
      </w:r>
      <w:r>
        <w:t xml:space="preserve"> 2)</w:t>
      </w:r>
    </w:p>
    <w:p w:rsidR="00CC24CB" w:rsidRDefault="00E17771" w:rsidP="00CC24CB">
      <w:pPr>
        <w:pStyle w:val="ListBullet"/>
      </w:pPr>
      <w:r>
        <w:t xml:space="preserve">GI disorders </w:t>
      </w:r>
      <w:r w:rsidR="00CC24CB">
        <w:t>(</w:t>
      </w:r>
      <w:r>
        <w:t xml:space="preserve">6 </w:t>
      </w:r>
      <w:r w:rsidR="000B6AC6">
        <w:t>versus</w:t>
      </w:r>
      <w:r w:rsidR="00CC24CB">
        <w:t xml:space="preserve"> 4)</w:t>
      </w:r>
    </w:p>
    <w:p w:rsidR="00CC24CB" w:rsidRDefault="00CC24CB" w:rsidP="00CC24CB">
      <w:pPr>
        <w:pStyle w:val="ListBullet"/>
      </w:pPr>
      <w:r>
        <w:t>G</w:t>
      </w:r>
      <w:r w:rsidR="00E17771">
        <w:t xml:space="preserve">eneral disorders (chest pain) </w:t>
      </w:r>
      <w:r>
        <w:t>(</w:t>
      </w:r>
      <w:r w:rsidR="00E17771">
        <w:t xml:space="preserve">2 </w:t>
      </w:r>
      <w:r w:rsidR="000B6AC6">
        <w:t>versus</w:t>
      </w:r>
      <w:r w:rsidR="00E17771">
        <w:t>1</w:t>
      </w:r>
      <w:r>
        <w:t>)</w:t>
      </w:r>
    </w:p>
    <w:p w:rsidR="00CC24CB" w:rsidRDefault="00CC24CB" w:rsidP="00CC24CB">
      <w:pPr>
        <w:pStyle w:val="ListBullet"/>
      </w:pPr>
      <w:r>
        <w:t>H</w:t>
      </w:r>
      <w:r w:rsidR="00E17771">
        <w:t xml:space="preserve">epatobiliary disorders </w:t>
      </w:r>
      <w:r>
        <w:t>(</w:t>
      </w:r>
      <w:r w:rsidR="00E17771">
        <w:t xml:space="preserve">3 </w:t>
      </w:r>
      <w:r w:rsidR="000B6AC6">
        <w:t>versus</w:t>
      </w:r>
      <w:r w:rsidR="00E17771">
        <w:t xml:space="preserve"> 2</w:t>
      </w:r>
      <w:r>
        <w:t>)</w:t>
      </w:r>
    </w:p>
    <w:p w:rsidR="00CC24CB" w:rsidRDefault="00CC24CB" w:rsidP="00CC24CB">
      <w:pPr>
        <w:pStyle w:val="ListBullet"/>
      </w:pPr>
      <w:r>
        <w:t>I</w:t>
      </w:r>
      <w:r w:rsidR="00E17771">
        <w:t xml:space="preserve">nfections and infestations </w:t>
      </w:r>
      <w:r>
        <w:t>(</w:t>
      </w:r>
      <w:r w:rsidR="00E17771">
        <w:t xml:space="preserve">6 </w:t>
      </w:r>
      <w:r w:rsidR="000B6AC6">
        <w:t>versus</w:t>
      </w:r>
      <w:r>
        <w:t xml:space="preserve"> 6)</w:t>
      </w:r>
    </w:p>
    <w:p w:rsidR="00CC24CB" w:rsidRDefault="00CC24CB" w:rsidP="00CC24CB">
      <w:pPr>
        <w:pStyle w:val="ListBullet"/>
      </w:pPr>
      <w:r>
        <w:t>Abnormal</w:t>
      </w:r>
      <w:r w:rsidR="00E17771">
        <w:t xml:space="preserve"> investigations </w:t>
      </w:r>
      <w:r>
        <w:t>(</w:t>
      </w:r>
      <w:r w:rsidR="00E17771">
        <w:t xml:space="preserve">4 </w:t>
      </w:r>
      <w:r w:rsidR="000B6AC6">
        <w:t>versus</w:t>
      </w:r>
      <w:r>
        <w:t xml:space="preserve"> </w:t>
      </w:r>
      <w:r w:rsidR="00E17771">
        <w:t>1</w:t>
      </w:r>
      <w:r>
        <w:t>)</w:t>
      </w:r>
    </w:p>
    <w:p w:rsidR="00CC24CB" w:rsidRDefault="00CC24CB" w:rsidP="00CC24CB">
      <w:pPr>
        <w:pStyle w:val="ListBullet"/>
      </w:pPr>
      <w:r>
        <w:t>N</w:t>
      </w:r>
      <w:r w:rsidR="00E17771">
        <w:t xml:space="preserve">eoplasms </w:t>
      </w:r>
      <w:r>
        <w:t>(</w:t>
      </w:r>
      <w:r w:rsidR="00E17771">
        <w:t xml:space="preserve">3 </w:t>
      </w:r>
      <w:r w:rsidR="000B6AC6">
        <w:t>versus</w:t>
      </w:r>
      <w:r>
        <w:t xml:space="preserve"> </w:t>
      </w:r>
      <w:r w:rsidR="00E17771">
        <w:t>3</w:t>
      </w:r>
      <w:r>
        <w:t>)</w:t>
      </w:r>
    </w:p>
    <w:p w:rsidR="00CC24CB" w:rsidRDefault="00CC24CB" w:rsidP="00CC24CB">
      <w:pPr>
        <w:pStyle w:val="ListBullet"/>
      </w:pPr>
      <w:r>
        <w:t>N</w:t>
      </w:r>
      <w:r w:rsidR="00E17771">
        <w:t xml:space="preserve">ervous systems disorders </w:t>
      </w:r>
      <w:r>
        <w:t>(</w:t>
      </w:r>
      <w:r w:rsidR="00E17771">
        <w:t xml:space="preserve">3 </w:t>
      </w:r>
      <w:r w:rsidR="000B6AC6">
        <w:t>versus</w:t>
      </w:r>
      <w:r>
        <w:t xml:space="preserve"> </w:t>
      </w:r>
      <w:r w:rsidR="00E17771">
        <w:t>2</w:t>
      </w:r>
      <w:r>
        <w:t>)</w:t>
      </w:r>
    </w:p>
    <w:p w:rsidR="00CC24CB" w:rsidRDefault="00CC24CB" w:rsidP="00CC24CB">
      <w:pPr>
        <w:pStyle w:val="ListBullet"/>
      </w:pPr>
      <w:r>
        <w:t>P</w:t>
      </w:r>
      <w:r w:rsidR="00E17771">
        <w:t xml:space="preserve">sychiatric disorders </w:t>
      </w:r>
      <w:r>
        <w:t>(</w:t>
      </w:r>
      <w:r w:rsidR="00E17771">
        <w:t xml:space="preserve">1 </w:t>
      </w:r>
      <w:r w:rsidR="000B6AC6">
        <w:t>versus</w:t>
      </w:r>
      <w:r w:rsidR="00E17771">
        <w:t xml:space="preserve"> 0</w:t>
      </w:r>
      <w:r>
        <w:t>)</w:t>
      </w:r>
    </w:p>
    <w:p w:rsidR="00CC24CB" w:rsidRDefault="00CC24CB" w:rsidP="00CC24CB">
      <w:pPr>
        <w:pStyle w:val="ListBullet"/>
      </w:pPr>
      <w:r>
        <w:t>Renal (Acute renal failure</w:t>
      </w:r>
      <w:r w:rsidR="00E17771">
        <w:t xml:space="preserve">) </w:t>
      </w:r>
      <w:r>
        <w:t>(</w:t>
      </w:r>
      <w:r w:rsidR="00E17771">
        <w:t xml:space="preserve">1 </w:t>
      </w:r>
      <w:r w:rsidR="000B6AC6">
        <w:t>versus</w:t>
      </w:r>
      <w:r>
        <w:t xml:space="preserve"> </w:t>
      </w:r>
      <w:r w:rsidR="00E17771">
        <w:t>0</w:t>
      </w:r>
      <w:r>
        <w:t>)</w:t>
      </w:r>
    </w:p>
    <w:p w:rsidR="00CC24CB" w:rsidRDefault="00CC24CB" w:rsidP="00CC24CB">
      <w:pPr>
        <w:pStyle w:val="ListBullet"/>
      </w:pPr>
      <w:r>
        <w:t>R</w:t>
      </w:r>
      <w:r w:rsidR="00E17771">
        <w:t xml:space="preserve">espiratory </w:t>
      </w:r>
      <w:r>
        <w:t>(</w:t>
      </w:r>
      <w:r w:rsidR="00E17771">
        <w:t xml:space="preserve">10 </w:t>
      </w:r>
      <w:r w:rsidR="000B6AC6">
        <w:t>versus</w:t>
      </w:r>
      <w:r>
        <w:t xml:space="preserve"> </w:t>
      </w:r>
      <w:r w:rsidR="00E17771">
        <w:t>8</w:t>
      </w:r>
      <w:r>
        <w:t>)</w:t>
      </w:r>
    </w:p>
    <w:p w:rsidR="00CC24CB" w:rsidRDefault="00CC24CB" w:rsidP="00CC24CB">
      <w:pPr>
        <w:pStyle w:val="ListBullet"/>
      </w:pPr>
      <w:r>
        <w:t>Dermatological</w:t>
      </w:r>
      <w:r w:rsidR="00E17771">
        <w:t xml:space="preserve"> </w:t>
      </w:r>
      <w:r>
        <w:t>(</w:t>
      </w:r>
      <w:r w:rsidR="00E17771">
        <w:t xml:space="preserve">2 </w:t>
      </w:r>
      <w:r w:rsidR="000B6AC6">
        <w:t>versus</w:t>
      </w:r>
      <w:r>
        <w:t xml:space="preserve"> </w:t>
      </w:r>
      <w:r w:rsidR="00E17771">
        <w:t>0</w:t>
      </w:r>
      <w:r>
        <w:t>)</w:t>
      </w:r>
    </w:p>
    <w:p w:rsidR="00E17771" w:rsidRPr="007F32BD" w:rsidRDefault="00CC24CB" w:rsidP="00E17771">
      <w:pPr>
        <w:pStyle w:val="ListBullet"/>
      </w:pPr>
      <w:r>
        <w:t>Vascular (A</w:t>
      </w:r>
      <w:r w:rsidR="00E17771">
        <w:t xml:space="preserve">ortic aneurysm) 0 </w:t>
      </w:r>
      <w:r w:rsidR="000B6AC6">
        <w:t>versus</w:t>
      </w:r>
      <w:r>
        <w:t>1.</w:t>
      </w:r>
    </w:p>
    <w:p w:rsidR="00E17771" w:rsidRPr="00606EE3" w:rsidRDefault="00E17771" w:rsidP="00E17771">
      <w:pPr>
        <w:pStyle w:val="Heading5"/>
      </w:pPr>
      <w:r w:rsidRPr="00606EE3">
        <w:lastRenderedPageBreak/>
        <w:t xml:space="preserve">Pivotal </w:t>
      </w:r>
      <w:r w:rsidRPr="00E17771">
        <w:t>studies</w:t>
      </w:r>
    </w:p>
    <w:p w:rsidR="00E17771" w:rsidRPr="007F32BD" w:rsidRDefault="00E17771" w:rsidP="00E17771">
      <w:r>
        <w:t xml:space="preserve">The patterns of treatment-related AEs were similar in all the Phase </w:t>
      </w:r>
      <w:r w:rsidR="00AF589F">
        <w:t>III</w:t>
      </w:r>
      <w:r>
        <w:t xml:space="preserve"> pivotal studies, as above.</w:t>
      </w:r>
    </w:p>
    <w:p w:rsidR="00E17771" w:rsidRPr="00606EE3" w:rsidRDefault="00E17771" w:rsidP="00E17771">
      <w:pPr>
        <w:pStyle w:val="Heading5"/>
      </w:pPr>
      <w:r w:rsidRPr="00606EE3">
        <w:t xml:space="preserve">Other </w:t>
      </w:r>
      <w:r w:rsidRPr="00E17771">
        <w:t>studies</w:t>
      </w:r>
    </w:p>
    <w:p w:rsidR="00E17771" w:rsidRPr="00CC24CB" w:rsidRDefault="00E17771" w:rsidP="00E17771">
      <w:pPr>
        <w:autoSpaceDE w:val="0"/>
        <w:autoSpaceDN w:val="0"/>
        <w:adjustRightInd w:val="0"/>
        <w:rPr>
          <w:b/>
        </w:rPr>
      </w:pPr>
      <w:r w:rsidRPr="00AC72B1">
        <w:t>There were no notable deviations from the pooled data analyses in the ISS.</w:t>
      </w:r>
      <w:r>
        <w:t xml:space="preserve"> In </w:t>
      </w:r>
      <w:r w:rsidRPr="001F7C83">
        <w:t>Phase</w:t>
      </w:r>
      <w:r w:rsidR="00AF589F">
        <w:t xml:space="preserve"> I</w:t>
      </w:r>
      <w:r w:rsidRPr="00D870F0">
        <w:rPr>
          <w:b/>
        </w:rPr>
        <w:t xml:space="preserve"> </w:t>
      </w:r>
      <w:r>
        <w:t>studies</w:t>
      </w:r>
      <w:r w:rsidR="001F7C83">
        <w:t>,</w:t>
      </w:r>
      <w:r>
        <w:t xml:space="preserve"> drug</w:t>
      </w:r>
      <w:r w:rsidR="006A1ED3">
        <w:t xml:space="preserve"> </w:t>
      </w:r>
      <w:r>
        <w:t>related AEs were nausea, headache and dizziness</w:t>
      </w:r>
      <w:r w:rsidR="001F7C83">
        <w:rPr>
          <w:b/>
        </w:rPr>
        <w:t>.</w:t>
      </w:r>
      <w:r>
        <w:rPr>
          <w:b/>
        </w:rPr>
        <w:t xml:space="preserve"> </w:t>
      </w:r>
      <w:r w:rsidRPr="00B0316A">
        <w:t xml:space="preserve">In the extension </w:t>
      </w:r>
      <w:r w:rsidR="0049386B">
        <w:t>S</w:t>
      </w:r>
      <w:r w:rsidRPr="00B0316A">
        <w:t xml:space="preserve">tudy </w:t>
      </w:r>
      <w:r w:rsidRPr="001F7C83">
        <w:t>PIPF</w:t>
      </w:r>
      <w:r w:rsidR="001F7C83">
        <w:noBreakHyphen/>
      </w:r>
      <w:r w:rsidRPr="001F7C83">
        <w:t>012</w:t>
      </w:r>
      <w:r>
        <w:rPr>
          <w:b/>
        </w:rPr>
        <w:t>,</w:t>
      </w:r>
      <w:r>
        <w:t xml:space="preserve"> </w:t>
      </w:r>
      <w:r w:rsidRPr="00B0316A">
        <w:t xml:space="preserve">79.8% of patients had TEAEs that were considered by the investigator to be possibly or probably </w:t>
      </w:r>
      <w:r>
        <w:t>treatment</w:t>
      </w:r>
      <w:r w:rsidR="001F7C83">
        <w:t xml:space="preserve"> </w:t>
      </w:r>
      <w:r>
        <w:t xml:space="preserve">related, including nausea 24.2%, diarrhoea 13.3%, rash 13.1%, dyspepsia 11.3%, and fatigue 10.4%. </w:t>
      </w:r>
      <w:r w:rsidR="001F7C83">
        <w:t>O</w:t>
      </w:r>
      <w:r>
        <w:t>f note, 8.5% of patients had weight decre</w:t>
      </w:r>
      <w:r w:rsidR="00BC7605">
        <w:t xml:space="preserve">ased considered treatment </w:t>
      </w:r>
      <w:r>
        <w:t>related.</w:t>
      </w:r>
    </w:p>
    <w:p w:rsidR="00E17771" w:rsidRPr="007F32BD" w:rsidRDefault="00E17771" w:rsidP="00E17771">
      <w:pPr>
        <w:pStyle w:val="Heading4"/>
      </w:pPr>
      <w:bookmarkStart w:id="207" w:name="_Toc241374320"/>
      <w:bookmarkStart w:id="208" w:name="_Ref272333507"/>
      <w:bookmarkStart w:id="209" w:name="_Toc272414666"/>
      <w:bookmarkStart w:id="210" w:name="_Toc290846304"/>
      <w:bookmarkStart w:id="211" w:name="_Toc430785401"/>
      <w:r w:rsidRPr="007F32BD">
        <w:t>Deaths and other serious adverse events</w:t>
      </w:r>
      <w:bookmarkEnd w:id="207"/>
      <w:bookmarkEnd w:id="208"/>
      <w:bookmarkEnd w:id="209"/>
      <w:bookmarkEnd w:id="210"/>
      <w:bookmarkEnd w:id="211"/>
    </w:p>
    <w:p w:rsidR="00E17771" w:rsidRPr="007F32BD" w:rsidRDefault="00E17771" w:rsidP="00E17771">
      <w:pPr>
        <w:pStyle w:val="Heading5"/>
      </w:pPr>
      <w:bookmarkStart w:id="212" w:name="_Toc430785402"/>
      <w:r w:rsidRPr="007F32BD">
        <w:t>Deaths</w:t>
      </w:r>
      <w:bookmarkEnd w:id="212"/>
    </w:p>
    <w:p w:rsidR="00E17771" w:rsidRPr="007F32BD" w:rsidRDefault="00E17771" w:rsidP="00E17771">
      <w:r w:rsidRPr="007F32BD">
        <w:t xml:space="preserve">A total of 71 patients died within 28 days of last dose of study treatment, lower in the pirfenidone than placebo group (4.3%, 27 patients </w:t>
      </w:r>
      <w:r w:rsidR="000B6AC6">
        <w:t>versus</w:t>
      </w:r>
      <w:r w:rsidRPr="007F32BD">
        <w:t xml:space="preserve"> 7.1%, 44 patients). IPF was the most common cause of death (10 pirfenidone</w:t>
      </w:r>
      <w:r>
        <w:t>,</w:t>
      </w:r>
      <w:r w:rsidRPr="007F32BD">
        <w:t xml:space="preserve"> 1.6% </w:t>
      </w:r>
      <w:r w:rsidR="000B6AC6">
        <w:t>versus</w:t>
      </w:r>
      <w:r>
        <w:t xml:space="preserve"> 21 </w:t>
      </w:r>
      <w:r w:rsidRPr="007F32BD">
        <w:t>placebo</w:t>
      </w:r>
      <w:r>
        <w:t xml:space="preserve">, </w:t>
      </w:r>
      <w:r w:rsidRPr="007F32BD">
        <w:t>3.4%). Other causes of death in more than 2 patients were respiratory failure (5 patients, 0.8%</w:t>
      </w:r>
      <w:r>
        <w:t>,</w:t>
      </w:r>
      <w:r w:rsidRPr="007F32BD">
        <w:t xml:space="preserve"> in both groups) and pneumonia (3 patients, 0.5%</w:t>
      </w:r>
      <w:r>
        <w:t>,</w:t>
      </w:r>
      <w:r w:rsidRPr="007F32BD">
        <w:t xml:space="preserve"> in both groups. The number of deaths per 100 </w:t>
      </w:r>
      <w:r w:rsidR="001F7C83">
        <w:t>patient exposure years (</w:t>
      </w:r>
      <w:r w:rsidRPr="007F32BD">
        <w:t>PEY</w:t>
      </w:r>
      <w:r w:rsidR="001F7C83">
        <w:t>)</w:t>
      </w:r>
      <w:r w:rsidRPr="007F32BD">
        <w:t xml:space="preserve"> was lower in the pirfenidone group than placebo (3.7 </w:t>
      </w:r>
      <w:r w:rsidR="000B6AC6">
        <w:t>versus</w:t>
      </w:r>
      <w:r w:rsidRPr="007F32BD">
        <w:t xml:space="preserve"> 5.9).</w:t>
      </w:r>
      <w:r>
        <w:t xml:space="preserve"> </w:t>
      </w:r>
      <w:r w:rsidRPr="007F32BD">
        <w:t xml:space="preserve">Adjusted mortality incidence rates were </w:t>
      </w:r>
      <w:r>
        <w:t xml:space="preserve">stated to be </w:t>
      </w:r>
      <w:r w:rsidRPr="007F32BD">
        <w:t xml:space="preserve">slightly higher in the 2014 RSU </w:t>
      </w:r>
      <w:r w:rsidRPr="001F7C83">
        <w:t>pirfenidone patient subset</w:t>
      </w:r>
      <w:r w:rsidRPr="007F32BD">
        <w:t xml:space="preserve"> compared with the </w:t>
      </w:r>
      <w:r w:rsidRPr="003C4B2A">
        <w:t>2009 ISS</w:t>
      </w:r>
      <w:r w:rsidRPr="007F32BD">
        <w:t xml:space="preserve"> (6.8 v</w:t>
      </w:r>
      <w:r w:rsidR="001F7C83">
        <w:t>ersu</w:t>
      </w:r>
      <w:r w:rsidRPr="007F32BD">
        <w:t>s 5.1 per 100 PEY)</w:t>
      </w:r>
      <w:r>
        <w:t xml:space="preserve">, </w:t>
      </w:r>
      <w:r w:rsidRPr="007F32BD">
        <w:t>reflect</w:t>
      </w:r>
      <w:r>
        <w:t>ing</w:t>
      </w:r>
      <w:r w:rsidRPr="007F32BD">
        <w:t xml:space="preserve"> disease progression with increased person exposure years; the causes of death were consistent with those in </w:t>
      </w:r>
      <w:r w:rsidR="001F7C83">
        <w:t xml:space="preserve">the randomised patient subset. </w:t>
      </w:r>
    </w:p>
    <w:p w:rsidR="00E17771" w:rsidRPr="007F32BD" w:rsidRDefault="00E17771" w:rsidP="00E17771">
      <w:pPr>
        <w:pStyle w:val="Heading5"/>
      </w:pPr>
      <w:bookmarkStart w:id="213" w:name="_Toc430785403"/>
      <w:r w:rsidRPr="007F32BD">
        <w:t>Serious adverse events</w:t>
      </w:r>
      <w:bookmarkEnd w:id="213"/>
    </w:p>
    <w:p w:rsidR="00E17771" w:rsidRDefault="00E17771" w:rsidP="00E17771">
      <w:r w:rsidRPr="007F32BD">
        <w:t xml:space="preserve">TE SAEs were reported in 168 (27%) and 178 (28.5%) patients in pirfenidone and placebo groups respectively in the </w:t>
      </w:r>
      <w:r>
        <w:t xml:space="preserve">cumulative </w:t>
      </w:r>
      <w:r w:rsidRPr="001F7C83">
        <w:t>randomised patient subset</w:t>
      </w:r>
      <w:r w:rsidRPr="007F32BD">
        <w:t>. IPF, pneumonia</w:t>
      </w:r>
      <w:r>
        <w:t>, and respiratory failure</w:t>
      </w:r>
      <w:r w:rsidRPr="007F32BD">
        <w:t xml:space="preserve"> occurr</w:t>
      </w:r>
      <w:r>
        <w:t xml:space="preserve">ed </w:t>
      </w:r>
      <w:r w:rsidRPr="007F32BD">
        <w:t>in fewer patients in the pirfenidone group.</w:t>
      </w:r>
      <w:r w:rsidR="005D2037">
        <w:t xml:space="preserve"> </w:t>
      </w:r>
      <w:r w:rsidRPr="007F32BD">
        <w:t xml:space="preserve">The most frequently reported </w:t>
      </w:r>
      <w:r>
        <w:t xml:space="preserve">(≥ 1% in either group) were as </w:t>
      </w:r>
      <w:r w:rsidR="006A1ED3">
        <w:t xml:space="preserve">shown in Table </w:t>
      </w:r>
      <w:r w:rsidR="00351A53">
        <w:t>21</w:t>
      </w:r>
      <w:r w:rsidR="006A1ED3">
        <w:t>.</w:t>
      </w:r>
    </w:p>
    <w:p w:rsidR="001F7C83" w:rsidRDefault="001F7C83" w:rsidP="001F7C83">
      <w:pPr>
        <w:pStyle w:val="Tabletitle"/>
      </w:pPr>
      <w:r>
        <w:t xml:space="preserve">Table </w:t>
      </w:r>
      <w:r w:rsidR="00351A53">
        <w:t>21</w:t>
      </w:r>
      <w:r>
        <w:t>. Treatment emergent serious adverse events in pirfenidone v</w:t>
      </w:r>
      <w:r w:rsidR="00AF589F">
        <w:t>ersus placebo randomised groups</w:t>
      </w:r>
    </w:p>
    <w:tbl>
      <w:tblPr>
        <w:tblStyle w:val="TableTGAblue"/>
        <w:tblW w:w="0" w:type="auto"/>
        <w:tblLook w:val="0020" w:firstRow="1" w:lastRow="0" w:firstColumn="0" w:lastColumn="0" w:noHBand="0" w:noVBand="0"/>
        <w:tblCaption w:val="Table 18. Treatment emergent serious adverse events in pirfenidone versus placebo randomised groups."/>
        <w:tblDescription w:val="Table 18. Treatment emergent serious adverse events in pirfenidone versus placebo randomised groups."/>
      </w:tblPr>
      <w:tblGrid>
        <w:gridCol w:w="3083"/>
        <w:gridCol w:w="3089"/>
        <w:gridCol w:w="3070"/>
      </w:tblGrid>
      <w:tr w:rsidR="00E17771" w:rsidRPr="006A1ED3" w:rsidTr="001F7C83">
        <w:trPr>
          <w:cnfStyle w:val="100000000000" w:firstRow="1" w:lastRow="0" w:firstColumn="0" w:lastColumn="0" w:oddVBand="0" w:evenVBand="0" w:oddHBand="0" w:evenHBand="0" w:firstRowFirstColumn="0" w:firstRowLastColumn="0" w:lastRowFirstColumn="0" w:lastRowLastColumn="0"/>
        </w:trPr>
        <w:tc>
          <w:tcPr>
            <w:tcW w:w="3182" w:type="dxa"/>
          </w:tcPr>
          <w:p w:rsidR="00E17771" w:rsidRPr="000E7CA2" w:rsidRDefault="00E17771">
            <w:pPr>
              <w:rPr>
                <w:sz w:val="18"/>
                <w:szCs w:val="18"/>
              </w:rPr>
            </w:pPr>
            <w:r w:rsidRPr="000E7CA2">
              <w:rPr>
                <w:sz w:val="18"/>
                <w:szCs w:val="18"/>
              </w:rPr>
              <w:t>TE SAE</w:t>
            </w:r>
          </w:p>
        </w:tc>
        <w:tc>
          <w:tcPr>
            <w:tcW w:w="3183" w:type="dxa"/>
          </w:tcPr>
          <w:p w:rsidR="00E17771" w:rsidRPr="000E7CA2" w:rsidRDefault="00E17771">
            <w:pPr>
              <w:rPr>
                <w:sz w:val="18"/>
                <w:szCs w:val="18"/>
              </w:rPr>
            </w:pPr>
            <w:r w:rsidRPr="000E7CA2">
              <w:rPr>
                <w:sz w:val="18"/>
                <w:szCs w:val="18"/>
              </w:rPr>
              <w:t>Pirfenidone n (%)</w:t>
            </w:r>
          </w:p>
        </w:tc>
        <w:tc>
          <w:tcPr>
            <w:tcW w:w="3183" w:type="dxa"/>
          </w:tcPr>
          <w:p w:rsidR="00E17771" w:rsidRPr="000E7CA2" w:rsidRDefault="00E17771">
            <w:pPr>
              <w:rPr>
                <w:sz w:val="18"/>
                <w:szCs w:val="18"/>
              </w:rPr>
            </w:pPr>
            <w:r w:rsidRPr="000E7CA2">
              <w:rPr>
                <w:sz w:val="18"/>
                <w:szCs w:val="18"/>
              </w:rPr>
              <w:t>placebo</w:t>
            </w:r>
          </w:p>
        </w:tc>
      </w:tr>
      <w:tr w:rsidR="00E17771" w:rsidRPr="006A1ED3" w:rsidTr="001F7C83">
        <w:tc>
          <w:tcPr>
            <w:tcW w:w="3182" w:type="dxa"/>
          </w:tcPr>
          <w:p w:rsidR="00E17771" w:rsidRPr="000E7CA2" w:rsidRDefault="00E17771">
            <w:pPr>
              <w:rPr>
                <w:sz w:val="18"/>
                <w:szCs w:val="18"/>
              </w:rPr>
            </w:pPr>
            <w:r w:rsidRPr="000E7CA2">
              <w:rPr>
                <w:sz w:val="18"/>
                <w:szCs w:val="18"/>
              </w:rPr>
              <w:t>IPF</w:t>
            </w:r>
          </w:p>
        </w:tc>
        <w:tc>
          <w:tcPr>
            <w:tcW w:w="3183" w:type="dxa"/>
          </w:tcPr>
          <w:p w:rsidR="00E17771" w:rsidRPr="000E7CA2" w:rsidRDefault="00E17771">
            <w:pPr>
              <w:rPr>
                <w:sz w:val="18"/>
                <w:szCs w:val="18"/>
              </w:rPr>
            </w:pPr>
            <w:r w:rsidRPr="000E7CA2">
              <w:rPr>
                <w:sz w:val="18"/>
                <w:szCs w:val="18"/>
              </w:rPr>
              <w:t xml:space="preserve">33 (5.3) </w:t>
            </w:r>
          </w:p>
        </w:tc>
        <w:tc>
          <w:tcPr>
            <w:tcW w:w="3183" w:type="dxa"/>
          </w:tcPr>
          <w:p w:rsidR="00E17771" w:rsidRPr="000E7CA2" w:rsidRDefault="00E17771">
            <w:pPr>
              <w:rPr>
                <w:sz w:val="18"/>
                <w:szCs w:val="18"/>
              </w:rPr>
            </w:pPr>
            <w:r w:rsidRPr="000E7CA2">
              <w:rPr>
                <w:sz w:val="18"/>
                <w:szCs w:val="18"/>
              </w:rPr>
              <w:t>58(9.3)</w:t>
            </w:r>
          </w:p>
        </w:tc>
      </w:tr>
      <w:tr w:rsidR="00E17771" w:rsidRPr="006A1ED3" w:rsidTr="001F7C83">
        <w:tc>
          <w:tcPr>
            <w:tcW w:w="3182" w:type="dxa"/>
          </w:tcPr>
          <w:p w:rsidR="00E17771" w:rsidRPr="000E7CA2" w:rsidRDefault="00E17771">
            <w:pPr>
              <w:rPr>
                <w:sz w:val="18"/>
                <w:szCs w:val="18"/>
              </w:rPr>
            </w:pPr>
            <w:r w:rsidRPr="000E7CA2">
              <w:rPr>
                <w:sz w:val="18"/>
                <w:szCs w:val="18"/>
              </w:rPr>
              <w:t>Pneumonia</w:t>
            </w:r>
          </w:p>
        </w:tc>
        <w:tc>
          <w:tcPr>
            <w:tcW w:w="3183" w:type="dxa"/>
          </w:tcPr>
          <w:p w:rsidR="00E17771" w:rsidRPr="000E7CA2" w:rsidRDefault="00E17771">
            <w:pPr>
              <w:rPr>
                <w:sz w:val="18"/>
                <w:szCs w:val="18"/>
              </w:rPr>
            </w:pPr>
            <w:r w:rsidRPr="000E7CA2">
              <w:rPr>
                <w:sz w:val="18"/>
                <w:szCs w:val="18"/>
              </w:rPr>
              <w:t>22(3.5)</w:t>
            </w:r>
          </w:p>
        </w:tc>
        <w:tc>
          <w:tcPr>
            <w:tcW w:w="3183" w:type="dxa"/>
          </w:tcPr>
          <w:p w:rsidR="00E17771" w:rsidRPr="000E7CA2" w:rsidRDefault="00E17771">
            <w:pPr>
              <w:rPr>
                <w:sz w:val="18"/>
                <w:szCs w:val="18"/>
              </w:rPr>
            </w:pPr>
            <w:r w:rsidRPr="000E7CA2">
              <w:rPr>
                <w:sz w:val="18"/>
                <w:szCs w:val="18"/>
              </w:rPr>
              <w:t>27(4.3)</w:t>
            </w:r>
          </w:p>
        </w:tc>
      </w:tr>
      <w:tr w:rsidR="00E17771" w:rsidRPr="006A1ED3" w:rsidTr="001F7C83">
        <w:tc>
          <w:tcPr>
            <w:tcW w:w="3182" w:type="dxa"/>
          </w:tcPr>
          <w:p w:rsidR="00E17771" w:rsidRPr="000E7CA2" w:rsidRDefault="00E17771">
            <w:pPr>
              <w:rPr>
                <w:sz w:val="18"/>
                <w:szCs w:val="18"/>
              </w:rPr>
            </w:pPr>
            <w:r w:rsidRPr="000E7CA2">
              <w:rPr>
                <w:sz w:val="18"/>
                <w:szCs w:val="18"/>
              </w:rPr>
              <w:t>Respiratory failure</w:t>
            </w:r>
          </w:p>
        </w:tc>
        <w:tc>
          <w:tcPr>
            <w:tcW w:w="3183" w:type="dxa"/>
          </w:tcPr>
          <w:p w:rsidR="00E17771" w:rsidRPr="000E7CA2" w:rsidRDefault="00E17771">
            <w:pPr>
              <w:rPr>
                <w:sz w:val="18"/>
                <w:szCs w:val="18"/>
              </w:rPr>
            </w:pPr>
            <w:r w:rsidRPr="000E7CA2">
              <w:rPr>
                <w:sz w:val="18"/>
                <w:szCs w:val="18"/>
              </w:rPr>
              <w:t>7(1.1)</w:t>
            </w:r>
          </w:p>
        </w:tc>
        <w:tc>
          <w:tcPr>
            <w:tcW w:w="3183" w:type="dxa"/>
          </w:tcPr>
          <w:p w:rsidR="00E17771" w:rsidRPr="000E7CA2" w:rsidRDefault="00E17771">
            <w:pPr>
              <w:rPr>
                <w:sz w:val="18"/>
                <w:szCs w:val="18"/>
              </w:rPr>
            </w:pPr>
            <w:r w:rsidRPr="000E7CA2">
              <w:rPr>
                <w:sz w:val="18"/>
                <w:szCs w:val="18"/>
              </w:rPr>
              <w:t>9(1.4)</w:t>
            </w:r>
          </w:p>
        </w:tc>
      </w:tr>
      <w:tr w:rsidR="00E17771" w:rsidRPr="006A1ED3" w:rsidTr="001F7C83">
        <w:tc>
          <w:tcPr>
            <w:tcW w:w="3182" w:type="dxa"/>
          </w:tcPr>
          <w:p w:rsidR="00E17771" w:rsidRPr="000E7CA2" w:rsidRDefault="00E17771">
            <w:pPr>
              <w:rPr>
                <w:sz w:val="18"/>
                <w:szCs w:val="18"/>
              </w:rPr>
            </w:pPr>
            <w:r w:rsidRPr="000E7CA2">
              <w:rPr>
                <w:sz w:val="18"/>
                <w:szCs w:val="18"/>
              </w:rPr>
              <w:t>Coronary artery disease</w:t>
            </w:r>
          </w:p>
        </w:tc>
        <w:tc>
          <w:tcPr>
            <w:tcW w:w="3183" w:type="dxa"/>
          </w:tcPr>
          <w:p w:rsidR="00E17771" w:rsidRPr="000E7CA2" w:rsidRDefault="00E17771">
            <w:pPr>
              <w:rPr>
                <w:sz w:val="18"/>
                <w:szCs w:val="18"/>
              </w:rPr>
            </w:pPr>
            <w:r w:rsidRPr="000E7CA2">
              <w:rPr>
                <w:sz w:val="18"/>
                <w:szCs w:val="18"/>
              </w:rPr>
              <w:t>7(1.1)</w:t>
            </w:r>
          </w:p>
        </w:tc>
        <w:tc>
          <w:tcPr>
            <w:tcW w:w="3183" w:type="dxa"/>
          </w:tcPr>
          <w:p w:rsidR="00E17771" w:rsidRPr="000E7CA2" w:rsidRDefault="00E17771">
            <w:pPr>
              <w:rPr>
                <w:sz w:val="18"/>
                <w:szCs w:val="18"/>
              </w:rPr>
            </w:pPr>
            <w:r w:rsidRPr="000E7CA2">
              <w:rPr>
                <w:sz w:val="18"/>
                <w:szCs w:val="18"/>
              </w:rPr>
              <w:t>3(0.5)</w:t>
            </w:r>
          </w:p>
        </w:tc>
      </w:tr>
      <w:tr w:rsidR="00E17771" w:rsidRPr="006A1ED3" w:rsidTr="001F7C83">
        <w:tc>
          <w:tcPr>
            <w:tcW w:w="3182" w:type="dxa"/>
          </w:tcPr>
          <w:p w:rsidR="00E17771" w:rsidRPr="000E7CA2" w:rsidRDefault="00E17771">
            <w:pPr>
              <w:rPr>
                <w:sz w:val="18"/>
                <w:szCs w:val="18"/>
              </w:rPr>
            </w:pPr>
            <w:r w:rsidRPr="000E7CA2">
              <w:rPr>
                <w:sz w:val="18"/>
                <w:szCs w:val="18"/>
              </w:rPr>
              <w:t>Angina pectoris</w:t>
            </w:r>
          </w:p>
        </w:tc>
        <w:tc>
          <w:tcPr>
            <w:tcW w:w="3183" w:type="dxa"/>
          </w:tcPr>
          <w:p w:rsidR="00E17771" w:rsidRPr="000E7CA2" w:rsidRDefault="00E17771">
            <w:pPr>
              <w:rPr>
                <w:sz w:val="18"/>
                <w:szCs w:val="18"/>
              </w:rPr>
            </w:pPr>
            <w:r w:rsidRPr="000E7CA2">
              <w:rPr>
                <w:sz w:val="18"/>
                <w:szCs w:val="18"/>
              </w:rPr>
              <w:t>6 (1.1)</w:t>
            </w:r>
          </w:p>
        </w:tc>
        <w:tc>
          <w:tcPr>
            <w:tcW w:w="3183" w:type="dxa"/>
          </w:tcPr>
          <w:p w:rsidR="00E17771" w:rsidRPr="000E7CA2" w:rsidRDefault="00E17771">
            <w:pPr>
              <w:rPr>
                <w:sz w:val="18"/>
                <w:szCs w:val="18"/>
              </w:rPr>
            </w:pPr>
            <w:r w:rsidRPr="000E7CA2">
              <w:rPr>
                <w:sz w:val="18"/>
                <w:szCs w:val="18"/>
              </w:rPr>
              <w:t>2(0.3)</w:t>
            </w:r>
          </w:p>
        </w:tc>
      </w:tr>
      <w:tr w:rsidR="00E17771" w:rsidRPr="006A1ED3" w:rsidTr="001F7C83">
        <w:tc>
          <w:tcPr>
            <w:tcW w:w="3182" w:type="dxa"/>
          </w:tcPr>
          <w:p w:rsidR="00E17771" w:rsidRPr="000E7CA2" w:rsidRDefault="00E17771">
            <w:pPr>
              <w:rPr>
                <w:sz w:val="18"/>
                <w:szCs w:val="18"/>
              </w:rPr>
            </w:pPr>
            <w:r w:rsidRPr="000E7CA2">
              <w:rPr>
                <w:sz w:val="18"/>
                <w:szCs w:val="18"/>
              </w:rPr>
              <w:t xml:space="preserve">Prostate cancer </w:t>
            </w:r>
          </w:p>
        </w:tc>
        <w:tc>
          <w:tcPr>
            <w:tcW w:w="3183" w:type="dxa"/>
          </w:tcPr>
          <w:p w:rsidR="00E17771" w:rsidRPr="000E7CA2" w:rsidRDefault="00E17771">
            <w:pPr>
              <w:rPr>
                <w:sz w:val="18"/>
                <w:szCs w:val="18"/>
              </w:rPr>
            </w:pPr>
            <w:r w:rsidRPr="000E7CA2">
              <w:rPr>
                <w:sz w:val="18"/>
                <w:szCs w:val="18"/>
              </w:rPr>
              <w:t>4 (0.9% M)</w:t>
            </w:r>
          </w:p>
        </w:tc>
        <w:tc>
          <w:tcPr>
            <w:tcW w:w="3183" w:type="dxa"/>
          </w:tcPr>
          <w:p w:rsidR="00E17771" w:rsidRPr="000E7CA2" w:rsidRDefault="00E17771">
            <w:pPr>
              <w:rPr>
                <w:sz w:val="18"/>
                <w:szCs w:val="18"/>
              </w:rPr>
            </w:pPr>
            <w:r w:rsidRPr="000E7CA2">
              <w:rPr>
                <w:sz w:val="18"/>
                <w:szCs w:val="18"/>
              </w:rPr>
              <w:t>6(1.3% M)</w:t>
            </w:r>
          </w:p>
        </w:tc>
      </w:tr>
      <w:tr w:rsidR="00E17771" w:rsidRPr="006A1ED3" w:rsidTr="001F7C83">
        <w:tc>
          <w:tcPr>
            <w:tcW w:w="3182" w:type="dxa"/>
          </w:tcPr>
          <w:p w:rsidR="00E17771" w:rsidRPr="000E7CA2" w:rsidRDefault="00E17771">
            <w:pPr>
              <w:rPr>
                <w:sz w:val="18"/>
                <w:szCs w:val="18"/>
              </w:rPr>
            </w:pPr>
            <w:r w:rsidRPr="000E7CA2">
              <w:rPr>
                <w:sz w:val="18"/>
                <w:szCs w:val="18"/>
              </w:rPr>
              <w:t>Acute respiratory failure</w:t>
            </w:r>
          </w:p>
        </w:tc>
        <w:tc>
          <w:tcPr>
            <w:tcW w:w="3183" w:type="dxa"/>
          </w:tcPr>
          <w:p w:rsidR="00E17771" w:rsidRPr="000E7CA2" w:rsidRDefault="00E17771">
            <w:pPr>
              <w:rPr>
                <w:sz w:val="18"/>
                <w:szCs w:val="18"/>
              </w:rPr>
            </w:pPr>
            <w:r w:rsidRPr="000E7CA2">
              <w:rPr>
                <w:sz w:val="18"/>
                <w:szCs w:val="18"/>
              </w:rPr>
              <w:t>5 (0.8)</w:t>
            </w:r>
          </w:p>
        </w:tc>
        <w:tc>
          <w:tcPr>
            <w:tcW w:w="3183" w:type="dxa"/>
          </w:tcPr>
          <w:p w:rsidR="00E17771" w:rsidRPr="000E7CA2" w:rsidRDefault="00E17771">
            <w:pPr>
              <w:rPr>
                <w:sz w:val="18"/>
                <w:szCs w:val="18"/>
              </w:rPr>
            </w:pPr>
            <w:r w:rsidRPr="000E7CA2">
              <w:rPr>
                <w:sz w:val="18"/>
                <w:szCs w:val="18"/>
              </w:rPr>
              <w:t>7(1.1)</w:t>
            </w:r>
          </w:p>
        </w:tc>
      </w:tr>
      <w:tr w:rsidR="00E17771" w:rsidRPr="006A1ED3" w:rsidTr="001F7C83">
        <w:tc>
          <w:tcPr>
            <w:tcW w:w="3182" w:type="dxa"/>
          </w:tcPr>
          <w:p w:rsidR="00E17771" w:rsidRPr="000E7CA2" w:rsidRDefault="00E17771">
            <w:pPr>
              <w:rPr>
                <w:sz w:val="18"/>
                <w:szCs w:val="18"/>
              </w:rPr>
            </w:pPr>
            <w:r w:rsidRPr="000E7CA2">
              <w:rPr>
                <w:sz w:val="18"/>
                <w:szCs w:val="18"/>
              </w:rPr>
              <w:t>Bronchitis</w:t>
            </w:r>
          </w:p>
        </w:tc>
        <w:tc>
          <w:tcPr>
            <w:tcW w:w="3183" w:type="dxa"/>
          </w:tcPr>
          <w:p w:rsidR="00E17771" w:rsidRPr="000E7CA2" w:rsidRDefault="00E17771">
            <w:pPr>
              <w:rPr>
                <w:sz w:val="18"/>
                <w:szCs w:val="18"/>
              </w:rPr>
            </w:pPr>
            <w:r w:rsidRPr="000E7CA2">
              <w:rPr>
                <w:sz w:val="18"/>
                <w:szCs w:val="18"/>
              </w:rPr>
              <w:t>3(0.5)</w:t>
            </w:r>
          </w:p>
        </w:tc>
        <w:tc>
          <w:tcPr>
            <w:tcW w:w="3183" w:type="dxa"/>
          </w:tcPr>
          <w:p w:rsidR="00E17771" w:rsidRPr="000E7CA2" w:rsidRDefault="00E17771">
            <w:pPr>
              <w:rPr>
                <w:sz w:val="18"/>
                <w:szCs w:val="18"/>
              </w:rPr>
            </w:pPr>
            <w:r w:rsidRPr="000E7CA2">
              <w:rPr>
                <w:sz w:val="18"/>
                <w:szCs w:val="18"/>
              </w:rPr>
              <w:t>9(1.4)</w:t>
            </w:r>
          </w:p>
        </w:tc>
      </w:tr>
    </w:tbl>
    <w:p w:rsidR="006A1ED3" w:rsidRDefault="006A1ED3" w:rsidP="00E17771"/>
    <w:p w:rsidR="00E17771" w:rsidRPr="00BC7605" w:rsidRDefault="00E17771" w:rsidP="00BC7605">
      <w:r w:rsidRPr="00BC7605">
        <w:t>Incidence of TE SAEs by baseline percent predicted FVC (&lt;</w:t>
      </w:r>
      <w:r w:rsidR="001F7C83" w:rsidRPr="00BC7605">
        <w:t> </w:t>
      </w:r>
      <w:r w:rsidRPr="00BC7605">
        <w:t>70%, 70</w:t>
      </w:r>
      <w:r w:rsidR="001F7C83" w:rsidRPr="00BC7605">
        <w:t xml:space="preserve"> to </w:t>
      </w:r>
      <w:r w:rsidRPr="00BC7605">
        <w:t xml:space="preserve">80%, and </w:t>
      </w:r>
      <w:r w:rsidRPr="00BC7605">
        <w:rPr>
          <w:rFonts w:hint="eastAsia"/>
        </w:rPr>
        <w:t>≥</w:t>
      </w:r>
      <w:r w:rsidR="001F7C83" w:rsidRPr="00BC7605">
        <w:t> </w:t>
      </w:r>
      <w:r w:rsidRPr="00BC7605">
        <w:t xml:space="preserve">80%) were pirfenidone 31.1%, 23.4%, 23.2% </w:t>
      </w:r>
      <w:r w:rsidR="000B6AC6" w:rsidRPr="00BC7605">
        <w:t>versus</w:t>
      </w:r>
      <w:r w:rsidRPr="00BC7605">
        <w:t xml:space="preserve"> placebo 34.0%, 23.4%, 22.4% respectively</w:t>
      </w:r>
      <w:r w:rsidR="001F7C83" w:rsidRPr="00BC7605">
        <w:t xml:space="preserve">. </w:t>
      </w:r>
      <w:r w:rsidR="00BC7605" w:rsidRPr="00BC7605">
        <w:t xml:space="preserve">Treatment </w:t>
      </w:r>
      <w:r w:rsidRPr="00BC7605">
        <w:lastRenderedPageBreak/>
        <w:t xml:space="preserve">related (investigator assessed causality) SAEs occurred 5.3% in the pirfenidone group </w:t>
      </w:r>
      <w:r w:rsidR="000B6AC6" w:rsidRPr="00BC7605">
        <w:t>versus</w:t>
      </w:r>
      <w:r w:rsidR="001F7C83" w:rsidRPr="00BC7605">
        <w:t xml:space="preserve"> 4.3% in the placebo group.</w:t>
      </w:r>
    </w:p>
    <w:p w:rsidR="00E17771" w:rsidRPr="00BC7605" w:rsidRDefault="00E17771" w:rsidP="00BC7605">
      <w:r w:rsidRPr="00BC7605">
        <w:t xml:space="preserve">Hepatic events were analysed. TE SAEs including hepatitis and abnormal LFTs occurred in more pirfenidone patients 6 (1%) </w:t>
      </w:r>
      <w:r w:rsidR="000B6AC6" w:rsidRPr="00BC7605">
        <w:t>versus</w:t>
      </w:r>
      <w:r w:rsidRPr="00BC7605">
        <w:t xml:space="preserve"> placebo 1 (0.2%). Pirfenidone was discontinued in 5 cases. In the other case pirfenidone was interrupted due to moderate ALT/AST elevations that resolved upon study drug cessation; LFTs remained normal or mildly elevated throughout the rest of the study after treatment was restarted. There were no reported c</w:t>
      </w:r>
      <w:r w:rsidR="00BC7605" w:rsidRPr="00BC7605">
        <w:t>ases of liver failure or death.</w:t>
      </w:r>
    </w:p>
    <w:p w:rsidR="00E17771" w:rsidRPr="004F235C" w:rsidRDefault="00E17771" w:rsidP="00E17771">
      <w:r w:rsidRPr="00BC7605">
        <w:t xml:space="preserve">In the pirfenidone patient subset TE SAEs occurred in 52.4%, an adjusted event rate of 45/100 PEY. Considering the longer duration of treatment the conditions were as expected and similar to </w:t>
      </w:r>
      <w:r w:rsidR="00BC7605">
        <w:t>those in the randomised subset.</w:t>
      </w:r>
    </w:p>
    <w:p w:rsidR="00E17771" w:rsidRPr="00606EE3" w:rsidRDefault="00E17771" w:rsidP="00BC7605">
      <w:pPr>
        <w:pStyle w:val="Heading5"/>
      </w:pPr>
      <w:r w:rsidRPr="00606EE3">
        <w:t xml:space="preserve">Pivotal </w:t>
      </w:r>
      <w:r w:rsidRPr="00E17771">
        <w:t>studies</w:t>
      </w:r>
    </w:p>
    <w:p w:rsidR="00BC7605" w:rsidRPr="00BC7605" w:rsidRDefault="00E17771" w:rsidP="00BC7605">
      <w:r w:rsidRPr="00BC7605">
        <w:t xml:space="preserve">Cause of death was assessed by principal investigators in </w:t>
      </w:r>
      <w:r w:rsidR="00BC7605" w:rsidRPr="00BC7605">
        <w:t>S</w:t>
      </w:r>
      <w:r w:rsidRPr="00BC7605">
        <w:t>tudies PIPF</w:t>
      </w:r>
      <w:r w:rsidR="00BC7605" w:rsidRPr="00BC7605">
        <w:noBreakHyphen/>
        <w:t>004 and PIPF</w:t>
      </w:r>
      <w:r w:rsidR="00BC7605" w:rsidRPr="00BC7605">
        <w:noBreakHyphen/>
      </w:r>
      <w:r w:rsidRPr="00BC7605">
        <w:t>006 and by an independent Mortality Assessment Committee (MAC) in PIPF</w:t>
      </w:r>
      <w:r w:rsidR="00BC7605" w:rsidRPr="00BC7605">
        <w:noBreakHyphen/>
        <w:t>016.</w:t>
      </w:r>
    </w:p>
    <w:p w:rsidR="00E17771" w:rsidRPr="007F32BD" w:rsidRDefault="006A1ED3" w:rsidP="00E17771">
      <w:r>
        <w:t xml:space="preserve">See section ‘cardiovascular safety’ below for cardiac deaths. </w:t>
      </w:r>
      <w:r w:rsidR="00E17771" w:rsidRPr="00BC7605">
        <w:t>Of the hepatic SAEs, one case in PIPF</w:t>
      </w:r>
      <w:r w:rsidR="00BC7605">
        <w:noBreakHyphen/>
      </w:r>
      <w:r w:rsidR="00E17771" w:rsidRPr="00BC7605">
        <w:t xml:space="preserve">016 </w:t>
      </w:r>
      <w:r w:rsidR="00E17771" w:rsidRPr="00D319FB">
        <w:t>met Hy’s law criteria</w:t>
      </w:r>
      <w:r w:rsidR="00D319FB" w:rsidRPr="00D319FB">
        <w:t>.</w:t>
      </w:r>
      <w:r w:rsidR="00D319FB">
        <w:rPr>
          <w:rStyle w:val="FootnoteReference"/>
        </w:rPr>
        <w:footnoteReference w:id="19"/>
      </w:r>
      <w:r w:rsidR="00D319FB">
        <w:t xml:space="preserve"> In this case, </w:t>
      </w:r>
      <w:r w:rsidR="00E17771" w:rsidRPr="00BC7605">
        <w:t>following non</w:t>
      </w:r>
      <w:r w:rsidR="00BC7605">
        <w:noBreakHyphen/>
      </w:r>
      <w:r w:rsidR="00E17771" w:rsidRPr="00BC7605">
        <w:t xml:space="preserve">serious ‘hepatic enzyme increased’ from </w:t>
      </w:r>
      <w:r w:rsidR="00BC7605">
        <w:t>d</w:t>
      </w:r>
      <w:r w:rsidR="00E17771" w:rsidRPr="00BC7605">
        <w:t>ays 35</w:t>
      </w:r>
      <w:r w:rsidR="00BB4118">
        <w:t xml:space="preserve"> to </w:t>
      </w:r>
      <w:r w:rsidR="00E17771" w:rsidRPr="00BC7605">
        <w:t>104, pirfenidone was discontinued at the onset of hepatitis on day 105. LFTs decreased to near normal by day 182; the patient was unable to return for testing subsequently due to prog</w:t>
      </w:r>
      <w:r w:rsidR="00BC7605">
        <w:t>ression of respiratory disease.</w:t>
      </w:r>
    </w:p>
    <w:p w:rsidR="00E17771" w:rsidRPr="00B215EB" w:rsidRDefault="00E17771" w:rsidP="00BC7605">
      <w:pPr>
        <w:pStyle w:val="Heading5"/>
      </w:pPr>
      <w:r w:rsidRPr="00B215EB">
        <w:t>Other studies</w:t>
      </w:r>
    </w:p>
    <w:p w:rsidR="00E17771" w:rsidRPr="00BC7605" w:rsidRDefault="00E17771" w:rsidP="00BC7605">
      <w:r w:rsidRPr="00BC7605">
        <w:t xml:space="preserve">No TE SAEs or deaths were reported in Phase </w:t>
      </w:r>
      <w:r w:rsidR="00AF589F">
        <w:t>I</w:t>
      </w:r>
      <w:r w:rsidRPr="00BC7605">
        <w:t xml:space="preserve"> studies. In PIPF</w:t>
      </w:r>
      <w:r w:rsidR="00BC7605" w:rsidRPr="00BC7605">
        <w:noBreakHyphen/>
      </w:r>
      <w:r w:rsidRPr="00BC7605">
        <w:t>012, 141 deaths of 603 enrolled had occurred by the cut-off date, 4.5 years af</w:t>
      </w:r>
      <w:r w:rsidR="00BC7605">
        <w:t xml:space="preserve">ter the last patient enrolled. </w:t>
      </w:r>
      <w:r w:rsidRPr="00BC7605">
        <w:t>As expected, the majority were due to IPF (78)</w:t>
      </w:r>
      <w:r w:rsidR="00BC7605" w:rsidRPr="00BC7605">
        <w:t xml:space="preserve"> and respiratory failure (13).</w:t>
      </w:r>
    </w:p>
    <w:p w:rsidR="00E17771" w:rsidRPr="007F32BD" w:rsidRDefault="00E17771" w:rsidP="00BC7605">
      <w:pPr>
        <w:pStyle w:val="Heading4"/>
      </w:pPr>
      <w:bookmarkStart w:id="214" w:name="_Toc241374325"/>
      <w:bookmarkStart w:id="215" w:name="_Ref272333477"/>
      <w:bookmarkStart w:id="216" w:name="_Toc272414667"/>
      <w:bookmarkStart w:id="217" w:name="_Toc290846305"/>
      <w:bookmarkStart w:id="218" w:name="_Toc430785404"/>
      <w:r w:rsidRPr="007F32BD">
        <w:t>Discontinuation due to adverse events</w:t>
      </w:r>
      <w:bookmarkEnd w:id="214"/>
      <w:bookmarkEnd w:id="215"/>
      <w:bookmarkEnd w:id="216"/>
      <w:bookmarkEnd w:id="217"/>
      <w:bookmarkEnd w:id="218"/>
    </w:p>
    <w:p w:rsidR="00E17771" w:rsidRPr="007F32BD" w:rsidRDefault="00E17771" w:rsidP="00E17771">
      <w:r w:rsidRPr="00BC7605">
        <w:t xml:space="preserve">In the randomised patient subset discontinuations were 5% higher for pirfenidone than placebo (14.6% </w:t>
      </w:r>
      <w:r w:rsidR="000B6AC6" w:rsidRPr="00BC7605">
        <w:t>versus</w:t>
      </w:r>
      <w:r w:rsidRPr="00BC7605">
        <w:t xml:space="preserve"> 9.6%). Rates were stated to be higher in the 2014 pirfenidone patient subset (38.5%) than in the 2009 ISS (16.3%), consistent with longer duration. Adjusted event rates are more comparable (14.7 </w:t>
      </w:r>
      <w:r w:rsidR="000B6AC6" w:rsidRPr="00BC7605">
        <w:t>versus</w:t>
      </w:r>
      <w:r w:rsidRPr="00BC7605">
        <w:t xml:space="preserve"> 12.6 per 100 PEY). In the ISS 2009 rates of TE AEs leading to study drug discontinuation were higher for those with hepatic abnormality at baseline than without (17.6% </w:t>
      </w:r>
      <w:r w:rsidR="000B6AC6" w:rsidRPr="00BC7605">
        <w:t>versus</w:t>
      </w:r>
      <w:r w:rsidRPr="00BC7605">
        <w:t xml:space="preserve"> 14.2%).</w:t>
      </w:r>
    </w:p>
    <w:p w:rsidR="00E17771" w:rsidRPr="007F32BD" w:rsidRDefault="00E17771" w:rsidP="00E17771">
      <w:r w:rsidRPr="00BC7605">
        <w:t xml:space="preserve">Overall rates of patients who had a TEAE leading to dose reduction or treatment interruption were higher in the pirfenidone group than in the placebo group: 42.7% </w:t>
      </w:r>
      <w:r w:rsidR="000B6AC6" w:rsidRPr="00BC7605">
        <w:t>versus</w:t>
      </w:r>
      <w:r w:rsidRPr="00BC7605">
        <w:t xml:space="preserve"> 16.2%. The rates were highest in patients with TEAEs in the SOCs of GI disorders (18.5% </w:t>
      </w:r>
      <w:r w:rsidR="000B6AC6" w:rsidRPr="00BC7605">
        <w:t>versus</w:t>
      </w:r>
      <w:r w:rsidRPr="00BC7605">
        <w:t xml:space="preserve"> 5.8%) and skin and subcutaneous tissue disorders (17.5% v</w:t>
      </w:r>
      <w:r w:rsidR="00BC7605">
        <w:t>ersu</w:t>
      </w:r>
      <w:r w:rsidRPr="00BC7605">
        <w:t>s 1.8%). The common TEAEs (</w:t>
      </w:r>
      <w:r w:rsidRPr="00BC7605">
        <w:rPr>
          <w:rFonts w:hint="eastAsia"/>
        </w:rPr>
        <w:t>≥</w:t>
      </w:r>
      <w:r w:rsidR="00BC7605">
        <w:t> </w:t>
      </w:r>
      <w:r w:rsidRPr="00BC7605">
        <w:t xml:space="preserve">5% of patients) reported as leading to dose modification by a higher proportion for pirfenidone than placebo were rash (9.8% </w:t>
      </w:r>
      <w:r w:rsidR="000B6AC6" w:rsidRPr="00BC7605">
        <w:t>versus</w:t>
      </w:r>
      <w:r w:rsidRPr="00BC7605">
        <w:t xml:space="preserve"> 1.0%) and nausea (7.5% </w:t>
      </w:r>
      <w:r w:rsidR="000B6AC6" w:rsidRPr="00BC7605">
        <w:t>versus</w:t>
      </w:r>
      <w:r w:rsidRPr="00BC7605">
        <w:t xml:space="preserve"> 1.6%).</w:t>
      </w:r>
    </w:p>
    <w:p w:rsidR="00BB4118" w:rsidRPr="000E7CA2" w:rsidRDefault="00BB4118" w:rsidP="000E7CA2">
      <w:pPr>
        <w:pStyle w:val="Heading5"/>
      </w:pPr>
      <w:r w:rsidRPr="00DA3942">
        <w:t>Other studies</w:t>
      </w:r>
    </w:p>
    <w:p w:rsidR="00E17771" w:rsidRPr="00BC7605" w:rsidRDefault="00E17771" w:rsidP="00BC7605">
      <w:r w:rsidRPr="00BC7605">
        <w:t xml:space="preserve">Discontinuations in Phase </w:t>
      </w:r>
      <w:r w:rsidR="00AF589F">
        <w:t>I</w:t>
      </w:r>
      <w:r w:rsidRPr="00BC7605">
        <w:t xml:space="preserve"> studies PIPF</w:t>
      </w:r>
      <w:r w:rsidR="00BC7605">
        <w:noBreakHyphen/>
      </w:r>
      <w:r w:rsidRPr="00BC7605">
        <w:t xml:space="preserve">005 and </w:t>
      </w:r>
      <w:r w:rsidR="00BC7605">
        <w:t>PIPF</w:t>
      </w:r>
      <w:r w:rsidR="00BC7605">
        <w:noBreakHyphen/>
      </w:r>
      <w:r w:rsidRPr="00BC7605">
        <w:t>008 were associat</w:t>
      </w:r>
      <w:r w:rsidR="00BC7605">
        <w:t xml:space="preserve">ed with higher doses. </w:t>
      </w:r>
      <w:r w:rsidRPr="00BC7605">
        <w:t xml:space="preserve">In extension </w:t>
      </w:r>
      <w:r w:rsidR="0049386B">
        <w:t>S</w:t>
      </w:r>
      <w:r w:rsidRPr="00BC7605">
        <w:t>tudy PIPF</w:t>
      </w:r>
      <w:r w:rsidR="00BC7605">
        <w:noBreakHyphen/>
      </w:r>
      <w:r w:rsidRPr="00BC7605">
        <w:t>012, 2% of patients discontinued due to GI TEAES of interest (nausea 8, diarrhoea 3, vomiting 1) an</w:t>
      </w:r>
      <w:r w:rsidR="00BC7605">
        <w:t xml:space="preserve">d 3.3% for dermatologic TEAEs. </w:t>
      </w:r>
      <w:r w:rsidRPr="00BC7605">
        <w:t>Elevated LFT TEAEs overall were reported for 9.8% of patients and four patients discontinued due to elevated liver test results.</w:t>
      </w:r>
    </w:p>
    <w:p w:rsidR="00E17771" w:rsidRPr="007F32BD" w:rsidRDefault="00E17771" w:rsidP="00BC7605">
      <w:pPr>
        <w:pStyle w:val="Heading3"/>
      </w:pPr>
      <w:bookmarkStart w:id="219" w:name="_Toc241374321"/>
      <w:bookmarkStart w:id="220" w:name="_Ref271044780"/>
      <w:bookmarkStart w:id="221" w:name="_Ref271196640"/>
      <w:bookmarkStart w:id="222" w:name="_Ref272333085"/>
      <w:bookmarkStart w:id="223" w:name="_Toc272414668"/>
      <w:bookmarkStart w:id="224" w:name="_Toc290846306"/>
      <w:bookmarkStart w:id="225" w:name="_Toc430785405"/>
      <w:bookmarkStart w:id="226" w:name="_Toc459986998"/>
      <w:r w:rsidRPr="007F32BD">
        <w:lastRenderedPageBreak/>
        <w:t>Laboratory tests</w:t>
      </w:r>
      <w:bookmarkEnd w:id="219"/>
      <w:bookmarkEnd w:id="220"/>
      <w:bookmarkEnd w:id="221"/>
      <w:bookmarkEnd w:id="222"/>
      <w:bookmarkEnd w:id="223"/>
      <w:bookmarkEnd w:id="224"/>
      <w:bookmarkEnd w:id="225"/>
      <w:bookmarkEnd w:id="226"/>
    </w:p>
    <w:p w:rsidR="00E17771" w:rsidRPr="007F32BD" w:rsidRDefault="00E17771" w:rsidP="00E17771">
      <w:r w:rsidRPr="007F32BD">
        <w:t>Marked laboratory abnormalities (Grade 4 toxicity or change in toxicity of 3 grades from baseline) in cumulative data were infrequent and similar between groups except for LFTs, lymphocytes, and hyponatraemia.</w:t>
      </w:r>
    </w:p>
    <w:p w:rsidR="00E17771" w:rsidRPr="007F32BD" w:rsidRDefault="00E17771" w:rsidP="0012265A">
      <w:pPr>
        <w:pStyle w:val="Heading4"/>
      </w:pPr>
      <w:bookmarkStart w:id="227" w:name="_Toc272414669"/>
      <w:bookmarkStart w:id="228" w:name="_Toc290846307"/>
      <w:bookmarkStart w:id="229" w:name="_Toc430785406"/>
      <w:r w:rsidRPr="007F32BD">
        <w:t>Liver function</w:t>
      </w:r>
      <w:bookmarkEnd w:id="227"/>
      <w:bookmarkEnd w:id="228"/>
      <w:bookmarkEnd w:id="229"/>
    </w:p>
    <w:p w:rsidR="00E17771" w:rsidRPr="0012265A" w:rsidRDefault="00E17771" w:rsidP="0012265A">
      <w:r w:rsidRPr="0012265A">
        <w:t xml:space="preserve">Alanine aminotransferase (ALT) or aspartate aminotransferase (AST) elevations </w:t>
      </w:r>
      <w:r w:rsidRPr="0012265A">
        <w:rPr>
          <w:rFonts w:hint="eastAsia"/>
        </w:rPr>
        <w:t>≥</w:t>
      </w:r>
      <w:r w:rsidR="0012265A" w:rsidRPr="0012265A">
        <w:t> </w:t>
      </w:r>
      <w:r w:rsidRPr="0012265A">
        <w:t xml:space="preserve">3 </w:t>
      </w:r>
      <w:r w:rsidR="00DE0015">
        <w:t>x</w:t>
      </w:r>
      <w:r w:rsidRPr="0012265A">
        <w:t xml:space="preserve"> upper limit of normal (ULN) occurred in a larger proportion of pirfenidone</w:t>
      </w:r>
      <w:r w:rsidR="00BB4118">
        <w:t xml:space="preserve"> </w:t>
      </w:r>
      <w:r w:rsidRPr="0012265A">
        <w:t>treated patients than placebo</w:t>
      </w:r>
      <w:r w:rsidR="00BB4118">
        <w:t xml:space="preserve"> </w:t>
      </w:r>
      <w:r w:rsidRPr="0012265A">
        <w:t xml:space="preserve">treated patients. Most of these elevations were mild (3 to 5 </w:t>
      </w:r>
      <w:r w:rsidR="00BB4118">
        <w:t>x</w:t>
      </w:r>
      <w:r w:rsidR="00BB4118" w:rsidRPr="0012265A">
        <w:t xml:space="preserve"> </w:t>
      </w:r>
      <w:r w:rsidRPr="0012265A">
        <w:t xml:space="preserve">ULN), 2.4% </w:t>
      </w:r>
      <w:r w:rsidR="000B6AC6" w:rsidRPr="0012265A">
        <w:t>versus</w:t>
      </w:r>
      <w:r w:rsidR="0012265A" w:rsidRPr="0012265A">
        <w:t xml:space="preserve"> </w:t>
      </w:r>
      <w:r w:rsidRPr="0012265A">
        <w:t>0.5%</w:t>
      </w:r>
      <w:r w:rsidR="0012265A" w:rsidRPr="0012265A">
        <w:t>.</w:t>
      </w:r>
    </w:p>
    <w:p w:rsidR="00BB4118" w:rsidRPr="000E7CA2" w:rsidRDefault="00BB4118" w:rsidP="000E7CA2">
      <w:pPr>
        <w:pStyle w:val="Heading5"/>
      </w:pPr>
      <w:r w:rsidRPr="00DA3942">
        <w:t>Pivotal studies</w:t>
      </w:r>
    </w:p>
    <w:p w:rsidR="00E17771" w:rsidRDefault="00E17771" w:rsidP="00E17771">
      <w:r w:rsidRPr="0012265A">
        <w:t xml:space="preserve">All instances of ALT or AST elevation </w:t>
      </w:r>
      <w:r w:rsidRPr="0012265A">
        <w:rPr>
          <w:rFonts w:hint="eastAsia"/>
        </w:rPr>
        <w:t>≥</w:t>
      </w:r>
      <w:r w:rsidR="0012265A" w:rsidRPr="0012265A">
        <w:t> </w:t>
      </w:r>
      <w:r w:rsidRPr="0012265A">
        <w:t xml:space="preserve">3 </w:t>
      </w:r>
      <w:r w:rsidR="00DE0015">
        <w:t>x</w:t>
      </w:r>
      <w:r w:rsidRPr="0012265A">
        <w:t xml:space="preserve"> ULN in the three studies were reversible upon discontinuation of pirfenidone. As noted above one patient treated with pirfenidone </w:t>
      </w:r>
      <w:r w:rsidR="00BB4118">
        <w:t>2,403 </w:t>
      </w:r>
      <w:r w:rsidR="00001402">
        <w:t>mg</w:t>
      </w:r>
      <w:r w:rsidRPr="0012265A">
        <w:t xml:space="preserve">/day in </w:t>
      </w:r>
      <w:r w:rsidR="0012265A">
        <w:t>PIPF</w:t>
      </w:r>
      <w:r w:rsidR="0012265A">
        <w:noBreakHyphen/>
      </w:r>
      <w:r w:rsidRPr="0012265A">
        <w:t>016 had concurrent elevations in ALT or AST &gt;</w:t>
      </w:r>
      <w:r w:rsidR="0012265A">
        <w:t> </w:t>
      </w:r>
      <w:r w:rsidRPr="0012265A">
        <w:t xml:space="preserve">3 </w:t>
      </w:r>
      <w:r w:rsidR="00DE0015">
        <w:t>x</w:t>
      </w:r>
      <w:r w:rsidRPr="0012265A">
        <w:t xml:space="preserve"> ULN and total bilirubin &gt;</w:t>
      </w:r>
      <w:r w:rsidR="0012265A">
        <w:t> </w:t>
      </w:r>
      <w:r w:rsidRPr="0012265A">
        <w:t xml:space="preserve">2 </w:t>
      </w:r>
      <w:r w:rsidR="00DE0015">
        <w:t>x</w:t>
      </w:r>
      <w:r w:rsidRPr="0012265A">
        <w:t xml:space="preserve"> ULN and met Hy</w:t>
      </w:r>
      <w:r w:rsidR="0012265A">
        <w:t>’</w:t>
      </w:r>
      <w:r w:rsidRPr="0012265A">
        <w:t>s law criteria</w:t>
      </w:r>
      <w:r w:rsidR="0012265A">
        <w:t>.</w:t>
      </w:r>
    </w:p>
    <w:p w:rsidR="00BB4118" w:rsidRPr="000E7CA2" w:rsidRDefault="00BB4118" w:rsidP="000E7CA2">
      <w:pPr>
        <w:pStyle w:val="Heading5"/>
      </w:pPr>
      <w:r w:rsidRPr="00DA3942">
        <w:t>Other studies</w:t>
      </w:r>
    </w:p>
    <w:p w:rsidR="00E17771" w:rsidRPr="0012265A" w:rsidRDefault="00E17771" w:rsidP="0012265A">
      <w:r w:rsidRPr="0012265A">
        <w:t xml:space="preserve">Increased GGT was seen in Phase </w:t>
      </w:r>
      <w:r w:rsidR="00AF589F">
        <w:t>I</w:t>
      </w:r>
      <w:r w:rsidRPr="0012265A">
        <w:t xml:space="preserve"> multiple dose </w:t>
      </w:r>
      <w:r w:rsidR="0049386B">
        <w:t>S</w:t>
      </w:r>
      <w:r w:rsidRPr="0012265A">
        <w:t xml:space="preserve">tudy </w:t>
      </w:r>
      <w:r w:rsidR="0012265A">
        <w:t>PIPF</w:t>
      </w:r>
      <w:r w:rsidR="0012265A">
        <w:noBreakHyphen/>
      </w:r>
      <w:r w:rsidRPr="0012265A">
        <w:t>005</w:t>
      </w:r>
      <w:r w:rsidR="0012265A" w:rsidRPr="0012265A">
        <w:t>.</w:t>
      </w:r>
    </w:p>
    <w:p w:rsidR="00E17771" w:rsidRPr="007F32BD" w:rsidRDefault="00E17771" w:rsidP="0012265A">
      <w:pPr>
        <w:pStyle w:val="Heading4"/>
      </w:pPr>
      <w:bookmarkStart w:id="230" w:name="_Toc272414670"/>
      <w:bookmarkStart w:id="231" w:name="_Toc290846308"/>
      <w:bookmarkStart w:id="232" w:name="_Toc430785407"/>
      <w:r w:rsidRPr="007F32BD">
        <w:t>Kidney function</w:t>
      </w:r>
      <w:bookmarkEnd w:id="230"/>
      <w:bookmarkEnd w:id="231"/>
      <w:bookmarkEnd w:id="232"/>
    </w:p>
    <w:p w:rsidR="00E17771" w:rsidRPr="0012265A" w:rsidRDefault="00E17771" w:rsidP="0012265A">
      <w:r w:rsidRPr="0012265A">
        <w:t>Cumulative shift data did not indicate differences between treatment groups for markedly abnormal laborator</w:t>
      </w:r>
      <w:r w:rsidR="0012265A" w:rsidRPr="0012265A">
        <w:t>y measurements for creatinine.</w:t>
      </w:r>
    </w:p>
    <w:p w:rsidR="00E17771" w:rsidRPr="007F32BD" w:rsidRDefault="00E17771" w:rsidP="0012265A">
      <w:pPr>
        <w:pStyle w:val="Heading4"/>
      </w:pPr>
      <w:bookmarkStart w:id="233" w:name="_Toc272414671"/>
      <w:bookmarkStart w:id="234" w:name="_Toc290846309"/>
      <w:bookmarkStart w:id="235" w:name="_Toc430785408"/>
      <w:r w:rsidRPr="007F32BD">
        <w:t>Other clinical chemistry</w:t>
      </w:r>
      <w:bookmarkEnd w:id="233"/>
      <w:bookmarkEnd w:id="234"/>
      <w:bookmarkEnd w:id="235"/>
    </w:p>
    <w:p w:rsidR="00BB4118" w:rsidRDefault="00E17771" w:rsidP="00E17771">
      <w:r w:rsidRPr="007F32BD">
        <w:t>Hyponatraemia was reported for 0.8% of pirfenidone patients and 0.3% of placebo patients. In shift data marked sodium (hyponatremia) abnormalities (from Grade 0 to Grade 3) were reported in 9 pirfenidone patients (1.5%</w:t>
      </w:r>
      <w:r w:rsidR="0071359E">
        <w:t>) and 1 placebo patient (0.2%).</w:t>
      </w:r>
    </w:p>
    <w:p w:rsidR="00BB4118" w:rsidRPr="000E7CA2" w:rsidRDefault="00BB4118" w:rsidP="000E7CA2">
      <w:pPr>
        <w:pStyle w:val="Heading5"/>
      </w:pPr>
      <w:r w:rsidRPr="00DA3942">
        <w:t>Pivotal studies</w:t>
      </w:r>
    </w:p>
    <w:p w:rsidR="00E17771" w:rsidRPr="007F32BD" w:rsidRDefault="0012265A" w:rsidP="00E17771">
      <w:r>
        <w:t>In Study PIPF</w:t>
      </w:r>
      <w:r>
        <w:noBreakHyphen/>
      </w:r>
      <w:r w:rsidR="00E17771" w:rsidRPr="0012265A">
        <w:t>006</w:t>
      </w:r>
      <w:r>
        <w:t>, o</w:t>
      </w:r>
      <w:r w:rsidR="00E17771" w:rsidRPr="0012265A">
        <w:t>ne pirfenidone patient had a Grade 4 SAE of hyponatraemia considered unrelated to study treatment.</w:t>
      </w:r>
    </w:p>
    <w:p w:rsidR="00E17771" w:rsidRPr="007F32BD" w:rsidRDefault="00E17771" w:rsidP="0012265A">
      <w:pPr>
        <w:pStyle w:val="Heading4"/>
      </w:pPr>
      <w:bookmarkStart w:id="236" w:name="_Toc272414672"/>
      <w:bookmarkStart w:id="237" w:name="_Toc290846310"/>
      <w:bookmarkStart w:id="238" w:name="_Toc430785409"/>
      <w:r w:rsidRPr="007F32BD">
        <w:t>Haematology</w:t>
      </w:r>
      <w:bookmarkEnd w:id="236"/>
      <w:bookmarkEnd w:id="237"/>
      <w:bookmarkEnd w:id="238"/>
    </w:p>
    <w:p w:rsidR="00E17771" w:rsidRDefault="00E17771" w:rsidP="00E17771">
      <w:r w:rsidRPr="007F32BD">
        <w:t xml:space="preserve">Reductions in lymphocyte count from Grade 0 to Grade 3 were seen for 6 (1.0%) pirfenidone patients </w:t>
      </w:r>
      <w:r w:rsidR="000B6AC6">
        <w:t>versus</w:t>
      </w:r>
      <w:r w:rsidRPr="007F32BD">
        <w:t xml:space="preserve"> 1(0.2%) placebo. Lymphocyte abnormalities were not associated with AEs</w:t>
      </w:r>
      <w:r>
        <w:t xml:space="preserve"> in clinical studies</w:t>
      </w:r>
      <w:r w:rsidR="0012265A">
        <w:t>.</w:t>
      </w:r>
    </w:p>
    <w:p w:rsidR="00BB4118" w:rsidRPr="000E7CA2" w:rsidRDefault="00BB4118" w:rsidP="000E7CA2">
      <w:pPr>
        <w:pStyle w:val="Heading5"/>
      </w:pPr>
      <w:r w:rsidRPr="00DA3942">
        <w:t>Pivotal studies</w:t>
      </w:r>
    </w:p>
    <w:p w:rsidR="00E17771" w:rsidRPr="0012265A" w:rsidRDefault="0012265A" w:rsidP="0012265A">
      <w:r w:rsidRPr="0012265A">
        <w:t xml:space="preserve">In Study </w:t>
      </w:r>
      <w:r w:rsidR="00E17771" w:rsidRPr="0012265A">
        <w:t>PIPF</w:t>
      </w:r>
      <w:r w:rsidRPr="0012265A">
        <w:noBreakHyphen/>
      </w:r>
      <w:r w:rsidR="00E17771" w:rsidRPr="0012265A">
        <w:t>004</w:t>
      </w:r>
      <w:r>
        <w:t>, o</w:t>
      </w:r>
      <w:r w:rsidR="00E17771" w:rsidRPr="0012265A">
        <w:t>ne pirfenidone patient had a post</w:t>
      </w:r>
      <w:r w:rsidR="00BB4118">
        <w:t xml:space="preserve"> </w:t>
      </w:r>
      <w:r w:rsidR="00E17771" w:rsidRPr="0012265A">
        <w:t xml:space="preserve">baseline Grade 4 lymphocyte abnormality at Week 4, which was resolved at Week 6, Grade 2 at Weeks 12, 24, and 36, and resolved thereafter. One patient in the pirfenidone group was reported to have bone marrow failure, considered unrelated to study </w:t>
      </w:r>
      <w:r>
        <w:t xml:space="preserve">treatment by the investigator. </w:t>
      </w:r>
      <w:r w:rsidR="00BB4118" w:rsidRPr="00BB4118">
        <w:t xml:space="preserve">The narrative for this patient </w:t>
      </w:r>
      <w:r w:rsidR="004173AC">
        <w:t>[information redacted]</w:t>
      </w:r>
      <w:r w:rsidR="00BB4118" w:rsidRPr="00BB4118">
        <w:t xml:space="preserve"> shows that the patient was a 46 year old male with pre-existing macrocytic anaemia who developed thrombocytopenia after treatment with pirfenidone for more than a year, and on biopsy had markedly hypocellular bone marrow with hypoplasia.</w:t>
      </w:r>
    </w:p>
    <w:p w:rsidR="00E17771" w:rsidRPr="007F32BD" w:rsidRDefault="00E17771" w:rsidP="0012265A">
      <w:pPr>
        <w:pStyle w:val="Heading4"/>
      </w:pPr>
      <w:bookmarkStart w:id="239" w:name="_Toc272414675"/>
      <w:bookmarkStart w:id="240" w:name="_Toc290846313"/>
      <w:bookmarkStart w:id="241" w:name="_Toc430785410"/>
      <w:r w:rsidRPr="007F32BD">
        <w:t>Electrocardiograph</w:t>
      </w:r>
      <w:bookmarkEnd w:id="239"/>
      <w:bookmarkEnd w:id="240"/>
      <w:bookmarkEnd w:id="241"/>
    </w:p>
    <w:p w:rsidR="00E17771" w:rsidRPr="0012265A" w:rsidRDefault="00E17771" w:rsidP="0012265A">
      <w:r w:rsidRPr="0012265A">
        <w:t xml:space="preserve">In </w:t>
      </w:r>
      <w:r w:rsidR="0012265A">
        <w:t>PIPF</w:t>
      </w:r>
      <w:r w:rsidR="0012265A">
        <w:noBreakHyphen/>
      </w:r>
      <w:r w:rsidRPr="0012265A">
        <w:t xml:space="preserve">004 and </w:t>
      </w:r>
      <w:r w:rsidR="0012265A">
        <w:t>PIPF</w:t>
      </w:r>
      <w:r w:rsidR="0012265A">
        <w:noBreakHyphen/>
      </w:r>
      <w:r w:rsidRPr="0012265A">
        <w:t>006 no for</w:t>
      </w:r>
      <w:r w:rsidR="0012265A">
        <w:t>mal ECG analysis was completed.</w:t>
      </w:r>
      <w:r w:rsidRPr="0012265A">
        <w:t xml:space="preserve"> In </w:t>
      </w:r>
      <w:r w:rsidR="0012265A">
        <w:t>PIPF</w:t>
      </w:r>
      <w:r w:rsidR="0012265A">
        <w:noBreakHyphen/>
      </w:r>
      <w:r w:rsidRPr="0012265A">
        <w:t>016 ECGs were evaluated centrally by a cardiologist blinded to treatment.</w:t>
      </w:r>
    </w:p>
    <w:p w:rsidR="00E17771" w:rsidRPr="0012265A" w:rsidRDefault="00E17771" w:rsidP="0012265A">
      <w:pPr>
        <w:pStyle w:val="Heading5"/>
      </w:pPr>
      <w:r w:rsidRPr="0012265A">
        <w:t>Pivotal studies</w:t>
      </w:r>
    </w:p>
    <w:p w:rsidR="00E17771" w:rsidRPr="0012265A" w:rsidRDefault="00E17771" w:rsidP="0012265A">
      <w:r w:rsidRPr="0012265A">
        <w:t xml:space="preserve">In </w:t>
      </w:r>
      <w:r w:rsidR="00DE0015">
        <w:t xml:space="preserve">Studies </w:t>
      </w:r>
      <w:r w:rsidRPr="0012265A">
        <w:t>PIPF</w:t>
      </w:r>
      <w:r w:rsidR="0012265A">
        <w:noBreakHyphen/>
      </w:r>
      <w:r w:rsidRPr="0012265A">
        <w:t xml:space="preserve">004 and </w:t>
      </w:r>
      <w:r w:rsidR="0012265A">
        <w:t>PIPF</w:t>
      </w:r>
      <w:r w:rsidR="0012265A">
        <w:noBreakHyphen/>
      </w:r>
      <w:r w:rsidRPr="0012265A">
        <w:t xml:space="preserve">006 after unblinding, an imbalance in cardiac arrhythmia events was noted. All ECGs collected between baseline and 28 days after end of treatment were </w:t>
      </w:r>
      <w:r w:rsidRPr="0012265A">
        <w:lastRenderedPageBreak/>
        <w:t>retrospectively analysed. This was reported to show no clear evidence of a pirfenidone</w:t>
      </w:r>
      <w:r w:rsidR="004173AC">
        <w:t xml:space="preserve"> </w:t>
      </w:r>
      <w:r w:rsidRPr="0012265A">
        <w:t>related effect on heart rate, cardiac depolarization, QT prolongation, or electrocardiographic morphology.</w:t>
      </w:r>
    </w:p>
    <w:p w:rsidR="00E17771" w:rsidRDefault="00E17771" w:rsidP="00E17771">
      <w:r w:rsidRPr="0012265A">
        <w:t>In PIPF-016 one patient in each treatment group had an isolated instance of QTcB &gt; 500 ms</w:t>
      </w:r>
      <w:r w:rsidR="002713DE">
        <w:t>.</w:t>
      </w:r>
      <w:r w:rsidR="002713DE">
        <w:rPr>
          <w:rStyle w:val="FootnoteReference"/>
        </w:rPr>
        <w:footnoteReference w:id="20"/>
      </w:r>
      <w:r w:rsidRPr="0012265A">
        <w:t xml:space="preserve"> on routine post</w:t>
      </w:r>
      <w:r w:rsidR="004173AC">
        <w:t xml:space="preserve"> </w:t>
      </w:r>
      <w:r w:rsidRPr="0012265A">
        <w:t>randomisation ECG, not reported as AE and</w:t>
      </w:r>
      <w:r w:rsidR="002713DE">
        <w:t xml:space="preserve"> </w:t>
      </w:r>
      <w:r w:rsidRPr="0012265A">
        <w:t>no change in dose. One TEAE of QTcB</w:t>
      </w:r>
      <w:r>
        <w:t xml:space="preserve"> prolongation was reported in the pirfenidone group, mild and possibly rela</w:t>
      </w:r>
      <w:r w:rsidR="002713DE">
        <w:t>ted; no QTcB value was &gt; 500 ms and</w:t>
      </w:r>
      <w:r>
        <w:t xml:space="preserve"> the patient had RBB reported the same day and no dose change was made.</w:t>
      </w:r>
    </w:p>
    <w:p w:rsidR="004173AC" w:rsidRPr="007F32BD" w:rsidRDefault="004173AC" w:rsidP="000E7CA2">
      <w:pPr>
        <w:pStyle w:val="Heading5"/>
      </w:pPr>
      <w:r>
        <w:t>Other studies</w:t>
      </w:r>
    </w:p>
    <w:p w:rsidR="00E17771" w:rsidRPr="002713DE" w:rsidRDefault="002713DE" w:rsidP="002713DE">
      <w:r w:rsidRPr="002713DE">
        <w:t>In the non-pivotal Study</w:t>
      </w:r>
      <w:r w:rsidR="00E17771" w:rsidRPr="002713DE">
        <w:t>PIPF-007</w:t>
      </w:r>
      <w:r w:rsidRPr="002713DE">
        <w:t>,</w:t>
      </w:r>
      <w:r w:rsidR="00E17771" w:rsidRPr="002713DE">
        <w:t xml:space="preserve"> results suggested pirfenidone had no effect on QT interval and other ECG parameters in healthy subjects.</w:t>
      </w:r>
    </w:p>
    <w:p w:rsidR="00E17771" w:rsidRPr="002713DE" w:rsidRDefault="00E17771" w:rsidP="002713DE">
      <w:pPr>
        <w:pStyle w:val="Heading3"/>
      </w:pPr>
      <w:bookmarkStart w:id="242" w:name="_Toc272414676"/>
      <w:bookmarkStart w:id="243" w:name="_Toc290846314"/>
      <w:bookmarkStart w:id="244" w:name="_Toc430785411"/>
      <w:bookmarkStart w:id="245" w:name="_Toc459986999"/>
      <w:r w:rsidRPr="002713DE">
        <w:t>Vital signs</w:t>
      </w:r>
      <w:bookmarkEnd w:id="242"/>
      <w:bookmarkEnd w:id="243"/>
      <w:bookmarkEnd w:id="244"/>
      <w:bookmarkEnd w:id="245"/>
    </w:p>
    <w:p w:rsidR="00E17771" w:rsidRDefault="00E17771" w:rsidP="002713DE">
      <w:r w:rsidRPr="002713DE">
        <w:t>Mean results for the pirfenidone and placebo groups were similar. In the randomised patient subset w</w:t>
      </w:r>
      <w:r w:rsidR="002713DE" w:rsidRPr="002713DE">
        <w:t xml:space="preserve">eight loss of </w:t>
      </w:r>
      <w:r w:rsidRPr="002713DE">
        <w:t>≥ 10% occurred in 17.7% and 26.9% for males and females respectively in the pirfenidone group compared to 9.2% and 11.3% in the placebo group. In the pirfenidone patient subset with longer exposure, the proportion with weight loss ≥ 10% was 35.2% for men and 44. 4% for women</w:t>
      </w:r>
      <w:r w:rsidR="00DE4F55">
        <w:t xml:space="preserve"> respectively</w:t>
      </w:r>
      <w:r w:rsidR="002713DE" w:rsidRPr="002713DE">
        <w:t>.</w:t>
      </w:r>
    </w:p>
    <w:p w:rsidR="004173AC" w:rsidRPr="002713DE" w:rsidRDefault="004173AC" w:rsidP="000E7CA2">
      <w:pPr>
        <w:pStyle w:val="Heading5"/>
      </w:pPr>
      <w:r w:rsidRPr="004173AC">
        <w:t>Pivotal studies</w:t>
      </w:r>
    </w:p>
    <w:p w:rsidR="00E17771" w:rsidRPr="007F32BD" w:rsidRDefault="00E17771" w:rsidP="002713DE">
      <w:r w:rsidRPr="0042746E">
        <w:t xml:space="preserve">There were a few cases of marked weight loss. </w:t>
      </w:r>
      <w:r>
        <w:t>I</w:t>
      </w:r>
      <w:r w:rsidRPr="0042746E">
        <w:t xml:space="preserve">n </w:t>
      </w:r>
      <w:r w:rsidR="002713DE">
        <w:t xml:space="preserve">pivotal Study </w:t>
      </w:r>
      <w:r w:rsidRPr="002713DE">
        <w:t>PIPF</w:t>
      </w:r>
      <w:r w:rsidR="00DE0015">
        <w:noBreakHyphen/>
      </w:r>
      <w:r w:rsidRPr="002713DE">
        <w:t>016</w:t>
      </w:r>
      <w:r w:rsidRPr="0042746E">
        <w:t xml:space="preserve"> maximum </w:t>
      </w:r>
      <w:r>
        <w:t xml:space="preserve">weight loss was pirfenidone </w:t>
      </w:r>
      <w:r w:rsidRPr="0042746E">
        <w:t xml:space="preserve">27 kg </w:t>
      </w:r>
      <w:r w:rsidR="000B6AC6">
        <w:t>versus</w:t>
      </w:r>
      <w:r>
        <w:t xml:space="preserve"> </w:t>
      </w:r>
      <w:r w:rsidRPr="0042746E">
        <w:t>placebo</w:t>
      </w:r>
      <w:r>
        <w:t xml:space="preserve"> 22 kg</w:t>
      </w:r>
      <w:r w:rsidRPr="0042746E">
        <w:t xml:space="preserve">; there were two weight loss TEAEs described as severe in the pirfenidone group but none in the placebo group. </w:t>
      </w:r>
      <w:r>
        <w:t>One withdrew from study.</w:t>
      </w:r>
    </w:p>
    <w:p w:rsidR="00E17771" w:rsidRDefault="00E17771" w:rsidP="002713DE">
      <w:pPr>
        <w:pStyle w:val="Heading3"/>
      </w:pPr>
      <w:bookmarkStart w:id="246" w:name="_Toc241374326"/>
      <w:bookmarkStart w:id="247" w:name="_Ref272333048"/>
      <w:bookmarkStart w:id="248" w:name="_Toc272414679"/>
      <w:bookmarkStart w:id="249" w:name="_Toc290846317"/>
      <w:bookmarkStart w:id="250" w:name="_Toc430785412"/>
      <w:bookmarkStart w:id="251" w:name="_Toc459987000"/>
      <w:r w:rsidRPr="007F32BD">
        <w:t>Post-marketing experience</w:t>
      </w:r>
      <w:bookmarkEnd w:id="246"/>
      <w:bookmarkEnd w:id="247"/>
      <w:bookmarkEnd w:id="248"/>
      <w:bookmarkEnd w:id="249"/>
      <w:bookmarkEnd w:id="250"/>
      <w:bookmarkEnd w:id="251"/>
    </w:p>
    <w:p w:rsidR="00E17771" w:rsidRPr="002713DE" w:rsidRDefault="00E17771" w:rsidP="002713DE">
      <w:r w:rsidRPr="002713DE">
        <w:t>Post Market Safety Update Reports</w:t>
      </w:r>
      <w:r w:rsidR="002713DE">
        <w:t xml:space="preserve"> (1 to 7) were provided</w:t>
      </w:r>
      <w:r w:rsidRPr="002713DE">
        <w:t>. The cumulative post</w:t>
      </w:r>
      <w:r w:rsidR="002713DE">
        <w:noBreakHyphen/>
      </w:r>
      <w:r w:rsidRPr="002713DE">
        <w:t>marketing exposure as of 27 February 2014 was estimated to be 13,191 patient years, a total of approximately 15,000 patients.</w:t>
      </w:r>
    </w:p>
    <w:p w:rsidR="00E17771" w:rsidRPr="002713DE" w:rsidRDefault="00E17771" w:rsidP="002713DE">
      <w:r w:rsidRPr="002713DE">
        <w:t>PSUR 4 included the case of elevated bilirubin in PIPF</w:t>
      </w:r>
      <w:r w:rsidR="00D319FB">
        <w:noBreakHyphen/>
      </w:r>
      <w:r w:rsidRPr="002713DE">
        <w:t>016 that triggered review of hepatic events</w:t>
      </w:r>
      <w:r w:rsidR="00D319FB">
        <w:t xml:space="preserve">. </w:t>
      </w:r>
      <w:r w:rsidRPr="002713DE">
        <w:t>Three other cases of Hy’s law were found as described below. Increased total serum bilirubin in conjunction with elevated AST and ALT was added to the S</w:t>
      </w:r>
      <w:r w:rsidR="00D319FB">
        <w:t>PC.</w:t>
      </w:r>
    </w:p>
    <w:p w:rsidR="00E17771" w:rsidRPr="002713DE" w:rsidRDefault="00E17771" w:rsidP="002713DE">
      <w:r w:rsidRPr="002713DE">
        <w:t>Based on reports in PSUR 5 and PSUR 6, as of 28 February 2014, two new TEAEs of interest were identified in post-marketing experience</w:t>
      </w:r>
      <w:r w:rsidR="00AC0993">
        <w:t>, added to the SPC</w:t>
      </w:r>
      <w:r w:rsidRPr="002713DE">
        <w:t xml:space="preserve"> and assessed as safety signals for pirfenidone:</w:t>
      </w:r>
    </w:p>
    <w:p w:rsidR="00E17771" w:rsidRPr="00D319FB" w:rsidRDefault="00D319FB" w:rsidP="00D319FB">
      <w:pPr>
        <w:pStyle w:val="ListBullet"/>
      </w:pPr>
      <w:r>
        <w:t>A</w:t>
      </w:r>
      <w:r w:rsidR="00E17771" w:rsidRPr="00D319FB">
        <w:t>granulocytosis (3 cases</w:t>
      </w:r>
      <w:r>
        <w:t>)</w:t>
      </w:r>
    </w:p>
    <w:p w:rsidR="00E17771" w:rsidRDefault="00D319FB" w:rsidP="00AC0993">
      <w:pPr>
        <w:pStyle w:val="ListBullet"/>
      </w:pPr>
      <w:r>
        <w:t>A</w:t>
      </w:r>
      <w:r w:rsidR="00E17771" w:rsidRPr="00D319FB">
        <w:t>ngioedema (14 cases identified).</w:t>
      </w:r>
    </w:p>
    <w:p w:rsidR="004173AC" w:rsidRPr="004173AC" w:rsidRDefault="004173AC" w:rsidP="000E7CA2">
      <w:r w:rsidRPr="004173AC">
        <w:t>These were also added to the SPC.</w:t>
      </w:r>
    </w:p>
    <w:p w:rsidR="00E17771" w:rsidRPr="007F32BD" w:rsidRDefault="00E17771" w:rsidP="00AC0993">
      <w:r w:rsidRPr="00AC0993">
        <w:t xml:space="preserve">According to PSUR 7, </w:t>
      </w:r>
      <w:r w:rsidR="004173AC">
        <w:t>to</w:t>
      </w:r>
      <w:r w:rsidRPr="00AC0993">
        <w:t xml:space="preserve"> 27 August 2014 the estimated cumulative exposure in clinical trials was 1</w:t>
      </w:r>
      <w:r w:rsidR="004173AC">
        <w:t>,</w:t>
      </w:r>
      <w:r w:rsidRPr="00AC0993">
        <w:t>574 patients, and total post-marketing exposure was estimated to be 16,634 patient-years. There are named patient programmes and patient assistance programmes in Europe and patient registries in</w:t>
      </w:r>
      <w:r w:rsidR="00AC0993">
        <w:t xml:space="preserve"> both Canada and </w:t>
      </w:r>
      <w:r w:rsidR="004173AC" w:rsidRPr="004173AC">
        <w:t>in Belgium-Netherlands-Luxembourg</w:t>
      </w:r>
      <w:r w:rsidR="00AC0993">
        <w:t xml:space="preserve">. </w:t>
      </w:r>
      <w:r w:rsidRPr="00AC0993">
        <w:t xml:space="preserve">A post-authorisation safety </w:t>
      </w:r>
      <w:r w:rsidR="0049386B">
        <w:t>S</w:t>
      </w:r>
      <w:r w:rsidRPr="00AC0993">
        <w:t>tudy PIPF</w:t>
      </w:r>
      <w:r w:rsidR="00AC0993">
        <w:noBreakHyphen/>
      </w:r>
      <w:r w:rsidRPr="00AC0993">
        <w:t>025 has enrolled approximately 1</w:t>
      </w:r>
      <w:r w:rsidR="004173AC">
        <w:t>,</w:t>
      </w:r>
      <w:r w:rsidRPr="00AC0993">
        <w:t>000 participants. Since the international birth date (IBD) of 28 February 2011, a total of 8</w:t>
      </w:r>
      <w:r w:rsidR="004173AC">
        <w:t>,</w:t>
      </w:r>
      <w:r w:rsidRPr="00AC0993">
        <w:t>185 su</w:t>
      </w:r>
      <w:r w:rsidR="00AC0993">
        <w:t xml:space="preserve">spected ADRs </w:t>
      </w:r>
      <w:r w:rsidRPr="00AC0993">
        <w:t>have been reported in the post-marketing surveillance period. This included 1</w:t>
      </w:r>
      <w:r w:rsidR="004173AC">
        <w:t>,</w:t>
      </w:r>
      <w:r w:rsidRPr="00AC0993">
        <w:t xml:space="preserve">931 (23.6%) from </w:t>
      </w:r>
      <w:r w:rsidRPr="00AC0993">
        <w:lastRenderedPageBreak/>
        <w:t>spontaneous reporting, literature, or regulatory authorities; 190 (2.3%) from clinical trials; and 6</w:t>
      </w:r>
      <w:r w:rsidR="004173AC">
        <w:t>,</w:t>
      </w:r>
      <w:r w:rsidRPr="00AC0993">
        <w:t>064 (74.1%) from solicited reporting. The majority (7</w:t>
      </w:r>
      <w:r w:rsidR="00E80CE6">
        <w:t>,</w:t>
      </w:r>
      <w:r w:rsidRPr="00AC0993">
        <w:t>161) were non</w:t>
      </w:r>
      <w:r w:rsidR="00AC0993">
        <w:noBreakHyphen/>
      </w:r>
      <w:r w:rsidRPr="00AC0993">
        <w:t>serious. The total number of ADRs increased from 5</w:t>
      </w:r>
      <w:r w:rsidR="00E80CE6">
        <w:t>,</w:t>
      </w:r>
      <w:r w:rsidRPr="00AC0993">
        <w:t>525 in PSUR 6 to 8</w:t>
      </w:r>
      <w:r w:rsidR="00E80CE6">
        <w:t>,</w:t>
      </w:r>
      <w:r w:rsidRPr="00AC0993">
        <w:t>185 in PSUR 7. This is stated to be largely due to solicited reporting and spontaneous post-marketing reports from Europe and Canada.</w:t>
      </w:r>
    </w:p>
    <w:p w:rsidR="00E17771" w:rsidRPr="00AC0993" w:rsidRDefault="00E17771" w:rsidP="000E7CA2">
      <w:pPr>
        <w:autoSpaceDE w:val="0"/>
        <w:autoSpaceDN w:val="0"/>
        <w:adjustRightInd w:val="0"/>
      </w:pPr>
      <w:r>
        <w:t xml:space="preserve">Overall the pattern of </w:t>
      </w:r>
      <w:r w:rsidRPr="007F32BD">
        <w:t xml:space="preserve">the </w:t>
      </w:r>
      <w:r w:rsidRPr="00C73191">
        <w:t xml:space="preserve">post-marketing AEs </w:t>
      </w:r>
      <w:r>
        <w:t>is</w:t>
      </w:r>
      <w:r w:rsidRPr="00C73191">
        <w:t xml:space="preserve"> similar to th</w:t>
      </w:r>
      <w:r>
        <w:t>at</w:t>
      </w:r>
      <w:r w:rsidR="00AC0993">
        <w:t xml:space="preserve"> observed in clinical trials.</w:t>
      </w:r>
      <w:r w:rsidR="00E80CE6">
        <w:t xml:space="preserve"> </w:t>
      </w:r>
      <w:r w:rsidRPr="00AC0993">
        <w:t>In PSUR 7 a series of cases of thrombocytopenia were reported in post</w:t>
      </w:r>
      <w:r w:rsidR="00AC0993">
        <w:noBreakHyphen/>
      </w:r>
      <w:r w:rsidRPr="00AC0993">
        <w:t>marketing surveillance. These cases lead to an investigation of thrombocytopenia as a safety signal. The MAH concluded that current information was not sufficient to propose any current changes to the reference safety information and that more monitoring of this signal would be required. Additionally there was mention of a potential warfarin</w:t>
      </w:r>
      <w:r w:rsidR="00AC0993">
        <w:noBreakHyphen/>
      </w:r>
      <w:r w:rsidRPr="00AC0993">
        <w:t>pirfenidone interaction.</w:t>
      </w:r>
    </w:p>
    <w:p w:rsidR="00E17771" w:rsidRPr="007F32BD" w:rsidRDefault="00E17771" w:rsidP="00AC0993">
      <w:pPr>
        <w:pStyle w:val="Heading3"/>
      </w:pPr>
      <w:bookmarkStart w:id="252" w:name="_Ref272333005"/>
      <w:bookmarkStart w:id="253" w:name="_Toc272414680"/>
      <w:bookmarkStart w:id="254" w:name="_Toc290846318"/>
      <w:bookmarkStart w:id="255" w:name="_Toc430785413"/>
      <w:bookmarkStart w:id="256" w:name="_Toc459987001"/>
      <w:r w:rsidRPr="007F32BD">
        <w:t>Safety issues with the potential for major regulatory imp</w:t>
      </w:r>
      <w:bookmarkEnd w:id="252"/>
      <w:bookmarkEnd w:id="253"/>
      <w:r w:rsidRPr="007F32BD">
        <w:t>act</w:t>
      </w:r>
      <w:bookmarkEnd w:id="254"/>
      <w:bookmarkEnd w:id="255"/>
      <w:bookmarkEnd w:id="256"/>
    </w:p>
    <w:p w:rsidR="00E17771" w:rsidRPr="007F32BD" w:rsidRDefault="00E17771" w:rsidP="00E17771">
      <w:r w:rsidRPr="007F32BD">
        <w:t xml:space="preserve">Several issues identified during drug development and </w:t>
      </w:r>
      <w:r>
        <w:t xml:space="preserve">with </w:t>
      </w:r>
      <w:r w:rsidRPr="007F32BD">
        <w:t>subsequent</w:t>
      </w:r>
      <w:r>
        <w:t xml:space="preserve"> experience have </w:t>
      </w:r>
      <w:r w:rsidRPr="007F32BD">
        <w:t>implications for safe use.</w:t>
      </w:r>
    </w:p>
    <w:p w:rsidR="00E17771" w:rsidRPr="007F32BD" w:rsidRDefault="00E17771" w:rsidP="00AC0993">
      <w:pPr>
        <w:pStyle w:val="Heading4"/>
      </w:pPr>
      <w:bookmarkStart w:id="257" w:name="_Toc272414681"/>
      <w:bookmarkStart w:id="258" w:name="_Toc290846319"/>
      <w:bookmarkStart w:id="259" w:name="_Toc430785414"/>
      <w:r w:rsidRPr="007F32BD">
        <w:t>Liver toxicity</w:t>
      </w:r>
      <w:bookmarkEnd w:id="257"/>
      <w:bookmarkEnd w:id="258"/>
      <w:bookmarkEnd w:id="259"/>
    </w:p>
    <w:p w:rsidR="00E17771" w:rsidRDefault="00E17771" w:rsidP="00E17771">
      <w:pPr>
        <w:autoSpaceDE w:val="0"/>
        <w:autoSpaceDN w:val="0"/>
        <w:adjustRightInd w:val="0"/>
      </w:pPr>
      <w:r>
        <w:t>Pirfenidone has a known as</w:t>
      </w:r>
      <w:r w:rsidR="00AC0993">
        <w:t xml:space="preserve">sociation with liver toxicity. </w:t>
      </w:r>
      <w:r>
        <w:t>Hepatic events were analysed in the cumulative dataset</w:t>
      </w:r>
      <w:r w:rsidR="00AC0993">
        <w:t>s as adverse events of interest, for example</w:t>
      </w:r>
      <w:r>
        <w:t xml:space="preserve"> through SMQ ‘possible drug</w:t>
      </w:r>
      <w:r w:rsidR="0045527B">
        <w:t xml:space="preserve"> </w:t>
      </w:r>
      <w:r>
        <w:t>related hepatic disorders</w:t>
      </w:r>
      <w:r w:rsidR="0045527B">
        <w:t xml:space="preserve"> </w:t>
      </w:r>
      <w:r>
        <w:t>comprehensive search’</w:t>
      </w:r>
      <w:r w:rsidR="00AC0993">
        <w:t xml:space="preserve">. Liver </w:t>
      </w:r>
      <w:r w:rsidRPr="009134C8">
        <w:t>related laboratory outcomes were categorised according</w:t>
      </w:r>
      <w:r>
        <w:t xml:space="preserve"> to specified test range values, </w:t>
      </w:r>
      <w:r w:rsidRPr="009134C8">
        <w:t>as described in the 2012 Safety Update SAP for the assessm</w:t>
      </w:r>
      <w:r w:rsidR="00AC0993">
        <w:t>ent of potential hepatotoxicity.</w:t>
      </w:r>
    </w:p>
    <w:p w:rsidR="00E17771" w:rsidRPr="00AC0993" w:rsidRDefault="00E17771" w:rsidP="00AC0993">
      <w:r w:rsidRPr="00AC0993">
        <w:t xml:space="preserve">In the randomised patient subset 9.5% pirfenidone patients reported hepatic TEAEs </w:t>
      </w:r>
      <w:r w:rsidR="000B6AC6" w:rsidRPr="00AC0993">
        <w:t>versus</w:t>
      </w:r>
      <w:r w:rsidRPr="00AC0993">
        <w:t xml:space="preserve"> 4.3% for placebo. There were 6 pirfenidone patients with hepatic TE SAEs </w:t>
      </w:r>
      <w:r w:rsidR="000B6AC6" w:rsidRPr="00AC0993">
        <w:t>versus</w:t>
      </w:r>
      <w:r w:rsidRPr="00AC0993">
        <w:t xml:space="preserve"> 1 placebo patient. Three pirfenidone patients had moderate to severely abnormal LFTs judged probably related and 2 had severe hepatitis, judged probably or </w:t>
      </w:r>
      <w:r w:rsidR="00AC0993">
        <w:t xml:space="preserve">possibly related. </w:t>
      </w:r>
      <w:r w:rsidRPr="00AC0993">
        <w:t xml:space="preserve">One was discontinued because of persistent GGT elevation and diagnosed with malignant hepatic neoplasm. Overall LFT elevations were more frequent and severe </w:t>
      </w:r>
      <w:r w:rsidR="00AC0993">
        <w:t>with pirfenidone treatment.</w:t>
      </w:r>
    </w:p>
    <w:p w:rsidR="00E17771" w:rsidRPr="00AC0993" w:rsidRDefault="00E17771" w:rsidP="00AC0993">
      <w:r w:rsidRPr="00AC0993">
        <w:t>Notable elevations in AST/ALT tended to occur early in therapy; of 21 patients with an ALT /AST &gt; 3 x ULN, 14 first had ALT/AST &gt; 3 x ULN in the initial 6 months of treatment. Of 7 pirfenidone patients with ALT/AST &gt;</w:t>
      </w:r>
      <w:r w:rsidR="00AC0993">
        <w:t> </w:t>
      </w:r>
      <w:r w:rsidRPr="00AC0993">
        <w:t xml:space="preserve">5 </w:t>
      </w:r>
      <w:r w:rsidR="00DE0015">
        <w:t>x</w:t>
      </w:r>
      <w:r w:rsidRPr="00AC0993">
        <w:t xml:space="preserve"> ULN, 5 patients first had that elevation in the first 6 months; 2 patients had smaller elevations </w:t>
      </w:r>
      <w:r w:rsidR="00AC0993">
        <w:t>(Grade 1, mild, up to 3 x</w:t>
      </w:r>
      <w:r w:rsidRPr="00AC0993">
        <w:t xml:space="preserve"> ULN) at baseline and during the initial 6 months of treatment. For ALT/AST &gt;3 and &lt;</w:t>
      </w:r>
      <w:r w:rsidR="00AC0993">
        <w:t> </w:t>
      </w:r>
      <w:r w:rsidRPr="00AC0993">
        <w:t xml:space="preserve">5 </w:t>
      </w:r>
      <w:r w:rsidR="00AC0993">
        <w:t>x</w:t>
      </w:r>
      <w:r w:rsidRPr="00AC0993">
        <w:t xml:space="preserve"> ULN (in the absence of symptoms or bilirubin &gt;</w:t>
      </w:r>
      <w:r w:rsidR="00AC0993">
        <w:t> </w:t>
      </w:r>
      <w:r w:rsidRPr="00AC0993">
        <w:t xml:space="preserve">2 </w:t>
      </w:r>
      <w:r w:rsidR="00DE0015">
        <w:t>x</w:t>
      </w:r>
      <w:r w:rsidRPr="00AC0993">
        <w:t xml:space="preserve"> ULN), the protocols allowed dose reduction or interruption if clinically appropriate, with subsequent re-titration to full dose, as tolerated. Of 15 patients in this category 12 were on pirfenidone at comple</w:t>
      </w:r>
      <w:r w:rsidR="00AC0993">
        <w:t>tion of study, 7 on full dose.</w:t>
      </w:r>
    </w:p>
    <w:p w:rsidR="00E17771" w:rsidRPr="00AC0993" w:rsidRDefault="00E17771" w:rsidP="00AC0993">
      <w:r w:rsidRPr="00AC0993">
        <w:t>Data from the pirfenidone patient subset indicated that adjusted incidence rates did not incr</w:t>
      </w:r>
      <w:r w:rsidR="00AC0993">
        <w:t>ease with longer term exposure.</w:t>
      </w:r>
    </w:p>
    <w:p w:rsidR="00E17771" w:rsidRPr="00AC0993" w:rsidRDefault="00E17771" w:rsidP="00AC0993">
      <w:r w:rsidRPr="00AC0993">
        <w:t xml:space="preserve">In the combined database, including Japanese Phase </w:t>
      </w:r>
      <w:r w:rsidR="00DE0015">
        <w:t>II</w:t>
      </w:r>
      <w:r w:rsidRPr="00AC0993">
        <w:t xml:space="preserve"> studies, </w:t>
      </w:r>
      <w:r w:rsidR="00AC0993">
        <w:t>PIPF</w:t>
      </w:r>
      <w:r w:rsidR="00AC0993">
        <w:noBreakHyphen/>
      </w:r>
      <w:r w:rsidRPr="00AC0993">
        <w:t>016 and 2 post-market reports (total exposure approximately 15,000 patients), 4 patients met Hy’s law criteria of concomitant elevations in ALT or AST &gt;</w:t>
      </w:r>
      <w:r w:rsidR="00AC0993">
        <w:t> </w:t>
      </w:r>
      <w:r w:rsidRPr="00AC0993">
        <w:t xml:space="preserve">3 </w:t>
      </w:r>
      <w:r w:rsidR="00DE0015">
        <w:t>x</w:t>
      </w:r>
      <w:r w:rsidRPr="00AC0993">
        <w:t xml:space="preserve"> ULN and total bilirubin &gt;</w:t>
      </w:r>
      <w:r w:rsidR="00AC0993">
        <w:t> </w:t>
      </w:r>
      <w:r w:rsidRPr="00AC0993">
        <w:t xml:space="preserve">2 </w:t>
      </w:r>
      <w:r w:rsidR="00DE0015">
        <w:t>x</w:t>
      </w:r>
      <w:r w:rsidRPr="00AC0993">
        <w:t xml:space="preserve"> ULN in the absence of alternate explanations. In all 4 cases, liver test elevations occurred early after fir</w:t>
      </w:r>
      <w:r w:rsidR="00AC0993">
        <w:t>st exposure to pirfenidone (that is</w:t>
      </w:r>
      <w:r w:rsidRPr="00AC0993">
        <w:t xml:space="preserve"> ALT &gt;</w:t>
      </w:r>
      <w:r w:rsidR="00AC0993">
        <w:t> </w:t>
      </w:r>
      <w:r w:rsidRPr="00AC0993">
        <w:t xml:space="preserve">5 </w:t>
      </w:r>
      <w:r w:rsidR="00DE0015">
        <w:t>x</w:t>
      </w:r>
      <w:r w:rsidRPr="00AC0993">
        <w:t xml:space="preserve"> ULN by Week 13), and all showed reversal after discontinuation of </w:t>
      </w:r>
      <w:r w:rsidR="00AC0993">
        <w:t>pirfenidone.</w:t>
      </w:r>
    </w:p>
    <w:p w:rsidR="00E17771" w:rsidRPr="00AC0993" w:rsidRDefault="00E17771" w:rsidP="00AC0993">
      <w:r w:rsidRPr="00AC0993">
        <w:t>Regular LFT monitoring was useful for early identification and new onset symptoms such as nausea, abdominal discomfort or malaise should be considered as a warning for potentially serious LFT elevations. LFT evaluation is therefore recommended prior to initiation of therapy and then monthly for the first 6 mo</w:t>
      </w:r>
      <w:r w:rsidR="00AC0993">
        <w:t>nths and 3 monthly thereafter.</w:t>
      </w:r>
    </w:p>
    <w:p w:rsidR="00E17771" w:rsidRPr="00AC0993" w:rsidRDefault="0045527B" w:rsidP="00AC0993">
      <w:pPr>
        <w:pStyle w:val="Comment"/>
        <w:rPr>
          <w:rFonts w:asciiTheme="minorHAnsi" w:hAnsiTheme="minorHAnsi" w:cstheme="minorHAnsi"/>
          <w:b/>
        </w:rPr>
      </w:pPr>
      <w:r>
        <w:rPr>
          <w:rFonts w:asciiTheme="minorHAnsi" w:hAnsiTheme="minorHAnsi" w:cstheme="minorHAnsi"/>
          <w:b/>
        </w:rPr>
        <w:lastRenderedPageBreak/>
        <w:t>C</w:t>
      </w:r>
      <w:r w:rsidR="00E17771" w:rsidRPr="004A20C6">
        <w:rPr>
          <w:rFonts w:asciiTheme="minorHAnsi" w:hAnsiTheme="minorHAnsi" w:cstheme="minorHAnsi"/>
          <w:b/>
        </w:rPr>
        <w:t>omment</w:t>
      </w:r>
      <w:r w:rsidR="00AC0993">
        <w:rPr>
          <w:rFonts w:asciiTheme="minorHAnsi" w:hAnsiTheme="minorHAnsi" w:cstheme="minorHAnsi"/>
          <w:b/>
        </w:rPr>
        <w:t xml:space="preserve">: </w:t>
      </w:r>
      <w:r w:rsidR="00E17771" w:rsidRPr="00AC0993">
        <w:t xml:space="preserve">Advice from the Phase </w:t>
      </w:r>
      <w:r w:rsidR="00DE0015">
        <w:t>III</w:t>
      </w:r>
      <w:r w:rsidR="00E17771" w:rsidRPr="00AC0993">
        <w:t xml:space="preserve"> study protocols is the basis of the PI recommendations for managing drug dosage with elevation of LFTs.</w:t>
      </w:r>
      <w:r w:rsidR="005D2037">
        <w:t xml:space="preserve"> </w:t>
      </w:r>
      <w:r w:rsidR="00E17771" w:rsidRPr="00AC0993">
        <w:t xml:space="preserve">The </w:t>
      </w:r>
      <w:r w:rsidR="00BC7B33">
        <w:t>sponsor</w:t>
      </w:r>
      <w:r w:rsidR="00E17771" w:rsidRPr="00AC0993">
        <w:t>’s recommendation in 2014 RSU are:</w:t>
      </w:r>
    </w:p>
    <w:p w:rsidR="00E17771" w:rsidRPr="008F5051" w:rsidRDefault="00E17771" w:rsidP="000E7CA2">
      <w:pPr>
        <w:pStyle w:val="ListBullet"/>
        <w:ind w:left="1491" w:hanging="357"/>
      </w:pPr>
      <w:r w:rsidRPr="008F5051">
        <w:t>LFTs 3</w:t>
      </w:r>
      <w:r w:rsidR="00DE0015">
        <w:t> to </w:t>
      </w:r>
      <w:r w:rsidRPr="008F5051">
        <w:t xml:space="preserve">5 x ULN, bilirubin normal; cease confounding medications </w:t>
      </w:r>
      <w:r w:rsidR="0045527B">
        <w:t>and</w:t>
      </w:r>
      <w:r w:rsidRPr="008F5051">
        <w:t xml:space="preserve"> monitor closely, and interrupt or reduce and titrate pirfenidone as necessary</w:t>
      </w:r>
    </w:p>
    <w:p w:rsidR="00E17771" w:rsidRPr="008F5051" w:rsidRDefault="00DE0015" w:rsidP="000E7CA2">
      <w:pPr>
        <w:pStyle w:val="ListBullet"/>
        <w:ind w:left="1491" w:hanging="357"/>
      </w:pPr>
      <w:r>
        <w:t>LFTs 3 to </w:t>
      </w:r>
      <w:r w:rsidR="00E17771" w:rsidRPr="008F5051">
        <w:t>5 x ULN with symptoms or elevated bilirubin; permanently discontinue</w:t>
      </w:r>
    </w:p>
    <w:p w:rsidR="00E17771" w:rsidRPr="008F5051" w:rsidRDefault="00E17771" w:rsidP="000E7CA2">
      <w:pPr>
        <w:pStyle w:val="ListBullet"/>
        <w:ind w:left="1491" w:hanging="357"/>
      </w:pPr>
      <w:r w:rsidRPr="008F5051">
        <w:t>ALT/AST &gt; 5</w:t>
      </w:r>
      <w:r w:rsidR="00DE0015">
        <w:t> </w:t>
      </w:r>
      <w:r w:rsidRPr="008F5051">
        <w:t>x ULN; permanently discontinue.</w:t>
      </w:r>
    </w:p>
    <w:p w:rsidR="00E17771" w:rsidRPr="007F32BD" w:rsidRDefault="00E17771" w:rsidP="008F5051">
      <w:pPr>
        <w:pStyle w:val="Heading4"/>
      </w:pPr>
      <w:bookmarkStart w:id="260" w:name="_Toc272414682"/>
      <w:bookmarkStart w:id="261" w:name="_Toc290846320"/>
      <w:bookmarkStart w:id="262" w:name="_Toc430785415"/>
      <w:r w:rsidRPr="007F32BD">
        <w:t>Haematological toxicity</w:t>
      </w:r>
      <w:bookmarkEnd w:id="260"/>
      <w:bookmarkEnd w:id="261"/>
      <w:bookmarkEnd w:id="262"/>
    </w:p>
    <w:p w:rsidR="00E17771" w:rsidRPr="008F5051" w:rsidRDefault="00E17771" w:rsidP="008F5051">
      <w:r w:rsidRPr="008F5051">
        <w:t>There were occasional reports of haematological abnormalities in the</w:t>
      </w:r>
      <w:r w:rsidR="008F5051" w:rsidRPr="008F5051">
        <w:t xml:space="preserve"> clinical development program. </w:t>
      </w:r>
      <w:r w:rsidRPr="008F5051">
        <w:t>There were 3 reports of SAE of agranulocytosis in the post-marketing experience (as of 28 February 2014). Each event occurred within 2 months after the start of pirfenidone treatment.</w:t>
      </w:r>
      <w:r w:rsidR="005D2037">
        <w:t xml:space="preserve"> </w:t>
      </w:r>
      <w:r w:rsidRPr="008F5051">
        <w:t>Each patient</w:t>
      </w:r>
      <w:r w:rsidR="008F5051" w:rsidRPr="008F5051">
        <w:t>’</w:t>
      </w:r>
      <w:r w:rsidRPr="008F5051">
        <w:t>s neutrophil count normalized wh</w:t>
      </w:r>
      <w:r w:rsidR="008F5051" w:rsidRPr="008F5051">
        <w:t>en pirfenidone was discontinued.</w:t>
      </w:r>
    </w:p>
    <w:p w:rsidR="00E17771" w:rsidRPr="008F5051" w:rsidRDefault="00E17771" w:rsidP="008F5051">
      <w:pPr>
        <w:pStyle w:val="Heading4"/>
      </w:pPr>
      <w:bookmarkStart w:id="263" w:name="_Toc272414683"/>
      <w:bookmarkStart w:id="264" w:name="_Toc290846321"/>
      <w:bookmarkStart w:id="265" w:name="_Toc430785416"/>
      <w:r w:rsidRPr="008F5051">
        <w:t>Serious skin reactions</w:t>
      </w:r>
      <w:bookmarkEnd w:id="263"/>
      <w:bookmarkEnd w:id="264"/>
      <w:bookmarkEnd w:id="265"/>
    </w:p>
    <w:p w:rsidR="00E17771" w:rsidRPr="007F32BD" w:rsidRDefault="00E17771" w:rsidP="008F5051">
      <w:r w:rsidRPr="008F5051">
        <w:t xml:space="preserve">Photosensitivity reaction was reported for 9.3% of pirfenidone patients and 1.1% of placebo patients in the randomised patient subset, most within the </w:t>
      </w:r>
      <w:r w:rsidR="008F5051">
        <w:t>initial 6 months.</w:t>
      </w:r>
      <w:r w:rsidRPr="008F5051">
        <w:t xml:space="preserve"> In the pirfenidone group, one patient had a TE SAE. Rash was reported for 30.3% of pirfenidone patients (1 patient had SAE) and 10.3% of placebo patients. The narratives for patients with individual skin SAEs were not accessible. The PI notes that patients must be protected from sunlight.</w:t>
      </w:r>
    </w:p>
    <w:p w:rsidR="00E17771" w:rsidRPr="008F5051" w:rsidRDefault="00E17771" w:rsidP="008F5051">
      <w:pPr>
        <w:pStyle w:val="Heading4"/>
      </w:pPr>
      <w:bookmarkStart w:id="266" w:name="_Toc272414684"/>
      <w:bookmarkStart w:id="267" w:name="_Toc290846322"/>
      <w:bookmarkStart w:id="268" w:name="_Toc430785417"/>
      <w:r w:rsidRPr="008F5051">
        <w:t>Cardiovascular safety</w:t>
      </w:r>
      <w:bookmarkEnd w:id="266"/>
      <w:bookmarkEnd w:id="267"/>
      <w:bookmarkEnd w:id="268"/>
    </w:p>
    <w:p w:rsidR="00E17771" w:rsidRPr="008F5051" w:rsidRDefault="00E17771" w:rsidP="008F5051">
      <w:r w:rsidRPr="008F5051">
        <w:t xml:space="preserve">In cumulative data for the randomised patient subset there was an imbalance in cardiac arrhythmias (SMQ) (pirfenidone14.4% </w:t>
      </w:r>
      <w:r w:rsidR="000B6AC6" w:rsidRPr="008F5051">
        <w:t>versus</w:t>
      </w:r>
      <w:r w:rsidRPr="008F5051">
        <w:t xml:space="preserve"> 8% placebo) and valvular incompetence (1.1% </w:t>
      </w:r>
      <w:r w:rsidR="000B6AC6" w:rsidRPr="008F5051">
        <w:t>versus</w:t>
      </w:r>
      <w:r w:rsidRPr="008F5051">
        <w:t xml:space="preserve"> 0.6%; 1 SAE of mitral valve incompetence in a patient on pirfenidone). Types of arrhythmia events were diverse and numbers were low for specific events. </w:t>
      </w:r>
      <w:r w:rsidR="008F5051" w:rsidRPr="008F5051">
        <w:t>T</w:t>
      </w:r>
      <w:r w:rsidRPr="008F5051">
        <w:t xml:space="preserve">he pirfenidone group recorded 1 death (myocardial infarction) </w:t>
      </w:r>
      <w:r w:rsidR="000B6AC6" w:rsidRPr="008F5051">
        <w:t>versus</w:t>
      </w:r>
      <w:r w:rsidRPr="008F5051">
        <w:t xml:space="preserve"> 4 deaths from cardiac disorders in the placebo group, with an additional death in the placebo group assessed by MAC as sudden cardiac death. In the cumulative pirfenidone patient subset 13 additional cardiac deaths were identified in the long-term safety studies PIPF</w:t>
      </w:r>
      <w:r w:rsidR="008F5051">
        <w:noBreakHyphen/>
        <w:t>002 and PIPF</w:t>
      </w:r>
      <w:r w:rsidR="008F5051">
        <w:noBreakHyphen/>
      </w:r>
      <w:r w:rsidRPr="008F5051">
        <w:t xml:space="preserve">012, all with a medical history of cardiac disease or risk factors </w:t>
      </w:r>
      <w:r w:rsidR="008F5051">
        <w:t>prior to pirfenidone treatment.</w:t>
      </w:r>
    </w:p>
    <w:p w:rsidR="00E17771" w:rsidRPr="008F5051" w:rsidRDefault="00E17771" w:rsidP="008F5051">
      <w:r w:rsidRPr="008F5051">
        <w:t>Review by independent cardiology experts concluded that there was no clear evidence of an effect of pirfenidone on heart rate, cardiac depolarization, QT prolongation, or e</w:t>
      </w:r>
      <w:r w:rsidR="008F5051">
        <w:t>lectrocardiographic morphology.</w:t>
      </w:r>
    </w:p>
    <w:p w:rsidR="00E17771" w:rsidRPr="008F5051" w:rsidRDefault="00E17771" w:rsidP="008F5051">
      <w:pPr>
        <w:pStyle w:val="Heading4"/>
      </w:pPr>
      <w:bookmarkStart w:id="269" w:name="_Toc241374323"/>
      <w:bookmarkStart w:id="270" w:name="_Toc272414685"/>
      <w:bookmarkStart w:id="271" w:name="_Toc290846323"/>
      <w:bookmarkStart w:id="272" w:name="_Toc430785418"/>
      <w:r w:rsidRPr="008F5051">
        <w:t>Unwanted immunological events</w:t>
      </w:r>
      <w:bookmarkEnd w:id="269"/>
      <w:bookmarkEnd w:id="270"/>
      <w:bookmarkEnd w:id="271"/>
      <w:bookmarkEnd w:id="272"/>
    </w:p>
    <w:p w:rsidR="00E17771" w:rsidRPr="008F5051" w:rsidRDefault="00E17771" w:rsidP="008F5051">
      <w:r w:rsidRPr="008F5051">
        <w:t>There were 14 reports of angioedema in the post-marketing experience (as of 28 February 2014). All occurred within 3 months after the start of pirfenidone treatment. A majority of the cases were considered serious but each patient improved wh</w:t>
      </w:r>
      <w:r w:rsidR="008F5051">
        <w:t>en pirfenidone was discontinued.</w:t>
      </w:r>
    </w:p>
    <w:p w:rsidR="00E17771" w:rsidRPr="007F32BD" w:rsidRDefault="008F5051" w:rsidP="008F5051">
      <w:pPr>
        <w:pStyle w:val="Heading3"/>
      </w:pPr>
      <w:bookmarkStart w:id="273" w:name="_Toc241374322"/>
      <w:bookmarkStart w:id="274" w:name="_Ref272331212"/>
      <w:bookmarkStart w:id="275" w:name="_Toc272414687"/>
      <w:bookmarkStart w:id="276" w:name="_Toc290846325"/>
      <w:bookmarkStart w:id="277" w:name="_Toc430785420"/>
      <w:bookmarkStart w:id="278" w:name="_Toc459987002"/>
      <w:r>
        <w:t xml:space="preserve">Safety </w:t>
      </w:r>
      <w:r w:rsidR="00E17771" w:rsidRPr="007F32BD">
        <w:t>in special populations</w:t>
      </w:r>
      <w:bookmarkEnd w:id="273"/>
      <w:bookmarkEnd w:id="274"/>
      <w:bookmarkEnd w:id="275"/>
      <w:bookmarkEnd w:id="276"/>
      <w:bookmarkEnd w:id="277"/>
      <w:bookmarkEnd w:id="278"/>
    </w:p>
    <w:p w:rsidR="00E17771" w:rsidRPr="007F32BD" w:rsidRDefault="00E17771" w:rsidP="008F5051">
      <w:pPr>
        <w:pStyle w:val="Heading4"/>
      </w:pPr>
      <w:r w:rsidRPr="007F32BD">
        <w:t>Hepatic impairment</w:t>
      </w:r>
    </w:p>
    <w:p w:rsidR="00E17771" w:rsidRPr="008F5051" w:rsidRDefault="00E17771" w:rsidP="008F5051">
      <w:r w:rsidRPr="008F5051">
        <w:t xml:space="preserve">In the randomised patient subset, the proportion of patients with baseline hepatic impairment was relatively low, about 10 % in the Phase </w:t>
      </w:r>
      <w:r w:rsidR="00DE0015">
        <w:t>III</w:t>
      </w:r>
      <w:r w:rsidRPr="008F5051">
        <w:t xml:space="preserve"> studies. </w:t>
      </w:r>
      <w:r w:rsidR="008F5051">
        <w:t>Data submitted stated</w:t>
      </w:r>
      <w:r w:rsidRPr="008F5051">
        <w:t xml:space="preserve"> there overall there were no consistent differences in AEs between patients with normal and impaired hepatic function at baseline, although source </w:t>
      </w:r>
      <w:r w:rsidR="008F5051">
        <w:t>tables show increases in some patient</w:t>
      </w:r>
      <w:r w:rsidRPr="008F5051">
        <w:t>s and increased discontinuations with baseline hepatic abnormality</w:t>
      </w:r>
      <w:r w:rsidR="008F5051">
        <w:t xml:space="preserve">. </w:t>
      </w:r>
      <w:r w:rsidRPr="008F5051">
        <w:t>Although no dose adjustment is proposed in mild to moderate hepatic impairment, it is proposed that pirfenidone ‘should be used with caution</w:t>
      </w:r>
      <w:r w:rsidR="008F5051">
        <w:t>’.</w:t>
      </w:r>
    </w:p>
    <w:p w:rsidR="00E17771" w:rsidRPr="008F5051" w:rsidRDefault="00E17771" w:rsidP="008F5051">
      <w:pPr>
        <w:pStyle w:val="Heading4"/>
      </w:pPr>
      <w:r w:rsidRPr="008F5051">
        <w:lastRenderedPageBreak/>
        <w:t>Renal impairment</w:t>
      </w:r>
    </w:p>
    <w:p w:rsidR="00E17771" w:rsidRPr="008F5051" w:rsidRDefault="00E17771" w:rsidP="008F5051">
      <w:r w:rsidRPr="008F5051">
        <w:t>Patients with mild to moderate renal impairment were well represented in the randomis</w:t>
      </w:r>
      <w:r w:rsidR="008F5051">
        <w:t xml:space="preserve">ed patient subset. </w:t>
      </w:r>
      <w:r w:rsidRPr="008F5051">
        <w:t>While the frequency of AEs was slightly higher in these patients compared to those with normal renal function, a similar pattern was observed in both the pirfenidone</w:t>
      </w:r>
      <w:r w:rsidR="008F5051">
        <w:t xml:space="preserve"> and placebo treated patients.</w:t>
      </w:r>
    </w:p>
    <w:p w:rsidR="00E17771" w:rsidRPr="008F5051" w:rsidRDefault="00E17771" w:rsidP="00C03BC9">
      <w:pPr>
        <w:pStyle w:val="Heading4"/>
      </w:pPr>
      <w:bookmarkStart w:id="279" w:name="_Toc430785421"/>
      <w:bookmarkStart w:id="280" w:name="_Toc241374324"/>
      <w:bookmarkStart w:id="281" w:name="_Ref272331214"/>
      <w:bookmarkStart w:id="282" w:name="_Toc272414688"/>
      <w:bookmarkStart w:id="283" w:name="_Toc290846326"/>
      <w:r w:rsidRPr="008F5051">
        <w:t xml:space="preserve">Safety related to </w:t>
      </w:r>
      <w:bookmarkEnd w:id="279"/>
      <w:bookmarkEnd w:id="280"/>
      <w:bookmarkEnd w:id="281"/>
      <w:bookmarkEnd w:id="282"/>
      <w:bookmarkEnd w:id="283"/>
      <w:r w:rsidR="008F5051" w:rsidRPr="008F5051">
        <w:t>drug interactions</w:t>
      </w:r>
    </w:p>
    <w:p w:rsidR="00E17771" w:rsidRPr="007F32BD" w:rsidRDefault="00C03BC9" w:rsidP="00E17771">
      <w:pPr>
        <w:autoSpaceDE w:val="0"/>
        <w:autoSpaceDN w:val="0"/>
        <w:adjustRightInd w:val="0"/>
      </w:pPr>
      <w:r>
        <w:t>As mentioned in reference to PK data (see section: Pharmacokinetics above) i</w:t>
      </w:r>
      <w:r w:rsidR="00E17771">
        <w:t xml:space="preserve">t is proposed to </w:t>
      </w:r>
      <w:r w:rsidR="00E17771" w:rsidRPr="003465E9">
        <w:t>contraindicate use with fluvoxamine, and recommend dose mo</w:t>
      </w:r>
      <w:r>
        <w:t>dification with ciprofloxacin.</w:t>
      </w:r>
    </w:p>
    <w:p w:rsidR="00E17771" w:rsidRPr="007F32BD" w:rsidRDefault="00E17771" w:rsidP="00C03BC9">
      <w:pPr>
        <w:pStyle w:val="Heading4"/>
      </w:pPr>
      <w:bookmarkStart w:id="284" w:name="_Toc430785422"/>
      <w:r w:rsidRPr="007F32BD">
        <w:t>Other events identified as of special interest</w:t>
      </w:r>
      <w:bookmarkEnd w:id="284"/>
    </w:p>
    <w:p w:rsidR="00E17771" w:rsidRPr="00C03BC9" w:rsidRDefault="00E17771" w:rsidP="00C03BC9">
      <w:r w:rsidRPr="00C03BC9">
        <w:t>As noted, GI symptoms were common and more frequent compared to placebo, mostly within first 3 months. Events generally were mild</w:t>
      </w:r>
      <w:r w:rsidR="0045527B">
        <w:t xml:space="preserve"> </w:t>
      </w:r>
      <w:r w:rsidRPr="00C03BC9">
        <w:t>to</w:t>
      </w:r>
      <w:r w:rsidR="0045527B">
        <w:t xml:space="preserve"> </w:t>
      </w:r>
      <w:r w:rsidRPr="00C03BC9">
        <w:t>moderate, without clinically significant effects following dose modification. The cause is not fully understood; a possible effect on gastric and intestinal motility was suggested.</w:t>
      </w:r>
    </w:p>
    <w:p w:rsidR="00E17771" w:rsidRPr="00C03BC9" w:rsidRDefault="00E17771" w:rsidP="00C03BC9">
      <w:r w:rsidRPr="00C03BC9">
        <w:t xml:space="preserve">Dizziness was observed more frequently with pirfenidone treatment than placebo (18.0% </w:t>
      </w:r>
      <w:r w:rsidR="000B6AC6" w:rsidRPr="00C03BC9">
        <w:t>versus</w:t>
      </w:r>
      <w:r w:rsidRPr="00C03BC9">
        <w:t xml:space="preserve"> 11.4%). The majority of patients who reported dizziness first did so within the initial three months of treatment. Falls were infrequent but more common in pirfenidone patients (2.4% </w:t>
      </w:r>
      <w:r w:rsidR="000B6AC6" w:rsidRPr="00C03BC9">
        <w:t>versus</w:t>
      </w:r>
      <w:r w:rsidRPr="00C03BC9">
        <w:t xml:space="preserve"> 1.4%). Of the pirfenidone treated patients who reported dizziness, 5.4% experienced a fall at some time after the first report of dizziness.</w:t>
      </w:r>
    </w:p>
    <w:p w:rsidR="00E17771" w:rsidRPr="00C03BC9" w:rsidRDefault="00E17771" w:rsidP="00C03BC9">
      <w:r w:rsidRPr="00C03BC9">
        <w:t xml:space="preserve">Fatigue was more common with pirfenidone (26% </w:t>
      </w:r>
      <w:r w:rsidR="000B6AC6" w:rsidRPr="00C03BC9">
        <w:t>versus</w:t>
      </w:r>
      <w:r w:rsidRPr="00C03BC9">
        <w:t xml:space="preserve"> 19%), however generally benign and reported in the first 9 months. It is identified in the PI under Adverse events. Of note, in the </w:t>
      </w:r>
      <w:r w:rsidR="00C03BC9">
        <w:t xml:space="preserve">EU EMA </w:t>
      </w:r>
      <w:r w:rsidRPr="00C03BC9">
        <w:t>SPC</w:t>
      </w:r>
      <w:r w:rsidR="00C03BC9">
        <w:t>,</w:t>
      </w:r>
      <w:r w:rsidRPr="00C03BC9">
        <w:t xml:space="preserve"> dizziness and fatigue are mentioned as potentially influencing ability to drive or operate machinery.</w:t>
      </w:r>
    </w:p>
    <w:p w:rsidR="003654FB" w:rsidRDefault="00E17771" w:rsidP="00C03BC9">
      <w:r w:rsidRPr="00C03BC9">
        <w:t xml:space="preserve">Anorexia was more common with pirfenidone (13% </w:t>
      </w:r>
      <w:r w:rsidR="000B6AC6" w:rsidRPr="00C03BC9">
        <w:t>versus</w:t>
      </w:r>
      <w:r w:rsidRPr="00C03BC9">
        <w:t xml:space="preserve"> 5% fo</w:t>
      </w:r>
      <w:r w:rsidR="00C03BC9">
        <w:t>r likely drug</w:t>
      </w:r>
      <w:r w:rsidR="003654FB">
        <w:t xml:space="preserve"> </w:t>
      </w:r>
      <w:r w:rsidR="00C03BC9">
        <w:t>related events).</w:t>
      </w:r>
    </w:p>
    <w:p w:rsidR="00E17771" w:rsidRDefault="003654FB" w:rsidP="00C03BC9">
      <w:r>
        <w:t>W</w:t>
      </w:r>
      <w:r w:rsidR="00E17771" w:rsidRPr="00C03BC9">
        <w:t>eight loss was also more frequent in the pirfenidone groups compared to placebo.</w:t>
      </w:r>
    </w:p>
    <w:p w:rsidR="003654FB" w:rsidRDefault="003654FB">
      <w:pPr>
        <w:pStyle w:val="Heading4"/>
      </w:pPr>
      <w:r w:rsidRPr="003654FB">
        <w:t>Other safety issues</w:t>
      </w:r>
    </w:p>
    <w:p w:rsidR="00E17771" w:rsidRDefault="00E17771" w:rsidP="00E17771">
      <w:pPr>
        <w:autoSpaceDE w:val="0"/>
        <w:autoSpaceDN w:val="0"/>
        <w:adjustRightInd w:val="0"/>
      </w:pPr>
      <w:r w:rsidRPr="004C1C8A">
        <w:t>There is li</w:t>
      </w:r>
      <w:r>
        <w:t xml:space="preserve">ttle if any experience with high doses or </w:t>
      </w:r>
      <w:r w:rsidRPr="004C1C8A">
        <w:t>overdose</w:t>
      </w:r>
      <w:r>
        <w:t xml:space="preserve"> in the clinical setting</w:t>
      </w:r>
      <w:r w:rsidR="00C03BC9">
        <w:t>.</w:t>
      </w:r>
    </w:p>
    <w:p w:rsidR="00E17771" w:rsidRPr="007F32BD" w:rsidRDefault="00E17771" w:rsidP="00E17771">
      <w:pPr>
        <w:autoSpaceDE w:val="0"/>
        <w:autoSpaceDN w:val="0"/>
        <w:adjustRightInd w:val="0"/>
      </w:pPr>
      <w:r>
        <w:t>The last part of the trade</w:t>
      </w:r>
      <w:r w:rsidR="00114915">
        <w:t xml:space="preserve"> </w:t>
      </w:r>
      <w:r>
        <w:t xml:space="preserve">name is the same as </w:t>
      </w:r>
      <w:r w:rsidRPr="00C65495">
        <w:t xml:space="preserve">registered product rabeprazole </w:t>
      </w:r>
      <w:r>
        <w:t>10 mg</w:t>
      </w:r>
      <w:r w:rsidR="00C03BC9">
        <w:t xml:space="preserve"> or 20 mg trade</w:t>
      </w:r>
      <w:r w:rsidR="00114915">
        <w:t xml:space="preserve"> </w:t>
      </w:r>
      <w:r w:rsidR="00C03BC9">
        <w:t xml:space="preserve">name, ‘Pariet’. </w:t>
      </w:r>
      <w:r>
        <w:t>However ‘Esbriet’ 267 mg appears</w:t>
      </w:r>
      <w:r w:rsidRPr="00C65495">
        <w:t xml:space="preserve"> unlikely to </w:t>
      </w:r>
      <w:r>
        <w:t xml:space="preserve">be associated with a high risk of </w:t>
      </w:r>
      <w:r w:rsidRPr="00C65495">
        <w:t>errors</w:t>
      </w:r>
      <w:r>
        <w:t xml:space="preserve"> in transcript</w:t>
      </w:r>
      <w:r w:rsidR="00C03BC9">
        <w:t>ion, prescribing or dispensing.</w:t>
      </w:r>
    </w:p>
    <w:p w:rsidR="00E17771" w:rsidRPr="007F32BD" w:rsidRDefault="00E17771" w:rsidP="00C03BC9">
      <w:pPr>
        <w:pStyle w:val="Heading3"/>
      </w:pPr>
      <w:bookmarkStart w:id="285" w:name="_Toc241374328"/>
      <w:bookmarkStart w:id="286" w:name="_Toc272414691"/>
      <w:bookmarkStart w:id="287" w:name="_Toc290846329"/>
      <w:bookmarkStart w:id="288" w:name="_Toc430785424"/>
      <w:bookmarkStart w:id="289" w:name="_Toc459987003"/>
      <w:r w:rsidRPr="007F32BD">
        <w:t>Evaluator’s overall conclusions on clinical safety</w:t>
      </w:r>
      <w:bookmarkEnd w:id="285"/>
      <w:bookmarkEnd w:id="286"/>
      <w:bookmarkEnd w:id="287"/>
      <w:bookmarkEnd w:id="288"/>
      <w:bookmarkEnd w:id="289"/>
    </w:p>
    <w:p w:rsidR="00E17771" w:rsidRPr="007F32BD" w:rsidRDefault="00E17771" w:rsidP="00E17771">
      <w:pPr>
        <w:autoSpaceDE w:val="0"/>
        <w:autoSpaceDN w:val="0"/>
        <w:adjustRightInd w:val="0"/>
      </w:pPr>
      <w:r>
        <w:t>Overall the data indicated</w:t>
      </w:r>
      <w:r w:rsidRPr="007F32BD">
        <w:t xml:space="preserve"> </w:t>
      </w:r>
      <w:r>
        <w:t xml:space="preserve">a well characterised and </w:t>
      </w:r>
      <w:r w:rsidRPr="007F32BD">
        <w:t>acceptable safety profile for IPF patients, although monitoring and effective management of adverse events will be required</w:t>
      </w:r>
      <w:r>
        <w:t>.</w:t>
      </w:r>
      <w:r w:rsidRPr="007F32BD">
        <w:t xml:space="preserve"> </w:t>
      </w:r>
      <w:r w:rsidR="00C03BC9">
        <w:t>Dose </w:t>
      </w:r>
      <w:r>
        <w:t xml:space="preserve">adjustments may be needed soon after initiation and this is important </w:t>
      </w:r>
      <w:r w:rsidRPr="007F32BD">
        <w:t>for the proposed us</w:t>
      </w:r>
      <w:r>
        <w:t>ag</w:t>
      </w:r>
      <w:r w:rsidRPr="007F32BD">
        <w:t>e</w:t>
      </w:r>
      <w:r>
        <w:t>.</w:t>
      </w:r>
    </w:p>
    <w:p w:rsidR="00E17771" w:rsidRDefault="00E17771" w:rsidP="00E17771">
      <w:pPr>
        <w:autoSpaceDE w:val="0"/>
        <w:autoSpaceDN w:val="0"/>
        <w:adjustRightInd w:val="0"/>
      </w:pPr>
      <w:r w:rsidRPr="007F32BD">
        <w:t>Occurrence of common AEs such as GI and CNS responses may be amenable to measures to improve tolera</w:t>
      </w:r>
      <w:r>
        <w:t>bility,</w:t>
      </w:r>
      <w:r w:rsidRPr="007F32BD">
        <w:t xml:space="preserve"> such as dose escalation and dosing wit</w:t>
      </w:r>
      <w:r>
        <w:t>h food as recommended in the PI.</w:t>
      </w:r>
      <w:r w:rsidRPr="007F32BD">
        <w:t xml:space="preserve"> </w:t>
      </w:r>
      <w:r>
        <w:t>D</w:t>
      </w:r>
      <w:r w:rsidRPr="007F32BD">
        <w:t>ose reduction</w:t>
      </w:r>
      <w:r>
        <w:t xml:space="preserve"> or interruption might be required to allow recovery and subsequent dose titration</w:t>
      </w:r>
      <w:r w:rsidR="00C03BC9">
        <w:t xml:space="preserve">. </w:t>
      </w:r>
      <w:r w:rsidRPr="007F32BD">
        <w:t>Some AEs require prompt assessment to avoi</w:t>
      </w:r>
      <w:r>
        <w:t>d serious clinical consequences.</w:t>
      </w:r>
      <w:r w:rsidRPr="007F32BD">
        <w:t xml:space="preserve"> </w:t>
      </w:r>
      <w:r>
        <w:t>T</w:t>
      </w:r>
      <w:r w:rsidRPr="007F32BD">
        <w:t xml:space="preserve">he onset of </w:t>
      </w:r>
      <w:r>
        <w:t>an</w:t>
      </w:r>
      <w:r w:rsidRPr="007F32BD">
        <w:t xml:space="preserve"> adverse event need</w:t>
      </w:r>
      <w:r>
        <w:t>s</w:t>
      </w:r>
      <w:r w:rsidRPr="007F32BD">
        <w:t xml:space="preserve"> to be recognised as a potential reaction to pirfenidone that might require discontinuation or dose reduction.</w:t>
      </w:r>
    </w:p>
    <w:p w:rsidR="00C22678" w:rsidRDefault="00C22678" w:rsidP="00C22678">
      <w:pPr>
        <w:pStyle w:val="Heading2"/>
      </w:pPr>
      <w:bookmarkStart w:id="290" w:name="_Toc459987004"/>
      <w:r>
        <w:lastRenderedPageBreak/>
        <w:t>First round benefit-risk assessment</w:t>
      </w:r>
      <w:bookmarkEnd w:id="290"/>
    </w:p>
    <w:p w:rsidR="00C03BC9" w:rsidRPr="00E20E6F" w:rsidRDefault="00C03BC9" w:rsidP="00E20E6F">
      <w:pPr>
        <w:pStyle w:val="Heading3"/>
      </w:pPr>
      <w:bookmarkStart w:id="291" w:name="_Toc430785426"/>
      <w:bookmarkStart w:id="292" w:name="_Toc290846331"/>
      <w:bookmarkStart w:id="293" w:name="_Toc272414693"/>
      <w:bookmarkStart w:id="294" w:name="_Ref272160836"/>
      <w:bookmarkStart w:id="295" w:name="_Toc241374331"/>
      <w:bookmarkStart w:id="296" w:name="_Toc236802592"/>
      <w:bookmarkStart w:id="297" w:name="_Toc459987005"/>
      <w:r w:rsidRPr="00E20E6F">
        <w:t>First round assessment of benefits</w:t>
      </w:r>
      <w:bookmarkEnd w:id="291"/>
      <w:bookmarkEnd w:id="292"/>
      <w:bookmarkEnd w:id="293"/>
      <w:bookmarkEnd w:id="294"/>
      <w:bookmarkEnd w:id="295"/>
      <w:bookmarkEnd w:id="296"/>
      <w:bookmarkEnd w:id="297"/>
    </w:p>
    <w:p w:rsidR="00C03BC9" w:rsidRPr="00E20E6F" w:rsidRDefault="00C03BC9" w:rsidP="00E20E6F">
      <w:r w:rsidRPr="00E20E6F">
        <w:t>The benefits of pirfenidone in the proposed usage in patients with IPF include:</w:t>
      </w:r>
    </w:p>
    <w:p w:rsidR="00C03BC9" w:rsidRPr="00E20E6F" w:rsidRDefault="003654FB" w:rsidP="00E20E6F">
      <w:pPr>
        <w:pStyle w:val="ListBullet"/>
      </w:pPr>
      <w:r>
        <w:t>r</w:t>
      </w:r>
      <w:r w:rsidR="00E20E6F">
        <w:t xml:space="preserve">eduction in the decline of </w:t>
      </w:r>
      <w:r w:rsidR="00C03BC9" w:rsidRPr="00E20E6F">
        <w:t>percent predicted FVC</w:t>
      </w:r>
    </w:p>
    <w:p w:rsidR="00C03BC9" w:rsidRPr="00E20E6F" w:rsidRDefault="00C03BC9" w:rsidP="00E20E6F">
      <w:pPr>
        <w:pStyle w:val="ListBullet"/>
      </w:pPr>
      <w:r w:rsidRPr="00E20E6F">
        <w:t>increased proportion of patients wi</w:t>
      </w:r>
      <w:r w:rsidR="00E20E6F">
        <w:t>th improved exercise tolerance, (for example 6</w:t>
      </w:r>
      <w:r w:rsidR="003654FB">
        <w:t xml:space="preserve"> </w:t>
      </w:r>
      <w:r w:rsidRPr="00E20E6F">
        <w:t>MWT</w:t>
      </w:r>
      <w:r w:rsidR="00E20E6F">
        <w:t>)</w:t>
      </w:r>
    </w:p>
    <w:p w:rsidR="00C03BC9" w:rsidRPr="00E20E6F" w:rsidRDefault="00E20E6F" w:rsidP="00E20E6F">
      <w:pPr>
        <w:pStyle w:val="ListBullet"/>
      </w:pPr>
      <w:r>
        <w:t xml:space="preserve">in </w:t>
      </w:r>
      <w:r w:rsidR="00C03BC9" w:rsidRPr="00E20E6F">
        <w:t>pooled analyses, suggestion of reduction in mortality</w:t>
      </w:r>
      <w:r>
        <w:t>.</w:t>
      </w:r>
    </w:p>
    <w:p w:rsidR="00C03BC9" w:rsidRPr="00E20E6F" w:rsidRDefault="00C03BC9" w:rsidP="00E20E6F">
      <w:pPr>
        <w:pStyle w:val="Heading3"/>
      </w:pPr>
      <w:bookmarkStart w:id="298" w:name="_Toc430785427"/>
      <w:bookmarkStart w:id="299" w:name="_Toc290846332"/>
      <w:bookmarkStart w:id="300" w:name="_Toc272414694"/>
      <w:bookmarkStart w:id="301" w:name="_Ref272160964"/>
      <w:bookmarkStart w:id="302" w:name="_Toc241374334"/>
      <w:bookmarkStart w:id="303" w:name="_Toc236802596"/>
      <w:bookmarkStart w:id="304" w:name="_Toc459987006"/>
      <w:r w:rsidRPr="00E20E6F">
        <w:t>First round assessment of risks</w:t>
      </w:r>
      <w:bookmarkEnd w:id="298"/>
      <w:bookmarkEnd w:id="299"/>
      <w:bookmarkEnd w:id="300"/>
      <w:bookmarkEnd w:id="301"/>
      <w:bookmarkEnd w:id="302"/>
      <w:bookmarkEnd w:id="303"/>
      <w:bookmarkEnd w:id="304"/>
    </w:p>
    <w:p w:rsidR="00C03BC9" w:rsidRPr="00E20E6F" w:rsidRDefault="00C03BC9" w:rsidP="00E20E6F">
      <w:r w:rsidRPr="00E20E6F">
        <w:t>The risks of pirfenidone in the proposed usage are:</w:t>
      </w:r>
    </w:p>
    <w:p w:rsidR="00C03BC9" w:rsidRPr="00E20E6F" w:rsidRDefault="00E20E6F" w:rsidP="00E20E6F">
      <w:pPr>
        <w:pStyle w:val="ListBullet"/>
      </w:pPr>
      <w:r>
        <w:t>W</w:t>
      </w:r>
      <w:r w:rsidR="00C03BC9" w:rsidRPr="00E20E6F">
        <w:t>ell characterised GI, CNS and hepatic adverse events that can generally be managed in clinical practice</w:t>
      </w:r>
    </w:p>
    <w:p w:rsidR="00C03BC9" w:rsidRPr="00E20E6F" w:rsidRDefault="00E20E6F" w:rsidP="00E20E6F">
      <w:pPr>
        <w:pStyle w:val="ListBullet"/>
      </w:pPr>
      <w:r>
        <w:t>drug interactions.</w:t>
      </w:r>
    </w:p>
    <w:p w:rsidR="00C03BC9" w:rsidRPr="00E20E6F" w:rsidRDefault="00C03BC9" w:rsidP="00E20E6F">
      <w:pPr>
        <w:pStyle w:val="Heading3"/>
      </w:pPr>
      <w:bookmarkStart w:id="305" w:name="_Toc430785428"/>
      <w:bookmarkStart w:id="306" w:name="_Toc290846333"/>
      <w:bookmarkStart w:id="307" w:name="_Toc272414695"/>
      <w:bookmarkStart w:id="308" w:name="_Toc241374335"/>
      <w:bookmarkStart w:id="309" w:name="_Toc236802597"/>
      <w:bookmarkStart w:id="310" w:name="_Toc459987007"/>
      <w:r w:rsidRPr="00E20E6F">
        <w:t>First round assessment of benefit-risk balance</w:t>
      </w:r>
      <w:bookmarkEnd w:id="305"/>
      <w:bookmarkEnd w:id="306"/>
      <w:bookmarkEnd w:id="307"/>
      <w:bookmarkEnd w:id="308"/>
      <w:bookmarkEnd w:id="309"/>
      <w:bookmarkEnd w:id="310"/>
    </w:p>
    <w:p w:rsidR="00C03BC9" w:rsidRPr="00E20E6F" w:rsidRDefault="00C03BC9" w:rsidP="00E20E6F">
      <w:r w:rsidRPr="00E20E6F">
        <w:t>The benefit</w:t>
      </w:r>
      <w:r w:rsidR="00E20E6F">
        <w:noBreakHyphen/>
      </w:r>
      <w:r w:rsidRPr="00E20E6F">
        <w:t>risk balance of pirfenidone, given the proposed usage, is favourable at Round 1.</w:t>
      </w:r>
    </w:p>
    <w:p w:rsidR="00C22678" w:rsidRDefault="00C22678" w:rsidP="00C22678">
      <w:pPr>
        <w:pStyle w:val="Heading2"/>
      </w:pPr>
      <w:bookmarkStart w:id="311" w:name="_Toc459987008"/>
      <w:r>
        <w:t>First round recommendation regarding authorisation</w:t>
      </w:r>
      <w:bookmarkEnd w:id="311"/>
    </w:p>
    <w:p w:rsidR="009D25C5" w:rsidRPr="009D25C5" w:rsidRDefault="003463B7" w:rsidP="009D25C5">
      <w:r>
        <w:t>According to the clinical evaluator, a</w:t>
      </w:r>
      <w:r w:rsidR="009D25C5">
        <w:t>t Round 1, recommendation for registration of pirfenidone for IPF is expected, subject to responses to questions and satisfactory amendments to the PI.</w:t>
      </w:r>
    </w:p>
    <w:p w:rsidR="00EC41F9" w:rsidRDefault="00EC41F9" w:rsidP="00EC41F9">
      <w:pPr>
        <w:pStyle w:val="Heading3"/>
      </w:pPr>
      <w:bookmarkStart w:id="312" w:name="_Ref290645401"/>
      <w:bookmarkStart w:id="313" w:name="_Toc430785441"/>
      <w:bookmarkStart w:id="314" w:name="_Toc290850114"/>
      <w:bookmarkStart w:id="315" w:name="_Toc290849963"/>
      <w:bookmarkStart w:id="316" w:name="_Toc459987009"/>
      <w:r>
        <w:t xml:space="preserve">First round comments on clinical aspects of the Safety Specification in the draft </w:t>
      </w:r>
      <w:bookmarkEnd w:id="312"/>
      <w:r>
        <w:t>RMP</w:t>
      </w:r>
      <w:bookmarkEnd w:id="313"/>
      <w:bookmarkEnd w:id="314"/>
      <w:bookmarkEnd w:id="315"/>
      <w:bookmarkEnd w:id="316"/>
    </w:p>
    <w:p w:rsidR="00EC41F9" w:rsidRDefault="00EC41F9" w:rsidP="00EC41F9">
      <w:r>
        <w:t xml:space="preserve">The Safety Specification in the draft Risk Management Plan is essentially based on the same information as described in </w:t>
      </w:r>
      <w:r w:rsidR="003654FB">
        <w:t xml:space="preserve">the </w:t>
      </w:r>
      <w:r>
        <w:t>Clinical Safety</w:t>
      </w:r>
      <w:r w:rsidR="003654FB">
        <w:t xml:space="preserve"> section,</w:t>
      </w:r>
      <w:r>
        <w:t xml:space="preserve"> the Integrated Safety Summary submitted to the FDA as the 2014 Resubmission Safety Update (‘2014 RSU’). The safety specification is satisfactory at Round 1.</w:t>
      </w:r>
    </w:p>
    <w:p w:rsidR="00E20E6F" w:rsidRPr="00E20E6F" w:rsidRDefault="00EC41F9" w:rsidP="00E20E6F">
      <w:r>
        <w:t xml:space="preserve">Of note, ‘missing information’ in the Safety Specification includes ‘patients suffering from severe stages of IPF’. According to the Safety Specification this is because these patients were excluded from the clinical trial population. However the </w:t>
      </w:r>
      <w:r w:rsidR="003654FB">
        <w:t>i</w:t>
      </w:r>
      <w:r>
        <w:t>ndication proposed in Australia is non</w:t>
      </w:r>
      <w:r>
        <w:noBreakHyphen/>
        <w:t>specific as to severity of IPF</w:t>
      </w:r>
      <w:r w:rsidR="003463B7">
        <w:t xml:space="preserve"> (see section: Clinical questions (below))</w:t>
      </w:r>
    </w:p>
    <w:p w:rsidR="00C22678" w:rsidRDefault="00C22678" w:rsidP="00C22678">
      <w:pPr>
        <w:pStyle w:val="Heading2"/>
      </w:pPr>
      <w:bookmarkStart w:id="317" w:name="_Toc459987010"/>
      <w:r>
        <w:t>Clinical questions</w:t>
      </w:r>
      <w:bookmarkEnd w:id="317"/>
    </w:p>
    <w:p w:rsidR="009D25C5" w:rsidRPr="009D25C5" w:rsidRDefault="009D25C5" w:rsidP="00014231">
      <w:pPr>
        <w:pStyle w:val="Heading3"/>
      </w:pPr>
      <w:bookmarkStart w:id="318" w:name="_Toc430785443"/>
      <w:bookmarkStart w:id="319" w:name="_Toc290846340"/>
      <w:bookmarkStart w:id="320" w:name="_Toc272414700"/>
      <w:bookmarkStart w:id="321" w:name="_Ref272312341"/>
      <w:bookmarkStart w:id="322" w:name="_Toc459987011"/>
      <w:r w:rsidRPr="009D25C5">
        <w:t>Additional expert input</w:t>
      </w:r>
      <w:bookmarkEnd w:id="318"/>
      <w:bookmarkEnd w:id="319"/>
      <w:bookmarkEnd w:id="320"/>
      <w:bookmarkEnd w:id="321"/>
      <w:bookmarkEnd w:id="322"/>
    </w:p>
    <w:p w:rsidR="009D25C5" w:rsidRPr="009D25C5" w:rsidRDefault="009D25C5" w:rsidP="009D25C5">
      <w:r w:rsidRPr="009D25C5">
        <w:t>The following aspects are inconsistent across international regulatory agencies and need resolution prior to Australian approval</w:t>
      </w:r>
      <w:r w:rsidR="00014231">
        <w:t>:</w:t>
      </w:r>
    </w:p>
    <w:p w:rsidR="009D25C5" w:rsidRPr="009D25C5" w:rsidRDefault="009D25C5" w:rsidP="00014231">
      <w:pPr>
        <w:pStyle w:val="ListParagraph"/>
        <w:numPr>
          <w:ilvl w:val="0"/>
          <w:numId w:val="19"/>
        </w:numPr>
      </w:pPr>
      <w:r w:rsidRPr="009D25C5">
        <w:t>Is the narrower Indication for the treatment of ‘mild to moderate’ IPF appropriate, as per the SPC?</w:t>
      </w:r>
    </w:p>
    <w:p w:rsidR="009D25C5" w:rsidRPr="009D25C5" w:rsidRDefault="009D25C5" w:rsidP="00014231">
      <w:pPr>
        <w:pStyle w:val="ListParagraph"/>
        <w:numPr>
          <w:ilvl w:val="0"/>
          <w:numId w:val="19"/>
        </w:numPr>
        <w:rPr>
          <w:lang w:eastAsia="en-US"/>
        </w:rPr>
      </w:pPr>
      <w:r w:rsidRPr="009D25C5">
        <w:t>Should use be contraindicated in severe hepatic and renal disease as in the SPC?</w:t>
      </w:r>
    </w:p>
    <w:p w:rsidR="00C618F7" w:rsidRDefault="00B96923" w:rsidP="00C618F7">
      <w:pPr>
        <w:pStyle w:val="Heading3"/>
      </w:pPr>
      <w:bookmarkStart w:id="323" w:name="_Toc459987012"/>
      <w:r>
        <w:lastRenderedPageBreak/>
        <w:t>Clinical questions for the sponsor</w:t>
      </w:r>
      <w:bookmarkEnd w:id="323"/>
    </w:p>
    <w:p w:rsidR="00B96923" w:rsidRDefault="00014231" w:rsidP="000E7CA2">
      <w:pPr>
        <w:pStyle w:val="Numberbullet0"/>
      </w:pPr>
      <w:r>
        <w:t xml:space="preserve">The Indication approved by the EMA is for the treatment of </w:t>
      </w:r>
      <w:r w:rsidRPr="00014231">
        <w:rPr>
          <w:i/>
        </w:rPr>
        <w:t>‘mild to moderate Idiopathic Pulmonary Fibrosis’</w:t>
      </w:r>
      <w:r w:rsidR="00B96923">
        <w:t>.</w:t>
      </w:r>
      <w:r>
        <w:t>Please provide the location of the justification for the widening the target population for the Australian submission to treatment of all stages of IPF severity.</w:t>
      </w:r>
    </w:p>
    <w:p w:rsidR="00014231" w:rsidRDefault="00014231" w:rsidP="00626E08">
      <w:pPr>
        <w:pStyle w:val="Numberbullet2"/>
        <w:numPr>
          <w:ilvl w:val="0"/>
          <w:numId w:val="0"/>
        </w:numPr>
        <w:ind w:left="851"/>
      </w:pPr>
      <w:r>
        <w:t>Please provide any available information on clinical efficacy outcomes in Australian patients provided with pirfeni</w:t>
      </w:r>
      <w:r w:rsidR="003410B6">
        <w:t>done ‘Esbriet’ through the SAS.</w:t>
      </w:r>
    </w:p>
    <w:p w:rsidR="00B96923" w:rsidRDefault="00014231" w:rsidP="00014231">
      <w:pPr>
        <w:pStyle w:val="Numberbullet0"/>
      </w:pPr>
      <w:r>
        <w:t xml:space="preserve">The proposed Indication does not specify </w:t>
      </w:r>
      <w:r w:rsidR="00B96923" w:rsidRPr="00B96923">
        <w:rPr>
          <w:i/>
        </w:rPr>
        <w:t>‘</w:t>
      </w:r>
      <w:r w:rsidRPr="00B96923">
        <w:rPr>
          <w:i/>
        </w:rPr>
        <w:t>mild to moderate IPF</w:t>
      </w:r>
      <w:r w:rsidR="00B96923" w:rsidRPr="00B96923">
        <w:rPr>
          <w:i/>
        </w:rPr>
        <w:t>’</w:t>
      </w:r>
      <w:r>
        <w:t xml:space="preserve">. However, use of pirfenidone in severe stage IPF </w:t>
      </w:r>
      <w:r w:rsidR="00B96923">
        <w:t xml:space="preserve">is </w:t>
      </w:r>
      <w:r>
        <w:t>described as ‘</w:t>
      </w:r>
      <w:r w:rsidRPr="00B96923">
        <w:rPr>
          <w:i/>
        </w:rPr>
        <w:t>missing information’</w:t>
      </w:r>
      <w:r>
        <w:t xml:space="preserve"> in the Safety Specification in the draft RMP.</w:t>
      </w:r>
    </w:p>
    <w:p w:rsidR="00B96923" w:rsidRDefault="00014231" w:rsidP="00626E08">
      <w:pPr>
        <w:pStyle w:val="Numberbullet2"/>
        <w:numPr>
          <w:ilvl w:val="0"/>
          <w:numId w:val="0"/>
        </w:numPr>
        <w:ind w:left="1277" w:hanging="426"/>
      </w:pPr>
      <w:r>
        <w:t>Please clarify this inconsistency.</w:t>
      </w:r>
    </w:p>
    <w:p w:rsidR="00B96923" w:rsidRDefault="00014231" w:rsidP="00014231">
      <w:pPr>
        <w:pStyle w:val="Numberbullet0"/>
      </w:pPr>
      <w:r>
        <w:t>Please provide PSUR 8 which should be available, covering the period to Augus</w:t>
      </w:r>
      <w:r w:rsidR="00B96923">
        <w:t>t 2014 to February 2015.</w:t>
      </w:r>
    </w:p>
    <w:p w:rsidR="00B96923" w:rsidRDefault="00014231" w:rsidP="00014231">
      <w:pPr>
        <w:pStyle w:val="Numberbullet0"/>
      </w:pPr>
      <w:r>
        <w:t>Have there been regulatory actions with respect to thrombocytopenia or warfarin interaction signals?</w:t>
      </w:r>
    </w:p>
    <w:p w:rsidR="00014231" w:rsidRDefault="00014231" w:rsidP="00014231">
      <w:pPr>
        <w:pStyle w:val="Numberbullet0"/>
      </w:pPr>
      <w:r>
        <w:t>Please provide any available information on safety in Australian patients provided with pirfenidone ‘Esbriet’ through the SAS.</w:t>
      </w:r>
    </w:p>
    <w:p w:rsidR="003463B7" w:rsidRPr="003463B7" w:rsidRDefault="00C618F7">
      <w:pPr>
        <w:pStyle w:val="Heading2"/>
      </w:pPr>
      <w:bookmarkStart w:id="324" w:name="_Toc459987013"/>
      <w:r>
        <w:t>Second round evaluation of clinical data submitted in response to questions</w:t>
      </w:r>
      <w:bookmarkEnd w:id="324"/>
    </w:p>
    <w:p w:rsidR="00B96923" w:rsidRPr="003463B7" w:rsidRDefault="00115501" w:rsidP="000E7CA2">
      <w:pPr>
        <w:pStyle w:val="Numberbullet0"/>
        <w:numPr>
          <w:ilvl w:val="0"/>
          <w:numId w:val="20"/>
        </w:numPr>
        <w:rPr>
          <w:i/>
        </w:rPr>
      </w:pPr>
      <w:r>
        <w:t>‘</w:t>
      </w:r>
      <w:r w:rsidR="00B96923" w:rsidRPr="003463B7">
        <w:rPr>
          <w:i/>
        </w:rPr>
        <w:t>The Indication approved by the EMA is for the treatment of ‘mild to moderate Idiopathic Pulmonary Fibrosis’.Please provide the location of the justification for the widening the target population for the Australian submission to treatment of all stages of IPF severity.</w:t>
      </w:r>
    </w:p>
    <w:p w:rsidR="001A0278" w:rsidRPr="000E7CA2" w:rsidRDefault="001A0278" w:rsidP="00626E08">
      <w:pPr>
        <w:ind w:left="850"/>
        <w:rPr>
          <w:i/>
        </w:rPr>
      </w:pPr>
      <w:r w:rsidRPr="000E7CA2">
        <w:rPr>
          <w:i/>
        </w:rPr>
        <w:t>Please provide any available information on clinical efficacy outcomes in Australian patients provided with pirfenidone ‘Esbriet’ through the SAS.</w:t>
      </w:r>
      <w:r w:rsidR="00115501">
        <w:rPr>
          <w:i/>
        </w:rPr>
        <w:t>’</w:t>
      </w:r>
    </w:p>
    <w:p w:rsidR="00115501" w:rsidRPr="00626E08" w:rsidRDefault="00115501">
      <w:pPr>
        <w:rPr>
          <w:b/>
        </w:rPr>
      </w:pPr>
      <w:r w:rsidRPr="00626E08">
        <w:rPr>
          <w:b/>
        </w:rPr>
        <w:t>Evaluator’s comment</w:t>
      </w:r>
    </w:p>
    <w:p w:rsidR="001A0278" w:rsidRDefault="001A0278" w:rsidP="00626E08">
      <w:pPr>
        <w:pStyle w:val="Comment"/>
      </w:pPr>
      <w:r>
        <w:t>No new efficacy data were provided.</w:t>
      </w:r>
    </w:p>
    <w:p w:rsidR="001A0278" w:rsidRDefault="001A0278">
      <w:r w:rsidRPr="001A0278">
        <w:t>In reply to the first part of the question</w:t>
      </w:r>
      <w:r>
        <w:t>, the s</w:t>
      </w:r>
      <w:r w:rsidRPr="001A0278">
        <w:t xml:space="preserve">ponsor confirmed that the widening of the </w:t>
      </w:r>
      <w:r w:rsidRPr="003463B7">
        <w:t>indication to all stages of IPF severity is consistent with the data provided for FDA approval, due</w:t>
      </w:r>
      <w:r w:rsidRPr="001A0278">
        <w:t xml:space="preserve"> to the modification of the entry criteria in Study PIPF-016 to favour enrolment of patients with a greater likelihood of disease progression. These are the same data provided with this submission.</w:t>
      </w:r>
    </w:p>
    <w:p w:rsidR="00115501" w:rsidRPr="00115501" w:rsidRDefault="003463B7">
      <w:r w:rsidRPr="001A0278">
        <w:t xml:space="preserve">In reply to the second efficacy question the </w:t>
      </w:r>
      <w:r w:rsidR="00115501">
        <w:t>s</w:t>
      </w:r>
      <w:r w:rsidRPr="001A0278">
        <w:t>ponsor replied that information collected in association with supply under SAS does not include efficacy data.</w:t>
      </w:r>
    </w:p>
    <w:p w:rsidR="00B96923" w:rsidRDefault="00B96923">
      <w:pPr>
        <w:pStyle w:val="Comment"/>
      </w:pPr>
      <w:r w:rsidRPr="00B96923">
        <w:t>This is acceptable.</w:t>
      </w:r>
    </w:p>
    <w:p w:rsidR="001A0278" w:rsidRPr="001A0278" w:rsidRDefault="00085A57" w:rsidP="00626E08">
      <w:pPr>
        <w:pStyle w:val="Numberbullet0"/>
      </w:pPr>
      <w:r w:rsidRPr="000E7CA2">
        <w:rPr>
          <w:i/>
        </w:rPr>
        <w:t>The proposed i</w:t>
      </w:r>
      <w:r w:rsidR="00B96923" w:rsidRPr="000E7CA2">
        <w:rPr>
          <w:i/>
        </w:rPr>
        <w:t>ndication does not specify ‘mild to moderate IPF’. However, use of pirfenidone in severe stage IPF is described as ‘missing information’ in the Safety Specification in the draft RMP.</w:t>
      </w:r>
      <w:r w:rsidR="00115501">
        <w:rPr>
          <w:i/>
        </w:rPr>
        <w:t xml:space="preserve"> </w:t>
      </w:r>
      <w:r w:rsidR="00B96923" w:rsidRPr="00626E08">
        <w:rPr>
          <w:i/>
        </w:rPr>
        <w:t>Please clarify this inconsistency.</w:t>
      </w:r>
    </w:p>
    <w:p w:rsidR="00115501" w:rsidRPr="00626E08" w:rsidRDefault="00CE1005" w:rsidP="00626E08">
      <w:pPr>
        <w:rPr>
          <w:b/>
        </w:rPr>
      </w:pPr>
      <w:r w:rsidRPr="00115501">
        <w:rPr>
          <w:b/>
        </w:rPr>
        <w:t>Evaluator’s commen</w:t>
      </w:r>
      <w:r w:rsidR="00115501" w:rsidRPr="00626E08">
        <w:rPr>
          <w:b/>
        </w:rPr>
        <w:t>t</w:t>
      </w:r>
    </w:p>
    <w:p w:rsidR="00CE1005" w:rsidRPr="00115501" w:rsidRDefault="00CE1005" w:rsidP="00626E08">
      <w:r w:rsidRPr="00115501">
        <w:t>In response regarding inconsistency between the proposed indication RMP description of use in severe stage IPF as ‘missing information’, the sponsor explained further that this was due to the indication approved in EU. A post</w:t>
      </w:r>
      <w:r w:rsidRPr="00115501">
        <w:noBreakHyphen/>
        <w:t xml:space="preserve">authorisation commitment to address the potential risk of missing data, approved by EMA CHMP, was undertaken by conducting the post-authorisation </w:t>
      </w:r>
      <w:r w:rsidRPr="00115501">
        <w:lastRenderedPageBreak/>
        <w:t>safety study, the registry study ‘PASSPORT’ (PIP</w:t>
      </w:r>
      <w:r w:rsidRPr="00115501">
        <w:noBreakHyphen/>
        <w:t>025) to evaluate the long-term safety profile. The approximately 1000 patients already registered have a baseline FVC range from 21% to 121%, median 64.7% and 143 patients have baseline FVC &lt; 50%.</w:t>
      </w:r>
    </w:p>
    <w:p w:rsidR="00B96923" w:rsidRPr="00626E08" w:rsidRDefault="00B96923" w:rsidP="00B96923">
      <w:pPr>
        <w:pStyle w:val="Numberbullet0"/>
        <w:rPr>
          <w:i/>
        </w:rPr>
      </w:pPr>
      <w:r w:rsidRPr="00626E08">
        <w:rPr>
          <w:i/>
        </w:rPr>
        <w:t>Please provide PSUR 8 which should be available, covering the period to August 2014 to February 2015.</w:t>
      </w:r>
    </w:p>
    <w:p w:rsidR="00115501" w:rsidRPr="00626E08" w:rsidRDefault="00085A57" w:rsidP="00626E08">
      <w:pPr>
        <w:rPr>
          <w:b/>
        </w:rPr>
      </w:pPr>
      <w:r w:rsidRPr="00115501">
        <w:rPr>
          <w:b/>
        </w:rPr>
        <w:t>Evaluator’s comment</w:t>
      </w:r>
    </w:p>
    <w:p w:rsidR="00CE1005" w:rsidRPr="00115501" w:rsidRDefault="00CE1005" w:rsidP="00626E08">
      <w:r w:rsidRPr="00115501">
        <w:t>As of this PSUR reporting period, estimated cumulative patient exposure to pirfenidone in clinical trials was 1574 patients. Cumulative post-marketing exposure was estimated to be 20,368 patient years. During this six month reporting period, the total worldwide post</w:t>
      </w:r>
      <w:r w:rsidRPr="00115501">
        <w:noBreakHyphen/>
        <w:t>marketing exposure to pirfenidone was estimated to be 3743 patient years. In this PSUR reporting period, 7651 suspected ADRs were received. A total of 591 (7.7%) were from spontaneous or literature reports, 47 (0.6%) were from clinical trials, and 7013 (91.7%) were from solicited reporting. The total (cumulative) number of ADRs has nearly doubled from 8185 in PSUR 7 to 15,827 in PSUR 8 largely due to solicited reporting from patient support programme reporting originating in the US.</w:t>
      </w:r>
    </w:p>
    <w:p w:rsidR="00CE1005" w:rsidRPr="00115501" w:rsidRDefault="00CE1005" w:rsidP="00626E08">
      <w:r w:rsidRPr="00115501">
        <w:t>In PASSPORT to December 2014 there were 670 of 1006 (66</w:t>
      </w:r>
      <w:r w:rsidR="00085A57" w:rsidRPr="00115501">
        <w:t xml:space="preserve">.6%) patients who experienced a </w:t>
      </w:r>
      <w:r w:rsidRPr="00115501">
        <w:t>total of 1790 ADRs of special interest. The safety profile was comparable to the label with the most frequent adverse reactions including gastrointestinal (34.4%) and skin (25.1%) SOCs. Also common was the category ‘other clinically significant ADR (28.9%) which included decreased appetite (11%) cough (2.5%) dyspnoea (2.2%) and headache (2.1%).</w:t>
      </w:r>
    </w:p>
    <w:p w:rsidR="00CE1005" w:rsidRPr="00115501" w:rsidRDefault="00085A57" w:rsidP="00626E08">
      <w:r w:rsidRPr="00115501">
        <w:t>In PASSP</w:t>
      </w:r>
      <w:r w:rsidR="00CE1005" w:rsidRPr="00115501">
        <w:t>ORT there were 55 (5.5%) patients who experienced 77 SADRs. Fifteen of 55 patients (1.5 %) had gastrointestinal disorders, such as diarrhoea, nausea, or vomiting. Ten patients (1.0%) reported a skin or subcutaneous tissue disorder, such as photosensitivity, erythema, or rash; 5 reported weight decreased, 1 of which was fatal with no information to suggest cause of death other than IPF.</w:t>
      </w:r>
    </w:p>
    <w:p w:rsidR="00CE1005" w:rsidRPr="00115501" w:rsidRDefault="00CE1005" w:rsidP="00626E08">
      <w:r w:rsidRPr="00115501">
        <w:t>Abnormal LFTs. dizziness, fatigue and weight loss are addressed in the PI.</w:t>
      </w:r>
    </w:p>
    <w:p w:rsidR="00CE1005" w:rsidRPr="00115501" w:rsidRDefault="00CE1005" w:rsidP="00626E08">
      <w:r w:rsidRPr="00115501">
        <w:t>One 18 year old patient who was given Esbriet for lung fibrosis after a double lung transplant developed angioedema and pirfenidone was ceased.</w:t>
      </w:r>
    </w:p>
    <w:p w:rsidR="00B96923" w:rsidRPr="00626E08" w:rsidRDefault="00B96923" w:rsidP="00B96923">
      <w:pPr>
        <w:pStyle w:val="Numberbullet0"/>
        <w:rPr>
          <w:i/>
        </w:rPr>
      </w:pPr>
      <w:r w:rsidRPr="00626E08">
        <w:rPr>
          <w:i/>
        </w:rPr>
        <w:t>Have there been regulatory actions with respect to thrombocytopenia or warfarin interaction signals?</w:t>
      </w:r>
    </w:p>
    <w:p w:rsidR="00115501" w:rsidRPr="00626E08" w:rsidRDefault="00085A57" w:rsidP="00626E08">
      <w:pPr>
        <w:rPr>
          <w:b/>
        </w:rPr>
      </w:pPr>
      <w:r w:rsidRPr="00626E08">
        <w:rPr>
          <w:b/>
        </w:rPr>
        <w:t>Evaluator’s comment</w:t>
      </w:r>
    </w:p>
    <w:p w:rsidR="00CE1005" w:rsidRPr="00115501" w:rsidRDefault="00CE1005" w:rsidP="00626E08">
      <w:r w:rsidRPr="00115501">
        <w:t>The sponsor stated that these remain as open signals with continued monitoring. There has been no update to CDS or EU</w:t>
      </w:r>
      <w:r w:rsidR="00626E08">
        <w:t xml:space="preserve"> </w:t>
      </w:r>
      <w:r w:rsidRPr="00115501">
        <w:t>SmPC. A summary of the PRAC assessment was provided.</w:t>
      </w:r>
    </w:p>
    <w:p w:rsidR="00CE1005" w:rsidRPr="00115501" w:rsidRDefault="00CE1005" w:rsidP="00626E08">
      <w:r w:rsidRPr="00115501">
        <w:t>It noted 7 reports of thrombocytopenia, potentially confounded, and none in clinical studies.</w:t>
      </w:r>
    </w:p>
    <w:p w:rsidR="00CE1005" w:rsidRPr="00115501" w:rsidRDefault="00CE1005" w:rsidP="00626E08">
      <w:r w:rsidRPr="00115501">
        <w:t xml:space="preserve">For warfarin-pirfenidone interaction the EMA rapporteur assessment was no change in relative frequency, and ongoing monitoring was required. The FDA has also asked about this and the </w:t>
      </w:r>
      <w:r w:rsidR="00BC7B33">
        <w:t>sponsor</w:t>
      </w:r>
      <w:r w:rsidRPr="00115501">
        <w:t xml:space="preserve"> is preparing a draft report. A tabular overview of regulatory actions was provided.</w:t>
      </w:r>
    </w:p>
    <w:p w:rsidR="00CE1005" w:rsidRPr="00115501" w:rsidRDefault="00CE1005" w:rsidP="00626E08">
      <w:r w:rsidRPr="00115501">
        <w:t>A detailed response is provided in answer to the RMP evaluation.</w:t>
      </w:r>
    </w:p>
    <w:p w:rsidR="00014231" w:rsidRPr="00626E08" w:rsidRDefault="00B96923" w:rsidP="00014231">
      <w:pPr>
        <w:pStyle w:val="Numberbullet0"/>
        <w:rPr>
          <w:i/>
        </w:rPr>
      </w:pPr>
      <w:r w:rsidRPr="00626E08">
        <w:rPr>
          <w:i/>
        </w:rPr>
        <w:t>Please provide any available information on safety in Australian patients provided with pirfenidone ‘Esbriet’ through the SAS.</w:t>
      </w:r>
    </w:p>
    <w:p w:rsidR="00115501" w:rsidRPr="00626E08" w:rsidRDefault="00085A57" w:rsidP="00626E08">
      <w:pPr>
        <w:rPr>
          <w:b/>
        </w:rPr>
      </w:pPr>
      <w:r w:rsidRPr="00115501">
        <w:rPr>
          <w:b/>
        </w:rPr>
        <w:t>Evaluator’s comment</w:t>
      </w:r>
    </w:p>
    <w:p w:rsidR="00014231" w:rsidRPr="00115501" w:rsidRDefault="00014231" w:rsidP="00626E08">
      <w:r w:rsidRPr="00115501">
        <w:t>The Roche SAS safety database identified 2 patients who received Esbriet a</w:t>
      </w:r>
      <w:r w:rsidR="00A5386A" w:rsidRPr="00115501">
        <w:t>nd experienced adverse events.</w:t>
      </w:r>
    </w:p>
    <w:p w:rsidR="00014231" w:rsidRPr="00115501" w:rsidRDefault="00014231" w:rsidP="00626E08">
      <w:r w:rsidRPr="00115501">
        <w:t xml:space="preserve">AER 1630959 concerned an 81yeear old woman who developed nausea and vomiting after staring pirfenidone </w:t>
      </w:r>
      <w:r w:rsidR="00001402" w:rsidRPr="00115501">
        <w:t>2,403 mg</w:t>
      </w:r>
      <w:r w:rsidRPr="00115501">
        <w:t xml:space="preserve"> daily total in 3 separate doses. Vomiting ceased when she ceased </w:t>
      </w:r>
      <w:r w:rsidRPr="00115501">
        <w:lastRenderedPageBreak/>
        <w:t>the capsules and re-occurred after re-introduction. Nausea and vomiting are known AEs for Pirfenidone and listed in the proposed PI in Table 4 as ‘occurring in ≥10% Pirfenidone treated patients and more commonly than placebo’.</w:t>
      </w:r>
    </w:p>
    <w:p w:rsidR="00014231" w:rsidRPr="00115501" w:rsidRDefault="00115501" w:rsidP="00626E08">
      <w:r>
        <w:t>One AER</w:t>
      </w:r>
      <w:r w:rsidR="00014231" w:rsidRPr="00115501">
        <w:t xml:space="preserve"> concerned a 77 year old man who developed shingles </w:t>
      </w:r>
      <w:r>
        <w:t>around 300</w:t>
      </w:r>
      <w:r w:rsidRPr="00115501">
        <w:t xml:space="preserve"> </w:t>
      </w:r>
      <w:r w:rsidR="00014231" w:rsidRPr="00115501">
        <w:t>days after initiating treatment, with concurrent conditions including osteoarthritis, hypertension and prostatitis, with concomitant medications treating these conditions. The physician assessed the relationship as unrelated to pirfenidone.</w:t>
      </w:r>
    </w:p>
    <w:p w:rsidR="00014231" w:rsidRDefault="00085A57" w:rsidP="00085A57">
      <w:pPr>
        <w:pStyle w:val="Heading3"/>
      </w:pPr>
      <w:bookmarkStart w:id="325" w:name="_Toc459987014"/>
      <w:r>
        <w:t>Evaluators c</w:t>
      </w:r>
      <w:r w:rsidR="00014231">
        <w:t>onclusion</w:t>
      </w:r>
      <w:r>
        <w:t>s to clinical data submitted for second round evaluation</w:t>
      </w:r>
      <w:bookmarkEnd w:id="325"/>
    </w:p>
    <w:p w:rsidR="00014231" w:rsidRDefault="00014231" w:rsidP="00014231">
      <w:r>
        <w:t>The responses to the safety questions were acceptable to the cl</w:t>
      </w:r>
      <w:r w:rsidR="00085A57">
        <w:t>inical evaluator.</w:t>
      </w:r>
    </w:p>
    <w:p w:rsidR="00C618F7" w:rsidRPr="00586F98" w:rsidRDefault="00014231" w:rsidP="00C618F7">
      <w:r>
        <w:t>The inconsistency between the EU RMP ‘missing information’ and the proposed Indication in Australia may have implications for prescriber education. This is drawn to the attention of the RMP evaluator and the Delegate.</w:t>
      </w:r>
    </w:p>
    <w:p w:rsidR="00C618F7" w:rsidRDefault="00C618F7" w:rsidP="00C618F7">
      <w:pPr>
        <w:pStyle w:val="Heading2"/>
      </w:pPr>
      <w:bookmarkStart w:id="326" w:name="_Toc459987015"/>
      <w:r>
        <w:t>Second round benefit-risk assessment</w:t>
      </w:r>
      <w:bookmarkEnd w:id="326"/>
    </w:p>
    <w:p w:rsidR="00085A57" w:rsidRDefault="00085A57" w:rsidP="00085A57">
      <w:pPr>
        <w:pStyle w:val="Heading3"/>
      </w:pPr>
      <w:bookmarkStart w:id="327" w:name="_Toc430785452"/>
      <w:bookmarkStart w:id="328" w:name="_Toc290846349"/>
      <w:bookmarkStart w:id="329" w:name="_Toc272414709"/>
      <w:bookmarkStart w:id="330" w:name="_Toc459987016"/>
      <w:r>
        <w:t>Second round assessment of benefits</w:t>
      </w:r>
      <w:bookmarkEnd w:id="327"/>
      <w:bookmarkEnd w:id="328"/>
      <w:bookmarkEnd w:id="329"/>
      <w:bookmarkEnd w:id="330"/>
    </w:p>
    <w:p w:rsidR="00085A57" w:rsidRDefault="00085A57" w:rsidP="00085A57">
      <w:pPr>
        <w:autoSpaceDE w:val="0"/>
        <w:autoSpaceDN w:val="0"/>
        <w:adjustRightInd w:val="0"/>
      </w:pPr>
      <w:r>
        <w:t>The benefits of pirfenidone are unchanged from those identified in the First Round assessment of benefits.</w:t>
      </w:r>
    </w:p>
    <w:p w:rsidR="00085A57" w:rsidRDefault="00085A57" w:rsidP="00085A57">
      <w:pPr>
        <w:pStyle w:val="Heading3"/>
      </w:pPr>
      <w:bookmarkStart w:id="331" w:name="_Toc430785453"/>
      <w:bookmarkStart w:id="332" w:name="_Toc290846350"/>
      <w:bookmarkStart w:id="333" w:name="_Toc272414710"/>
      <w:bookmarkStart w:id="334" w:name="_Toc459987017"/>
      <w:r>
        <w:t>Second round assessment of risks</w:t>
      </w:r>
      <w:bookmarkEnd w:id="331"/>
      <w:bookmarkEnd w:id="332"/>
      <w:bookmarkEnd w:id="333"/>
      <w:bookmarkEnd w:id="334"/>
    </w:p>
    <w:p w:rsidR="00085A57" w:rsidRDefault="00085A57" w:rsidP="00085A57">
      <w:pPr>
        <w:autoSpaceDE w:val="0"/>
        <w:autoSpaceDN w:val="0"/>
        <w:adjustRightInd w:val="0"/>
      </w:pPr>
      <w:r>
        <w:t>After consideration of the responses to clinical questions, the risks of pirfenidone are unchanged from those identified in the First Round assessment of risks.</w:t>
      </w:r>
    </w:p>
    <w:p w:rsidR="00085A57" w:rsidRDefault="00085A57" w:rsidP="00085A57">
      <w:pPr>
        <w:pStyle w:val="Heading3"/>
      </w:pPr>
      <w:bookmarkStart w:id="335" w:name="_Toc430785454"/>
      <w:bookmarkStart w:id="336" w:name="_Toc290846351"/>
      <w:bookmarkStart w:id="337" w:name="_Toc272414711"/>
      <w:bookmarkStart w:id="338" w:name="_Toc459987018"/>
      <w:r>
        <w:t>Second round assessment of benefit-risk balance</w:t>
      </w:r>
      <w:bookmarkEnd w:id="335"/>
      <w:bookmarkEnd w:id="336"/>
      <w:bookmarkEnd w:id="337"/>
      <w:bookmarkEnd w:id="338"/>
    </w:p>
    <w:p w:rsidR="00085A57" w:rsidRDefault="00085A57" w:rsidP="00085A57">
      <w:r>
        <w:t>The clinical evaluator considers that based on the available data the benefit-risk balance of pirfenidone ‘Esbriet, given the proposed usage, is favourable.</w:t>
      </w:r>
    </w:p>
    <w:p w:rsidR="00C618F7" w:rsidRDefault="00C618F7" w:rsidP="00C618F7">
      <w:pPr>
        <w:pStyle w:val="Heading2"/>
      </w:pPr>
      <w:bookmarkStart w:id="339" w:name="_Toc459987019"/>
      <w:r>
        <w:t>Second round recommendation regarding authorisation</w:t>
      </w:r>
      <w:bookmarkEnd w:id="339"/>
    </w:p>
    <w:p w:rsidR="00085A57" w:rsidRPr="00085A57" w:rsidRDefault="00085A57" w:rsidP="00085A57">
      <w:r w:rsidRPr="00085A57">
        <w:t>The clinical evaluator considers that the data provided support registration of pirfenidone for the proposed Indication:</w:t>
      </w:r>
    </w:p>
    <w:p w:rsidR="00085A57" w:rsidRPr="00085A57" w:rsidRDefault="00085A57" w:rsidP="00085A57">
      <w:pPr>
        <w:ind w:firstLine="567"/>
        <w:rPr>
          <w:i/>
        </w:rPr>
      </w:pPr>
      <w:r w:rsidRPr="00085A57">
        <w:rPr>
          <w:i/>
        </w:rPr>
        <w:t>‘Esbriet is indicated for the treatment of idiopathic pulmonary fibrosis (IPF)’.</w:t>
      </w:r>
    </w:p>
    <w:p w:rsidR="00C618F7" w:rsidRDefault="00C618F7" w:rsidP="00C618F7">
      <w:pPr>
        <w:pStyle w:val="Heading2"/>
      </w:pPr>
      <w:bookmarkStart w:id="340" w:name="_Toc459987020"/>
      <w:r>
        <w:t>References</w:t>
      </w:r>
      <w:bookmarkEnd w:id="340"/>
    </w:p>
    <w:bookmarkEnd w:id="3"/>
    <w:bookmarkEnd w:id="2"/>
    <w:bookmarkEnd w:id="1"/>
    <w:p w:rsidR="00E6459A" w:rsidRDefault="008527B7" w:rsidP="006D1A2C">
      <w:r w:rsidRPr="008527B7">
        <w:t>EMA (EU).</w:t>
      </w:r>
      <w:r w:rsidR="00E6459A" w:rsidRPr="008527B7">
        <w:t>CHMP summary if positive opinion for Esbriet</w:t>
      </w:r>
      <w:r w:rsidRPr="008527B7">
        <w:t>/Pirfenidone (EMEA/H/C/002154)</w:t>
      </w:r>
      <w:r w:rsidR="00E6459A" w:rsidRPr="008527B7">
        <w:t xml:space="preserve">; </w:t>
      </w:r>
      <w:r>
        <w:t>December 2010</w:t>
      </w:r>
    </w:p>
    <w:p w:rsidR="008527B7" w:rsidRDefault="008527B7" w:rsidP="006D1A2C">
      <w:r>
        <w:t>EMA (EU). Esbriet: EPAR</w:t>
      </w:r>
      <w:r>
        <w:noBreakHyphen/>
        <w:t>Public Assessment Report; March 2011</w:t>
      </w:r>
    </w:p>
    <w:p w:rsidR="008527B7" w:rsidRDefault="008527B7" w:rsidP="006D1A2C">
      <w:r>
        <w:t>EMA (EU). Annex I: Summary of Product Characteristics</w:t>
      </w:r>
      <w:r w:rsidR="00E6459A">
        <w:t xml:space="preserve"> </w:t>
      </w:r>
      <w:r>
        <w:t>(</w:t>
      </w:r>
      <w:r w:rsidR="00E6459A">
        <w:t>Pirfenidone</w:t>
      </w:r>
      <w:r>
        <w:t>)</w:t>
      </w:r>
      <w:r w:rsidR="00E6459A">
        <w:t>;</w:t>
      </w:r>
      <w:r>
        <w:t xml:space="preserve"> 2011</w:t>
      </w:r>
    </w:p>
    <w:p w:rsidR="008527B7" w:rsidRPr="008527B7" w:rsidRDefault="00FA1F78" w:rsidP="006D1A2C">
      <w:r>
        <w:lastRenderedPageBreak/>
        <w:t>FDA (US). FDA Esbriet Full Prescribing Information and FDA labelling; 2014</w:t>
      </w:r>
    </w:p>
    <w:p w:rsidR="006D1A2C" w:rsidRPr="008527B7" w:rsidRDefault="00621EA0" w:rsidP="008527B7">
      <w:r w:rsidRPr="008527B7">
        <w:t xml:space="preserve">Raghu G et al. </w:t>
      </w:r>
      <w:r w:rsidR="006D1A2C" w:rsidRPr="008527B7">
        <w:t>An Official ATS/ERS/JRS/ALAT Statement: Idiopathic Pulmonary Fibrosis: Evidence-based Guidelines for Diagnosis and Management</w:t>
      </w:r>
      <w:r w:rsidR="00B44928" w:rsidRPr="008527B7">
        <w:t xml:space="preserve">; </w:t>
      </w:r>
      <w:r w:rsidR="00B44928" w:rsidRPr="0071359E">
        <w:rPr>
          <w:i/>
        </w:rPr>
        <w:t>Am J Respir Crit Care Med</w:t>
      </w:r>
      <w:r w:rsidR="00B44928" w:rsidRPr="008527B7">
        <w:t xml:space="preserve"> 2011; 183: 788–824</w:t>
      </w:r>
    </w:p>
    <w:p w:rsidR="006D1A2C" w:rsidRPr="0049386B" w:rsidRDefault="006D1A2C" w:rsidP="0049386B">
      <w:r>
        <w:t xml:space="preserve">Raghu G et al. </w:t>
      </w:r>
      <w:r w:rsidR="0049386B">
        <w:t>Treatment of Idiopathic Pulmonary Fibrosis with a New Antifibrotic Agent, Pirfenidone: Results of a Prospective, Open-label Phase II Study</w:t>
      </w:r>
      <w:r w:rsidR="00B44928">
        <w:t>;</w:t>
      </w:r>
      <w:r w:rsidR="0049386B">
        <w:t xml:space="preserve"> </w:t>
      </w:r>
      <w:r w:rsidRPr="0071359E">
        <w:rPr>
          <w:bCs/>
          <w:i/>
        </w:rPr>
        <w:t>Am J Respir Crit Care Med</w:t>
      </w:r>
      <w:r>
        <w:rPr>
          <w:bCs/>
        </w:rPr>
        <w:t xml:space="preserve"> 1999; </w:t>
      </w:r>
      <w:r w:rsidRPr="00C83653">
        <w:rPr>
          <w:bCs/>
        </w:rPr>
        <w:t>159:</w:t>
      </w:r>
      <w:r>
        <w:rPr>
          <w:bCs/>
        </w:rPr>
        <w:t xml:space="preserve"> </w:t>
      </w:r>
      <w:r w:rsidRPr="00C83653">
        <w:rPr>
          <w:bCs/>
        </w:rPr>
        <w:t>1061–1069</w:t>
      </w:r>
    </w:p>
    <w:p w:rsidR="006D1A2C" w:rsidRPr="00C83653" w:rsidRDefault="00621EA0" w:rsidP="006D1A2C">
      <w:r>
        <w:rPr>
          <w:bCs/>
        </w:rPr>
        <w:t xml:space="preserve">Azuma A, et al. </w:t>
      </w:r>
      <w:r w:rsidR="0049386B" w:rsidRPr="0049386B">
        <w:rPr>
          <w:bCs/>
        </w:rPr>
        <w:t>Double-blind, placebo-controlled trial of pirfenidone in patients wit</w:t>
      </w:r>
      <w:r w:rsidR="0071359E">
        <w:rPr>
          <w:bCs/>
        </w:rPr>
        <w:t>h idiopathic pulmonary fibrosis.</w:t>
      </w:r>
      <w:r w:rsidR="0049386B">
        <w:rPr>
          <w:bCs/>
        </w:rPr>
        <w:t xml:space="preserve"> </w:t>
      </w:r>
      <w:r w:rsidR="006D1A2C" w:rsidRPr="0071359E">
        <w:rPr>
          <w:bCs/>
          <w:i/>
        </w:rPr>
        <w:t>Am J Respir Crit Care Med 2005</w:t>
      </w:r>
      <w:r w:rsidR="006D1A2C" w:rsidRPr="001E42EC">
        <w:rPr>
          <w:bCs/>
        </w:rPr>
        <w:t>;</w:t>
      </w:r>
      <w:r w:rsidR="006D1A2C">
        <w:rPr>
          <w:bCs/>
        </w:rPr>
        <w:t xml:space="preserve"> </w:t>
      </w:r>
      <w:r w:rsidR="006D1A2C" w:rsidRPr="001E42EC">
        <w:rPr>
          <w:bCs/>
        </w:rPr>
        <w:t>171:</w:t>
      </w:r>
      <w:r w:rsidR="006D1A2C">
        <w:rPr>
          <w:bCs/>
        </w:rPr>
        <w:t xml:space="preserve"> </w:t>
      </w:r>
      <w:r w:rsidR="0049386B">
        <w:rPr>
          <w:bCs/>
        </w:rPr>
        <w:t>1040–1047</w:t>
      </w:r>
    </w:p>
    <w:p w:rsidR="006D1A2C" w:rsidRDefault="006D1A2C" w:rsidP="006D1A2C">
      <w:r w:rsidRPr="00887B9E">
        <w:t xml:space="preserve">King TE Jr et al. </w:t>
      </w:r>
      <w:r w:rsidR="0049386B" w:rsidRPr="0049386B">
        <w:t>A Phase 3 Trial of Pirfenidone in Patients with Idiopathic Pulmonary Fibrosis</w:t>
      </w:r>
      <w:r w:rsidR="00B44928">
        <w:t xml:space="preserve">; </w:t>
      </w:r>
      <w:r w:rsidRPr="0071359E">
        <w:rPr>
          <w:i/>
        </w:rPr>
        <w:t>NE</w:t>
      </w:r>
      <w:r w:rsidR="0049386B" w:rsidRPr="0071359E">
        <w:rPr>
          <w:i/>
        </w:rPr>
        <w:t>JM</w:t>
      </w:r>
      <w:r w:rsidR="0049386B">
        <w:t xml:space="preserve"> 2014; 370: 2083-2092</w:t>
      </w:r>
    </w:p>
    <w:p w:rsidR="006D1A2C" w:rsidRDefault="006D1A2C" w:rsidP="006D1A2C">
      <w:pPr>
        <w:rPr>
          <w:bCs/>
        </w:rPr>
      </w:pPr>
      <w:r>
        <w:t xml:space="preserve">Collard H et al. </w:t>
      </w:r>
      <w:r w:rsidR="00B44928">
        <w:t xml:space="preserve">Changes in clinical and physiologic variables predict survival in idiopathic pulmonary fibrosis; </w:t>
      </w:r>
      <w:r w:rsidRPr="0071359E">
        <w:rPr>
          <w:bCs/>
          <w:i/>
        </w:rPr>
        <w:t>Am J Respir Crit Care Med</w:t>
      </w:r>
      <w:r w:rsidRPr="00877720">
        <w:rPr>
          <w:bCs/>
        </w:rPr>
        <w:t xml:space="preserve"> 2003; 168: 538–542</w:t>
      </w:r>
    </w:p>
    <w:p w:rsidR="006D1A2C" w:rsidRPr="00B44928" w:rsidRDefault="006D1A2C" w:rsidP="00B44928">
      <w:r w:rsidRPr="00B44928">
        <w:t xml:space="preserve">du Bois R et al. </w:t>
      </w:r>
      <w:r w:rsidR="00B44928" w:rsidRPr="00B44928">
        <w:t xml:space="preserve">Idiopathic pulmonary fibrosis: a composite physiologic index derived from disease extent </w:t>
      </w:r>
      <w:r w:rsidR="00B44928">
        <w:t>observed by computed tomography;</w:t>
      </w:r>
      <w:r w:rsidR="00B44928" w:rsidRPr="00B44928">
        <w:t xml:space="preserve"> </w:t>
      </w:r>
      <w:r w:rsidRPr="0071359E">
        <w:rPr>
          <w:i/>
        </w:rPr>
        <w:t>Am J Respir Crit Care Med</w:t>
      </w:r>
      <w:r w:rsidRPr="00B44928">
        <w:t xml:space="preserve"> 2011; 184: 459–466</w:t>
      </w:r>
    </w:p>
    <w:p w:rsidR="006D1A2C" w:rsidRPr="00B44928" w:rsidRDefault="006D1A2C" w:rsidP="00B44928">
      <w:r w:rsidRPr="00B44928">
        <w:t xml:space="preserve">du Bois R et al. </w:t>
      </w:r>
      <w:r w:rsidR="00B44928" w:rsidRPr="00B44928">
        <w:t>Forced Vital Capacity in Patients with Idiopathic Pulmonary Fibrosis</w:t>
      </w:r>
      <w:r w:rsidR="00B44928">
        <w:t xml:space="preserve"> </w:t>
      </w:r>
      <w:r w:rsidR="00B44928" w:rsidRPr="00B44928">
        <w:t>Test Properties and Minimal Clinically Important Difference</w:t>
      </w:r>
      <w:r w:rsidR="00B44928">
        <w:t xml:space="preserve">; </w:t>
      </w:r>
      <w:r w:rsidRPr="0071359E">
        <w:rPr>
          <w:i/>
        </w:rPr>
        <w:t>Am J Respir Crit Care Med</w:t>
      </w:r>
      <w:r w:rsidRPr="00B44928">
        <w:t xml:space="preserve"> 2011; 184; 1382–1389</w:t>
      </w:r>
    </w:p>
    <w:p w:rsidR="006D1A2C" w:rsidRDefault="006D1A2C" w:rsidP="006D1A2C">
      <w:r>
        <w:t xml:space="preserve">Ley B et al. </w:t>
      </w:r>
      <w:r w:rsidR="00B44928" w:rsidRPr="00B44928">
        <w:t>A multidimensional index and staging system for idiopathic p</w:t>
      </w:r>
      <w:r w:rsidR="00B44928">
        <w:t xml:space="preserve">ulmonary fibrosis; </w:t>
      </w:r>
      <w:r w:rsidRPr="0071359E">
        <w:rPr>
          <w:i/>
        </w:rPr>
        <w:t>Ann Int Med</w:t>
      </w:r>
      <w:r>
        <w:t xml:space="preserve"> 2012; 156: 684-6</w:t>
      </w:r>
      <w:r w:rsidR="00B44928">
        <w:t>91</w:t>
      </w:r>
    </w:p>
    <w:p w:rsidR="006D1A2C" w:rsidRDefault="006D1A2C" w:rsidP="006D1A2C">
      <w:r>
        <w:t>Form for Australian PI ARGPM Gui</w:t>
      </w:r>
      <w:r w:rsidR="00E6459A">
        <w:t>dance 8 Product information 8.3</w:t>
      </w:r>
    </w:p>
    <w:p w:rsidR="00E6459A" w:rsidRDefault="00E6459A" w:rsidP="006D1A2C"/>
    <w:p w:rsidR="003D1E62" w:rsidRPr="001D043B" w:rsidRDefault="003D1E62" w:rsidP="002666AC">
      <w:pPr>
        <w:rPr>
          <w:lang w:eastAsia="ja-JP"/>
        </w:rPr>
        <w:sectPr w:rsidR="003D1E62" w:rsidRPr="001D043B" w:rsidSect="008D770F">
          <w:headerReference w:type="even" r:id="rId45"/>
          <w:headerReference w:type="default" r:id="rId46"/>
          <w:headerReference w:type="first" r:id="rId47"/>
          <w:footerReference w:type="first" r:id="rId48"/>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FC5089">
        <w:trPr>
          <w:trHeight w:hRule="exact" w:val="564"/>
        </w:trPr>
        <w:tc>
          <w:tcPr>
            <w:tcW w:w="9175" w:type="dxa"/>
          </w:tcPr>
          <w:p w:rsidR="00B3567E" w:rsidRPr="00487162" w:rsidRDefault="00B3567E" w:rsidP="00FC5089">
            <w:pPr>
              <w:pStyle w:val="TGASignoff"/>
            </w:pPr>
            <w:r w:rsidRPr="00487162">
              <w:lastRenderedPageBreak/>
              <w:t>Therapeutic Goods Administration</w:t>
            </w:r>
          </w:p>
        </w:tc>
      </w:tr>
      <w:tr w:rsidR="00B3567E" w:rsidRPr="00487162" w:rsidTr="00FC5089">
        <w:trPr>
          <w:trHeight w:val="1221"/>
        </w:trPr>
        <w:tc>
          <w:tcPr>
            <w:tcW w:w="9175" w:type="dxa"/>
            <w:tcMar>
              <w:top w:w="28" w:type="dxa"/>
            </w:tcMar>
          </w:tcPr>
          <w:p w:rsidR="00B3567E" w:rsidRPr="00487162" w:rsidRDefault="00B3567E" w:rsidP="00FC5089">
            <w:pPr>
              <w:pStyle w:val="Address"/>
            </w:pPr>
            <w:r w:rsidRPr="00487162">
              <w:t>PO Box 100 Woden ACT 2606 Australia</w:t>
            </w:r>
          </w:p>
          <w:p w:rsidR="00B3567E" w:rsidRPr="00487162" w:rsidRDefault="00B3567E" w:rsidP="00FC5089">
            <w:pPr>
              <w:pStyle w:val="Address"/>
            </w:pPr>
            <w:r w:rsidRPr="00487162">
              <w:t xml:space="preserve">Email: </w:t>
            </w:r>
            <w:hyperlink r:id="rId49" w:history="1">
              <w:r w:rsidRPr="008D770F">
                <w:rPr>
                  <w:rStyle w:val="Hyperlink"/>
                </w:rPr>
                <w:t>info@tga.gov.au</w:t>
              </w:r>
            </w:hyperlink>
            <w:r w:rsidR="005D2037">
              <w:t xml:space="preserve"> </w:t>
            </w:r>
            <w:r w:rsidRPr="00487162">
              <w:t>Phone: 1800 020 653</w:t>
            </w:r>
            <w:r w:rsidR="005D2037">
              <w:t xml:space="preserve"> </w:t>
            </w:r>
            <w:r w:rsidRPr="00487162">
              <w:t>Fax: 02 6232 8605</w:t>
            </w:r>
          </w:p>
          <w:p w:rsidR="00B3567E" w:rsidRPr="008D770F" w:rsidRDefault="00D01137" w:rsidP="00FC5089">
            <w:pPr>
              <w:pStyle w:val="Address"/>
              <w:spacing w:line="260" w:lineRule="atLeast"/>
              <w:rPr>
                <w:b/>
                <w:color w:val="0000FF"/>
                <w:u w:val="single"/>
              </w:rPr>
            </w:pPr>
            <w:hyperlink r:id="rId50"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51"/>
      <w:headerReference w:type="default" r:id="rId52"/>
      <w:footerReference w:type="default" r:id="rId53"/>
      <w:headerReference w:type="first" r:id="rId54"/>
      <w:footerReference w:type="first" r:id="rId5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71A" w:rsidRDefault="00FA271A" w:rsidP="00C40A36">
      <w:pPr>
        <w:spacing w:after="0"/>
      </w:pPr>
      <w:r>
        <w:separator/>
      </w:r>
    </w:p>
  </w:endnote>
  <w:endnote w:type="continuationSeparator" w:id="0">
    <w:p w:rsidR="00FA271A" w:rsidRDefault="00FA271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FA271A" w:rsidRPr="00487162" w:rsidTr="007539DB">
      <w:trPr>
        <w:trHeight w:val="269"/>
      </w:trPr>
      <w:tc>
        <w:tcPr>
          <w:tcW w:w="7513" w:type="dxa"/>
          <w:tcMar>
            <w:top w:w="142" w:type="dxa"/>
            <w:bottom w:w="0" w:type="dxa"/>
          </w:tcMar>
        </w:tcPr>
        <w:p w:rsidR="00FA271A" w:rsidRPr="00487162" w:rsidRDefault="00FA271A" w:rsidP="00A5386A">
          <w:pPr>
            <w:pStyle w:val="Footer"/>
          </w:pPr>
          <w:r>
            <w:t>Submission</w:t>
          </w:r>
          <w:r w:rsidRPr="00487162">
            <w:t xml:space="preserve"> PM-20</w:t>
          </w:r>
          <w:r>
            <w:t>15-00413-1-5 Extract from the Clinical Evaluation Report for Esbriet Pirfenidone</w:t>
          </w:r>
        </w:p>
      </w:tc>
      <w:tc>
        <w:tcPr>
          <w:tcW w:w="1348" w:type="dxa"/>
          <w:tcMar>
            <w:top w:w="142" w:type="dxa"/>
            <w:bottom w:w="0" w:type="dxa"/>
          </w:tcMar>
        </w:tcPr>
        <w:p w:rsidR="00FA271A" w:rsidRPr="00981D66" w:rsidRDefault="00FA271A"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D01137">
            <w:rPr>
              <w:noProof/>
            </w:rPr>
            <w:t>58</w:t>
          </w:r>
          <w:r w:rsidRPr="00981D66">
            <w:fldChar w:fldCharType="end"/>
          </w:r>
          <w:r w:rsidRPr="00981D66">
            <w:t xml:space="preserve"> of </w:t>
          </w:r>
          <w:r w:rsidR="00D01137">
            <w:fldChar w:fldCharType="begin"/>
          </w:r>
          <w:r w:rsidR="00D01137">
            <w:instrText xml:space="preserve"> NUMPAGES  \* Arabic  \* MERGEFORMAT </w:instrText>
          </w:r>
          <w:r w:rsidR="00D01137">
            <w:fldChar w:fldCharType="separate"/>
          </w:r>
          <w:r w:rsidR="00D01137">
            <w:rPr>
              <w:noProof/>
            </w:rPr>
            <w:t>58</w:t>
          </w:r>
          <w:r w:rsidR="00D01137">
            <w:rPr>
              <w:noProof/>
            </w:rPr>
            <w:fldChar w:fldCharType="end"/>
          </w:r>
        </w:p>
      </w:tc>
    </w:tr>
  </w:tbl>
  <w:p w:rsidR="00FA271A" w:rsidRDefault="00FA271A"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A271A" w:rsidRPr="00487162" w:rsidTr="00E45619">
      <w:trPr>
        <w:trHeight w:val="269"/>
      </w:trPr>
      <w:tc>
        <w:tcPr>
          <w:tcW w:w="4519" w:type="dxa"/>
          <w:tcBorders>
            <w:top w:val="single" w:sz="4" w:space="0" w:color="auto"/>
          </w:tcBorders>
          <w:tcMar>
            <w:top w:w="142" w:type="dxa"/>
            <w:bottom w:w="0" w:type="dxa"/>
          </w:tcMar>
        </w:tcPr>
        <w:p w:rsidR="00FA271A" w:rsidRPr="00487162" w:rsidRDefault="00FA271A" w:rsidP="00FE1DEE">
          <w:pPr>
            <w:pStyle w:val="Footer"/>
          </w:pPr>
          <w:r w:rsidRPr="00487162">
            <w:t>Document title, Part #, Section # - Section title</w:t>
          </w:r>
        </w:p>
        <w:p w:rsidR="00FA271A" w:rsidRPr="00487162" w:rsidRDefault="00FA271A" w:rsidP="00FE1DEE">
          <w:pPr>
            <w:pStyle w:val="Footer"/>
          </w:pPr>
          <w:r w:rsidRPr="00487162">
            <w:t>V1.0 October 2010</w:t>
          </w:r>
        </w:p>
      </w:tc>
      <w:tc>
        <w:tcPr>
          <w:tcW w:w="4342" w:type="dxa"/>
          <w:tcBorders>
            <w:top w:val="single" w:sz="4" w:space="0" w:color="auto"/>
          </w:tcBorders>
          <w:tcMar>
            <w:top w:w="142" w:type="dxa"/>
            <w:bottom w:w="0" w:type="dxa"/>
          </w:tcMar>
        </w:tcPr>
        <w:p w:rsidR="00FA271A" w:rsidRPr="00487162" w:rsidRDefault="00FA271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D01137">
            <w:fldChar w:fldCharType="begin"/>
          </w:r>
          <w:r w:rsidR="00D01137">
            <w:instrText xml:space="preserve"> NUMPAGES  </w:instrText>
          </w:r>
          <w:r w:rsidR="00D01137">
            <w:fldChar w:fldCharType="separate"/>
          </w:r>
          <w:r>
            <w:rPr>
              <w:noProof/>
            </w:rPr>
            <w:t>3</w:t>
          </w:r>
          <w:r w:rsidR="00D01137">
            <w:rPr>
              <w:noProof/>
            </w:rPr>
            <w:fldChar w:fldCharType="end"/>
          </w:r>
        </w:p>
      </w:tc>
    </w:tr>
  </w:tbl>
  <w:p w:rsidR="00FA271A" w:rsidRDefault="00FA27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71A" w:rsidRDefault="00FA271A"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A271A" w:rsidTr="0010601F">
      <w:trPr>
        <w:trHeight w:val="108"/>
      </w:trPr>
      <w:tc>
        <w:tcPr>
          <w:tcW w:w="8875" w:type="dxa"/>
          <w:gridSpan w:val="2"/>
          <w:tcBorders>
            <w:bottom w:val="single" w:sz="4" w:space="0" w:color="auto"/>
          </w:tcBorders>
          <w:tcMar>
            <w:right w:w="284" w:type="dxa"/>
          </w:tcMar>
        </w:tcPr>
        <w:p w:rsidR="00FA271A" w:rsidRDefault="00FA271A" w:rsidP="006E08B3">
          <w:pPr>
            <w:pStyle w:val="Heading3"/>
          </w:pPr>
          <w:r>
            <w:t>Copyright</w:t>
          </w:r>
        </w:p>
        <w:p w:rsidR="00FA271A" w:rsidRDefault="00FA271A" w:rsidP="006E08B3">
          <w:r>
            <w:rPr>
              <w:rFonts w:cs="Arial"/>
            </w:rPr>
            <w:t>©</w:t>
          </w:r>
          <w:r>
            <w:t xml:space="preserve"> Commonwealth of Australia [add year]</w:t>
          </w:r>
        </w:p>
        <w:p w:rsidR="00FA271A" w:rsidRDefault="00FA271A" w:rsidP="006E08B3"/>
        <w:p w:rsidR="00FA271A" w:rsidRDefault="00FA271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A271A" w:rsidRDefault="00FA271A" w:rsidP="006E08B3"/>
        <w:p w:rsidR="00FA271A" w:rsidRDefault="00FA271A" w:rsidP="006E08B3">
          <w:pPr>
            <w:pStyle w:val="Heading3"/>
          </w:pPr>
          <w:r>
            <w:t>Confidentiality</w:t>
          </w:r>
        </w:p>
        <w:p w:rsidR="00FA271A" w:rsidRDefault="00FA271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A271A" w:rsidRDefault="00FA271A" w:rsidP="006E08B3"/>
        <w:p w:rsidR="00FA271A" w:rsidRDefault="00FA271A" w:rsidP="006E08B3">
          <w:r>
            <w:t>For submission made by individuals, all personal details, other than your name, will be removed from your submission before it is published on the TGA’s Internet site.</w:t>
          </w:r>
        </w:p>
        <w:p w:rsidR="00FA271A" w:rsidRDefault="00FA271A" w:rsidP="006E08B3"/>
        <w:p w:rsidR="00FA271A" w:rsidRDefault="00FA271A" w:rsidP="006E08B3">
          <w:r>
            <w:t>In addition, a list of parties making submissions will be published. If you do not wish to be identified with your submission you must specifically request this in the space provided ib the submission coversheet.</w:t>
          </w:r>
        </w:p>
      </w:tc>
    </w:tr>
    <w:tr w:rsidR="00FA271A" w:rsidTr="0010601F">
      <w:trPr>
        <w:trHeight w:val="417"/>
      </w:trPr>
      <w:tc>
        <w:tcPr>
          <w:tcW w:w="4519" w:type="dxa"/>
          <w:tcBorders>
            <w:top w:val="single" w:sz="4" w:space="0" w:color="auto"/>
          </w:tcBorders>
          <w:tcMar>
            <w:top w:w="142" w:type="dxa"/>
            <w:bottom w:w="0" w:type="dxa"/>
          </w:tcMar>
        </w:tcPr>
        <w:p w:rsidR="00FA271A" w:rsidRDefault="00FA271A" w:rsidP="006E08B3">
          <w:r>
            <w:t>Document title, Part #, Section # - Section title</w:t>
          </w:r>
        </w:p>
        <w:p w:rsidR="00FA271A" w:rsidRDefault="00FA271A" w:rsidP="006E08B3">
          <w:r>
            <w:t>V1.0 October 2010</w:t>
          </w:r>
        </w:p>
      </w:tc>
      <w:tc>
        <w:tcPr>
          <w:tcW w:w="4356" w:type="dxa"/>
          <w:tcBorders>
            <w:top w:val="single" w:sz="4" w:space="0" w:color="auto"/>
          </w:tcBorders>
          <w:tcMar>
            <w:top w:w="142" w:type="dxa"/>
            <w:bottom w:w="0" w:type="dxa"/>
          </w:tcMar>
        </w:tcPr>
        <w:p w:rsidR="00FA271A" w:rsidRDefault="00FA271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D01137">
            <w:fldChar w:fldCharType="begin"/>
          </w:r>
          <w:r w:rsidR="00D01137">
            <w:instrText xml:space="preserve"> NUMPAGES  \* Arabic </w:instrText>
          </w:r>
          <w:r w:rsidR="00D01137">
            <w:fldChar w:fldCharType="separate"/>
          </w:r>
          <w:r>
            <w:rPr>
              <w:noProof/>
            </w:rPr>
            <w:t>3</w:t>
          </w:r>
          <w:r w:rsidR="00D01137">
            <w:rPr>
              <w:noProof/>
            </w:rPr>
            <w:fldChar w:fldCharType="end"/>
          </w:r>
          <w:r>
            <w:t xml:space="preserve"> </w:t>
          </w:r>
        </w:p>
      </w:tc>
    </w:tr>
  </w:tbl>
  <w:p w:rsidR="00FA271A" w:rsidRDefault="00FA27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71A" w:rsidRDefault="00FA271A" w:rsidP="00C40A36">
      <w:pPr>
        <w:spacing w:after="0"/>
      </w:pPr>
      <w:r>
        <w:separator/>
      </w:r>
    </w:p>
  </w:footnote>
  <w:footnote w:type="continuationSeparator" w:id="0">
    <w:p w:rsidR="00FA271A" w:rsidRDefault="00FA271A" w:rsidP="00C40A36">
      <w:pPr>
        <w:spacing w:after="0"/>
      </w:pPr>
      <w:r>
        <w:continuationSeparator/>
      </w:r>
    </w:p>
  </w:footnote>
  <w:footnote w:id="1">
    <w:p w:rsidR="00FA271A" w:rsidRDefault="00FA271A">
      <w:pPr>
        <w:pStyle w:val="FootnoteText"/>
      </w:pPr>
      <w:r>
        <w:rPr>
          <w:rStyle w:val="FootnoteReference"/>
        </w:rPr>
        <w:footnoteRef/>
      </w:r>
      <w:r>
        <w:t xml:space="preserve"> </w:t>
      </w:r>
      <w:r w:rsidRPr="00DA3942">
        <w:t xml:space="preserve">Raghu G et al. </w:t>
      </w:r>
      <w:r w:rsidRPr="000E7CA2">
        <w:rPr>
          <w:i/>
        </w:rPr>
        <w:t>Am J Respir Crit Care Med</w:t>
      </w:r>
      <w:r w:rsidRPr="00DA3942">
        <w:t xml:space="preserve"> 2011; 183: 788–824 An Official ATS/ERS/JRS/ALAT Statement: Idiopathic Pulmonary Fibrosis: Evidence-based Guidelines for Diagnosis and Management</w:t>
      </w:r>
    </w:p>
  </w:footnote>
  <w:footnote w:id="2">
    <w:p w:rsidR="00FA271A" w:rsidRDefault="00FA271A">
      <w:pPr>
        <w:pStyle w:val="FootnoteText"/>
      </w:pPr>
      <w:r>
        <w:rPr>
          <w:rStyle w:val="FootnoteReference"/>
        </w:rPr>
        <w:footnoteRef/>
      </w:r>
      <w:r>
        <w:t xml:space="preserve"> </w:t>
      </w:r>
      <w:r w:rsidRPr="00DA3942">
        <w:t xml:space="preserve">Raghu G et al. </w:t>
      </w:r>
      <w:r w:rsidRPr="000E7CA2">
        <w:rPr>
          <w:i/>
        </w:rPr>
        <w:t>Am J Respir Crit Care Med</w:t>
      </w:r>
      <w:r w:rsidRPr="00DA3942">
        <w:t xml:space="preserve"> 1999; 159: 1061–1069</w:t>
      </w:r>
    </w:p>
  </w:footnote>
  <w:footnote w:id="3">
    <w:p w:rsidR="00FA271A" w:rsidRPr="00380800" w:rsidRDefault="00FA271A">
      <w:pPr>
        <w:pStyle w:val="FootnoteText"/>
        <w:rPr>
          <w:lang w:val="en-US"/>
        </w:rPr>
      </w:pPr>
      <w:r>
        <w:rPr>
          <w:rStyle w:val="FootnoteReference"/>
        </w:rPr>
        <w:footnoteRef/>
      </w:r>
      <w:r>
        <w:t xml:space="preserve"> </w:t>
      </w:r>
      <w:r w:rsidRPr="00380800">
        <w:t xml:space="preserve">Azuma A, et al. Double-blind, placebo-controlled trial of pirfenidone in patients with idiopathic pulmonary fibrosis. </w:t>
      </w:r>
      <w:r w:rsidRPr="000E7CA2">
        <w:rPr>
          <w:i/>
        </w:rPr>
        <w:t>Am J Respir Crit Care Med</w:t>
      </w:r>
      <w:r w:rsidRPr="00380800">
        <w:t xml:space="preserve"> 2005; 171: 1040–1047</w:t>
      </w:r>
    </w:p>
  </w:footnote>
  <w:footnote w:id="4">
    <w:p w:rsidR="00FA271A" w:rsidRPr="008701A7" w:rsidRDefault="00FA271A" w:rsidP="00C840D8">
      <w:pPr>
        <w:pStyle w:val="Footer"/>
      </w:pPr>
      <w:r>
        <w:rPr>
          <w:rStyle w:val="FootnoteReference"/>
        </w:rPr>
        <w:footnoteRef/>
      </w:r>
      <w:r>
        <w:t xml:space="preserve"> </w:t>
      </w:r>
      <w:r w:rsidRPr="007F32BD">
        <w:t>FEV</w:t>
      </w:r>
      <w:r w:rsidRPr="007F32BD">
        <w:rPr>
          <w:vertAlign w:val="subscript"/>
        </w:rPr>
        <w:t>1</w:t>
      </w:r>
      <w:r>
        <w:t xml:space="preserve"> = </w:t>
      </w:r>
      <w:r w:rsidRPr="00126306">
        <w:t>Volume that has been exhaled at the end of the first second of forced expiration</w:t>
      </w:r>
      <w:r>
        <w:t>.</w:t>
      </w:r>
    </w:p>
  </w:footnote>
  <w:footnote w:id="5">
    <w:p w:rsidR="00FA271A" w:rsidRPr="008701A7" w:rsidRDefault="00FA271A" w:rsidP="00C840D8">
      <w:pPr>
        <w:pStyle w:val="Footer"/>
        <w:rPr>
          <w:lang w:val="en-US"/>
        </w:rPr>
      </w:pPr>
      <w:r>
        <w:rPr>
          <w:rStyle w:val="FootnoteReference"/>
        </w:rPr>
        <w:footnoteRef/>
      </w:r>
      <w:r>
        <w:t xml:space="preserve"> </w:t>
      </w:r>
      <w:r w:rsidRPr="008701A7">
        <w:t>SpO</w:t>
      </w:r>
      <w:r w:rsidRPr="008701A7">
        <w:rPr>
          <w:vertAlign w:val="subscript"/>
        </w:rPr>
        <w:t>2</w:t>
      </w:r>
      <w:r>
        <w:rPr>
          <w:vertAlign w:val="subscript"/>
        </w:rPr>
        <w:t xml:space="preserve"> </w:t>
      </w:r>
      <w:r>
        <w:t>= Haemoglobin-Oxygen saturation of peripheral (mixed arterial-venous) circulation</w:t>
      </w:r>
    </w:p>
  </w:footnote>
  <w:footnote w:id="6">
    <w:p w:rsidR="00FA271A" w:rsidRPr="008701A7" w:rsidRDefault="00FA271A" w:rsidP="00C840D8">
      <w:pPr>
        <w:pStyle w:val="Footer"/>
        <w:rPr>
          <w:lang w:val="en-US"/>
        </w:rPr>
      </w:pPr>
      <w:r>
        <w:rPr>
          <w:rStyle w:val="FootnoteReference"/>
        </w:rPr>
        <w:footnoteRef/>
      </w:r>
      <w:r>
        <w:t xml:space="preserve"> </w:t>
      </w:r>
      <w:r w:rsidRPr="008701A7">
        <w:t>6MWT</w:t>
      </w:r>
      <w:r>
        <w:t xml:space="preserve"> = Six Minute Walk Test, a p</w:t>
      </w:r>
      <w:r w:rsidRPr="00C840D8">
        <w:t xml:space="preserve">erformance-based measure of functional exercise capacity </w:t>
      </w:r>
      <w:r>
        <w:t xml:space="preserve">used in many chronic diseases. </w:t>
      </w:r>
      <w:r w:rsidRPr="00C840D8">
        <w:t>Guyatt GH</w:t>
      </w:r>
      <w:r>
        <w:t xml:space="preserve"> et Al.</w:t>
      </w:r>
      <w:r w:rsidRPr="00C840D8">
        <w:t xml:space="preserve"> </w:t>
      </w:r>
      <w:r w:rsidRPr="008701A7">
        <w:t>The 6-minute walk: a new measure of exercise capacity in patients with chronic heart failure. Can Med Assoc J 1985; 132: 919–23.</w:t>
      </w:r>
    </w:p>
  </w:footnote>
  <w:footnote w:id="7">
    <w:p w:rsidR="00FA271A" w:rsidRPr="00C840D8" w:rsidRDefault="00FA271A" w:rsidP="00C840D8">
      <w:pPr>
        <w:pStyle w:val="Footer"/>
        <w:rPr>
          <w:lang w:val="en-US"/>
        </w:rPr>
      </w:pPr>
      <w:r>
        <w:rPr>
          <w:rStyle w:val="FootnoteReference"/>
        </w:rPr>
        <w:footnoteRef/>
      </w:r>
      <w:r>
        <w:t xml:space="preserve"> D</w:t>
      </w:r>
      <w:r w:rsidRPr="000E7CA2">
        <w:t>L</w:t>
      </w:r>
      <w:r w:rsidRPr="00C840D8">
        <w:rPr>
          <w:vertAlign w:val="subscript"/>
        </w:rPr>
        <w:t>CO</w:t>
      </w:r>
      <w:r>
        <w:t>/T</w:t>
      </w:r>
      <w:r w:rsidRPr="000E7CA2">
        <w:t>L</w:t>
      </w:r>
      <w:r w:rsidRPr="00C840D8">
        <w:rPr>
          <w:vertAlign w:val="subscript"/>
        </w:rPr>
        <w:t>CO</w:t>
      </w:r>
      <w:r>
        <w:t xml:space="preserve"> as described above is</w:t>
      </w:r>
      <w:r w:rsidRPr="00C840D8">
        <w:t xml:space="preserve"> the extent to which oxygen passes from the air s</w:t>
      </w:r>
      <w:r>
        <w:t>acs of the lungs into the blood and is a measure of the efficacy of alveolar gas exchange</w:t>
      </w:r>
    </w:p>
  </w:footnote>
  <w:footnote w:id="8">
    <w:p w:rsidR="00FA271A" w:rsidRPr="00633D58" w:rsidRDefault="00FA271A">
      <w:pPr>
        <w:pStyle w:val="FootnoteText"/>
        <w:rPr>
          <w:lang w:val="en-US"/>
        </w:rPr>
      </w:pPr>
      <w:r>
        <w:rPr>
          <w:rStyle w:val="FootnoteReference"/>
        </w:rPr>
        <w:footnoteRef/>
      </w:r>
      <w:r>
        <w:t xml:space="preserve"> Interactive Voice Response Systems (IVRS) allow touchpad telephones to record data, with some software systems allowing more complex tasks such as patient randomisation through randomisation algorithms.</w:t>
      </w:r>
    </w:p>
  </w:footnote>
  <w:footnote w:id="9">
    <w:p w:rsidR="00FA271A" w:rsidRPr="00633D58" w:rsidRDefault="00FA271A">
      <w:pPr>
        <w:pStyle w:val="FootnoteText"/>
        <w:rPr>
          <w:lang w:val="en-US"/>
        </w:rPr>
      </w:pPr>
      <w:r>
        <w:rPr>
          <w:rStyle w:val="FootnoteReference"/>
        </w:rPr>
        <w:footnoteRef/>
      </w:r>
      <w:r>
        <w:t xml:space="preserve"> PFT, ABG</w:t>
      </w:r>
    </w:p>
  </w:footnote>
  <w:footnote w:id="10">
    <w:p w:rsidR="00FA271A" w:rsidRPr="00633D58" w:rsidRDefault="00FA271A">
      <w:pPr>
        <w:pStyle w:val="FootnoteText"/>
        <w:rPr>
          <w:lang w:val="en-US"/>
        </w:rPr>
      </w:pPr>
      <w:r>
        <w:rPr>
          <w:rStyle w:val="FootnoteReference"/>
        </w:rPr>
        <w:footnoteRef/>
      </w:r>
      <w:r>
        <w:t xml:space="preserve"> SAP = Data management and data strategy software provider.</w:t>
      </w:r>
    </w:p>
  </w:footnote>
  <w:footnote w:id="11">
    <w:p w:rsidR="00FA271A" w:rsidRPr="00A16DEB" w:rsidRDefault="00FA271A">
      <w:pPr>
        <w:pStyle w:val="FootnoteText"/>
        <w:rPr>
          <w:lang w:val="en-US"/>
        </w:rPr>
      </w:pPr>
      <w:r>
        <w:rPr>
          <w:rStyle w:val="FootnoteReference"/>
        </w:rPr>
        <w:footnoteRef/>
      </w:r>
      <w:r>
        <w:t xml:space="preserve"> King TE Jr et al. A Phase 3 trial of </w:t>
      </w:r>
      <w:r w:rsidRPr="00A16DEB">
        <w:t>pirfenidone in patients with idiopathic pulmonary fibrosis.</w:t>
      </w:r>
      <w:r>
        <w:t xml:space="preserve"> </w:t>
      </w:r>
      <w:r w:rsidRPr="00CF2613">
        <w:t>N Engl J Me</w:t>
      </w:r>
      <w:r>
        <w:t>d. 2014; 370 :2083-2092.</w:t>
      </w:r>
    </w:p>
  </w:footnote>
  <w:footnote w:id="12">
    <w:p w:rsidR="00FA271A" w:rsidRPr="00343D13" w:rsidRDefault="00FA271A">
      <w:pPr>
        <w:pStyle w:val="FootnoteText"/>
        <w:rPr>
          <w:lang w:val="en-US"/>
        </w:rPr>
      </w:pPr>
      <w:r>
        <w:rPr>
          <w:rStyle w:val="FootnoteReference"/>
        </w:rPr>
        <w:footnoteRef/>
      </w:r>
      <w:r>
        <w:t xml:space="preserve"> </w:t>
      </w:r>
      <w:r>
        <w:rPr>
          <w:lang w:val="en-US"/>
        </w:rPr>
        <w:t xml:space="preserve">UCSD SOBQ = University of California San Diego Shortness Of Breath Questionnaire. A validated </w:t>
      </w:r>
      <w:r w:rsidRPr="00343D13">
        <w:rPr>
          <w:lang w:val="en-US"/>
        </w:rPr>
        <w:t>assessment tool in both clinical practice and research in patients with moderate-to-severe lung disease.</w:t>
      </w:r>
      <w:r>
        <w:rPr>
          <w:lang w:val="en-US"/>
        </w:rPr>
        <w:t xml:space="preserve"> Eakin EG et al. </w:t>
      </w:r>
      <w:r w:rsidRPr="00343D13">
        <w:rPr>
          <w:lang w:val="en-US"/>
        </w:rPr>
        <w:t>Validation of a new dyspnea measure: the UCSD Shortness of Breath Questionnaire. University of California, San Diego</w:t>
      </w:r>
      <w:r w:rsidRPr="007539DB">
        <w:rPr>
          <w:i/>
          <w:lang w:val="en-US"/>
        </w:rPr>
        <w:t>. Chest</w:t>
      </w:r>
      <w:r>
        <w:rPr>
          <w:lang w:val="en-US"/>
        </w:rPr>
        <w:t xml:space="preserve">. 1998; 113 </w:t>
      </w:r>
      <w:r w:rsidRPr="00343D13">
        <w:rPr>
          <w:lang w:val="en-US"/>
        </w:rPr>
        <w:t>:619-</w:t>
      </w:r>
      <w:r>
        <w:rPr>
          <w:lang w:val="en-US"/>
        </w:rPr>
        <w:t>6</w:t>
      </w:r>
      <w:r w:rsidRPr="00343D13">
        <w:rPr>
          <w:lang w:val="en-US"/>
        </w:rPr>
        <w:t>24.</w:t>
      </w:r>
    </w:p>
  </w:footnote>
  <w:footnote w:id="13">
    <w:p w:rsidR="00FA271A" w:rsidRPr="003B1573" w:rsidRDefault="00FA271A">
      <w:pPr>
        <w:pStyle w:val="FootnoteText"/>
        <w:rPr>
          <w:lang w:val="en-US"/>
        </w:rPr>
      </w:pPr>
      <w:r>
        <w:rPr>
          <w:rStyle w:val="FootnoteReference"/>
        </w:rPr>
        <w:footnoteRef/>
      </w:r>
      <w:r>
        <w:t xml:space="preserve"> Collard et al. 2003 (7)</w:t>
      </w:r>
    </w:p>
  </w:footnote>
  <w:footnote w:id="14">
    <w:p w:rsidR="00FA271A" w:rsidRPr="00583EB3" w:rsidRDefault="00FA271A">
      <w:pPr>
        <w:pStyle w:val="FootnoteText"/>
        <w:rPr>
          <w:rFonts w:ascii="Calibri" w:hAnsi="Calibri" w:cs="Calibri"/>
        </w:rPr>
      </w:pPr>
      <w:r>
        <w:rPr>
          <w:rStyle w:val="FootnoteReference"/>
        </w:rPr>
        <w:footnoteRef/>
      </w:r>
      <w:r>
        <w:t xml:space="preserve"> </w:t>
      </w:r>
      <w:r w:rsidRPr="006A39E3">
        <w:rPr>
          <w:rFonts w:ascii="Calibri" w:hAnsi="Calibri" w:cs="Calibri"/>
        </w:rPr>
        <w:t xml:space="preserve">du Bois et al. 2011 (8). </w:t>
      </w:r>
    </w:p>
  </w:footnote>
  <w:footnote w:id="15">
    <w:p w:rsidR="00FA271A" w:rsidRDefault="00FA271A">
      <w:pPr>
        <w:pStyle w:val="FootnoteText"/>
      </w:pPr>
      <w:r>
        <w:rPr>
          <w:rStyle w:val="FootnoteReference"/>
        </w:rPr>
        <w:footnoteRef/>
      </w:r>
      <w:r>
        <w:t xml:space="preserve"> </w:t>
      </w:r>
      <w:r w:rsidRPr="00782D8F">
        <w:t>du Bois R et al.</w:t>
      </w:r>
      <w:r>
        <w:t>(9)</w:t>
      </w:r>
      <w:r w:rsidRPr="00782D8F">
        <w:t xml:space="preserve"> Am J Respir Crit Care Med 2011; 184; 1382–1389</w:t>
      </w:r>
    </w:p>
  </w:footnote>
  <w:footnote w:id="16">
    <w:p w:rsidR="00FA271A" w:rsidRPr="00F438EE" w:rsidRDefault="00FA271A">
      <w:pPr>
        <w:pStyle w:val="FootnoteText"/>
        <w:rPr>
          <w:lang w:val="en-US"/>
        </w:rPr>
      </w:pPr>
      <w:r>
        <w:rPr>
          <w:rStyle w:val="FootnoteReference"/>
        </w:rPr>
        <w:footnoteRef/>
      </w:r>
      <w:r>
        <w:t xml:space="preserve"> </w:t>
      </w:r>
      <w:r>
        <w:rPr>
          <w:lang w:val="en-US"/>
        </w:rPr>
        <w:t xml:space="preserve">Ley B et al. </w:t>
      </w:r>
      <w:r w:rsidRPr="00F438EE">
        <w:rPr>
          <w:lang w:val="en-US"/>
        </w:rPr>
        <w:t>A Multidimensional Index and Staging System for Idiopathic Pulmonary Fibrosis</w:t>
      </w:r>
      <w:r>
        <w:rPr>
          <w:lang w:val="en-US"/>
        </w:rPr>
        <w:t xml:space="preserve">. </w:t>
      </w:r>
      <w:r w:rsidRPr="000E7CA2">
        <w:rPr>
          <w:i/>
          <w:lang w:val="en-US"/>
        </w:rPr>
        <w:t>Ann Intern Med</w:t>
      </w:r>
      <w:r w:rsidRPr="00F438EE">
        <w:rPr>
          <w:lang w:val="en-US"/>
        </w:rPr>
        <w:t>.</w:t>
      </w:r>
      <w:r>
        <w:rPr>
          <w:lang w:val="en-US"/>
        </w:rPr>
        <w:t xml:space="preserve"> 2012; 156</w:t>
      </w:r>
      <w:r w:rsidRPr="00F438EE">
        <w:rPr>
          <w:lang w:val="en-US"/>
        </w:rPr>
        <w:t>:</w:t>
      </w:r>
      <w:r>
        <w:rPr>
          <w:lang w:val="en-US"/>
        </w:rPr>
        <w:t xml:space="preserve"> </w:t>
      </w:r>
      <w:r w:rsidRPr="00F438EE">
        <w:rPr>
          <w:lang w:val="en-US"/>
        </w:rPr>
        <w:t>684-691.</w:t>
      </w:r>
    </w:p>
  </w:footnote>
  <w:footnote w:id="17">
    <w:p w:rsidR="00FA271A" w:rsidRPr="00DF10F2" w:rsidRDefault="00FA271A">
      <w:pPr>
        <w:pStyle w:val="FootnoteText"/>
        <w:rPr>
          <w:lang w:val="en-US"/>
        </w:rPr>
      </w:pPr>
      <w:r>
        <w:rPr>
          <w:rStyle w:val="FootnoteReference"/>
        </w:rPr>
        <w:footnoteRef/>
      </w:r>
      <w:r>
        <w:t xml:space="preserve"> </w:t>
      </w:r>
      <w:r>
        <w:rPr>
          <w:lang w:val="en-US"/>
        </w:rPr>
        <w:t>MedDRA SMQ = Medical Dictionary for Regulatory Activities, Standardised MedDRA Queries are tools developed to facilitate retrieval of MedDRA coded data in the investigation of drug safety issues in Pharmacovigilance and clinical development.</w:t>
      </w:r>
    </w:p>
  </w:footnote>
  <w:footnote w:id="18">
    <w:p w:rsidR="00FA271A" w:rsidRPr="00BC7605" w:rsidRDefault="00FA271A">
      <w:pPr>
        <w:pStyle w:val="FootnoteText"/>
        <w:rPr>
          <w:lang w:val="en-US"/>
        </w:rPr>
      </w:pPr>
      <w:r>
        <w:rPr>
          <w:rStyle w:val="FootnoteReference"/>
        </w:rPr>
        <w:footnoteRef/>
      </w:r>
      <w:r>
        <w:t xml:space="preserve"> </w:t>
      </w:r>
      <w:r>
        <w:rPr>
          <w:lang w:val="en-US"/>
        </w:rPr>
        <w:t>SmPC = Summary of Product Characteristics</w:t>
      </w:r>
    </w:p>
  </w:footnote>
  <w:footnote w:id="19">
    <w:p w:rsidR="00FA271A" w:rsidRPr="00D319FB" w:rsidRDefault="00FA271A">
      <w:pPr>
        <w:pStyle w:val="FootnoteText"/>
        <w:rPr>
          <w:lang w:val="en-US"/>
        </w:rPr>
      </w:pPr>
      <w:r>
        <w:rPr>
          <w:rStyle w:val="FootnoteReference"/>
        </w:rPr>
        <w:footnoteRef/>
      </w:r>
      <w:r>
        <w:t xml:space="preserve"> </w:t>
      </w:r>
      <w:r>
        <w:rPr>
          <w:lang w:val="en-US"/>
        </w:rPr>
        <w:t>Hy’s Law = Based on observations by Hy Zimmerman (scholar in drug</w:t>
      </w:r>
      <w:r>
        <w:rPr>
          <w:lang w:val="en-US"/>
        </w:rPr>
        <w:noBreakHyphen/>
        <w:t xml:space="preserve">induced liver injury) Hy's law suggests </w:t>
      </w:r>
      <w:r w:rsidRPr="00D319FB">
        <w:rPr>
          <w:lang w:val="en-US"/>
        </w:rPr>
        <w:t xml:space="preserve">that a drug is at high risk of causing a </w:t>
      </w:r>
      <w:r>
        <w:rPr>
          <w:lang w:val="en-US"/>
        </w:rPr>
        <w:t>fatal drug-induced liver injury</w:t>
      </w:r>
      <w:r w:rsidRPr="00D319FB">
        <w:rPr>
          <w:lang w:val="en-US"/>
        </w:rPr>
        <w:t xml:space="preserve"> w</w:t>
      </w:r>
      <w:r>
        <w:rPr>
          <w:lang w:val="en-US"/>
        </w:rPr>
        <w:t>hen given to a large population if changes in laboratory parameters according to specific criteria are seen when the drug is given to a smaller population.</w:t>
      </w:r>
    </w:p>
  </w:footnote>
  <w:footnote w:id="20">
    <w:p w:rsidR="00FA271A" w:rsidRPr="002713DE" w:rsidRDefault="00FA271A">
      <w:pPr>
        <w:pStyle w:val="FootnoteText"/>
        <w:rPr>
          <w:lang w:val="en-US"/>
        </w:rPr>
      </w:pPr>
      <w:r>
        <w:rPr>
          <w:rStyle w:val="FootnoteReference"/>
        </w:rPr>
        <w:footnoteRef/>
      </w:r>
      <w:r>
        <w:t xml:space="preserve"> </w:t>
      </w:r>
      <w:r>
        <w:rPr>
          <w:lang w:val="en-US"/>
        </w:rPr>
        <w:t>QTcB = QT-interval corrected for heart rate using Bazett’s correction formula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71A" w:rsidRDefault="00FA271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71A" w:rsidRDefault="00FA271A">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A271A" w:rsidRDefault="00FA271A"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71A" w:rsidRDefault="00FA271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71A" w:rsidRDefault="00FA271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71A" w:rsidRDefault="00FA271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71A" w:rsidRDefault="00FA271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71A" w:rsidRDefault="00FA271A"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71A" w:rsidRDefault="00FA271A" w:rsidP="006E08B3">
    <w:r>
      <w:t>Therapeutic Goods Administration</w:t>
    </w:r>
  </w:p>
  <w:p w:rsidR="00FA271A" w:rsidRDefault="00FA271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1504F36"/>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EB27932"/>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CCB2758A"/>
    <w:lvl w:ilvl="0">
      <w:start w:val="1"/>
      <w:numFmt w:val="bullet"/>
      <w:lvlText w:val=""/>
      <w:lvlJc w:val="left"/>
      <w:pPr>
        <w:tabs>
          <w:tab w:val="num" w:pos="360"/>
        </w:tabs>
        <w:ind w:left="360" w:hanging="360"/>
      </w:pPr>
      <w:rPr>
        <w:rFonts w:ascii="Symbol" w:hAnsi="Symbol" w:hint="default"/>
      </w:rPr>
    </w:lvl>
  </w:abstractNum>
  <w:abstractNum w:abstractNumId="3">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00843EB"/>
    <w:multiLevelType w:val="hybridMultilevel"/>
    <w:tmpl w:val="88B89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4C2154F1"/>
    <w:multiLevelType w:val="hybridMultilevel"/>
    <w:tmpl w:val="5EDCA8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503124CA"/>
    <w:multiLevelType w:val="hybridMultilevel"/>
    <w:tmpl w:val="9CF01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7076D7D"/>
    <w:multiLevelType w:val="multilevel"/>
    <w:tmpl w:val="DC9CF01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844"/>
        </w:tabs>
        <w:ind w:left="1844" w:hanging="1134"/>
      </w:pPr>
      <w:rPr>
        <w:rFonts w:hint="default"/>
        <w:color w:val="auto"/>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2">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3">
    <w:nsid w:val="6D0B1B75"/>
    <w:multiLevelType w:val="multilevel"/>
    <w:tmpl w:val="F0A6ADBA"/>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306"/>
        </w:tabs>
        <w:ind w:left="1306" w:hanging="1022"/>
      </w:pPr>
      <w:rPr>
        <w:rFonts w:hint="default"/>
      </w:rPr>
    </w:lvl>
    <w:lvl w:ilvl="2">
      <w:start w:val="1"/>
      <w:numFmt w:val="decimal"/>
      <w:pStyle w:val="Heading4"/>
      <w:lvlText w:val="%1.%2.%3."/>
      <w:lvlJc w:val="left"/>
      <w:pPr>
        <w:tabs>
          <w:tab w:val="num" w:pos="1134"/>
        </w:tabs>
        <w:ind w:left="1134" w:hanging="964"/>
      </w:pPr>
      <w:rPr>
        <w:rFonts w:hint="default"/>
        <w:b/>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4">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6DAE78BB"/>
    <w:multiLevelType w:val="hybridMultilevel"/>
    <w:tmpl w:val="05CCC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9BF602B"/>
    <w:multiLevelType w:val="hybridMultilevel"/>
    <w:tmpl w:val="EAE04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6"/>
  </w:num>
  <w:num w:numId="4">
    <w:abstractNumId w:val="4"/>
    <w:lvlOverride w:ilvl="0">
      <w:lvl w:ilvl="0">
        <w:start w:val="1"/>
        <w:numFmt w:val="decimal"/>
        <w:pStyle w:val="Numberbullet0"/>
        <w:lvlText w:val="%1."/>
        <w:lvlJc w:val="left"/>
        <w:pPr>
          <w:ind w:left="851" w:hanging="425"/>
        </w:pPr>
        <w:rPr>
          <w:rFonts w:ascii="Cambria" w:hAnsi="Cambria" w:hint="default"/>
        </w:rPr>
      </w:lvl>
    </w:lvlOverride>
    <w:lvlOverride w:ilvl="1">
      <w:lvl w:ilvl="1">
        <w:start w:val="1"/>
        <w:numFmt w:val="lowerLetter"/>
        <w:pStyle w:val="Numberbullet2"/>
        <w:lvlText w:val="%2."/>
        <w:lvlJc w:val="left"/>
        <w:pPr>
          <w:ind w:left="1277" w:hanging="426"/>
        </w:pPr>
        <w:rPr>
          <w:rFonts w:hint="default"/>
        </w:rPr>
      </w:lvl>
    </w:lvlOverride>
    <w:lvlOverride w:ilvl="2">
      <w:lvl w:ilvl="2">
        <w:start w:val="1"/>
        <w:numFmt w:val="lowerRoman"/>
        <w:pStyle w:val="Numberbullet3"/>
        <w:lvlText w:val="%3."/>
        <w:lvlJc w:val="left"/>
        <w:pPr>
          <w:ind w:left="1702" w:hanging="425"/>
        </w:pPr>
        <w:rPr>
          <w:rFonts w:hint="default"/>
        </w:rPr>
      </w:lvl>
    </w:lvlOverride>
    <w:lvlOverride w:ilvl="3">
      <w:lvl w:ilvl="3">
        <w:start w:val="1"/>
        <w:numFmt w:val="none"/>
        <w:lvlText w:val=""/>
        <w:lvlJc w:val="left"/>
        <w:pPr>
          <w:ind w:left="1702" w:hanging="425"/>
        </w:pPr>
        <w:rPr>
          <w:rFonts w:hint="default"/>
        </w:rPr>
      </w:lvl>
    </w:lvlOverride>
    <w:lvlOverride w:ilvl="4">
      <w:lvl w:ilvl="4">
        <w:start w:val="1"/>
        <w:numFmt w:val="none"/>
        <w:lvlText w:val=""/>
        <w:lvlJc w:val="left"/>
        <w:pPr>
          <w:ind w:left="1702" w:hanging="425"/>
        </w:pPr>
        <w:rPr>
          <w:rFonts w:hint="default"/>
        </w:rPr>
      </w:lvl>
    </w:lvlOverride>
    <w:lvlOverride w:ilvl="5">
      <w:lvl w:ilvl="5">
        <w:start w:val="1"/>
        <w:numFmt w:val="none"/>
        <w:lvlText w:val=""/>
        <w:lvlJc w:val="left"/>
        <w:pPr>
          <w:ind w:left="1702" w:hanging="425"/>
        </w:pPr>
        <w:rPr>
          <w:rFonts w:hint="default"/>
        </w:rPr>
      </w:lvl>
    </w:lvlOverride>
    <w:lvlOverride w:ilvl="6">
      <w:lvl w:ilvl="6">
        <w:start w:val="1"/>
        <w:numFmt w:val="none"/>
        <w:lvlText w:val="%7"/>
        <w:lvlJc w:val="left"/>
        <w:pPr>
          <w:ind w:left="1702" w:hanging="425"/>
        </w:pPr>
        <w:rPr>
          <w:rFonts w:hint="default"/>
        </w:rPr>
      </w:lvl>
    </w:lvlOverride>
    <w:lvlOverride w:ilvl="7">
      <w:lvl w:ilvl="7">
        <w:start w:val="1"/>
        <w:numFmt w:val="none"/>
        <w:lvlText w:val=""/>
        <w:lvlJc w:val="left"/>
        <w:pPr>
          <w:ind w:left="1702" w:hanging="425"/>
        </w:pPr>
        <w:rPr>
          <w:rFonts w:hint="default"/>
        </w:rPr>
      </w:lvl>
    </w:lvlOverride>
    <w:lvlOverride w:ilvl="8">
      <w:lvl w:ilvl="8">
        <w:start w:val="1"/>
        <w:numFmt w:val="none"/>
        <w:lvlText w:val=""/>
        <w:lvlJc w:val="left"/>
        <w:pPr>
          <w:ind w:left="1702" w:hanging="425"/>
        </w:pPr>
        <w:rPr>
          <w:rFonts w:hint="default"/>
        </w:rPr>
      </w:lvl>
    </w:lvlOverride>
  </w:num>
  <w:num w:numId="5">
    <w:abstractNumId w:val="13"/>
  </w:num>
  <w:num w:numId="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4"/>
  </w:num>
  <w:num w:numId="11">
    <w:abstractNumId w:val="8"/>
  </w:num>
  <w:num w:numId="12">
    <w:abstractNumId w:val="3"/>
  </w:num>
  <w:num w:numId="13">
    <w:abstractNumId w:val="12"/>
  </w:num>
  <w:num w:numId="14">
    <w:abstractNumId w:val="11"/>
  </w:num>
  <w:num w:numId="15">
    <w:abstractNumId w:val="16"/>
  </w:num>
  <w:num w:numId="16">
    <w:abstractNumId w:val="10"/>
  </w:num>
  <w:num w:numId="17">
    <w:abstractNumId w:val="7"/>
  </w:num>
  <w:num w:numId="18">
    <w:abstractNumId w:val="9"/>
  </w:num>
  <w:num w:numId="19">
    <w:abstractNumId w:val="5"/>
  </w:num>
  <w:num w:numId="20">
    <w:abstractNumId w:val="4"/>
    <w:lvlOverride w:ilvl="0">
      <w:startOverride w:val="1"/>
      <w:lvl w:ilvl="0">
        <w:start w:val="1"/>
        <w:numFmt w:val="decimal"/>
        <w:pStyle w:val="Numberbullet0"/>
        <w:lvlText w:val="%1."/>
        <w:lvlJc w:val="left"/>
        <w:pPr>
          <w:ind w:left="850" w:hanging="425"/>
        </w:pPr>
        <w:rPr>
          <w:rFonts w:ascii="Cambria" w:hAnsi="Cambria" w:hint="default"/>
        </w:rPr>
      </w:lvl>
    </w:lvlOverride>
    <w:lvlOverride w:ilvl="1">
      <w:startOverride w:val="1"/>
      <w:lvl w:ilvl="1">
        <w:start w:val="1"/>
        <w:numFmt w:val="lowerLetter"/>
        <w:pStyle w:val="Numberbullet2"/>
        <w:lvlText w:val="%2."/>
        <w:lvlJc w:val="left"/>
        <w:pPr>
          <w:ind w:left="1276" w:hanging="426"/>
        </w:pPr>
        <w:rPr>
          <w:rFonts w:hint="default"/>
        </w:rPr>
      </w:lvl>
    </w:lvlOverride>
    <w:lvlOverride w:ilvl="2">
      <w:startOverride w:val="1"/>
      <w:lvl w:ilvl="2">
        <w:start w:val="1"/>
        <w:numFmt w:val="lowerRoman"/>
        <w:pStyle w:val="Numberbullet3"/>
        <w:lvlText w:val="%3."/>
        <w:lvlJc w:val="left"/>
        <w:pPr>
          <w:ind w:left="1701" w:hanging="425"/>
        </w:pPr>
        <w:rPr>
          <w:rFonts w:hint="default"/>
        </w:rPr>
      </w:lvl>
    </w:lvlOverride>
    <w:lvlOverride w:ilvl="3">
      <w:startOverride w:val="1"/>
      <w:lvl w:ilvl="3">
        <w:start w:val="1"/>
        <w:numFmt w:val="none"/>
        <w:lvlText w:val=""/>
        <w:lvlJc w:val="left"/>
        <w:pPr>
          <w:ind w:left="1701" w:hanging="425"/>
        </w:pPr>
        <w:rPr>
          <w:rFonts w:hint="default"/>
        </w:rPr>
      </w:lvl>
    </w:lvlOverride>
    <w:lvlOverride w:ilvl="4">
      <w:startOverride w:val="1"/>
      <w:lvl w:ilvl="4">
        <w:start w:val="1"/>
        <w:numFmt w:val="none"/>
        <w:lvlText w:val=""/>
        <w:lvlJc w:val="left"/>
        <w:pPr>
          <w:ind w:left="1701" w:hanging="425"/>
        </w:pPr>
        <w:rPr>
          <w:rFonts w:hint="default"/>
        </w:rPr>
      </w:lvl>
    </w:lvlOverride>
    <w:lvlOverride w:ilvl="5">
      <w:startOverride w:val="1"/>
      <w:lvl w:ilvl="5">
        <w:start w:val="1"/>
        <w:numFmt w:val="none"/>
        <w:lvlText w:val=""/>
        <w:lvlJc w:val="left"/>
        <w:pPr>
          <w:ind w:left="1701" w:hanging="425"/>
        </w:pPr>
        <w:rPr>
          <w:rFonts w:hint="default"/>
        </w:rPr>
      </w:lvl>
    </w:lvlOverride>
    <w:lvlOverride w:ilvl="6">
      <w:startOverride w:val="1"/>
      <w:lvl w:ilvl="6">
        <w:start w:val="1"/>
        <w:numFmt w:val="none"/>
        <w:lvlText w:val="%7"/>
        <w:lvlJc w:val="left"/>
        <w:pPr>
          <w:ind w:left="1701" w:hanging="425"/>
        </w:pPr>
        <w:rPr>
          <w:rFonts w:hint="default"/>
        </w:rPr>
      </w:lvl>
    </w:lvlOverride>
    <w:lvlOverride w:ilvl="7">
      <w:startOverride w:val="1"/>
      <w:lvl w:ilvl="7">
        <w:start w:val="1"/>
        <w:numFmt w:val="none"/>
        <w:lvlText w:val=""/>
        <w:lvlJc w:val="left"/>
        <w:pPr>
          <w:ind w:left="1701" w:hanging="425"/>
        </w:pPr>
        <w:rPr>
          <w:rFonts w:hint="default"/>
        </w:rPr>
      </w:lvl>
    </w:lvlOverride>
    <w:lvlOverride w:ilvl="8">
      <w:startOverride w:val="1"/>
      <w:lvl w:ilvl="8">
        <w:start w:val="1"/>
        <w:numFmt w:val="none"/>
        <w:lvlText w:val=""/>
        <w:lvlJc w:val="left"/>
        <w:pPr>
          <w:ind w:left="1701" w:hanging="425"/>
        </w:pPr>
        <w:rPr>
          <w:rFonts w:hint="default"/>
        </w:rPr>
      </w:lvl>
    </w:lvlOverride>
  </w:num>
  <w:num w:numId="21">
    <w:abstractNumId w:val="2"/>
  </w:num>
  <w:num w:numId="22">
    <w:abstractNumId w:val="1"/>
  </w:num>
  <w:num w:numId="23">
    <w:abstractNumId w:val="0"/>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71C"/>
    <w:rsid w:val="00001402"/>
    <w:rsid w:val="00002031"/>
    <w:rsid w:val="00004734"/>
    <w:rsid w:val="00006B22"/>
    <w:rsid w:val="0001276A"/>
    <w:rsid w:val="00014231"/>
    <w:rsid w:val="000246AE"/>
    <w:rsid w:val="00025C67"/>
    <w:rsid w:val="00040ACB"/>
    <w:rsid w:val="0005559E"/>
    <w:rsid w:val="00077775"/>
    <w:rsid w:val="00085A57"/>
    <w:rsid w:val="000878A7"/>
    <w:rsid w:val="00090471"/>
    <w:rsid w:val="00097B5E"/>
    <w:rsid w:val="000A32D7"/>
    <w:rsid w:val="000A3AED"/>
    <w:rsid w:val="000A63AF"/>
    <w:rsid w:val="000B0709"/>
    <w:rsid w:val="000B3532"/>
    <w:rsid w:val="000B3A75"/>
    <w:rsid w:val="000B6AC6"/>
    <w:rsid w:val="000C690F"/>
    <w:rsid w:val="000D1295"/>
    <w:rsid w:val="000D391B"/>
    <w:rsid w:val="000D3D6D"/>
    <w:rsid w:val="000D4FC7"/>
    <w:rsid w:val="000E7CA2"/>
    <w:rsid w:val="000F02F9"/>
    <w:rsid w:val="000F4869"/>
    <w:rsid w:val="000F5B42"/>
    <w:rsid w:val="000F6E6F"/>
    <w:rsid w:val="0010193C"/>
    <w:rsid w:val="00104613"/>
    <w:rsid w:val="0010601F"/>
    <w:rsid w:val="0010788A"/>
    <w:rsid w:val="00107A31"/>
    <w:rsid w:val="001103E2"/>
    <w:rsid w:val="00110EA5"/>
    <w:rsid w:val="00112F56"/>
    <w:rsid w:val="0011371C"/>
    <w:rsid w:val="00114915"/>
    <w:rsid w:val="00115501"/>
    <w:rsid w:val="0012265A"/>
    <w:rsid w:val="00125318"/>
    <w:rsid w:val="00126306"/>
    <w:rsid w:val="001305A2"/>
    <w:rsid w:val="0013255B"/>
    <w:rsid w:val="00133238"/>
    <w:rsid w:val="0014197B"/>
    <w:rsid w:val="001447CD"/>
    <w:rsid w:val="001516B1"/>
    <w:rsid w:val="00154EBB"/>
    <w:rsid w:val="00156316"/>
    <w:rsid w:val="00165389"/>
    <w:rsid w:val="0017078F"/>
    <w:rsid w:val="0017693F"/>
    <w:rsid w:val="0018110E"/>
    <w:rsid w:val="00181684"/>
    <w:rsid w:val="001843C6"/>
    <w:rsid w:val="001848CA"/>
    <w:rsid w:val="001850E0"/>
    <w:rsid w:val="001941F5"/>
    <w:rsid w:val="001A0278"/>
    <w:rsid w:val="001A2158"/>
    <w:rsid w:val="001A525F"/>
    <w:rsid w:val="001B09F9"/>
    <w:rsid w:val="001B5D98"/>
    <w:rsid w:val="001B6448"/>
    <w:rsid w:val="001C657B"/>
    <w:rsid w:val="001E07CF"/>
    <w:rsid w:val="001E59F1"/>
    <w:rsid w:val="001F497A"/>
    <w:rsid w:val="001F49EB"/>
    <w:rsid w:val="001F567F"/>
    <w:rsid w:val="001F6CBA"/>
    <w:rsid w:val="001F7C83"/>
    <w:rsid w:val="00201D4E"/>
    <w:rsid w:val="00206C63"/>
    <w:rsid w:val="002076C9"/>
    <w:rsid w:val="00220B8A"/>
    <w:rsid w:val="002257F3"/>
    <w:rsid w:val="002275F8"/>
    <w:rsid w:val="00233456"/>
    <w:rsid w:val="002339A5"/>
    <w:rsid w:val="00257848"/>
    <w:rsid w:val="002666AC"/>
    <w:rsid w:val="0027084A"/>
    <w:rsid w:val="002713DE"/>
    <w:rsid w:val="00273B92"/>
    <w:rsid w:val="00286434"/>
    <w:rsid w:val="00286C59"/>
    <w:rsid w:val="00292113"/>
    <w:rsid w:val="002942D1"/>
    <w:rsid w:val="0029501A"/>
    <w:rsid w:val="002A3062"/>
    <w:rsid w:val="002B1638"/>
    <w:rsid w:val="002B23BD"/>
    <w:rsid w:val="002C63ED"/>
    <w:rsid w:val="002D545C"/>
    <w:rsid w:val="002D6161"/>
    <w:rsid w:val="002D6E5A"/>
    <w:rsid w:val="002E4C9A"/>
    <w:rsid w:val="002F11F8"/>
    <w:rsid w:val="002F3F56"/>
    <w:rsid w:val="002F44B5"/>
    <w:rsid w:val="00304D17"/>
    <w:rsid w:val="00311AC0"/>
    <w:rsid w:val="0032583B"/>
    <w:rsid w:val="00327883"/>
    <w:rsid w:val="00335504"/>
    <w:rsid w:val="003410B6"/>
    <w:rsid w:val="00343D13"/>
    <w:rsid w:val="003463B7"/>
    <w:rsid w:val="00351A53"/>
    <w:rsid w:val="003521E8"/>
    <w:rsid w:val="003654FB"/>
    <w:rsid w:val="003728F3"/>
    <w:rsid w:val="00373D76"/>
    <w:rsid w:val="0037496E"/>
    <w:rsid w:val="0037623D"/>
    <w:rsid w:val="00380800"/>
    <w:rsid w:val="00386150"/>
    <w:rsid w:val="003874CE"/>
    <w:rsid w:val="00390900"/>
    <w:rsid w:val="003910E1"/>
    <w:rsid w:val="0039191D"/>
    <w:rsid w:val="00396C92"/>
    <w:rsid w:val="003A7F6C"/>
    <w:rsid w:val="003B1113"/>
    <w:rsid w:val="003B1573"/>
    <w:rsid w:val="003B4D60"/>
    <w:rsid w:val="003B634F"/>
    <w:rsid w:val="003B7E39"/>
    <w:rsid w:val="003C07D6"/>
    <w:rsid w:val="003C58DC"/>
    <w:rsid w:val="003D0A3B"/>
    <w:rsid w:val="003D1E62"/>
    <w:rsid w:val="003D5D25"/>
    <w:rsid w:val="003D688E"/>
    <w:rsid w:val="003E2486"/>
    <w:rsid w:val="003E3208"/>
    <w:rsid w:val="003F0B04"/>
    <w:rsid w:val="003F508A"/>
    <w:rsid w:val="003F616D"/>
    <w:rsid w:val="0040134E"/>
    <w:rsid w:val="00411BEC"/>
    <w:rsid w:val="00415D59"/>
    <w:rsid w:val="004173AC"/>
    <w:rsid w:val="0041743B"/>
    <w:rsid w:val="004223C5"/>
    <w:rsid w:val="0043797D"/>
    <w:rsid w:val="00440A2D"/>
    <w:rsid w:val="00445E08"/>
    <w:rsid w:val="0045527B"/>
    <w:rsid w:val="004564A7"/>
    <w:rsid w:val="004617BF"/>
    <w:rsid w:val="00463658"/>
    <w:rsid w:val="00466793"/>
    <w:rsid w:val="004722CC"/>
    <w:rsid w:val="00480FE0"/>
    <w:rsid w:val="004936E4"/>
    <w:rsid w:val="0049386B"/>
    <w:rsid w:val="00494E60"/>
    <w:rsid w:val="00497487"/>
    <w:rsid w:val="004A7E13"/>
    <w:rsid w:val="004B19F6"/>
    <w:rsid w:val="004B3FDE"/>
    <w:rsid w:val="004B7B76"/>
    <w:rsid w:val="004C2DCA"/>
    <w:rsid w:val="004C3F03"/>
    <w:rsid w:val="004E5B32"/>
    <w:rsid w:val="004F0F38"/>
    <w:rsid w:val="004F4AF5"/>
    <w:rsid w:val="00501921"/>
    <w:rsid w:val="00503F21"/>
    <w:rsid w:val="005173DE"/>
    <w:rsid w:val="00522355"/>
    <w:rsid w:val="00530354"/>
    <w:rsid w:val="0053625B"/>
    <w:rsid w:val="005434C6"/>
    <w:rsid w:val="00543B39"/>
    <w:rsid w:val="00550096"/>
    <w:rsid w:val="00557FF9"/>
    <w:rsid w:val="0056570D"/>
    <w:rsid w:val="00574B03"/>
    <w:rsid w:val="00576378"/>
    <w:rsid w:val="00577945"/>
    <w:rsid w:val="00577E38"/>
    <w:rsid w:val="005806D5"/>
    <w:rsid w:val="00583EB3"/>
    <w:rsid w:val="00585322"/>
    <w:rsid w:val="005857C6"/>
    <w:rsid w:val="00586F98"/>
    <w:rsid w:val="00592F6E"/>
    <w:rsid w:val="00593AD1"/>
    <w:rsid w:val="005A68B6"/>
    <w:rsid w:val="005B275F"/>
    <w:rsid w:val="005C1B9D"/>
    <w:rsid w:val="005C5570"/>
    <w:rsid w:val="005C79A4"/>
    <w:rsid w:val="005D2037"/>
    <w:rsid w:val="005D4858"/>
    <w:rsid w:val="005D5442"/>
    <w:rsid w:val="00603F32"/>
    <w:rsid w:val="006170F0"/>
    <w:rsid w:val="00620406"/>
    <w:rsid w:val="00621EA0"/>
    <w:rsid w:val="006261DC"/>
    <w:rsid w:val="00626E08"/>
    <w:rsid w:val="00630199"/>
    <w:rsid w:val="00632398"/>
    <w:rsid w:val="00633D58"/>
    <w:rsid w:val="006375D7"/>
    <w:rsid w:val="00640FC3"/>
    <w:rsid w:val="00642020"/>
    <w:rsid w:val="00646206"/>
    <w:rsid w:val="0065337B"/>
    <w:rsid w:val="0065419D"/>
    <w:rsid w:val="006604D8"/>
    <w:rsid w:val="00664A5B"/>
    <w:rsid w:val="006763D2"/>
    <w:rsid w:val="00680C08"/>
    <w:rsid w:val="00683C20"/>
    <w:rsid w:val="006908B3"/>
    <w:rsid w:val="006931B1"/>
    <w:rsid w:val="006A04AC"/>
    <w:rsid w:val="006A15C0"/>
    <w:rsid w:val="006A1ED3"/>
    <w:rsid w:val="006A4419"/>
    <w:rsid w:val="006B33B2"/>
    <w:rsid w:val="006B4C50"/>
    <w:rsid w:val="006C130C"/>
    <w:rsid w:val="006C3E2A"/>
    <w:rsid w:val="006C642F"/>
    <w:rsid w:val="006D03E5"/>
    <w:rsid w:val="006D1A2C"/>
    <w:rsid w:val="006D5D3E"/>
    <w:rsid w:val="006D6BB0"/>
    <w:rsid w:val="006E08B3"/>
    <w:rsid w:val="006F04B4"/>
    <w:rsid w:val="006F17AC"/>
    <w:rsid w:val="006F1D37"/>
    <w:rsid w:val="006F26D0"/>
    <w:rsid w:val="006F2796"/>
    <w:rsid w:val="006F572E"/>
    <w:rsid w:val="007046D6"/>
    <w:rsid w:val="00705DB0"/>
    <w:rsid w:val="0071359E"/>
    <w:rsid w:val="00722B57"/>
    <w:rsid w:val="00725883"/>
    <w:rsid w:val="00741B13"/>
    <w:rsid w:val="0074253D"/>
    <w:rsid w:val="0074429B"/>
    <w:rsid w:val="007513B4"/>
    <w:rsid w:val="00753043"/>
    <w:rsid w:val="007539DB"/>
    <w:rsid w:val="007615BC"/>
    <w:rsid w:val="00762F05"/>
    <w:rsid w:val="007652FF"/>
    <w:rsid w:val="00770EF1"/>
    <w:rsid w:val="00773EF7"/>
    <w:rsid w:val="00774E1D"/>
    <w:rsid w:val="0077675A"/>
    <w:rsid w:val="00780355"/>
    <w:rsid w:val="00782D8F"/>
    <w:rsid w:val="00785721"/>
    <w:rsid w:val="00793A59"/>
    <w:rsid w:val="00794FC6"/>
    <w:rsid w:val="007B6CE8"/>
    <w:rsid w:val="007B6E9F"/>
    <w:rsid w:val="007C1216"/>
    <w:rsid w:val="007C1AF7"/>
    <w:rsid w:val="007C37EF"/>
    <w:rsid w:val="007E6E27"/>
    <w:rsid w:val="007F3E00"/>
    <w:rsid w:val="00805D27"/>
    <w:rsid w:val="00821776"/>
    <w:rsid w:val="008321F5"/>
    <w:rsid w:val="00832369"/>
    <w:rsid w:val="008340CD"/>
    <w:rsid w:val="00834660"/>
    <w:rsid w:val="00836BC2"/>
    <w:rsid w:val="008414A0"/>
    <w:rsid w:val="0085250F"/>
    <w:rsid w:val="008527B7"/>
    <w:rsid w:val="0085641B"/>
    <w:rsid w:val="00857136"/>
    <w:rsid w:val="008701A7"/>
    <w:rsid w:val="00886D15"/>
    <w:rsid w:val="00887DD8"/>
    <w:rsid w:val="00896018"/>
    <w:rsid w:val="008960DD"/>
    <w:rsid w:val="0089635C"/>
    <w:rsid w:val="008A2B9D"/>
    <w:rsid w:val="008A4E11"/>
    <w:rsid w:val="008A5E0B"/>
    <w:rsid w:val="008A6D59"/>
    <w:rsid w:val="008B082C"/>
    <w:rsid w:val="008B4B03"/>
    <w:rsid w:val="008B596F"/>
    <w:rsid w:val="008B5A3E"/>
    <w:rsid w:val="008C159F"/>
    <w:rsid w:val="008C1623"/>
    <w:rsid w:val="008C1850"/>
    <w:rsid w:val="008C51A9"/>
    <w:rsid w:val="008D5C05"/>
    <w:rsid w:val="008D770F"/>
    <w:rsid w:val="008E7846"/>
    <w:rsid w:val="008F1CCC"/>
    <w:rsid w:val="008F2967"/>
    <w:rsid w:val="008F5051"/>
    <w:rsid w:val="008F689B"/>
    <w:rsid w:val="008F6943"/>
    <w:rsid w:val="008F69AF"/>
    <w:rsid w:val="00902A21"/>
    <w:rsid w:val="00906445"/>
    <w:rsid w:val="00914B23"/>
    <w:rsid w:val="00920330"/>
    <w:rsid w:val="009219D7"/>
    <w:rsid w:val="00922D53"/>
    <w:rsid w:val="00923B70"/>
    <w:rsid w:val="00924482"/>
    <w:rsid w:val="0092526D"/>
    <w:rsid w:val="00930237"/>
    <w:rsid w:val="00931E82"/>
    <w:rsid w:val="009438E8"/>
    <w:rsid w:val="0094614A"/>
    <w:rsid w:val="00946EA5"/>
    <w:rsid w:val="00947AD6"/>
    <w:rsid w:val="0095160F"/>
    <w:rsid w:val="00963C08"/>
    <w:rsid w:val="00981D66"/>
    <w:rsid w:val="0098585A"/>
    <w:rsid w:val="0098669D"/>
    <w:rsid w:val="00994C95"/>
    <w:rsid w:val="009A4CED"/>
    <w:rsid w:val="009A690D"/>
    <w:rsid w:val="009A7A7A"/>
    <w:rsid w:val="009B1B86"/>
    <w:rsid w:val="009B1D12"/>
    <w:rsid w:val="009B416B"/>
    <w:rsid w:val="009C4BD5"/>
    <w:rsid w:val="009D25C5"/>
    <w:rsid w:val="009D5FB8"/>
    <w:rsid w:val="009D7B77"/>
    <w:rsid w:val="009E0BB0"/>
    <w:rsid w:val="009E3FBB"/>
    <w:rsid w:val="00A0427C"/>
    <w:rsid w:val="00A102E4"/>
    <w:rsid w:val="00A113DF"/>
    <w:rsid w:val="00A12C42"/>
    <w:rsid w:val="00A13AD4"/>
    <w:rsid w:val="00A14DF7"/>
    <w:rsid w:val="00A16DEB"/>
    <w:rsid w:val="00A16FA7"/>
    <w:rsid w:val="00A22FFF"/>
    <w:rsid w:val="00A23057"/>
    <w:rsid w:val="00A235D9"/>
    <w:rsid w:val="00A2437C"/>
    <w:rsid w:val="00A3246D"/>
    <w:rsid w:val="00A34BC8"/>
    <w:rsid w:val="00A36FA7"/>
    <w:rsid w:val="00A475B7"/>
    <w:rsid w:val="00A47AF7"/>
    <w:rsid w:val="00A47C3E"/>
    <w:rsid w:val="00A50226"/>
    <w:rsid w:val="00A5386A"/>
    <w:rsid w:val="00A60BAD"/>
    <w:rsid w:val="00A652B8"/>
    <w:rsid w:val="00A86118"/>
    <w:rsid w:val="00A964D1"/>
    <w:rsid w:val="00AA03BC"/>
    <w:rsid w:val="00AA0C34"/>
    <w:rsid w:val="00AA0ED0"/>
    <w:rsid w:val="00AA3499"/>
    <w:rsid w:val="00AA76D4"/>
    <w:rsid w:val="00AB195F"/>
    <w:rsid w:val="00AC0993"/>
    <w:rsid w:val="00AC2B40"/>
    <w:rsid w:val="00AC2BB2"/>
    <w:rsid w:val="00AC2C3C"/>
    <w:rsid w:val="00AC512D"/>
    <w:rsid w:val="00AE01C2"/>
    <w:rsid w:val="00AE4163"/>
    <w:rsid w:val="00AE65EB"/>
    <w:rsid w:val="00AE67A7"/>
    <w:rsid w:val="00AF1B07"/>
    <w:rsid w:val="00AF1D94"/>
    <w:rsid w:val="00AF589F"/>
    <w:rsid w:val="00AF60C5"/>
    <w:rsid w:val="00B009C6"/>
    <w:rsid w:val="00B01548"/>
    <w:rsid w:val="00B02208"/>
    <w:rsid w:val="00B1425E"/>
    <w:rsid w:val="00B21D29"/>
    <w:rsid w:val="00B25034"/>
    <w:rsid w:val="00B275F4"/>
    <w:rsid w:val="00B33588"/>
    <w:rsid w:val="00B33863"/>
    <w:rsid w:val="00B3567E"/>
    <w:rsid w:val="00B36239"/>
    <w:rsid w:val="00B37D17"/>
    <w:rsid w:val="00B4175E"/>
    <w:rsid w:val="00B4265B"/>
    <w:rsid w:val="00B44928"/>
    <w:rsid w:val="00B452CE"/>
    <w:rsid w:val="00B5150C"/>
    <w:rsid w:val="00B54C25"/>
    <w:rsid w:val="00B75166"/>
    <w:rsid w:val="00B76B91"/>
    <w:rsid w:val="00B77EB1"/>
    <w:rsid w:val="00B811C6"/>
    <w:rsid w:val="00B83660"/>
    <w:rsid w:val="00B85A87"/>
    <w:rsid w:val="00B92E08"/>
    <w:rsid w:val="00B96923"/>
    <w:rsid w:val="00B96EBE"/>
    <w:rsid w:val="00BB4118"/>
    <w:rsid w:val="00BC622A"/>
    <w:rsid w:val="00BC7605"/>
    <w:rsid w:val="00BC7B33"/>
    <w:rsid w:val="00BD45E3"/>
    <w:rsid w:val="00BE0A78"/>
    <w:rsid w:val="00BE32A6"/>
    <w:rsid w:val="00BE6252"/>
    <w:rsid w:val="00BE79F0"/>
    <w:rsid w:val="00BF046D"/>
    <w:rsid w:val="00BF1190"/>
    <w:rsid w:val="00BF5D04"/>
    <w:rsid w:val="00C03BC9"/>
    <w:rsid w:val="00C1164D"/>
    <w:rsid w:val="00C137CE"/>
    <w:rsid w:val="00C16861"/>
    <w:rsid w:val="00C22678"/>
    <w:rsid w:val="00C404A6"/>
    <w:rsid w:val="00C40A36"/>
    <w:rsid w:val="00C44419"/>
    <w:rsid w:val="00C45E7B"/>
    <w:rsid w:val="00C4625F"/>
    <w:rsid w:val="00C471B1"/>
    <w:rsid w:val="00C47B1F"/>
    <w:rsid w:val="00C618F7"/>
    <w:rsid w:val="00C6316B"/>
    <w:rsid w:val="00C634A9"/>
    <w:rsid w:val="00C64586"/>
    <w:rsid w:val="00C70D53"/>
    <w:rsid w:val="00C73D0B"/>
    <w:rsid w:val="00C772FF"/>
    <w:rsid w:val="00C801AF"/>
    <w:rsid w:val="00C80256"/>
    <w:rsid w:val="00C811C0"/>
    <w:rsid w:val="00C840D8"/>
    <w:rsid w:val="00C945E7"/>
    <w:rsid w:val="00CA506A"/>
    <w:rsid w:val="00CB6BC0"/>
    <w:rsid w:val="00CC1B7C"/>
    <w:rsid w:val="00CC24CB"/>
    <w:rsid w:val="00CC727F"/>
    <w:rsid w:val="00CC72BC"/>
    <w:rsid w:val="00CE1005"/>
    <w:rsid w:val="00CE2BF8"/>
    <w:rsid w:val="00CF15C3"/>
    <w:rsid w:val="00CF2613"/>
    <w:rsid w:val="00CF2B6F"/>
    <w:rsid w:val="00CF58B6"/>
    <w:rsid w:val="00D01137"/>
    <w:rsid w:val="00D017ED"/>
    <w:rsid w:val="00D040D3"/>
    <w:rsid w:val="00D04C65"/>
    <w:rsid w:val="00D11AB8"/>
    <w:rsid w:val="00D224FE"/>
    <w:rsid w:val="00D23385"/>
    <w:rsid w:val="00D319FB"/>
    <w:rsid w:val="00D33570"/>
    <w:rsid w:val="00D360DF"/>
    <w:rsid w:val="00D36BA5"/>
    <w:rsid w:val="00D452FF"/>
    <w:rsid w:val="00D53A31"/>
    <w:rsid w:val="00D6493E"/>
    <w:rsid w:val="00D7301E"/>
    <w:rsid w:val="00D83AE1"/>
    <w:rsid w:val="00D855D4"/>
    <w:rsid w:val="00D87961"/>
    <w:rsid w:val="00D93466"/>
    <w:rsid w:val="00DA1124"/>
    <w:rsid w:val="00DA3942"/>
    <w:rsid w:val="00DB75B7"/>
    <w:rsid w:val="00DC156B"/>
    <w:rsid w:val="00DC6E02"/>
    <w:rsid w:val="00DE0015"/>
    <w:rsid w:val="00DE02AE"/>
    <w:rsid w:val="00DE4F55"/>
    <w:rsid w:val="00DE7380"/>
    <w:rsid w:val="00DF10F2"/>
    <w:rsid w:val="00DF1D7F"/>
    <w:rsid w:val="00DF4BE4"/>
    <w:rsid w:val="00E02AAE"/>
    <w:rsid w:val="00E02FB4"/>
    <w:rsid w:val="00E07F15"/>
    <w:rsid w:val="00E13365"/>
    <w:rsid w:val="00E17771"/>
    <w:rsid w:val="00E20571"/>
    <w:rsid w:val="00E20E6F"/>
    <w:rsid w:val="00E22EEA"/>
    <w:rsid w:val="00E235F7"/>
    <w:rsid w:val="00E23659"/>
    <w:rsid w:val="00E239D4"/>
    <w:rsid w:val="00E2434D"/>
    <w:rsid w:val="00E26130"/>
    <w:rsid w:val="00E262B2"/>
    <w:rsid w:val="00E2741C"/>
    <w:rsid w:val="00E40B22"/>
    <w:rsid w:val="00E45619"/>
    <w:rsid w:val="00E4588F"/>
    <w:rsid w:val="00E46DA3"/>
    <w:rsid w:val="00E51BB1"/>
    <w:rsid w:val="00E53935"/>
    <w:rsid w:val="00E624A5"/>
    <w:rsid w:val="00E6459A"/>
    <w:rsid w:val="00E7344E"/>
    <w:rsid w:val="00E77B22"/>
    <w:rsid w:val="00E80CE6"/>
    <w:rsid w:val="00E936E3"/>
    <w:rsid w:val="00E979F4"/>
    <w:rsid w:val="00EB0798"/>
    <w:rsid w:val="00EB40AD"/>
    <w:rsid w:val="00EB586E"/>
    <w:rsid w:val="00EB5FC8"/>
    <w:rsid w:val="00EC278F"/>
    <w:rsid w:val="00EC41F9"/>
    <w:rsid w:val="00ED3CAD"/>
    <w:rsid w:val="00ED5A41"/>
    <w:rsid w:val="00EE1DE8"/>
    <w:rsid w:val="00F033EC"/>
    <w:rsid w:val="00F04F68"/>
    <w:rsid w:val="00F12670"/>
    <w:rsid w:val="00F14B27"/>
    <w:rsid w:val="00F23A19"/>
    <w:rsid w:val="00F3148D"/>
    <w:rsid w:val="00F316A6"/>
    <w:rsid w:val="00F325C5"/>
    <w:rsid w:val="00F32FE0"/>
    <w:rsid w:val="00F35298"/>
    <w:rsid w:val="00F438EE"/>
    <w:rsid w:val="00F47333"/>
    <w:rsid w:val="00F47E37"/>
    <w:rsid w:val="00F53C07"/>
    <w:rsid w:val="00F54B65"/>
    <w:rsid w:val="00F640B6"/>
    <w:rsid w:val="00F7635F"/>
    <w:rsid w:val="00F80E40"/>
    <w:rsid w:val="00F848D9"/>
    <w:rsid w:val="00F91295"/>
    <w:rsid w:val="00FA0D19"/>
    <w:rsid w:val="00FA1F78"/>
    <w:rsid w:val="00FA271A"/>
    <w:rsid w:val="00FA5B82"/>
    <w:rsid w:val="00FA639E"/>
    <w:rsid w:val="00FA7E6B"/>
    <w:rsid w:val="00FB71F7"/>
    <w:rsid w:val="00FC25E4"/>
    <w:rsid w:val="00FC4EF7"/>
    <w:rsid w:val="00FC5089"/>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E1777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1777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nhideWhenUsed/>
    <w:rsid w:val="00304D17"/>
    <w:pPr>
      <w:spacing w:before="0" w:after="0" w:line="240" w:lineRule="auto"/>
    </w:pPr>
    <w:rPr>
      <w:sz w:val="20"/>
      <w:szCs w:val="20"/>
    </w:rPr>
  </w:style>
  <w:style w:type="character" w:customStyle="1" w:styleId="FootnoteTextChar">
    <w:name w:val="Footnote Text Char"/>
    <w:basedOn w:val="DefaultParagraphFont"/>
    <w:link w:val="FootnoteText"/>
    <w:rsid w:val="00304D17"/>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304D17"/>
    <w:rPr>
      <w:vertAlign w:val="superscript"/>
    </w:rPr>
  </w:style>
  <w:style w:type="paragraph" w:customStyle="1" w:styleId="Default">
    <w:name w:val="Default"/>
    <w:rsid w:val="00D11AB8"/>
    <w:pPr>
      <w:autoSpaceDE w:val="0"/>
      <w:autoSpaceDN w:val="0"/>
      <w:adjustRightInd w:val="0"/>
      <w:spacing w:after="0" w:line="240" w:lineRule="auto"/>
    </w:pPr>
    <w:rPr>
      <w:rFonts w:ascii="Cambria" w:hAnsi="Cambria" w:cs="Cambria"/>
      <w:color w:val="000000"/>
      <w:sz w:val="24"/>
      <w:szCs w:val="24"/>
    </w:rPr>
  </w:style>
  <w:style w:type="paragraph" w:customStyle="1" w:styleId="Bullet1">
    <w:name w:val="Bullet 1"/>
    <w:basedOn w:val="Normal"/>
    <w:rsid w:val="00A86118"/>
    <w:pPr>
      <w:numPr>
        <w:numId w:val="9"/>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sid w:val="00E1777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17771"/>
    <w:rPr>
      <w:rFonts w:asciiTheme="majorHAnsi" w:eastAsiaTheme="majorEastAsia" w:hAnsiTheme="majorHAnsi" w:cstheme="majorBidi"/>
      <w:i/>
      <w:iCs/>
      <w:color w:val="404040" w:themeColor="text1" w:themeTint="BF"/>
      <w:sz w:val="20"/>
      <w:szCs w:val="20"/>
    </w:rPr>
  </w:style>
  <w:style w:type="paragraph" w:customStyle="1" w:styleId="Bullet2">
    <w:name w:val="Bullet 2"/>
    <w:basedOn w:val="Bullet1"/>
    <w:rsid w:val="00E17771"/>
    <w:pPr>
      <w:numPr>
        <w:numId w:val="11"/>
      </w:numPr>
    </w:pPr>
  </w:style>
  <w:style w:type="paragraph" w:customStyle="1" w:styleId="Heading0inTOC">
    <w:name w:val="Heading 0 (in TOC)"/>
    <w:basedOn w:val="Heading1"/>
    <w:next w:val="Normal"/>
    <w:rsid w:val="00E17771"/>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E17771"/>
    <w:rPr>
      <w:sz w:val="20"/>
    </w:rPr>
  </w:style>
  <w:style w:type="paragraph" w:customStyle="1" w:styleId="TableBullet">
    <w:name w:val="Table Bullet"/>
    <w:basedOn w:val="Normal"/>
    <w:rsid w:val="00E17771"/>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E17771"/>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E17771"/>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E17771"/>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E17771"/>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E17771"/>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E17771"/>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E1777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E17771"/>
    <w:rPr>
      <w:rFonts w:ascii="Cambria" w:eastAsia="Times New Roman" w:hAnsi="Cambria" w:cs="Times New Roman"/>
      <w:kern w:val="16"/>
      <w:sz w:val="20"/>
      <w:szCs w:val="20"/>
      <w:lang w:eastAsia="en-AU"/>
    </w:rPr>
  </w:style>
  <w:style w:type="character" w:styleId="EndnoteReference">
    <w:name w:val="endnote reference"/>
    <w:semiHidden/>
    <w:rsid w:val="00E17771"/>
    <w:rPr>
      <w:dstrike w:val="0"/>
      <w:vertAlign w:val="baseline"/>
    </w:rPr>
  </w:style>
  <w:style w:type="paragraph" w:customStyle="1" w:styleId="Abbreviations">
    <w:name w:val="Abbreviations"/>
    <w:basedOn w:val="Normal"/>
    <w:rsid w:val="00E1777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E17771"/>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E1777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E1777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E17771"/>
    <w:pPr>
      <w:numPr>
        <w:numId w:val="12"/>
      </w:numPr>
      <w:tabs>
        <w:tab w:val="clear" w:pos="1134"/>
      </w:tabs>
      <w:spacing w:before="120"/>
      <w:ind w:left="1418" w:hanging="284"/>
    </w:pPr>
  </w:style>
  <w:style w:type="paragraph" w:customStyle="1" w:styleId="Instructions1">
    <w:name w:val="Instructions 1"/>
    <w:basedOn w:val="Normal"/>
    <w:qFormat/>
    <w:rsid w:val="00E1777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E17771"/>
    <w:pPr>
      <w:numPr>
        <w:numId w:val="13"/>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E17771"/>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E17771"/>
    <w:pPr>
      <w:spacing w:before="0" w:after="0"/>
    </w:pPr>
    <w:rPr>
      <w:b w:val="0"/>
    </w:rPr>
  </w:style>
  <w:style w:type="paragraph" w:styleId="ListParagraph">
    <w:name w:val="List Paragraph"/>
    <w:basedOn w:val="Normal"/>
    <w:uiPriority w:val="34"/>
    <w:qFormat/>
    <w:rsid w:val="00E1777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851"/>
    </w:pPr>
    <w:rPr>
      <w:rFonts w:eastAsia="Times New Roman"/>
      <w:kern w:val="16"/>
      <w:szCs w:val="24"/>
      <w:lang w:eastAsia="en-AU"/>
    </w:rPr>
  </w:style>
  <w:style w:type="character" w:customStyle="1" w:styleId="apple-converted-space">
    <w:name w:val="apple-converted-space"/>
    <w:basedOn w:val="DefaultParagraphFont"/>
    <w:rsid w:val="00B449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E1777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1777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nhideWhenUsed/>
    <w:rsid w:val="00304D17"/>
    <w:pPr>
      <w:spacing w:before="0" w:after="0" w:line="240" w:lineRule="auto"/>
    </w:pPr>
    <w:rPr>
      <w:sz w:val="20"/>
      <w:szCs w:val="20"/>
    </w:rPr>
  </w:style>
  <w:style w:type="character" w:customStyle="1" w:styleId="FootnoteTextChar">
    <w:name w:val="Footnote Text Char"/>
    <w:basedOn w:val="DefaultParagraphFont"/>
    <w:link w:val="FootnoteText"/>
    <w:rsid w:val="00304D17"/>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304D17"/>
    <w:rPr>
      <w:vertAlign w:val="superscript"/>
    </w:rPr>
  </w:style>
  <w:style w:type="paragraph" w:customStyle="1" w:styleId="Default">
    <w:name w:val="Default"/>
    <w:rsid w:val="00D11AB8"/>
    <w:pPr>
      <w:autoSpaceDE w:val="0"/>
      <w:autoSpaceDN w:val="0"/>
      <w:adjustRightInd w:val="0"/>
      <w:spacing w:after="0" w:line="240" w:lineRule="auto"/>
    </w:pPr>
    <w:rPr>
      <w:rFonts w:ascii="Cambria" w:hAnsi="Cambria" w:cs="Cambria"/>
      <w:color w:val="000000"/>
      <w:sz w:val="24"/>
      <w:szCs w:val="24"/>
    </w:rPr>
  </w:style>
  <w:style w:type="paragraph" w:customStyle="1" w:styleId="Bullet1">
    <w:name w:val="Bullet 1"/>
    <w:basedOn w:val="Normal"/>
    <w:rsid w:val="00A86118"/>
    <w:pPr>
      <w:numPr>
        <w:numId w:val="9"/>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sid w:val="00E1777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17771"/>
    <w:rPr>
      <w:rFonts w:asciiTheme="majorHAnsi" w:eastAsiaTheme="majorEastAsia" w:hAnsiTheme="majorHAnsi" w:cstheme="majorBidi"/>
      <w:i/>
      <w:iCs/>
      <w:color w:val="404040" w:themeColor="text1" w:themeTint="BF"/>
      <w:sz w:val="20"/>
      <w:szCs w:val="20"/>
    </w:rPr>
  </w:style>
  <w:style w:type="paragraph" w:customStyle="1" w:styleId="Bullet2">
    <w:name w:val="Bullet 2"/>
    <w:basedOn w:val="Bullet1"/>
    <w:rsid w:val="00E17771"/>
    <w:pPr>
      <w:numPr>
        <w:numId w:val="11"/>
      </w:numPr>
    </w:pPr>
  </w:style>
  <w:style w:type="paragraph" w:customStyle="1" w:styleId="Heading0inTOC">
    <w:name w:val="Heading 0 (in TOC)"/>
    <w:basedOn w:val="Heading1"/>
    <w:next w:val="Normal"/>
    <w:rsid w:val="00E17771"/>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E17771"/>
    <w:rPr>
      <w:sz w:val="20"/>
    </w:rPr>
  </w:style>
  <w:style w:type="paragraph" w:customStyle="1" w:styleId="TableBullet">
    <w:name w:val="Table Bullet"/>
    <w:basedOn w:val="Normal"/>
    <w:rsid w:val="00E17771"/>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E17771"/>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E17771"/>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E17771"/>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E17771"/>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E17771"/>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E17771"/>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E1777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E17771"/>
    <w:rPr>
      <w:rFonts w:ascii="Cambria" w:eastAsia="Times New Roman" w:hAnsi="Cambria" w:cs="Times New Roman"/>
      <w:kern w:val="16"/>
      <w:sz w:val="20"/>
      <w:szCs w:val="20"/>
      <w:lang w:eastAsia="en-AU"/>
    </w:rPr>
  </w:style>
  <w:style w:type="character" w:styleId="EndnoteReference">
    <w:name w:val="endnote reference"/>
    <w:semiHidden/>
    <w:rsid w:val="00E17771"/>
    <w:rPr>
      <w:dstrike w:val="0"/>
      <w:vertAlign w:val="baseline"/>
    </w:rPr>
  </w:style>
  <w:style w:type="paragraph" w:customStyle="1" w:styleId="Abbreviations">
    <w:name w:val="Abbreviations"/>
    <w:basedOn w:val="Normal"/>
    <w:rsid w:val="00E1777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E17771"/>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E1777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E1777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E17771"/>
    <w:pPr>
      <w:numPr>
        <w:numId w:val="12"/>
      </w:numPr>
      <w:tabs>
        <w:tab w:val="clear" w:pos="1134"/>
      </w:tabs>
      <w:spacing w:before="120"/>
      <w:ind w:left="1418" w:hanging="284"/>
    </w:pPr>
  </w:style>
  <w:style w:type="paragraph" w:customStyle="1" w:styleId="Instructions1">
    <w:name w:val="Instructions 1"/>
    <w:basedOn w:val="Normal"/>
    <w:qFormat/>
    <w:rsid w:val="00E1777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E17771"/>
    <w:pPr>
      <w:numPr>
        <w:numId w:val="13"/>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E17771"/>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E17771"/>
    <w:pPr>
      <w:spacing w:before="0" w:after="0"/>
    </w:pPr>
    <w:rPr>
      <w:b w:val="0"/>
    </w:rPr>
  </w:style>
  <w:style w:type="paragraph" w:styleId="ListParagraph">
    <w:name w:val="List Paragraph"/>
    <w:basedOn w:val="Normal"/>
    <w:uiPriority w:val="34"/>
    <w:qFormat/>
    <w:rsid w:val="00E1777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851"/>
    </w:pPr>
    <w:rPr>
      <w:rFonts w:eastAsia="Times New Roman"/>
      <w:kern w:val="16"/>
      <w:szCs w:val="24"/>
      <w:lang w:eastAsia="en-AU"/>
    </w:rPr>
  </w:style>
  <w:style w:type="character" w:customStyle="1" w:styleId="apple-converted-space">
    <w:name w:val="apple-converted-space"/>
    <w:basedOn w:val="DefaultParagraphFont"/>
    <w:rsid w:val="00B44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66651">
      <w:bodyDiv w:val="1"/>
      <w:marLeft w:val="0"/>
      <w:marRight w:val="0"/>
      <w:marTop w:val="0"/>
      <w:marBottom w:val="0"/>
      <w:divBdr>
        <w:top w:val="none" w:sz="0" w:space="0" w:color="auto"/>
        <w:left w:val="none" w:sz="0" w:space="0" w:color="auto"/>
        <w:bottom w:val="none" w:sz="0" w:space="0" w:color="auto"/>
        <w:right w:val="none" w:sz="0" w:space="0" w:color="auto"/>
      </w:divBdr>
    </w:div>
    <w:div w:id="154034386">
      <w:bodyDiv w:val="1"/>
      <w:marLeft w:val="0"/>
      <w:marRight w:val="0"/>
      <w:marTop w:val="0"/>
      <w:marBottom w:val="0"/>
      <w:divBdr>
        <w:top w:val="none" w:sz="0" w:space="0" w:color="auto"/>
        <w:left w:val="none" w:sz="0" w:space="0" w:color="auto"/>
        <w:bottom w:val="none" w:sz="0" w:space="0" w:color="auto"/>
        <w:right w:val="none" w:sz="0" w:space="0" w:color="auto"/>
      </w:divBdr>
    </w:div>
    <w:div w:id="161701799">
      <w:bodyDiv w:val="1"/>
      <w:marLeft w:val="0"/>
      <w:marRight w:val="0"/>
      <w:marTop w:val="0"/>
      <w:marBottom w:val="0"/>
      <w:divBdr>
        <w:top w:val="none" w:sz="0" w:space="0" w:color="auto"/>
        <w:left w:val="none" w:sz="0" w:space="0" w:color="auto"/>
        <w:bottom w:val="none" w:sz="0" w:space="0" w:color="auto"/>
        <w:right w:val="none" w:sz="0" w:space="0" w:color="auto"/>
      </w:divBdr>
      <w:divsChild>
        <w:div w:id="97988128">
          <w:marLeft w:val="0"/>
          <w:marRight w:val="0"/>
          <w:marTop w:val="150"/>
          <w:marBottom w:val="540"/>
          <w:divBdr>
            <w:top w:val="none" w:sz="0" w:space="0" w:color="auto"/>
            <w:left w:val="none" w:sz="0" w:space="0" w:color="auto"/>
            <w:bottom w:val="none" w:sz="0" w:space="0" w:color="auto"/>
            <w:right w:val="none" w:sz="0" w:space="0" w:color="auto"/>
          </w:divBdr>
          <w:divsChild>
            <w:div w:id="121538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0786">
      <w:bodyDiv w:val="1"/>
      <w:marLeft w:val="0"/>
      <w:marRight w:val="0"/>
      <w:marTop w:val="0"/>
      <w:marBottom w:val="0"/>
      <w:divBdr>
        <w:top w:val="none" w:sz="0" w:space="0" w:color="auto"/>
        <w:left w:val="none" w:sz="0" w:space="0" w:color="auto"/>
        <w:bottom w:val="none" w:sz="0" w:space="0" w:color="auto"/>
        <w:right w:val="none" w:sz="0" w:space="0" w:color="auto"/>
      </w:divBdr>
    </w:div>
    <w:div w:id="315184391">
      <w:bodyDiv w:val="1"/>
      <w:marLeft w:val="0"/>
      <w:marRight w:val="0"/>
      <w:marTop w:val="0"/>
      <w:marBottom w:val="0"/>
      <w:divBdr>
        <w:top w:val="none" w:sz="0" w:space="0" w:color="auto"/>
        <w:left w:val="none" w:sz="0" w:space="0" w:color="auto"/>
        <w:bottom w:val="none" w:sz="0" w:space="0" w:color="auto"/>
        <w:right w:val="none" w:sz="0" w:space="0" w:color="auto"/>
      </w:divBdr>
    </w:div>
    <w:div w:id="333144046">
      <w:bodyDiv w:val="1"/>
      <w:marLeft w:val="0"/>
      <w:marRight w:val="0"/>
      <w:marTop w:val="0"/>
      <w:marBottom w:val="0"/>
      <w:divBdr>
        <w:top w:val="none" w:sz="0" w:space="0" w:color="auto"/>
        <w:left w:val="none" w:sz="0" w:space="0" w:color="auto"/>
        <w:bottom w:val="none" w:sz="0" w:space="0" w:color="auto"/>
        <w:right w:val="none" w:sz="0" w:space="0" w:color="auto"/>
      </w:divBdr>
    </w:div>
    <w:div w:id="474227253">
      <w:bodyDiv w:val="1"/>
      <w:marLeft w:val="0"/>
      <w:marRight w:val="0"/>
      <w:marTop w:val="0"/>
      <w:marBottom w:val="0"/>
      <w:divBdr>
        <w:top w:val="none" w:sz="0" w:space="0" w:color="auto"/>
        <w:left w:val="none" w:sz="0" w:space="0" w:color="auto"/>
        <w:bottom w:val="none" w:sz="0" w:space="0" w:color="auto"/>
        <w:right w:val="none" w:sz="0" w:space="0" w:color="auto"/>
      </w:divBdr>
    </w:div>
    <w:div w:id="507184676">
      <w:bodyDiv w:val="1"/>
      <w:marLeft w:val="0"/>
      <w:marRight w:val="0"/>
      <w:marTop w:val="0"/>
      <w:marBottom w:val="0"/>
      <w:divBdr>
        <w:top w:val="none" w:sz="0" w:space="0" w:color="auto"/>
        <w:left w:val="none" w:sz="0" w:space="0" w:color="auto"/>
        <w:bottom w:val="none" w:sz="0" w:space="0" w:color="auto"/>
        <w:right w:val="none" w:sz="0" w:space="0" w:color="auto"/>
      </w:divBdr>
    </w:div>
    <w:div w:id="588274482">
      <w:bodyDiv w:val="1"/>
      <w:marLeft w:val="0"/>
      <w:marRight w:val="0"/>
      <w:marTop w:val="0"/>
      <w:marBottom w:val="0"/>
      <w:divBdr>
        <w:top w:val="none" w:sz="0" w:space="0" w:color="auto"/>
        <w:left w:val="none" w:sz="0" w:space="0" w:color="auto"/>
        <w:bottom w:val="none" w:sz="0" w:space="0" w:color="auto"/>
        <w:right w:val="none" w:sz="0" w:space="0" w:color="auto"/>
      </w:divBdr>
    </w:div>
    <w:div w:id="694425278">
      <w:bodyDiv w:val="1"/>
      <w:marLeft w:val="0"/>
      <w:marRight w:val="0"/>
      <w:marTop w:val="0"/>
      <w:marBottom w:val="0"/>
      <w:divBdr>
        <w:top w:val="none" w:sz="0" w:space="0" w:color="auto"/>
        <w:left w:val="none" w:sz="0" w:space="0" w:color="auto"/>
        <w:bottom w:val="none" w:sz="0" w:space="0" w:color="auto"/>
        <w:right w:val="none" w:sz="0" w:space="0" w:color="auto"/>
      </w:divBdr>
    </w:div>
    <w:div w:id="856457109">
      <w:bodyDiv w:val="1"/>
      <w:marLeft w:val="0"/>
      <w:marRight w:val="0"/>
      <w:marTop w:val="0"/>
      <w:marBottom w:val="0"/>
      <w:divBdr>
        <w:top w:val="none" w:sz="0" w:space="0" w:color="auto"/>
        <w:left w:val="none" w:sz="0" w:space="0" w:color="auto"/>
        <w:bottom w:val="none" w:sz="0" w:space="0" w:color="auto"/>
        <w:right w:val="none" w:sz="0" w:space="0" w:color="auto"/>
      </w:divBdr>
    </w:div>
    <w:div w:id="1221742941">
      <w:bodyDiv w:val="1"/>
      <w:marLeft w:val="0"/>
      <w:marRight w:val="0"/>
      <w:marTop w:val="0"/>
      <w:marBottom w:val="0"/>
      <w:divBdr>
        <w:top w:val="none" w:sz="0" w:space="0" w:color="auto"/>
        <w:left w:val="none" w:sz="0" w:space="0" w:color="auto"/>
        <w:bottom w:val="none" w:sz="0" w:space="0" w:color="auto"/>
        <w:right w:val="none" w:sz="0" w:space="0" w:color="auto"/>
      </w:divBdr>
      <w:divsChild>
        <w:div w:id="1636639298">
          <w:marLeft w:val="0"/>
          <w:marRight w:val="0"/>
          <w:marTop w:val="150"/>
          <w:marBottom w:val="540"/>
          <w:divBdr>
            <w:top w:val="none" w:sz="0" w:space="0" w:color="auto"/>
            <w:left w:val="none" w:sz="0" w:space="0" w:color="auto"/>
            <w:bottom w:val="none" w:sz="0" w:space="0" w:color="auto"/>
            <w:right w:val="none" w:sz="0" w:space="0" w:color="auto"/>
          </w:divBdr>
          <w:divsChild>
            <w:div w:id="16012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299">
      <w:bodyDiv w:val="1"/>
      <w:marLeft w:val="0"/>
      <w:marRight w:val="0"/>
      <w:marTop w:val="0"/>
      <w:marBottom w:val="0"/>
      <w:divBdr>
        <w:top w:val="none" w:sz="0" w:space="0" w:color="auto"/>
        <w:left w:val="none" w:sz="0" w:space="0" w:color="auto"/>
        <w:bottom w:val="none" w:sz="0" w:space="0" w:color="auto"/>
        <w:right w:val="none" w:sz="0" w:space="0" w:color="auto"/>
      </w:divBdr>
    </w:div>
    <w:div w:id="1862821604">
      <w:bodyDiv w:val="1"/>
      <w:marLeft w:val="0"/>
      <w:marRight w:val="0"/>
      <w:marTop w:val="0"/>
      <w:marBottom w:val="0"/>
      <w:divBdr>
        <w:top w:val="none" w:sz="0" w:space="0" w:color="auto"/>
        <w:left w:val="none" w:sz="0" w:space="0" w:color="auto"/>
        <w:bottom w:val="none" w:sz="0" w:space="0" w:color="auto"/>
        <w:right w:val="none" w:sz="0" w:space="0" w:color="auto"/>
      </w:divBdr>
    </w:div>
    <w:div w:id="1906186884">
      <w:bodyDiv w:val="1"/>
      <w:marLeft w:val="0"/>
      <w:marRight w:val="0"/>
      <w:marTop w:val="0"/>
      <w:marBottom w:val="0"/>
      <w:divBdr>
        <w:top w:val="none" w:sz="0" w:space="0" w:color="auto"/>
        <w:left w:val="none" w:sz="0" w:space="0" w:color="auto"/>
        <w:bottom w:val="none" w:sz="0" w:space="0" w:color="auto"/>
        <w:right w:val="none" w:sz="0" w:space="0" w:color="auto"/>
      </w:divBdr>
    </w:div>
    <w:div w:id="210823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2.wdp"/><Relationship Id="rId26" Type="http://schemas.openxmlformats.org/officeDocument/2006/relationships/image" Target="media/image10.emf"/><Relationship Id="rId39" Type="http://schemas.openxmlformats.org/officeDocument/2006/relationships/image" Target="media/image22.emf"/><Relationship Id="rId21" Type="http://schemas.openxmlformats.org/officeDocument/2006/relationships/image" Target="media/image6.png"/><Relationship Id="rId34" Type="http://schemas.openxmlformats.org/officeDocument/2006/relationships/image" Target="media/image17.emf"/><Relationship Id="rId42" Type="http://schemas.openxmlformats.org/officeDocument/2006/relationships/image" Target="media/image25.png"/><Relationship Id="rId47" Type="http://schemas.openxmlformats.org/officeDocument/2006/relationships/header" Target="header5.xml"/><Relationship Id="rId50" Type="http://schemas.openxmlformats.org/officeDocument/2006/relationships/hyperlink" Target="https://www.tga.gov.au" TargetMode="External"/><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9.emf"/><Relationship Id="rId33" Type="http://schemas.microsoft.com/office/2007/relationships/hdphoto" Target="media/hdphoto5.wdp"/><Relationship Id="rId38" Type="http://schemas.openxmlformats.org/officeDocument/2006/relationships/image" Target="media/image21.emf"/><Relationship Id="rId46" Type="http://schemas.openxmlformats.org/officeDocument/2006/relationships/header" Target="header4.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3.emf"/><Relationship Id="rId41" Type="http://schemas.openxmlformats.org/officeDocument/2006/relationships/image" Target="media/image24.emf"/><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header" Target="header3.xml"/><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19.emf"/><Relationship Id="rId49" Type="http://schemas.openxmlformats.org/officeDocument/2006/relationships/hyperlink" Target="mailto:info@tga.gov.au" TargetMode="External"/><Relationship Id="rId57" Type="http://schemas.openxmlformats.org/officeDocument/2006/relationships/theme" Target="theme/theme1.xml"/><Relationship Id="rId10" Type="http://schemas.openxmlformats.org/officeDocument/2006/relationships/hyperlink" Target="https://www.tga.gov.au/product-information-pi" TargetMode="External"/><Relationship Id="rId19" Type="http://schemas.openxmlformats.org/officeDocument/2006/relationships/image" Target="media/image5.png"/><Relationship Id="rId31" Type="http://schemas.openxmlformats.org/officeDocument/2006/relationships/image" Target="media/image15.emf"/><Relationship Id="rId44" Type="http://schemas.openxmlformats.org/officeDocument/2006/relationships/image" Target="media/image27.png"/><Relationship Id="rId52"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microsoft.com/office/2007/relationships/hdphoto" Target="media/hdphoto4.wdp"/><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mj\AppData\Local\Hewlett-Packard\HP%20TRIM\TEMP\HPTRIM.3232\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4A729-ED3C-46A8-85AF-9B09169E2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template(2).DOTX</Template>
  <TotalTime>15</TotalTime>
  <Pages>59</Pages>
  <Words>17724</Words>
  <Characters>101029</Characters>
  <Application>Microsoft Office Word</Application>
  <DocSecurity>0</DocSecurity>
  <Lines>841</Lines>
  <Paragraphs>237</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pirfenidone</vt:lpstr>
    </vt:vector>
  </TitlesOfParts>
  <Company>TGA</Company>
  <LinksUpToDate>false</LinksUpToDate>
  <CharactersWithSpaces>118516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pirfenidone</dc:title>
  <dc:subject>prescription medicines</dc:subject>
  <dc:creator>Therapeutic Goods Administration</dc:creator>
  <cp:keywords>AusPARs</cp:keywords>
  <cp:lastModifiedBy>Sheppard, Fran</cp:lastModifiedBy>
  <cp:revision>5</cp:revision>
  <cp:lastPrinted>2015-09-22T23:53:00Z</cp:lastPrinted>
  <dcterms:created xsi:type="dcterms:W3CDTF">2016-08-26T05:39:00Z</dcterms:created>
  <dcterms:modified xsi:type="dcterms:W3CDTF">2016-08-29T00:33:00Z</dcterms:modified>
</cp:coreProperties>
</file>