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773" w:rsidRPr="00C83029" w:rsidRDefault="00CD2773" w:rsidP="00DA27A2">
      <w:pPr>
        <w:pStyle w:val="Title"/>
      </w:pPr>
      <w:r w:rsidRPr="00C83029">
        <w:t>PRODUCT INFORMATION</w:t>
      </w:r>
    </w:p>
    <w:p w:rsidR="00CD2773" w:rsidRPr="00C83029" w:rsidRDefault="00B2237B" w:rsidP="00DA27A2">
      <w:pPr>
        <w:pStyle w:val="Subtitle"/>
      </w:pPr>
      <w:r w:rsidRPr="00C83029">
        <w:t>LIVALO</w:t>
      </w:r>
      <w:r w:rsidR="00CD2773" w:rsidRPr="00C83029">
        <w:rPr>
          <w:vertAlign w:val="superscript"/>
        </w:rPr>
        <w:t>®</w:t>
      </w:r>
    </w:p>
    <w:p w:rsidR="00CD2773" w:rsidRPr="00C83029" w:rsidRDefault="00CD2773" w:rsidP="003900E6">
      <w:pPr>
        <w:pStyle w:val="Heading1"/>
      </w:pPr>
      <w:r w:rsidRPr="00C83029">
        <w:t xml:space="preserve">NAME OF THE </w:t>
      </w:r>
      <w:r w:rsidR="00FD0311" w:rsidRPr="00C83029">
        <w:t>MEDICINE</w:t>
      </w:r>
    </w:p>
    <w:p w:rsidR="00FD0311" w:rsidRPr="00C83029" w:rsidRDefault="00FD0311" w:rsidP="00EE5749">
      <w:pPr>
        <w:rPr>
          <w:lang w:val="en-AU"/>
        </w:rPr>
      </w:pPr>
      <w:r w:rsidRPr="00C83029">
        <w:rPr>
          <w:lang w:val="en-AU"/>
        </w:rPr>
        <w:t>Pitavastatin calcium</w:t>
      </w:r>
    </w:p>
    <w:p w:rsidR="00FD0311" w:rsidRPr="00C83029" w:rsidRDefault="00FD0311" w:rsidP="003900E6">
      <w:pPr>
        <w:pStyle w:val="Heading2"/>
      </w:pPr>
      <w:r w:rsidRPr="00C83029">
        <w:t>Chemical Structure</w:t>
      </w:r>
    </w:p>
    <w:p w:rsidR="00CD2773" w:rsidRPr="00C83029" w:rsidRDefault="003D1D47" w:rsidP="00EE5749">
      <w:pPr>
        <w:rPr>
          <w:lang w:val="en-AU"/>
        </w:rPr>
      </w:pPr>
      <w:r w:rsidRPr="00C83029">
        <w:rPr>
          <w:lang w:val="en-AU"/>
        </w:rPr>
        <w:t>Pitavastatin</w:t>
      </w:r>
      <w:r w:rsidR="004953F0" w:rsidRPr="00C83029">
        <w:rPr>
          <w:lang w:val="en-AU"/>
        </w:rPr>
        <w:t xml:space="preserve"> calcium</w:t>
      </w:r>
      <w:r w:rsidR="00CD2773" w:rsidRPr="00C83029">
        <w:rPr>
          <w:lang w:val="en-AU"/>
        </w:rPr>
        <w:t xml:space="preserve"> is chemically identified as </w:t>
      </w:r>
      <w:r w:rsidR="00B2237B" w:rsidRPr="00C83029">
        <w:rPr>
          <w:lang w:val="en-AU"/>
        </w:rPr>
        <w:t>(+</w:t>
      </w:r>
      <w:proofErr w:type="gramStart"/>
      <w:r w:rsidR="00B2237B" w:rsidRPr="00C83029">
        <w:rPr>
          <w:lang w:val="en-AU"/>
        </w:rPr>
        <w:t>)</w:t>
      </w:r>
      <w:proofErr w:type="spellStart"/>
      <w:r w:rsidR="00B2237B" w:rsidRPr="00C83029">
        <w:rPr>
          <w:lang w:val="en-AU"/>
        </w:rPr>
        <w:t>monocalcium</w:t>
      </w:r>
      <w:proofErr w:type="spellEnd"/>
      <w:proofErr w:type="gramEnd"/>
      <w:r w:rsidR="00B2237B" w:rsidRPr="00C83029">
        <w:rPr>
          <w:lang w:val="en-AU"/>
        </w:rPr>
        <w:t xml:space="preserve"> </w:t>
      </w:r>
      <w:proofErr w:type="spellStart"/>
      <w:r w:rsidR="00B2237B" w:rsidRPr="00C83029">
        <w:rPr>
          <w:lang w:val="en-AU"/>
        </w:rPr>
        <w:t>bis</w:t>
      </w:r>
      <w:proofErr w:type="spellEnd"/>
      <w:r w:rsidR="00B2237B" w:rsidRPr="00C83029">
        <w:rPr>
          <w:lang w:val="en-AU"/>
        </w:rPr>
        <w:t>{(3R, 5S, 6E)-7-[2-cyclopropyl-4-(4-fluorophenyl)-3-quinolyl]-3,5-dihydroxy-6-hept</w:t>
      </w:r>
      <w:r w:rsidR="00FD0311" w:rsidRPr="00C83029">
        <w:rPr>
          <w:lang w:val="en-AU"/>
        </w:rPr>
        <w:t>e</w:t>
      </w:r>
      <w:r w:rsidR="00B2237B" w:rsidRPr="00C83029">
        <w:rPr>
          <w:lang w:val="en-AU"/>
        </w:rPr>
        <w:t>noate}</w:t>
      </w:r>
      <w:r w:rsidR="00CD2773" w:rsidRPr="00C83029">
        <w:rPr>
          <w:lang w:val="en-AU"/>
        </w:rPr>
        <w:t xml:space="preserve">.  </w:t>
      </w:r>
      <w:r w:rsidR="00B2237B" w:rsidRPr="00C83029">
        <w:rPr>
          <w:lang w:val="en-AU"/>
        </w:rPr>
        <w:t>The structural formula is</w:t>
      </w:r>
      <w:r w:rsidR="00CD2773" w:rsidRPr="00C83029">
        <w:rPr>
          <w:lang w:val="en-AU"/>
        </w:rPr>
        <w:t>:</w:t>
      </w:r>
    </w:p>
    <w:p w:rsidR="00CD2773" w:rsidRPr="00C83029" w:rsidRDefault="003900E6" w:rsidP="00EE5749">
      <w:pPr>
        <w:rPr>
          <w:lang w:val="en-AU"/>
        </w:rPr>
      </w:pPr>
      <w:r w:rsidRPr="00C83029">
        <w:rPr>
          <w:noProof/>
          <w:lang w:val="en-AU" w:eastAsia="zh-TW"/>
        </w:rPr>
        <w:pict>
          <v:group id="_x0000_s1100" style="position:absolute;left:0;text-align:left;margin-left:110.15pt;margin-top:3.3pt;width:317.15pt;height:157.65pt;z-index:251657728" coordorigin="3501,4504" coordsize="6343,3153">
            <v:group id="_x0000_s1090" style="position:absolute;left:3501;top:4504;width:6343;height:3153" coordorigin="3458,4411" coordsize="6343,3153">
              <v:rect id="_x0000_s1081" style="position:absolute;left:7821;top:5764;width:360;height:540" stroked="f" strokecolor="blue"/>
              <v:shapetype id="_x0000_t202" coordsize="21600,21600" o:spt="202" path="m,l,21600r21600,l21600,xe">
                <v:stroke joinstyle="miter"/>
                <v:path gradientshapeok="t" o:connecttype="rect"/>
              </v:shapetype>
              <v:shape id="_x0000_s1082" type="#_x0000_t202" style="position:absolute;left:7821;top:5584;width:1260;height:900" filled="f" stroked="f">
                <v:textbox style="mso-next-textbox:#_x0000_s1082">
                  <w:txbxContent>
                    <w:p w:rsidR="003A7FBB" w:rsidRPr="00AA064D" w:rsidRDefault="003A7FBB">
                      <w:pPr>
                        <w:rPr>
                          <w:sz w:val="36"/>
                          <w:szCs w:val="36"/>
                        </w:rPr>
                      </w:pPr>
                      <w:r w:rsidRPr="00AA064D">
                        <w:rPr>
                          <w:sz w:val="36"/>
                          <w:szCs w:val="36"/>
                        </w:rPr>
                        <w:t>-</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85" type="#_x0000_t85" style="position:absolute;left:3458;top:4411;width:180;height:306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86" type="#_x0000_t86" style="position:absolute;left:8001;top:4504;width:180;height:3060"/>
              <v:shape id="_x0000_s1089" type="#_x0000_t202" style="position:absolute;left:8498;top:5534;width:1303;height:720" filled="f" stroked="f">
                <v:textbox style="mso-next-textbox:#_x0000_s1089">
                  <w:txbxContent>
                    <w:p w:rsidR="003A7FBB" w:rsidRPr="00AA064D" w:rsidRDefault="003A7FBB" w:rsidP="00AA064D">
                      <w:pPr>
                        <w:jc w:val="center"/>
                        <w:rPr>
                          <w:sz w:val="32"/>
                          <w:szCs w:val="32"/>
                        </w:rPr>
                      </w:pPr>
                      <w:r w:rsidRPr="00AA064D">
                        <w:rPr>
                          <w:sz w:val="32"/>
                          <w:szCs w:val="32"/>
                        </w:rPr>
                        <w:t>Ca</w:t>
                      </w:r>
                      <w:r w:rsidRPr="00AA064D">
                        <w:rPr>
                          <w:sz w:val="32"/>
                          <w:szCs w:val="32"/>
                          <w:vertAlign w:val="superscript"/>
                        </w:rPr>
                        <w:t>2+</w:t>
                      </w:r>
                    </w:p>
                  </w:txbxContent>
                </v:textbox>
              </v:shape>
            </v:group>
            <v:shape id="_x0000_s1093" type="#_x0000_t202" style="position:absolute;left:8361;top:6676;width:720;height:720" filled="f" stroked="f">
              <v:textbox style="mso-next-textbox:#_x0000_s1093">
                <w:txbxContent>
                  <w:p w:rsidR="003A7FBB" w:rsidRPr="00AA064D" w:rsidRDefault="003A7FBB">
                    <w:pPr>
                      <w:rPr>
                        <w:sz w:val="32"/>
                        <w:szCs w:val="32"/>
                      </w:rPr>
                    </w:pPr>
                    <w:r w:rsidRPr="00AA064D">
                      <w:rPr>
                        <w:sz w:val="32"/>
                        <w:szCs w:val="32"/>
                      </w:rPr>
                      <w:t>2</w:t>
                    </w:r>
                  </w:p>
                </w:txbxContent>
              </v:textbox>
            </v:shape>
          </v:group>
        </w:pict>
      </w:r>
    </w:p>
    <w:p w:rsidR="00CD2773" w:rsidRPr="00C83029" w:rsidRDefault="00D15C63" w:rsidP="0040069C">
      <w:pPr>
        <w:jc w:val="center"/>
        <w:rPr>
          <w:lang w:val="en-AU"/>
        </w:rPr>
      </w:pPr>
      <w:r>
        <w:rPr>
          <w:noProof/>
          <w:lang w:val="en-AU" w:eastAsia="en-AU"/>
        </w:rPr>
        <w:drawing>
          <wp:inline distT="0" distB="0" distL="0" distR="0">
            <wp:extent cx="2762250" cy="1524000"/>
            <wp:effectExtent l="19050" t="0" r="0" b="0"/>
            <wp:docPr id="1" name="Picture 1" descr="Chemical structure of pitavastatin calc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62250" cy="1524000"/>
                    </a:xfrm>
                    <a:prstGeom prst="rect">
                      <a:avLst/>
                    </a:prstGeom>
                    <a:noFill/>
                    <a:ln w="9525">
                      <a:noFill/>
                      <a:miter lim="800000"/>
                      <a:headEnd/>
                      <a:tailEnd/>
                    </a:ln>
                  </pic:spPr>
                </pic:pic>
              </a:graphicData>
            </a:graphic>
          </wp:inline>
        </w:drawing>
      </w:r>
    </w:p>
    <w:p w:rsidR="00C831BE" w:rsidRPr="00C83029" w:rsidRDefault="00C831BE" w:rsidP="00EE5749">
      <w:pPr>
        <w:rPr>
          <w:lang w:val="en-AU"/>
        </w:rPr>
      </w:pPr>
    </w:p>
    <w:p w:rsidR="003900E6" w:rsidRPr="00C83029" w:rsidRDefault="003900E6" w:rsidP="00EE5749">
      <w:pPr>
        <w:rPr>
          <w:lang w:val="en-AU"/>
        </w:rPr>
      </w:pPr>
    </w:p>
    <w:p w:rsidR="003900E6" w:rsidRPr="00C83029" w:rsidRDefault="003900E6" w:rsidP="00EE5749">
      <w:pPr>
        <w:rPr>
          <w:lang w:val="en-AU"/>
        </w:rPr>
      </w:pPr>
    </w:p>
    <w:p w:rsidR="00CD2773" w:rsidRPr="00C83029" w:rsidRDefault="00B2237B" w:rsidP="00EE5749">
      <w:pPr>
        <w:rPr>
          <w:lang w:val="en-AU"/>
        </w:rPr>
      </w:pPr>
      <w:r w:rsidRPr="00C83029">
        <w:rPr>
          <w:lang w:val="en-AU"/>
        </w:rPr>
        <w:t>Empirical formula: C</w:t>
      </w:r>
      <w:r w:rsidRPr="00C83029">
        <w:rPr>
          <w:vertAlign w:val="subscript"/>
          <w:lang w:val="en-AU"/>
        </w:rPr>
        <w:t>50</w:t>
      </w:r>
      <w:r w:rsidRPr="00C83029">
        <w:rPr>
          <w:lang w:val="en-AU"/>
        </w:rPr>
        <w:t>H</w:t>
      </w:r>
      <w:r w:rsidRPr="00C83029">
        <w:rPr>
          <w:vertAlign w:val="subscript"/>
          <w:lang w:val="en-AU"/>
        </w:rPr>
        <w:t>46</w:t>
      </w:r>
      <w:r w:rsidRPr="00C83029">
        <w:rPr>
          <w:lang w:val="en-AU"/>
        </w:rPr>
        <w:t>CaF</w:t>
      </w:r>
      <w:r w:rsidRPr="00C83029">
        <w:rPr>
          <w:vertAlign w:val="subscript"/>
          <w:lang w:val="en-AU"/>
        </w:rPr>
        <w:t>2</w:t>
      </w:r>
      <w:r w:rsidRPr="00C83029">
        <w:rPr>
          <w:lang w:val="en-AU"/>
        </w:rPr>
        <w:t>N</w:t>
      </w:r>
      <w:r w:rsidRPr="00C83029">
        <w:rPr>
          <w:vertAlign w:val="subscript"/>
          <w:lang w:val="en-AU"/>
        </w:rPr>
        <w:t>2</w:t>
      </w:r>
      <w:r w:rsidRPr="00C83029">
        <w:rPr>
          <w:lang w:val="en-AU"/>
        </w:rPr>
        <w:t>O</w:t>
      </w:r>
      <w:r w:rsidRPr="00C83029">
        <w:rPr>
          <w:vertAlign w:val="subscript"/>
          <w:lang w:val="en-AU"/>
        </w:rPr>
        <w:t>8</w:t>
      </w:r>
    </w:p>
    <w:p w:rsidR="00CD2773" w:rsidRPr="00C83029" w:rsidRDefault="00CD2773" w:rsidP="00EE5749">
      <w:pPr>
        <w:rPr>
          <w:lang w:val="en-AU"/>
        </w:rPr>
      </w:pPr>
      <w:r w:rsidRPr="00C83029">
        <w:rPr>
          <w:lang w:val="en-AU"/>
        </w:rPr>
        <w:t xml:space="preserve">MW= </w:t>
      </w:r>
      <w:r w:rsidR="00B2237B" w:rsidRPr="00C83029">
        <w:rPr>
          <w:lang w:val="en-AU"/>
        </w:rPr>
        <w:t>880.98</w:t>
      </w:r>
    </w:p>
    <w:p w:rsidR="00FD0311" w:rsidRPr="00C83029" w:rsidRDefault="00FD0311" w:rsidP="003900E6">
      <w:pPr>
        <w:pStyle w:val="Heading2"/>
      </w:pPr>
      <w:r w:rsidRPr="00C83029">
        <w:t>CAS Number</w:t>
      </w:r>
    </w:p>
    <w:p w:rsidR="00CD2773" w:rsidRPr="00C83029" w:rsidRDefault="00642B6D" w:rsidP="00EE5749">
      <w:pPr>
        <w:rPr>
          <w:lang w:val="en-AU"/>
        </w:rPr>
      </w:pPr>
      <w:r w:rsidRPr="00C83029">
        <w:rPr>
          <w:lang w:val="en-AU"/>
        </w:rPr>
        <w:t xml:space="preserve">CAS </w:t>
      </w:r>
      <w:r w:rsidR="00FD0311" w:rsidRPr="00C83029">
        <w:rPr>
          <w:lang w:val="en-AU"/>
        </w:rPr>
        <w:t>147526-32-7 (</w:t>
      </w:r>
      <w:r w:rsidRPr="00C83029">
        <w:rPr>
          <w:lang w:val="en-AU"/>
        </w:rPr>
        <w:t>147511-69-1</w:t>
      </w:r>
      <w:r w:rsidR="00FD0311" w:rsidRPr="00C83029">
        <w:rPr>
          <w:lang w:val="en-AU"/>
        </w:rPr>
        <w:t xml:space="preserve"> for free pitavastatin)</w:t>
      </w:r>
    </w:p>
    <w:p w:rsidR="00CD2773" w:rsidRPr="00C83029" w:rsidRDefault="00CD2773" w:rsidP="003900E6">
      <w:pPr>
        <w:pStyle w:val="Heading1"/>
      </w:pPr>
      <w:r w:rsidRPr="00C83029">
        <w:t>DESCRIPTION</w:t>
      </w:r>
      <w:r w:rsidR="009A174F" w:rsidRPr="00C83029">
        <w:t xml:space="preserve"> </w:t>
      </w:r>
    </w:p>
    <w:p w:rsidR="003D1D47" w:rsidRPr="00C83029" w:rsidRDefault="003D1D47" w:rsidP="00EE5749">
      <w:pPr>
        <w:rPr>
          <w:lang w:val="en-AU"/>
        </w:rPr>
      </w:pPr>
      <w:r w:rsidRPr="00C83029">
        <w:rPr>
          <w:lang w:val="en-AU"/>
        </w:rPr>
        <w:t xml:space="preserve">Pitavastatin is odourless and occurs as white to pale-yellow powder. It is freely soluble in pyridine, chloroform, dilute hydrochloric acid, and </w:t>
      </w:r>
      <w:proofErr w:type="spellStart"/>
      <w:r w:rsidRPr="00C83029">
        <w:rPr>
          <w:lang w:val="en-AU"/>
        </w:rPr>
        <w:t>tetrahydrofuran</w:t>
      </w:r>
      <w:proofErr w:type="spellEnd"/>
      <w:r w:rsidRPr="00C83029">
        <w:rPr>
          <w:lang w:val="en-AU"/>
        </w:rPr>
        <w:t xml:space="preserve">, soluble in ethylene glycol, sparingly soluble in </w:t>
      </w:r>
      <w:proofErr w:type="spellStart"/>
      <w:r w:rsidRPr="00C83029">
        <w:rPr>
          <w:lang w:val="en-AU"/>
        </w:rPr>
        <w:t>octanol</w:t>
      </w:r>
      <w:proofErr w:type="spellEnd"/>
      <w:r w:rsidRPr="00C83029">
        <w:rPr>
          <w:lang w:val="en-AU"/>
        </w:rPr>
        <w:t>, slightly soluble in methanol, very slightly soluble in water or ethanol, and practically insoluble in acetonitrile or diethyl ether. Pitavastatin is hygroscopic and slightly unstable in light.</w:t>
      </w:r>
    </w:p>
    <w:p w:rsidR="00CD2773" w:rsidRPr="00C83029" w:rsidRDefault="003D1D47" w:rsidP="00EE5749">
      <w:pPr>
        <w:rPr>
          <w:lang w:val="en-AU"/>
        </w:rPr>
      </w:pPr>
      <w:r w:rsidRPr="00C83029">
        <w:rPr>
          <w:lang w:val="en-AU"/>
        </w:rPr>
        <w:t xml:space="preserve">Each film-coated tablet of </w:t>
      </w:r>
      <w:r w:rsidR="005B6C1C" w:rsidRPr="00C83029">
        <w:rPr>
          <w:lang w:val="en-AU"/>
        </w:rPr>
        <w:t xml:space="preserve">Livalo </w:t>
      </w:r>
      <w:r w:rsidRPr="00C83029">
        <w:rPr>
          <w:lang w:val="en-AU"/>
        </w:rPr>
        <w:t xml:space="preserve">contains 1.045 mg, 2.09 mg, or 4.18 mg of </w:t>
      </w:r>
      <w:r w:rsidR="007C118D">
        <w:rPr>
          <w:lang w:val="en-AU"/>
        </w:rPr>
        <w:t>p</w:t>
      </w:r>
      <w:r w:rsidRPr="00C83029">
        <w:rPr>
          <w:lang w:val="en-AU"/>
        </w:rPr>
        <w:t xml:space="preserve">itavastatin calcium, which is equivalent to 1 mg, 2 mg, or 4 mg, respectively of free base and the following inactive ingredients: lactose, </w:t>
      </w:r>
      <w:proofErr w:type="spellStart"/>
      <w:r w:rsidRPr="00C83029">
        <w:rPr>
          <w:lang w:val="en-AU"/>
        </w:rPr>
        <w:t>hydroxypropylcellulose</w:t>
      </w:r>
      <w:proofErr w:type="spellEnd"/>
      <w:r w:rsidRPr="00C83029">
        <w:rPr>
          <w:lang w:val="en-AU"/>
        </w:rPr>
        <w:t xml:space="preserve">, hypromellose, </w:t>
      </w:r>
      <w:r w:rsidR="00FD0311" w:rsidRPr="00C83029">
        <w:rPr>
          <w:lang w:val="en-AU"/>
        </w:rPr>
        <w:t xml:space="preserve">aluminium </w:t>
      </w:r>
      <w:r w:rsidRPr="00C83029">
        <w:rPr>
          <w:lang w:val="en-AU"/>
        </w:rPr>
        <w:t xml:space="preserve">magnesium silicate, magnesium stearate, and film coating containing the following inactive ingredients: hypromellose, titanium dioxide, </w:t>
      </w:r>
      <w:proofErr w:type="spellStart"/>
      <w:r w:rsidRPr="00C83029">
        <w:rPr>
          <w:lang w:val="en-AU"/>
        </w:rPr>
        <w:t>triethyl</w:t>
      </w:r>
      <w:proofErr w:type="spellEnd"/>
      <w:r w:rsidRPr="00C83029">
        <w:rPr>
          <w:lang w:val="en-AU"/>
        </w:rPr>
        <w:t xml:space="preserve"> citrate, and </w:t>
      </w:r>
      <w:r w:rsidR="00FD0311" w:rsidRPr="00C83029">
        <w:rPr>
          <w:lang w:val="en-AU"/>
        </w:rPr>
        <w:t xml:space="preserve">colloidal </w:t>
      </w:r>
      <w:r w:rsidRPr="00C83029">
        <w:rPr>
          <w:lang w:val="en-AU"/>
        </w:rPr>
        <w:t>anhydrous silica.</w:t>
      </w:r>
    </w:p>
    <w:p w:rsidR="00CD2773" w:rsidRPr="00C83029" w:rsidRDefault="00CD2773" w:rsidP="003900E6">
      <w:pPr>
        <w:pStyle w:val="Heading1"/>
      </w:pPr>
      <w:r w:rsidRPr="00C83029">
        <w:t>PHARMACOLOGY</w:t>
      </w:r>
    </w:p>
    <w:p w:rsidR="00AA064D" w:rsidRPr="00C83029" w:rsidRDefault="00AA064D" w:rsidP="003900E6">
      <w:pPr>
        <w:pStyle w:val="Heading2"/>
      </w:pPr>
      <w:r w:rsidRPr="00C83029">
        <w:t>Mechanism of Action</w:t>
      </w:r>
    </w:p>
    <w:p w:rsidR="00CD2773" w:rsidRPr="00C83029" w:rsidRDefault="00982C86" w:rsidP="00EE5749">
      <w:pPr>
        <w:rPr>
          <w:lang w:val="en-AU"/>
        </w:rPr>
      </w:pPr>
      <w:r w:rsidRPr="00C83029">
        <w:rPr>
          <w:lang w:val="en-AU"/>
        </w:rPr>
        <w:t xml:space="preserve">Pitavastatin competitively inhibits HMG-CoA reductase, the rate-limiting enzyme in the biosynthesis of cholesterol, and inhibits cholesterol synthesis in the liver. As a result the expression of LDL receptors in the liver is increased, promoting the uptake of circulating LDL from the blood, decreasing total cholesterol (TC) and LDL-cholesterol (LDL-C) concentrations </w:t>
      </w:r>
      <w:r w:rsidRPr="00C83029">
        <w:rPr>
          <w:lang w:val="en-AU"/>
        </w:rPr>
        <w:lastRenderedPageBreak/>
        <w:t>in the blood. Its sustained inhibition of hepatic cholesterol synthesis reduces VLDL secretion into the blood, reducing plasma triglyceride (TG) levels.</w:t>
      </w:r>
    </w:p>
    <w:p w:rsidR="00CD2773" w:rsidRPr="00C83029" w:rsidRDefault="00CD2773" w:rsidP="003900E6">
      <w:pPr>
        <w:pStyle w:val="Heading2"/>
      </w:pPr>
      <w:r w:rsidRPr="00C83029">
        <w:t>Pharmacodynamics</w:t>
      </w:r>
    </w:p>
    <w:p w:rsidR="002A2507" w:rsidRDefault="0014085D" w:rsidP="00EE5749">
      <w:pPr>
        <w:rPr>
          <w:lang w:val="en-AU"/>
        </w:rPr>
      </w:pPr>
      <w:r w:rsidRPr="00C83029">
        <w:rPr>
          <w:lang w:val="en-AU"/>
        </w:rPr>
        <w:t>Pitavastatin</w:t>
      </w:r>
      <w:r w:rsidR="00982C86" w:rsidRPr="00C83029">
        <w:rPr>
          <w:lang w:val="en-AU"/>
        </w:rPr>
        <w:t xml:space="preserve"> reduces elevated LDL-C, total cholesterol and triglycerides and increases HDL-cholesterol (HDL-C). It reduces </w:t>
      </w:r>
      <w:proofErr w:type="spellStart"/>
      <w:r w:rsidR="007C118D">
        <w:rPr>
          <w:lang w:val="en-AU"/>
        </w:rPr>
        <w:t>apolipoprotein</w:t>
      </w:r>
      <w:proofErr w:type="spellEnd"/>
      <w:r w:rsidR="007C118D">
        <w:rPr>
          <w:lang w:val="en-AU"/>
        </w:rPr>
        <w:t xml:space="preserve"> B (</w:t>
      </w:r>
      <w:r w:rsidR="00982C86" w:rsidRPr="00C83029">
        <w:rPr>
          <w:lang w:val="en-AU"/>
        </w:rPr>
        <w:t>Apo-B</w:t>
      </w:r>
      <w:r w:rsidR="007C118D">
        <w:rPr>
          <w:lang w:val="en-AU"/>
        </w:rPr>
        <w:t>)</w:t>
      </w:r>
      <w:r w:rsidR="00982C86" w:rsidRPr="00C83029">
        <w:rPr>
          <w:lang w:val="en-AU"/>
        </w:rPr>
        <w:t>, and produces variable increases in Apo-A1</w:t>
      </w:r>
      <w:r w:rsidR="00990940" w:rsidRPr="00C83029">
        <w:rPr>
          <w:lang w:val="en-AU"/>
        </w:rPr>
        <w:t>.</w:t>
      </w:r>
      <w:r w:rsidR="00982C86" w:rsidRPr="00C83029">
        <w:rPr>
          <w:lang w:val="en-AU"/>
        </w:rPr>
        <w:t xml:space="preserve"> It also reduces non-HDL-C and elevated TC/HDL-C, and Apo-B/Apo-A1 ratios.</w:t>
      </w:r>
      <w:r w:rsidR="00990940" w:rsidRPr="00C83029">
        <w:rPr>
          <w:lang w:val="en-AU"/>
        </w:rPr>
        <w:t xml:space="preserve"> </w:t>
      </w:r>
      <w:r w:rsidR="002A2507" w:rsidRPr="00C83029" w:rsidDel="002A2507">
        <w:rPr>
          <w:lang w:val="en-AU"/>
        </w:rPr>
        <w:t xml:space="preserve"> </w:t>
      </w:r>
      <w:r w:rsidR="003617C4" w:rsidRPr="00C83029">
        <w:rPr>
          <w:lang w:val="en-AU"/>
        </w:rPr>
        <w:t xml:space="preserve">A variety of clinical and pathological studies have demonstrated that elevated cholesterol and lipoprotein levels </w:t>
      </w:r>
      <w:r w:rsidR="007C118D">
        <w:rPr>
          <w:lang w:val="en-AU"/>
        </w:rPr>
        <w:t>TC</w:t>
      </w:r>
      <w:r w:rsidR="003617C4" w:rsidRPr="00C83029">
        <w:rPr>
          <w:lang w:val="en-AU"/>
        </w:rPr>
        <w:t xml:space="preserve">, LDL-C and </w:t>
      </w:r>
      <w:r w:rsidR="007C118D">
        <w:rPr>
          <w:lang w:val="en-AU"/>
        </w:rPr>
        <w:t>A</w:t>
      </w:r>
      <w:r w:rsidR="003617C4" w:rsidRPr="00C83029">
        <w:rPr>
          <w:lang w:val="en-AU"/>
        </w:rPr>
        <w:t xml:space="preserve">po B promote human atherosclerosis and are risk factors for developing cardiovascular disease. Similarly, decreased levels of HDL-C are associated with the development of atherosclerosis. Epidemiological investigations have established that cardiovascular morbidity and mortality vary directly with the levels of </w:t>
      </w:r>
      <w:r w:rsidR="007C118D">
        <w:rPr>
          <w:lang w:val="en-AU"/>
        </w:rPr>
        <w:t>T</w:t>
      </w:r>
      <w:r w:rsidR="003617C4" w:rsidRPr="00C83029">
        <w:rPr>
          <w:lang w:val="en-AU"/>
        </w:rPr>
        <w:t>C and LDL-C and inversely with the level of HDL-C</w:t>
      </w:r>
      <w:r w:rsidR="002A2507">
        <w:rPr>
          <w:lang w:val="en-AU"/>
        </w:rPr>
        <w:t>.</w:t>
      </w:r>
    </w:p>
    <w:p w:rsidR="003617C4" w:rsidRPr="00C83029" w:rsidRDefault="002A2507" w:rsidP="00EE5749">
      <w:pPr>
        <w:rPr>
          <w:lang w:val="en-AU"/>
        </w:rPr>
      </w:pPr>
      <w:r w:rsidRPr="00C83029">
        <w:rPr>
          <w:lang w:val="en-AU"/>
        </w:rPr>
        <w:t xml:space="preserve">In a randomised, double-blind, placebo-controlled, 4-way parallel, active-comparator study with </w:t>
      </w:r>
      <w:proofErr w:type="spellStart"/>
      <w:r w:rsidRPr="00C83029">
        <w:rPr>
          <w:lang w:val="en-AU"/>
        </w:rPr>
        <w:t>moxifloxacin</w:t>
      </w:r>
      <w:proofErr w:type="spellEnd"/>
      <w:r w:rsidRPr="00C83029">
        <w:rPr>
          <w:lang w:val="en-AU"/>
        </w:rPr>
        <w:t xml:space="preserve"> in 174 healthy participants, pitavastatin was not associated with clinically meaningful prolongation of the </w:t>
      </w:r>
      <w:proofErr w:type="spellStart"/>
      <w:r w:rsidRPr="00C83029">
        <w:rPr>
          <w:lang w:val="en-AU"/>
        </w:rPr>
        <w:t>QTc</w:t>
      </w:r>
      <w:proofErr w:type="spellEnd"/>
      <w:r w:rsidRPr="00C83029">
        <w:rPr>
          <w:lang w:val="en-AU"/>
        </w:rPr>
        <w:t xml:space="preserve"> interval or heart rate at daily doses up to 16 mg (4 times the recommended maximum daily dose).</w:t>
      </w:r>
    </w:p>
    <w:p w:rsidR="00CD2773" w:rsidRPr="00C83029" w:rsidRDefault="00CD2773" w:rsidP="003900E6">
      <w:pPr>
        <w:pStyle w:val="Heading2"/>
      </w:pPr>
      <w:r w:rsidRPr="00C83029">
        <w:t>Pharmacokinetics</w:t>
      </w:r>
    </w:p>
    <w:p w:rsidR="00B941D1" w:rsidRPr="00C83029" w:rsidRDefault="00223F91" w:rsidP="003900E6">
      <w:pPr>
        <w:pStyle w:val="Heading3"/>
      </w:pPr>
      <w:r w:rsidRPr="00C83029">
        <w:t>Absorption</w:t>
      </w:r>
    </w:p>
    <w:p w:rsidR="00223F91" w:rsidRPr="00C83029" w:rsidRDefault="0097517A" w:rsidP="00EE5749">
      <w:pPr>
        <w:rPr>
          <w:lang w:val="en-AU"/>
        </w:rPr>
      </w:pPr>
      <w:r w:rsidRPr="00C83029">
        <w:rPr>
          <w:lang w:val="en-AU"/>
        </w:rPr>
        <w:t>Pitavastatin is rapidly absorbed from the upper gastrointestinal tract and peak plasma concentrations are achieved within one hour after oral administration. Absorption is not affected by food. Unchanged drug undergoes enterohepatic circulation and is well absorbed from the jejunum and ileum. The absolute bioavailability of pitavastatin is 51%.</w:t>
      </w:r>
    </w:p>
    <w:p w:rsidR="00B941D1" w:rsidRPr="00C83029" w:rsidRDefault="00223F91" w:rsidP="003900E6">
      <w:pPr>
        <w:pStyle w:val="Heading3"/>
      </w:pPr>
      <w:r w:rsidRPr="00C83029">
        <w:t>Distribution</w:t>
      </w:r>
    </w:p>
    <w:p w:rsidR="00223F91" w:rsidRPr="00C83029" w:rsidRDefault="000A47E5" w:rsidP="00EE5749">
      <w:pPr>
        <w:rPr>
          <w:lang w:val="en-AU"/>
        </w:rPr>
      </w:pPr>
      <w:r w:rsidRPr="00C83029">
        <w:rPr>
          <w:lang w:val="en-AU"/>
        </w:rPr>
        <w:t>Pitavastatin is more than 99% protein bound in human plasma, mainly to albumin and alpha 1-acid glycoprotein, and the mean volume of distribution is approximately 133 L. Pitavastatin is actively transported into hepatocytes, the site of action and metabolism, by multiple hepatic transporters including OATP1B1 and OATP1B3. Plasma AUC is variable with an approximately 4-fold range between the highest and lowest values. Studies with SLCO1B1 (the gene which encodes OATP1B1) suggests that polymorphism of this gene could account for much of the variability in AUC. Pitavastatin is not a substrate for p-glycoprotein.</w:t>
      </w:r>
    </w:p>
    <w:p w:rsidR="00B87E23" w:rsidRPr="00C83029" w:rsidRDefault="00223F91" w:rsidP="003900E6">
      <w:pPr>
        <w:pStyle w:val="Heading3"/>
      </w:pPr>
      <w:r w:rsidRPr="00C83029">
        <w:t>Metabolism</w:t>
      </w:r>
    </w:p>
    <w:p w:rsidR="00223F91" w:rsidRPr="00C83029" w:rsidRDefault="000A47E5" w:rsidP="00EE5749">
      <w:pPr>
        <w:rPr>
          <w:lang w:val="en-AU"/>
        </w:rPr>
      </w:pPr>
      <w:r w:rsidRPr="00C83029">
        <w:rPr>
          <w:lang w:val="en-AU"/>
        </w:rPr>
        <w:t xml:space="preserve">Unchanged pitavastatin is the predominant drug moiety in plasma. The principal metabolite is the inactive lactone which is formed via an ester-type pitavastatin </w:t>
      </w:r>
      <w:proofErr w:type="spellStart"/>
      <w:r w:rsidRPr="00C83029">
        <w:rPr>
          <w:lang w:val="en-AU"/>
        </w:rPr>
        <w:t>glucuronide</w:t>
      </w:r>
      <w:proofErr w:type="spellEnd"/>
      <w:r w:rsidRPr="00C83029">
        <w:rPr>
          <w:lang w:val="en-AU"/>
        </w:rPr>
        <w:t xml:space="preserve"> conjugate by UDP </w:t>
      </w:r>
      <w:proofErr w:type="spellStart"/>
      <w:r w:rsidRPr="00C83029">
        <w:rPr>
          <w:lang w:val="en-AU"/>
        </w:rPr>
        <w:t>glucuronosyltransferase</w:t>
      </w:r>
      <w:proofErr w:type="spellEnd"/>
      <w:r w:rsidRPr="00C83029">
        <w:rPr>
          <w:lang w:val="en-AU"/>
        </w:rPr>
        <w:t xml:space="preserve"> (UGT1A3 and 2B7). In vitro studies, using 13 human cytochrome P450 (CYP) isoforms, indicate that the metabolism of pitavastatin by CYP is minimal; CYP2C9 (and to a lesser extent CYP2C8) is responsible for the metabolism of pitavastatin to minor metabolites.</w:t>
      </w:r>
    </w:p>
    <w:p w:rsidR="00B941D1" w:rsidRPr="00C83029" w:rsidRDefault="00223F91" w:rsidP="003900E6">
      <w:pPr>
        <w:pStyle w:val="Heading3"/>
      </w:pPr>
      <w:r w:rsidRPr="00C83029">
        <w:t>Excretion</w:t>
      </w:r>
    </w:p>
    <w:p w:rsidR="00223F91" w:rsidRPr="00C83029" w:rsidRDefault="000A47E5" w:rsidP="00EE5749">
      <w:pPr>
        <w:rPr>
          <w:lang w:val="en-AU"/>
        </w:rPr>
      </w:pPr>
      <w:r w:rsidRPr="00C83029">
        <w:rPr>
          <w:lang w:val="en-AU"/>
        </w:rPr>
        <w:t>Unchanged pitavastatin is rapidly cleared from the liver in the bile, but undergoes enterohepatic recirculation, contributing to its duration of action. Less than 5% of pitavastatin is excreted in the urine. The plasma elimination half-life ranges from 5.7 hours (single dose) to 8.9 hours (steady state) and the apparent geometric mean oral clearance is 43.4 L/h after single dose.</w:t>
      </w:r>
    </w:p>
    <w:p w:rsidR="000A47E5" w:rsidRPr="00C83029" w:rsidRDefault="000A47E5" w:rsidP="003900E6">
      <w:pPr>
        <w:pStyle w:val="Heading3"/>
      </w:pPr>
      <w:r w:rsidRPr="00C83029">
        <w:t>Effect of Food</w:t>
      </w:r>
    </w:p>
    <w:p w:rsidR="000A47E5" w:rsidRPr="00C83029" w:rsidRDefault="000A47E5" w:rsidP="00EE5749">
      <w:pPr>
        <w:rPr>
          <w:lang w:val="en-AU"/>
        </w:rPr>
      </w:pPr>
      <w:r w:rsidRPr="00C83029">
        <w:rPr>
          <w:lang w:val="en-AU"/>
        </w:rPr>
        <w:t xml:space="preserve">The maximum plasma concentration of pitavastatin was reduced by 43% when it was taken </w:t>
      </w:r>
      <w:proofErr w:type="gramStart"/>
      <w:r w:rsidRPr="00C83029">
        <w:rPr>
          <w:lang w:val="en-AU"/>
        </w:rPr>
        <w:t>with</w:t>
      </w:r>
      <w:proofErr w:type="gramEnd"/>
      <w:r w:rsidRPr="00C83029">
        <w:rPr>
          <w:lang w:val="en-AU"/>
        </w:rPr>
        <w:t xml:space="preserve"> a high-fat meal, but AUC was unchanged.</w:t>
      </w:r>
    </w:p>
    <w:p w:rsidR="00B941D1" w:rsidRPr="00C83029" w:rsidRDefault="00223F91" w:rsidP="003900E6">
      <w:pPr>
        <w:pStyle w:val="Heading3"/>
      </w:pPr>
      <w:r w:rsidRPr="00C83029">
        <w:t>Race</w:t>
      </w:r>
    </w:p>
    <w:p w:rsidR="00223F91" w:rsidRPr="00C83029" w:rsidRDefault="000A47E5" w:rsidP="00EE5749">
      <w:pPr>
        <w:rPr>
          <w:lang w:val="en-AU"/>
        </w:rPr>
      </w:pPr>
      <w:r w:rsidRPr="00C83029">
        <w:rPr>
          <w:lang w:val="en-AU"/>
        </w:rPr>
        <w:t>There was no difference in the pharmacokinetic profile of pitavastatin between Japanese and Caucasian healthy volunteers when age and body weight was taken into account.</w:t>
      </w:r>
    </w:p>
    <w:p w:rsidR="000A47E5" w:rsidRPr="00C83029" w:rsidRDefault="000A47E5" w:rsidP="003900E6">
      <w:pPr>
        <w:pStyle w:val="Heading3"/>
      </w:pPr>
      <w:r w:rsidRPr="00C83029">
        <w:lastRenderedPageBreak/>
        <w:t>Elderly</w:t>
      </w:r>
    </w:p>
    <w:p w:rsidR="000A47E5" w:rsidRPr="00C83029" w:rsidRDefault="000A47E5" w:rsidP="00EE5749">
      <w:pPr>
        <w:rPr>
          <w:lang w:val="en-AU"/>
        </w:rPr>
      </w:pPr>
      <w:r w:rsidRPr="00C83029">
        <w:rPr>
          <w:lang w:val="en-AU"/>
        </w:rPr>
        <w:t>In a pharmacokinetic study which compared healthy young and e</w:t>
      </w:r>
      <w:r w:rsidR="00BD7F16" w:rsidRPr="00C83029">
        <w:rPr>
          <w:lang w:val="en-AU"/>
        </w:rPr>
        <w:t>lderly</w:t>
      </w:r>
      <w:r w:rsidRPr="00C83029">
        <w:rPr>
          <w:lang w:val="en-AU"/>
        </w:rPr>
        <w:t xml:space="preserve"> volunteers, pitavastatin AUC was 1.3-fold higher in elderly subjects. This has no effect on the safety or efficacy of </w:t>
      </w:r>
      <w:r w:rsidR="006A5928">
        <w:rPr>
          <w:lang w:val="en-AU"/>
        </w:rPr>
        <w:t>pitavastatin</w:t>
      </w:r>
      <w:r w:rsidR="006A5928" w:rsidRPr="00C83029">
        <w:rPr>
          <w:lang w:val="en-AU"/>
        </w:rPr>
        <w:t xml:space="preserve"> </w:t>
      </w:r>
      <w:r w:rsidRPr="00C83029">
        <w:rPr>
          <w:lang w:val="en-AU"/>
        </w:rPr>
        <w:t>in elderly patients in clinical trials.</w:t>
      </w:r>
    </w:p>
    <w:p w:rsidR="000A47E5" w:rsidRPr="00C83029" w:rsidRDefault="000A47E5" w:rsidP="00EE5749">
      <w:pPr>
        <w:rPr>
          <w:lang w:val="en-AU"/>
        </w:rPr>
      </w:pPr>
      <w:r w:rsidRPr="00C83029">
        <w:rPr>
          <w:rStyle w:val="Heading3Char"/>
        </w:rPr>
        <w:t>Gender</w:t>
      </w:r>
    </w:p>
    <w:p w:rsidR="00223F91" w:rsidRPr="00C83029" w:rsidRDefault="000A47E5" w:rsidP="00EE5749">
      <w:pPr>
        <w:rPr>
          <w:lang w:val="en-AU"/>
        </w:rPr>
      </w:pPr>
      <w:r w:rsidRPr="00C83029">
        <w:rPr>
          <w:lang w:val="en-AU"/>
        </w:rPr>
        <w:t>In a pharmacokinetic study which compared healthy male and female volunteers, pitavastatin AUC was increased 1.6-fold in women. This has no effect on the safety or efficacy of Livalo in women in clinical trials.</w:t>
      </w:r>
    </w:p>
    <w:p w:rsidR="00B941D1" w:rsidRPr="00C83029" w:rsidRDefault="00223F91" w:rsidP="003900E6">
      <w:pPr>
        <w:pStyle w:val="Heading3"/>
      </w:pPr>
      <w:r w:rsidRPr="00C83029">
        <w:t>Renal Impairment</w:t>
      </w:r>
    </w:p>
    <w:p w:rsidR="009C3909" w:rsidRPr="00C83029" w:rsidRDefault="000A47E5" w:rsidP="00EE5749">
      <w:pPr>
        <w:rPr>
          <w:lang w:val="en-AU"/>
        </w:rPr>
      </w:pPr>
      <w:r w:rsidRPr="00C83029">
        <w:rPr>
          <w:lang w:val="en-AU"/>
        </w:rPr>
        <w:t xml:space="preserve">For patients with </w:t>
      </w:r>
      <w:r w:rsidR="003F3FDA">
        <w:rPr>
          <w:lang w:val="en-AU"/>
        </w:rPr>
        <w:t xml:space="preserve">stage 3 </w:t>
      </w:r>
      <w:r w:rsidR="007C118D">
        <w:rPr>
          <w:lang w:val="en-AU"/>
        </w:rPr>
        <w:t>kidney</w:t>
      </w:r>
      <w:r w:rsidR="007C118D" w:rsidRPr="00C83029">
        <w:rPr>
          <w:lang w:val="en-AU"/>
        </w:rPr>
        <w:t xml:space="preserve"> </w:t>
      </w:r>
      <w:r w:rsidRPr="00C83029">
        <w:rPr>
          <w:lang w:val="en-AU"/>
        </w:rPr>
        <w:t xml:space="preserve">disease </w:t>
      </w:r>
      <w:r w:rsidR="00A9751E">
        <w:rPr>
          <w:lang w:val="en-AU"/>
        </w:rPr>
        <w:t>(</w:t>
      </w:r>
      <w:r w:rsidR="003F3FDA">
        <w:rPr>
          <w:lang w:val="en-AU"/>
        </w:rPr>
        <w:t xml:space="preserve">glomerular filtration rate </w:t>
      </w:r>
      <w:r w:rsidR="007C118D">
        <w:rPr>
          <w:lang w:val="en-AU"/>
        </w:rPr>
        <w:t>(</w:t>
      </w:r>
      <w:r w:rsidR="00A9751E">
        <w:rPr>
          <w:lang w:val="en-AU"/>
        </w:rPr>
        <w:t>GFR</w:t>
      </w:r>
      <w:r w:rsidR="007C118D">
        <w:rPr>
          <w:lang w:val="en-AU"/>
        </w:rPr>
        <w:t>)</w:t>
      </w:r>
      <w:r w:rsidR="00A9751E">
        <w:rPr>
          <w:lang w:val="en-AU"/>
        </w:rPr>
        <w:t xml:space="preserve"> 30-59 mL/min/1.73m</w:t>
      </w:r>
      <w:r w:rsidR="00A9751E" w:rsidRPr="00A9751E">
        <w:rPr>
          <w:vertAlign w:val="superscript"/>
          <w:lang w:val="en-AU"/>
        </w:rPr>
        <w:t>2</w:t>
      </w:r>
      <w:r w:rsidR="00A9751E">
        <w:rPr>
          <w:lang w:val="en-AU"/>
        </w:rPr>
        <w:t xml:space="preserve">) </w:t>
      </w:r>
      <w:r w:rsidRPr="00C83029">
        <w:rPr>
          <w:lang w:val="en-AU"/>
        </w:rPr>
        <w:t>and those on haemodialysis increases in AUC values were 1.8-fold and 1.7-fold respectively</w:t>
      </w:r>
      <w:r w:rsidR="00BD7F16" w:rsidRPr="00C83029">
        <w:rPr>
          <w:lang w:val="en-AU"/>
        </w:rPr>
        <w:t xml:space="preserve">. </w:t>
      </w:r>
      <w:r w:rsidR="009C3909" w:rsidRPr="00C83029">
        <w:rPr>
          <w:lang w:val="en-AU"/>
        </w:rPr>
        <w:t>(</w:t>
      </w:r>
      <w:proofErr w:type="gramStart"/>
      <w:r w:rsidR="007C118D">
        <w:rPr>
          <w:lang w:val="en-AU"/>
        </w:rPr>
        <w:t>s</w:t>
      </w:r>
      <w:r w:rsidR="00BD7F16" w:rsidRPr="00C83029">
        <w:rPr>
          <w:lang w:val="en-AU"/>
        </w:rPr>
        <w:t>ee</w:t>
      </w:r>
      <w:proofErr w:type="gramEnd"/>
      <w:r w:rsidR="00BD7F16" w:rsidRPr="00C83029">
        <w:rPr>
          <w:lang w:val="en-AU"/>
        </w:rPr>
        <w:t xml:space="preserve"> </w:t>
      </w:r>
      <w:r w:rsidR="007C118D">
        <w:rPr>
          <w:lang w:val="en-AU"/>
        </w:rPr>
        <w:t>‘</w:t>
      </w:r>
      <w:r w:rsidR="009C3909" w:rsidRPr="00C83029">
        <w:rPr>
          <w:lang w:val="en-AU"/>
        </w:rPr>
        <w:t>Dosage and Administration</w:t>
      </w:r>
      <w:r w:rsidR="007C118D">
        <w:rPr>
          <w:lang w:val="en-AU"/>
        </w:rPr>
        <w:t>’</w:t>
      </w:r>
      <w:r w:rsidR="009C3909" w:rsidRPr="00C83029">
        <w:rPr>
          <w:lang w:val="en-AU"/>
        </w:rPr>
        <w:t>)</w:t>
      </w:r>
    </w:p>
    <w:p w:rsidR="00B941D1" w:rsidRPr="00C83029" w:rsidRDefault="00223F91" w:rsidP="00FB10D7">
      <w:pPr>
        <w:pStyle w:val="Heading3"/>
      </w:pPr>
      <w:r w:rsidRPr="00C83029">
        <w:t>Hepatic Impairment</w:t>
      </w:r>
    </w:p>
    <w:p w:rsidR="00B941D1" w:rsidRPr="00C83029" w:rsidRDefault="000A47E5" w:rsidP="00EE5749">
      <w:pPr>
        <w:rPr>
          <w:lang w:val="en-AU"/>
        </w:rPr>
      </w:pPr>
      <w:r w:rsidRPr="00C83029">
        <w:rPr>
          <w:lang w:val="en-AU"/>
        </w:rPr>
        <w:t xml:space="preserve">For patients with mild (Child-Pugh A) hepatic impairment AUC was 1.6 times that in healthy subjects, while for patients with moderate (Child-Pugh B) hepatic impairment AUC was 3.9-fold higher. Dose restrictions are recommended in patients with mild and moderate hepatic impairment (see </w:t>
      </w:r>
      <w:r w:rsidR="007C118D">
        <w:rPr>
          <w:lang w:val="en-AU"/>
        </w:rPr>
        <w:t>‘</w:t>
      </w:r>
      <w:r w:rsidR="009C3909" w:rsidRPr="00C83029">
        <w:rPr>
          <w:lang w:val="en-AU"/>
        </w:rPr>
        <w:t>Dosage and Administration</w:t>
      </w:r>
      <w:r w:rsidR="007C118D">
        <w:rPr>
          <w:lang w:val="en-AU"/>
        </w:rPr>
        <w:t>’</w:t>
      </w:r>
      <w:r w:rsidRPr="00C83029">
        <w:rPr>
          <w:lang w:val="en-AU"/>
        </w:rPr>
        <w:t xml:space="preserve">). </w:t>
      </w:r>
      <w:r w:rsidR="006A5928">
        <w:rPr>
          <w:lang w:val="en-AU"/>
        </w:rPr>
        <w:t>Pitavastatin</w:t>
      </w:r>
      <w:r w:rsidR="006A5928" w:rsidRPr="00C83029">
        <w:rPr>
          <w:lang w:val="en-AU"/>
        </w:rPr>
        <w:t xml:space="preserve"> </w:t>
      </w:r>
      <w:r w:rsidRPr="00C83029">
        <w:rPr>
          <w:lang w:val="en-AU"/>
        </w:rPr>
        <w:t>is contraindicated in patients with severe hepatic impairment.</w:t>
      </w:r>
      <w:r w:rsidR="00B941D1" w:rsidRPr="00C83029">
        <w:rPr>
          <w:lang w:val="en-AU"/>
        </w:rPr>
        <w:t xml:space="preserve"> </w:t>
      </w:r>
    </w:p>
    <w:p w:rsidR="00B941D1" w:rsidRPr="00C83029" w:rsidRDefault="00223F91" w:rsidP="003900E6">
      <w:pPr>
        <w:pStyle w:val="Heading3"/>
      </w:pPr>
      <w:r w:rsidRPr="00C83029">
        <w:t>Drug-Drug Interactions</w:t>
      </w:r>
    </w:p>
    <w:p w:rsidR="00223F91" w:rsidRPr="00C83029" w:rsidRDefault="00223F91" w:rsidP="00EE5749">
      <w:pPr>
        <w:rPr>
          <w:lang w:val="en-AU"/>
        </w:rPr>
      </w:pPr>
      <w:r w:rsidRPr="00C83029">
        <w:rPr>
          <w:lang w:val="en-AU"/>
        </w:rPr>
        <w:t>The principal route of pitavastatin metabolism is glucuronidation via liver UGTs with subsequent formation</w:t>
      </w:r>
      <w:r w:rsidR="00B941D1" w:rsidRPr="00C83029">
        <w:rPr>
          <w:lang w:val="en-AU"/>
        </w:rPr>
        <w:t xml:space="preserve"> </w:t>
      </w:r>
      <w:r w:rsidRPr="00C83029">
        <w:rPr>
          <w:lang w:val="en-AU"/>
        </w:rPr>
        <w:t>of pitavastatin lactone. There is only minimal metabolism by the cytochrome P450 system.</w:t>
      </w:r>
      <w:r w:rsidR="00DF263A" w:rsidRPr="00C83029">
        <w:rPr>
          <w:lang w:val="en-AU"/>
        </w:rPr>
        <w:t xml:space="preserve"> (</w:t>
      </w:r>
      <w:proofErr w:type="gramStart"/>
      <w:r w:rsidR="007C118D">
        <w:rPr>
          <w:lang w:val="en-AU"/>
        </w:rPr>
        <w:t>s</w:t>
      </w:r>
      <w:r w:rsidR="00DF263A" w:rsidRPr="00C83029">
        <w:rPr>
          <w:lang w:val="en-AU"/>
        </w:rPr>
        <w:t>ee</w:t>
      </w:r>
      <w:proofErr w:type="gramEnd"/>
      <w:r w:rsidR="00DF263A" w:rsidRPr="00C83029">
        <w:rPr>
          <w:lang w:val="en-AU"/>
        </w:rPr>
        <w:t xml:space="preserve"> </w:t>
      </w:r>
      <w:r w:rsidR="007C118D">
        <w:rPr>
          <w:lang w:val="en-AU"/>
        </w:rPr>
        <w:t>‘</w:t>
      </w:r>
      <w:r w:rsidR="00CB72AE" w:rsidRPr="00C83029">
        <w:rPr>
          <w:lang w:val="en-AU"/>
        </w:rPr>
        <w:t>Interactions with other medicines</w:t>
      </w:r>
      <w:r w:rsidR="007C118D">
        <w:rPr>
          <w:lang w:val="en-AU"/>
        </w:rPr>
        <w:t>’</w:t>
      </w:r>
      <w:r w:rsidR="00DF263A" w:rsidRPr="00C83029">
        <w:rPr>
          <w:lang w:val="en-AU"/>
        </w:rPr>
        <w:t>).</w:t>
      </w:r>
    </w:p>
    <w:p w:rsidR="004C5DA4" w:rsidRPr="00C83029" w:rsidRDefault="00223F91" w:rsidP="003900E6">
      <w:pPr>
        <w:pStyle w:val="Heading3"/>
      </w:pPr>
      <w:r w:rsidRPr="00C83029">
        <w:t>Warfarin</w:t>
      </w:r>
    </w:p>
    <w:p w:rsidR="00CD2773" w:rsidRPr="00C83029" w:rsidRDefault="00223F91" w:rsidP="00EE5749">
      <w:pPr>
        <w:rPr>
          <w:lang w:val="en-AU"/>
        </w:rPr>
      </w:pPr>
      <w:r w:rsidRPr="00C83029">
        <w:rPr>
          <w:lang w:val="en-AU"/>
        </w:rPr>
        <w:t xml:space="preserve">The steady-state pharmacodynamics (international </w:t>
      </w:r>
      <w:r w:rsidR="0056158F" w:rsidRPr="00C83029">
        <w:rPr>
          <w:lang w:val="en-AU"/>
        </w:rPr>
        <w:t xml:space="preserve">normalised </w:t>
      </w:r>
      <w:r w:rsidRPr="00C83029">
        <w:rPr>
          <w:lang w:val="en-AU"/>
        </w:rPr>
        <w:t>ratio [INR] and prothrombin time [PT]) and</w:t>
      </w:r>
      <w:r w:rsidR="00B941D1" w:rsidRPr="00C83029">
        <w:rPr>
          <w:lang w:val="en-AU"/>
        </w:rPr>
        <w:t xml:space="preserve"> </w:t>
      </w:r>
      <w:r w:rsidRPr="00C83029">
        <w:rPr>
          <w:lang w:val="en-AU"/>
        </w:rPr>
        <w:t xml:space="preserve">pharmacokinetics of warfarin in healthy volunteers were unaffected by the co-administration of </w:t>
      </w:r>
      <w:r w:rsidR="00BD7F16" w:rsidRPr="00C83029">
        <w:rPr>
          <w:lang w:val="en-AU"/>
        </w:rPr>
        <w:t>pitavastatin</w:t>
      </w:r>
      <w:r w:rsidRPr="00C83029">
        <w:rPr>
          <w:lang w:val="en-AU"/>
        </w:rPr>
        <w:t xml:space="preserve"> 4 mg daily. However,</w:t>
      </w:r>
      <w:r w:rsidR="00B941D1" w:rsidRPr="00C83029">
        <w:rPr>
          <w:lang w:val="en-AU"/>
        </w:rPr>
        <w:t xml:space="preserve"> </w:t>
      </w:r>
      <w:r w:rsidRPr="00C83029">
        <w:rPr>
          <w:lang w:val="en-AU"/>
        </w:rPr>
        <w:t>patients receiving warfarin should have their PT time or INR monitored when pitavastatin is added to their therapy.</w:t>
      </w:r>
    </w:p>
    <w:p w:rsidR="006A7D74" w:rsidRPr="00C83029" w:rsidRDefault="006A7D74" w:rsidP="003900E6">
      <w:pPr>
        <w:pStyle w:val="Heading1"/>
      </w:pPr>
      <w:r w:rsidRPr="00C83029">
        <w:t>CLINICAL STUDIES</w:t>
      </w:r>
    </w:p>
    <w:p w:rsidR="006A7D74" w:rsidRPr="00C83029" w:rsidRDefault="006A7D74" w:rsidP="003900E6">
      <w:pPr>
        <w:pStyle w:val="Heading2"/>
      </w:pPr>
      <w:r w:rsidRPr="00C83029">
        <w:t xml:space="preserve">Primary </w:t>
      </w:r>
      <w:r w:rsidR="00CB3184" w:rsidRPr="00C83029">
        <w:rPr>
          <w:rFonts w:cs="Arial"/>
          <w:szCs w:val="22"/>
        </w:rPr>
        <w:t>Hypercholesterol</w:t>
      </w:r>
      <w:r w:rsidR="00A9751E">
        <w:rPr>
          <w:rFonts w:cs="Arial"/>
          <w:szCs w:val="22"/>
        </w:rPr>
        <w:t>a</w:t>
      </w:r>
      <w:r w:rsidR="00CB3184" w:rsidRPr="00C83029">
        <w:rPr>
          <w:rFonts w:cs="Arial"/>
          <w:szCs w:val="22"/>
        </w:rPr>
        <w:t xml:space="preserve">emia </w:t>
      </w:r>
      <w:r w:rsidRPr="00C83029">
        <w:t>or Mixed Dyslipid</w:t>
      </w:r>
      <w:r w:rsidR="009C3909" w:rsidRPr="00C83029">
        <w:t>a</w:t>
      </w:r>
      <w:r w:rsidRPr="00C83029">
        <w:t>emia</w:t>
      </w:r>
    </w:p>
    <w:p w:rsidR="00CB3184" w:rsidRPr="00C83029" w:rsidRDefault="00CB3184" w:rsidP="00CB3184">
      <w:pPr>
        <w:rPr>
          <w:rFonts w:cs="Arial"/>
          <w:sz w:val="21"/>
          <w:szCs w:val="21"/>
          <w:lang w:val="en-AU"/>
        </w:rPr>
      </w:pPr>
      <w:r w:rsidRPr="00C83029">
        <w:rPr>
          <w:rFonts w:cs="Arial"/>
          <w:szCs w:val="22"/>
          <w:lang w:val="en-AU"/>
        </w:rPr>
        <w:t xml:space="preserve">Livalo reduces </w:t>
      </w:r>
      <w:r w:rsidR="006C7003">
        <w:rPr>
          <w:rFonts w:cs="Arial"/>
          <w:szCs w:val="22"/>
          <w:lang w:val="en-AU"/>
        </w:rPr>
        <w:t>TC</w:t>
      </w:r>
      <w:r w:rsidRPr="00C83029">
        <w:rPr>
          <w:rFonts w:cs="Arial"/>
          <w:szCs w:val="22"/>
          <w:lang w:val="en-AU"/>
        </w:rPr>
        <w:t>, LDL-C, ApoB, non high-density lipoprotein cholesterol (non</w:t>
      </w:r>
      <w:r w:rsidR="00162E50">
        <w:rPr>
          <w:rFonts w:cs="Arial"/>
          <w:szCs w:val="22"/>
          <w:lang w:val="en-AU"/>
        </w:rPr>
        <w:t xml:space="preserve"> </w:t>
      </w:r>
      <w:r w:rsidRPr="00C83029">
        <w:rPr>
          <w:rFonts w:cs="Arial"/>
          <w:szCs w:val="22"/>
          <w:lang w:val="en-AU"/>
        </w:rPr>
        <w:t>HDL-C) and TG, and increases HDL-C in patients with primary hypercholesterolaemia or mixed dyslipidaemia.  The clinical trial program showed that Livalo is effective in a wide variety of patient populations regardless of race, age or sex.</w:t>
      </w:r>
    </w:p>
    <w:p w:rsidR="00EE5749" w:rsidRPr="00C83029" w:rsidRDefault="006A7D74" w:rsidP="00EE5749">
      <w:pPr>
        <w:rPr>
          <w:lang w:val="en-AU"/>
        </w:rPr>
      </w:pPr>
      <w:r w:rsidRPr="00C83029">
        <w:rPr>
          <w:lang w:val="en-AU"/>
        </w:rPr>
        <w:t xml:space="preserve">Dose-ranging study: A multicenter, </w:t>
      </w:r>
      <w:r w:rsidR="0056158F" w:rsidRPr="00C83029">
        <w:rPr>
          <w:lang w:val="en-AU"/>
        </w:rPr>
        <w:t>randomised</w:t>
      </w:r>
      <w:r w:rsidRPr="00C83029">
        <w:rPr>
          <w:lang w:val="en-AU"/>
        </w:rPr>
        <w:t>, double-blind, placebo-controlled, dose-ranging study was performed to evaluate the</w:t>
      </w:r>
      <w:r w:rsidR="001541FA" w:rsidRPr="00C83029">
        <w:rPr>
          <w:lang w:val="en-AU"/>
        </w:rPr>
        <w:t xml:space="preserve"> </w:t>
      </w:r>
      <w:r w:rsidRPr="00C83029">
        <w:rPr>
          <w:lang w:val="en-AU"/>
        </w:rPr>
        <w:t xml:space="preserve">efficacy of </w:t>
      </w:r>
      <w:r w:rsidR="00CB3184" w:rsidRPr="00C83029">
        <w:rPr>
          <w:lang w:val="en-AU"/>
        </w:rPr>
        <w:t xml:space="preserve">Livalo </w:t>
      </w:r>
      <w:r w:rsidRPr="00C83029">
        <w:rPr>
          <w:lang w:val="en-AU"/>
        </w:rPr>
        <w:t xml:space="preserve">compared with placebo in 251 patients with primary </w:t>
      </w:r>
      <w:r w:rsidR="002D3AA0" w:rsidRPr="00C83029">
        <w:rPr>
          <w:lang w:val="en-AU"/>
        </w:rPr>
        <w:t xml:space="preserve">hypercholesterolaemia </w:t>
      </w:r>
      <w:r w:rsidRPr="00C83029">
        <w:rPr>
          <w:lang w:val="en-AU"/>
        </w:rPr>
        <w:t xml:space="preserve">(Table </w:t>
      </w:r>
      <w:r w:rsidR="00CD0356" w:rsidRPr="00C83029">
        <w:rPr>
          <w:lang w:val="en-AU"/>
        </w:rPr>
        <w:t>1</w:t>
      </w:r>
      <w:r w:rsidRPr="00C83029">
        <w:rPr>
          <w:lang w:val="en-AU"/>
        </w:rPr>
        <w:t xml:space="preserve">). </w:t>
      </w:r>
      <w:r w:rsidR="00CB3184" w:rsidRPr="00C83029">
        <w:rPr>
          <w:lang w:val="en-AU"/>
        </w:rPr>
        <w:t xml:space="preserve">Livalo </w:t>
      </w:r>
      <w:r w:rsidRPr="00C83029">
        <w:rPr>
          <w:lang w:val="en-AU"/>
        </w:rPr>
        <w:t>given as a single daily</w:t>
      </w:r>
      <w:r w:rsidR="001541FA" w:rsidRPr="00C83029">
        <w:rPr>
          <w:lang w:val="en-AU"/>
        </w:rPr>
        <w:t xml:space="preserve"> </w:t>
      </w:r>
      <w:r w:rsidRPr="00C83029">
        <w:rPr>
          <w:lang w:val="en-AU"/>
        </w:rPr>
        <w:t xml:space="preserve">dose for 12 weeks </w:t>
      </w:r>
      <w:r w:rsidR="007271CF" w:rsidRPr="00C83029">
        <w:rPr>
          <w:lang w:val="en-AU"/>
        </w:rPr>
        <w:t xml:space="preserve">reduces elevated LDL-C, </w:t>
      </w:r>
      <w:r w:rsidR="00CB3184" w:rsidRPr="00C83029">
        <w:rPr>
          <w:lang w:val="en-AU"/>
        </w:rPr>
        <w:t>total-C</w:t>
      </w:r>
      <w:r w:rsidR="007271CF" w:rsidRPr="00C83029">
        <w:rPr>
          <w:lang w:val="en-AU"/>
        </w:rPr>
        <w:t xml:space="preserve"> and </w:t>
      </w:r>
      <w:r w:rsidR="00CB3184" w:rsidRPr="00C83029">
        <w:rPr>
          <w:lang w:val="en-AU"/>
        </w:rPr>
        <w:t xml:space="preserve">TG </w:t>
      </w:r>
      <w:r w:rsidR="007271CF" w:rsidRPr="00C83029">
        <w:rPr>
          <w:lang w:val="en-AU"/>
        </w:rPr>
        <w:t>and increases HDL-C.  It reduces Apo-B, and produces variable increases in Apo-A1 (see Table 1).  It also reduces non-HDL-C and elevated TC/HDL-C, and Apo-B/Apo-A1 ratios</w:t>
      </w:r>
      <w:r w:rsidR="00CB3184" w:rsidRPr="00C83029">
        <w:rPr>
          <w:lang w:val="en-AU"/>
        </w:rPr>
        <w:t>.</w:t>
      </w:r>
    </w:p>
    <w:p w:rsidR="00CD0356" w:rsidRPr="00C83029" w:rsidRDefault="00CD0356" w:rsidP="00EE5749">
      <w:pPr>
        <w:pStyle w:val="Heading4"/>
      </w:pPr>
      <w:proofErr w:type="gramStart"/>
      <w:r w:rsidRPr="00C83029">
        <w:t>Table 1.</w:t>
      </w:r>
      <w:proofErr w:type="gramEnd"/>
      <w:r w:rsidR="006C7003">
        <w:tab/>
      </w:r>
      <w:r w:rsidRPr="00C83029">
        <w:t>Dose-Response in Patients with Primary Hypercholesterol</w:t>
      </w:r>
      <w:r w:rsidR="005D3AE1" w:rsidRPr="00C83029">
        <w:t>a</w:t>
      </w:r>
      <w:r w:rsidRPr="00C83029">
        <w:t>emia (Adjusted Mean %</w:t>
      </w:r>
      <w:r w:rsidR="00046824" w:rsidRPr="00C83029">
        <w:t xml:space="preserve"> </w:t>
      </w:r>
      <w:r w:rsidRPr="00C83029">
        <w:t xml:space="preserve">Change from Baseline </w:t>
      </w:r>
      <w:r w:rsidR="0066355E" w:rsidRPr="00C83029">
        <w:t xml:space="preserve">over 12 </w:t>
      </w:r>
      <w:r w:rsidRPr="00C83029">
        <w:t>Week</w:t>
      </w:r>
      <w:r w:rsidR="0066355E" w:rsidRPr="00C83029">
        <w:t>s</w:t>
      </w:r>
      <w:r w:rsidRPr="00C83029">
        <w:t>)</w:t>
      </w:r>
    </w:p>
    <w:tbl>
      <w:tblPr>
        <w:tblW w:w="8779" w:type="dxa"/>
        <w:jc w:val="center"/>
        <w:tblInd w:w="93" w:type="dxa"/>
        <w:tblLook w:val="0000"/>
      </w:tblPr>
      <w:tblGrid>
        <w:gridCol w:w="1959"/>
        <w:gridCol w:w="820"/>
        <w:gridCol w:w="1000"/>
        <w:gridCol w:w="1000"/>
        <w:gridCol w:w="1000"/>
        <w:gridCol w:w="1000"/>
        <w:gridCol w:w="1000"/>
        <w:gridCol w:w="1000"/>
      </w:tblGrid>
      <w:tr w:rsidR="002D3AA0" w:rsidRPr="00C83029" w:rsidTr="002D3AA0">
        <w:trPr>
          <w:trHeight w:val="300"/>
          <w:jc w:val="center"/>
        </w:trPr>
        <w:tc>
          <w:tcPr>
            <w:tcW w:w="19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Treatment</w:t>
            </w:r>
          </w:p>
        </w:tc>
        <w:tc>
          <w:tcPr>
            <w:tcW w:w="820" w:type="dxa"/>
            <w:tcBorders>
              <w:top w:val="single" w:sz="4" w:space="0" w:color="auto"/>
              <w:left w:val="nil"/>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N</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LDL-C</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TC</w:t>
            </w:r>
            <w:r w:rsidR="007271CF" w:rsidRPr="00C83029">
              <w:rPr>
                <w:sz w:val="20"/>
                <w:lang w:val="en-AU"/>
              </w:rPr>
              <w:t>*</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TG</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HDL-C</w:t>
            </w:r>
          </w:p>
        </w:tc>
        <w:tc>
          <w:tcPr>
            <w:tcW w:w="1000" w:type="dxa"/>
            <w:tcBorders>
              <w:top w:val="single" w:sz="4" w:space="0" w:color="auto"/>
              <w:left w:val="nil"/>
              <w:bottom w:val="single" w:sz="4" w:space="0" w:color="auto"/>
              <w:right w:val="single" w:sz="4" w:space="0" w:color="auto"/>
            </w:tcBorders>
            <w:vAlign w:val="bottom"/>
          </w:tcPr>
          <w:p w:rsidR="002D3AA0" w:rsidRPr="00C83029" w:rsidRDefault="002D3AA0" w:rsidP="000A6D98">
            <w:pPr>
              <w:jc w:val="center"/>
              <w:rPr>
                <w:sz w:val="20"/>
                <w:lang w:val="en-AU"/>
              </w:rPr>
            </w:pPr>
            <w:r w:rsidRPr="00C83029">
              <w:rPr>
                <w:sz w:val="20"/>
                <w:lang w:val="en-AU"/>
              </w:rPr>
              <w:t>Apo-B</w:t>
            </w:r>
          </w:p>
        </w:tc>
        <w:tc>
          <w:tcPr>
            <w:tcW w:w="1000" w:type="dxa"/>
            <w:tcBorders>
              <w:top w:val="single" w:sz="4" w:space="0" w:color="auto"/>
              <w:left w:val="nil"/>
              <w:bottom w:val="single" w:sz="4" w:space="0" w:color="auto"/>
              <w:right w:val="single" w:sz="4" w:space="0" w:color="auto"/>
            </w:tcBorders>
          </w:tcPr>
          <w:p w:rsidR="002D3AA0" w:rsidRPr="00C83029" w:rsidRDefault="002D3AA0" w:rsidP="000A6D98">
            <w:pPr>
              <w:jc w:val="center"/>
              <w:rPr>
                <w:sz w:val="20"/>
                <w:lang w:val="en-AU"/>
              </w:rPr>
            </w:pPr>
            <w:r w:rsidRPr="00C83029">
              <w:rPr>
                <w:sz w:val="20"/>
                <w:lang w:val="en-AU"/>
              </w:rPr>
              <w:t>Apo-A1</w:t>
            </w:r>
          </w:p>
        </w:tc>
      </w:tr>
      <w:tr w:rsidR="002D3AA0" w:rsidRPr="00C83029" w:rsidTr="002D3AA0">
        <w:trPr>
          <w:trHeight w:val="300"/>
          <w:jc w:val="center"/>
        </w:trPr>
        <w:tc>
          <w:tcPr>
            <w:tcW w:w="1959" w:type="dxa"/>
            <w:tcBorders>
              <w:top w:val="nil"/>
              <w:left w:val="single" w:sz="4" w:space="0" w:color="auto"/>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Placebo</w:t>
            </w:r>
          </w:p>
        </w:tc>
        <w:tc>
          <w:tcPr>
            <w:tcW w:w="820" w:type="dxa"/>
            <w:tcBorders>
              <w:top w:val="nil"/>
              <w:left w:val="nil"/>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51</w:t>
            </w:r>
          </w:p>
        </w:tc>
        <w:tc>
          <w:tcPr>
            <w:tcW w:w="1000" w:type="dxa"/>
            <w:tcBorders>
              <w:top w:val="nil"/>
              <w:left w:val="nil"/>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-4.0</w:t>
            </w:r>
          </w:p>
        </w:tc>
        <w:tc>
          <w:tcPr>
            <w:tcW w:w="1000" w:type="dxa"/>
            <w:tcBorders>
              <w:top w:val="nil"/>
              <w:left w:val="nil"/>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-1.3</w:t>
            </w:r>
          </w:p>
        </w:tc>
        <w:tc>
          <w:tcPr>
            <w:tcW w:w="1000" w:type="dxa"/>
            <w:tcBorders>
              <w:top w:val="nil"/>
              <w:left w:val="nil"/>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-2.1</w:t>
            </w:r>
          </w:p>
        </w:tc>
        <w:tc>
          <w:tcPr>
            <w:tcW w:w="1000" w:type="dxa"/>
            <w:tcBorders>
              <w:top w:val="nil"/>
              <w:left w:val="nil"/>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2.5</w:t>
            </w:r>
          </w:p>
        </w:tc>
        <w:tc>
          <w:tcPr>
            <w:tcW w:w="1000" w:type="dxa"/>
            <w:tcBorders>
              <w:top w:val="nil"/>
              <w:left w:val="nil"/>
              <w:bottom w:val="single" w:sz="4" w:space="0" w:color="auto"/>
              <w:right w:val="single" w:sz="4" w:space="0" w:color="auto"/>
            </w:tcBorders>
            <w:vAlign w:val="bottom"/>
          </w:tcPr>
          <w:p w:rsidR="002D3AA0" w:rsidRPr="00C83029" w:rsidDel="0066355E" w:rsidRDefault="002D3AA0" w:rsidP="000A6D98">
            <w:pPr>
              <w:jc w:val="center"/>
              <w:rPr>
                <w:sz w:val="20"/>
                <w:lang w:val="en-AU"/>
              </w:rPr>
            </w:pPr>
            <w:r w:rsidRPr="00C83029">
              <w:rPr>
                <w:sz w:val="20"/>
                <w:lang w:val="en-AU"/>
              </w:rPr>
              <w:t>0.3</w:t>
            </w:r>
          </w:p>
        </w:tc>
        <w:tc>
          <w:tcPr>
            <w:tcW w:w="1000" w:type="dxa"/>
            <w:tcBorders>
              <w:top w:val="nil"/>
              <w:left w:val="nil"/>
              <w:bottom w:val="single" w:sz="4" w:space="0" w:color="auto"/>
              <w:right w:val="single" w:sz="4" w:space="0" w:color="auto"/>
            </w:tcBorders>
          </w:tcPr>
          <w:p w:rsidR="002D3AA0" w:rsidRPr="00C83029" w:rsidRDefault="002D3AA0" w:rsidP="000A6D98">
            <w:pPr>
              <w:jc w:val="center"/>
              <w:rPr>
                <w:sz w:val="20"/>
                <w:lang w:val="en-AU"/>
              </w:rPr>
            </w:pPr>
            <w:r w:rsidRPr="00C83029">
              <w:rPr>
                <w:sz w:val="20"/>
                <w:lang w:val="en-AU"/>
              </w:rPr>
              <w:t>3.2</w:t>
            </w:r>
          </w:p>
        </w:tc>
      </w:tr>
      <w:tr w:rsidR="002D3AA0" w:rsidRPr="00C83029" w:rsidTr="002D3AA0">
        <w:trPr>
          <w:trHeight w:val="300"/>
          <w:jc w:val="center"/>
        </w:trPr>
        <w:tc>
          <w:tcPr>
            <w:tcW w:w="1959" w:type="dxa"/>
            <w:tcBorders>
              <w:top w:val="nil"/>
              <w:left w:val="single" w:sz="4" w:space="0" w:color="auto"/>
              <w:bottom w:val="single" w:sz="4" w:space="0" w:color="auto"/>
              <w:right w:val="single" w:sz="4" w:space="0" w:color="auto"/>
            </w:tcBorders>
            <w:shd w:val="clear" w:color="auto" w:fill="auto"/>
            <w:noWrap/>
            <w:vAlign w:val="bottom"/>
          </w:tcPr>
          <w:p w:rsidR="002D3AA0" w:rsidRPr="00C83029" w:rsidRDefault="00702BEF" w:rsidP="000A6D98">
            <w:pPr>
              <w:jc w:val="center"/>
              <w:rPr>
                <w:sz w:val="20"/>
                <w:lang w:val="en-AU"/>
              </w:rPr>
            </w:pPr>
            <w:r w:rsidRPr="00C83029">
              <w:rPr>
                <w:sz w:val="20"/>
                <w:lang w:val="en-AU"/>
              </w:rPr>
              <w:t xml:space="preserve">LIVALO </w:t>
            </w:r>
            <w:r w:rsidR="002D3AA0" w:rsidRPr="00C83029">
              <w:rPr>
                <w:sz w:val="20"/>
                <w:lang w:val="en-AU"/>
              </w:rPr>
              <w:t>1mg</w:t>
            </w:r>
          </w:p>
        </w:tc>
        <w:tc>
          <w:tcPr>
            <w:tcW w:w="820" w:type="dxa"/>
            <w:tcBorders>
              <w:top w:val="nil"/>
              <w:left w:val="nil"/>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52</w:t>
            </w:r>
          </w:p>
        </w:tc>
        <w:tc>
          <w:tcPr>
            <w:tcW w:w="1000" w:type="dxa"/>
            <w:tcBorders>
              <w:top w:val="nil"/>
              <w:left w:val="nil"/>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-33.3</w:t>
            </w:r>
          </w:p>
        </w:tc>
        <w:tc>
          <w:tcPr>
            <w:tcW w:w="1000" w:type="dxa"/>
            <w:tcBorders>
              <w:top w:val="nil"/>
              <w:left w:val="nil"/>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-22.8</w:t>
            </w:r>
          </w:p>
        </w:tc>
        <w:tc>
          <w:tcPr>
            <w:tcW w:w="1000" w:type="dxa"/>
            <w:tcBorders>
              <w:top w:val="nil"/>
              <w:left w:val="nil"/>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-14.8</w:t>
            </w:r>
          </w:p>
        </w:tc>
        <w:tc>
          <w:tcPr>
            <w:tcW w:w="1000" w:type="dxa"/>
            <w:tcBorders>
              <w:top w:val="nil"/>
              <w:left w:val="nil"/>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9.4</w:t>
            </w:r>
          </w:p>
        </w:tc>
        <w:tc>
          <w:tcPr>
            <w:tcW w:w="1000" w:type="dxa"/>
            <w:tcBorders>
              <w:top w:val="nil"/>
              <w:left w:val="nil"/>
              <w:bottom w:val="single" w:sz="4" w:space="0" w:color="auto"/>
              <w:right w:val="single" w:sz="4" w:space="0" w:color="auto"/>
            </w:tcBorders>
            <w:vAlign w:val="bottom"/>
          </w:tcPr>
          <w:p w:rsidR="002D3AA0" w:rsidRPr="00C83029" w:rsidDel="0066355E" w:rsidRDefault="002D3AA0" w:rsidP="000A6D98">
            <w:pPr>
              <w:jc w:val="center"/>
              <w:rPr>
                <w:sz w:val="20"/>
                <w:lang w:val="en-AU"/>
              </w:rPr>
            </w:pPr>
            <w:r w:rsidRPr="00C83029">
              <w:rPr>
                <w:sz w:val="20"/>
                <w:lang w:val="en-AU"/>
              </w:rPr>
              <w:t>-24.1</w:t>
            </w:r>
          </w:p>
        </w:tc>
        <w:tc>
          <w:tcPr>
            <w:tcW w:w="1000" w:type="dxa"/>
            <w:tcBorders>
              <w:top w:val="nil"/>
              <w:left w:val="nil"/>
              <w:bottom w:val="single" w:sz="4" w:space="0" w:color="auto"/>
              <w:right w:val="single" w:sz="4" w:space="0" w:color="auto"/>
            </w:tcBorders>
          </w:tcPr>
          <w:p w:rsidR="002D3AA0" w:rsidRPr="00C83029" w:rsidRDefault="002D3AA0" w:rsidP="000A6D98">
            <w:pPr>
              <w:jc w:val="center"/>
              <w:rPr>
                <w:sz w:val="20"/>
                <w:lang w:val="en-AU"/>
              </w:rPr>
            </w:pPr>
            <w:r w:rsidRPr="00C83029">
              <w:rPr>
                <w:sz w:val="20"/>
                <w:lang w:val="en-AU"/>
              </w:rPr>
              <w:t>8.5</w:t>
            </w:r>
          </w:p>
        </w:tc>
      </w:tr>
      <w:tr w:rsidR="002D3AA0" w:rsidRPr="00C83029" w:rsidTr="002D3AA0">
        <w:trPr>
          <w:trHeight w:val="300"/>
          <w:jc w:val="center"/>
        </w:trPr>
        <w:tc>
          <w:tcPr>
            <w:tcW w:w="1959" w:type="dxa"/>
            <w:tcBorders>
              <w:top w:val="nil"/>
              <w:left w:val="single" w:sz="4" w:space="0" w:color="auto"/>
              <w:bottom w:val="single" w:sz="4" w:space="0" w:color="auto"/>
              <w:right w:val="single" w:sz="4" w:space="0" w:color="auto"/>
            </w:tcBorders>
            <w:shd w:val="clear" w:color="auto" w:fill="auto"/>
            <w:noWrap/>
            <w:vAlign w:val="bottom"/>
          </w:tcPr>
          <w:p w:rsidR="002D3AA0" w:rsidRPr="00C83029" w:rsidRDefault="00702BEF" w:rsidP="000A6D98">
            <w:pPr>
              <w:jc w:val="center"/>
              <w:rPr>
                <w:sz w:val="20"/>
                <w:lang w:val="en-AU"/>
              </w:rPr>
            </w:pPr>
            <w:r w:rsidRPr="00C83029">
              <w:rPr>
                <w:sz w:val="20"/>
                <w:lang w:val="en-AU"/>
              </w:rPr>
              <w:t xml:space="preserve">LIVALO </w:t>
            </w:r>
            <w:r w:rsidR="002D3AA0" w:rsidRPr="00C83029">
              <w:rPr>
                <w:sz w:val="20"/>
                <w:lang w:val="en-AU"/>
              </w:rPr>
              <w:t>2mg</w:t>
            </w:r>
          </w:p>
        </w:tc>
        <w:tc>
          <w:tcPr>
            <w:tcW w:w="820" w:type="dxa"/>
            <w:tcBorders>
              <w:top w:val="nil"/>
              <w:left w:val="nil"/>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49</w:t>
            </w:r>
          </w:p>
        </w:tc>
        <w:tc>
          <w:tcPr>
            <w:tcW w:w="1000" w:type="dxa"/>
            <w:tcBorders>
              <w:top w:val="nil"/>
              <w:left w:val="nil"/>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-38.2</w:t>
            </w:r>
          </w:p>
        </w:tc>
        <w:tc>
          <w:tcPr>
            <w:tcW w:w="1000" w:type="dxa"/>
            <w:tcBorders>
              <w:top w:val="nil"/>
              <w:left w:val="nil"/>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-26.1</w:t>
            </w:r>
          </w:p>
        </w:tc>
        <w:tc>
          <w:tcPr>
            <w:tcW w:w="1000" w:type="dxa"/>
            <w:tcBorders>
              <w:top w:val="nil"/>
              <w:left w:val="nil"/>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-17.4</w:t>
            </w:r>
          </w:p>
        </w:tc>
        <w:tc>
          <w:tcPr>
            <w:tcW w:w="1000" w:type="dxa"/>
            <w:tcBorders>
              <w:top w:val="nil"/>
              <w:left w:val="nil"/>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9.0</w:t>
            </w:r>
          </w:p>
        </w:tc>
        <w:tc>
          <w:tcPr>
            <w:tcW w:w="1000" w:type="dxa"/>
            <w:tcBorders>
              <w:top w:val="nil"/>
              <w:left w:val="nil"/>
              <w:bottom w:val="single" w:sz="4" w:space="0" w:color="auto"/>
              <w:right w:val="single" w:sz="4" w:space="0" w:color="auto"/>
            </w:tcBorders>
            <w:vAlign w:val="bottom"/>
          </w:tcPr>
          <w:p w:rsidR="002D3AA0" w:rsidRPr="00C83029" w:rsidDel="0066355E" w:rsidRDefault="002D3AA0" w:rsidP="000A6D98">
            <w:pPr>
              <w:jc w:val="center"/>
              <w:rPr>
                <w:sz w:val="20"/>
                <w:lang w:val="en-AU"/>
              </w:rPr>
            </w:pPr>
            <w:r w:rsidRPr="00C83029">
              <w:rPr>
                <w:sz w:val="20"/>
                <w:lang w:val="en-AU"/>
              </w:rPr>
              <w:t>-30.4</w:t>
            </w:r>
          </w:p>
        </w:tc>
        <w:tc>
          <w:tcPr>
            <w:tcW w:w="1000" w:type="dxa"/>
            <w:tcBorders>
              <w:top w:val="nil"/>
              <w:left w:val="nil"/>
              <w:bottom w:val="single" w:sz="4" w:space="0" w:color="auto"/>
              <w:right w:val="single" w:sz="4" w:space="0" w:color="auto"/>
            </w:tcBorders>
          </w:tcPr>
          <w:p w:rsidR="002D3AA0" w:rsidRPr="00C83029" w:rsidRDefault="002D3AA0" w:rsidP="000A6D98">
            <w:pPr>
              <w:jc w:val="center"/>
              <w:rPr>
                <w:sz w:val="20"/>
                <w:lang w:val="en-AU"/>
              </w:rPr>
            </w:pPr>
            <w:r w:rsidRPr="00C83029">
              <w:rPr>
                <w:sz w:val="20"/>
                <w:lang w:val="en-AU"/>
              </w:rPr>
              <w:t>5.6</w:t>
            </w:r>
          </w:p>
        </w:tc>
      </w:tr>
      <w:tr w:rsidR="002D3AA0" w:rsidRPr="00C83029" w:rsidTr="002D3AA0">
        <w:trPr>
          <w:trHeight w:val="300"/>
          <w:jc w:val="center"/>
        </w:trPr>
        <w:tc>
          <w:tcPr>
            <w:tcW w:w="1959" w:type="dxa"/>
            <w:tcBorders>
              <w:top w:val="nil"/>
              <w:left w:val="single" w:sz="4" w:space="0" w:color="auto"/>
              <w:bottom w:val="single" w:sz="4" w:space="0" w:color="auto"/>
              <w:right w:val="single" w:sz="4" w:space="0" w:color="auto"/>
            </w:tcBorders>
            <w:shd w:val="clear" w:color="auto" w:fill="auto"/>
            <w:noWrap/>
            <w:vAlign w:val="bottom"/>
          </w:tcPr>
          <w:p w:rsidR="002D3AA0" w:rsidRPr="00C83029" w:rsidRDefault="00702BEF" w:rsidP="000A6D98">
            <w:pPr>
              <w:jc w:val="center"/>
              <w:rPr>
                <w:sz w:val="20"/>
                <w:lang w:val="en-AU"/>
              </w:rPr>
            </w:pPr>
            <w:r w:rsidRPr="00C83029">
              <w:rPr>
                <w:sz w:val="20"/>
                <w:lang w:val="en-AU"/>
              </w:rPr>
              <w:t xml:space="preserve">LIVALO </w:t>
            </w:r>
            <w:r w:rsidR="002D3AA0" w:rsidRPr="00C83029">
              <w:rPr>
                <w:sz w:val="20"/>
                <w:lang w:val="en-AU"/>
              </w:rPr>
              <w:t>4mg</w:t>
            </w:r>
          </w:p>
        </w:tc>
        <w:tc>
          <w:tcPr>
            <w:tcW w:w="820" w:type="dxa"/>
            <w:tcBorders>
              <w:top w:val="nil"/>
              <w:left w:val="nil"/>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50</w:t>
            </w:r>
          </w:p>
        </w:tc>
        <w:tc>
          <w:tcPr>
            <w:tcW w:w="1000" w:type="dxa"/>
            <w:tcBorders>
              <w:top w:val="nil"/>
              <w:left w:val="nil"/>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-46.5</w:t>
            </w:r>
          </w:p>
        </w:tc>
        <w:tc>
          <w:tcPr>
            <w:tcW w:w="1000" w:type="dxa"/>
            <w:tcBorders>
              <w:top w:val="nil"/>
              <w:left w:val="nil"/>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-32.5</w:t>
            </w:r>
          </w:p>
        </w:tc>
        <w:tc>
          <w:tcPr>
            <w:tcW w:w="1000" w:type="dxa"/>
            <w:tcBorders>
              <w:top w:val="nil"/>
              <w:left w:val="nil"/>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-21.2</w:t>
            </w:r>
          </w:p>
        </w:tc>
        <w:tc>
          <w:tcPr>
            <w:tcW w:w="1000" w:type="dxa"/>
            <w:tcBorders>
              <w:top w:val="nil"/>
              <w:left w:val="nil"/>
              <w:bottom w:val="single" w:sz="4" w:space="0" w:color="auto"/>
              <w:right w:val="single" w:sz="4" w:space="0" w:color="auto"/>
            </w:tcBorders>
            <w:shd w:val="clear" w:color="auto" w:fill="auto"/>
            <w:noWrap/>
            <w:vAlign w:val="bottom"/>
          </w:tcPr>
          <w:p w:rsidR="002D3AA0" w:rsidRPr="00C83029" w:rsidRDefault="002D3AA0" w:rsidP="000A6D98">
            <w:pPr>
              <w:jc w:val="center"/>
              <w:rPr>
                <w:sz w:val="20"/>
                <w:lang w:val="en-AU"/>
              </w:rPr>
            </w:pPr>
            <w:r w:rsidRPr="00C83029">
              <w:rPr>
                <w:sz w:val="20"/>
                <w:lang w:val="en-AU"/>
              </w:rPr>
              <w:t>8.3</w:t>
            </w:r>
          </w:p>
        </w:tc>
        <w:tc>
          <w:tcPr>
            <w:tcW w:w="1000" w:type="dxa"/>
            <w:tcBorders>
              <w:top w:val="nil"/>
              <w:left w:val="nil"/>
              <w:bottom w:val="single" w:sz="4" w:space="0" w:color="auto"/>
              <w:right w:val="single" w:sz="4" w:space="0" w:color="auto"/>
            </w:tcBorders>
            <w:vAlign w:val="bottom"/>
          </w:tcPr>
          <w:p w:rsidR="002D3AA0" w:rsidRPr="00C83029" w:rsidDel="0066355E" w:rsidRDefault="002D3AA0" w:rsidP="000A6D98">
            <w:pPr>
              <w:jc w:val="center"/>
              <w:rPr>
                <w:sz w:val="20"/>
                <w:lang w:val="en-AU"/>
              </w:rPr>
            </w:pPr>
            <w:r w:rsidRPr="00C83029">
              <w:rPr>
                <w:sz w:val="20"/>
                <w:lang w:val="en-AU"/>
              </w:rPr>
              <w:t>-36.1</w:t>
            </w:r>
          </w:p>
        </w:tc>
        <w:tc>
          <w:tcPr>
            <w:tcW w:w="1000" w:type="dxa"/>
            <w:tcBorders>
              <w:top w:val="nil"/>
              <w:left w:val="nil"/>
              <w:bottom w:val="single" w:sz="4" w:space="0" w:color="auto"/>
              <w:right w:val="single" w:sz="4" w:space="0" w:color="auto"/>
            </w:tcBorders>
          </w:tcPr>
          <w:p w:rsidR="002D3AA0" w:rsidRPr="00C83029" w:rsidRDefault="002D3AA0" w:rsidP="000A6D98">
            <w:pPr>
              <w:jc w:val="center"/>
              <w:rPr>
                <w:sz w:val="20"/>
                <w:lang w:val="en-AU"/>
              </w:rPr>
            </w:pPr>
            <w:r w:rsidRPr="00C83029">
              <w:rPr>
                <w:sz w:val="20"/>
                <w:lang w:val="en-AU"/>
              </w:rPr>
              <w:t>4.7</w:t>
            </w:r>
          </w:p>
        </w:tc>
      </w:tr>
    </w:tbl>
    <w:p w:rsidR="00CD0356" w:rsidRPr="00C83029" w:rsidRDefault="00CD0356" w:rsidP="00EE5749">
      <w:pPr>
        <w:rPr>
          <w:sz w:val="20"/>
          <w:lang w:val="en-AU"/>
        </w:rPr>
      </w:pPr>
      <w:r w:rsidRPr="00C83029">
        <w:rPr>
          <w:sz w:val="20"/>
          <w:lang w:val="en-AU"/>
        </w:rPr>
        <w:tab/>
        <w:t xml:space="preserve">* </w:t>
      </w:r>
      <w:proofErr w:type="gramStart"/>
      <w:r w:rsidR="007271CF" w:rsidRPr="00C83029">
        <w:rPr>
          <w:sz w:val="20"/>
          <w:lang w:val="en-AU"/>
        </w:rPr>
        <w:t>unadjusted</w:t>
      </w:r>
      <w:proofErr w:type="gramEnd"/>
    </w:p>
    <w:p w:rsidR="00A852E3" w:rsidRPr="00C83029" w:rsidRDefault="00A852E3" w:rsidP="00EE5749">
      <w:pPr>
        <w:rPr>
          <w:lang w:val="en-AU"/>
        </w:rPr>
      </w:pPr>
    </w:p>
    <w:p w:rsidR="006A7D74" w:rsidRPr="00C83029" w:rsidRDefault="006A7D74" w:rsidP="00EE5749">
      <w:pPr>
        <w:rPr>
          <w:lang w:val="en-AU"/>
        </w:rPr>
      </w:pPr>
      <w:r w:rsidRPr="00C83029">
        <w:rPr>
          <w:lang w:val="en-AU"/>
        </w:rPr>
        <w:t xml:space="preserve">Active-controlled study with atorvastatin (NK-104-301): </w:t>
      </w:r>
      <w:r w:rsidR="00CB3184" w:rsidRPr="00C83029">
        <w:rPr>
          <w:lang w:val="en-AU"/>
        </w:rPr>
        <w:t xml:space="preserve">Livalo </w:t>
      </w:r>
      <w:r w:rsidRPr="00C83029">
        <w:rPr>
          <w:lang w:val="en-AU"/>
        </w:rPr>
        <w:t>was compared with the HMG-CoA reductase inhibitor</w:t>
      </w:r>
      <w:r w:rsidR="003A2EC5" w:rsidRPr="00C83029">
        <w:rPr>
          <w:lang w:val="en-AU"/>
        </w:rPr>
        <w:t>,</w:t>
      </w:r>
      <w:r w:rsidRPr="00C83029">
        <w:rPr>
          <w:lang w:val="en-AU"/>
        </w:rPr>
        <w:t xml:space="preserve"> atorvastatin</w:t>
      </w:r>
      <w:r w:rsidR="001541FA" w:rsidRPr="00C83029">
        <w:rPr>
          <w:lang w:val="en-AU"/>
        </w:rPr>
        <w:t xml:space="preserve"> </w:t>
      </w:r>
      <w:r w:rsidRPr="00C83029">
        <w:rPr>
          <w:lang w:val="en-AU"/>
        </w:rPr>
        <w:t xml:space="preserve">in a </w:t>
      </w:r>
      <w:r w:rsidR="0056158F" w:rsidRPr="00C83029">
        <w:rPr>
          <w:lang w:val="en-AU"/>
        </w:rPr>
        <w:t>randomised</w:t>
      </w:r>
      <w:r w:rsidRPr="00C83029">
        <w:rPr>
          <w:lang w:val="en-AU"/>
        </w:rPr>
        <w:t xml:space="preserve">, multicenter, double-blind, </w:t>
      </w:r>
      <w:proofErr w:type="gramStart"/>
      <w:r w:rsidRPr="00C83029">
        <w:rPr>
          <w:lang w:val="en-AU"/>
        </w:rPr>
        <w:t>double</w:t>
      </w:r>
      <w:proofErr w:type="gramEnd"/>
      <w:r w:rsidRPr="00C83029">
        <w:rPr>
          <w:lang w:val="en-AU"/>
        </w:rPr>
        <w:t>-dummy, active-controlled, non-inferiority Phase 3 study of 817 patients with</w:t>
      </w:r>
      <w:r w:rsidR="001541FA" w:rsidRPr="00C83029">
        <w:rPr>
          <w:lang w:val="en-AU"/>
        </w:rPr>
        <w:t xml:space="preserve"> </w:t>
      </w:r>
      <w:r w:rsidRPr="00C83029">
        <w:rPr>
          <w:lang w:val="en-AU"/>
        </w:rPr>
        <w:t xml:space="preserve">primary </w:t>
      </w:r>
      <w:r w:rsidR="00CB3184" w:rsidRPr="00C83029">
        <w:rPr>
          <w:rFonts w:cs="Arial"/>
          <w:szCs w:val="22"/>
          <w:lang w:val="en-AU"/>
        </w:rPr>
        <w:t>hypercholesterol</w:t>
      </w:r>
      <w:r w:rsidR="00A9751E">
        <w:rPr>
          <w:rFonts w:cs="Arial"/>
          <w:szCs w:val="22"/>
          <w:lang w:val="en-AU"/>
        </w:rPr>
        <w:t>a</w:t>
      </w:r>
      <w:r w:rsidR="00CB3184" w:rsidRPr="00C83029">
        <w:rPr>
          <w:rFonts w:cs="Arial"/>
          <w:szCs w:val="22"/>
          <w:lang w:val="en-AU"/>
        </w:rPr>
        <w:t xml:space="preserve">emia </w:t>
      </w:r>
      <w:r w:rsidRPr="00C83029">
        <w:rPr>
          <w:lang w:val="en-AU"/>
        </w:rPr>
        <w:t xml:space="preserve">or mixed </w:t>
      </w:r>
      <w:r w:rsidR="00CD7BD3" w:rsidRPr="00C83029">
        <w:rPr>
          <w:lang w:val="en-AU"/>
        </w:rPr>
        <w:t>dyslipidaemia</w:t>
      </w:r>
      <w:r w:rsidRPr="00C83029">
        <w:rPr>
          <w:lang w:val="en-AU"/>
        </w:rPr>
        <w:t xml:space="preserve">. </w:t>
      </w:r>
      <w:r w:rsidR="00CB3184" w:rsidRPr="00C83029">
        <w:rPr>
          <w:rFonts w:cs="Arial"/>
          <w:szCs w:val="22"/>
          <w:lang w:val="en-AU"/>
        </w:rPr>
        <w:t>(</w:t>
      </w:r>
      <w:proofErr w:type="gramStart"/>
      <w:r w:rsidR="00CB3184" w:rsidRPr="00C83029">
        <w:rPr>
          <w:rFonts w:cs="Arial"/>
          <w:szCs w:val="22"/>
          <w:lang w:val="en-AU"/>
        </w:rPr>
        <w:t>baseline</w:t>
      </w:r>
      <w:proofErr w:type="gramEnd"/>
      <w:r w:rsidR="00CB3184" w:rsidRPr="00C83029">
        <w:rPr>
          <w:rFonts w:cs="Arial"/>
          <w:szCs w:val="22"/>
          <w:lang w:val="en-AU"/>
        </w:rPr>
        <w:t xml:space="preserve"> TG &lt;4.6 mmol/L and LDL 4.2-5.7 mmol/L). Patients were eligible for inclusion if they were male or female aged 18 to 75 years, with primary hypercholesterolaemia or mixed dyslipid</w:t>
      </w:r>
      <w:r w:rsidR="00A9751E">
        <w:rPr>
          <w:rFonts w:cs="Arial"/>
          <w:szCs w:val="22"/>
          <w:lang w:val="en-AU"/>
        </w:rPr>
        <w:t>a</w:t>
      </w:r>
      <w:r w:rsidR="00CB3184" w:rsidRPr="00C83029">
        <w:rPr>
          <w:rFonts w:cs="Arial"/>
          <w:szCs w:val="22"/>
          <w:lang w:val="en-AU"/>
        </w:rPr>
        <w:t xml:space="preserve">emia, LDL-C ≥4.2 and ≤5.7 mmol/L and TG ≤ </w:t>
      </w:r>
      <w:proofErr w:type="gramStart"/>
      <w:r w:rsidR="00CB3184" w:rsidRPr="00C83029">
        <w:rPr>
          <w:rFonts w:cs="Arial"/>
          <w:szCs w:val="22"/>
          <w:lang w:val="en-AU"/>
        </w:rPr>
        <w:t>4.6 mmol/L.</w:t>
      </w:r>
      <w:proofErr w:type="gramEnd"/>
      <w:r w:rsidR="00CB3184" w:rsidRPr="00C83029">
        <w:rPr>
          <w:rFonts w:cs="Arial"/>
          <w:szCs w:val="22"/>
          <w:lang w:val="en-AU"/>
        </w:rPr>
        <w:t xml:space="preserve">  </w:t>
      </w:r>
      <w:r w:rsidRPr="00C83029">
        <w:rPr>
          <w:lang w:val="en-AU"/>
        </w:rPr>
        <w:t>Patients entered a 6- to 8-week wash-out/dietary lead-in period and then were</w:t>
      </w:r>
      <w:r w:rsidR="001541FA" w:rsidRPr="00C83029">
        <w:rPr>
          <w:lang w:val="en-AU"/>
        </w:rPr>
        <w:t xml:space="preserve"> </w:t>
      </w:r>
      <w:r w:rsidR="0056158F" w:rsidRPr="00C83029">
        <w:rPr>
          <w:lang w:val="en-AU"/>
        </w:rPr>
        <w:t xml:space="preserve">randomised </w:t>
      </w:r>
      <w:r w:rsidRPr="00C83029">
        <w:rPr>
          <w:lang w:val="en-AU"/>
        </w:rPr>
        <w:t>to a 12-week treatment with either</w:t>
      </w:r>
      <w:r w:rsidR="003A2EC5" w:rsidRPr="00C83029">
        <w:rPr>
          <w:lang w:val="en-AU"/>
        </w:rPr>
        <w:t xml:space="preserve"> </w:t>
      </w:r>
      <w:r w:rsidR="00CB3184" w:rsidRPr="00C83029">
        <w:rPr>
          <w:lang w:val="en-AU"/>
        </w:rPr>
        <w:t xml:space="preserve">Livalo </w:t>
      </w:r>
      <w:r w:rsidRPr="00C83029">
        <w:rPr>
          <w:lang w:val="en-AU"/>
        </w:rPr>
        <w:t xml:space="preserve">or atorvastatin (Table 5). Non-inferiority of </w:t>
      </w:r>
      <w:r w:rsidR="00CB3184" w:rsidRPr="00C83029">
        <w:rPr>
          <w:lang w:val="en-AU"/>
        </w:rPr>
        <w:t xml:space="preserve">Livalo </w:t>
      </w:r>
      <w:r w:rsidRPr="00C83029">
        <w:rPr>
          <w:lang w:val="en-AU"/>
        </w:rPr>
        <w:t>to a given dose of</w:t>
      </w:r>
      <w:r w:rsidR="001541FA" w:rsidRPr="00C83029">
        <w:rPr>
          <w:lang w:val="en-AU"/>
        </w:rPr>
        <w:t xml:space="preserve"> </w:t>
      </w:r>
      <w:r w:rsidRPr="00C83029">
        <w:rPr>
          <w:lang w:val="en-AU"/>
        </w:rPr>
        <w:t>atorvastatin was considered to be demonstrated if the lower bound of the 95% CI for the mean treatment difference was greater than</w:t>
      </w:r>
      <w:r w:rsidR="00CD0356" w:rsidRPr="00C83029">
        <w:rPr>
          <w:lang w:val="en-AU"/>
        </w:rPr>
        <w:t xml:space="preserve"> </w:t>
      </w:r>
      <w:r w:rsidRPr="00C83029">
        <w:rPr>
          <w:lang w:val="en-AU"/>
        </w:rPr>
        <w:t>-6% for the mean percent change in LDL-C.</w:t>
      </w:r>
    </w:p>
    <w:p w:rsidR="006A7D74" w:rsidRPr="00C83029" w:rsidRDefault="006A7D74" w:rsidP="00EE5749">
      <w:pPr>
        <w:rPr>
          <w:lang w:val="en-AU"/>
        </w:rPr>
      </w:pPr>
      <w:r w:rsidRPr="00C83029">
        <w:rPr>
          <w:lang w:val="en-AU"/>
        </w:rPr>
        <w:t xml:space="preserve">Lipid results are shown in Table </w:t>
      </w:r>
      <w:r w:rsidR="00CD0356" w:rsidRPr="00C83029">
        <w:rPr>
          <w:lang w:val="en-AU"/>
        </w:rPr>
        <w:t>2</w:t>
      </w:r>
      <w:r w:rsidRPr="00C83029">
        <w:rPr>
          <w:lang w:val="en-AU"/>
        </w:rPr>
        <w:t xml:space="preserve">. For the percent change from baseline to endpoint in LDL-C, </w:t>
      </w:r>
      <w:r w:rsidR="00CB3184" w:rsidRPr="00C83029">
        <w:rPr>
          <w:lang w:val="en-AU"/>
        </w:rPr>
        <w:t xml:space="preserve">Livalo </w:t>
      </w:r>
      <w:r w:rsidRPr="00C83029">
        <w:rPr>
          <w:lang w:val="en-AU"/>
        </w:rPr>
        <w:t>was non-inferior to</w:t>
      </w:r>
      <w:r w:rsidR="001541FA" w:rsidRPr="00C83029">
        <w:rPr>
          <w:lang w:val="en-AU"/>
        </w:rPr>
        <w:t xml:space="preserve"> </w:t>
      </w:r>
      <w:r w:rsidRPr="00C83029">
        <w:rPr>
          <w:lang w:val="en-AU"/>
        </w:rPr>
        <w:t xml:space="preserve">atorvastatin for the two </w:t>
      </w:r>
      <w:r w:rsidR="00CD7BD3" w:rsidRPr="00C83029">
        <w:rPr>
          <w:lang w:val="en-AU"/>
        </w:rPr>
        <w:t>pair</w:t>
      </w:r>
      <w:r w:rsidR="009C3909" w:rsidRPr="00C83029">
        <w:rPr>
          <w:lang w:val="en-AU"/>
        </w:rPr>
        <w:t>-</w:t>
      </w:r>
      <w:r w:rsidR="00CD7BD3" w:rsidRPr="00C83029">
        <w:rPr>
          <w:lang w:val="en-AU"/>
        </w:rPr>
        <w:t>wise</w:t>
      </w:r>
      <w:r w:rsidRPr="00C83029">
        <w:rPr>
          <w:lang w:val="en-AU"/>
        </w:rPr>
        <w:t xml:space="preserve"> comparisons: </w:t>
      </w:r>
      <w:r w:rsidR="00CB3184" w:rsidRPr="00C83029">
        <w:rPr>
          <w:lang w:val="en-AU"/>
        </w:rPr>
        <w:t xml:space="preserve">Livalo </w:t>
      </w:r>
      <w:r w:rsidRPr="00C83029">
        <w:rPr>
          <w:lang w:val="en-AU"/>
        </w:rPr>
        <w:t xml:space="preserve">2 mg vs. atorvastatin 10 mg and </w:t>
      </w:r>
      <w:r w:rsidR="00CB3184" w:rsidRPr="00C83029">
        <w:rPr>
          <w:lang w:val="en-AU"/>
        </w:rPr>
        <w:t xml:space="preserve">Livalo </w:t>
      </w:r>
      <w:r w:rsidRPr="00C83029">
        <w:rPr>
          <w:lang w:val="en-AU"/>
        </w:rPr>
        <w:t>4 mg vs. atorvastatin 20 mg. Mean</w:t>
      </w:r>
      <w:r w:rsidR="001541FA" w:rsidRPr="00C83029">
        <w:rPr>
          <w:lang w:val="en-AU"/>
        </w:rPr>
        <w:t xml:space="preserve"> </w:t>
      </w:r>
      <w:r w:rsidRPr="00C83029">
        <w:rPr>
          <w:lang w:val="en-AU"/>
        </w:rPr>
        <w:t>treatment differences (95% CI) were 0% (-3%, 3%) and 1% (-2%, 4%), respectively.</w:t>
      </w:r>
    </w:p>
    <w:p w:rsidR="006A7D74" w:rsidRPr="00C83029" w:rsidRDefault="006A7D74" w:rsidP="00587026">
      <w:pPr>
        <w:pStyle w:val="Heading4"/>
      </w:pPr>
      <w:proofErr w:type="gramStart"/>
      <w:r w:rsidRPr="00C83029">
        <w:t xml:space="preserve">Table </w:t>
      </w:r>
      <w:r w:rsidR="00CD0356" w:rsidRPr="00C83029">
        <w:t>2</w:t>
      </w:r>
      <w:r w:rsidRPr="00C83029">
        <w:t>.</w:t>
      </w:r>
      <w:proofErr w:type="gramEnd"/>
      <w:r w:rsidR="003900E6" w:rsidRPr="00C83029">
        <w:tab/>
      </w:r>
      <w:r w:rsidRPr="00C83029">
        <w:t xml:space="preserve">Response by Dose of LIVALO and Atorvastatin in Patients with Primary </w:t>
      </w:r>
      <w:r w:rsidR="006C7003">
        <w:t>H</w:t>
      </w:r>
      <w:r w:rsidR="00CB3184" w:rsidRPr="00C83029">
        <w:t>ypercholesterol</w:t>
      </w:r>
      <w:r w:rsidR="00A9751E">
        <w:t>a</w:t>
      </w:r>
      <w:r w:rsidR="00CB3184" w:rsidRPr="00C83029">
        <w:t xml:space="preserve">emia </w:t>
      </w:r>
      <w:r w:rsidRPr="00C83029">
        <w:t>or</w:t>
      </w:r>
      <w:r w:rsidR="00CD0356" w:rsidRPr="00C83029">
        <w:t xml:space="preserve"> </w:t>
      </w:r>
      <w:r w:rsidRPr="00C83029">
        <w:t xml:space="preserve">Mixed </w:t>
      </w:r>
      <w:r w:rsidR="00CD7BD3" w:rsidRPr="00C83029">
        <w:t>Dyslipidaemia</w:t>
      </w:r>
      <w:r w:rsidRPr="00C83029">
        <w:t xml:space="preserve"> (Mean % Change from Baseline at Week 12)</w:t>
      </w:r>
    </w:p>
    <w:tbl>
      <w:tblPr>
        <w:tblW w:w="8520" w:type="dxa"/>
        <w:jc w:val="center"/>
        <w:tblInd w:w="93" w:type="dxa"/>
        <w:tblLook w:val="0000"/>
      </w:tblPr>
      <w:tblGrid>
        <w:gridCol w:w="1575"/>
        <w:gridCol w:w="992"/>
        <w:gridCol w:w="992"/>
        <w:gridCol w:w="992"/>
        <w:gridCol w:w="993"/>
        <w:gridCol w:w="992"/>
        <w:gridCol w:w="992"/>
        <w:gridCol w:w="992"/>
      </w:tblGrid>
      <w:tr w:rsidR="00CD0356" w:rsidRPr="00C83029" w:rsidTr="00A852E3">
        <w:trPr>
          <w:trHeight w:val="300"/>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 xml:space="preserve">Treatment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N</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LDL-C</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Apo-B</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TC</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TG</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HDL-C</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non-HDL-C</w:t>
            </w:r>
          </w:p>
        </w:tc>
      </w:tr>
      <w:tr w:rsidR="00CD0356" w:rsidRPr="00C83029" w:rsidTr="00A852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 xml:space="preserve">LIVALO 2 mg daily </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315</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-38</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-30</w:t>
            </w:r>
          </w:p>
        </w:tc>
        <w:tc>
          <w:tcPr>
            <w:tcW w:w="993"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-28</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-14</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4</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-35</w:t>
            </w:r>
          </w:p>
        </w:tc>
      </w:tr>
      <w:tr w:rsidR="00CD0356" w:rsidRPr="00C83029" w:rsidTr="00A852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 xml:space="preserve">LIVALO 4 mg daily </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298</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-45</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-35</w:t>
            </w:r>
          </w:p>
        </w:tc>
        <w:tc>
          <w:tcPr>
            <w:tcW w:w="993"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-32</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-19</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5</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-41</w:t>
            </w:r>
          </w:p>
        </w:tc>
      </w:tr>
      <w:tr w:rsidR="00CD0356" w:rsidRPr="00C83029" w:rsidTr="00A852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 xml:space="preserve">Atorvastatin 10 mg daily </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102</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-38</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-29</w:t>
            </w:r>
          </w:p>
        </w:tc>
        <w:tc>
          <w:tcPr>
            <w:tcW w:w="993"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-28</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-18</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3</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-35</w:t>
            </w:r>
          </w:p>
        </w:tc>
      </w:tr>
      <w:tr w:rsidR="00CD0356" w:rsidRPr="00C83029" w:rsidTr="00A852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 xml:space="preserve">Atorvastatin 20 mg daily </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102</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-44</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-36</w:t>
            </w:r>
          </w:p>
        </w:tc>
        <w:tc>
          <w:tcPr>
            <w:tcW w:w="993"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-33</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-22</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2</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-41</w:t>
            </w:r>
          </w:p>
        </w:tc>
      </w:tr>
      <w:tr w:rsidR="00CD0356" w:rsidRPr="00C83029" w:rsidTr="00A852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Atorvastatin 40 mg daily</w:t>
            </w:r>
          </w:p>
        </w:tc>
        <w:tc>
          <w:tcPr>
            <w:tcW w:w="6945" w:type="dxa"/>
            <w:gridSpan w:val="7"/>
            <w:tcBorders>
              <w:top w:val="single" w:sz="4" w:space="0" w:color="auto"/>
              <w:left w:val="nil"/>
              <w:bottom w:val="single" w:sz="4" w:space="0" w:color="auto"/>
              <w:right w:val="single" w:sz="4" w:space="0" w:color="auto"/>
            </w:tcBorders>
            <w:shd w:val="clear" w:color="auto" w:fill="auto"/>
            <w:noWrap/>
            <w:vAlign w:val="center"/>
          </w:tcPr>
          <w:p w:rsidR="00CD0356" w:rsidRPr="00C83029" w:rsidRDefault="00CD0356" w:rsidP="000A6D98">
            <w:pPr>
              <w:jc w:val="center"/>
              <w:rPr>
                <w:sz w:val="20"/>
                <w:lang w:val="en-AU"/>
              </w:rPr>
            </w:pPr>
            <w:r w:rsidRPr="00C83029">
              <w:rPr>
                <w:sz w:val="20"/>
                <w:lang w:val="en-AU"/>
              </w:rPr>
              <w:t>----------------------------------Not Studied--------------------------------------</w:t>
            </w:r>
          </w:p>
        </w:tc>
      </w:tr>
      <w:tr w:rsidR="00CD0356" w:rsidRPr="00C83029" w:rsidTr="00A852E3">
        <w:trPr>
          <w:trHeight w:val="300"/>
          <w:jc w:val="center"/>
        </w:trPr>
        <w:tc>
          <w:tcPr>
            <w:tcW w:w="1575" w:type="dxa"/>
            <w:tcBorders>
              <w:top w:val="nil"/>
              <w:left w:val="single" w:sz="4" w:space="0" w:color="auto"/>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 xml:space="preserve">Atorvastatin 80 mg daily </w:t>
            </w:r>
          </w:p>
        </w:tc>
        <w:tc>
          <w:tcPr>
            <w:tcW w:w="6945" w:type="dxa"/>
            <w:gridSpan w:val="7"/>
            <w:tcBorders>
              <w:top w:val="single" w:sz="4" w:space="0" w:color="auto"/>
              <w:left w:val="nil"/>
              <w:bottom w:val="single" w:sz="4" w:space="0" w:color="auto"/>
              <w:right w:val="single" w:sz="4" w:space="0" w:color="auto"/>
            </w:tcBorders>
            <w:shd w:val="clear" w:color="auto" w:fill="auto"/>
            <w:noWrap/>
            <w:vAlign w:val="center"/>
          </w:tcPr>
          <w:p w:rsidR="00CD0356" w:rsidRPr="00C83029" w:rsidRDefault="00CD0356" w:rsidP="000A6D98">
            <w:pPr>
              <w:jc w:val="center"/>
              <w:rPr>
                <w:sz w:val="20"/>
                <w:lang w:val="en-AU"/>
              </w:rPr>
            </w:pPr>
            <w:r w:rsidRPr="00C83029">
              <w:rPr>
                <w:sz w:val="20"/>
                <w:lang w:val="en-AU"/>
              </w:rPr>
              <w:t>----------------------------------Not Studied--------------------------------------</w:t>
            </w:r>
          </w:p>
        </w:tc>
      </w:tr>
    </w:tbl>
    <w:p w:rsidR="00A852E3" w:rsidRPr="00C83029" w:rsidRDefault="00A852E3" w:rsidP="00EE5749">
      <w:pPr>
        <w:rPr>
          <w:lang w:val="en-AU"/>
        </w:rPr>
      </w:pPr>
    </w:p>
    <w:p w:rsidR="006A7D74" w:rsidRPr="00C83029" w:rsidRDefault="006A7D74" w:rsidP="00EE5749">
      <w:pPr>
        <w:rPr>
          <w:lang w:val="en-AU"/>
        </w:rPr>
      </w:pPr>
      <w:r w:rsidRPr="00C83029">
        <w:rPr>
          <w:lang w:val="en-AU"/>
        </w:rPr>
        <w:t xml:space="preserve">Active-controlled study with simvastatin (NK-104-302): </w:t>
      </w:r>
      <w:r w:rsidR="00392EBF" w:rsidRPr="00C83029">
        <w:rPr>
          <w:lang w:val="en-AU"/>
        </w:rPr>
        <w:t xml:space="preserve">Livalo </w:t>
      </w:r>
      <w:r w:rsidRPr="00C83029">
        <w:rPr>
          <w:lang w:val="en-AU"/>
        </w:rPr>
        <w:t>was compared with the HMG-CoA reductase inhibitor simvastatin</w:t>
      </w:r>
      <w:r w:rsidR="001541FA" w:rsidRPr="00C83029">
        <w:rPr>
          <w:lang w:val="en-AU"/>
        </w:rPr>
        <w:t xml:space="preserve"> </w:t>
      </w:r>
      <w:r w:rsidRPr="00C83029">
        <w:rPr>
          <w:lang w:val="en-AU"/>
        </w:rPr>
        <w:t xml:space="preserve">in a </w:t>
      </w:r>
      <w:r w:rsidR="0056158F" w:rsidRPr="00C83029">
        <w:rPr>
          <w:lang w:val="en-AU"/>
        </w:rPr>
        <w:t>randomised</w:t>
      </w:r>
      <w:r w:rsidRPr="00C83029">
        <w:rPr>
          <w:lang w:val="en-AU"/>
        </w:rPr>
        <w:t>, multicenter, double-blind, double-dummy, active-controlled, non-inferiority Phase 3 study of 843 patients with</w:t>
      </w:r>
      <w:r w:rsidR="001541FA" w:rsidRPr="00C83029">
        <w:rPr>
          <w:lang w:val="en-AU"/>
        </w:rPr>
        <w:t xml:space="preserve"> </w:t>
      </w:r>
      <w:r w:rsidRPr="00C83029">
        <w:rPr>
          <w:lang w:val="en-AU"/>
        </w:rPr>
        <w:t xml:space="preserve">primary </w:t>
      </w:r>
      <w:r w:rsidR="00392EBF" w:rsidRPr="00C83029">
        <w:rPr>
          <w:rFonts w:cs="Arial"/>
          <w:szCs w:val="22"/>
          <w:lang w:val="en-AU"/>
        </w:rPr>
        <w:t>hypercholesterol</w:t>
      </w:r>
      <w:r w:rsidR="002A2507">
        <w:rPr>
          <w:rFonts w:cs="Arial"/>
          <w:szCs w:val="22"/>
          <w:lang w:val="en-AU"/>
        </w:rPr>
        <w:t>a</w:t>
      </w:r>
      <w:r w:rsidR="00392EBF" w:rsidRPr="00C83029">
        <w:rPr>
          <w:rFonts w:cs="Arial"/>
          <w:szCs w:val="22"/>
          <w:lang w:val="en-AU"/>
        </w:rPr>
        <w:t>emia</w:t>
      </w:r>
      <w:r w:rsidR="00FE1B08">
        <w:rPr>
          <w:rFonts w:cs="Arial"/>
          <w:szCs w:val="22"/>
          <w:lang w:val="en-AU"/>
        </w:rPr>
        <w:t xml:space="preserve"> </w:t>
      </w:r>
      <w:r w:rsidRPr="00C83029">
        <w:rPr>
          <w:lang w:val="en-AU"/>
        </w:rPr>
        <w:t xml:space="preserve">or mixed </w:t>
      </w:r>
      <w:r w:rsidR="00CD7BD3" w:rsidRPr="00C83029">
        <w:rPr>
          <w:lang w:val="en-AU"/>
        </w:rPr>
        <w:t>dyslipidaemia</w:t>
      </w:r>
      <w:r w:rsidRPr="00C83029">
        <w:rPr>
          <w:lang w:val="en-AU"/>
        </w:rPr>
        <w:t xml:space="preserve"> </w:t>
      </w:r>
      <w:r w:rsidR="00392EBF" w:rsidRPr="00C83029">
        <w:rPr>
          <w:rFonts w:cs="Arial"/>
          <w:szCs w:val="22"/>
          <w:lang w:val="en-AU"/>
        </w:rPr>
        <w:t xml:space="preserve">(baseline LDL 4.8 mmol/L). The same inclusion criteria were applied as for NK-104-301. </w:t>
      </w:r>
      <w:r w:rsidRPr="00C83029">
        <w:rPr>
          <w:lang w:val="en-AU"/>
        </w:rPr>
        <w:t>Patients entered a 6- to 8-week wash-out/dietary lead-in period and then were</w:t>
      </w:r>
      <w:r w:rsidR="001541FA" w:rsidRPr="00C83029">
        <w:rPr>
          <w:lang w:val="en-AU"/>
        </w:rPr>
        <w:t xml:space="preserve"> </w:t>
      </w:r>
      <w:r w:rsidR="0056158F" w:rsidRPr="00C83029">
        <w:rPr>
          <w:lang w:val="en-AU"/>
        </w:rPr>
        <w:t xml:space="preserve">randomised </w:t>
      </w:r>
      <w:r w:rsidRPr="00C83029">
        <w:rPr>
          <w:lang w:val="en-AU"/>
        </w:rPr>
        <w:t xml:space="preserve">to a 12 week treatment with either </w:t>
      </w:r>
      <w:r w:rsidR="00392EBF" w:rsidRPr="00C83029">
        <w:rPr>
          <w:lang w:val="en-AU"/>
        </w:rPr>
        <w:t xml:space="preserve">Livalo </w:t>
      </w:r>
      <w:r w:rsidRPr="00C83029">
        <w:rPr>
          <w:lang w:val="en-AU"/>
        </w:rPr>
        <w:t xml:space="preserve">or simvastatin (Table 6). Non-inferiority of </w:t>
      </w:r>
      <w:r w:rsidR="00392EBF" w:rsidRPr="00C83029">
        <w:rPr>
          <w:lang w:val="en-AU"/>
        </w:rPr>
        <w:t xml:space="preserve">Livalo </w:t>
      </w:r>
      <w:r w:rsidRPr="00C83029">
        <w:rPr>
          <w:lang w:val="en-AU"/>
        </w:rPr>
        <w:t>to a given dose of</w:t>
      </w:r>
      <w:r w:rsidR="001541FA" w:rsidRPr="00C83029">
        <w:rPr>
          <w:lang w:val="en-AU"/>
        </w:rPr>
        <w:t xml:space="preserve"> </w:t>
      </w:r>
      <w:r w:rsidRPr="00C83029">
        <w:rPr>
          <w:lang w:val="en-AU"/>
        </w:rPr>
        <w:t>simvastatin was considered to be demonstrated if the lower bound of the 95% CI for the mean treatment difference was greater than</w:t>
      </w:r>
      <w:r w:rsidR="00AF2686" w:rsidRPr="00C83029">
        <w:rPr>
          <w:lang w:val="en-AU"/>
        </w:rPr>
        <w:t xml:space="preserve"> </w:t>
      </w:r>
      <w:r w:rsidRPr="00C83029">
        <w:rPr>
          <w:lang w:val="en-AU"/>
        </w:rPr>
        <w:t>-6% for the mean percent change in LDL-C.</w:t>
      </w:r>
    </w:p>
    <w:p w:rsidR="006A7D74" w:rsidRPr="00C83029" w:rsidRDefault="006A7D74" w:rsidP="00EE5749">
      <w:pPr>
        <w:rPr>
          <w:lang w:val="en-AU"/>
        </w:rPr>
      </w:pPr>
      <w:r w:rsidRPr="00C83029">
        <w:rPr>
          <w:lang w:val="en-AU"/>
        </w:rPr>
        <w:t xml:space="preserve">Lipid results are shown in Table </w:t>
      </w:r>
      <w:r w:rsidR="005649FB" w:rsidRPr="00C83029">
        <w:rPr>
          <w:lang w:val="en-AU"/>
        </w:rPr>
        <w:t>3</w:t>
      </w:r>
      <w:r w:rsidRPr="00C83029">
        <w:rPr>
          <w:lang w:val="en-AU"/>
        </w:rPr>
        <w:t xml:space="preserve">. For the percent change from baseline to endpoint in LDL-C, </w:t>
      </w:r>
      <w:r w:rsidR="00392EBF" w:rsidRPr="00C83029">
        <w:rPr>
          <w:lang w:val="en-AU"/>
        </w:rPr>
        <w:t xml:space="preserve">Livalo </w:t>
      </w:r>
      <w:r w:rsidRPr="00C83029">
        <w:rPr>
          <w:lang w:val="en-AU"/>
        </w:rPr>
        <w:t>was non-inferior to</w:t>
      </w:r>
      <w:r w:rsidR="001541FA" w:rsidRPr="00C83029">
        <w:rPr>
          <w:lang w:val="en-AU"/>
        </w:rPr>
        <w:t xml:space="preserve"> </w:t>
      </w:r>
      <w:r w:rsidRPr="00C83029">
        <w:rPr>
          <w:lang w:val="en-AU"/>
        </w:rPr>
        <w:t xml:space="preserve">simvastatin for the two pairwise comparisons: </w:t>
      </w:r>
      <w:r w:rsidR="00392EBF" w:rsidRPr="00C83029">
        <w:rPr>
          <w:lang w:val="en-AU"/>
        </w:rPr>
        <w:t xml:space="preserve">Livalo </w:t>
      </w:r>
      <w:r w:rsidRPr="00C83029">
        <w:rPr>
          <w:lang w:val="en-AU"/>
        </w:rPr>
        <w:t xml:space="preserve">2 mg vs. simvastatin 20 mg and </w:t>
      </w:r>
      <w:r w:rsidR="00392EBF" w:rsidRPr="00C83029">
        <w:rPr>
          <w:lang w:val="en-AU"/>
        </w:rPr>
        <w:t xml:space="preserve">Livalo </w:t>
      </w:r>
      <w:r w:rsidRPr="00C83029">
        <w:rPr>
          <w:lang w:val="en-AU"/>
        </w:rPr>
        <w:t>4 mg vs. simvastatin 40 mg. Mean</w:t>
      </w:r>
      <w:r w:rsidR="001541FA" w:rsidRPr="00C83029">
        <w:rPr>
          <w:lang w:val="en-AU"/>
        </w:rPr>
        <w:t xml:space="preserve"> </w:t>
      </w:r>
      <w:r w:rsidRPr="00C83029">
        <w:rPr>
          <w:lang w:val="en-AU"/>
        </w:rPr>
        <w:t>treatment differences (95% CI) were 4% (1%, 7%</w:t>
      </w:r>
      <w:r w:rsidR="00FA1E14">
        <w:rPr>
          <w:lang w:val="en-AU"/>
        </w:rPr>
        <w:t>; p-value 0.014</w:t>
      </w:r>
      <w:r w:rsidRPr="00C83029">
        <w:rPr>
          <w:lang w:val="en-AU"/>
        </w:rPr>
        <w:t>) and 1% (-2%, 4%</w:t>
      </w:r>
      <w:r w:rsidR="00FA1E14">
        <w:rPr>
          <w:lang w:val="en-AU"/>
        </w:rPr>
        <w:t>; p-value 0.509</w:t>
      </w:r>
      <w:r w:rsidRPr="00C83029">
        <w:rPr>
          <w:lang w:val="en-AU"/>
        </w:rPr>
        <w:t>), respectively.</w:t>
      </w:r>
    </w:p>
    <w:p w:rsidR="006A7D74" w:rsidRPr="00C83029" w:rsidRDefault="003468CE" w:rsidP="00A852E3">
      <w:pPr>
        <w:pStyle w:val="Heading4"/>
      </w:pPr>
      <w:r>
        <w:br w:type="page"/>
      </w:r>
      <w:proofErr w:type="gramStart"/>
      <w:r w:rsidR="006A7D74" w:rsidRPr="00C83029">
        <w:lastRenderedPageBreak/>
        <w:t xml:space="preserve">Table </w:t>
      </w:r>
      <w:r w:rsidR="005649FB" w:rsidRPr="00C83029">
        <w:t>3</w:t>
      </w:r>
      <w:r w:rsidR="006A7D74" w:rsidRPr="00C83029">
        <w:t>.</w:t>
      </w:r>
      <w:proofErr w:type="gramEnd"/>
      <w:r w:rsidR="00A852E3" w:rsidRPr="00C83029">
        <w:tab/>
      </w:r>
      <w:r w:rsidR="006A7D74" w:rsidRPr="00C83029">
        <w:t xml:space="preserve">Response by Dose of LIVALO and Simvastatin in Patients with Primary </w:t>
      </w:r>
      <w:r w:rsidR="00392EBF" w:rsidRPr="00C83029">
        <w:rPr>
          <w:rFonts w:cs="Arial"/>
        </w:rPr>
        <w:t>Hypercholesterolaemia</w:t>
      </w:r>
      <w:r w:rsidR="00EB748E">
        <w:rPr>
          <w:rFonts w:cs="Arial"/>
        </w:rPr>
        <w:t xml:space="preserve"> </w:t>
      </w:r>
      <w:r w:rsidR="006A7D74" w:rsidRPr="00C83029">
        <w:t>or</w:t>
      </w:r>
      <w:r w:rsidR="005649FB" w:rsidRPr="00C83029">
        <w:t xml:space="preserve"> </w:t>
      </w:r>
      <w:r w:rsidR="006A7D74" w:rsidRPr="00C83029">
        <w:t xml:space="preserve">Mixed </w:t>
      </w:r>
      <w:r w:rsidR="00CD7BD3" w:rsidRPr="00C83029">
        <w:t>Dyslipidaemia</w:t>
      </w:r>
      <w:r w:rsidR="006A7D74" w:rsidRPr="00C83029">
        <w:t xml:space="preserve"> (Mean % Change from Baseline at Week 12)</w:t>
      </w:r>
    </w:p>
    <w:tbl>
      <w:tblPr>
        <w:tblW w:w="9215" w:type="dxa"/>
        <w:jc w:val="center"/>
        <w:tblInd w:w="-318" w:type="dxa"/>
        <w:tblLook w:val="0000"/>
      </w:tblPr>
      <w:tblGrid>
        <w:gridCol w:w="2124"/>
        <w:gridCol w:w="1078"/>
        <w:gridCol w:w="1052"/>
        <w:gridCol w:w="992"/>
        <w:gridCol w:w="992"/>
        <w:gridCol w:w="992"/>
        <w:gridCol w:w="993"/>
        <w:gridCol w:w="992"/>
      </w:tblGrid>
      <w:tr w:rsidR="00CD0356" w:rsidRPr="00C83029" w:rsidTr="0015022B">
        <w:trPr>
          <w:trHeight w:val="285"/>
          <w:jc w:val="center"/>
        </w:trPr>
        <w:tc>
          <w:tcPr>
            <w:tcW w:w="21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 xml:space="preserve">Treatment </w:t>
            </w:r>
          </w:p>
        </w:tc>
        <w:tc>
          <w:tcPr>
            <w:tcW w:w="1078" w:type="dxa"/>
            <w:tcBorders>
              <w:top w:val="single" w:sz="4" w:space="0" w:color="auto"/>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 xml:space="preserve">N </w:t>
            </w:r>
          </w:p>
        </w:tc>
        <w:tc>
          <w:tcPr>
            <w:tcW w:w="1052" w:type="dxa"/>
            <w:tcBorders>
              <w:top w:val="single" w:sz="4" w:space="0" w:color="auto"/>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 xml:space="preserve">LDL-C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 xml:space="preserve">Apo-B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 xml:space="preserve">TC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 xml:space="preserve">TG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 xml:space="preserve">HDL-C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 xml:space="preserve">non-HDL-C </w:t>
            </w:r>
          </w:p>
        </w:tc>
      </w:tr>
      <w:tr w:rsidR="00CD0356" w:rsidRPr="00C83029" w:rsidTr="0015022B">
        <w:trPr>
          <w:trHeight w:val="285"/>
          <w:jc w:val="center"/>
        </w:trPr>
        <w:tc>
          <w:tcPr>
            <w:tcW w:w="2124" w:type="dxa"/>
            <w:tcBorders>
              <w:top w:val="nil"/>
              <w:left w:val="single" w:sz="4" w:space="0" w:color="auto"/>
              <w:bottom w:val="single" w:sz="4" w:space="0" w:color="auto"/>
              <w:right w:val="single" w:sz="4" w:space="0" w:color="auto"/>
            </w:tcBorders>
            <w:shd w:val="clear" w:color="auto" w:fill="auto"/>
            <w:noWrap/>
            <w:vAlign w:val="bottom"/>
          </w:tcPr>
          <w:p w:rsidR="005649FB" w:rsidRPr="00C83029" w:rsidRDefault="00702BEF" w:rsidP="000A6D98">
            <w:pPr>
              <w:jc w:val="center"/>
              <w:rPr>
                <w:sz w:val="20"/>
                <w:lang w:val="en-AU"/>
              </w:rPr>
            </w:pPr>
            <w:r w:rsidRPr="00C83029">
              <w:rPr>
                <w:sz w:val="20"/>
                <w:lang w:val="en-AU"/>
              </w:rPr>
              <w:t>LIVALO</w:t>
            </w:r>
          </w:p>
          <w:p w:rsidR="00CD0356" w:rsidRPr="00C83029" w:rsidRDefault="00CD0356" w:rsidP="000A6D98">
            <w:pPr>
              <w:jc w:val="center"/>
              <w:rPr>
                <w:sz w:val="20"/>
                <w:lang w:val="en-AU"/>
              </w:rPr>
            </w:pPr>
            <w:r w:rsidRPr="00C83029">
              <w:rPr>
                <w:sz w:val="20"/>
                <w:lang w:val="en-AU"/>
              </w:rPr>
              <w:t xml:space="preserve">2 mg daily </w:t>
            </w:r>
          </w:p>
        </w:tc>
        <w:tc>
          <w:tcPr>
            <w:tcW w:w="1078"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307</w:t>
            </w:r>
          </w:p>
        </w:tc>
        <w:tc>
          <w:tcPr>
            <w:tcW w:w="105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-39</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-30</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-28</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-16</w:t>
            </w:r>
          </w:p>
        </w:tc>
        <w:tc>
          <w:tcPr>
            <w:tcW w:w="993"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6</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-36</w:t>
            </w:r>
          </w:p>
        </w:tc>
      </w:tr>
      <w:tr w:rsidR="00CD0356" w:rsidRPr="00C83029" w:rsidTr="0015022B">
        <w:trPr>
          <w:trHeight w:val="285"/>
          <w:jc w:val="center"/>
        </w:trPr>
        <w:tc>
          <w:tcPr>
            <w:tcW w:w="2124" w:type="dxa"/>
            <w:tcBorders>
              <w:top w:val="nil"/>
              <w:left w:val="single" w:sz="4" w:space="0" w:color="auto"/>
              <w:bottom w:val="single" w:sz="4" w:space="0" w:color="auto"/>
              <w:right w:val="single" w:sz="4" w:space="0" w:color="auto"/>
            </w:tcBorders>
            <w:shd w:val="clear" w:color="auto" w:fill="auto"/>
            <w:noWrap/>
            <w:vAlign w:val="bottom"/>
          </w:tcPr>
          <w:p w:rsidR="00CD0356" w:rsidRPr="00C83029" w:rsidRDefault="00702BEF" w:rsidP="000A6D98">
            <w:pPr>
              <w:jc w:val="center"/>
              <w:rPr>
                <w:sz w:val="20"/>
                <w:lang w:val="en-AU"/>
              </w:rPr>
            </w:pPr>
            <w:r w:rsidRPr="00C83029">
              <w:rPr>
                <w:sz w:val="20"/>
                <w:lang w:val="en-AU"/>
              </w:rPr>
              <w:t xml:space="preserve">LIVALO </w:t>
            </w:r>
            <w:r w:rsidR="00CD0356" w:rsidRPr="00C83029">
              <w:rPr>
                <w:sz w:val="20"/>
                <w:lang w:val="en-AU"/>
              </w:rPr>
              <w:t xml:space="preserve">4 mg daily </w:t>
            </w:r>
          </w:p>
        </w:tc>
        <w:tc>
          <w:tcPr>
            <w:tcW w:w="1078"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319</w:t>
            </w:r>
          </w:p>
        </w:tc>
        <w:tc>
          <w:tcPr>
            <w:tcW w:w="105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-44</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-35</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-32</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-17</w:t>
            </w:r>
          </w:p>
        </w:tc>
        <w:tc>
          <w:tcPr>
            <w:tcW w:w="993"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6</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-41</w:t>
            </w:r>
          </w:p>
        </w:tc>
      </w:tr>
      <w:tr w:rsidR="00CD0356" w:rsidRPr="00C83029" w:rsidTr="0015022B">
        <w:trPr>
          <w:trHeight w:val="285"/>
          <w:jc w:val="center"/>
        </w:trPr>
        <w:tc>
          <w:tcPr>
            <w:tcW w:w="2124" w:type="dxa"/>
            <w:tcBorders>
              <w:top w:val="nil"/>
              <w:left w:val="single" w:sz="4" w:space="0" w:color="auto"/>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 xml:space="preserve">Simvastatin 20 mg daily </w:t>
            </w:r>
          </w:p>
        </w:tc>
        <w:tc>
          <w:tcPr>
            <w:tcW w:w="1078"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107</w:t>
            </w:r>
          </w:p>
        </w:tc>
        <w:tc>
          <w:tcPr>
            <w:tcW w:w="105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-35</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-27</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-25</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-16</w:t>
            </w:r>
          </w:p>
        </w:tc>
        <w:tc>
          <w:tcPr>
            <w:tcW w:w="993"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6</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-32</w:t>
            </w:r>
          </w:p>
        </w:tc>
      </w:tr>
      <w:tr w:rsidR="00CD0356" w:rsidRPr="00C83029" w:rsidTr="0015022B">
        <w:trPr>
          <w:trHeight w:val="285"/>
          <w:jc w:val="center"/>
        </w:trPr>
        <w:tc>
          <w:tcPr>
            <w:tcW w:w="2124" w:type="dxa"/>
            <w:tcBorders>
              <w:top w:val="nil"/>
              <w:left w:val="single" w:sz="4" w:space="0" w:color="auto"/>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 xml:space="preserve">Simvastatin 40 mg daily </w:t>
            </w:r>
          </w:p>
        </w:tc>
        <w:tc>
          <w:tcPr>
            <w:tcW w:w="1078"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110</w:t>
            </w:r>
          </w:p>
        </w:tc>
        <w:tc>
          <w:tcPr>
            <w:tcW w:w="105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-43</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-34</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-31</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-16</w:t>
            </w:r>
          </w:p>
        </w:tc>
        <w:tc>
          <w:tcPr>
            <w:tcW w:w="993"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7</w:t>
            </w:r>
          </w:p>
        </w:tc>
        <w:tc>
          <w:tcPr>
            <w:tcW w:w="992" w:type="dxa"/>
            <w:tcBorders>
              <w:top w:val="nil"/>
              <w:left w:val="nil"/>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-39</w:t>
            </w:r>
          </w:p>
        </w:tc>
      </w:tr>
      <w:tr w:rsidR="00CD0356" w:rsidRPr="00C83029" w:rsidTr="0015022B">
        <w:trPr>
          <w:trHeight w:val="285"/>
          <w:jc w:val="center"/>
        </w:trPr>
        <w:tc>
          <w:tcPr>
            <w:tcW w:w="2124" w:type="dxa"/>
            <w:tcBorders>
              <w:top w:val="nil"/>
              <w:left w:val="single" w:sz="4" w:space="0" w:color="auto"/>
              <w:bottom w:val="single" w:sz="4" w:space="0" w:color="auto"/>
              <w:right w:val="single" w:sz="4" w:space="0" w:color="auto"/>
            </w:tcBorders>
            <w:shd w:val="clear" w:color="auto" w:fill="auto"/>
            <w:noWrap/>
            <w:vAlign w:val="bottom"/>
          </w:tcPr>
          <w:p w:rsidR="00CD0356" w:rsidRPr="00C83029" w:rsidRDefault="00CD0356" w:rsidP="000A6D98">
            <w:pPr>
              <w:jc w:val="center"/>
              <w:rPr>
                <w:sz w:val="20"/>
                <w:lang w:val="en-AU"/>
              </w:rPr>
            </w:pPr>
            <w:r w:rsidRPr="00C83029">
              <w:rPr>
                <w:sz w:val="20"/>
                <w:lang w:val="en-AU"/>
              </w:rPr>
              <w:t xml:space="preserve">Simvastatin 80 mg </w:t>
            </w:r>
          </w:p>
        </w:tc>
        <w:tc>
          <w:tcPr>
            <w:tcW w:w="7091" w:type="dxa"/>
            <w:gridSpan w:val="7"/>
            <w:tcBorders>
              <w:top w:val="single" w:sz="4" w:space="0" w:color="auto"/>
              <w:left w:val="nil"/>
              <w:bottom w:val="single" w:sz="4" w:space="0" w:color="auto"/>
              <w:right w:val="single" w:sz="4" w:space="0" w:color="auto"/>
            </w:tcBorders>
            <w:shd w:val="clear" w:color="auto" w:fill="auto"/>
            <w:noWrap/>
            <w:vAlign w:val="center"/>
          </w:tcPr>
          <w:p w:rsidR="00CD0356" w:rsidRPr="00C83029" w:rsidRDefault="00CD0356" w:rsidP="000A6D98">
            <w:pPr>
              <w:jc w:val="center"/>
              <w:rPr>
                <w:sz w:val="20"/>
                <w:lang w:val="en-AU"/>
              </w:rPr>
            </w:pPr>
            <w:r w:rsidRPr="00C83029">
              <w:rPr>
                <w:sz w:val="20"/>
                <w:lang w:val="en-AU"/>
              </w:rPr>
              <w:t>-----------------------------</w:t>
            </w:r>
            <w:r w:rsidR="005649FB" w:rsidRPr="00C83029">
              <w:rPr>
                <w:sz w:val="20"/>
                <w:lang w:val="en-AU"/>
              </w:rPr>
              <w:t>-----</w:t>
            </w:r>
            <w:r w:rsidRPr="00C83029">
              <w:rPr>
                <w:sz w:val="20"/>
                <w:lang w:val="en-AU"/>
              </w:rPr>
              <w:t>--Not Studied--------------------------------------</w:t>
            </w:r>
          </w:p>
        </w:tc>
      </w:tr>
    </w:tbl>
    <w:p w:rsidR="00A852E3" w:rsidRPr="00C83029" w:rsidRDefault="00A852E3" w:rsidP="00EE5749">
      <w:pPr>
        <w:rPr>
          <w:lang w:val="en-AU"/>
        </w:rPr>
      </w:pPr>
    </w:p>
    <w:p w:rsidR="006A7D74" w:rsidRPr="00C83029" w:rsidRDefault="006A7D74" w:rsidP="00EE5749">
      <w:pPr>
        <w:rPr>
          <w:lang w:val="en-AU"/>
        </w:rPr>
      </w:pPr>
      <w:r w:rsidRPr="00C83029">
        <w:rPr>
          <w:lang w:val="en-AU"/>
        </w:rPr>
        <w:t xml:space="preserve">Active-controlled study with pravastatin in elderly (NK-104-306): </w:t>
      </w:r>
      <w:r w:rsidR="00392EBF" w:rsidRPr="00C83029">
        <w:rPr>
          <w:lang w:val="en-AU"/>
        </w:rPr>
        <w:t xml:space="preserve">Livalo </w:t>
      </w:r>
      <w:r w:rsidRPr="00C83029">
        <w:rPr>
          <w:lang w:val="en-AU"/>
        </w:rPr>
        <w:t>was compared with the HMG-CoA reductase inhibitor</w:t>
      </w:r>
      <w:r w:rsidR="001541FA" w:rsidRPr="00C83029">
        <w:rPr>
          <w:lang w:val="en-AU"/>
        </w:rPr>
        <w:t xml:space="preserve"> </w:t>
      </w:r>
      <w:r w:rsidRPr="00C83029">
        <w:rPr>
          <w:lang w:val="en-AU"/>
        </w:rPr>
        <w:t xml:space="preserve">pravastatin in a </w:t>
      </w:r>
      <w:r w:rsidR="0056158F" w:rsidRPr="00C83029">
        <w:rPr>
          <w:lang w:val="en-AU"/>
        </w:rPr>
        <w:t>randomised</w:t>
      </w:r>
      <w:r w:rsidRPr="00C83029">
        <w:rPr>
          <w:lang w:val="en-AU"/>
        </w:rPr>
        <w:t>, multicenter, double-blind, double-dummy, parallel group, active-controlled non-inferiority Phase 3 study</w:t>
      </w:r>
      <w:r w:rsidR="001541FA" w:rsidRPr="00C83029">
        <w:rPr>
          <w:lang w:val="en-AU"/>
        </w:rPr>
        <w:t xml:space="preserve"> </w:t>
      </w:r>
      <w:r w:rsidRPr="00C83029">
        <w:rPr>
          <w:lang w:val="en-AU"/>
        </w:rPr>
        <w:t>of 942 elderly patients (≥</w:t>
      </w:r>
      <w:r w:rsidR="00FE1B08">
        <w:rPr>
          <w:lang w:val="en-AU"/>
        </w:rPr>
        <w:t xml:space="preserve"> </w:t>
      </w:r>
      <w:r w:rsidRPr="00C83029">
        <w:rPr>
          <w:lang w:val="en-AU"/>
        </w:rPr>
        <w:t xml:space="preserve">65 years) with primary </w:t>
      </w:r>
      <w:r w:rsidR="00392EBF" w:rsidRPr="00C83029">
        <w:rPr>
          <w:rFonts w:cs="Arial"/>
          <w:szCs w:val="22"/>
          <w:lang w:val="en-AU"/>
        </w:rPr>
        <w:t>hypercholesterol</w:t>
      </w:r>
      <w:r w:rsidR="00A9751E">
        <w:rPr>
          <w:rFonts w:cs="Arial"/>
          <w:szCs w:val="22"/>
          <w:lang w:val="en-AU"/>
        </w:rPr>
        <w:t>a</w:t>
      </w:r>
      <w:r w:rsidR="00392EBF" w:rsidRPr="00C83029">
        <w:rPr>
          <w:rFonts w:cs="Arial"/>
          <w:szCs w:val="22"/>
          <w:lang w:val="en-AU"/>
        </w:rPr>
        <w:t>emia</w:t>
      </w:r>
      <w:r w:rsidR="00EB748E">
        <w:rPr>
          <w:rFonts w:cs="Arial"/>
          <w:szCs w:val="22"/>
          <w:lang w:val="en-AU"/>
        </w:rPr>
        <w:t xml:space="preserve"> </w:t>
      </w:r>
      <w:r w:rsidRPr="00C83029">
        <w:rPr>
          <w:lang w:val="en-AU"/>
        </w:rPr>
        <w:t xml:space="preserve">or mixed </w:t>
      </w:r>
      <w:r w:rsidR="00CD7BD3" w:rsidRPr="00C83029">
        <w:rPr>
          <w:lang w:val="en-AU"/>
        </w:rPr>
        <w:t>dyslipidaemia</w:t>
      </w:r>
      <w:r w:rsidRPr="00C83029">
        <w:rPr>
          <w:lang w:val="en-AU"/>
        </w:rPr>
        <w:t xml:space="preserve">. Patients entered a 6- to 8-week washout/dietary lead-in period, and then were </w:t>
      </w:r>
      <w:r w:rsidR="0056158F" w:rsidRPr="00C83029">
        <w:rPr>
          <w:lang w:val="en-AU"/>
        </w:rPr>
        <w:t xml:space="preserve">randomised </w:t>
      </w:r>
      <w:r w:rsidRPr="00C83029">
        <w:rPr>
          <w:lang w:val="en-AU"/>
        </w:rPr>
        <w:t xml:space="preserve">to a once daily dose of </w:t>
      </w:r>
      <w:r w:rsidR="00392EBF" w:rsidRPr="00C83029">
        <w:rPr>
          <w:lang w:val="en-AU"/>
        </w:rPr>
        <w:t xml:space="preserve">Livalo </w:t>
      </w:r>
      <w:r w:rsidRPr="00C83029">
        <w:rPr>
          <w:lang w:val="en-AU"/>
        </w:rPr>
        <w:t xml:space="preserve">or pravastatin for 12 weeks (Table </w:t>
      </w:r>
      <w:r w:rsidR="005649FB" w:rsidRPr="00C83029">
        <w:rPr>
          <w:lang w:val="en-AU"/>
        </w:rPr>
        <w:t>4</w:t>
      </w:r>
      <w:r w:rsidRPr="00C83029">
        <w:rPr>
          <w:lang w:val="en-AU"/>
        </w:rPr>
        <w:t>). Non</w:t>
      </w:r>
      <w:r w:rsidR="00CD7BD3" w:rsidRPr="00C83029">
        <w:rPr>
          <w:lang w:val="en-AU"/>
        </w:rPr>
        <w:t>-</w:t>
      </w:r>
      <w:r w:rsidRPr="00C83029">
        <w:rPr>
          <w:lang w:val="en-AU"/>
        </w:rPr>
        <w:t>inferiority</w:t>
      </w:r>
      <w:r w:rsidR="001541FA" w:rsidRPr="00C83029">
        <w:rPr>
          <w:lang w:val="en-AU"/>
        </w:rPr>
        <w:t xml:space="preserve"> </w:t>
      </w:r>
      <w:r w:rsidRPr="00C83029">
        <w:rPr>
          <w:lang w:val="en-AU"/>
        </w:rPr>
        <w:t>of</w:t>
      </w:r>
      <w:r w:rsidR="00AF2686" w:rsidRPr="00C83029">
        <w:rPr>
          <w:lang w:val="en-AU"/>
        </w:rPr>
        <w:t xml:space="preserve"> </w:t>
      </w:r>
      <w:r w:rsidR="00392EBF" w:rsidRPr="00C83029">
        <w:rPr>
          <w:lang w:val="en-AU"/>
        </w:rPr>
        <w:t xml:space="preserve">Livalo </w:t>
      </w:r>
      <w:r w:rsidRPr="00C83029">
        <w:rPr>
          <w:lang w:val="en-AU"/>
        </w:rPr>
        <w:t>to a given dose of pravastatin was assumed if the lower bound of the 95% CI for the treatment difference was</w:t>
      </w:r>
      <w:r w:rsidR="001541FA" w:rsidRPr="00C83029">
        <w:rPr>
          <w:lang w:val="en-AU"/>
        </w:rPr>
        <w:t xml:space="preserve"> </w:t>
      </w:r>
      <w:r w:rsidRPr="00C83029">
        <w:rPr>
          <w:lang w:val="en-AU"/>
        </w:rPr>
        <w:t>greater than -6% for the mean percent change in LDL-C.</w:t>
      </w:r>
      <w:r w:rsidR="00FA1E14">
        <w:rPr>
          <w:lang w:val="en-AU"/>
        </w:rPr>
        <w:t xml:space="preserve"> Livalo showed superiority to pravastatin at all dose comparisons.</w:t>
      </w:r>
    </w:p>
    <w:p w:rsidR="006A7D74" w:rsidRPr="00C83029" w:rsidRDefault="006A7D74" w:rsidP="00EE5749">
      <w:pPr>
        <w:rPr>
          <w:lang w:val="en-AU"/>
        </w:rPr>
      </w:pPr>
      <w:r w:rsidRPr="00C83029">
        <w:rPr>
          <w:lang w:val="en-AU"/>
        </w:rPr>
        <w:t xml:space="preserve">Lipid results are shown in Table </w:t>
      </w:r>
      <w:r w:rsidR="005649FB" w:rsidRPr="00C83029">
        <w:rPr>
          <w:lang w:val="en-AU"/>
        </w:rPr>
        <w:t>4</w:t>
      </w:r>
      <w:r w:rsidRPr="00C83029">
        <w:rPr>
          <w:lang w:val="en-AU"/>
        </w:rPr>
        <w:t xml:space="preserve">. </w:t>
      </w:r>
      <w:r w:rsidR="00392EBF" w:rsidRPr="00C83029">
        <w:rPr>
          <w:lang w:val="en-AU"/>
        </w:rPr>
        <w:t xml:space="preserve">Livalo </w:t>
      </w:r>
      <w:r w:rsidRPr="00C83029">
        <w:rPr>
          <w:lang w:val="en-AU"/>
        </w:rPr>
        <w:t>significantly reduced LDL-C compared to pravastatin as demonstrated by the following</w:t>
      </w:r>
      <w:r w:rsidR="001541FA" w:rsidRPr="00C83029">
        <w:rPr>
          <w:lang w:val="en-AU"/>
        </w:rPr>
        <w:t xml:space="preserve"> pair wise</w:t>
      </w:r>
      <w:r w:rsidRPr="00C83029">
        <w:rPr>
          <w:lang w:val="en-AU"/>
        </w:rPr>
        <w:t xml:space="preserve"> dose comparisons: </w:t>
      </w:r>
      <w:r w:rsidR="00392EBF" w:rsidRPr="00C83029">
        <w:rPr>
          <w:lang w:val="en-AU"/>
        </w:rPr>
        <w:t xml:space="preserve">Livalo </w:t>
      </w:r>
      <w:r w:rsidRPr="00C83029">
        <w:rPr>
          <w:lang w:val="en-AU"/>
        </w:rPr>
        <w:t xml:space="preserve">1 mg vs. pravastatin 10 mg, </w:t>
      </w:r>
      <w:r w:rsidR="005B6C1C" w:rsidRPr="00C83029">
        <w:rPr>
          <w:lang w:val="en-AU"/>
        </w:rPr>
        <w:t xml:space="preserve">Livalo </w:t>
      </w:r>
      <w:r w:rsidRPr="00C83029">
        <w:rPr>
          <w:lang w:val="en-AU"/>
        </w:rPr>
        <w:t xml:space="preserve">2 mg vs. pravastatin 20 mg and </w:t>
      </w:r>
      <w:r w:rsidR="005B6C1C" w:rsidRPr="00C83029">
        <w:rPr>
          <w:lang w:val="en-AU"/>
        </w:rPr>
        <w:t>Livalo</w:t>
      </w:r>
      <w:r w:rsidRPr="00C83029">
        <w:rPr>
          <w:lang w:val="en-AU"/>
        </w:rPr>
        <w:t xml:space="preserve"> 4 mg vs.</w:t>
      </w:r>
      <w:r w:rsidR="001541FA" w:rsidRPr="00C83029">
        <w:rPr>
          <w:lang w:val="en-AU"/>
        </w:rPr>
        <w:t xml:space="preserve"> </w:t>
      </w:r>
      <w:r w:rsidRPr="00C83029">
        <w:rPr>
          <w:lang w:val="en-AU"/>
        </w:rPr>
        <w:t>pravastatin 40 mg. Mean treatment differences (95% CI) were 9% (6%, 12%), 10% (7%, 13%) and 10% (7%, 13% ), respectively.</w:t>
      </w:r>
    </w:p>
    <w:p w:rsidR="001541FA" w:rsidRPr="00C83029" w:rsidRDefault="001541FA" w:rsidP="00A852E3">
      <w:pPr>
        <w:pStyle w:val="Heading4"/>
      </w:pPr>
      <w:proofErr w:type="gramStart"/>
      <w:r w:rsidRPr="00C83029">
        <w:t xml:space="preserve">Table </w:t>
      </w:r>
      <w:r w:rsidR="005649FB" w:rsidRPr="00C83029">
        <w:t>4</w:t>
      </w:r>
      <w:r w:rsidRPr="00C83029">
        <w:t>.</w:t>
      </w:r>
      <w:proofErr w:type="gramEnd"/>
      <w:r w:rsidR="00A852E3" w:rsidRPr="00C83029">
        <w:tab/>
      </w:r>
      <w:r w:rsidRPr="00C83029">
        <w:t xml:space="preserve">Response by Dose of LIVALO and Pravastatin in Patients with Primary </w:t>
      </w:r>
      <w:r w:rsidR="00392EBF" w:rsidRPr="00C83029">
        <w:rPr>
          <w:rFonts w:cs="Arial"/>
        </w:rPr>
        <w:t>Hypercholesterolaemia</w:t>
      </w:r>
      <w:r w:rsidR="00EB748E">
        <w:rPr>
          <w:rFonts w:cs="Arial"/>
        </w:rPr>
        <w:t xml:space="preserve"> </w:t>
      </w:r>
      <w:r w:rsidRPr="00C83029">
        <w:t>or</w:t>
      </w:r>
      <w:r w:rsidR="005649FB" w:rsidRPr="00C83029">
        <w:t xml:space="preserve"> </w:t>
      </w:r>
      <w:r w:rsidRPr="00C83029">
        <w:t xml:space="preserve">Mixed </w:t>
      </w:r>
      <w:r w:rsidR="00CD7BD3" w:rsidRPr="00C83029">
        <w:t>Dyslipidaemia</w:t>
      </w:r>
      <w:r w:rsidRPr="00C83029">
        <w:t xml:space="preserve"> (Mean % Change from Baseline at Week 12)</w:t>
      </w:r>
    </w:p>
    <w:tbl>
      <w:tblPr>
        <w:tblW w:w="837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3"/>
        <w:gridCol w:w="992"/>
        <w:gridCol w:w="992"/>
        <w:gridCol w:w="993"/>
        <w:gridCol w:w="992"/>
        <w:gridCol w:w="992"/>
        <w:gridCol w:w="992"/>
        <w:gridCol w:w="993"/>
      </w:tblGrid>
      <w:tr w:rsidR="005649FB" w:rsidRPr="00C83029" w:rsidTr="0015022B">
        <w:trPr>
          <w:trHeight w:val="300"/>
          <w:jc w:val="center"/>
        </w:trPr>
        <w:tc>
          <w:tcPr>
            <w:tcW w:w="1433" w:type="dxa"/>
            <w:shd w:val="clear" w:color="auto" w:fill="auto"/>
            <w:noWrap/>
            <w:vAlign w:val="bottom"/>
          </w:tcPr>
          <w:p w:rsidR="005649FB" w:rsidRPr="00C83029" w:rsidRDefault="005649FB" w:rsidP="000A6D98">
            <w:pPr>
              <w:jc w:val="center"/>
              <w:rPr>
                <w:sz w:val="20"/>
                <w:lang w:val="en-AU"/>
              </w:rPr>
            </w:pPr>
            <w:r w:rsidRPr="00C83029">
              <w:rPr>
                <w:sz w:val="20"/>
                <w:lang w:val="en-AU"/>
              </w:rPr>
              <w:t xml:space="preserve">Treatment </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 xml:space="preserve">N </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 xml:space="preserve">LDL-C </w:t>
            </w:r>
          </w:p>
        </w:tc>
        <w:tc>
          <w:tcPr>
            <w:tcW w:w="993" w:type="dxa"/>
            <w:shd w:val="clear" w:color="auto" w:fill="auto"/>
            <w:noWrap/>
            <w:vAlign w:val="bottom"/>
          </w:tcPr>
          <w:p w:rsidR="005649FB" w:rsidRPr="00C83029" w:rsidRDefault="005649FB" w:rsidP="000A6D98">
            <w:pPr>
              <w:jc w:val="center"/>
              <w:rPr>
                <w:sz w:val="20"/>
                <w:lang w:val="en-AU"/>
              </w:rPr>
            </w:pPr>
            <w:r w:rsidRPr="00C83029">
              <w:rPr>
                <w:sz w:val="20"/>
                <w:lang w:val="en-AU"/>
              </w:rPr>
              <w:t xml:space="preserve">Apo-B </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 xml:space="preserve">TC </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 xml:space="preserve">TG </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 xml:space="preserve">HDL-C </w:t>
            </w:r>
          </w:p>
        </w:tc>
        <w:tc>
          <w:tcPr>
            <w:tcW w:w="993" w:type="dxa"/>
            <w:shd w:val="clear" w:color="auto" w:fill="auto"/>
            <w:noWrap/>
            <w:vAlign w:val="bottom"/>
          </w:tcPr>
          <w:p w:rsidR="005649FB" w:rsidRPr="00C83029" w:rsidRDefault="005649FB" w:rsidP="000A6D98">
            <w:pPr>
              <w:jc w:val="center"/>
              <w:rPr>
                <w:sz w:val="20"/>
                <w:lang w:val="en-AU"/>
              </w:rPr>
            </w:pPr>
            <w:r w:rsidRPr="00C83029">
              <w:rPr>
                <w:sz w:val="20"/>
                <w:lang w:val="en-AU"/>
              </w:rPr>
              <w:t xml:space="preserve">non-HDL-C </w:t>
            </w:r>
          </w:p>
        </w:tc>
      </w:tr>
      <w:tr w:rsidR="005649FB" w:rsidRPr="00C83029" w:rsidTr="0015022B">
        <w:trPr>
          <w:trHeight w:val="585"/>
          <w:jc w:val="center"/>
        </w:trPr>
        <w:tc>
          <w:tcPr>
            <w:tcW w:w="1433" w:type="dxa"/>
            <w:shd w:val="clear" w:color="auto" w:fill="auto"/>
            <w:vAlign w:val="bottom"/>
          </w:tcPr>
          <w:p w:rsidR="005649FB" w:rsidRPr="00C83029" w:rsidRDefault="00702BEF" w:rsidP="000A6D98">
            <w:pPr>
              <w:jc w:val="center"/>
              <w:rPr>
                <w:sz w:val="20"/>
                <w:lang w:val="en-AU"/>
              </w:rPr>
            </w:pPr>
            <w:r w:rsidRPr="00C83029">
              <w:rPr>
                <w:sz w:val="20"/>
                <w:lang w:val="en-AU"/>
              </w:rPr>
              <w:t xml:space="preserve">LIVALO </w:t>
            </w:r>
            <w:r w:rsidR="005649FB" w:rsidRPr="00C83029">
              <w:rPr>
                <w:sz w:val="20"/>
                <w:lang w:val="en-AU"/>
              </w:rPr>
              <w:t xml:space="preserve">1 mg daily </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207</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-31</w:t>
            </w:r>
          </w:p>
        </w:tc>
        <w:tc>
          <w:tcPr>
            <w:tcW w:w="993" w:type="dxa"/>
            <w:shd w:val="clear" w:color="auto" w:fill="auto"/>
            <w:noWrap/>
            <w:vAlign w:val="bottom"/>
          </w:tcPr>
          <w:p w:rsidR="005649FB" w:rsidRPr="00C83029" w:rsidRDefault="005649FB" w:rsidP="000A6D98">
            <w:pPr>
              <w:jc w:val="center"/>
              <w:rPr>
                <w:sz w:val="20"/>
                <w:lang w:val="en-AU"/>
              </w:rPr>
            </w:pPr>
            <w:r w:rsidRPr="00C83029">
              <w:rPr>
                <w:sz w:val="20"/>
                <w:lang w:val="en-AU"/>
              </w:rPr>
              <w:t>-25</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-22</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-13</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1</w:t>
            </w:r>
          </w:p>
        </w:tc>
        <w:tc>
          <w:tcPr>
            <w:tcW w:w="993" w:type="dxa"/>
            <w:shd w:val="clear" w:color="auto" w:fill="auto"/>
            <w:noWrap/>
            <w:vAlign w:val="bottom"/>
          </w:tcPr>
          <w:p w:rsidR="005649FB" w:rsidRPr="00C83029" w:rsidRDefault="005649FB" w:rsidP="000A6D98">
            <w:pPr>
              <w:jc w:val="center"/>
              <w:rPr>
                <w:sz w:val="20"/>
                <w:lang w:val="en-AU"/>
              </w:rPr>
            </w:pPr>
            <w:r w:rsidRPr="00C83029">
              <w:rPr>
                <w:sz w:val="20"/>
                <w:lang w:val="en-AU"/>
              </w:rPr>
              <w:t>-29</w:t>
            </w:r>
          </w:p>
        </w:tc>
      </w:tr>
      <w:tr w:rsidR="005649FB" w:rsidRPr="00C83029" w:rsidTr="0015022B">
        <w:trPr>
          <w:trHeight w:val="585"/>
          <w:jc w:val="center"/>
        </w:trPr>
        <w:tc>
          <w:tcPr>
            <w:tcW w:w="1433" w:type="dxa"/>
            <w:shd w:val="clear" w:color="auto" w:fill="auto"/>
            <w:vAlign w:val="bottom"/>
          </w:tcPr>
          <w:p w:rsidR="005649FB" w:rsidRPr="00C83029" w:rsidRDefault="00702BEF" w:rsidP="000A6D98">
            <w:pPr>
              <w:jc w:val="center"/>
              <w:rPr>
                <w:sz w:val="20"/>
                <w:lang w:val="en-AU"/>
              </w:rPr>
            </w:pPr>
            <w:r w:rsidRPr="00C83029">
              <w:rPr>
                <w:sz w:val="20"/>
                <w:lang w:val="en-AU"/>
              </w:rPr>
              <w:t xml:space="preserve">LIVALO </w:t>
            </w:r>
            <w:r w:rsidR="005649FB" w:rsidRPr="00C83029">
              <w:rPr>
                <w:sz w:val="20"/>
                <w:lang w:val="en-AU"/>
              </w:rPr>
              <w:t xml:space="preserve">2 mg daily </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224</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-39</w:t>
            </w:r>
          </w:p>
        </w:tc>
        <w:tc>
          <w:tcPr>
            <w:tcW w:w="993" w:type="dxa"/>
            <w:shd w:val="clear" w:color="auto" w:fill="auto"/>
            <w:noWrap/>
            <w:vAlign w:val="bottom"/>
          </w:tcPr>
          <w:p w:rsidR="005649FB" w:rsidRPr="00C83029" w:rsidRDefault="005649FB" w:rsidP="000A6D98">
            <w:pPr>
              <w:jc w:val="center"/>
              <w:rPr>
                <w:sz w:val="20"/>
                <w:lang w:val="en-AU"/>
              </w:rPr>
            </w:pPr>
            <w:r w:rsidRPr="00C83029">
              <w:rPr>
                <w:sz w:val="20"/>
                <w:lang w:val="en-AU"/>
              </w:rPr>
              <w:t>-31</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-27</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-15</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2</w:t>
            </w:r>
          </w:p>
        </w:tc>
        <w:tc>
          <w:tcPr>
            <w:tcW w:w="993" w:type="dxa"/>
            <w:shd w:val="clear" w:color="auto" w:fill="auto"/>
            <w:noWrap/>
            <w:vAlign w:val="bottom"/>
          </w:tcPr>
          <w:p w:rsidR="005649FB" w:rsidRPr="00C83029" w:rsidRDefault="005649FB" w:rsidP="000A6D98">
            <w:pPr>
              <w:jc w:val="center"/>
              <w:rPr>
                <w:sz w:val="20"/>
                <w:lang w:val="en-AU"/>
              </w:rPr>
            </w:pPr>
            <w:r w:rsidRPr="00C83029">
              <w:rPr>
                <w:sz w:val="20"/>
                <w:lang w:val="en-AU"/>
              </w:rPr>
              <w:t>-36</w:t>
            </w:r>
          </w:p>
        </w:tc>
      </w:tr>
      <w:tr w:rsidR="005649FB" w:rsidRPr="00C83029" w:rsidTr="0015022B">
        <w:trPr>
          <w:trHeight w:val="585"/>
          <w:jc w:val="center"/>
        </w:trPr>
        <w:tc>
          <w:tcPr>
            <w:tcW w:w="1433" w:type="dxa"/>
            <w:shd w:val="clear" w:color="auto" w:fill="auto"/>
            <w:vAlign w:val="bottom"/>
          </w:tcPr>
          <w:p w:rsidR="005649FB" w:rsidRPr="00C83029" w:rsidRDefault="00777F64" w:rsidP="000A6D98">
            <w:pPr>
              <w:jc w:val="center"/>
              <w:rPr>
                <w:sz w:val="20"/>
                <w:lang w:val="en-AU"/>
              </w:rPr>
            </w:pPr>
            <w:r w:rsidRPr="00C83029">
              <w:rPr>
                <w:sz w:val="20"/>
                <w:lang w:val="en-AU"/>
              </w:rPr>
              <w:t>LIVALO</w:t>
            </w:r>
            <w:r w:rsidR="00702BEF" w:rsidRPr="00C83029">
              <w:rPr>
                <w:sz w:val="20"/>
                <w:lang w:val="en-AU"/>
              </w:rPr>
              <w:t xml:space="preserve"> </w:t>
            </w:r>
            <w:r w:rsidR="005649FB" w:rsidRPr="00C83029">
              <w:rPr>
                <w:sz w:val="20"/>
                <w:lang w:val="en-AU"/>
              </w:rPr>
              <w:t xml:space="preserve">4 mg daily </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210</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-44</w:t>
            </w:r>
          </w:p>
        </w:tc>
        <w:tc>
          <w:tcPr>
            <w:tcW w:w="993" w:type="dxa"/>
            <w:shd w:val="clear" w:color="auto" w:fill="auto"/>
            <w:noWrap/>
            <w:vAlign w:val="bottom"/>
          </w:tcPr>
          <w:p w:rsidR="005649FB" w:rsidRPr="00C83029" w:rsidRDefault="005649FB" w:rsidP="000A6D98">
            <w:pPr>
              <w:jc w:val="center"/>
              <w:rPr>
                <w:sz w:val="20"/>
                <w:lang w:val="en-AU"/>
              </w:rPr>
            </w:pPr>
            <w:r w:rsidRPr="00C83029">
              <w:rPr>
                <w:sz w:val="20"/>
                <w:lang w:val="en-AU"/>
              </w:rPr>
              <w:t>-37</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-31</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-22</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4</w:t>
            </w:r>
          </w:p>
        </w:tc>
        <w:tc>
          <w:tcPr>
            <w:tcW w:w="993" w:type="dxa"/>
            <w:shd w:val="clear" w:color="auto" w:fill="auto"/>
            <w:noWrap/>
            <w:vAlign w:val="bottom"/>
          </w:tcPr>
          <w:p w:rsidR="005649FB" w:rsidRPr="00C83029" w:rsidRDefault="005649FB" w:rsidP="000A6D98">
            <w:pPr>
              <w:jc w:val="center"/>
              <w:rPr>
                <w:sz w:val="20"/>
                <w:lang w:val="en-AU"/>
              </w:rPr>
            </w:pPr>
            <w:r w:rsidRPr="00C83029">
              <w:rPr>
                <w:sz w:val="20"/>
                <w:lang w:val="en-AU"/>
              </w:rPr>
              <w:t>-41</w:t>
            </w:r>
          </w:p>
        </w:tc>
      </w:tr>
      <w:tr w:rsidR="005649FB" w:rsidRPr="00C83029" w:rsidTr="0015022B">
        <w:trPr>
          <w:trHeight w:val="585"/>
          <w:jc w:val="center"/>
        </w:trPr>
        <w:tc>
          <w:tcPr>
            <w:tcW w:w="1433" w:type="dxa"/>
            <w:shd w:val="clear" w:color="auto" w:fill="auto"/>
            <w:vAlign w:val="bottom"/>
          </w:tcPr>
          <w:p w:rsidR="005649FB" w:rsidRPr="00C83029" w:rsidRDefault="005649FB" w:rsidP="000A6D98">
            <w:pPr>
              <w:jc w:val="center"/>
              <w:rPr>
                <w:sz w:val="20"/>
                <w:lang w:val="en-AU"/>
              </w:rPr>
            </w:pPr>
            <w:r w:rsidRPr="00C83029">
              <w:rPr>
                <w:sz w:val="20"/>
                <w:lang w:val="en-AU"/>
              </w:rPr>
              <w:t xml:space="preserve">Pravastatin 10 mg daily </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103</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-22</w:t>
            </w:r>
          </w:p>
        </w:tc>
        <w:tc>
          <w:tcPr>
            <w:tcW w:w="993" w:type="dxa"/>
            <w:shd w:val="clear" w:color="auto" w:fill="auto"/>
            <w:noWrap/>
            <w:vAlign w:val="bottom"/>
          </w:tcPr>
          <w:p w:rsidR="005649FB" w:rsidRPr="00C83029" w:rsidRDefault="005649FB" w:rsidP="000A6D98">
            <w:pPr>
              <w:jc w:val="center"/>
              <w:rPr>
                <w:sz w:val="20"/>
                <w:lang w:val="en-AU"/>
              </w:rPr>
            </w:pPr>
            <w:r w:rsidRPr="00C83029">
              <w:rPr>
                <w:sz w:val="20"/>
                <w:lang w:val="en-AU"/>
              </w:rPr>
              <w:t>-17</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-15</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-5</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0</w:t>
            </w:r>
          </w:p>
        </w:tc>
        <w:tc>
          <w:tcPr>
            <w:tcW w:w="993" w:type="dxa"/>
            <w:shd w:val="clear" w:color="auto" w:fill="auto"/>
            <w:noWrap/>
            <w:vAlign w:val="bottom"/>
          </w:tcPr>
          <w:p w:rsidR="005649FB" w:rsidRPr="00C83029" w:rsidRDefault="005649FB" w:rsidP="000A6D98">
            <w:pPr>
              <w:jc w:val="center"/>
              <w:rPr>
                <w:sz w:val="20"/>
                <w:lang w:val="en-AU"/>
              </w:rPr>
            </w:pPr>
            <w:r w:rsidRPr="00C83029">
              <w:rPr>
                <w:sz w:val="20"/>
                <w:lang w:val="en-AU"/>
              </w:rPr>
              <w:t>-20</w:t>
            </w:r>
          </w:p>
        </w:tc>
      </w:tr>
      <w:tr w:rsidR="005649FB" w:rsidRPr="00C83029" w:rsidTr="0015022B">
        <w:trPr>
          <w:trHeight w:val="585"/>
          <w:jc w:val="center"/>
        </w:trPr>
        <w:tc>
          <w:tcPr>
            <w:tcW w:w="1433" w:type="dxa"/>
            <w:shd w:val="clear" w:color="auto" w:fill="auto"/>
            <w:vAlign w:val="bottom"/>
          </w:tcPr>
          <w:p w:rsidR="005649FB" w:rsidRPr="00C83029" w:rsidRDefault="005649FB" w:rsidP="000A6D98">
            <w:pPr>
              <w:jc w:val="center"/>
              <w:rPr>
                <w:sz w:val="20"/>
                <w:lang w:val="en-AU"/>
              </w:rPr>
            </w:pPr>
            <w:r w:rsidRPr="00C83029">
              <w:rPr>
                <w:sz w:val="20"/>
                <w:lang w:val="en-AU"/>
              </w:rPr>
              <w:t xml:space="preserve">Pravastatin 20 mg daily </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96</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-29</w:t>
            </w:r>
          </w:p>
        </w:tc>
        <w:tc>
          <w:tcPr>
            <w:tcW w:w="993" w:type="dxa"/>
            <w:shd w:val="clear" w:color="auto" w:fill="auto"/>
            <w:noWrap/>
            <w:vAlign w:val="bottom"/>
          </w:tcPr>
          <w:p w:rsidR="005649FB" w:rsidRPr="00C83029" w:rsidRDefault="005649FB" w:rsidP="000A6D98">
            <w:pPr>
              <w:jc w:val="center"/>
              <w:rPr>
                <w:sz w:val="20"/>
                <w:lang w:val="en-AU"/>
              </w:rPr>
            </w:pPr>
            <w:r w:rsidRPr="00C83029">
              <w:rPr>
                <w:sz w:val="20"/>
                <w:lang w:val="en-AU"/>
              </w:rPr>
              <w:t>-22</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-21</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-11</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-1</w:t>
            </w:r>
          </w:p>
        </w:tc>
        <w:tc>
          <w:tcPr>
            <w:tcW w:w="993" w:type="dxa"/>
            <w:shd w:val="clear" w:color="auto" w:fill="auto"/>
            <w:noWrap/>
            <w:vAlign w:val="bottom"/>
          </w:tcPr>
          <w:p w:rsidR="005649FB" w:rsidRPr="00C83029" w:rsidRDefault="005649FB" w:rsidP="000A6D98">
            <w:pPr>
              <w:jc w:val="center"/>
              <w:rPr>
                <w:sz w:val="20"/>
                <w:lang w:val="en-AU"/>
              </w:rPr>
            </w:pPr>
            <w:r w:rsidRPr="00C83029">
              <w:rPr>
                <w:sz w:val="20"/>
                <w:lang w:val="en-AU"/>
              </w:rPr>
              <w:t>-27</w:t>
            </w:r>
          </w:p>
        </w:tc>
      </w:tr>
      <w:tr w:rsidR="005649FB" w:rsidRPr="00C83029" w:rsidTr="0015022B">
        <w:trPr>
          <w:trHeight w:val="585"/>
          <w:jc w:val="center"/>
        </w:trPr>
        <w:tc>
          <w:tcPr>
            <w:tcW w:w="1433" w:type="dxa"/>
            <w:shd w:val="clear" w:color="auto" w:fill="auto"/>
            <w:vAlign w:val="bottom"/>
          </w:tcPr>
          <w:p w:rsidR="005649FB" w:rsidRPr="00C83029" w:rsidRDefault="005649FB" w:rsidP="000A6D98">
            <w:pPr>
              <w:jc w:val="center"/>
              <w:rPr>
                <w:sz w:val="20"/>
                <w:lang w:val="en-AU"/>
              </w:rPr>
            </w:pPr>
            <w:r w:rsidRPr="00C83029">
              <w:rPr>
                <w:sz w:val="20"/>
                <w:lang w:val="en-AU"/>
              </w:rPr>
              <w:t xml:space="preserve">Pravastatin 40 mg daily </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102</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-34</w:t>
            </w:r>
          </w:p>
        </w:tc>
        <w:tc>
          <w:tcPr>
            <w:tcW w:w="993" w:type="dxa"/>
            <w:shd w:val="clear" w:color="auto" w:fill="auto"/>
            <w:noWrap/>
            <w:vAlign w:val="bottom"/>
          </w:tcPr>
          <w:p w:rsidR="005649FB" w:rsidRPr="00C83029" w:rsidRDefault="005649FB" w:rsidP="000A6D98">
            <w:pPr>
              <w:jc w:val="center"/>
              <w:rPr>
                <w:sz w:val="20"/>
                <w:lang w:val="en-AU"/>
              </w:rPr>
            </w:pPr>
            <w:r w:rsidRPr="00C83029">
              <w:rPr>
                <w:sz w:val="20"/>
                <w:lang w:val="en-AU"/>
              </w:rPr>
              <w:t>-28</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-24</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-15</w:t>
            </w:r>
          </w:p>
        </w:tc>
        <w:tc>
          <w:tcPr>
            <w:tcW w:w="992" w:type="dxa"/>
            <w:shd w:val="clear" w:color="auto" w:fill="auto"/>
            <w:noWrap/>
            <w:vAlign w:val="bottom"/>
          </w:tcPr>
          <w:p w:rsidR="005649FB" w:rsidRPr="00C83029" w:rsidRDefault="005649FB" w:rsidP="000A6D98">
            <w:pPr>
              <w:jc w:val="center"/>
              <w:rPr>
                <w:sz w:val="20"/>
                <w:lang w:val="en-AU"/>
              </w:rPr>
            </w:pPr>
            <w:r w:rsidRPr="00C83029">
              <w:rPr>
                <w:sz w:val="20"/>
                <w:lang w:val="en-AU"/>
              </w:rPr>
              <w:t>1</w:t>
            </w:r>
          </w:p>
        </w:tc>
        <w:tc>
          <w:tcPr>
            <w:tcW w:w="993" w:type="dxa"/>
            <w:shd w:val="clear" w:color="auto" w:fill="auto"/>
            <w:noWrap/>
            <w:vAlign w:val="bottom"/>
          </w:tcPr>
          <w:p w:rsidR="005649FB" w:rsidRPr="00C83029" w:rsidRDefault="005649FB" w:rsidP="000A6D98">
            <w:pPr>
              <w:jc w:val="center"/>
              <w:rPr>
                <w:sz w:val="20"/>
                <w:lang w:val="en-AU"/>
              </w:rPr>
            </w:pPr>
            <w:r w:rsidRPr="00C83029">
              <w:rPr>
                <w:sz w:val="20"/>
                <w:lang w:val="en-AU"/>
              </w:rPr>
              <w:t>-32</w:t>
            </w:r>
          </w:p>
        </w:tc>
      </w:tr>
      <w:tr w:rsidR="005649FB" w:rsidRPr="00C83029" w:rsidTr="0015022B">
        <w:trPr>
          <w:trHeight w:val="585"/>
          <w:jc w:val="center"/>
        </w:trPr>
        <w:tc>
          <w:tcPr>
            <w:tcW w:w="1433" w:type="dxa"/>
            <w:shd w:val="clear" w:color="auto" w:fill="auto"/>
            <w:vAlign w:val="bottom"/>
          </w:tcPr>
          <w:p w:rsidR="005649FB" w:rsidRPr="00C83029" w:rsidRDefault="005649FB" w:rsidP="000A6D98">
            <w:pPr>
              <w:jc w:val="center"/>
              <w:rPr>
                <w:sz w:val="20"/>
                <w:lang w:val="en-AU"/>
              </w:rPr>
            </w:pPr>
            <w:r w:rsidRPr="00C83029">
              <w:rPr>
                <w:sz w:val="20"/>
                <w:lang w:val="en-AU"/>
              </w:rPr>
              <w:t xml:space="preserve">Pravastatin 80 mg daily </w:t>
            </w:r>
          </w:p>
        </w:tc>
        <w:tc>
          <w:tcPr>
            <w:tcW w:w="6946" w:type="dxa"/>
            <w:gridSpan w:val="7"/>
            <w:shd w:val="clear" w:color="auto" w:fill="auto"/>
            <w:noWrap/>
            <w:vAlign w:val="center"/>
          </w:tcPr>
          <w:p w:rsidR="005649FB" w:rsidRPr="00C83029" w:rsidRDefault="005649FB" w:rsidP="000A6D98">
            <w:pPr>
              <w:jc w:val="center"/>
              <w:rPr>
                <w:sz w:val="20"/>
                <w:lang w:val="en-AU"/>
              </w:rPr>
            </w:pPr>
            <w:r w:rsidRPr="00C83029">
              <w:rPr>
                <w:sz w:val="20"/>
                <w:lang w:val="en-AU"/>
              </w:rPr>
              <w:t>------------------------------------Not Studied------------------------------------</w:t>
            </w:r>
          </w:p>
        </w:tc>
      </w:tr>
    </w:tbl>
    <w:p w:rsidR="00A852E3" w:rsidRPr="00C83029" w:rsidRDefault="00A852E3" w:rsidP="00EE5749">
      <w:pPr>
        <w:rPr>
          <w:lang w:val="en-AU"/>
        </w:rPr>
      </w:pPr>
    </w:p>
    <w:p w:rsidR="001541FA" w:rsidRPr="007C118D" w:rsidRDefault="001541FA" w:rsidP="00EE5749">
      <w:pPr>
        <w:rPr>
          <w:rFonts w:cs="Arial"/>
          <w:szCs w:val="22"/>
          <w:lang w:val="en-AU"/>
        </w:rPr>
      </w:pPr>
      <w:r w:rsidRPr="00C83029">
        <w:rPr>
          <w:lang w:val="en-AU"/>
        </w:rPr>
        <w:t xml:space="preserve">Active-controlled study with simvastatin in patients with ≥ 2 risk factors for coronary heart disease (NK-104-304): </w:t>
      </w:r>
      <w:r w:rsidR="00392EBF" w:rsidRPr="00C83029">
        <w:rPr>
          <w:lang w:val="en-AU"/>
        </w:rPr>
        <w:t xml:space="preserve">Livalo </w:t>
      </w:r>
      <w:r w:rsidRPr="00C83029">
        <w:rPr>
          <w:lang w:val="en-AU"/>
        </w:rPr>
        <w:t xml:space="preserve">was compared with the HMG-CoA reductase inhibitor </w:t>
      </w:r>
      <w:r w:rsidRPr="00C83029">
        <w:rPr>
          <w:lang w:val="en-AU"/>
        </w:rPr>
        <w:lastRenderedPageBreak/>
        <w:t xml:space="preserve">simvastatin in a </w:t>
      </w:r>
      <w:r w:rsidR="0056158F" w:rsidRPr="00C83029">
        <w:rPr>
          <w:lang w:val="en-AU"/>
        </w:rPr>
        <w:t>randomised</w:t>
      </w:r>
      <w:r w:rsidRPr="00C83029">
        <w:rPr>
          <w:lang w:val="en-AU"/>
        </w:rPr>
        <w:t>, multicenter, double-blind, double-dummy, active</w:t>
      </w:r>
      <w:r w:rsidR="00CD7BD3" w:rsidRPr="00C83029">
        <w:rPr>
          <w:lang w:val="en-AU"/>
        </w:rPr>
        <w:t xml:space="preserve"> </w:t>
      </w:r>
      <w:r w:rsidRPr="00C83029">
        <w:rPr>
          <w:lang w:val="en-AU"/>
        </w:rPr>
        <w:t xml:space="preserve">controlled, non-inferiority Phase 3 study of 351 patients with primary </w:t>
      </w:r>
      <w:r w:rsidR="00392EBF" w:rsidRPr="00C83029">
        <w:rPr>
          <w:rFonts w:cs="Arial"/>
          <w:szCs w:val="22"/>
          <w:lang w:val="en-AU"/>
        </w:rPr>
        <w:t>hypercholesterol</w:t>
      </w:r>
      <w:r w:rsidR="00A9751E">
        <w:rPr>
          <w:rFonts w:cs="Arial"/>
          <w:szCs w:val="22"/>
          <w:lang w:val="en-AU"/>
        </w:rPr>
        <w:t>a</w:t>
      </w:r>
      <w:r w:rsidR="00392EBF" w:rsidRPr="00C83029">
        <w:rPr>
          <w:rFonts w:cs="Arial"/>
          <w:szCs w:val="22"/>
          <w:lang w:val="en-AU"/>
        </w:rPr>
        <w:t xml:space="preserve">emia </w:t>
      </w:r>
      <w:r w:rsidRPr="00C83029">
        <w:rPr>
          <w:lang w:val="en-AU"/>
        </w:rPr>
        <w:t xml:space="preserve">or mixed </w:t>
      </w:r>
      <w:r w:rsidR="00CD7BD3" w:rsidRPr="00C83029">
        <w:rPr>
          <w:lang w:val="en-AU"/>
        </w:rPr>
        <w:t>dyslipidaemia</w:t>
      </w:r>
      <w:r w:rsidR="00392EBF" w:rsidRPr="00C83029">
        <w:rPr>
          <w:lang w:val="en-AU"/>
        </w:rPr>
        <w:t xml:space="preserve"> </w:t>
      </w:r>
      <w:r w:rsidR="00392EBF" w:rsidRPr="00C83029">
        <w:rPr>
          <w:rFonts w:cs="Arial"/>
          <w:szCs w:val="22"/>
          <w:lang w:val="en-AU"/>
        </w:rPr>
        <w:t>(baseline LDL 4.3 mmol/L)</w:t>
      </w:r>
      <w:r w:rsidRPr="00C83029">
        <w:rPr>
          <w:lang w:val="en-AU"/>
        </w:rPr>
        <w:t xml:space="preserve"> with ≥2 risk factors for coronary heart disease. </w:t>
      </w:r>
      <w:r w:rsidR="00392EBF" w:rsidRPr="00C83029">
        <w:rPr>
          <w:rFonts w:cs="Arial"/>
          <w:szCs w:val="22"/>
          <w:lang w:val="en-AU"/>
        </w:rPr>
        <w:t>Inclusion criteria included: male and female patients (18 to 75 years), with primary hypercholesterolaemia or mixed dyslipid</w:t>
      </w:r>
      <w:r w:rsidR="00A9751E">
        <w:rPr>
          <w:rFonts w:cs="Arial"/>
          <w:szCs w:val="22"/>
          <w:lang w:val="en-AU"/>
        </w:rPr>
        <w:t>a</w:t>
      </w:r>
      <w:r w:rsidR="00392EBF" w:rsidRPr="00C83029">
        <w:rPr>
          <w:rFonts w:cs="Arial"/>
          <w:szCs w:val="22"/>
          <w:lang w:val="en-AU"/>
        </w:rPr>
        <w:t>emia, LDL-C</w:t>
      </w:r>
      <w:r w:rsidR="00FE1B08">
        <w:rPr>
          <w:rFonts w:cs="Arial"/>
          <w:szCs w:val="22"/>
          <w:lang w:val="en-AU"/>
        </w:rPr>
        <w:t xml:space="preserve"> </w:t>
      </w:r>
      <w:r w:rsidR="00392EBF" w:rsidRPr="00C83029">
        <w:rPr>
          <w:rFonts w:cs="Arial"/>
          <w:szCs w:val="22"/>
          <w:lang w:val="en-AU"/>
        </w:rPr>
        <w:t>≥</w:t>
      </w:r>
      <w:r w:rsidR="00FE1B08">
        <w:rPr>
          <w:rFonts w:cs="Arial"/>
          <w:szCs w:val="22"/>
          <w:lang w:val="en-AU"/>
        </w:rPr>
        <w:t xml:space="preserve"> </w:t>
      </w:r>
      <w:r w:rsidR="00392EBF" w:rsidRPr="00C83029">
        <w:rPr>
          <w:rFonts w:cs="Arial"/>
          <w:szCs w:val="22"/>
          <w:lang w:val="en-AU"/>
        </w:rPr>
        <w:t>3.4 and ≤</w:t>
      </w:r>
      <w:r w:rsidR="00FE1B08">
        <w:rPr>
          <w:rFonts w:cs="Arial"/>
          <w:szCs w:val="22"/>
          <w:lang w:val="en-AU"/>
        </w:rPr>
        <w:t xml:space="preserve"> </w:t>
      </w:r>
      <w:r w:rsidR="00392EBF" w:rsidRPr="00C83029">
        <w:rPr>
          <w:rFonts w:cs="Arial"/>
          <w:szCs w:val="22"/>
          <w:lang w:val="en-AU"/>
        </w:rPr>
        <w:t>5.7 mmol/L despite dietary therapy and elevated TG ≤ 4.6 mmol/L at 2 visits during the lead-in period with ≥</w:t>
      </w:r>
      <w:r w:rsidR="00FE1B08">
        <w:rPr>
          <w:rFonts w:cs="Arial"/>
          <w:szCs w:val="22"/>
          <w:lang w:val="en-AU"/>
        </w:rPr>
        <w:t xml:space="preserve"> </w:t>
      </w:r>
      <w:r w:rsidR="00392EBF" w:rsidRPr="00C83029">
        <w:rPr>
          <w:rFonts w:cs="Arial"/>
          <w:szCs w:val="22"/>
          <w:lang w:val="en-AU"/>
        </w:rPr>
        <w:t>2 risk factors for coronary heart disease (smoking, hypertension, low HDL-C (&lt;</w:t>
      </w:r>
      <w:r w:rsidR="00FE1B08">
        <w:rPr>
          <w:rFonts w:cs="Arial"/>
          <w:szCs w:val="22"/>
          <w:lang w:val="en-AU"/>
        </w:rPr>
        <w:t xml:space="preserve"> </w:t>
      </w:r>
      <w:r w:rsidR="00392EBF" w:rsidRPr="00C83029">
        <w:rPr>
          <w:rFonts w:cs="Arial"/>
          <w:szCs w:val="22"/>
          <w:lang w:val="en-AU"/>
        </w:rPr>
        <w:t>1.0 mmol/L), family history of premature CHD, or age ≥</w:t>
      </w:r>
      <w:r w:rsidR="00FE1B08">
        <w:rPr>
          <w:rFonts w:cs="Arial"/>
          <w:szCs w:val="22"/>
          <w:lang w:val="en-AU"/>
        </w:rPr>
        <w:t xml:space="preserve"> </w:t>
      </w:r>
      <w:r w:rsidR="00392EBF" w:rsidRPr="00C83029">
        <w:rPr>
          <w:rFonts w:cs="Arial"/>
          <w:szCs w:val="22"/>
          <w:lang w:val="en-AU"/>
        </w:rPr>
        <w:t>45 years for men and ≥</w:t>
      </w:r>
      <w:r w:rsidR="00FE1B08">
        <w:rPr>
          <w:rFonts w:cs="Arial"/>
          <w:szCs w:val="22"/>
          <w:lang w:val="en-AU"/>
        </w:rPr>
        <w:t xml:space="preserve"> </w:t>
      </w:r>
      <w:r w:rsidR="00392EBF" w:rsidRPr="00C83029">
        <w:rPr>
          <w:rFonts w:cs="Arial"/>
          <w:szCs w:val="22"/>
          <w:lang w:val="en-AU"/>
        </w:rPr>
        <w:t xml:space="preserve">55 for women.  </w:t>
      </w:r>
      <w:r w:rsidRPr="00C83029">
        <w:rPr>
          <w:lang w:val="en-AU"/>
        </w:rPr>
        <w:t xml:space="preserve">After a 6- to 8-week wash-out/dietary lead-in period, patients were </w:t>
      </w:r>
      <w:r w:rsidR="0056158F" w:rsidRPr="00C83029">
        <w:rPr>
          <w:lang w:val="en-AU"/>
        </w:rPr>
        <w:t xml:space="preserve">randomised </w:t>
      </w:r>
      <w:r w:rsidRPr="00C83029">
        <w:rPr>
          <w:lang w:val="en-AU"/>
        </w:rPr>
        <w:t xml:space="preserve">to a 12-week treatment with either </w:t>
      </w:r>
      <w:r w:rsidR="00392EBF" w:rsidRPr="00C83029">
        <w:rPr>
          <w:lang w:val="en-AU"/>
        </w:rPr>
        <w:t xml:space="preserve">Livalo </w:t>
      </w:r>
      <w:r w:rsidRPr="00C83029">
        <w:rPr>
          <w:lang w:val="en-AU"/>
        </w:rPr>
        <w:t xml:space="preserve">or simvastatin (Table </w:t>
      </w:r>
      <w:r w:rsidR="00046824" w:rsidRPr="00C83029">
        <w:rPr>
          <w:lang w:val="en-AU"/>
        </w:rPr>
        <w:t>5</w:t>
      </w:r>
      <w:r w:rsidRPr="00C83029">
        <w:rPr>
          <w:lang w:val="en-AU"/>
        </w:rPr>
        <w:t xml:space="preserve">). Non-inferiority of </w:t>
      </w:r>
      <w:r w:rsidR="00392EBF" w:rsidRPr="00C83029">
        <w:rPr>
          <w:lang w:val="en-AU"/>
        </w:rPr>
        <w:t xml:space="preserve">Livalo </w:t>
      </w:r>
      <w:r w:rsidRPr="00C83029">
        <w:rPr>
          <w:lang w:val="en-AU"/>
        </w:rPr>
        <w:t>to simvastatin was considered to be demonstrated if the lower bound of the 95% CI for the mean treatment difference was greater than -6% for the mean percent change in LDL-C.</w:t>
      </w:r>
    </w:p>
    <w:p w:rsidR="001541FA" w:rsidRPr="00C83029" w:rsidRDefault="001541FA" w:rsidP="00EE5749">
      <w:pPr>
        <w:rPr>
          <w:lang w:val="en-AU"/>
        </w:rPr>
      </w:pPr>
      <w:r w:rsidRPr="00C83029">
        <w:rPr>
          <w:lang w:val="en-AU"/>
        </w:rPr>
        <w:t xml:space="preserve">Lipid results are show in Table </w:t>
      </w:r>
      <w:r w:rsidR="00046824" w:rsidRPr="00C83029">
        <w:rPr>
          <w:lang w:val="en-AU"/>
        </w:rPr>
        <w:t>5</w:t>
      </w:r>
      <w:r w:rsidRPr="00C83029">
        <w:rPr>
          <w:lang w:val="en-AU"/>
        </w:rPr>
        <w:t xml:space="preserve">. </w:t>
      </w:r>
      <w:r w:rsidR="00392EBF" w:rsidRPr="00C83029">
        <w:rPr>
          <w:lang w:val="en-AU"/>
        </w:rPr>
        <w:t xml:space="preserve">Livalo </w:t>
      </w:r>
      <w:r w:rsidRPr="00C83029">
        <w:rPr>
          <w:lang w:val="en-AU"/>
        </w:rPr>
        <w:t>4 mg was non-inferior to simvastatin 40 mg for percent change from baseline to endpoint in LDL-C. The mean treatment difference (95% CI) was 0% (-2%, 3%).</w:t>
      </w:r>
    </w:p>
    <w:p w:rsidR="001541FA" w:rsidRPr="00C83029" w:rsidRDefault="001541FA" w:rsidP="00A852E3">
      <w:pPr>
        <w:pStyle w:val="Heading4"/>
      </w:pPr>
      <w:proofErr w:type="gramStart"/>
      <w:r w:rsidRPr="00C83029">
        <w:t xml:space="preserve">Table </w:t>
      </w:r>
      <w:r w:rsidR="00046824" w:rsidRPr="00C83029">
        <w:t>5</w:t>
      </w:r>
      <w:r w:rsidRPr="00C83029">
        <w:t>.</w:t>
      </w:r>
      <w:proofErr w:type="gramEnd"/>
      <w:r w:rsidR="00A852E3" w:rsidRPr="00C83029">
        <w:tab/>
      </w:r>
      <w:r w:rsidRPr="00C83029">
        <w:t xml:space="preserve">Response by Dose of </w:t>
      </w:r>
      <w:r w:rsidR="00702BEF" w:rsidRPr="00C83029">
        <w:t xml:space="preserve">LIVALO </w:t>
      </w:r>
      <w:r w:rsidRPr="00C83029">
        <w:t xml:space="preserve">and Simvastatin in Patients with Primary </w:t>
      </w:r>
      <w:r w:rsidR="00392EBF" w:rsidRPr="00C83029">
        <w:rPr>
          <w:rFonts w:cs="Arial"/>
        </w:rPr>
        <w:t>Hypercholesterolaemia</w:t>
      </w:r>
      <w:r w:rsidR="00EB748E">
        <w:rPr>
          <w:rFonts w:cs="Arial"/>
        </w:rPr>
        <w:t xml:space="preserve"> </w:t>
      </w:r>
      <w:r w:rsidRPr="00C83029">
        <w:t>or Mixed</w:t>
      </w:r>
      <w:r w:rsidR="00CD7BD3" w:rsidRPr="00C83029">
        <w:t xml:space="preserve"> Dyslipidaemia</w:t>
      </w:r>
      <w:r w:rsidRPr="00C83029">
        <w:t xml:space="preserve"> with ≥</w:t>
      </w:r>
      <w:r w:rsidR="00EB748E">
        <w:t xml:space="preserve"> </w:t>
      </w:r>
      <w:r w:rsidRPr="00C83029">
        <w:t>2 Risk Factors for Coronary Heart Disease (Mean % Change from Baseline at</w:t>
      </w:r>
      <w:r w:rsidR="00046824" w:rsidRPr="00C83029">
        <w:t xml:space="preserve"> </w:t>
      </w:r>
      <w:r w:rsidRPr="00C83029">
        <w:t>Week 12)</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75"/>
        <w:gridCol w:w="992"/>
        <w:gridCol w:w="992"/>
        <w:gridCol w:w="992"/>
        <w:gridCol w:w="993"/>
        <w:gridCol w:w="992"/>
        <w:gridCol w:w="992"/>
        <w:gridCol w:w="1134"/>
      </w:tblGrid>
      <w:tr w:rsidR="00046824" w:rsidRPr="00C83029" w:rsidTr="0015022B">
        <w:trPr>
          <w:trHeight w:val="285"/>
        </w:trPr>
        <w:tc>
          <w:tcPr>
            <w:tcW w:w="1575" w:type="dxa"/>
            <w:shd w:val="clear" w:color="auto" w:fill="auto"/>
            <w:noWrap/>
            <w:vAlign w:val="bottom"/>
          </w:tcPr>
          <w:p w:rsidR="00046824" w:rsidRPr="00C83029" w:rsidRDefault="00046824" w:rsidP="000A6D98">
            <w:pPr>
              <w:jc w:val="center"/>
              <w:rPr>
                <w:sz w:val="20"/>
                <w:lang w:val="en-AU"/>
              </w:rPr>
            </w:pPr>
            <w:r w:rsidRPr="00C83029">
              <w:rPr>
                <w:sz w:val="20"/>
                <w:lang w:val="en-AU"/>
              </w:rPr>
              <w:t xml:space="preserve">Treatment </w:t>
            </w:r>
          </w:p>
        </w:tc>
        <w:tc>
          <w:tcPr>
            <w:tcW w:w="992" w:type="dxa"/>
            <w:shd w:val="clear" w:color="auto" w:fill="auto"/>
            <w:noWrap/>
            <w:vAlign w:val="bottom"/>
          </w:tcPr>
          <w:p w:rsidR="00046824" w:rsidRPr="00C83029" w:rsidRDefault="00046824" w:rsidP="000A6D98">
            <w:pPr>
              <w:jc w:val="center"/>
              <w:rPr>
                <w:sz w:val="20"/>
                <w:lang w:val="en-AU"/>
              </w:rPr>
            </w:pPr>
            <w:r w:rsidRPr="00C83029">
              <w:rPr>
                <w:sz w:val="20"/>
                <w:lang w:val="en-AU"/>
              </w:rPr>
              <w:t xml:space="preserve">N </w:t>
            </w:r>
          </w:p>
        </w:tc>
        <w:tc>
          <w:tcPr>
            <w:tcW w:w="992" w:type="dxa"/>
            <w:shd w:val="clear" w:color="auto" w:fill="auto"/>
            <w:noWrap/>
            <w:vAlign w:val="bottom"/>
          </w:tcPr>
          <w:p w:rsidR="00046824" w:rsidRPr="00C83029" w:rsidRDefault="00046824" w:rsidP="000A6D98">
            <w:pPr>
              <w:jc w:val="center"/>
              <w:rPr>
                <w:sz w:val="20"/>
                <w:lang w:val="en-AU"/>
              </w:rPr>
            </w:pPr>
            <w:r w:rsidRPr="00C83029">
              <w:rPr>
                <w:sz w:val="20"/>
                <w:lang w:val="en-AU"/>
              </w:rPr>
              <w:t xml:space="preserve">LDL-C </w:t>
            </w:r>
          </w:p>
        </w:tc>
        <w:tc>
          <w:tcPr>
            <w:tcW w:w="992" w:type="dxa"/>
            <w:shd w:val="clear" w:color="auto" w:fill="auto"/>
            <w:noWrap/>
            <w:vAlign w:val="bottom"/>
          </w:tcPr>
          <w:p w:rsidR="00046824" w:rsidRPr="00C83029" w:rsidRDefault="00046824" w:rsidP="000A6D98">
            <w:pPr>
              <w:jc w:val="center"/>
              <w:rPr>
                <w:sz w:val="20"/>
                <w:lang w:val="en-AU"/>
              </w:rPr>
            </w:pPr>
            <w:r w:rsidRPr="00C83029">
              <w:rPr>
                <w:sz w:val="20"/>
                <w:lang w:val="en-AU"/>
              </w:rPr>
              <w:t xml:space="preserve">Apo-B </w:t>
            </w:r>
          </w:p>
        </w:tc>
        <w:tc>
          <w:tcPr>
            <w:tcW w:w="993" w:type="dxa"/>
            <w:shd w:val="clear" w:color="auto" w:fill="auto"/>
            <w:noWrap/>
            <w:vAlign w:val="bottom"/>
          </w:tcPr>
          <w:p w:rsidR="00046824" w:rsidRPr="00C83029" w:rsidRDefault="00046824" w:rsidP="000A6D98">
            <w:pPr>
              <w:jc w:val="center"/>
              <w:rPr>
                <w:sz w:val="20"/>
                <w:lang w:val="en-AU"/>
              </w:rPr>
            </w:pPr>
            <w:r w:rsidRPr="00C83029">
              <w:rPr>
                <w:sz w:val="20"/>
                <w:lang w:val="en-AU"/>
              </w:rPr>
              <w:t xml:space="preserve">TC </w:t>
            </w:r>
          </w:p>
        </w:tc>
        <w:tc>
          <w:tcPr>
            <w:tcW w:w="992" w:type="dxa"/>
            <w:shd w:val="clear" w:color="auto" w:fill="auto"/>
            <w:noWrap/>
            <w:vAlign w:val="bottom"/>
          </w:tcPr>
          <w:p w:rsidR="00046824" w:rsidRPr="00C83029" w:rsidRDefault="00046824" w:rsidP="000A6D98">
            <w:pPr>
              <w:jc w:val="center"/>
              <w:rPr>
                <w:sz w:val="20"/>
                <w:lang w:val="en-AU"/>
              </w:rPr>
            </w:pPr>
            <w:r w:rsidRPr="00C83029">
              <w:rPr>
                <w:sz w:val="20"/>
                <w:lang w:val="en-AU"/>
              </w:rPr>
              <w:t xml:space="preserve">TG </w:t>
            </w:r>
          </w:p>
        </w:tc>
        <w:tc>
          <w:tcPr>
            <w:tcW w:w="992" w:type="dxa"/>
            <w:shd w:val="clear" w:color="auto" w:fill="auto"/>
            <w:noWrap/>
            <w:vAlign w:val="bottom"/>
          </w:tcPr>
          <w:p w:rsidR="00046824" w:rsidRPr="00C83029" w:rsidRDefault="00046824" w:rsidP="000A6D98">
            <w:pPr>
              <w:jc w:val="center"/>
              <w:rPr>
                <w:sz w:val="20"/>
                <w:lang w:val="en-AU"/>
              </w:rPr>
            </w:pPr>
            <w:r w:rsidRPr="00C83029">
              <w:rPr>
                <w:sz w:val="20"/>
                <w:lang w:val="en-AU"/>
              </w:rPr>
              <w:t xml:space="preserve">HDL-C </w:t>
            </w:r>
          </w:p>
        </w:tc>
        <w:tc>
          <w:tcPr>
            <w:tcW w:w="1134" w:type="dxa"/>
            <w:shd w:val="clear" w:color="auto" w:fill="auto"/>
            <w:noWrap/>
            <w:vAlign w:val="bottom"/>
          </w:tcPr>
          <w:p w:rsidR="00046824" w:rsidRPr="00C83029" w:rsidRDefault="00046824" w:rsidP="000A6D98">
            <w:pPr>
              <w:jc w:val="center"/>
              <w:rPr>
                <w:sz w:val="20"/>
                <w:lang w:val="en-AU"/>
              </w:rPr>
            </w:pPr>
            <w:r w:rsidRPr="00C83029">
              <w:rPr>
                <w:sz w:val="20"/>
                <w:lang w:val="en-AU"/>
              </w:rPr>
              <w:t xml:space="preserve">non-HDL-C </w:t>
            </w:r>
          </w:p>
        </w:tc>
      </w:tr>
      <w:tr w:rsidR="00046824" w:rsidRPr="00C83029" w:rsidTr="0015022B">
        <w:trPr>
          <w:trHeight w:val="285"/>
        </w:trPr>
        <w:tc>
          <w:tcPr>
            <w:tcW w:w="1575" w:type="dxa"/>
            <w:shd w:val="clear" w:color="auto" w:fill="auto"/>
            <w:noWrap/>
            <w:vAlign w:val="bottom"/>
          </w:tcPr>
          <w:p w:rsidR="00046824" w:rsidRPr="00C83029" w:rsidRDefault="00702BEF" w:rsidP="000A6D98">
            <w:pPr>
              <w:jc w:val="center"/>
              <w:rPr>
                <w:sz w:val="20"/>
                <w:lang w:val="en-AU"/>
              </w:rPr>
            </w:pPr>
            <w:r w:rsidRPr="00C83029">
              <w:rPr>
                <w:sz w:val="20"/>
                <w:lang w:val="en-AU"/>
              </w:rPr>
              <w:t xml:space="preserve">LIVALO </w:t>
            </w:r>
            <w:r w:rsidR="00046824" w:rsidRPr="00C83029">
              <w:rPr>
                <w:sz w:val="20"/>
                <w:lang w:val="en-AU"/>
              </w:rPr>
              <w:t xml:space="preserve">4 mg daily </w:t>
            </w:r>
          </w:p>
        </w:tc>
        <w:tc>
          <w:tcPr>
            <w:tcW w:w="992" w:type="dxa"/>
            <w:shd w:val="clear" w:color="auto" w:fill="auto"/>
            <w:noWrap/>
            <w:vAlign w:val="bottom"/>
          </w:tcPr>
          <w:p w:rsidR="00046824" w:rsidRPr="00C83029" w:rsidRDefault="00046824" w:rsidP="000A6D98">
            <w:pPr>
              <w:jc w:val="center"/>
              <w:rPr>
                <w:sz w:val="20"/>
                <w:lang w:val="en-AU"/>
              </w:rPr>
            </w:pPr>
            <w:r w:rsidRPr="00C83029">
              <w:rPr>
                <w:sz w:val="20"/>
                <w:lang w:val="en-AU"/>
              </w:rPr>
              <w:t>233</w:t>
            </w:r>
          </w:p>
        </w:tc>
        <w:tc>
          <w:tcPr>
            <w:tcW w:w="992" w:type="dxa"/>
            <w:shd w:val="clear" w:color="auto" w:fill="auto"/>
            <w:noWrap/>
            <w:vAlign w:val="bottom"/>
          </w:tcPr>
          <w:p w:rsidR="00046824" w:rsidRPr="00C83029" w:rsidRDefault="00046824" w:rsidP="000A6D98">
            <w:pPr>
              <w:jc w:val="center"/>
              <w:rPr>
                <w:sz w:val="20"/>
                <w:lang w:val="en-AU"/>
              </w:rPr>
            </w:pPr>
            <w:r w:rsidRPr="00C83029">
              <w:rPr>
                <w:sz w:val="20"/>
                <w:lang w:val="en-AU"/>
              </w:rPr>
              <w:t>-44</w:t>
            </w:r>
          </w:p>
        </w:tc>
        <w:tc>
          <w:tcPr>
            <w:tcW w:w="992" w:type="dxa"/>
            <w:shd w:val="clear" w:color="auto" w:fill="auto"/>
            <w:noWrap/>
            <w:vAlign w:val="bottom"/>
          </w:tcPr>
          <w:p w:rsidR="00046824" w:rsidRPr="00C83029" w:rsidRDefault="00046824" w:rsidP="000A6D98">
            <w:pPr>
              <w:jc w:val="center"/>
              <w:rPr>
                <w:sz w:val="20"/>
                <w:lang w:val="en-AU"/>
              </w:rPr>
            </w:pPr>
            <w:r w:rsidRPr="00C83029">
              <w:rPr>
                <w:sz w:val="20"/>
                <w:lang w:val="en-AU"/>
              </w:rPr>
              <w:t>-34</w:t>
            </w:r>
          </w:p>
        </w:tc>
        <w:tc>
          <w:tcPr>
            <w:tcW w:w="993" w:type="dxa"/>
            <w:shd w:val="clear" w:color="auto" w:fill="auto"/>
            <w:noWrap/>
            <w:vAlign w:val="bottom"/>
          </w:tcPr>
          <w:p w:rsidR="00046824" w:rsidRPr="00C83029" w:rsidRDefault="00046824" w:rsidP="000A6D98">
            <w:pPr>
              <w:jc w:val="center"/>
              <w:rPr>
                <w:sz w:val="20"/>
                <w:lang w:val="en-AU"/>
              </w:rPr>
            </w:pPr>
            <w:r w:rsidRPr="00C83029">
              <w:rPr>
                <w:sz w:val="20"/>
                <w:lang w:val="en-AU"/>
              </w:rPr>
              <w:t>-31</w:t>
            </w:r>
          </w:p>
        </w:tc>
        <w:tc>
          <w:tcPr>
            <w:tcW w:w="992" w:type="dxa"/>
            <w:shd w:val="clear" w:color="auto" w:fill="auto"/>
            <w:noWrap/>
            <w:vAlign w:val="bottom"/>
          </w:tcPr>
          <w:p w:rsidR="00046824" w:rsidRPr="00C83029" w:rsidRDefault="00046824" w:rsidP="000A6D98">
            <w:pPr>
              <w:jc w:val="center"/>
              <w:rPr>
                <w:sz w:val="20"/>
                <w:lang w:val="en-AU"/>
              </w:rPr>
            </w:pPr>
            <w:r w:rsidRPr="00C83029">
              <w:rPr>
                <w:sz w:val="20"/>
                <w:lang w:val="en-AU"/>
              </w:rPr>
              <w:t>-20</w:t>
            </w:r>
          </w:p>
        </w:tc>
        <w:tc>
          <w:tcPr>
            <w:tcW w:w="992" w:type="dxa"/>
            <w:shd w:val="clear" w:color="auto" w:fill="auto"/>
            <w:noWrap/>
            <w:vAlign w:val="bottom"/>
          </w:tcPr>
          <w:p w:rsidR="00046824" w:rsidRPr="00C83029" w:rsidRDefault="00046824" w:rsidP="000A6D98">
            <w:pPr>
              <w:jc w:val="center"/>
              <w:rPr>
                <w:sz w:val="20"/>
                <w:lang w:val="en-AU"/>
              </w:rPr>
            </w:pPr>
            <w:r w:rsidRPr="00C83029">
              <w:rPr>
                <w:sz w:val="20"/>
                <w:lang w:val="en-AU"/>
              </w:rPr>
              <w:t>7</w:t>
            </w:r>
          </w:p>
        </w:tc>
        <w:tc>
          <w:tcPr>
            <w:tcW w:w="1134" w:type="dxa"/>
            <w:shd w:val="clear" w:color="auto" w:fill="auto"/>
            <w:noWrap/>
            <w:vAlign w:val="bottom"/>
          </w:tcPr>
          <w:p w:rsidR="00046824" w:rsidRPr="00C83029" w:rsidRDefault="00046824" w:rsidP="000A6D98">
            <w:pPr>
              <w:jc w:val="center"/>
              <w:rPr>
                <w:sz w:val="20"/>
                <w:lang w:val="en-AU"/>
              </w:rPr>
            </w:pPr>
            <w:r w:rsidRPr="00C83029">
              <w:rPr>
                <w:sz w:val="20"/>
                <w:lang w:val="en-AU"/>
              </w:rPr>
              <w:t>-40</w:t>
            </w:r>
          </w:p>
        </w:tc>
      </w:tr>
      <w:tr w:rsidR="00046824" w:rsidRPr="00C83029" w:rsidTr="0015022B">
        <w:trPr>
          <w:trHeight w:val="285"/>
        </w:trPr>
        <w:tc>
          <w:tcPr>
            <w:tcW w:w="1575" w:type="dxa"/>
            <w:shd w:val="clear" w:color="auto" w:fill="auto"/>
            <w:noWrap/>
            <w:vAlign w:val="bottom"/>
          </w:tcPr>
          <w:p w:rsidR="00046824" w:rsidRPr="00C83029" w:rsidRDefault="00046824" w:rsidP="000A6D98">
            <w:pPr>
              <w:jc w:val="center"/>
              <w:rPr>
                <w:sz w:val="20"/>
                <w:lang w:val="en-AU"/>
              </w:rPr>
            </w:pPr>
            <w:r w:rsidRPr="00C83029">
              <w:rPr>
                <w:sz w:val="20"/>
                <w:lang w:val="en-AU"/>
              </w:rPr>
              <w:t xml:space="preserve">Simvastatin 40 mg daily </w:t>
            </w:r>
          </w:p>
        </w:tc>
        <w:tc>
          <w:tcPr>
            <w:tcW w:w="992" w:type="dxa"/>
            <w:shd w:val="clear" w:color="auto" w:fill="auto"/>
            <w:noWrap/>
            <w:vAlign w:val="bottom"/>
          </w:tcPr>
          <w:p w:rsidR="00046824" w:rsidRPr="00C83029" w:rsidRDefault="00046824" w:rsidP="000A6D98">
            <w:pPr>
              <w:jc w:val="center"/>
              <w:rPr>
                <w:sz w:val="20"/>
                <w:lang w:val="en-AU"/>
              </w:rPr>
            </w:pPr>
            <w:r w:rsidRPr="00C83029">
              <w:rPr>
                <w:sz w:val="20"/>
                <w:lang w:val="en-AU"/>
              </w:rPr>
              <w:t>118</w:t>
            </w:r>
          </w:p>
        </w:tc>
        <w:tc>
          <w:tcPr>
            <w:tcW w:w="992" w:type="dxa"/>
            <w:shd w:val="clear" w:color="auto" w:fill="auto"/>
            <w:noWrap/>
            <w:vAlign w:val="bottom"/>
          </w:tcPr>
          <w:p w:rsidR="00046824" w:rsidRPr="00C83029" w:rsidRDefault="00046824" w:rsidP="000A6D98">
            <w:pPr>
              <w:jc w:val="center"/>
              <w:rPr>
                <w:sz w:val="20"/>
                <w:lang w:val="en-AU"/>
              </w:rPr>
            </w:pPr>
            <w:r w:rsidRPr="00C83029">
              <w:rPr>
                <w:sz w:val="20"/>
                <w:lang w:val="en-AU"/>
              </w:rPr>
              <w:t>-44</w:t>
            </w:r>
          </w:p>
        </w:tc>
        <w:tc>
          <w:tcPr>
            <w:tcW w:w="992" w:type="dxa"/>
            <w:shd w:val="clear" w:color="auto" w:fill="auto"/>
            <w:noWrap/>
            <w:vAlign w:val="bottom"/>
          </w:tcPr>
          <w:p w:rsidR="00046824" w:rsidRPr="00C83029" w:rsidRDefault="00046824" w:rsidP="000A6D98">
            <w:pPr>
              <w:jc w:val="center"/>
              <w:rPr>
                <w:sz w:val="20"/>
                <w:lang w:val="en-AU"/>
              </w:rPr>
            </w:pPr>
            <w:r w:rsidRPr="00C83029">
              <w:rPr>
                <w:sz w:val="20"/>
                <w:lang w:val="en-AU"/>
              </w:rPr>
              <w:t>-34</w:t>
            </w:r>
          </w:p>
        </w:tc>
        <w:tc>
          <w:tcPr>
            <w:tcW w:w="993" w:type="dxa"/>
            <w:shd w:val="clear" w:color="auto" w:fill="auto"/>
            <w:noWrap/>
            <w:vAlign w:val="bottom"/>
          </w:tcPr>
          <w:p w:rsidR="00046824" w:rsidRPr="00C83029" w:rsidRDefault="00046824" w:rsidP="000A6D98">
            <w:pPr>
              <w:jc w:val="center"/>
              <w:rPr>
                <w:sz w:val="20"/>
                <w:lang w:val="en-AU"/>
              </w:rPr>
            </w:pPr>
            <w:r w:rsidRPr="00C83029">
              <w:rPr>
                <w:sz w:val="20"/>
                <w:lang w:val="en-AU"/>
              </w:rPr>
              <w:t>-31</w:t>
            </w:r>
          </w:p>
        </w:tc>
        <w:tc>
          <w:tcPr>
            <w:tcW w:w="992" w:type="dxa"/>
            <w:shd w:val="clear" w:color="auto" w:fill="auto"/>
            <w:noWrap/>
            <w:vAlign w:val="bottom"/>
          </w:tcPr>
          <w:p w:rsidR="00046824" w:rsidRPr="00C83029" w:rsidRDefault="00046824" w:rsidP="000A6D98">
            <w:pPr>
              <w:jc w:val="center"/>
              <w:rPr>
                <w:sz w:val="20"/>
                <w:lang w:val="en-AU"/>
              </w:rPr>
            </w:pPr>
            <w:r w:rsidRPr="00C83029">
              <w:rPr>
                <w:sz w:val="20"/>
                <w:lang w:val="en-AU"/>
              </w:rPr>
              <w:t>-15</w:t>
            </w:r>
          </w:p>
        </w:tc>
        <w:tc>
          <w:tcPr>
            <w:tcW w:w="992" w:type="dxa"/>
            <w:shd w:val="clear" w:color="auto" w:fill="auto"/>
            <w:noWrap/>
            <w:vAlign w:val="bottom"/>
          </w:tcPr>
          <w:p w:rsidR="00046824" w:rsidRPr="00C83029" w:rsidRDefault="00046824" w:rsidP="000A6D98">
            <w:pPr>
              <w:jc w:val="center"/>
              <w:rPr>
                <w:sz w:val="20"/>
                <w:lang w:val="en-AU"/>
              </w:rPr>
            </w:pPr>
            <w:r w:rsidRPr="00C83029">
              <w:rPr>
                <w:sz w:val="20"/>
                <w:lang w:val="en-AU"/>
              </w:rPr>
              <w:t>5</w:t>
            </w:r>
          </w:p>
        </w:tc>
        <w:tc>
          <w:tcPr>
            <w:tcW w:w="1134" w:type="dxa"/>
            <w:shd w:val="clear" w:color="auto" w:fill="auto"/>
            <w:noWrap/>
            <w:vAlign w:val="bottom"/>
          </w:tcPr>
          <w:p w:rsidR="00046824" w:rsidRPr="00C83029" w:rsidRDefault="00046824" w:rsidP="000A6D98">
            <w:pPr>
              <w:jc w:val="center"/>
              <w:rPr>
                <w:sz w:val="20"/>
                <w:lang w:val="en-AU"/>
              </w:rPr>
            </w:pPr>
            <w:r w:rsidRPr="00C83029">
              <w:rPr>
                <w:sz w:val="20"/>
                <w:lang w:val="en-AU"/>
              </w:rPr>
              <w:t>-39</w:t>
            </w:r>
          </w:p>
        </w:tc>
      </w:tr>
      <w:tr w:rsidR="00046824" w:rsidRPr="00C83029" w:rsidTr="0015022B">
        <w:trPr>
          <w:trHeight w:val="285"/>
        </w:trPr>
        <w:tc>
          <w:tcPr>
            <w:tcW w:w="1575" w:type="dxa"/>
            <w:shd w:val="clear" w:color="auto" w:fill="auto"/>
            <w:noWrap/>
            <w:vAlign w:val="bottom"/>
          </w:tcPr>
          <w:p w:rsidR="00046824" w:rsidRPr="00C83029" w:rsidRDefault="00046824" w:rsidP="000A6D98">
            <w:pPr>
              <w:jc w:val="center"/>
              <w:rPr>
                <w:sz w:val="20"/>
                <w:lang w:val="en-AU"/>
              </w:rPr>
            </w:pPr>
            <w:r w:rsidRPr="00C83029">
              <w:rPr>
                <w:sz w:val="20"/>
                <w:lang w:val="en-AU"/>
              </w:rPr>
              <w:t xml:space="preserve">Simvastatin 80 mg daily </w:t>
            </w:r>
          </w:p>
        </w:tc>
        <w:tc>
          <w:tcPr>
            <w:tcW w:w="7087" w:type="dxa"/>
            <w:gridSpan w:val="7"/>
            <w:shd w:val="clear" w:color="auto" w:fill="auto"/>
            <w:noWrap/>
            <w:vAlign w:val="center"/>
          </w:tcPr>
          <w:p w:rsidR="00046824" w:rsidRPr="00C83029" w:rsidRDefault="00046824" w:rsidP="000A6D98">
            <w:pPr>
              <w:jc w:val="center"/>
              <w:rPr>
                <w:sz w:val="20"/>
                <w:lang w:val="en-AU"/>
              </w:rPr>
            </w:pPr>
            <w:r w:rsidRPr="00C83029">
              <w:rPr>
                <w:sz w:val="20"/>
                <w:lang w:val="en-AU"/>
              </w:rPr>
              <w:t>----------------</w:t>
            </w:r>
            <w:r w:rsidR="0015022B" w:rsidRPr="00C83029">
              <w:rPr>
                <w:sz w:val="20"/>
                <w:lang w:val="en-AU"/>
              </w:rPr>
              <w:t>-</w:t>
            </w:r>
            <w:r w:rsidRPr="00C83029">
              <w:rPr>
                <w:sz w:val="20"/>
                <w:lang w:val="en-AU"/>
              </w:rPr>
              <w:t>--------------------Not Studied---------------------------------------</w:t>
            </w:r>
          </w:p>
        </w:tc>
      </w:tr>
    </w:tbl>
    <w:p w:rsidR="00A852E3" w:rsidRPr="00C83029" w:rsidRDefault="00A852E3" w:rsidP="00EE5749">
      <w:pPr>
        <w:rPr>
          <w:lang w:val="en-AU"/>
        </w:rPr>
      </w:pPr>
    </w:p>
    <w:p w:rsidR="001541FA" w:rsidRPr="00C83029" w:rsidRDefault="001541FA" w:rsidP="00EE5749">
      <w:pPr>
        <w:rPr>
          <w:lang w:val="en-AU"/>
        </w:rPr>
      </w:pPr>
      <w:r w:rsidRPr="00C83029">
        <w:rPr>
          <w:lang w:val="en-AU"/>
        </w:rPr>
        <w:t xml:space="preserve">Active-controlled study with atorvastatin in patients with type II diabetes mellitus (NK-104-305): </w:t>
      </w:r>
      <w:r w:rsidR="00392EBF" w:rsidRPr="00C83029">
        <w:rPr>
          <w:lang w:val="en-AU"/>
        </w:rPr>
        <w:t xml:space="preserve">Livalo </w:t>
      </w:r>
      <w:r w:rsidRPr="00C83029">
        <w:rPr>
          <w:lang w:val="en-AU"/>
        </w:rPr>
        <w:t xml:space="preserve">was compared with the HMG-CoA reductase inhibitor atorvastatin in a </w:t>
      </w:r>
      <w:r w:rsidR="0056158F" w:rsidRPr="00C83029">
        <w:rPr>
          <w:lang w:val="en-AU"/>
        </w:rPr>
        <w:t>randomised</w:t>
      </w:r>
      <w:r w:rsidRPr="00C83029">
        <w:rPr>
          <w:lang w:val="en-AU"/>
        </w:rPr>
        <w:t>, multicenter, double-blind, double-dummy, parallel group, active</w:t>
      </w:r>
      <w:r w:rsidR="00CD7BD3" w:rsidRPr="00C83029">
        <w:rPr>
          <w:lang w:val="en-AU"/>
        </w:rPr>
        <w:t xml:space="preserve"> </w:t>
      </w:r>
      <w:r w:rsidRPr="00C83029">
        <w:rPr>
          <w:lang w:val="en-AU"/>
        </w:rPr>
        <w:t xml:space="preserve">controlled, non-inferiority Phase 3 study of 410 subjects with type II diabetes mellitus and </w:t>
      </w:r>
      <w:r w:rsidR="00392EBF" w:rsidRPr="00C83029">
        <w:rPr>
          <w:lang w:val="en-AU"/>
        </w:rPr>
        <w:t xml:space="preserve">mixed </w:t>
      </w:r>
      <w:r w:rsidR="00CD7BD3" w:rsidRPr="00C83029">
        <w:rPr>
          <w:lang w:val="en-AU"/>
        </w:rPr>
        <w:t>dyslipidaemia</w:t>
      </w:r>
      <w:r w:rsidRPr="00C83029">
        <w:rPr>
          <w:lang w:val="en-AU"/>
        </w:rPr>
        <w:t xml:space="preserve"> </w:t>
      </w:r>
      <w:r w:rsidR="00392EBF" w:rsidRPr="00C83029">
        <w:rPr>
          <w:rFonts w:cs="Arial"/>
          <w:szCs w:val="22"/>
          <w:lang w:val="en-AU"/>
        </w:rPr>
        <w:t xml:space="preserve">(baseline LDL 3.8 mmol/L).  Inclusion criteria were: males and females aged 18 to 75 years, type II diabetes mellitus, on oral </w:t>
      </w:r>
      <w:proofErr w:type="spellStart"/>
      <w:r w:rsidR="00392EBF" w:rsidRPr="00C83029">
        <w:rPr>
          <w:rFonts w:cs="Arial"/>
          <w:szCs w:val="22"/>
          <w:lang w:val="en-AU"/>
        </w:rPr>
        <w:t>hypoglycaemics</w:t>
      </w:r>
      <w:proofErr w:type="spellEnd"/>
      <w:r w:rsidR="00392EBF" w:rsidRPr="00C83029">
        <w:rPr>
          <w:rFonts w:cs="Arial"/>
          <w:szCs w:val="22"/>
          <w:lang w:val="en-AU"/>
        </w:rPr>
        <w:t xml:space="preserve"> or insulin but not </w:t>
      </w:r>
      <w:proofErr w:type="spellStart"/>
      <w:r w:rsidR="00392EBF" w:rsidRPr="00C83029">
        <w:rPr>
          <w:rFonts w:cs="Arial"/>
          <w:szCs w:val="22"/>
          <w:lang w:val="en-AU"/>
        </w:rPr>
        <w:t>glitazones</w:t>
      </w:r>
      <w:proofErr w:type="spellEnd"/>
      <w:r w:rsidR="00392EBF" w:rsidRPr="00C83029">
        <w:rPr>
          <w:rFonts w:cs="Arial"/>
          <w:szCs w:val="22"/>
          <w:lang w:val="en-AU"/>
        </w:rPr>
        <w:t>, HbA1c ≤</w:t>
      </w:r>
      <w:r w:rsidR="00FE1B08">
        <w:rPr>
          <w:rFonts w:cs="Arial"/>
          <w:szCs w:val="22"/>
          <w:lang w:val="en-AU"/>
        </w:rPr>
        <w:t xml:space="preserve"> </w:t>
      </w:r>
      <w:r w:rsidR="00392EBF" w:rsidRPr="00C83029">
        <w:rPr>
          <w:rFonts w:cs="Arial"/>
          <w:szCs w:val="22"/>
          <w:lang w:val="en-AU"/>
        </w:rPr>
        <w:t>7.5%, absences of diabetic retinopathy, cataracts or diabetic nephropathy, BMI ≤ 35 kg/m</w:t>
      </w:r>
      <w:r w:rsidR="00392EBF" w:rsidRPr="00C83029">
        <w:rPr>
          <w:rFonts w:cs="Arial"/>
          <w:szCs w:val="22"/>
          <w:vertAlign w:val="superscript"/>
          <w:lang w:val="en-AU"/>
        </w:rPr>
        <w:t>2</w:t>
      </w:r>
      <w:r w:rsidR="00392EBF" w:rsidRPr="00C83029">
        <w:rPr>
          <w:rFonts w:cs="Arial"/>
          <w:szCs w:val="22"/>
          <w:lang w:val="en-AU"/>
        </w:rPr>
        <w:t xml:space="preserve">, compliant with EAS recommended diet during lead in period (6 to 8 weeks) and LDL-C ≥2.6 and ≤5.7 mmol/L despite dietary therapy and TG ≥ 1.7 mmol/L at 2 visits during the lead-in period.  </w:t>
      </w:r>
      <w:r w:rsidRPr="00C83029">
        <w:rPr>
          <w:lang w:val="en-AU"/>
        </w:rPr>
        <w:t xml:space="preserve">Patients entered a 6- to 8-week washout/dietary lead-in period and were </w:t>
      </w:r>
      <w:r w:rsidR="0056158F" w:rsidRPr="00C83029">
        <w:rPr>
          <w:lang w:val="en-AU"/>
        </w:rPr>
        <w:t xml:space="preserve">randomised </w:t>
      </w:r>
      <w:r w:rsidRPr="00C83029">
        <w:rPr>
          <w:lang w:val="en-AU"/>
        </w:rPr>
        <w:t xml:space="preserve">to a once daily dose of </w:t>
      </w:r>
      <w:r w:rsidR="00392EBF" w:rsidRPr="00C83029">
        <w:rPr>
          <w:lang w:val="en-AU"/>
        </w:rPr>
        <w:t xml:space="preserve">Livalo </w:t>
      </w:r>
      <w:r w:rsidRPr="00C83029">
        <w:rPr>
          <w:lang w:val="en-AU"/>
        </w:rPr>
        <w:t>or atorvastatin for 12 weeks. Non</w:t>
      </w:r>
      <w:r w:rsidR="00CD7BD3" w:rsidRPr="00C83029">
        <w:rPr>
          <w:lang w:val="en-AU"/>
        </w:rPr>
        <w:t>-</w:t>
      </w:r>
      <w:r w:rsidRPr="00C83029">
        <w:rPr>
          <w:lang w:val="en-AU"/>
        </w:rPr>
        <w:t xml:space="preserve">inferiority of </w:t>
      </w:r>
      <w:r w:rsidR="00392EBF" w:rsidRPr="00C83029">
        <w:rPr>
          <w:lang w:val="en-AU"/>
        </w:rPr>
        <w:t xml:space="preserve">Livalo </w:t>
      </w:r>
      <w:r w:rsidRPr="00C83029">
        <w:rPr>
          <w:lang w:val="en-AU"/>
        </w:rPr>
        <w:t>was considered to be demonstrated if the lower bound of the 95% CI for the mean treatment difference was greater than -6% for the mean percent change in LDL-C.</w:t>
      </w:r>
    </w:p>
    <w:p w:rsidR="001541FA" w:rsidRPr="00C83029" w:rsidRDefault="001541FA" w:rsidP="00EE5749">
      <w:pPr>
        <w:rPr>
          <w:lang w:val="en-AU"/>
        </w:rPr>
      </w:pPr>
      <w:r w:rsidRPr="00C83029">
        <w:rPr>
          <w:lang w:val="en-AU"/>
        </w:rPr>
        <w:t xml:space="preserve">Lipid results are shown in Table </w:t>
      </w:r>
      <w:r w:rsidR="00046824" w:rsidRPr="00C83029">
        <w:rPr>
          <w:lang w:val="en-AU"/>
        </w:rPr>
        <w:t>6</w:t>
      </w:r>
      <w:r w:rsidRPr="00C83029">
        <w:rPr>
          <w:lang w:val="en-AU"/>
        </w:rPr>
        <w:t>. The treatment difference (95% CI) for LDL-C percent change from baseline was -2% (-6.2%, 1.5%</w:t>
      </w:r>
      <w:r w:rsidR="00EC4857">
        <w:rPr>
          <w:lang w:val="en-AU"/>
        </w:rPr>
        <w:t>, p-value 0.235</w:t>
      </w:r>
      <w:r w:rsidRPr="00C83029">
        <w:rPr>
          <w:lang w:val="en-AU"/>
        </w:rPr>
        <w:t>). The two treatment groups were not statistically different on LDL-C. However, the lower limit of the CI was -6.2%, slightly exceeding the -6% non-inferiority limit so that the non-inferiority objective was not achieved.</w:t>
      </w:r>
      <w:r w:rsidR="00E8394C" w:rsidRPr="00C83029">
        <w:rPr>
          <w:lang w:val="en-AU"/>
        </w:rPr>
        <w:t xml:space="preserve"> This appears to be more of a statistical issue as the effect size for LDL-C reduction was similar based on dose comparisons in other studies. </w:t>
      </w:r>
    </w:p>
    <w:p w:rsidR="001541FA" w:rsidRPr="00C83029" w:rsidRDefault="003468CE" w:rsidP="00A852E3">
      <w:pPr>
        <w:pStyle w:val="Heading4"/>
      </w:pPr>
      <w:r>
        <w:br w:type="page"/>
      </w:r>
      <w:proofErr w:type="gramStart"/>
      <w:r w:rsidR="001541FA" w:rsidRPr="00C83029">
        <w:lastRenderedPageBreak/>
        <w:t xml:space="preserve">Table </w:t>
      </w:r>
      <w:r w:rsidR="00046824" w:rsidRPr="00C83029">
        <w:t>6</w:t>
      </w:r>
      <w:r w:rsidR="001541FA" w:rsidRPr="00C83029">
        <w:t>.</w:t>
      </w:r>
      <w:proofErr w:type="gramEnd"/>
      <w:r w:rsidR="00A852E3" w:rsidRPr="00C83029">
        <w:tab/>
      </w:r>
      <w:r w:rsidR="001541FA" w:rsidRPr="00C83029">
        <w:t>Response by Dose of</w:t>
      </w:r>
      <w:r w:rsidR="00AD2E7D" w:rsidRPr="00C83029">
        <w:t xml:space="preserve"> </w:t>
      </w:r>
      <w:r w:rsidR="00702BEF" w:rsidRPr="00C83029">
        <w:t xml:space="preserve">LIVALO </w:t>
      </w:r>
      <w:r w:rsidR="001541FA" w:rsidRPr="00C83029">
        <w:t>and Atorvastatin in Patients with Type II Diabetes Mellitus and</w:t>
      </w:r>
      <w:r w:rsidR="00046824" w:rsidRPr="00C83029">
        <w:t xml:space="preserve"> </w:t>
      </w:r>
      <w:r w:rsidR="001541FA" w:rsidRPr="00C83029">
        <w:t xml:space="preserve">Combined </w:t>
      </w:r>
      <w:r w:rsidR="00CD7BD3" w:rsidRPr="00C83029">
        <w:t>Dyslipidaemia</w:t>
      </w:r>
      <w:r w:rsidR="001541FA" w:rsidRPr="00C83029">
        <w:t xml:space="preserve"> (Mean % Change from Baseline at Week 12)</w:t>
      </w:r>
    </w:p>
    <w:tbl>
      <w:tblPr>
        <w:tblW w:w="8662" w:type="dxa"/>
        <w:tblInd w:w="93" w:type="dxa"/>
        <w:tblLook w:val="0000"/>
      </w:tblPr>
      <w:tblGrid>
        <w:gridCol w:w="1575"/>
        <w:gridCol w:w="992"/>
        <w:gridCol w:w="992"/>
        <w:gridCol w:w="992"/>
        <w:gridCol w:w="993"/>
        <w:gridCol w:w="992"/>
        <w:gridCol w:w="992"/>
        <w:gridCol w:w="1134"/>
      </w:tblGrid>
      <w:tr w:rsidR="00046824" w:rsidRPr="00C83029" w:rsidTr="0015022B">
        <w:trPr>
          <w:trHeight w:val="285"/>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6824" w:rsidRPr="00C83029" w:rsidRDefault="00046824" w:rsidP="000A6D98">
            <w:pPr>
              <w:jc w:val="center"/>
              <w:rPr>
                <w:sz w:val="20"/>
                <w:lang w:val="en-AU"/>
              </w:rPr>
            </w:pPr>
            <w:r w:rsidRPr="00C83029">
              <w:rPr>
                <w:sz w:val="20"/>
                <w:lang w:val="en-AU"/>
              </w:rPr>
              <w:t xml:space="preserve">Treatment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6824" w:rsidRPr="00C83029" w:rsidRDefault="00046824" w:rsidP="000A6D98">
            <w:pPr>
              <w:jc w:val="center"/>
              <w:rPr>
                <w:sz w:val="20"/>
                <w:lang w:val="en-AU"/>
              </w:rPr>
            </w:pPr>
            <w:r w:rsidRPr="00C83029">
              <w:rPr>
                <w:sz w:val="20"/>
                <w:lang w:val="en-AU"/>
              </w:rPr>
              <w:t xml:space="preserve">N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6824" w:rsidRPr="00C83029" w:rsidRDefault="00046824" w:rsidP="000A6D98">
            <w:pPr>
              <w:jc w:val="center"/>
              <w:rPr>
                <w:sz w:val="20"/>
                <w:lang w:val="en-AU"/>
              </w:rPr>
            </w:pPr>
            <w:r w:rsidRPr="00C83029">
              <w:rPr>
                <w:sz w:val="20"/>
                <w:lang w:val="en-AU"/>
              </w:rPr>
              <w:t xml:space="preserve">LDL-C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6824" w:rsidRPr="00C83029" w:rsidRDefault="00046824" w:rsidP="000A6D98">
            <w:pPr>
              <w:jc w:val="center"/>
              <w:rPr>
                <w:sz w:val="20"/>
                <w:lang w:val="en-AU"/>
              </w:rPr>
            </w:pPr>
            <w:r w:rsidRPr="00C83029">
              <w:rPr>
                <w:sz w:val="20"/>
                <w:lang w:val="en-AU"/>
              </w:rPr>
              <w:t xml:space="preserve">Apo-B </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046824" w:rsidRPr="00C83029" w:rsidRDefault="00046824" w:rsidP="000A6D98">
            <w:pPr>
              <w:jc w:val="center"/>
              <w:rPr>
                <w:sz w:val="20"/>
                <w:lang w:val="en-AU"/>
              </w:rPr>
            </w:pPr>
            <w:r w:rsidRPr="00C83029">
              <w:rPr>
                <w:sz w:val="20"/>
                <w:lang w:val="en-AU"/>
              </w:rPr>
              <w:t xml:space="preserve">TC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6824" w:rsidRPr="00C83029" w:rsidRDefault="00046824" w:rsidP="000A6D98">
            <w:pPr>
              <w:jc w:val="center"/>
              <w:rPr>
                <w:sz w:val="20"/>
                <w:lang w:val="en-AU"/>
              </w:rPr>
            </w:pPr>
            <w:r w:rsidRPr="00C83029">
              <w:rPr>
                <w:sz w:val="20"/>
                <w:lang w:val="en-AU"/>
              </w:rPr>
              <w:t xml:space="preserve">TG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046824" w:rsidRPr="00C83029" w:rsidRDefault="00046824" w:rsidP="000A6D98">
            <w:pPr>
              <w:jc w:val="center"/>
              <w:rPr>
                <w:sz w:val="20"/>
                <w:lang w:val="en-AU"/>
              </w:rPr>
            </w:pPr>
            <w:r w:rsidRPr="00C83029">
              <w:rPr>
                <w:sz w:val="20"/>
                <w:lang w:val="en-AU"/>
              </w:rPr>
              <w:t xml:space="preserve">HDL-C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046824" w:rsidRPr="00C83029" w:rsidRDefault="00046824" w:rsidP="000A6D98">
            <w:pPr>
              <w:jc w:val="center"/>
              <w:rPr>
                <w:sz w:val="20"/>
                <w:lang w:val="en-AU"/>
              </w:rPr>
            </w:pPr>
            <w:r w:rsidRPr="00C83029">
              <w:rPr>
                <w:sz w:val="20"/>
                <w:lang w:val="en-AU"/>
              </w:rPr>
              <w:t xml:space="preserve">non-HDL-C </w:t>
            </w:r>
          </w:p>
        </w:tc>
      </w:tr>
      <w:tr w:rsidR="00046824" w:rsidRPr="00C83029" w:rsidTr="0015022B">
        <w:trPr>
          <w:trHeight w:val="28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046824" w:rsidRPr="00C83029" w:rsidRDefault="00702BEF" w:rsidP="000A6D98">
            <w:pPr>
              <w:jc w:val="center"/>
              <w:rPr>
                <w:sz w:val="20"/>
                <w:lang w:val="en-AU"/>
              </w:rPr>
            </w:pPr>
            <w:r w:rsidRPr="00C83029">
              <w:rPr>
                <w:sz w:val="20"/>
                <w:lang w:val="en-AU"/>
              </w:rPr>
              <w:t xml:space="preserve">LIVALO </w:t>
            </w:r>
            <w:r w:rsidR="00046824" w:rsidRPr="00C83029">
              <w:rPr>
                <w:sz w:val="20"/>
                <w:lang w:val="en-AU"/>
              </w:rPr>
              <w:t xml:space="preserve">4 mg daily </w:t>
            </w:r>
          </w:p>
        </w:tc>
        <w:tc>
          <w:tcPr>
            <w:tcW w:w="992" w:type="dxa"/>
            <w:tcBorders>
              <w:top w:val="nil"/>
              <w:left w:val="nil"/>
              <w:bottom w:val="single" w:sz="4" w:space="0" w:color="auto"/>
              <w:right w:val="single" w:sz="4" w:space="0" w:color="auto"/>
            </w:tcBorders>
            <w:shd w:val="clear" w:color="auto" w:fill="auto"/>
            <w:noWrap/>
            <w:vAlign w:val="bottom"/>
          </w:tcPr>
          <w:p w:rsidR="00046824" w:rsidRPr="00C83029" w:rsidRDefault="00046824" w:rsidP="000A6D98">
            <w:pPr>
              <w:jc w:val="center"/>
              <w:rPr>
                <w:sz w:val="20"/>
                <w:lang w:val="en-AU"/>
              </w:rPr>
            </w:pPr>
            <w:r w:rsidRPr="00C83029">
              <w:rPr>
                <w:sz w:val="20"/>
                <w:lang w:val="en-AU"/>
              </w:rPr>
              <w:t>274</w:t>
            </w:r>
          </w:p>
        </w:tc>
        <w:tc>
          <w:tcPr>
            <w:tcW w:w="992" w:type="dxa"/>
            <w:tcBorders>
              <w:top w:val="nil"/>
              <w:left w:val="nil"/>
              <w:bottom w:val="single" w:sz="4" w:space="0" w:color="auto"/>
              <w:right w:val="single" w:sz="4" w:space="0" w:color="auto"/>
            </w:tcBorders>
            <w:shd w:val="clear" w:color="auto" w:fill="auto"/>
            <w:noWrap/>
            <w:vAlign w:val="bottom"/>
          </w:tcPr>
          <w:p w:rsidR="00046824" w:rsidRPr="00C83029" w:rsidRDefault="00046824" w:rsidP="000A6D98">
            <w:pPr>
              <w:jc w:val="center"/>
              <w:rPr>
                <w:sz w:val="20"/>
                <w:lang w:val="en-AU"/>
              </w:rPr>
            </w:pPr>
            <w:r w:rsidRPr="00C83029">
              <w:rPr>
                <w:sz w:val="20"/>
                <w:lang w:val="en-AU"/>
              </w:rPr>
              <w:t>-41%</w:t>
            </w:r>
          </w:p>
        </w:tc>
        <w:tc>
          <w:tcPr>
            <w:tcW w:w="992" w:type="dxa"/>
            <w:tcBorders>
              <w:top w:val="nil"/>
              <w:left w:val="nil"/>
              <w:bottom w:val="single" w:sz="4" w:space="0" w:color="auto"/>
              <w:right w:val="single" w:sz="4" w:space="0" w:color="auto"/>
            </w:tcBorders>
            <w:shd w:val="clear" w:color="auto" w:fill="auto"/>
            <w:noWrap/>
            <w:vAlign w:val="bottom"/>
          </w:tcPr>
          <w:p w:rsidR="00046824" w:rsidRPr="00C83029" w:rsidRDefault="00046824" w:rsidP="000A6D98">
            <w:pPr>
              <w:jc w:val="center"/>
              <w:rPr>
                <w:sz w:val="20"/>
                <w:lang w:val="en-AU"/>
              </w:rPr>
            </w:pPr>
            <w:r w:rsidRPr="00C83029">
              <w:rPr>
                <w:sz w:val="20"/>
                <w:lang w:val="en-AU"/>
              </w:rPr>
              <w:t>-32%</w:t>
            </w:r>
          </w:p>
        </w:tc>
        <w:tc>
          <w:tcPr>
            <w:tcW w:w="993" w:type="dxa"/>
            <w:tcBorders>
              <w:top w:val="nil"/>
              <w:left w:val="nil"/>
              <w:bottom w:val="single" w:sz="4" w:space="0" w:color="auto"/>
              <w:right w:val="single" w:sz="4" w:space="0" w:color="auto"/>
            </w:tcBorders>
            <w:shd w:val="clear" w:color="auto" w:fill="auto"/>
            <w:noWrap/>
            <w:vAlign w:val="bottom"/>
          </w:tcPr>
          <w:p w:rsidR="00046824" w:rsidRPr="00C83029" w:rsidRDefault="00046824" w:rsidP="000A6D98">
            <w:pPr>
              <w:jc w:val="center"/>
              <w:rPr>
                <w:sz w:val="20"/>
                <w:lang w:val="en-AU"/>
              </w:rPr>
            </w:pPr>
            <w:r w:rsidRPr="00C83029">
              <w:rPr>
                <w:sz w:val="20"/>
                <w:lang w:val="en-AU"/>
              </w:rPr>
              <w:t>-28%</w:t>
            </w:r>
          </w:p>
        </w:tc>
        <w:tc>
          <w:tcPr>
            <w:tcW w:w="992" w:type="dxa"/>
            <w:tcBorders>
              <w:top w:val="nil"/>
              <w:left w:val="nil"/>
              <w:bottom w:val="single" w:sz="4" w:space="0" w:color="auto"/>
              <w:right w:val="single" w:sz="4" w:space="0" w:color="auto"/>
            </w:tcBorders>
            <w:shd w:val="clear" w:color="auto" w:fill="auto"/>
            <w:noWrap/>
            <w:vAlign w:val="bottom"/>
          </w:tcPr>
          <w:p w:rsidR="00046824" w:rsidRPr="00C83029" w:rsidRDefault="00046824" w:rsidP="000A6D98">
            <w:pPr>
              <w:jc w:val="center"/>
              <w:rPr>
                <w:sz w:val="20"/>
                <w:lang w:val="en-AU"/>
              </w:rPr>
            </w:pPr>
            <w:r w:rsidRPr="00C83029">
              <w:rPr>
                <w:sz w:val="20"/>
                <w:lang w:val="en-AU"/>
              </w:rPr>
              <w:t>-20%</w:t>
            </w:r>
          </w:p>
        </w:tc>
        <w:tc>
          <w:tcPr>
            <w:tcW w:w="992" w:type="dxa"/>
            <w:tcBorders>
              <w:top w:val="nil"/>
              <w:left w:val="nil"/>
              <w:bottom w:val="single" w:sz="4" w:space="0" w:color="auto"/>
              <w:right w:val="single" w:sz="4" w:space="0" w:color="auto"/>
            </w:tcBorders>
            <w:shd w:val="clear" w:color="auto" w:fill="auto"/>
            <w:noWrap/>
            <w:vAlign w:val="bottom"/>
          </w:tcPr>
          <w:p w:rsidR="00046824" w:rsidRPr="00C83029" w:rsidRDefault="00046824" w:rsidP="000A6D98">
            <w:pPr>
              <w:jc w:val="center"/>
              <w:rPr>
                <w:sz w:val="20"/>
                <w:lang w:val="en-AU"/>
              </w:rPr>
            </w:pPr>
            <w:r w:rsidRPr="00C83029">
              <w:rPr>
                <w:sz w:val="20"/>
                <w:lang w:val="en-AU"/>
              </w:rPr>
              <w:t>7%</w:t>
            </w:r>
          </w:p>
        </w:tc>
        <w:tc>
          <w:tcPr>
            <w:tcW w:w="1134" w:type="dxa"/>
            <w:tcBorders>
              <w:top w:val="nil"/>
              <w:left w:val="nil"/>
              <w:bottom w:val="single" w:sz="4" w:space="0" w:color="auto"/>
              <w:right w:val="single" w:sz="4" w:space="0" w:color="auto"/>
            </w:tcBorders>
            <w:shd w:val="clear" w:color="auto" w:fill="auto"/>
            <w:noWrap/>
            <w:vAlign w:val="bottom"/>
          </w:tcPr>
          <w:p w:rsidR="00046824" w:rsidRPr="00C83029" w:rsidRDefault="00046824" w:rsidP="000A6D98">
            <w:pPr>
              <w:jc w:val="center"/>
              <w:rPr>
                <w:sz w:val="20"/>
                <w:lang w:val="en-AU"/>
              </w:rPr>
            </w:pPr>
            <w:r w:rsidRPr="00C83029">
              <w:rPr>
                <w:sz w:val="20"/>
                <w:lang w:val="en-AU"/>
              </w:rPr>
              <w:t>-36</w:t>
            </w:r>
          </w:p>
        </w:tc>
      </w:tr>
      <w:tr w:rsidR="00046824" w:rsidRPr="00C83029" w:rsidTr="0015022B">
        <w:trPr>
          <w:trHeight w:val="28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046824" w:rsidRPr="00C83029" w:rsidRDefault="00046824" w:rsidP="000A6D98">
            <w:pPr>
              <w:jc w:val="center"/>
              <w:rPr>
                <w:sz w:val="20"/>
                <w:lang w:val="en-AU"/>
              </w:rPr>
            </w:pPr>
            <w:r w:rsidRPr="00C83029">
              <w:rPr>
                <w:sz w:val="20"/>
                <w:lang w:val="en-AU"/>
              </w:rPr>
              <w:t xml:space="preserve">Atorvastatin 20 mg daily </w:t>
            </w:r>
          </w:p>
        </w:tc>
        <w:tc>
          <w:tcPr>
            <w:tcW w:w="992" w:type="dxa"/>
            <w:tcBorders>
              <w:top w:val="nil"/>
              <w:left w:val="nil"/>
              <w:bottom w:val="single" w:sz="4" w:space="0" w:color="auto"/>
              <w:right w:val="single" w:sz="4" w:space="0" w:color="auto"/>
            </w:tcBorders>
            <w:shd w:val="clear" w:color="auto" w:fill="auto"/>
            <w:noWrap/>
            <w:vAlign w:val="bottom"/>
          </w:tcPr>
          <w:p w:rsidR="00046824" w:rsidRPr="00C83029" w:rsidRDefault="00046824" w:rsidP="000A6D98">
            <w:pPr>
              <w:jc w:val="center"/>
              <w:rPr>
                <w:sz w:val="20"/>
                <w:lang w:val="en-AU"/>
              </w:rPr>
            </w:pPr>
            <w:r w:rsidRPr="00C83029">
              <w:rPr>
                <w:sz w:val="20"/>
                <w:lang w:val="en-AU"/>
              </w:rPr>
              <w:t>136</w:t>
            </w:r>
          </w:p>
        </w:tc>
        <w:tc>
          <w:tcPr>
            <w:tcW w:w="992" w:type="dxa"/>
            <w:tcBorders>
              <w:top w:val="nil"/>
              <w:left w:val="nil"/>
              <w:bottom w:val="single" w:sz="4" w:space="0" w:color="auto"/>
              <w:right w:val="single" w:sz="4" w:space="0" w:color="auto"/>
            </w:tcBorders>
            <w:shd w:val="clear" w:color="auto" w:fill="auto"/>
            <w:noWrap/>
            <w:vAlign w:val="bottom"/>
          </w:tcPr>
          <w:p w:rsidR="00046824" w:rsidRPr="00C83029" w:rsidRDefault="00046824" w:rsidP="000A6D98">
            <w:pPr>
              <w:jc w:val="center"/>
              <w:rPr>
                <w:sz w:val="20"/>
                <w:lang w:val="en-AU"/>
              </w:rPr>
            </w:pPr>
            <w:r w:rsidRPr="00C83029">
              <w:rPr>
                <w:sz w:val="20"/>
                <w:lang w:val="en-AU"/>
              </w:rPr>
              <w:t>-43%</w:t>
            </w:r>
          </w:p>
        </w:tc>
        <w:tc>
          <w:tcPr>
            <w:tcW w:w="992" w:type="dxa"/>
            <w:tcBorders>
              <w:top w:val="nil"/>
              <w:left w:val="nil"/>
              <w:bottom w:val="single" w:sz="4" w:space="0" w:color="auto"/>
              <w:right w:val="single" w:sz="4" w:space="0" w:color="auto"/>
            </w:tcBorders>
            <w:shd w:val="clear" w:color="auto" w:fill="auto"/>
            <w:noWrap/>
            <w:vAlign w:val="bottom"/>
          </w:tcPr>
          <w:p w:rsidR="00046824" w:rsidRPr="00C83029" w:rsidRDefault="00046824" w:rsidP="000A6D98">
            <w:pPr>
              <w:jc w:val="center"/>
              <w:rPr>
                <w:sz w:val="20"/>
                <w:lang w:val="en-AU"/>
              </w:rPr>
            </w:pPr>
            <w:r w:rsidRPr="00C83029">
              <w:rPr>
                <w:sz w:val="20"/>
                <w:lang w:val="en-AU"/>
              </w:rPr>
              <w:t>-34%</w:t>
            </w:r>
          </w:p>
        </w:tc>
        <w:tc>
          <w:tcPr>
            <w:tcW w:w="993" w:type="dxa"/>
            <w:tcBorders>
              <w:top w:val="nil"/>
              <w:left w:val="nil"/>
              <w:bottom w:val="single" w:sz="4" w:space="0" w:color="auto"/>
              <w:right w:val="single" w:sz="4" w:space="0" w:color="auto"/>
            </w:tcBorders>
            <w:shd w:val="clear" w:color="auto" w:fill="auto"/>
            <w:noWrap/>
            <w:vAlign w:val="bottom"/>
          </w:tcPr>
          <w:p w:rsidR="00046824" w:rsidRPr="00C83029" w:rsidRDefault="00046824" w:rsidP="000A6D98">
            <w:pPr>
              <w:jc w:val="center"/>
              <w:rPr>
                <w:sz w:val="20"/>
                <w:lang w:val="en-AU"/>
              </w:rPr>
            </w:pPr>
            <w:r w:rsidRPr="00C83029">
              <w:rPr>
                <w:sz w:val="20"/>
                <w:lang w:val="en-AU"/>
              </w:rPr>
              <w:t>-32%</w:t>
            </w:r>
          </w:p>
        </w:tc>
        <w:tc>
          <w:tcPr>
            <w:tcW w:w="992" w:type="dxa"/>
            <w:tcBorders>
              <w:top w:val="nil"/>
              <w:left w:val="nil"/>
              <w:bottom w:val="single" w:sz="4" w:space="0" w:color="auto"/>
              <w:right w:val="single" w:sz="4" w:space="0" w:color="auto"/>
            </w:tcBorders>
            <w:shd w:val="clear" w:color="auto" w:fill="auto"/>
            <w:noWrap/>
            <w:vAlign w:val="bottom"/>
          </w:tcPr>
          <w:p w:rsidR="00046824" w:rsidRPr="00C83029" w:rsidRDefault="00046824" w:rsidP="000A6D98">
            <w:pPr>
              <w:jc w:val="center"/>
              <w:rPr>
                <w:sz w:val="20"/>
                <w:lang w:val="en-AU"/>
              </w:rPr>
            </w:pPr>
            <w:r w:rsidRPr="00C83029">
              <w:rPr>
                <w:sz w:val="20"/>
                <w:lang w:val="en-AU"/>
              </w:rPr>
              <w:t>-27%</w:t>
            </w:r>
          </w:p>
        </w:tc>
        <w:tc>
          <w:tcPr>
            <w:tcW w:w="992" w:type="dxa"/>
            <w:tcBorders>
              <w:top w:val="nil"/>
              <w:left w:val="nil"/>
              <w:bottom w:val="single" w:sz="4" w:space="0" w:color="auto"/>
              <w:right w:val="single" w:sz="4" w:space="0" w:color="auto"/>
            </w:tcBorders>
            <w:shd w:val="clear" w:color="auto" w:fill="auto"/>
            <w:noWrap/>
            <w:vAlign w:val="bottom"/>
          </w:tcPr>
          <w:p w:rsidR="00046824" w:rsidRPr="00C83029" w:rsidRDefault="00046824" w:rsidP="000A6D98">
            <w:pPr>
              <w:jc w:val="center"/>
              <w:rPr>
                <w:sz w:val="20"/>
                <w:lang w:val="en-AU"/>
              </w:rPr>
            </w:pPr>
            <w:r w:rsidRPr="00C83029">
              <w:rPr>
                <w:sz w:val="20"/>
                <w:lang w:val="en-AU"/>
              </w:rPr>
              <w:t>8%</w:t>
            </w:r>
          </w:p>
        </w:tc>
        <w:tc>
          <w:tcPr>
            <w:tcW w:w="1134" w:type="dxa"/>
            <w:tcBorders>
              <w:top w:val="nil"/>
              <w:left w:val="nil"/>
              <w:bottom w:val="single" w:sz="4" w:space="0" w:color="auto"/>
              <w:right w:val="single" w:sz="4" w:space="0" w:color="auto"/>
            </w:tcBorders>
            <w:shd w:val="clear" w:color="auto" w:fill="auto"/>
            <w:noWrap/>
            <w:vAlign w:val="bottom"/>
          </w:tcPr>
          <w:p w:rsidR="00046824" w:rsidRPr="00C83029" w:rsidRDefault="00046824" w:rsidP="000A6D98">
            <w:pPr>
              <w:jc w:val="center"/>
              <w:rPr>
                <w:sz w:val="20"/>
                <w:lang w:val="en-AU"/>
              </w:rPr>
            </w:pPr>
            <w:r w:rsidRPr="00C83029">
              <w:rPr>
                <w:sz w:val="20"/>
                <w:lang w:val="en-AU"/>
              </w:rPr>
              <w:t>-40</w:t>
            </w:r>
          </w:p>
        </w:tc>
      </w:tr>
      <w:tr w:rsidR="00046824" w:rsidRPr="00C83029" w:rsidTr="0015022B">
        <w:trPr>
          <w:trHeight w:val="28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046824" w:rsidRPr="00C83029" w:rsidRDefault="00046824" w:rsidP="000A6D98">
            <w:pPr>
              <w:jc w:val="center"/>
              <w:rPr>
                <w:sz w:val="20"/>
                <w:lang w:val="en-AU"/>
              </w:rPr>
            </w:pPr>
            <w:r w:rsidRPr="00C83029">
              <w:rPr>
                <w:sz w:val="20"/>
                <w:lang w:val="en-AU"/>
              </w:rPr>
              <w:t xml:space="preserve">Atorvastatin 40 mg daily </w:t>
            </w:r>
          </w:p>
        </w:tc>
        <w:tc>
          <w:tcPr>
            <w:tcW w:w="7087" w:type="dxa"/>
            <w:gridSpan w:val="7"/>
            <w:tcBorders>
              <w:top w:val="single" w:sz="4" w:space="0" w:color="auto"/>
              <w:left w:val="nil"/>
              <w:bottom w:val="single" w:sz="4" w:space="0" w:color="auto"/>
              <w:right w:val="single" w:sz="4" w:space="0" w:color="auto"/>
            </w:tcBorders>
            <w:shd w:val="clear" w:color="auto" w:fill="auto"/>
            <w:noWrap/>
            <w:vAlign w:val="center"/>
          </w:tcPr>
          <w:p w:rsidR="00046824" w:rsidRPr="00C83029" w:rsidRDefault="00046824" w:rsidP="000A6D98">
            <w:pPr>
              <w:jc w:val="center"/>
              <w:rPr>
                <w:sz w:val="20"/>
                <w:lang w:val="en-AU"/>
              </w:rPr>
            </w:pPr>
            <w:r w:rsidRPr="00C83029">
              <w:rPr>
                <w:sz w:val="20"/>
                <w:lang w:val="en-AU"/>
              </w:rPr>
              <w:t>-------------------------------------Not Studied---------------------------------------</w:t>
            </w:r>
          </w:p>
        </w:tc>
      </w:tr>
      <w:tr w:rsidR="00046824" w:rsidRPr="00C83029" w:rsidTr="0015022B">
        <w:trPr>
          <w:trHeight w:val="285"/>
        </w:trPr>
        <w:tc>
          <w:tcPr>
            <w:tcW w:w="1575" w:type="dxa"/>
            <w:tcBorders>
              <w:top w:val="nil"/>
              <w:left w:val="single" w:sz="4" w:space="0" w:color="auto"/>
              <w:bottom w:val="single" w:sz="4" w:space="0" w:color="auto"/>
              <w:right w:val="single" w:sz="4" w:space="0" w:color="auto"/>
            </w:tcBorders>
            <w:shd w:val="clear" w:color="auto" w:fill="auto"/>
            <w:noWrap/>
            <w:vAlign w:val="bottom"/>
          </w:tcPr>
          <w:p w:rsidR="00046824" w:rsidRPr="00C83029" w:rsidRDefault="00046824" w:rsidP="000A6D98">
            <w:pPr>
              <w:jc w:val="center"/>
              <w:rPr>
                <w:sz w:val="20"/>
                <w:lang w:val="en-AU"/>
              </w:rPr>
            </w:pPr>
            <w:r w:rsidRPr="00C83029">
              <w:rPr>
                <w:sz w:val="20"/>
                <w:lang w:val="en-AU"/>
              </w:rPr>
              <w:t xml:space="preserve">Atorvastatin 80 mg daily </w:t>
            </w:r>
          </w:p>
        </w:tc>
        <w:tc>
          <w:tcPr>
            <w:tcW w:w="7087" w:type="dxa"/>
            <w:gridSpan w:val="7"/>
            <w:tcBorders>
              <w:top w:val="single" w:sz="4" w:space="0" w:color="auto"/>
              <w:left w:val="nil"/>
              <w:bottom w:val="single" w:sz="4" w:space="0" w:color="auto"/>
              <w:right w:val="single" w:sz="4" w:space="0" w:color="auto"/>
            </w:tcBorders>
            <w:shd w:val="clear" w:color="auto" w:fill="auto"/>
            <w:noWrap/>
            <w:vAlign w:val="center"/>
          </w:tcPr>
          <w:p w:rsidR="00046824" w:rsidRPr="00C83029" w:rsidRDefault="00046824" w:rsidP="000A6D98">
            <w:pPr>
              <w:jc w:val="center"/>
              <w:rPr>
                <w:sz w:val="20"/>
                <w:lang w:val="en-AU"/>
              </w:rPr>
            </w:pPr>
            <w:r w:rsidRPr="00C83029">
              <w:rPr>
                <w:sz w:val="20"/>
                <w:lang w:val="en-AU"/>
              </w:rPr>
              <w:t>-------------------------------------Not Studied---------------------------------------</w:t>
            </w:r>
          </w:p>
        </w:tc>
      </w:tr>
    </w:tbl>
    <w:p w:rsidR="0015022B" w:rsidRPr="00C83029" w:rsidRDefault="0015022B" w:rsidP="00EE5749">
      <w:pPr>
        <w:rPr>
          <w:lang w:val="en-AU"/>
        </w:rPr>
      </w:pPr>
    </w:p>
    <w:p w:rsidR="00714CEA" w:rsidRPr="00C83029" w:rsidRDefault="00714CEA" w:rsidP="00714CEA">
      <w:pPr>
        <w:rPr>
          <w:rFonts w:cs="Arial"/>
          <w:sz w:val="21"/>
          <w:szCs w:val="21"/>
          <w:lang w:val="en-AU"/>
        </w:rPr>
      </w:pPr>
      <w:r w:rsidRPr="00C83029">
        <w:rPr>
          <w:rFonts w:cs="Arial"/>
          <w:sz w:val="21"/>
          <w:szCs w:val="21"/>
          <w:lang w:val="en-AU"/>
        </w:rPr>
        <w:t xml:space="preserve">Patients with secondary dyslipidaemias were excluded from the clinical development programme and the effect of Livalo on cardiovascular morbidity and mortality has not </w:t>
      </w:r>
      <w:r w:rsidR="00AB6B78">
        <w:rPr>
          <w:rFonts w:cs="Arial"/>
          <w:sz w:val="21"/>
          <w:szCs w:val="21"/>
          <w:lang w:val="en-AU"/>
        </w:rPr>
        <w:t xml:space="preserve">yet </w:t>
      </w:r>
      <w:r w:rsidRPr="00C83029">
        <w:rPr>
          <w:rFonts w:cs="Arial"/>
          <w:sz w:val="21"/>
          <w:szCs w:val="21"/>
          <w:lang w:val="en-AU"/>
        </w:rPr>
        <w:t>been determined.</w:t>
      </w:r>
    </w:p>
    <w:p w:rsidR="00714CEA" w:rsidRPr="00C83029" w:rsidRDefault="00714CEA" w:rsidP="00714CEA">
      <w:pPr>
        <w:pStyle w:val="Heading2"/>
        <w:rPr>
          <w:rFonts w:cs="Arial"/>
          <w:szCs w:val="22"/>
        </w:rPr>
      </w:pPr>
      <w:r w:rsidRPr="00C83029">
        <w:rPr>
          <w:rFonts w:cs="Arial"/>
          <w:szCs w:val="22"/>
        </w:rPr>
        <w:t>Heterozygous Familial Hypercholesterol</w:t>
      </w:r>
      <w:r w:rsidR="00A9751E">
        <w:rPr>
          <w:rFonts w:cs="Arial"/>
          <w:szCs w:val="22"/>
        </w:rPr>
        <w:t>a</w:t>
      </w:r>
      <w:r w:rsidRPr="00C83029">
        <w:rPr>
          <w:rFonts w:cs="Arial"/>
          <w:szCs w:val="22"/>
        </w:rPr>
        <w:t>emia</w:t>
      </w:r>
    </w:p>
    <w:p w:rsidR="00714CEA" w:rsidRPr="00C83029" w:rsidRDefault="00714CEA" w:rsidP="00714CEA">
      <w:pPr>
        <w:rPr>
          <w:rFonts w:cs="Arial"/>
          <w:sz w:val="21"/>
          <w:szCs w:val="21"/>
          <w:lang w:val="en-AU"/>
        </w:rPr>
      </w:pPr>
      <w:r w:rsidRPr="00C83029">
        <w:rPr>
          <w:rFonts w:cs="Arial"/>
          <w:sz w:val="21"/>
          <w:szCs w:val="21"/>
          <w:lang w:val="en-AU"/>
        </w:rPr>
        <w:t xml:space="preserve">NK-104-09 was </w:t>
      </w:r>
      <w:proofErr w:type="gramStart"/>
      <w:r w:rsidRPr="00C83029">
        <w:rPr>
          <w:rFonts w:cs="Arial"/>
          <w:sz w:val="21"/>
          <w:szCs w:val="21"/>
          <w:lang w:val="en-AU"/>
        </w:rPr>
        <w:t>a</w:t>
      </w:r>
      <w:proofErr w:type="gramEnd"/>
      <w:r w:rsidRPr="00C83029">
        <w:rPr>
          <w:rFonts w:cs="Arial"/>
          <w:sz w:val="21"/>
          <w:szCs w:val="21"/>
          <w:lang w:val="en-AU"/>
        </w:rPr>
        <w:t xml:space="preserve"> open-label, uncontrolled long term Japanese study in 36 patients with heterozygous familial hypercholesterol</w:t>
      </w:r>
      <w:r w:rsidR="00A9751E">
        <w:rPr>
          <w:rFonts w:cs="Arial"/>
          <w:sz w:val="21"/>
          <w:szCs w:val="21"/>
          <w:lang w:val="en-AU"/>
        </w:rPr>
        <w:t>a</w:t>
      </w:r>
      <w:r w:rsidRPr="00C83029">
        <w:rPr>
          <w:rFonts w:cs="Arial"/>
          <w:sz w:val="21"/>
          <w:szCs w:val="21"/>
          <w:lang w:val="en-AU"/>
        </w:rPr>
        <w:t>emia (</w:t>
      </w:r>
      <w:proofErr w:type="spellStart"/>
      <w:r w:rsidRPr="00C83029">
        <w:rPr>
          <w:rFonts w:cs="Arial"/>
          <w:sz w:val="21"/>
          <w:szCs w:val="21"/>
          <w:lang w:val="en-AU"/>
        </w:rPr>
        <w:t>HeFH</w:t>
      </w:r>
      <w:proofErr w:type="spellEnd"/>
      <w:r w:rsidRPr="00C83029">
        <w:rPr>
          <w:rFonts w:cs="Arial"/>
          <w:sz w:val="21"/>
          <w:szCs w:val="21"/>
          <w:lang w:val="en-AU"/>
        </w:rPr>
        <w:t xml:space="preserve">). At week 52 LDL-C decreased by 34.4%, TC by 45.2%, TG by 34%, Apo-B by 32.4% and HDL-C increased by 5.4% </w:t>
      </w:r>
    </w:p>
    <w:p w:rsidR="00714CEA" w:rsidRPr="00C83029" w:rsidRDefault="00714CEA" w:rsidP="00714CEA">
      <w:pPr>
        <w:pStyle w:val="Heading2"/>
        <w:rPr>
          <w:rFonts w:cs="Arial"/>
          <w:szCs w:val="22"/>
        </w:rPr>
      </w:pPr>
      <w:r w:rsidRPr="00C83029">
        <w:rPr>
          <w:rFonts w:cs="Arial"/>
          <w:szCs w:val="22"/>
        </w:rPr>
        <w:t>Homozygous Familial Hypercholesterol</w:t>
      </w:r>
      <w:r w:rsidR="00A9751E">
        <w:rPr>
          <w:rFonts w:cs="Arial"/>
          <w:szCs w:val="22"/>
        </w:rPr>
        <w:t>a</w:t>
      </w:r>
      <w:r w:rsidRPr="00C83029">
        <w:rPr>
          <w:rFonts w:cs="Arial"/>
          <w:szCs w:val="22"/>
        </w:rPr>
        <w:t>emia</w:t>
      </w:r>
    </w:p>
    <w:p w:rsidR="00714CEA" w:rsidRPr="00C83029" w:rsidRDefault="00714CEA" w:rsidP="00714CEA">
      <w:pPr>
        <w:rPr>
          <w:rFonts w:cs="Arial"/>
          <w:lang w:val="en-AU"/>
        </w:rPr>
      </w:pPr>
      <w:r w:rsidRPr="00C83029">
        <w:rPr>
          <w:rFonts w:cs="Arial"/>
          <w:sz w:val="21"/>
          <w:szCs w:val="21"/>
          <w:lang w:val="en-AU"/>
        </w:rPr>
        <w:t>Livalo has not been investigated in patients with homozygous familial hypercholesterol</w:t>
      </w:r>
      <w:r w:rsidR="00A9751E">
        <w:rPr>
          <w:rFonts w:cs="Arial"/>
          <w:sz w:val="21"/>
          <w:szCs w:val="21"/>
          <w:lang w:val="en-AU"/>
        </w:rPr>
        <w:t>a</w:t>
      </w:r>
      <w:r w:rsidRPr="00C83029">
        <w:rPr>
          <w:rFonts w:cs="Arial"/>
          <w:sz w:val="21"/>
          <w:szCs w:val="21"/>
          <w:lang w:val="en-AU"/>
        </w:rPr>
        <w:t>emia</w:t>
      </w:r>
    </w:p>
    <w:p w:rsidR="00CD2773" w:rsidRPr="00C83029" w:rsidRDefault="00CD2773" w:rsidP="00A852E3">
      <w:pPr>
        <w:pStyle w:val="Heading1"/>
      </w:pPr>
      <w:r w:rsidRPr="00C83029">
        <w:t>INDICATIONS</w:t>
      </w:r>
    </w:p>
    <w:p w:rsidR="00CD2773" w:rsidRPr="00C83029" w:rsidRDefault="00504D2C" w:rsidP="00EE5749">
      <w:pPr>
        <w:rPr>
          <w:lang w:val="en-AU"/>
        </w:rPr>
      </w:pPr>
      <w:r w:rsidRPr="00C83029">
        <w:rPr>
          <w:lang w:val="en-AU"/>
        </w:rPr>
        <w:t xml:space="preserve">Livalo </w:t>
      </w:r>
      <w:r w:rsidR="00046824" w:rsidRPr="00C83029">
        <w:rPr>
          <w:lang w:val="en-AU"/>
        </w:rPr>
        <w:t xml:space="preserve">is indicated </w:t>
      </w:r>
      <w:r w:rsidR="000E129C" w:rsidRPr="00C83029">
        <w:rPr>
          <w:lang w:val="en-AU"/>
        </w:rPr>
        <w:t xml:space="preserve">as an adjunct to diet for the treatment of adult patients with </w:t>
      </w:r>
      <w:r w:rsidR="00046824" w:rsidRPr="00C83029">
        <w:rPr>
          <w:lang w:val="en-AU"/>
        </w:rPr>
        <w:t>primary hypercholesterolaemia, including heterozygous familial hypercholesterolaemia, when response to diet and other non-pharmacological measures is inadequate.</w:t>
      </w:r>
    </w:p>
    <w:p w:rsidR="000E129C" w:rsidRPr="00C83029" w:rsidRDefault="000E129C" w:rsidP="00EE5749">
      <w:pPr>
        <w:rPr>
          <w:lang w:val="en-AU"/>
        </w:rPr>
      </w:pPr>
      <w:r w:rsidRPr="00C83029">
        <w:rPr>
          <w:lang w:val="en-AU"/>
        </w:rPr>
        <w:t xml:space="preserve">Prior to initiating therapy with Livalo, secondary causes of hypercholesterolaemia (e.g. poorly controlled diabetes mellitus, hypothyroidism, nephrotic syndrome, dysproteinaemias, obstructive liver disease, other drug therapy, </w:t>
      </w:r>
      <w:proofErr w:type="gramStart"/>
      <w:r w:rsidRPr="00C83029">
        <w:rPr>
          <w:lang w:val="en-AU"/>
        </w:rPr>
        <w:t>alcoholism</w:t>
      </w:r>
      <w:proofErr w:type="gramEnd"/>
      <w:r w:rsidRPr="00C83029">
        <w:rPr>
          <w:lang w:val="en-AU"/>
        </w:rPr>
        <w:t>) should be identified and treated.</w:t>
      </w:r>
    </w:p>
    <w:p w:rsidR="00CD2773" w:rsidRPr="00C83029" w:rsidRDefault="00CD2773" w:rsidP="00A852E3">
      <w:pPr>
        <w:pStyle w:val="Heading1"/>
      </w:pPr>
      <w:r w:rsidRPr="00C83029">
        <w:t>CONTRAINDICATIONS</w:t>
      </w:r>
    </w:p>
    <w:p w:rsidR="00887ED5" w:rsidRPr="00C83029" w:rsidRDefault="00EB748E" w:rsidP="00EB748E">
      <w:pPr>
        <w:rPr>
          <w:lang w:val="en-AU"/>
        </w:rPr>
      </w:pPr>
      <w:r>
        <w:rPr>
          <w:lang w:val="en-AU"/>
        </w:rPr>
        <w:t>H</w:t>
      </w:r>
      <w:r w:rsidR="00887ED5" w:rsidRPr="00C83029">
        <w:rPr>
          <w:lang w:val="en-AU"/>
        </w:rPr>
        <w:t>ypersensitivity to pitavastatin or to any of the excipients or other statins</w:t>
      </w:r>
    </w:p>
    <w:p w:rsidR="00887ED5" w:rsidRPr="00C83029" w:rsidRDefault="00EB748E" w:rsidP="00EB748E">
      <w:pPr>
        <w:rPr>
          <w:lang w:val="en-AU"/>
        </w:rPr>
      </w:pPr>
      <w:r>
        <w:rPr>
          <w:lang w:val="en-AU"/>
        </w:rPr>
        <w:t>S</w:t>
      </w:r>
      <w:r w:rsidR="00887ED5" w:rsidRPr="00C83029">
        <w:rPr>
          <w:lang w:val="en-AU"/>
        </w:rPr>
        <w:t xml:space="preserve">evere hepatic impairment, active liver disease or unexplained persistent elevations in serum transaminases exceeding 3 times the upper limit of normal </w:t>
      </w:r>
      <w:r w:rsidR="00F66FC6">
        <w:rPr>
          <w:lang w:val="en-AU"/>
        </w:rPr>
        <w:t>(</w:t>
      </w:r>
      <w:r w:rsidR="00887ED5" w:rsidRPr="00C83029">
        <w:rPr>
          <w:lang w:val="en-AU"/>
        </w:rPr>
        <w:t>ULN)</w:t>
      </w:r>
    </w:p>
    <w:p w:rsidR="00AA0B24" w:rsidRDefault="00F66FC6" w:rsidP="00EB748E">
      <w:pPr>
        <w:rPr>
          <w:lang w:val="en-AU"/>
        </w:rPr>
      </w:pPr>
      <w:r>
        <w:rPr>
          <w:lang w:val="en-AU"/>
        </w:rPr>
        <w:t>C</w:t>
      </w:r>
      <w:r w:rsidR="00887ED5" w:rsidRPr="00C83029">
        <w:rPr>
          <w:lang w:val="en-AU"/>
        </w:rPr>
        <w:t xml:space="preserve">oncomitant </w:t>
      </w:r>
      <w:r w:rsidR="00351997" w:rsidRPr="00C83029">
        <w:rPr>
          <w:lang w:val="en-AU"/>
        </w:rPr>
        <w:t>cyclosporin</w:t>
      </w:r>
    </w:p>
    <w:p w:rsidR="00351997" w:rsidRDefault="00F66FC6" w:rsidP="00EB748E">
      <w:pPr>
        <w:rPr>
          <w:lang w:val="en-AU"/>
        </w:rPr>
      </w:pPr>
      <w:r>
        <w:rPr>
          <w:lang w:val="en-AU"/>
        </w:rPr>
        <w:t>C</w:t>
      </w:r>
      <w:r w:rsidR="00351997" w:rsidRPr="00C83029">
        <w:rPr>
          <w:lang w:val="en-AU"/>
        </w:rPr>
        <w:t>oncomitant erythromycin</w:t>
      </w:r>
    </w:p>
    <w:p w:rsidR="005732E9" w:rsidRPr="00C83029" w:rsidRDefault="00F66FC6" w:rsidP="00EB748E">
      <w:pPr>
        <w:rPr>
          <w:lang w:val="en-AU"/>
        </w:rPr>
      </w:pPr>
      <w:r>
        <w:rPr>
          <w:lang w:val="en-AU"/>
        </w:rPr>
        <w:t>D</w:t>
      </w:r>
      <w:r w:rsidR="00887ED5" w:rsidRPr="00C83029">
        <w:rPr>
          <w:lang w:val="en-AU"/>
        </w:rPr>
        <w:t>uring pregnancy, while breast feeding and in women of child bearing potential not taking appropriate contraceptive precautions</w:t>
      </w:r>
    </w:p>
    <w:p w:rsidR="00CD2773" w:rsidRPr="00C83029" w:rsidRDefault="00CD2773" w:rsidP="00A852E3">
      <w:pPr>
        <w:pStyle w:val="Heading1"/>
      </w:pPr>
      <w:r w:rsidRPr="00C83029">
        <w:t>PRECAUTIONS</w:t>
      </w:r>
    </w:p>
    <w:p w:rsidR="00422558" w:rsidRPr="00C83029" w:rsidRDefault="00422558" w:rsidP="00A852E3">
      <w:pPr>
        <w:pStyle w:val="Heading2"/>
      </w:pPr>
      <w:r w:rsidRPr="00C83029">
        <w:t>Muscle Effects</w:t>
      </w:r>
    </w:p>
    <w:p w:rsidR="0004450C" w:rsidRDefault="00887ED5" w:rsidP="000F741B">
      <w:pPr>
        <w:rPr>
          <w:lang w:val="en-AU"/>
        </w:rPr>
      </w:pPr>
      <w:r w:rsidRPr="00C83029">
        <w:rPr>
          <w:lang w:val="en-AU"/>
        </w:rPr>
        <w:t>In common with other HMG-CoA reductase inhibitors (statins), there is the potential for myalgia, myopathy and, rarely, rhabdomyolysis</w:t>
      </w:r>
      <w:r w:rsidR="00865A6D" w:rsidRPr="00C83029">
        <w:rPr>
          <w:lang w:val="en-AU"/>
        </w:rPr>
        <w:t xml:space="preserve"> and acute renal failure</w:t>
      </w:r>
      <w:r w:rsidRPr="00C83029">
        <w:rPr>
          <w:lang w:val="en-AU"/>
        </w:rPr>
        <w:t xml:space="preserve"> to develop. </w:t>
      </w:r>
      <w:r w:rsidR="00462EC0" w:rsidRPr="00C83029">
        <w:rPr>
          <w:lang w:val="en-AU"/>
        </w:rPr>
        <w:t>The risk of muscle effects occurs at any dose but the risk increases in a dose-dependent manner</w:t>
      </w:r>
      <w:r w:rsidR="006A5928">
        <w:rPr>
          <w:lang w:val="en-AU"/>
        </w:rPr>
        <w:t>.</w:t>
      </w:r>
      <w:r w:rsidR="00FE1B08">
        <w:rPr>
          <w:lang w:val="en-AU"/>
        </w:rPr>
        <w:t xml:space="preserve"> </w:t>
      </w:r>
    </w:p>
    <w:p w:rsidR="0004450C" w:rsidRDefault="00664E9B" w:rsidP="0004450C">
      <w:r>
        <w:rPr>
          <w:lang w:val="en-AU"/>
        </w:rPr>
        <w:t xml:space="preserve">In clinical trials </w:t>
      </w:r>
      <w:r>
        <w:t>d</w:t>
      </w:r>
      <w:r w:rsidR="0004450C">
        <w:t>oses ranging from 8 mg to 64 mg have been assessed</w:t>
      </w:r>
      <w:r>
        <w:t xml:space="preserve">. Significantly increased rates of </w:t>
      </w:r>
      <w:r w:rsidR="0004450C">
        <w:t>rhabdomyolysis and myopathy</w:t>
      </w:r>
      <w:r>
        <w:t xml:space="preserve"> were reported for doses of 32 mg and above</w:t>
      </w:r>
      <w:r w:rsidR="0004450C">
        <w:t>. (See ‘Adverse Effects’)</w:t>
      </w:r>
    </w:p>
    <w:p w:rsidR="000F741B" w:rsidRDefault="00587558" w:rsidP="000F741B">
      <w:pPr>
        <w:rPr>
          <w:lang w:val="en-AU"/>
        </w:rPr>
      </w:pPr>
      <w:r>
        <w:rPr>
          <w:lang w:val="en-AU"/>
        </w:rPr>
        <w:lastRenderedPageBreak/>
        <w:t>The</w:t>
      </w:r>
      <w:r w:rsidR="000F741B">
        <w:rPr>
          <w:lang w:val="en-AU"/>
        </w:rPr>
        <w:t xml:space="preserve"> risk of myopathy may also be increased with the concomitant use of </w:t>
      </w:r>
      <w:r w:rsidR="003F3FDA">
        <w:rPr>
          <w:lang w:val="en-AU"/>
        </w:rPr>
        <w:t xml:space="preserve">cyclosporin, erythromycin, rifampicin, </w:t>
      </w:r>
      <w:proofErr w:type="spellStart"/>
      <w:r w:rsidR="003F3FDA">
        <w:rPr>
          <w:lang w:val="en-AU"/>
        </w:rPr>
        <w:t>atazanavir</w:t>
      </w:r>
      <w:proofErr w:type="spellEnd"/>
      <w:r w:rsidR="003F3FDA">
        <w:rPr>
          <w:lang w:val="en-AU"/>
        </w:rPr>
        <w:t>, fibrates, fusidic acid and niacin. (</w:t>
      </w:r>
      <w:proofErr w:type="gramStart"/>
      <w:r w:rsidR="00F66FC6">
        <w:rPr>
          <w:lang w:val="en-AU"/>
        </w:rPr>
        <w:t>s</w:t>
      </w:r>
      <w:r w:rsidR="003F3FDA">
        <w:rPr>
          <w:lang w:val="en-AU"/>
        </w:rPr>
        <w:t>ee</w:t>
      </w:r>
      <w:proofErr w:type="gramEnd"/>
      <w:r w:rsidR="003F3FDA">
        <w:rPr>
          <w:lang w:val="en-AU"/>
        </w:rPr>
        <w:t xml:space="preserve"> </w:t>
      </w:r>
      <w:r w:rsidR="00F66FC6">
        <w:rPr>
          <w:lang w:val="en-AU"/>
        </w:rPr>
        <w:t>‘</w:t>
      </w:r>
      <w:r w:rsidR="003F3FDA">
        <w:rPr>
          <w:lang w:val="en-AU"/>
        </w:rPr>
        <w:t>Contraindications</w:t>
      </w:r>
      <w:r w:rsidR="00F66FC6">
        <w:rPr>
          <w:lang w:val="en-AU"/>
        </w:rPr>
        <w:t>’</w:t>
      </w:r>
      <w:r w:rsidR="003F3FDA">
        <w:rPr>
          <w:lang w:val="en-AU"/>
        </w:rPr>
        <w:t xml:space="preserve"> and </w:t>
      </w:r>
      <w:r w:rsidR="00F66FC6">
        <w:rPr>
          <w:lang w:val="en-AU"/>
        </w:rPr>
        <w:t>‘</w:t>
      </w:r>
      <w:r w:rsidR="003F3FDA">
        <w:rPr>
          <w:lang w:val="en-AU"/>
        </w:rPr>
        <w:t>Interaction</w:t>
      </w:r>
      <w:r w:rsidR="00FE1B08">
        <w:rPr>
          <w:lang w:val="en-AU"/>
        </w:rPr>
        <w:t>s</w:t>
      </w:r>
      <w:r w:rsidR="003F3FDA">
        <w:rPr>
          <w:lang w:val="en-AU"/>
        </w:rPr>
        <w:t xml:space="preserve"> with Other Medicines</w:t>
      </w:r>
      <w:r w:rsidR="00F66FC6">
        <w:rPr>
          <w:lang w:val="en-AU"/>
        </w:rPr>
        <w:t>’</w:t>
      </w:r>
      <w:r w:rsidR="003F3FDA">
        <w:rPr>
          <w:lang w:val="en-AU"/>
        </w:rPr>
        <w:t>).</w:t>
      </w:r>
    </w:p>
    <w:p w:rsidR="00887ED5" w:rsidRPr="00C83029" w:rsidRDefault="00887ED5" w:rsidP="00EE5749">
      <w:pPr>
        <w:rPr>
          <w:lang w:val="en-AU"/>
        </w:rPr>
      </w:pPr>
      <w:r w:rsidRPr="000F741B">
        <w:rPr>
          <w:lang w:val="en-AU"/>
        </w:rPr>
        <w:t xml:space="preserve">Patients should be asked to report any </w:t>
      </w:r>
      <w:r w:rsidR="00367C96" w:rsidRPr="000F741B">
        <w:rPr>
          <w:lang w:val="en-AU"/>
        </w:rPr>
        <w:t xml:space="preserve">unexplained </w:t>
      </w:r>
      <w:r w:rsidRPr="000F741B">
        <w:rPr>
          <w:lang w:val="en-AU"/>
        </w:rPr>
        <w:t>muscle symptoms.</w:t>
      </w:r>
      <w:r w:rsidRPr="00C83029">
        <w:rPr>
          <w:lang w:val="en-AU"/>
        </w:rPr>
        <w:t xml:space="preserve"> Creatine kinase (CK) levels should be measured in any patient reporting muscle pain, muscle tenderness or weakness especially if accompanied by malaise or fever</w:t>
      </w:r>
      <w:r w:rsidR="00F66FC6">
        <w:rPr>
          <w:lang w:val="en-AU"/>
        </w:rPr>
        <w:t xml:space="preserve">.  </w:t>
      </w:r>
      <w:r w:rsidR="00464C36">
        <w:rPr>
          <w:lang w:val="en-AU"/>
        </w:rPr>
        <w:t>CK</w:t>
      </w:r>
      <w:r w:rsidRPr="00C83029">
        <w:rPr>
          <w:lang w:val="en-AU"/>
        </w:rPr>
        <w:t xml:space="preserve"> should not be measured following strenuous exercise or in the presence of any other plausible cause of CK increase which may confound interpretation of the result. When elevated CK concentrations (&gt;5x ULN) are noted, a confirmatory test should be performed within 5 to 7 days.</w:t>
      </w:r>
    </w:p>
    <w:p w:rsidR="00887ED5" w:rsidRPr="00C83029" w:rsidRDefault="00887ED5" w:rsidP="00A852E3">
      <w:pPr>
        <w:pStyle w:val="Heading3"/>
      </w:pPr>
      <w:r w:rsidRPr="00C83029">
        <w:t>Before Treatment</w:t>
      </w:r>
    </w:p>
    <w:p w:rsidR="00887ED5" w:rsidRPr="00C83029" w:rsidRDefault="00887ED5" w:rsidP="00EE5749">
      <w:pPr>
        <w:rPr>
          <w:lang w:val="en-AU"/>
        </w:rPr>
      </w:pPr>
      <w:r w:rsidRPr="00C83029">
        <w:rPr>
          <w:lang w:val="en-AU"/>
        </w:rPr>
        <w:t xml:space="preserve">In common with other statins, Livalo should be prescribed with caution in patients with predisposing factors for rhabdomyolysis. A </w:t>
      </w:r>
      <w:r w:rsidR="00F66FC6">
        <w:rPr>
          <w:lang w:val="en-AU"/>
        </w:rPr>
        <w:t>CK</w:t>
      </w:r>
      <w:r w:rsidRPr="00C83029">
        <w:rPr>
          <w:lang w:val="en-AU"/>
        </w:rPr>
        <w:t xml:space="preserve"> level should be measured, to establish a reference baseline, in the following situations:</w:t>
      </w:r>
    </w:p>
    <w:p w:rsidR="00887ED5" w:rsidRPr="00C83029" w:rsidRDefault="003468CE" w:rsidP="003468CE">
      <w:pPr>
        <w:ind w:left="284"/>
        <w:rPr>
          <w:lang w:val="en-AU"/>
        </w:rPr>
      </w:pPr>
      <w:r w:rsidRPr="00C83029">
        <w:rPr>
          <w:lang w:val="en-AU"/>
        </w:rPr>
        <w:t>Renal impairment,</w:t>
      </w:r>
    </w:p>
    <w:p w:rsidR="00887ED5" w:rsidRPr="00C83029" w:rsidRDefault="003468CE" w:rsidP="003468CE">
      <w:pPr>
        <w:ind w:left="284"/>
        <w:rPr>
          <w:lang w:val="en-AU"/>
        </w:rPr>
      </w:pPr>
      <w:r w:rsidRPr="00C83029">
        <w:rPr>
          <w:lang w:val="en-AU"/>
        </w:rPr>
        <w:t>Hypothyroidism,</w:t>
      </w:r>
    </w:p>
    <w:p w:rsidR="00887ED5" w:rsidRPr="00C83029" w:rsidRDefault="003468CE" w:rsidP="003468CE">
      <w:pPr>
        <w:ind w:left="284"/>
        <w:rPr>
          <w:lang w:val="en-AU"/>
        </w:rPr>
      </w:pPr>
      <w:r w:rsidRPr="00C83029">
        <w:rPr>
          <w:lang w:val="en-AU"/>
        </w:rPr>
        <w:t>Personal or family history of hereditary muscular disorders,</w:t>
      </w:r>
    </w:p>
    <w:p w:rsidR="00887ED5" w:rsidRPr="00C83029" w:rsidRDefault="003468CE" w:rsidP="003468CE">
      <w:pPr>
        <w:ind w:left="284"/>
        <w:rPr>
          <w:lang w:val="en-AU"/>
        </w:rPr>
      </w:pPr>
      <w:r w:rsidRPr="00C83029">
        <w:rPr>
          <w:lang w:val="en-AU"/>
        </w:rPr>
        <w:t xml:space="preserve">Previous history </w:t>
      </w:r>
      <w:r w:rsidR="00887ED5" w:rsidRPr="00C83029">
        <w:rPr>
          <w:lang w:val="en-AU"/>
        </w:rPr>
        <w:t>of muscular toxicity with a fibrate or another statin,</w:t>
      </w:r>
    </w:p>
    <w:p w:rsidR="00887ED5" w:rsidRPr="00C83029" w:rsidRDefault="003468CE" w:rsidP="003468CE">
      <w:pPr>
        <w:ind w:left="284"/>
        <w:rPr>
          <w:lang w:val="en-AU"/>
        </w:rPr>
      </w:pPr>
      <w:r w:rsidRPr="00C83029">
        <w:rPr>
          <w:lang w:val="en-AU"/>
        </w:rPr>
        <w:t>History of liver disease or alcohol abuse,</w:t>
      </w:r>
    </w:p>
    <w:p w:rsidR="00887ED5" w:rsidRPr="00C83029" w:rsidRDefault="003468CE" w:rsidP="003468CE">
      <w:pPr>
        <w:ind w:left="284"/>
        <w:rPr>
          <w:lang w:val="en-AU"/>
        </w:rPr>
      </w:pPr>
      <w:r w:rsidRPr="00C83029">
        <w:rPr>
          <w:lang w:val="en-AU"/>
        </w:rPr>
        <w:t xml:space="preserve">Elderly </w:t>
      </w:r>
      <w:r w:rsidR="00887ED5" w:rsidRPr="00C83029">
        <w:rPr>
          <w:lang w:val="en-AU"/>
        </w:rPr>
        <w:t>patients</w:t>
      </w:r>
      <w:r w:rsidR="0015022B" w:rsidRPr="00C83029">
        <w:rPr>
          <w:lang w:val="en-AU"/>
        </w:rPr>
        <w:t xml:space="preserve"> </w:t>
      </w:r>
      <w:r w:rsidR="00887ED5" w:rsidRPr="00C83029">
        <w:rPr>
          <w:lang w:val="en-AU"/>
        </w:rPr>
        <w:t>with other predisposing risk factors for rhabdomyolysis,</w:t>
      </w:r>
    </w:p>
    <w:p w:rsidR="00887ED5" w:rsidRPr="00C83029" w:rsidRDefault="00887ED5" w:rsidP="00EE5749">
      <w:pPr>
        <w:rPr>
          <w:lang w:val="en-AU"/>
        </w:rPr>
      </w:pPr>
      <w:r w:rsidRPr="00C83029">
        <w:rPr>
          <w:lang w:val="en-AU"/>
        </w:rPr>
        <w:t xml:space="preserve">In such situations, clinical monitoring is recommended and the risk of treatment should be considered in relation to the possible benefit. Treatment with </w:t>
      </w:r>
      <w:r w:rsidR="00504D2C" w:rsidRPr="00C83029">
        <w:rPr>
          <w:lang w:val="en-AU"/>
        </w:rPr>
        <w:t>Livalo</w:t>
      </w:r>
      <w:r w:rsidRPr="00C83029">
        <w:rPr>
          <w:lang w:val="en-AU"/>
        </w:rPr>
        <w:t xml:space="preserve"> should not be started if CK values are &gt;5x ULN.</w:t>
      </w:r>
    </w:p>
    <w:p w:rsidR="00887ED5" w:rsidRPr="00C83029" w:rsidRDefault="00887ED5" w:rsidP="008B3204">
      <w:pPr>
        <w:pStyle w:val="Heading3"/>
      </w:pPr>
      <w:r w:rsidRPr="00C83029">
        <w:t>During Treatment</w:t>
      </w:r>
    </w:p>
    <w:p w:rsidR="00AA0B24" w:rsidRPr="00C83029" w:rsidRDefault="00887ED5" w:rsidP="00462EC0">
      <w:pPr>
        <w:rPr>
          <w:lang w:val="en-AU"/>
        </w:rPr>
      </w:pPr>
      <w:r w:rsidRPr="00C83029">
        <w:rPr>
          <w:lang w:val="en-AU"/>
        </w:rPr>
        <w:t xml:space="preserve">Patients must be encouraged to report </w:t>
      </w:r>
      <w:r w:rsidR="00367C96" w:rsidRPr="00C83029">
        <w:rPr>
          <w:lang w:val="en-AU"/>
        </w:rPr>
        <w:t xml:space="preserve">unexplained </w:t>
      </w:r>
      <w:r w:rsidRPr="00C83029">
        <w:rPr>
          <w:lang w:val="en-AU"/>
        </w:rPr>
        <w:t xml:space="preserve">muscle pain, weakness or cramps immediately. </w:t>
      </w:r>
      <w:r w:rsidR="00F66FC6">
        <w:rPr>
          <w:lang w:val="en-AU"/>
        </w:rPr>
        <w:t>CK</w:t>
      </w:r>
      <w:r w:rsidRPr="00C83029">
        <w:rPr>
          <w:lang w:val="en-AU"/>
        </w:rPr>
        <w:t xml:space="preserve"> levels should be measured and treatment stopped if CK levels are elevated (&gt;5x ULN). </w:t>
      </w:r>
      <w:r w:rsidR="003F1CD6" w:rsidRPr="00C83029">
        <w:rPr>
          <w:lang w:val="en-AU"/>
        </w:rPr>
        <w:t>Dose reduction or s</w:t>
      </w:r>
      <w:r w:rsidRPr="00C83029">
        <w:rPr>
          <w:lang w:val="en-AU"/>
        </w:rPr>
        <w:t>topping treatment should be considered if muscular symptoms are severe even if CK levels are ≤5 x ULN. If symptoms resolve and CK levels return to normal, then re-introduction of Livalo may be considered at a dose of 1mg and with close monitoring.</w:t>
      </w:r>
    </w:p>
    <w:p w:rsidR="00422558" w:rsidRPr="00C83029" w:rsidRDefault="00422558" w:rsidP="008B3204">
      <w:pPr>
        <w:pStyle w:val="Heading2"/>
      </w:pPr>
      <w:r w:rsidRPr="00C83029">
        <w:t xml:space="preserve">Liver </w:t>
      </w:r>
      <w:r w:rsidR="00887ED5" w:rsidRPr="00C83029">
        <w:t>Effects</w:t>
      </w:r>
    </w:p>
    <w:p w:rsidR="00473674" w:rsidRPr="00C83029" w:rsidRDefault="00473674" w:rsidP="00473674">
      <w:pPr>
        <w:rPr>
          <w:lang w:val="en-AU"/>
        </w:rPr>
      </w:pPr>
      <w:r w:rsidRPr="00C83029">
        <w:rPr>
          <w:lang w:val="en-AU"/>
        </w:rPr>
        <w:t xml:space="preserve">Increases in serum transaminases (aspartate aminotransferase [AST]/serum </w:t>
      </w:r>
      <w:proofErr w:type="spellStart"/>
      <w:r w:rsidRPr="00C83029">
        <w:rPr>
          <w:lang w:val="en-AU"/>
        </w:rPr>
        <w:t>glutamic-oxaloacetic</w:t>
      </w:r>
      <w:proofErr w:type="spellEnd"/>
      <w:r w:rsidRPr="00C83029">
        <w:rPr>
          <w:lang w:val="en-AU"/>
        </w:rPr>
        <w:t xml:space="preserve"> transaminase, or alanine aminotransferase [ALT]/serum glutamic-pyruvic transaminase) have been reported with HMG-CoA reductase inhibitors, including Livalo. In most cases, the elevations were transient and resolved or improved on continued therapy or after a brief interruption in therapy. </w:t>
      </w:r>
    </w:p>
    <w:p w:rsidR="00473674" w:rsidRPr="00C83029" w:rsidRDefault="00473674" w:rsidP="00473674">
      <w:pPr>
        <w:rPr>
          <w:lang w:val="en-AU"/>
        </w:rPr>
      </w:pPr>
      <w:r w:rsidRPr="00C83029">
        <w:rPr>
          <w:lang w:val="en-AU"/>
        </w:rPr>
        <w:t>In placebo-controlled Phase 2 studies, ALT &gt;</w:t>
      </w:r>
      <w:r w:rsidR="0058721A">
        <w:rPr>
          <w:lang w:val="en-AU"/>
        </w:rPr>
        <w:t xml:space="preserve"> </w:t>
      </w:r>
      <w:r w:rsidRPr="00C83029">
        <w:rPr>
          <w:lang w:val="en-AU"/>
        </w:rPr>
        <w:t>3 times the upper limit of normal was not observed in the placebo, Livalo 1 mg, or Livalo 2 mg groups. One out of 202 patients (0.5%) administered Livalo 4 mg had ALT &gt;</w:t>
      </w:r>
      <w:r w:rsidR="0058721A">
        <w:rPr>
          <w:lang w:val="en-AU"/>
        </w:rPr>
        <w:t xml:space="preserve"> </w:t>
      </w:r>
      <w:r w:rsidRPr="00C83029">
        <w:rPr>
          <w:lang w:val="en-AU"/>
        </w:rPr>
        <w:t xml:space="preserve">3 times the upper limit of normal. </w:t>
      </w:r>
    </w:p>
    <w:p w:rsidR="00473674" w:rsidRPr="00C83029" w:rsidRDefault="00473674" w:rsidP="00473674">
      <w:pPr>
        <w:rPr>
          <w:lang w:val="en-AU"/>
        </w:rPr>
      </w:pPr>
      <w:r w:rsidRPr="00C83029">
        <w:rPr>
          <w:lang w:val="en-AU"/>
        </w:rPr>
        <w:t>It is recommended that liver enzyme tests be performed before and at 12 weeks following both the initiation of therapy and any elevation of dose and periodically (e.g., semi</w:t>
      </w:r>
      <w:r w:rsidR="00F66FC6">
        <w:rPr>
          <w:lang w:val="en-AU"/>
        </w:rPr>
        <w:t>-</w:t>
      </w:r>
      <w:r w:rsidRPr="00C83029">
        <w:rPr>
          <w:lang w:val="en-AU"/>
        </w:rPr>
        <w:t xml:space="preserve">annually) thereafter. </w:t>
      </w:r>
    </w:p>
    <w:p w:rsidR="00473674" w:rsidRPr="00C83029" w:rsidRDefault="00473674" w:rsidP="00473674">
      <w:pPr>
        <w:rPr>
          <w:lang w:val="en-AU"/>
        </w:rPr>
      </w:pPr>
      <w:r w:rsidRPr="00C83029">
        <w:rPr>
          <w:lang w:val="en-AU"/>
        </w:rPr>
        <w:t>Patients who develop increased transaminase levels should be monitored until the abnormalities have resolved. Should an increase in ALT or AST of &gt;</w:t>
      </w:r>
      <w:r w:rsidR="0058721A">
        <w:rPr>
          <w:lang w:val="en-AU"/>
        </w:rPr>
        <w:t xml:space="preserve"> </w:t>
      </w:r>
      <w:r w:rsidRPr="00C83029">
        <w:rPr>
          <w:lang w:val="en-AU"/>
        </w:rPr>
        <w:t xml:space="preserve">3 </w:t>
      </w:r>
      <w:proofErr w:type="gramStart"/>
      <w:r w:rsidRPr="00C83029">
        <w:rPr>
          <w:lang w:val="en-AU"/>
        </w:rPr>
        <w:t>times</w:t>
      </w:r>
      <w:proofErr w:type="gramEnd"/>
      <w:r w:rsidRPr="00C83029">
        <w:rPr>
          <w:lang w:val="en-AU"/>
        </w:rPr>
        <w:t xml:space="preserve"> upper limit of normal persist, reduction of dose or withdrawal of Livalo is recommended. </w:t>
      </w:r>
    </w:p>
    <w:p w:rsidR="00422558" w:rsidRPr="00C83029" w:rsidRDefault="00473674" w:rsidP="00473674">
      <w:pPr>
        <w:rPr>
          <w:lang w:val="en-AU"/>
        </w:rPr>
      </w:pPr>
      <w:r w:rsidRPr="00C83029">
        <w:rPr>
          <w:lang w:val="en-AU"/>
        </w:rPr>
        <w:t>As with other HMG-CoA reductase inhibitors, Livalo should be used with caution in patients who consume substantial quantities of alcohol. Active liver disease, which may include unexplained persistent transaminase elevations, is a contraindication to the use of Livalo</w:t>
      </w:r>
      <w:r w:rsidRPr="00C83029">
        <w:rPr>
          <w:i/>
          <w:iCs/>
          <w:lang w:val="en-AU"/>
        </w:rPr>
        <w:t xml:space="preserve">. </w:t>
      </w:r>
      <w:r w:rsidR="00351997" w:rsidRPr="00C83029">
        <w:rPr>
          <w:lang w:val="en-AU"/>
        </w:rPr>
        <w:t xml:space="preserve"> (</w:t>
      </w:r>
      <w:proofErr w:type="gramStart"/>
      <w:r w:rsidR="00F66FC6">
        <w:rPr>
          <w:lang w:val="en-AU"/>
        </w:rPr>
        <w:t>s</w:t>
      </w:r>
      <w:r w:rsidR="00351997" w:rsidRPr="00C83029">
        <w:rPr>
          <w:lang w:val="en-AU"/>
        </w:rPr>
        <w:t>ee</w:t>
      </w:r>
      <w:proofErr w:type="gramEnd"/>
      <w:r w:rsidR="00351997" w:rsidRPr="00C83029">
        <w:rPr>
          <w:lang w:val="en-AU"/>
        </w:rPr>
        <w:t xml:space="preserve"> </w:t>
      </w:r>
      <w:r w:rsidR="00F66FC6">
        <w:rPr>
          <w:lang w:val="en-AU"/>
        </w:rPr>
        <w:t>‘</w:t>
      </w:r>
      <w:r w:rsidR="00351997" w:rsidRPr="00C83029">
        <w:rPr>
          <w:lang w:val="en-AU"/>
        </w:rPr>
        <w:t>Contraindications</w:t>
      </w:r>
      <w:r w:rsidR="00F66FC6">
        <w:rPr>
          <w:lang w:val="en-AU"/>
        </w:rPr>
        <w:t>’</w:t>
      </w:r>
      <w:r w:rsidR="00351997" w:rsidRPr="00C83029">
        <w:rPr>
          <w:lang w:val="en-AU"/>
        </w:rPr>
        <w:t>)</w:t>
      </w:r>
    </w:p>
    <w:p w:rsidR="00527AD6" w:rsidRPr="00C83029" w:rsidRDefault="00527AD6" w:rsidP="00527AD6">
      <w:pPr>
        <w:pStyle w:val="Heading2"/>
      </w:pPr>
      <w:r w:rsidRPr="00C83029">
        <w:lastRenderedPageBreak/>
        <w:t>Endocrine Function</w:t>
      </w:r>
    </w:p>
    <w:p w:rsidR="00527AD6" w:rsidRPr="00C83029" w:rsidRDefault="00527AD6" w:rsidP="00527AD6">
      <w:pPr>
        <w:rPr>
          <w:lang w:val="en-AU"/>
        </w:rPr>
      </w:pPr>
      <w:r w:rsidRPr="00C83029">
        <w:rPr>
          <w:lang w:val="en-AU"/>
        </w:rPr>
        <w:t>HMG-CoA reductase inhibitors have been shown to interfere with cholesterol synthesis and lower circulating cholesterol levels, and, as such, might theoretically blunt adrenal or gonadal steroid hormone production.  No studies have been done to examine the effect of pitavastatin on endocrine function.</w:t>
      </w:r>
    </w:p>
    <w:p w:rsidR="007C209B" w:rsidRPr="00C83029" w:rsidRDefault="00C46477" w:rsidP="008B3204">
      <w:pPr>
        <w:pStyle w:val="Heading2"/>
      </w:pPr>
      <w:r>
        <w:t>Eye Disorders</w:t>
      </w:r>
    </w:p>
    <w:p w:rsidR="004B0EE2" w:rsidRPr="00464C36" w:rsidRDefault="007E593A" w:rsidP="0058721A">
      <w:pPr>
        <w:rPr>
          <w:lang w:val="en-AU"/>
        </w:rPr>
      </w:pPr>
      <w:r w:rsidRPr="00464C36">
        <w:rPr>
          <w:lang w:val="en-AU"/>
        </w:rPr>
        <w:t xml:space="preserve">The rate of eye disorder TEAEs in </w:t>
      </w:r>
      <w:r w:rsidR="00252D6D" w:rsidRPr="00464C36">
        <w:rPr>
          <w:lang w:val="en-AU"/>
        </w:rPr>
        <w:t>all European and US 12- or 16-week Phase II and III placebo- and active-controlled studies pooled</w:t>
      </w:r>
      <w:r w:rsidRPr="00464C36">
        <w:rPr>
          <w:lang w:val="en-AU"/>
        </w:rPr>
        <w:t xml:space="preserve"> was 0.7% compared to 1.4% in the placebo group. There were no reports of cataracts in pitavastatin treated patients. In </w:t>
      </w:r>
      <w:r w:rsidR="00252D6D" w:rsidRPr="00464C36">
        <w:rPr>
          <w:lang w:val="en-AU"/>
        </w:rPr>
        <w:t xml:space="preserve">a pooled analysis of all European and US Phase II and III data, including treatment to 72 weeks, </w:t>
      </w:r>
      <w:r w:rsidRPr="00464C36">
        <w:rPr>
          <w:lang w:val="en-AU"/>
        </w:rPr>
        <w:t xml:space="preserve">the rate of eye disorders was 1.6% and </w:t>
      </w:r>
      <w:r w:rsidR="001F6B90" w:rsidRPr="00464C36">
        <w:rPr>
          <w:lang w:val="en-AU"/>
        </w:rPr>
        <w:t>1.5</w:t>
      </w:r>
      <w:r w:rsidRPr="00464C36">
        <w:rPr>
          <w:lang w:val="en-AU"/>
        </w:rPr>
        <w:t>% in the 2 mg and 4 mg groups, respectively. The rate of conjunctivitis was 0.4% and for cataracts was 0.2%.</w:t>
      </w:r>
    </w:p>
    <w:p w:rsidR="00B156E3" w:rsidRPr="00C83029" w:rsidRDefault="00B156E3" w:rsidP="008B3204">
      <w:pPr>
        <w:pStyle w:val="Heading2"/>
      </w:pPr>
      <w:r w:rsidRPr="00C83029">
        <w:t>Interstitial Lung Disease</w:t>
      </w:r>
    </w:p>
    <w:p w:rsidR="00B156E3" w:rsidRPr="00C83029" w:rsidRDefault="00B156E3" w:rsidP="00EE5749">
      <w:pPr>
        <w:rPr>
          <w:lang w:val="en-AU"/>
        </w:rPr>
      </w:pPr>
      <w:r w:rsidRPr="00C83029">
        <w:rPr>
          <w:lang w:val="en-AU"/>
        </w:rPr>
        <w:t>Exceptional cases of interstitial lung disease have been reported with some statins, especially with long term therapy. Presenting features can include dyspnoea, non-productive cough and deterioration in general health (fatigue, weight loss and fever). If it is suspected a patient has developed interstitial lung disease, statin therapy should be discontinued.</w:t>
      </w:r>
    </w:p>
    <w:p w:rsidR="00CD2773" w:rsidRPr="00C83029" w:rsidRDefault="00CD2773" w:rsidP="006A18FC">
      <w:pPr>
        <w:pStyle w:val="Heading2"/>
      </w:pPr>
      <w:r w:rsidRPr="00C83029">
        <w:t>Use in the Elderly</w:t>
      </w:r>
    </w:p>
    <w:p w:rsidR="00375DE6" w:rsidRPr="00AA0B24" w:rsidRDefault="00540117" w:rsidP="000D3E89">
      <w:pPr>
        <w:rPr>
          <w:lang w:val="en-AU"/>
        </w:rPr>
      </w:pPr>
      <w:r w:rsidRPr="00540117">
        <w:rPr>
          <w:lang w:val="en-AU"/>
        </w:rPr>
        <w:t>Of the 2,800 patients randomi</w:t>
      </w:r>
      <w:r>
        <w:rPr>
          <w:lang w:val="en-AU"/>
        </w:rPr>
        <w:t>s</w:t>
      </w:r>
      <w:r w:rsidRPr="00540117">
        <w:rPr>
          <w:lang w:val="en-AU"/>
        </w:rPr>
        <w:t xml:space="preserve">ed to Livalo 1 mg to 4 mg in controlled clinical studies, 1,209 (43%) were 65 years and older. </w:t>
      </w:r>
      <w:r w:rsidR="00664E9B">
        <w:rPr>
          <w:lang w:val="en-AU"/>
        </w:rPr>
        <w:t>T</w:t>
      </w:r>
      <w:r>
        <w:rPr>
          <w:lang w:val="en-AU"/>
        </w:rPr>
        <w:t>here was an increased frequency of adverse events and serious adverse events in the elderly.</w:t>
      </w:r>
      <w:r w:rsidR="00664E9B">
        <w:rPr>
          <w:lang w:val="en-AU"/>
        </w:rPr>
        <w:t xml:space="preserve"> However, n</w:t>
      </w:r>
      <w:r w:rsidR="00664E9B" w:rsidRPr="00540117">
        <w:rPr>
          <w:lang w:val="en-AU"/>
        </w:rPr>
        <w:t>o significant differences in efficacy or safety were observed between elderly patients and younger patients.</w:t>
      </w:r>
    </w:p>
    <w:p w:rsidR="00887ED5" w:rsidRPr="00C83029" w:rsidRDefault="00887ED5" w:rsidP="008B3204">
      <w:pPr>
        <w:pStyle w:val="Heading2"/>
      </w:pPr>
      <w:r w:rsidRPr="00C83029">
        <w:t>Other effects</w:t>
      </w:r>
    </w:p>
    <w:p w:rsidR="00F66FC6" w:rsidRDefault="00887ED5" w:rsidP="00EE5749">
      <w:pPr>
        <w:rPr>
          <w:lang w:val="en-AU"/>
        </w:rPr>
      </w:pPr>
      <w:r w:rsidRPr="00C83029">
        <w:rPr>
          <w:lang w:val="en-AU"/>
        </w:rPr>
        <w:t xml:space="preserve">A temporary suspension of </w:t>
      </w:r>
      <w:r w:rsidR="0095510D" w:rsidRPr="00C83029">
        <w:rPr>
          <w:lang w:val="en-AU"/>
        </w:rPr>
        <w:t>Livalo</w:t>
      </w:r>
      <w:r w:rsidRPr="00C83029">
        <w:rPr>
          <w:lang w:val="en-AU"/>
        </w:rPr>
        <w:t xml:space="preserve"> is recommended for the duration of treatment with erythromycin,</w:t>
      </w:r>
      <w:r w:rsidR="0095510D" w:rsidRPr="00C83029">
        <w:rPr>
          <w:lang w:val="en-AU"/>
        </w:rPr>
        <w:t xml:space="preserve"> </w:t>
      </w:r>
      <w:r w:rsidRPr="00C83029">
        <w:rPr>
          <w:lang w:val="en-AU"/>
        </w:rPr>
        <w:t xml:space="preserve">other macrolide antibiotics or fusidic acid (see </w:t>
      </w:r>
      <w:r w:rsidR="00F66FC6">
        <w:rPr>
          <w:lang w:val="en-AU"/>
        </w:rPr>
        <w:t>‘</w:t>
      </w:r>
      <w:r w:rsidR="00B15347" w:rsidRPr="00C83029">
        <w:rPr>
          <w:lang w:val="en-AU"/>
        </w:rPr>
        <w:t xml:space="preserve">Interactions </w:t>
      </w:r>
      <w:r w:rsidR="00F66FC6">
        <w:rPr>
          <w:lang w:val="en-AU"/>
        </w:rPr>
        <w:t>with other medicines’</w:t>
      </w:r>
      <w:r w:rsidRPr="00C83029">
        <w:rPr>
          <w:lang w:val="en-AU"/>
        </w:rPr>
        <w:t xml:space="preserve">). </w:t>
      </w:r>
    </w:p>
    <w:p w:rsidR="00F66FC6" w:rsidRDefault="0095510D" w:rsidP="00EE5749">
      <w:pPr>
        <w:rPr>
          <w:lang w:val="en-AU"/>
        </w:rPr>
      </w:pPr>
      <w:r w:rsidRPr="00C83029">
        <w:rPr>
          <w:lang w:val="en-AU"/>
        </w:rPr>
        <w:t>Livalo</w:t>
      </w:r>
      <w:r w:rsidR="00887ED5" w:rsidRPr="00C83029">
        <w:rPr>
          <w:lang w:val="en-AU"/>
        </w:rPr>
        <w:t xml:space="preserve"> should be used with caution in</w:t>
      </w:r>
      <w:r w:rsidRPr="00C83029">
        <w:rPr>
          <w:lang w:val="en-AU"/>
        </w:rPr>
        <w:t xml:space="preserve"> </w:t>
      </w:r>
      <w:r w:rsidR="00887ED5" w:rsidRPr="00C83029">
        <w:rPr>
          <w:lang w:val="en-AU"/>
        </w:rPr>
        <w:t>patients taking drugs known to cause myopathy (e.g. fibrates or niacin).</w:t>
      </w:r>
      <w:r w:rsidRPr="00C83029">
        <w:rPr>
          <w:lang w:val="en-AU"/>
        </w:rPr>
        <w:t xml:space="preserve"> </w:t>
      </w:r>
    </w:p>
    <w:p w:rsidR="00887ED5" w:rsidRPr="00C83029" w:rsidRDefault="00887ED5" w:rsidP="00EE5749">
      <w:pPr>
        <w:rPr>
          <w:lang w:val="en-AU"/>
        </w:rPr>
      </w:pPr>
      <w:r w:rsidRPr="00C83029">
        <w:rPr>
          <w:lang w:val="en-AU"/>
        </w:rPr>
        <w:t>The tablets contain lactose. Patients with the rare hereditary problems of galactose intolerance, Lapp</w:t>
      </w:r>
      <w:r w:rsidR="0095510D" w:rsidRPr="00C83029">
        <w:rPr>
          <w:lang w:val="en-AU"/>
        </w:rPr>
        <w:t xml:space="preserve"> </w:t>
      </w:r>
      <w:r w:rsidRPr="00C83029">
        <w:rPr>
          <w:lang w:val="en-AU"/>
        </w:rPr>
        <w:t>lactase deficiency or glucose-galactose malabsorption should not take this medicine.</w:t>
      </w:r>
    </w:p>
    <w:p w:rsidR="00CE5F79" w:rsidRPr="00C83029" w:rsidRDefault="00CE5F79" w:rsidP="00CE5F79">
      <w:pPr>
        <w:pStyle w:val="Heading2"/>
      </w:pPr>
      <w:r w:rsidRPr="00C83029">
        <w:t>Effects on Fertility</w:t>
      </w:r>
    </w:p>
    <w:p w:rsidR="00CE5F79" w:rsidRPr="00C83029" w:rsidRDefault="00CE5F79" w:rsidP="00EE5749">
      <w:pPr>
        <w:rPr>
          <w:lang w:val="en-AU"/>
        </w:rPr>
      </w:pPr>
      <w:r w:rsidRPr="00C83029">
        <w:rPr>
          <w:lang w:val="en-AU"/>
        </w:rPr>
        <w:t>Pitavastatin had no adverse effects on male and female rat fertility at oral doses of 10 and 30 mg/kg/day, respectively, at systemic exposures 56- and 354-times clinical exposure at 4 mg/day based on AUC.</w:t>
      </w:r>
      <w:r w:rsidR="00F66FC6">
        <w:rPr>
          <w:lang w:val="en-AU"/>
        </w:rPr>
        <w:t xml:space="preserve">  </w:t>
      </w:r>
      <w:r w:rsidRPr="00C83029">
        <w:rPr>
          <w:lang w:val="en-AU"/>
        </w:rPr>
        <w:t>Pitavastatin treatment in rabbits resulted in mortality in males and females given 1 mg/kg/day (30-times clinical systemic exposure at 4 mg/day based on AUC) and higher during a fertility study. Although the cause of death was not determined, rabbits had gross signs of renal toxicity (kidneys whitened) indicative of possible ischaemia. Lower doses (15-times human systemic exposure) did not show significant toxicity in adult males and females. However, decreased implantations, increased resorptions, and decreased viability of foetuses were observed.</w:t>
      </w:r>
    </w:p>
    <w:p w:rsidR="008C1E29" w:rsidRPr="00C83029" w:rsidRDefault="008C1E29" w:rsidP="008C1E29">
      <w:pPr>
        <w:pStyle w:val="Heading2"/>
      </w:pPr>
      <w:r w:rsidRPr="00C83029">
        <w:t>Use in Pregnancy</w:t>
      </w:r>
    </w:p>
    <w:p w:rsidR="008C1E29" w:rsidRPr="00C83029" w:rsidRDefault="008C1E29" w:rsidP="00EE5749">
      <w:pPr>
        <w:rPr>
          <w:lang w:val="en-AU"/>
        </w:rPr>
      </w:pPr>
      <w:r w:rsidRPr="00C83029">
        <w:rPr>
          <w:lang w:val="en-AU"/>
        </w:rPr>
        <w:t>Pregnancy Category D</w:t>
      </w:r>
      <w:r w:rsidR="00F66FC6">
        <w:rPr>
          <w:lang w:val="en-AU"/>
        </w:rPr>
        <w:t xml:space="preserve"> (</w:t>
      </w:r>
      <w:proofErr w:type="spellStart"/>
      <w:r w:rsidR="00F66FC6" w:rsidRPr="00C83029">
        <w:rPr>
          <w:lang w:val="en-AU"/>
        </w:rPr>
        <w:t>Teratogenic</w:t>
      </w:r>
      <w:proofErr w:type="spellEnd"/>
      <w:r w:rsidR="00F66FC6" w:rsidRPr="00C83029">
        <w:rPr>
          <w:lang w:val="en-AU"/>
        </w:rPr>
        <w:t xml:space="preserve"> effects</w:t>
      </w:r>
      <w:r w:rsidR="00F66FC6">
        <w:rPr>
          <w:lang w:val="en-AU"/>
        </w:rPr>
        <w:t>)</w:t>
      </w:r>
    </w:p>
    <w:p w:rsidR="008C1E29" w:rsidRPr="00C83029" w:rsidRDefault="008C1E29" w:rsidP="00EE5749">
      <w:pPr>
        <w:rPr>
          <w:lang w:val="en-AU"/>
        </w:rPr>
      </w:pPr>
      <w:r w:rsidRPr="00C83029">
        <w:rPr>
          <w:lang w:val="en-AU"/>
        </w:rPr>
        <w:t xml:space="preserve">Livalo is contraindicated in women who are or may become pregnant. Serum cholesterol and TG increase during normal pregnancy, and cholesterol products are essential for foetal development. Atherosclerosis is a chronic process and discontinuation of lipid-lowering drugs </w:t>
      </w:r>
      <w:r w:rsidRPr="00C83029">
        <w:rPr>
          <w:lang w:val="en-AU"/>
        </w:rPr>
        <w:lastRenderedPageBreak/>
        <w:t xml:space="preserve">during pregnancy should have little impact on long-term outcomes of primary hyperlipidaemia therapy </w:t>
      </w:r>
      <w:r w:rsidR="00F66FC6">
        <w:rPr>
          <w:lang w:val="en-AU"/>
        </w:rPr>
        <w:t>(</w:t>
      </w:r>
      <w:r w:rsidRPr="00C83029">
        <w:rPr>
          <w:lang w:val="en-AU"/>
        </w:rPr>
        <w:t xml:space="preserve">see </w:t>
      </w:r>
      <w:r w:rsidR="00F66FC6">
        <w:rPr>
          <w:lang w:val="en-AU"/>
        </w:rPr>
        <w:t>‘</w:t>
      </w:r>
      <w:r w:rsidRPr="00C83029">
        <w:rPr>
          <w:lang w:val="en-AU"/>
        </w:rPr>
        <w:t>Contraindications</w:t>
      </w:r>
      <w:r w:rsidR="00F66FC6">
        <w:rPr>
          <w:lang w:val="en-AU"/>
        </w:rPr>
        <w:t>’)</w:t>
      </w:r>
      <w:r w:rsidRPr="00C83029">
        <w:rPr>
          <w:lang w:val="en-AU"/>
        </w:rPr>
        <w:t>.</w:t>
      </w:r>
    </w:p>
    <w:p w:rsidR="008C1E29" w:rsidRPr="00C83029" w:rsidRDefault="008C1E29" w:rsidP="00EE5749">
      <w:pPr>
        <w:rPr>
          <w:lang w:val="en-AU"/>
        </w:rPr>
      </w:pPr>
      <w:r w:rsidRPr="00C83029">
        <w:rPr>
          <w:lang w:val="en-AU"/>
        </w:rPr>
        <w:t>There are no adequate and well-controlled studies of Livalo in pregnant women, although, there have been rare reports of congenital anomalies following intrauterine exposure to HMG-CoA reductase inhibitors. In a review of about 100 prospectively followed pregnancies in women exposed to other HMG-CoA reductase inhibitors, the incidences of congenital anomalies, spontaneous abortions, and foetal deaths/stillbirths did not exceed the rate expected in the general population. However, this study was only able to exclude a three-to-four-fold increased risk of congenital anomalies over background incidence. In 89% of these cases, drug treatment started before pregnancy and stopped during the first trimester when pregnancy was identified.</w:t>
      </w:r>
    </w:p>
    <w:p w:rsidR="008C1E29" w:rsidRPr="00C83029" w:rsidRDefault="008C1E29" w:rsidP="00EE5749">
      <w:pPr>
        <w:rPr>
          <w:lang w:val="en-AU"/>
        </w:rPr>
      </w:pPr>
      <w:r w:rsidRPr="00C83029">
        <w:rPr>
          <w:lang w:val="en-AU"/>
        </w:rPr>
        <w:t>Reproductive toxicity studies have shown that pitavastatin crosses the placenta in rats and is found in foetal tissues at ≤36% of maternal plasma concentrations following a single dose of 1 mg/kg/day during gestation.</w:t>
      </w:r>
      <w:r w:rsidR="00F66FC6">
        <w:rPr>
          <w:lang w:val="en-AU"/>
        </w:rPr>
        <w:t xml:space="preserve"> </w:t>
      </w:r>
      <w:r w:rsidRPr="00C83029">
        <w:rPr>
          <w:lang w:val="en-AU"/>
        </w:rPr>
        <w:t>Embryo-foetal developmental studies were conducted in pregnant rats treated with 3, 10, 30 mg/kg/day pitavastatin by oral gavage during organogenesis. No adverse effects were observed at 3 mg/kg/day, systemic exposures 22 times human systemic exposure at 4 mg/day based on AUC.</w:t>
      </w:r>
      <w:r w:rsidR="00F66FC6">
        <w:rPr>
          <w:lang w:val="en-AU"/>
        </w:rPr>
        <w:t xml:space="preserve"> </w:t>
      </w:r>
      <w:r w:rsidRPr="00C83029">
        <w:rPr>
          <w:lang w:val="en-AU"/>
        </w:rPr>
        <w:t>Embryo-foetal developmental studies were conducted in pregnant rabbits treated with 0.1, 0.3, 1 mg/kg/day pitavastatin by oral gavage during the period of foetal organogenesis. Maternal toxicity consisting of reduced body weight and abortion was observed at all doses tested (4 times human systemic exposure at 4 mg/day based on AUC).</w:t>
      </w:r>
    </w:p>
    <w:p w:rsidR="008C1E29" w:rsidRPr="00C83029" w:rsidRDefault="008C1E29" w:rsidP="00EE5749">
      <w:pPr>
        <w:rPr>
          <w:lang w:val="en-AU"/>
        </w:rPr>
      </w:pPr>
      <w:r w:rsidRPr="00C83029">
        <w:rPr>
          <w:lang w:val="en-AU"/>
        </w:rPr>
        <w:t xml:space="preserve">In perinatal/postnatal studies in pregnant rats given oral gavage doses of pitavastatin at 0.1, 0.3, 1, 3, 10, 30 mg/kg/day from organogenesis through weaning, maternal toxicity consisting of mortality at ≥0.3 mg/kg/day and impaired lactation at all doses contributed to the decreased survival of neonates in all dose groups (0.1 mg/kg/day </w:t>
      </w:r>
      <w:r w:rsidR="00CE5F79" w:rsidRPr="00C83029">
        <w:rPr>
          <w:lang w:val="en-AU"/>
        </w:rPr>
        <w:t>corresponds to less than or equal to</w:t>
      </w:r>
      <w:r w:rsidRPr="00C83029">
        <w:rPr>
          <w:lang w:val="en-AU"/>
        </w:rPr>
        <w:t xml:space="preserve"> human systemic exposure at 4 mg/day dose based on AUC).</w:t>
      </w:r>
    </w:p>
    <w:p w:rsidR="008C1E29" w:rsidRPr="00C83029" w:rsidRDefault="008C1E29" w:rsidP="00EE5749">
      <w:pPr>
        <w:rPr>
          <w:lang w:val="en-AU"/>
        </w:rPr>
      </w:pPr>
      <w:r w:rsidRPr="00C83029">
        <w:rPr>
          <w:lang w:val="en-AU"/>
        </w:rPr>
        <w:t xml:space="preserve">Livalo may cause foetal harm when administered to a pregnant woman. If the patient becomes pregnant while taking </w:t>
      </w:r>
      <w:r w:rsidR="005B6C1C" w:rsidRPr="00C83029">
        <w:rPr>
          <w:lang w:val="en-AU"/>
        </w:rPr>
        <w:t>Livalo</w:t>
      </w:r>
      <w:r w:rsidRPr="00C83029">
        <w:rPr>
          <w:lang w:val="en-AU"/>
        </w:rPr>
        <w:t>, the patient should be apprised of the potential risks to the foetus and the lack of known clinical benefit with continued use during pregnancy.</w:t>
      </w:r>
    </w:p>
    <w:p w:rsidR="008C1E29" w:rsidRPr="00C83029" w:rsidRDefault="008C1E29" w:rsidP="008C1E29">
      <w:pPr>
        <w:pStyle w:val="Heading2"/>
      </w:pPr>
      <w:r w:rsidRPr="00C83029">
        <w:t>Use in Lactation</w:t>
      </w:r>
    </w:p>
    <w:p w:rsidR="008C1E29" w:rsidRPr="00C83029" w:rsidRDefault="008C1E29" w:rsidP="00EE5749">
      <w:pPr>
        <w:rPr>
          <w:lang w:val="en-AU"/>
        </w:rPr>
      </w:pPr>
      <w:r w:rsidRPr="00C83029">
        <w:rPr>
          <w:lang w:val="en-AU"/>
        </w:rPr>
        <w:t xml:space="preserve">It is not known whether pitavastatin is excreted in human milk, however, it has been shown that a small amount of another drug in this class passes into human milk. </w:t>
      </w:r>
      <w:r w:rsidR="00CE5F79" w:rsidRPr="00C83029">
        <w:rPr>
          <w:lang w:val="en-AU"/>
        </w:rPr>
        <w:t>S</w:t>
      </w:r>
      <w:r w:rsidRPr="00C83029">
        <w:rPr>
          <w:lang w:val="en-AU"/>
        </w:rPr>
        <w:t xml:space="preserve">tudies have shown that pitavastatin is </w:t>
      </w:r>
      <w:r w:rsidR="00CE5F79" w:rsidRPr="00C83029">
        <w:rPr>
          <w:lang w:val="en-AU"/>
        </w:rPr>
        <w:t xml:space="preserve">readily </w:t>
      </w:r>
      <w:r w:rsidRPr="00C83029">
        <w:rPr>
          <w:lang w:val="en-AU"/>
        </w:rPr>
        <w:t xml:space="preserve">excreted </w:t>
      </w:r>
      <w:r w:rsidR="00CE5F79" w:rsidRPr="00C83029">
        <w:rPr>
          <w:lang w:val="en-AU"/>
        </w:rPr>
        <w:t xml:space="preserve">in the </w:t>
      </w:r>
      <w:r w:rsidRPr="00C83029">
        <w:rPr>
          <w:lang w:val="en-AU"/>
        </w:rPr>
        <w:t>milk</w:t>
      </w:r>
      <w:r w:rsidR="00CE5F79" w:rsidRPr="00C83029">
        <w:rPr>
          <w:lang w:val="en-AU"/>
        </w:rPr>
        <w:t xml:space="preserve"> of lactating rats</w:t>
      </w:r>
      <w:r w:rsidRPr="00C83029">
        <w:rPr>
          <w:lang w:val="en-AU"/>
        </w:rPr>
        <w:t xml:space="preserve">. Because another drug in this class passes into human milk and HMG-CoA reductase inhibitors have a potential to cause serious adverse reactions in nursing infants, women who require Livalo treatment should be advised not to nurse their infants or to discontinue Livalo (see </w:t>
      </w:r>
      <w:r w:rsidR="00F66FC6">
        <w:rPr>
          <w:lang w:val="en-AU"/>
        </w:rPr>
        <w:t>‘</w:t>
      </w:r>
      <w:r w:rsidRPr="00C83029">
        <w:rPr>
          <w:lang w:val="en-AU"/>
        </w:rPr>
        <w:t>Contraindications</w:t>
      </w:r>
      <w:r w:rsidR="00F66FC6">
        <w:rPr>
          <w:lang w:val="en-AU"/>
        </w:rPr>
        <w:t>’</w:t>
      </w:r>
      <w:r w:rsidRPr="00C83029">
        <w:rPr>
          <w:lang w:val="en-AU"/>
        </w:rPr>
        <w:t>).</w:t>
      </w:r>
    </w:p>
    <w:p w:rsidR="00CD2773" w:rsidRPr="00C83029" w:rsidRDefault="008C1E29" w:rsidP="008B3204">
      <w:pPr>
        <w:pStyle w:val="Heading2"/>
      </w:pPr>
      <w:r w:rsidRPr="00C83029">
        <w:t>Paediatric Use</w:t>
      </w:r>
    </w:p>
    <w:p w:rsidR="00CD2773" w:rsidRPr="00C83029" w:rsidRDefault="006A7D74" w:rsidP="00EE5749">
      <w:pPr>
        <w:rPr>
          <w:lang w:val="en-AU"/>
        </w:rPr>
      </w:pPr>
      <w:r w:rsidRPr="00C83029">
        <w:rPr>
          <w:lang w:val="en-AU"/>
        </w:rPr>
        <w:t xml:space="preserve">Safety and effectiveness of </w:t>
      </w:r>
      <w:r w:rsidR="00B15347" w:rsidRPr="00C83029">
        <w:rPr>
          <w:lang w:val="en-AU"/>
        </w:rPr>
        <w:t xml:space="preserve">Livalo </w:t>
      </w:r>
      <w:r w:rsidRPr="00C83029">
        <w:rPr>
          <w:lang w:val="en-AU"/>
        </w:rPr>
        <w:t xml:space="preserve">in </w:t>
      </w:r>
      <w:r w:rsidR="00CD7BD3" w:rsidRPr="00C83029">
        <w:rPr>
          <w:lang w:val="en-AU"/>
        </w:rPr>
        <w:t>paediatric</w:t>
      </w:r>
      <w:r w:rsidRPr="00C83029">
        <w:rPr>
          <w:lang w:val="en-AU"/>
        </w:rPr>
        <w:t xml:space="preserve"> patients have not been established.</w:t>
      </w:r>
    </w:p>
    <w:p w:rsidR="00CD2773" w:rsidRPr="00C83029" w:rsidRDefault="00CD2773" w:rsidP="008B3204">
      <w:pPr>
        <w:pStyle w:val="Heading2"/>
      </w:pPr>
      <w:r w:rsidRPr="00C83029">
        <w:t>Use in Renal Insufficiency</w:t>
      </w:r>
    </w:p>
    <w:p w:rsidR="00852AC4" w:rsidRPr="00C83029" w:rsidRDefault="00852AC4" w:rsidP="00EE5749">
      <w:pPr>
        <w:rPr>
          <w:lang w:val="en-AU"/>
        </w:rPr>
      </w:pPr>
      <w:r w:rsidRPr="00C83029">
        <w:rPr>
          <w:lang w:val="en-AU"/>
        </w:rPr>
        <w:t xml:space="preserve">For patients with </w:t>
      </w:r>
      <w:r w:rsidR="003F3FDA">
        <w:rPr>
          <w:lang w:val="en-AU"/>
        </w:rPr>
        <w:t>Stage 3 kidney</w:t>
      </w:r>
      <w:r w:rsidRPr="00C83029">
        <w:rPr>
          <w:lang w:val="en-AU"/>
        </w:rPr>
        <w:t xml:space="preserve"> disease</w:t>
      </w:r>
      <w:r w:rsidR="00913E10">
        <w:rPr>
          <w:lang w:val="en-AU"/>
        </w:rPr>
        <w:t xml:space="preserve"> (</w:t>
      </w:r>
      <w:r w:rsidR="00A9751E">
        <w:rPr>
          <w:lang w:val="en-AU"/>
        </w:rPr>
        <w:t>GFR 30-59 mL/min/1.73m</w:t>
      </w:r>
      <w:r w:rsidR="00A9751E" w:rsidRPr="00A9751E">
        <w:rPr>
          <w:vertAlign w:val="superscript"/>
          <w:lang w:val="en-AU"/>
        </w:rPr>
        <w:t>2</w:t>
      </w:r>
      <w:r w:rsidR="00A9751E">
        <w:rPr>
          <w:lang w:val="en-AU"/>
        </w:rPr>
        <w:t>)</w:t>
      </w:r>
      <w:r w:rsidRPr="00C83029">
        <w:rPr>
          <w:lang w:val="en-AU"/>
        </w:rPr>
        <w:t xml:space="preserve"> and those on haemodialysis increases in AUC values were 1.8-fold and 1.7-fold respectively.</w:t>
      </w:r>
      <w:r w:rsidR="009C6DAC" w:rsidRPr="00C83029">
        <w:rPr>
          <w:lang w:val="en-AU"/>
        </w:rPr>
        <w:t xml:space="preserve"> Livalo has not been studied in patients with</w:t>
      </w:r>
      <w:r w:rsidR="00A9751E">
        <w:rPr>
          <w:lang w:val="en-AU"/>
        </w:rPr>
        <w:t xml:space="preserve"> </w:t>
      </w:r>
      <w:r w:rsidR="003F3FDA">
        <w:rPr>
          <w:lang w:val="en-AU"/>
        </w:rPr>
        <w:t>Stage 4 kidney</w:t>
      </w:r>
      <w:r w:rsidR="00A9751E">
        <w:rPr>
          <w:lang w:val="en-AU"/>
        </w:rPr>
        <w:t xml:space="preserve"> </w:t>
      </w:r>
      <w:r w:rsidR="00F66FC6">
        <w:rPr>
          <w:lang w:val="en-AU"/>
        </w:rPr>
        <w:t>disease</w:t>
      </w:r>
      <w:r w:rsidR="00A9751E">
        <w:rPr>
          <w:lang w:val="en-AU"/>
        </w:rPr>
        <w:t xml:space="preserve"> (</w:t>
      </w:r>
      <w:r w:rsidR="009C6DAC" w:rsidRPr="00C83029">
        <w:rPr>
          <w:lang w:val="en-AU"/>
        </w:rPr>
        <w:t>GFR &lt;</w:t>
      </w:r>
      <w:r w:rsidR="003F3FDA">
        <w:rPr>
          <w:lang w:val="en-AU"/>
        </w:rPr>
        <w:t xml:space="preserve"> </w:t>
      </w:r>
      <w:r w:rsidR="009C6DAC" w:rsidRPr="00C83029">
        <w:rPr>
          <w:lang w:val="en-AU"/>
        </w:rPr>
        <w:t>30 mL</w:t>
      </w:r>
      <w:r w:rsidR="00913E10">
        <w:rPr>
          <w:lang w:val="en-AU"/>
        </w:rPr>
        <w:t>/</w:t>
      </w:r>
      <w:r w:rsidR="009C6DAC" w:rsidRPr="00C83029">
        <w:rPr>
          <w:lang w:val="en-AU"/>
        </w:rPr>
        <w:t>min/1.7m</w:t>
      </w:r>
      <w:r w:rsidR="009C6DAC" w:rsidRPr="00A9751E">
        <w:rPr>
          <w:vertAlign w:val="superscript"/>
          <w:lang w:val="en-AU"/>
        </w:rPr>
        <w:t>2</w:t>
      </w:r>
      <w:r w:rsidR="00A9751E">
        <w:rPr>
          <w:lang w:val="en-AU"/>
        </w:rPr>
        <w:t>)</w:t>
      </w:r>
      <w:r w:rsidR="009C6DAC" w:rsidRPr="00C83029">
        <w:rPr>
          <w:lang w:val="en-AU"/>
        </w:rPr>
        <w:t xml:space="preserve"> not on haemodialysis.  Livalo should be used with caution in patients with </w:t>
      </w:r>
      <w:r w:rsidR="003F3FDA">
        <w:rPr>
          <w:lang w:val="en-AU"/>
        </w:rPr>
        <w:t xml:space="preserve">stage 3 </w:t>
      </w:r>
      <w:r w:rsidR="009C6DAC" w:rsidRPr="00C83029">
        <w:rPr>
          <w:lang w:val="en-AU"/>
        </w:rPr>
        <w:t xml:space="preserve">or </w:t>
      </w:r>
      <w:r w:rsidR="003F3FDA">
        <w:rPr>
          <w:lang w:val="en-AU"/>
        </w:rPr>
        <w:t xml:space="preserve">stage 4 </w:t>
      </w:r>
      <w:r w:rsidR="00F66FC6">
        <w:rPr>
          <w:lang w:val="en-AU"/>
        </w:rPr>
        <w:t xml:space="preserve">kidney </w:t>
      </w:r>
      <w:proofErr w:type="gramStart"/>
      <w:r w:rsidR="00F66FC6">
        <w:rPr>
          <w:lang w:val="en-AU"/>
        </w:rPr>
        <w:t>disease</w:t>
      </w:r>
      <w:proofErr w:type="gramEnd"/>
      <w:r w:rsidR="009C6DAC" w:rsidRPr="00C83029">
        <w:rPr>
          <w:lang w:val="en-AU"/>
        </w:rPr>
        <w:t xml:space="preserve">. Dose increments should be instituted only with close monitoring. In those with </w:t>
      </w:r>
      <w:r w:rsidR="003F3FDA">
        <w:rPr>
          <w:lang w:val="en-AU"/>
        </w:rPr>
        <w:t xml:space="preserve">stage 4 </w:t>
      </w:r>
      <w:r w:rsidR="00F66FC6">
        <w:rPr>
          <w:lang w:val="en-AU"/>
        </w:rPr>
        <w:t>kidney disease</w:t>
      </w:r>
      <w:r w:rsidR="009C6DAC" w:rsidRPr="00C83029">
        <w:rPr>
          <w:lang w:val="en-AU"/>
        </w:rPr>
        <w:t>, 4mg dose is not recommended.</w:t>
      </w:r>
      <w:r w:rsidR="009C6DAC" w:rsidRPr="00C83029" w:rsidDel="00DF263A">
        <w:rPr>
          <w:lang w:val="en-AU"/>
        </w:rPr>
        <w:t xml:space="preserve"> </w:t>
      </w:r>
      <w:r w:rsidR="009C6DAC" w:rsidRPr="00C83029">
        <w:rPr>
          <w:lang w:val="en-AU"/>
        </w:rPr>
        <w:t>(</w:t>
      </w:r>
      <w:proofErr w:type="gramStart"/>
      <w:r w:rsidR="00F66FC6">
        <w:rPr>
          <w:lang w:val="en-AU"/>
        </w:rPr>
        <w:t>s</w:t>
      </w:r>
      <w:r w:rsidR="009C6DAC" w:rsidRPr="00C83029">
        <w:rPr>
          <w:lang w:val="en-AU"/>
        </w:rPr>
        <w:t>ee</w:t>
      </w:r>
      <w:proofErr w:type="gramEnd"/>
      <w:r w:rsidR="009C6DAC" w:rsidRPr="00C83029">
        <w:rPr>
          <w:lang w:val="en-AU"/>
        </w:rPr>
        <w:t xml:space="preserve"> </w:t>
      </w:r>
      <w:r w:rsidR="00F66FC6">
        <w:rPr>
          <w:lang w:val="en-AU"/>
        </w:rPr>
        <w:t>‘</w:t>
      </w:r>
      <w:r w:rsidR="009C6DAC" w:rsidRPr="00C83029">
        <w:rPr>
          <w:lang w:val="en-AU"/>
        </w:rPr>
        <w:t>Dosage and Administration</w:t>
      </w:r>
      <w:r w:rsidR="00F66FC6">
        <w:rPr>
          <w:lang w:val="en-AU"/>
        </w:rPr>
        <w:t>’</w:t>
      </w:r>
      <w:r w:rsidR="009C6DAC" w:rsidRPr="00C83029">
        <w:rPr>
          <w:lang w:val="en-AU"/>
        </w:rPr>
        <w:t xml:space="preserve"> and </w:t>
      </w:r>
      <w:r w:rsidR="00F66FC6">
        <w:rPr>
          <w:lang w:val="en-AU"/>
        </w:rPr>
        <w:t>‘</w:t>
      </w:r>
      <w:r w:rsidR="009C6DAC" w:rsidRPr="00C83029">
        <w:rPr>
          <w:lang w:val="en-AU"/>
        </w:rPr>
        <w:t>Pharmacokinetics</w:t>
      </w:r>
      <w:r w:rsidR="00F66FC6">
        <w:rPr>
          <w:lang w:val="en-AU"/>
        </w:rPr>
        <w:t>’</w:t>
      </w:r>
      <w:r w:rsidR="009C6DAC" w:rsidRPr="00C83029">
        <w:rPr>
          <w:lang w:val="en-AU"/>
        </w:rPr>
        <w:t>).</w:t>
      </w:r>
    </w:p>
    <w:p w:rsidR="00CD2773" w:rsidRPr="00C83029" w:rsidRDefault="00CD2773" w:rsidP="008B3204">
      <w:pPr>
        <w:pStyle w:val="Heading2"/>
      </w:pPr>
      <w:r w:rsidRPr="00C83029">
        <w:t>Use in Hepatic Insufficiency</w:t>
      </w:r>
    </w:p>
    <w:p w:rsidR="00DF263A" w:rsidRPr="00C83029" w:rsidRDefault="00852AC4" w:rsidP="00EE5749">
      <w:pPr>
        <w:rPr>
          <w:lang w:val="en-AU"/>
        </w:rPr>
      </w:pPr>
      <w:r w:rsidRPr="00C83029">
        <w:rPr>
          <w:lang w:val="en-AU"/>
        </w:rPr>
        <w:t xml:space="preserve">For patients with mild (Child-Pugh A) hepatic impairment AUC was 1.6 times that in healthy subjects, while for patients with moderate (Child-Pugh B) hepatic impairment AUC was 3.9-fold </w:t>
      </w:r>
      <w:r w:rsidRPr="00C83029">
        <w:rPr>
          <w:lang w:val="en-AU"/>
        </w:rPr>
        <w:lastRenderedPageBreak/>
        <w:t>higher. Dose restrictions are recommended in patients with mild and moderate hepatic impairment. (</w:t>
      </w:r>
      <w:proofErr w:type="gramStart"/>
      <w:r w:rsidR="0058721A">
        <w:rPr>
          <w:lang w:val="en-AU"/>
        </w:rPr>
        <w:t>s</w:t>
      </w:r>
      <w:r w:rsidRPr="00C83029">
        <w:rPr>
          <w:lang w:val="en-AU"/>
        </w:rPr>
        <w:t>ee</w:t>
      </w:r>
      <w:proofErr w:type="gramEnd"/>
      <w:r w:rsidRPr="00C83029">
        <w:rPr>
          <w:lang w:val="en-AU"/>
        </w:rPr>
        <w:t xml:space="preserve"> </w:t>
      </w:r>
      <w:r w:rsidR="0058721A">
        <w:rPr>
          <w:lang w:val="en-AU"/>
        </w:rPr>
        <w:t>‘</w:t>
      </w:r>
      <w:r w:rsidRPr="00C83029">
        <w:rPr>
          <w:lang w:val="en-AU"/>
        </w:rPr>
        <w:t>Dosage and Administration</w:t>
      </w:r>
      <w:r w:rsidR="0058721A">
        <w:rPr>
          <w:lang w:val="en-AU"/>
        </w:rPr>
        <w:t>’</w:t>
      </w:r>
      <w:r w:rsidRPr="00C83029">
        <w:rPr>
          <w:lang w:val="en-AU"/>
        </w:rPr>
        <w:t>) Livalo is contraindicated in patients with severe hepatic impairment.</w:t>
      </w:r>
    </w:p>
    <w:p w:rsidR="00CD2773" w:rsidRPr="00C83029" w:rsidRDefault="00CD2773" w:rsidP="008B3204">
      <w:pPr>
        <w:pStyle w:val="Heading2"/>
      </w:pPr>
      <w:r w:rsidRPr="00C83029">
        <w:t>Carcinogenicity</w:t>
      </w:r>
    </w:p>
    <w:p w:rsidR="006A7D74" w:rsidRPr="00C83029" w:rsidRDefault="006A7D74" w:rsidP="00EE5749">
      <w:pPr>
        <w:rPr>
          <w:lang w:val="en-AU"/>
        </w:rPr>
      </w:pPr>
      <w:r w:rsidRPr="00C83029">
        <w:rPr>
          <w:lang w:val="en-AU"/>
        </w:rPr>
        <w:t>In a 92-week carcinogenicity study in mice given pitavastatin, at the maximum tolerated dose of 75 mg/kg/day with systemic maximum exposures (AUC) 26 times the clinical maximum exposure at 4 mg/day, there was an absence of drug-related tumours.</w:t>
      </w:r>
    </w:p>
    <w:p w:rsidR="006A7D74" w:rsidRPr="00C83029" w:rsidRDefault="006A7D74" w:rsidP="00EE5749">
      <w:pPr>
        <w:rPr>
          <w:lang w:val="en-AU"/>
        </w:rPr>
      </w:pPr>
      <w:r w:rsidRPr="00C83029">
        <w:rPr>
          <w:lang w:val="en-AU"/>
        </w:rPr>
        <w:t>In a 92-week carcinogenicity study in rats given pitavastatin at 1, 5, 25 mg/kg/day by oral gavage there was a significant increase in the incidence of thyroid follicular cell tumours at 25 mg/kg/day, which represents 295 times human systemic exposures based on AUC at the 4 mg/day maximum human dose.</w:t>
      </w:r>
    </w:p>
    <w:p w:rsidR="006A7D74" w:rsidRPr="00C83029" w:rsidRDefault="006A7D74" w:rsidP="00EE5749">
      <w:pPr>
        <w:rPr>
          <w:lang w:val="en-AU"/>
        </w:rPr>
      </w:pPr>
      <w:r w:rsidRPr="00C83029">
        <w:rPr>
          <w:lang w:val="en-AU"/>
        </w:rPr>
        <w:t>In a 26-week transgenic mouse (</w:t>
      </w:r>
      <w:proofErr w:type="spellStart"/>
      <w:proofErr w:type="gramStart"/>
      <w:r w:rsidRPr="00C83029">
        <w:rPr>
          <w:lang w:val="en-AU"/>
        </w:rPr>
        <w:t>Tg</w:t>
      </w:r>
      <w:proofErr w:type="spellEnd"/>
      <w:proofErr w:type="gramEnd"/>
      <w:r w:rsidRPr="00C83029">
        <w:rPr>
          <w:lang w:val="en-AU"/>
        </w:rPr>
        <w:t xml:space="preserve"> rasH2) carcinogenicity study where animals were given pitavastatin at 30, 75, and 150 mg/kg/day by oral gavage, no clinically significant tumours were observed.</w:t>
      </w:r>
    </w:p>
    <w:p w:rsidR="00CE5F79" w:rsidRPr="00C83029" w:rsidRDefault="00CE5F79" w:rsidP="00CE5F79">
      <w:pPr>
        <w:pStyle w:val="Heading2"/>
      </w:pPr>
      <w:r w:rsidRPr="00C83029">
        <w:t>Genotoxicity</w:t>
      </w:r>
    </w:p>
    <w:p w:rsidR="006A7D74" w:rsidRPr="00C83029" w:rsidRDefault="006A7D74" w:rsidP="00EE5749">
      <w:pPr>
        <w:rPr>
          <w:lang w:val="en-AU"/>
        </w:rPr>
      </w:pPr>
      <w:r w:rsidRPr="00C83029">
        <w:rPr>
          <w:lang w:val="en-AU"/>
        </w:rPr>
        <w:t xml:space="preserve">Pitavastatin was not mutagenic in </w:t>
      </w:r>
      <w:r w:rsidR="00CE5F79" w:rsidRPr="00C83029">
        <w:rPr>
          <w:lang w:val="en-AU"/>
        </w:rPr>
        <w:t xml:space="preserve">a battery of genetic toxicology studies including </w:t>
      </w:r>
      <w:r w:rsidRPr="00C83029">
        <w:rPr>
          <w:lang w:val="en-AU"/>
        </w:rPr>
        <w:t xml:space="preserve">the </w:t>
      </w:r>
      <w:smartTag w:uri="urn:schemas-microsoft-com:office:smarttags" w:element="place">
        <w:smartTag w:uri="urn:schemas-microsoft-com:office:smarttags" w:element="City">
          <w:r w:rsidRPr="00C83029">
            <w:rPr>
              <w:lang w:val="en-AU"/>
            </w:rPr>
            <w:t>Ames</w:t>
          </w:r>
        </w:smartTag>
      </w:smartTag>
      <w:r w:rsidRPr="00C83029">
        <w:rPr>
          <w:lang w:val="en-AU"/>
        </w:rPr>
        <w:t xml:space="preserve"> </w:t>
      </w:r>
      <w:r w:rsidR="00CE5F79" w:rsidRPr="00C83029">
        <w:rPr>
          <w:lang w:val="en-AU"/>
        </w:rPr>
        <w:t xml:space="preserve">mutagenicity assay </w:t>
      </w:r>
      <w:r w:rsidRPr="00C83029">
        <w:rPr>
          <w:lang w:val="en-AU"/>
        </w:rPr>
        <w:t xml:space="preserve">with </w:t>
      </w:r>
      <w:r w:rsidRPr="00C83029">
        <w:rPr>
          <w:i/>
          <w:lang w:val="en-AU"/>
        </w:rPr>
        <w:t xml:space="preserve">Salmonella </w:t>
      </w:r>
      <w:proofErr w:type="spellStart"/>
      <w:r w:rsidRPr="00C83029">
        <w:rPr>
          <w:i/>
          <w:lang w:val="en-AU"/>
        </w:rPr>
        <w:t>typhimurium</w:t>
      </w:r>
      <w:proofErr w:type="spellEnd"/>
      <w:r w:rsidRPr="00C83029">
        <w:rPr>
          <w:lang w:val="en-AU"/>
        </w:rPr>
        <w:t xml:space="preserve"> and </w:t>
      </w:r>
      <w:r w:rsidRPr="00C83029">
        <w:rPr>
          <w:i/>
          <w:lang w:val="en-AU"/>
        </w:rPr>
        <w:t>Escherichia coli</w:t>
      </w:r>
      <w:r w:rsidRPr="00C83029">
        <w:rPr>
          <w:lang w:val="en-AU"/>
        </w:rPr>
        <w:t xml:space="preserve"> with and without metabolic activation, the </w:t>
      </w:r>
      <w:r w:rsidR="006E1FEA" w:rsidRPr="00C83029">
        <w:rPr>
          <w:i/>
          <w:lang w:val="en-AU"/>
        </w:rPr>
        <w:t>in vivo</w:t>
      </w:r>
      <w:r w:rsidR="006E1FEA" w:rsidRPr="00C83029">
        <w:rPr>
          <w:lang w:val="en-AU"/>
        </w:rPr>
        <w:t xml:space="preserve"> </w:t>
      </w:r>
      <w:r w:rsidRPr="00C83029">
        <w:rPr>
          <w:lang w:val="en-AU"/>
        </w:rPr>
        <w:t xml:space="preserve">micronucleus test following a single administration in mice and multiple administrations in rat, the unscheduled DNA synthesis test in rats, and a Comet assay in mice. In </w:t>
      </w:r>
      <w:r w:rsidR="006E1FEA" w:rsidRPr="00C83029">
        <w:rPr>
          <w:lang w:val="en-AU"/>
        </w:rPr>
        <w:t xml:space="preserve">a chromosome </w:t>
      </w:r>
      <w:r w:rsidRPr="00C83029">
        <w:rPr>
          <w:lang w:val="en-AU"/>
        </w:rPr>
        <w:t xml:space="preserve">aberration </w:t>
      </w:r>
      <w:r w:rsidR="006E1FEA" w:rsidRPr="00C83029">
        <w:rPr>
          <w:lang w:val="en-AU"/>
        </w:rPr>
        <w:t>assay in Chinese hamster lung cells</w:t>
      </w:r>
      <w:r w:rsidRPr="00C83029">
        <w:rPr>
          <w:lang w:val="en-AU"/>
        </w:rPr>
        <w:t xml:space="preserve">, </w:t>
      </w:r>
      <w:proofErr w:type="spellStart"/>
      <w:r w:rsidRPr="00C83029">
        <w:rPr>
          <w:lang w:val="en-AU"/>
        </w:rPr>
        <w:t>clastogenicity</w:t>
      </w:r>
      <w:proofErr w:type="spellEnd"/>
      <w:r w:rsidRPr="00C83029">
        <w:rPr>
          <w:lang w:val="en-AU"/>
        </w:rPr>
        <w:t xml:space="preserve"> was observed at the highest doses tested which also elicited high levels of </w:t>
      </w:r>
      <w:r w:rsidR="006E1FEA" w:rsidRPr="00C83029">
        <w:rPr>
          <w:lang w:val="en-AU"/>
        </w:rPr>
        <w:t xml:space="preserve">cellular </w:t>
      </w:r>
      <w:r w:rsidRPr="00C83029">
        <w:rPr>
          <w:lang w:val="en-AU"/>
        </w:rPr>
        <w:t>cytotoxicity.</w:t>
      </w:r>
      <w:r w:rsidR="006E1FEA" w:rsidRPr="00C83029">
        <w:rPr>
          <w:lang w:val="en-AU"/>
        </w:rPr>
        <w:t xml:space="preserve"> Overall, the weight of evidence suggests that pitavastatin does not pose a </w:t>
      </w:r>
      <w:proofErr w:type="spellStart"/>
      <w:r w:rsidR="006E1FEA" w:rsidRPr="00C83029">
        <w:rPr>
          <w:lang w:val="en-AU"/>
        </w:rPr>
        <w:t>genotoxic</w:t>
      </w:r>
      <w:proofErr w:type="spellEnd"/>
      <w:r w:rsidR="006E1FEA" w:rsidRPr="00C83029">
        <w:rPr>
          <w:lang w:val="en-AU"/>
        </w:rPr>
        <w:t xml:space="preserve"> risk for humans.</w:t>
      </w:r>
    </w:p>
    <w:p w:rsidR="00CD2773" w:rsidRPr="00C83029" w:rsidRDefault="00CD2773" w:rsidP="008B3204">
      <w:pPr>
        <w:pStyle w:val="Heading1"/>
      </w:pPr>
      <w:r w:rsidRPr="00C83029">
        <w:t xml:space="preserve">Interactions with Other </w:t>
      </w:r>
      <w:r w:rsidR="008B3204" w:rsidRPr="00C83029">
        <w:t>MEDICINES</w:t>
      </w:r>
    </w:p>
    <w:p w:rsidR="006E1FEA" w:rsidRPr="00C83029" w:rsidRDefault="006E1FEA" w:rsidP="006E1FEA">
      <w:pPr>
        <w:rPr>
          <w:lang w:val="en-AU"/>
        </w:rPr>
      </w:pPr>
      <w:r w:rsidRPr="00C83029">
        <w:rPr>
          <w:lang w:val="en-AU"/>
        </w:rPr>
        <w:t>The principle route of pitavastatin metabolism is glucuronidation via liver UGTs</w:t>
      </w:r>
      <w:r w:rsidR="00913E10">
        <w:rPr>
          <w:lang w:val="en-AU"/>
        </w:rPr>
        <w:t xml:space="preserve"> </w:t>
      </w:r>
      <w:r w:rsidRPr="00C83029">
        <w:rPr>
          <w:lang w:val="en-AU"/>
        </w:rPr>
        <w:t>with subsequent formation of pitavastatin lactone. There is only minimal metabolism by the cytochrome P450 system.</w:t>
      </w:r>
      <w:r w:rsidR="006F5AC2">
        <w:rPr>
          <w:lang w:val="en-AU"/>
        </w:rPr>
        <w:t xml:space="preserve">  </w:t>
      </w:r>
      <w:r w:rsidRPr="00C83029">
        <w:rPr>
          <w:lang w:val="en-AU"/>
        </w:rPr>
        <w:t xml:space="preserve">However, interactions are possible at the level of uptake by hepatic transporters of pitavastatin into the liver. Pitavastatin is actively taken up into the liver predominantly through the OATP1B1 transporter and competition for, or inhibition </w:t>
      </w:r>
      <w:proofErr w:type="gramStart"/>
      <w:r w:rsidRPr="00C83029">
        <w:rPr>
          <w:lang w:val="en-AU"/>
        </w:rPr>
        <w:t>of,</w:t>
      </w:r>
      <w:proofErr w:type="gramEnd"/>
      <w:r w:rsidRPr="00C83029">
        <w:rPr>
          <w:lang w:val="en-AU"/>
        </w:rPr>
        <w:t xml:space="preserve"> this transporter by other drugs may lead to interactions with pitavastatin.</w:t>
      </w:r>
    </w:p>
    <w:p w:rsidR="00E16073" w:rsidRPr="00C83029" w:rsidRDefault="00E16073" w:rsidP="008B3204">
      <w:pPr>
        <w:pStyle w:val="Heading2"/>
      </w:pPr>
      <w:r w:rsidRPr="00C83029">
        <w:t>Cyclosporin</w:t>
      </w:r>
    </w:p>
    <w:p w:rsidR="00E16073" w:rsidRPr="00C83029" w:rsidRDefault="00852AC4" w:rsidP="00EE5749">
      <w:pPr>
        <w:rPr>
          <w:lang w:val="en-AU"/>
        </w:rPr>
      </w:pPr>
      <w:r w:rsidRPr="00C83029">
        <w:rPr>
          <w:lang w:val="en-AU"/>
        </w:rPr>
        <w:t xml:space="preserve">Co-administration of a single dose of </w:t>
      </w:r>
      <w:r w:rsidR="008E1733" w:rsidRPr="00C83029">
        <w:rPr>
          <w:lang w:val="en-AU"/>
        </w:rPr>
        <w:t>cyclosporin</w:t>
      </w:r>
      <w:r w:rsidRPr="00C83029">
        <w:rPr>
          <w:lang w:val="en-AU"/>
        </w:rPr>
        <w:t xml:space="preserve"> with </w:t>
      </w:r>
      <w:r w:rsidR="004B196A" w:rsidRPr="00C83029">
        <w:rPr>
          <w:lang w:val="en-AU"/>
        </w:rPr>
        <w:t>Livalo</w:t>
      </w:r>
      <w:r w:rsidRPr="00C83029">
        <w:rPr>
          <w:lang w:val="en-AU"/>
        </w:rPr>
        <w:t xml:space="preserve"> at steady state resulted in a 4.6-fold increase in pitavastatin AUC. The effect of steady state </w:t>
      </w:r>
      <w:r w:rsidR="008E1733" w:rsidRPr="00C83029">
        <w:rPr>
          <w:lang w:val="en-AU"/>
        </w:rPr>
        <w:t>cyclosporin</w:t>
      </w:r>
      <w:r w:rsidRPr="00C83029">
        <w:rPr>
          <w:lang w:val="en-AU"/>
        </w:rPr>
        <w:t xml:space="preserve"> on steady state Livalo is not known. Livalo is contraindicated in patients being treated with cyclosporin</w:t>
      </w:r>
      <w:r w:rsidR="008E1733" w:rsidRPr="00C83029">
        <w:rPr>
          <w:lang w:val="en-AU"/>
        </w:rPr>
        <w:t>.</w:t>
      </w:r>
      <w:r w:rsidRPr="00C83029">
        <w:rPr>
          <w:lang w:val="en-AU"/>
        </w:rPr>
        <w:t xml:space="preserve"> (</w:t>
      </w:r>
      <w:proofErr w:type="gramStart"/>
      <w:r w:rsidR="00464C36">
        <w:rPr>
          <w:lang w:val="en-AU"/>
        </w:rPr>
        <w:t>s</w:t>
      </w:r>
      <w:r w:rsidR="008E1733" w:rsidRPr="00C83029">
        <w:rPr>
          <w:lang w:val="en-AU"/>
        </w:rPr>
        <w:t>ee</w:t>
      </w:r>
      <w:proofErr w:type="gramEnd"/>
      <w:r w:rsidR="00E16073" w:rsidRPr="00C83029">
        <w:rPr>
          <w:lang w:val="en-AU"/>
        </w:rPr>
        <w:t xml:space="preserve"> </w:t>
      </w:r>
      <w:r w:rsidR="00464C36">
        <w:rPr>
          <w:lang w:val="en-AU"/>
        </w:rPr>
        <w:t>‘</w:t>
      </w:r>
      <w:r w:rsidR="008E1733" w:rsidRPr="00C83029">
        <w:rPr>
          <w:lang w:val="en-AU"/>
        </w:rPr>
        <w:t>Contraindications</w:t>
      </w:r>
      <w:r w:rsidR="00464C36">
        <w:rPr>
          <w:lang w:val="en-AU"/>
        </w:rPr>
        <w:t>’</w:t>
      </w:r>
      <w:r w:rsidR="00710BEF" w:rsidRPr="00C83029">
        <w:rPr>
          <w:lang w:val="en-AU"/>
        </w:rPr>
        <w:t>)</w:t>
      </w:r>
    </w:p>
    <w:p w:rsidR="00E16073" w:rsidRPr="00C83029" w:rsidRDefault="008E1733" w:rsidP="008B3204">
      <w:pPr>
        <w:pStyle w:val="Heading2"/>
      </w:pPr>
      <w:r w:rsidRPr="00C83029">
        <w:t>Protease inhibitors:</w:t>
      </w:r>
    </w:p>
    <w:p w:rsidR="00E16073" w:rsidRPr="00C83029" w:rsidRDefault="008E1733" w:rsidP="00EE5749">
      <w:pPr>
        <w:rPr>
          <w:lang w:val="en-AU"/>
        </w:rPr>
      </w:pPr>
      <w:r w:rsidRPr="00C83029">
        <w:rPr>
          <w:lang w:val="en-AU"/>
        </w:rPr>
        <w:t>Co-administration with Livalo at the same time may result in minor changes in pitavastatin AUC</w:t>
      </w:r>
      <w:r w:rsidR="00E16073" w:rsidRPr="00C83029">
        <w:rPr>
          <w:lang w:val="en-AU"/>
        </w:rPr>
        <w:t xml:space="preserve">. </w:t>
      </w:r>
    </w:p>
    <w:p w:rsidR="00E16073" w:rsidRPr="00C83029" w:rsidRDefault="00E16073" w:rsidP="008B3204">
      <w:pPr>
        <w:pStyle w:val="Heading2"/>
      </w:pPr>
      <w:r w:rsidRPr="00C83029">
        <w:t>Erythromycin</w:t>
      </w:r>
    </w:p>
    <w:p w:rsidR="00E16073" w:rsidRPr="00C83029" w:rsidRDefault="00E9231F" w:rsidP="00DA7105">
      <w:pPr>
        <w:rPr>
          <w:lang w:val="en-AU"/>
        </w:rPr>
      </w:pPr>
      <w:r w:rsidRPr="00C83029">
        <w:rPr>
          <w:lang w:val="en-AU"/>
        </w:rPr>
        <w:t>Co-administration with Livalo resulted in a 2.8-fold increase in pitavastatin AUC. A temporary suspension of Livalo is recommended for the duration of treatment with erythromycin or other macrolide antibiotics.</w:t>
      </w:r>
    </w:p>
    <w:p w:rsidR="00E16073" w:rsidRPr="00C83029" w:rsidRDefault="00370461" w:rsidP="008B3204">
      <w:pPr>
        <w:pStyle w:val="Heading2"/>
      </w:pPr>
      <w:r w:rsidRPr="00C83029">
        <w:t>Rifampicin</w:t>
      </w:r>
    </w:p>
    <w:p w:rsidR="00E16073" w:rsidRPr="00C83029" w:rsidRDefault="004B196A" w:rsidP="00EE5749">
      <w:pPr>
        <w:rPr>
          <w:lang w:val="en-AU"/>
        </w:rPr>
      </w:pPr>
      <w:r w:rsidRPr="00C83029">
        <w:rPr>
          <w:lang w:val="en-AU"/>
        </w:rPr>
        <w:t>Co-administration with Livalo at the same time resulted in a 1.3-fold increase in pitavastatin AUC due to reduced hepatic uptake</w:t>
      </w:r>
      <w:r w:rsidR="00370461" w:rsidRPr="00C83029">
        <w:rPr>
          <w:lang w:val="en-AU"/>
        </w:rPr>
        <w:t>. A maximum daily dose of 2 mg pitavastatin is recommended with concomitant rifampicin.</w:t>
      </w:r>
      <w:r w:rsidR="00E16073" w:rsidRPr="00C83029">
        <w:rPr>
          <w:lang w:val="en-AU"/>
        </w:rPr>
        <w:t xml:space="preserve"> </w:t>
      </w:r>
      <w:r w:rsidR="00B77928" w:rsidRPr="00C83029">
        <w:rPr>
          <w:lang w:val="en-AU"/>
        </w:rPr>
        <w:t>(</w:t>
      </w:r>
      <w:proofErr w:type="gramStart"/>
      <w:r w:rsidR="00E16073" w:rsidRPr="00C83029">
        <w:rPr>
          <w:lang w:val="en-AU"/>
        </w:rPr>
        <w:t>see</w:t>
      </w:r>
      <w:proofErr w:type="gramEnd"/>
      <w:r w:rsidR="00E16073" w:rsidRPr="00C83029">
        <w:rPr>
          <w:lang w:val="en-AU"/>
        </w:rPr>
        <w:t xml:space="preserve"> </w:t>
      </w:r>
      <w:r w:rsidR="006F5AC2">
        <w:rPr>
          <w:lang w:val="en-AU"/>
        </w:rPr>
        <w:t>‘</w:t>
      </w:r>
      <w:r w:rsidR="00E16073" w:rsidRPr="00C83029">
        <w:rPr>
          <w:lang w:val="en-AU"/>
        </w:rPr>
        <w:t>Pharmacology</w:t>
      </w:r>
      <w:r w:rsidR="00464C36">
        <w:rPr>
          <w:lang w:val="en-AU"/>
        </w:rPr>
        <w:t>’</w:t>
      </w:r>
      <w:r w:rsidR="00B77928" w:rsidRPr="00C83029">
        <w:rPr>
          <w:lang w:val="en-AU"/>
        </w:rPr>
        <w:t>).</w:t>
      </w:r>
    </w:p>
    <w:p w:rsidR="00735E01" w:rsidRPr="00C83029" w:rsidRDefault="00735E01" w:rsidP="00735E01">
      <w:pPr>
        <w:pStyle w:val="Heading2"/>
      </w:pPr>
      <w:proofErr w:type="spellStart"/>
      <w:r w:rsidRPr="00C83029">
        <w:lastRenderedPageBreak/>
        <w:t>Enalapril</w:t>
      </w:r>
      <w:proofErr w:type="spellEnd"/>
    </w:p>
    <w:p w:rsidR="00735E01" w:rsidRPr="00C83029" w:rsidRDefault="00735E01" w:rsidP="00EE5749">
      <w:pPr>
        <w:rPr>
          <w:lang w:val="en-AU"/>
        </w:rPr>
      </w:pPr>
      <w:r w:rsidRPr="00C83029">
        <w:rPr>
          <w:lang w:val="en-AU"/>
        </w:rPr>
        <w:t xml:space="preserve">Co-administration with Livalo showed no significant </w:t>
      </w:r>
      <w:r w:rsidR="008A46AB" w:rsidRPr="00C83029">
        <w:rPr>
          <w:lang w:val="en-AU"/>
        </w:rPr>
        <w:t>pharmacokinetic interaction</w:t>
      </w:r>
      <w:r w:rsidR="008F1440" w:rsidRPr="00C83029">
        <w:rPr>
          <w:lang w:val="en-AU"/>
        </w:rPr>
        <w:t xml:space="preserve">.  No dose adjustment is required for concomitant administration </w:t>
      </w:r>
      <w:r w:rsidR="005C0E41" w:rsidRPr="00C83029">
        <w:rPr>
          <w:lang w:val="en-AU"/>
        </w:rPr>
        <w:t>of</w:t>
      </w:r>
      <w:r w:rsidR="008F1440" w:rsidRPr="00C83029">
        <w:rPr>
          <w:lang w:val="en-AU"/>
        </w:rPr>
        <w:t xml:space="preserve"> pitavastatin and </w:t>
      </w:r>
      <w:proofErr w:type="spellStart"/>
      <w:r w:rsidR="008F1440" w:rsidRPr="00C83029">
        <w:rPr>
          <w:lang w:val="en-AU"/>
        </w:rPr>
        <w:t>enalapril</w:t>
      </w:r>
      <w:proofErr w:type="spellEnd"/>
      <w:r w:rsidR="008F1440" w:rsidRPr="00C83029">
        <w:rPr>
          <w:lang w:val="en-AU"/>
        </w:rPr>
        <w:t>.</w:t>
      </w:r>
    </w:p>
    <w:p w:rsidR="008F1440" w:rsidRPr="00C83029" w:rsidRDefault="008F1440" w:rsidP="008F1440">
      <w:pPr>
        <w:pStyle w:val="Heading2"/>
      </w:pPr>
      <w:proofErr w:type="spellStart"/>
      <w:r w:rsidRPr="00C83029">
        <w:t>Atazanavir</w:t>
      </w:r>
      <w:proofErr w:type="spellEnd"/>
    </w:p>
    <w:p w:rsidR="008F1440" w:rsidRPr="00C83029" w:rsidRDefault="008F1440" w:rsidP="008F1440">
      <w:pPr>
        <w:rPr>
          <w:lang w:val="en-AU" w:eastAsia="zh-TW"/>
        </w:rPr>
      </w:pPr>
      <w:r w:rsidRPr="00C83029">
        <w:rPr>
          <w:lang w:val="en-AU" w:eastAsia="zh-TW"/>
        </w:rPr>
        <w:t xml:space="preserve">Co-administration of </w:t>
      </w:r>
      <w:r w:rsidR="00AB6B78">
        <w:rPr>
          <w:lang w:val="en-AU" w:eastAsia="zh-TW"/>
        </w:rPr>
        <w:t>Livalo</w:t>
      </w:r>
      <w:r w:rsidRPr="00C83029">
        <w:rPr>
          <w:lang w:val="en-AU" w:eastAsia="zh-TW"/>
        </w:rPr>
        <w:t xml:space="preserve"> and </w:t>
      </w:r>
      <w:proofErr w:type="spellStart"/>
      <w:r w:rsidRPr="00C83029">
        <w:rPr>
          <w:lang w:val="en-AU" w:eastAsia="zh-TW"/>
        </w:rPr>
        <w:t>atazanavir</w:t>
      </w:r>
      <w:proofErr w:type="spellEnd"/>
      <w:r w:rsidRPr="00C83029">
        <w:rPr>
          <w:lang w:val="en-AU" w:eastAsia="zh-TW"/>
        </w:rPr>
        <w:t xml:space="preserve"> result</w:t>
      </w:r>
      <w:r w:rsidR="00AB6B78">
        <w:rPr>
          <w:lang w:val="en-AU" w:eastAsia="zh-TW"/>
        </w:rPr>
        <w:t>s</w:t>
      </w:r>
      <w:r w:rsidRPr="00C83029">
        <w:rPr>
          <w:lang w:val="en-AU" w:eastAsia="zh-TW"/>
        </w:rPr>
        <w:t xml:space="preserve"> in a </w:t>
      </w:r>
      <w:r w:rsidR="005C0E41" w:rsidRPr="00C83029">
        <w:rPr>
          <w:lang w:val="en-AU" w:eastAsia="zh-TW"/>
        </w:rPr>
        <w:t>1.3</w:t>
      </w:r>
      <w:r w:rsidR="00AB6B78">
        <w:rPr>
          <w:lang w:val="en-AU" w:eastAsia="zh-TW"/>
        </w:rPr>
        <w:t>-</w:t>
      </w:r>
      <w:r w:rsidR="005C0E41" w:rsidRPr="00C83029">
        <w:rPr>
          <w:lang w:val="en-AU" w:eastAsia="zh-TW"/>
        </w:rPr>
        <w:t xml:space="preserve">fold </w:t>
      </w:r>
      <w:r w:rsidRPr="00C83029">
        <w:rPr>
          <w:lang w:val="en-AU" w:eastAsia="zh-TW"/>
        </w:rPr>
        <w:t xml:space="preserve">increase in </w:t>
      </w:r>
      <w:r w:rsidR="005C0E41" w:rsidRPr="00C83029">
        <w:rPr>
          <w:lang w:val="en-AU" w:eastAsia="zh-TW"/>
        </w:rPr>
        <w:t xml:space="preserve">the </w:t>
      </w:r>
      <w:r w:rsidRPr="00C83029">
        <w:rPr>
          <w:lang w:val="en-AU" w:eastAsia="zh-TW"/>
        </w:rPr>
        <w:t xml:space="preserve">pitavastatin </w:t>
      </w:r>
      <w:r w:rsidR="005C0E41" w:rsidRPr="00C83029">
        <w:rPr>
          <w:lang w:val="en-AU" w:eastAsia="zh-TW"/>
        </w:rPr>
        <w:t>AUC</w:t>
      </w:r>
      <w:r w:rsidRPr="00C83029">
        <w:rPr>
          <w:lang w:val="en-AU" w:eastAsia="zh-TW"/>
        </w:rPr>
        <w:t xml:space="preserve">, but has little effect on the pharmacokinetics </w:t>
      </w:r>
      <w:r w:rsidR="00473674" w:rsidRPr="00C83029">
        <w:rPr>
          <w:lang w:val="en-AU" w:eastAsia="zh-TW"/>
        </w:rPr>
        <w:t xml:space="preserve">of </w:t>
      </w:r>
      <w:proofErr w:type="spellStart"/>
      <w:r w:rsidRPr="00C83029">
        <w:rPr>
          <w:lang w:val="en-AU" w:eastAsia="zh-TW"/>
        </w:rPr>
        <w:t>atazanavir</w:t>
      </w:r>
      <w:proofErr w:type="spellEnd"/>
      <w:r w:rsidRPr="00C83029">
        <w:rPr>
          <w:lang w:val="en-AU" w:eastAsia="zh-TW"/>
        </w:rPr>
        <w:t>.</w:t>
      </w:r>
    </w:p>
    <w:p w:rsidR="00E16073" w:rsidRPr="00C83029" w:rsidRDefault="00E16073" w:rsidP="008B3204">
      <w:pPr>
        <w:pStyle w:val="Heading2"/>
      </w:pPr>
      <w:r w:rsidRPr="00C83029">
        <w:t>Fibrates</w:t>
      </w:r>
    </w:p>
    <w:p w:rsidR="00CD2773" w:rsidRPr="00C83029" w:rsidRDefault="00EB2CDC" w:rsidP="00EE5749">
      <w:pPr>
        <w:rPr>
          <w:lang w:val="en-AU"/>
        </w:rPr>
      </w:pPr>
      <w:r w:rsidRPr="00C83029">
        <w:rPr>
          <w:lang w:val="en-AU"/>
        </w:rPr>
        <w:t xml:space="preserve">The use of fibrates alone is occasionally associated with myopathy. Co-administration of fibrates with statins has been associated with increased myopathy and rhabdomyolysis. Livalo should be administered with caution when used concomitantly with fibrates. In pharmacokinetic studies co-administration of Livalo with Gemfibrozil resulted in a 1.4-fold increase in pitavastatin AUC, with Fenofibrate AUC increased 1.2-fold. </w:t>
      </w:r>
      <w:r w:rsidR="005D3AE1" w:rsidRPr="00C83029">
        <w:rPr>
          <w:lang w:val="en-AU"/>
        </w:rPr>
        <w:t>(</w:t>
      </w:r>
      <w:proofErr w:type="gramStart"/>
      <w:r w:rsidR="00464C36">
        <w:rPr>
          <w:lang w:val="en-AU"/>
        </w:rPr>
        <w:t>s</w:t>
      </w:r>
      <w:r w:rsidRPr="00C83029">
        <w:rPr>
          <w:lang w:val="en-AU"/>
        </w:rPr>
        <w:t>ee</w:t>
      </w:r>
      <w:proofErr w:type="gramEnd"/>
      <w:r w:rsidR="00E16073" w:rsidRPr="00C83029">
        <w:rPr>
          <w:lang w:val="en-AU"/>
        </w:rPr>
        <w:t xml:space="preserve"> </w:t>
      </w:r>
      <w:r w:rsidR="00464C36">
        <w:rPr>
          <w:lang w:val="en-AU"/>
        </w:rPr>
        <w:t>‘</w:t>
      </w:r>
      <w:r w:rsidR="00E16073" w:rsidRPr="00C83029">
        <w:rPr>
          <w:lang w:val="en-AU"/>
        </w:rPr>
        <w:t>Pharmacology</w:t>
      </w:r>
      <w:r w:rsidR="00464C36">
        <w:rPr>
          <w:lang w:val="en-AU"/>
        </w:rPr>
        <w:t>’</w:t>
      </w:r>
      <w:r w:rsidR="005D3AE1" w:rsidRPr="00C83029">
        <w:rPr>
          <w:lang w:val="en-AU"/>
        </w:rPr>
        <w:t xml:space="preserve">). </w:t>
      </w:r>
    </w:p>
    <w:p w:rsidR="00735E01" w:rsidRPr="00C83029" w:rsidRDefault="00735E01" w:rsidP="00735E01">
      <w:pPr>
        <w:pStyle w:val="Heading2"/>
        <w:rPr>
          <w:lang w:eastAsia="zh-TW"/>
        </w:rPr>
      </w:pPr>
      <w:r w:rsidRPr="00C83029">
        <w:rPr>
          <w:lang w:eastAsia="zh-TW"/>
        </w:rPr>
        <w:t>Fu</w:t>
      </w:r>
      <w:r w:rsidRPr="00C83029">
        <w:t>s</w:t>
      </w:r>
      <w:r w:rsidRPr="00C83029">
        <w:rPr>
          <w:lang w:eastAsia="zh-TW"/>
        </w:rPr>
        <w:t>idi</w:t>
      </w:r>
      <w:r w:rsidRPr="00C83029">
        <w:t>c a</w:t>
      </w:r>
      <w:r w:rsidRPr="00C83029">
        <w:rPr>
          <w:lang w:eastAsia="zh-TW"/>
        </w:rPr>
        <w:t xml:space="preserve">cid: </w:t>
      </w:r>
    </w:p>
    <w:p w:rsidR="00735E01" w:rsidRPr="00C83029" w:rsidRDefault="00046806" w:rsidP="00735E01">
      <w:pPr>
        <w:rPr>
          <w:lang w:val="en-AU" w:eastAsia="zh-TW"/>
        </w:rPr>
      </w:pPr>
      <w:r w:rsidRPr="00C83029">
        <w:rPr>
          <w:lang w:val="en-AU" w:eastAsia="zh-TW"/>
        </w:rPr>
        <w:t xml:space="preserve">Although interaction studies with </w:t>
      </w:r>
      <w:r w:rsidR="00AB6B78">
        <w:rPr>
          <w:lang w:val="en-AU" w:eastAsia="zh-TW"/>
        </w:rPr>
        <w:t>Livalo</w:t>
      </w:r>
      <w:r w:rsidRPr="00C83029">
        <w:rPr>
          <w:lang w:val="en-AU" w:eastAsia="zh-TW"/>
        </w:rPr>
        <w:t xml:space="preserve"> and fusidic acid have not been conducted, t</w:t>
      </w:r>
      <w:r w:rsidR="00735E01" w:rsidRPr="00C83029">
        <w:rPr>
          <w:lang w:val="en-AU" w:eastAsia="zh-TW"/>
        </w:rPr>
        <w:t>here ha</w:t>
      </w:r>
      <w:r w:rsidR="00735E01" w:rsidRPr="00C83029">
        <w:rPr>
          <w:lang w:val="en-AU"/>
        </w:rPr>
        <w:t>v</w:t>
      </w:r>
      <w:r w:rsidR="00735E01" w:rsidRPr="00C83029">
        <w:rPr>
          <w:lang w:val="en-AU" w:eastAsia="zh-TW"/>
        </w:rPr>
        <w:t>e been report</w:t>
      </w:r>
      <w:r w:rsidR="00735E01" w:rsidRPr="00C83029">
        <w:rPr>
          <w:lang w:val="en-AU"/>
        </w:rPr>
        <w:t xml:space="preserve">s </w:t>
      </w:r>
      <w:r w:rsidR="00735E01" w:rsidRPr="00C83029">
        <w:rPr>
          <w:lang w:val="en-AU" w:eastAsia="zh-TW"/>
        </w:rPr>
        <w:t xml:space="preserve">of </w:t>
      </w:r>
      <w:r w:rsidR="00735E01" w:rsidRPr="00C83029">
        <w:rPr>
          <w:lang w:val="en-AU"/>
        </w:rPr>
        <w:t>s</w:t>
      </w:r>
      <w:r w:rsidR="00735E01" w:rsidRPr="00C83029">
        <w:rPr>
          <w:lang w:val="en-AU" w:eastAsia="zh-TW"/>
        </w:rPr>
        <w:t>e</w:t>
      </w:r>
      <w:r w:rsidR="00735E01" w:rsidRPr="00C83029">
        <w:rPr>
          <w:lang w:val="en-AU"/>
        </w:rPr>
        <w:t>v</w:t>
      </w:r>
      <w:r w:rsidR="00735E01" w:rsidRPr="00C83029">
        <w:rPr>
          <w:lang w:val="en-AU" w:eastAsia="zh-TW"/>
        </w:rPr>
        <w:t>ere mu</w:t>
      </w:r>
      <w:r w:rsidR="00735E01" w:rsidRPr="00C83029">
        <w:rPr>
          <w:lang w:val="en-AU"/>
        </w:rPr>
        <w:t>s</w:t>
      </w:r>
      <w:r w:rsidR="00735E01" w:rsidRPr="00C83029">
        <w:rPr>
          <w:lang w:val="en-AU" w:eastAsia="zh-TW"/>
        </w:rPr>
        <w:t>cle prob</w:t>
      </w:r>
      <w:r w:rsidR="00735E01" w:rsidRPr="00C83029">
        <w:rPr>
          <w:lang w:val="en-AU"/>
        </w:rPr>
        <w:t>l</w:t>
      </w:r>
      <w:r w:rsidR="00735E01" w:rsidRPr="00C83029">
        <w:rPr>
          <w:lang w:val="en-AU" w:eastAsia="zh-TW"/>
        </w:rPr>
        <w:t>em</w:t>
      </w:r>
      <w:r w:rsidR="00735E01" w:rsidRPr="00C83029">
        <w:rPr>
          <w:lang w:val="en-AU"/>
        </w:rPr>
        <w:t>s s</w:t>
      </w:r>
      <w:r w:rsidR="00735E01" w:rsidRPr="00C83029">
        <w:rPr>
          <w:lang w:val="en-AU" w:eastAsia="zh-TW"/>
        </w:rPr>
        <w:t xml:space="preserve">uch </w:t>
      </w:r>
      <w:r w:rsidR="00735E01" w:rsidRPr="00C83029">
        <w:rPr>
          <w:lang w:val="en-AU"/>
        </w:rPr>
        <w:t xml:space="preserve">as </w:t>
      </w:r>
      <w:r w:rsidR="00735E01" w:rsidRPr="00C83029">
        <w:rPr>
          <w:lang w:val="en-AU" w:eastAsia="zh-TW"/>
        </w:rPr>
        <w:t>rhabdomyo</w:t>
      </w:r>
      <w:r w:rsidR="00735E01" w:rsidRPr="00C83029">
        <w:rPr>
          <w:lang w:val="en-AU"/>
        </w:rPr>
        <w:t>l</w:t>
      </w:r>
      <w:r w:rsidR="00735E01" w:rsidRPr="00C83029">
        <w:rPr>
          <w:lang w:val="en-AU" w:eastAsia="zh-TW"/>
        </w:rPr>
        <w:t>y</w:t>
      </w:r>
      <w:r w:rsidR="00735E01" w:rsidRPr="00C83029">
        <w:rPr>
          <w:lang w:val="en-AU"/>
        </w:rPr>
        <w:t xml:space="preserve">sis </w:t>
      </w:r>
      <w:r w:rsidR="00735E01" w:rsidRPr="00C83029">
        <w:rPr>
          <w:lang w:val="en-AU" w:eastAsia="zh-TW"/>
        </w:rPr>
        <w:t>attributed to interaction</w:t>
      </w:r>
      <w:r w:rsidR="00735E01" w:rsidRPr="00C83029">
        <w:rPr>
          <w:lang w:val="en-AU"/>
        </w:rPr>
        <w:t xml:space="preserve">s </w:t>
      </w:r>
      <w:r w:rsidR="00735E01" w:rsidRPr="00C83029">
        <w:rPr>
          <w:lang w:val="en-AU" w:eastAsia="zh-TW"/>
        </w:rPr>
        <w:t xml:space="preserve">between fusidic acid and </w:t>
      </w:r>
      <w:r w:rsidR="00735E01" w:rsidRPr="00C83029">
        <w:rPr>
          <w:lang w:val="en-AU"/>
        </w:rPr>
        <w:t>s</w:t>
      </w:r>
      <w:r w:rsidR="00735E01" w:rsidRPr="00C83029">
        <w:rPr>
          <w:lang w:val="en-AU" w:eastAsia="zh-TW"/>
        </w:rPr>
        <w:t>tatins</w:t>
      </w:r>
      <w:r w:rsidR="00735E01" w:rsidRPr="00C83029">
        <w:rPr>
          <w:lang w:val="en-AU"/>
        </w:rPr>
        <w:t xml:space="preserve">. </w:t>
      </w:r>
    </w:p>
    <w:p w:rsidR="00E16073" w:rsidRPr="00C83029" w:rsidRDefault="00E16073" w:rsidP="008B3204">
      <w:pPr>
        <w:pStyle w:val="Heading2"/>
      </w:pPr>
      <w:r w:rsidRPr="00C83029">
        <w:t>Niacin</w:t>
      </w:r>
    </w:p>
    <w:p w:rsidR="00EB2CDC" w:rsidRPr="00C83029" w:rsidRDefault="00EB2CDC" w:rsidP="00EE5749">
      <w:pPr>
        <w:rPr>
          <w:lang w:val="en-AU"/>
        </w:rPr>
      </w:pPr>
      <w:r w:rsidRPr="00C83029">
        <w:rPr>
          <w:lang w:val="en-AU"/>
        </w:rPr>
        <w:t xml:space="preserve">Interaction studies with Livalo and niacin have not been conducted. The use of niacin alone has been associated with myopathy and rhabdomyolysis when used as a monotherapy. Thus Livalo should be administered with caution </w:t>
      </w:r>
      <w:r w:rsidR="00370461" w:rsidRPr="00C83029">
        <w:rPr>
          <w:lang w:val="en-AU"/>
        </w:rPr>
        <w:t xml:space="preserve">and a reduced dose should be considered </w:t>
      </w:r>
      <w:r w:rsidRPr="00C83029">
        <w:rPr>
          <w:lang w:val="en-AU"/>
        </w:rPr>
        <w:t xml:space="preserve">when used concomitantly with niacin. </w:t>
      </w:r>
    </w:p>
    <w:p w:rsidR="007257CB" w:rsidRPr="00C83029" w:rsidRDefault="007257CB" w:rsidP="00DA7105">
      <w:pPr>
        <w:pStyle w:val="Heading2"/>
      </w:pPr>
      <w:proofErr w:type="spellStart"/>
      <w:r w:rsidRPr="00C83029">
        <w:t>Ezetimibe</w:t>
      </w:r>
      <w:proofErr w:type="spellEnd"/>
    </w:p>
    <w:p w:rsidR="00370461" w:rsidRPr="00C83029" w:rsidRDefault="00370461" w:rsidP="00DA7105">
      <w:pPr>
        <w:rPr>
          <w:lang w:val="en-AU"/>
        </w:rPr>
      </w:pPr>
      <w:proofErr w:type="spellStart"/>
      <w:r w:rsidRPr="00C83029">
        <w:rPr>
          <w:lang w:val="en-AU"/>
        </w:rPr>
        <w:t>Ezetimibe</w:t>
      </w:r>
      <w:proofErr w:type="spellEnd"/>
      <w:r w:rsidRPr="00C83029">
        <w:rPr>
          <w:lang w:val="en-AU"/>
        </w:rPr>
        <w:t xml:space="preserve"> and </w:t>
      </w:r>
      <w:r w:rsidR="00D2156C" w:rsidRPr="00C83029">
        <w:rPr>
          <w:lang w:val="en-AU"/>
        </w:rPr>
        <w:t>its</w:t>
      </w:r>
      <w:r w:rsidRPr="00C83029">
        <w:rPr>
          <w:lang w:val="en-AU"/>
        </w:rPr>
        <w:t xml:space="preserve"> </w:t>
      </w:r>
      <w:proofErr w:type="spellStart"/>
      <w:r w:rsidRPr="00C83029">
        <w:rPr>
          <w:lang w:val="en-AU"/>
        </w:rPr>
        <w:t>gluc</w:t>
      </w:r>
      <w:r w:rsidR="007257CB" w:rsidRPr="00C83029">
        <w:rPr>
          <w:lang w:val="en-AU"/>
        </w:rPr>
        <w:t>uroni</w:t>
      </w:r>
      <w:r w:rsidRPr="00C83029">
        <w:rPr>
          <w:lang w:val="en-AU"/>
        </w:rPr>
        <w:t>de</w:t>
      </w:r>
      <w:proofErr w:type="spellEnd"/>
      <w:r w:rsidRPr="00C83029">
        <w:rPr>
          <w:lang w:val="en-AU"/>
        </w:rPr>
        <w:t xml:space="preserve"> metabolite inhibit the absorption of dietary and biliary cholesterol. </w:t>
      </w:r>
      <w:r w:rsidR="007257CB" w:rsidRPr="00C83029">
        <w:rPr>
          <w:lang w:val="en-AU"/>
        </w:rPr>
        <w:t xml:space="preserve">Co administration </w:t>
      </w:r>
      <w:r w:rsidRPr="00C83029">
        <w:rPr>
          <w:lang w:val="en-AU"/>
        </w:rPr>
        <w:t>of</w:t>
      </w:r>
      <w:r w:rsidR="007257CB" w:rsidRPr="00C83029">
        <w:rPr>
          <w:lang w:val="en-AU"/>
        </w:rPr>
        <w:t xml:space="preserve"> Livalo </w:t>
      </w:r>
      <w:r w:rsidRPr="00C83029">
        <w:rPr>
          <w:lang w:val="en-AU"/>
        </w:rPr>
        <w:t xml:space="preserve">had no effect on plasma </w:t>
      </w:r>
      <w:proofErr w:type="spellStart"/>
      <w:r w:rsidRPr="00C83029">
        <w:rPr>
          <w:lang w:val="en-AU"/>
        </w:rPr>
        <w:t>ezeti</w:t>
      </w:r>
      <w:r w:rsidR="007257CB" w:rsidRPr="00C83029">
        <w:rPr>
          <w:lang w:val="en-AU"/>
        </w:rPr>
        <w:t>mi</w:t>
      </w:r>
      <w:r w:rsidRPr="00C83029">
        <w:rPr>
          <w:lang w:val="en-AU"/>
        </w:rPr>
        <w:t>be</w:t>
      </w:r>
      <w:proofErr w:type="spellEnd"/>
      <w:r w:rsidRPr="00C83029">
        <w:rPr>
          <w:lang w:val="en-AU"/>
        </w:rPr>
        <w:t xml:space="preserve"> or the</w:t>
      </w:r>
      <w:r w:rsidR="007257CB" w:rsidRPr="00C83029">
        <w:rPr>
          <w:lang w:val="en-AU"/>
        </w:rPr>
        <w:t xml:space="preserve"> </w:t>
      </w:r>
      <w:proofErr w:type="spellStart"/>
      <w:r w:rsidRPr="00C83029">
        <w:rPr>
          <w:lang w:val="en-AU"/>
        </w:rPr>
        <w:t>glucuronide</w:t>
      </w:r>
      <w:proofErr w:type="spellEnd"/>
      <w:r w:rsidRPr="00C83029">
        <w:rPr>
          <w:lang w:val="en-AU"/>
        </w:rPr>
        <w:t xml:space="preserve"> metabolite concentrations and </w:t>
      </w:r>
      <w:proofErr w:type="spellStart"/>
      <w:r w:rsidRPr="00C83029">
        <w:rPr>
          <w:lang w:val="en-AU"/>
        </w:rPr>
        <w:t>ezeti</w:t>
      </w:r>
      <w:r w:rsidR="007257CB" w:rsidRPr="00C83029">
        <w:rPr>
          <w:lang w:val="en-AU"/>
        </w:rPr>
        <w:t>m</w:t>
      </w:r>
      <w:r w:rsidRPr="00C83029">
        <w:rPr>
          <w:lang w:val="en-AU"/>
        </w:rPr>
        <w:t>ibe</w:t>
      </w:r>
      <w:proofErr w:type="spellEnd"/>
      <w:r w:rsidRPr="00C83029">
        <w:rPr>
          <w:lang w:val="en-AU"/>
        </w:rPr>
        <w:t xml:space="preserve"> had no impact on </w:t>
      </w:r>
      <w:proofErr w:type="spellStart"/>
      <w:r w:rsidRPr="00C83029">
        <w:rPr>
          <w:lang w:val="en-AU"/>
        </w:rPr>
        <w:t>pitavastalin</w:t>
      </w:r>
      <w:proofErr w:type="spellEnd"/>
      <w:r w:rsidRPr="00C83029">
        <w:rPr>
          <w:lang w:val="en-AU"/>
        </w:rPr>
        <w:t xml:space="preserve"> plasma</w:t>
      </w:r>
      <w:r w:rsidR="007257CB" w:rsidRPr="00C83029">
        <w:rPr>
          <w:lang w:val="en-AU"/>
        </w:rPr>
        <w:t xml:space="preserve"> </w:t>
      </w:r>
      <w:r w:rsidRPr="00C83029">
        <w:rPr>
          <w:lang w:val="en-AU"/>
        </w:rPr>
        <w:t>concentrations.</w:t>
      </w:r>
    </w:p>
    <w:p w:rsidR="007257CB" w:rsidRPr="00C83029" w:rsidRDefault="00370461" w:rsidP="008A46AB">
      <w:pPr>
        <w:pStyle w:val="Heading2"/>
      </w:pPr>
      <w:r w:rsidRPr="00C83029">
        <w:t>Inhibitors of CYP3A4</w:t>
      </w:r>
    </w:p>
    <w:p w:rsidR="00370461" w:rsidRPr="00C83029" w:rsidRDefault="00370461" w:rsidP="00DA7105">
      <w:pPr>
        <w:rPr>
          <w:lang w:val="en-AU"/>
        </w:rPr>
      </w:pPr>
      <w:r w:rsidRPr="00C83029">
        <w:rPr>
          <w:lang w:val="en-AU"/>
        </w:rPr>
        <w:t>Interaction s</w:t>
      </w:r>
      <w:r w:rsidR="007257CB" w:rsidRPr="00C83029">
        <w:rPr>
          <w:lang w:val="en-AU"/>
        </w:rPr>
        <w:t>tu</w:t>
      </w:r>
      <w:r w:rsidRPr="00C83029">
        <w:rPr>
          <w:lang w:val="en-AU"/>
        </w:rPr>
        <w:t xml:space="preserve">dies with </w:t>
      </w:r>
      <w:proofErr w:type="spellStart"/>
      <w:r w:rsidRPr="00C83029">
        <w:rPr>
          <w:lang w:val="en-AU"/>
        </w:rPr>
        <w:t>itraconazole</w:t>
      </w:r>
      <w:proofErr w:type="spellEnd"/>
      <w:r w:rsidRPr="00C83029">
        <w:rPr>
          <w:lang w:val="en-AU"/>
        </w:rPr>
        <w:t xml:space="preserve"> and grapefruit juice, known in</w:t>
      </w:r>
      <w:r w:rsidR="007257CB" w:rsidRPr="00C83029">
        <w:rPr>
          <w:lang w:val="en-AU"/>
        </w:rPr>
        <w:t>hi</w:t>
      </w:r>
      <w:r w:rsidRPr="00C83029">
        <w:rPr>
          <w:lang w:val="en-AU"/>
        </w:rPr>
        <w:t>bitors of</w:t>
      </w:r>
      <w:r w:rsidR="007257CB" w:rsidRPr="00C83029">
        <w:rPr>
          <w:lang w:val="en-AU"/>
        </w:rPr>
        <w:t xml:space="preserve"> </w:t>
      </w:r>
      <w:r w:rsidRPr="00C83029">
        <w:rPr>
          <w:lang w:val="en-AU"/>
        </w:rPr>
        <w:t>CY</w:t>
      </w:r>
      <w:r w:rsidR="007257CB" w:rsidRPr="00C83029">
        <w:rPr>
          <w:lang w:val="en-AU"/>
        </w:rPr>
        <w:t>P</w:t>
      </w:r>
      <w:r w:rsidRPr="00C83029">
        <w:rPr>
          <w:lang w:val="en-AU"/>
        </w:rPr>
        <w:t>3A4, had no clinically significant effect on the plasma concentrations of pitavastatin.</w:t>
      </w:r>
      <w:r w:rsidR="00865A6D" w:rsidRPr="00C83029">
        <w:rPr>
          <w:lang w:val="en-AU"/>
        </w:rPr>
        <w:t xml:space="preserve"> Concomitant </w:t>
      </w:r>
      <w:proofErr w:type="spellStart"/>
      <w:r w:rsidR="00865A6D" w:rsidRPr="00C83029">
        <w:rPr>
          <w:lang w:val="en-AU"/>
        </w:rPr>
        <w:t>itraconazole</w:t>
      </w:r>
      <w:proofErr w:type="spellEnd"/>
      <w:r w:rsidR="00865A6D" w:rsidRPr="00C83029">
        <w:rPr>
          <w:lang w:val="en-AU"/>
        </w:rPr>
        <w:t xml:space="preserve"> resulted in a 0.77</w:t>
      </w:r>
      <w:r w:rsidR="00913E10">
        <w:rPr>
          <w:lang w:val="en-AU"/>
        </w:rPr>
        <w:t>-</w:t>
      </w:r>
      <w:r w:rsidR="00865A6D" w:rsidRPr="00C83029">
        <w:rPr>
          <w:lang w:val="en-AU"/>
        </w:rPr>
        <w:t>fold reduction in the AUC of pitavastatin and grapefruit juice a 1.15</w:t>
      </w:r>
      <w:r w:rsidR="00913E10">
        <w:rPr>
          <w:lang w:val="en-AU"/>
        </w:rPr>
        <w:t>-</w:t>
      </w:r>
      <w:r w:rsidR="00865A6D" w:rsidRPr="00C83029">
        <w:rPr>
          <w:lang w:val="en-AU"/>
        </w:rPr>
        <w:t>fold increase.</w:t>
      </w:r>
    </w:p>
    <w:p w:rsidR="007257CB" w:rsidRPr="00C83029" w:rsidRDefault="00370461" w:rsidP="00DA7105">
      <w:pPr>
        <w:pStyle w:val="Heading2"/>
      </w:pPr>
      <w:r w:rsidRPr="00C83029">
        <w:t>Digoxin</w:t>
      </w:r>
    </w:p>
    <w:p w:rsidR="00370461" w:rsidRPr="00C83029" w:rsidRDefault="007257CB" w:rsidP="00DA7105">
      <w:pPr>
        <w:rPr>
          <w:lang w:val="en-AU"/>
        </w:rPr>
      </w:pPr>
      <w:r w:rsidRPr="00C83029">
        <w:rPr>
          <w:lang w:val="en-AU"/>
        </w:rPr>
        <w:t>A</w:t>
      </w:r>
      <w:r w:rsidR="00370461" w:rsidRPr="00C83029">
        <w:rPr>
          <w:lang w:val="en-AU"/>
        </w:rPr>
        <w:t xml:space="preserve"> known P-g</w:t>
      </w:r>
      <w:r w:rsidR="006405C6">
        <w:rPr>
          <w:lang w:val="en-AU"/>
        </w:rPr>
        <w:t>lyco</w:t>
      </w:r>
      <w:r w:rsidR="00370461" w:rsidRPr="00C83029">
        <w:rPr>
          <w:lang w:val="en-AU"/>
        </w:rPr>
        <w:t>p</w:t>
      </w:r>
      <w:r w:rsidR="006405C6">
        <w:rPr>
          <w:lang w:val="en-AU"/>
        </w:rPr>
        <w:t>rotein</w:t>
      </w:r>
      <w:r w:rsidR="00370461" w:rsidRPr="00C83029">
        <w:rPr>
          <w:lang w:val="en-AU"/>
        </w:rPr>
        <w:t xml:space="preserve"> </w:t>
      </w:r>
      <w:r w:rsidR="00660BEF" w:rsidRPr="00C83029">
        <w:rPr>
          <w:lang w:val="en-AU"/>
        </w:rPr>
        <w:t>substrate</w:t>
      </w:r>
      <w:r w:rsidR="00370461" w:rsidRPr="00C83029">
        <w:rPr>
          <w:lang w:val="en-AU"/>
        </w:rPr>
        <w:t xml:space="preserve"> did not interact with Liva</w:t>
      </w:r>
      <w:r w:rsidRPr="00C83029">
        <w:rPr>
          <w:lang w:val="en-AU"/>
        </w:rPr>
        <w:t>lo.</w:t>
      </w:r>
      <w:r w:rsidR="00370461" w:rsidRPr="00C83029">
        <w:rPr>
          <w:lang w:val="en-AU"/>
        </w:rPr>
        <w:t xml:space="preserve"> During co</w:t>
      </w:r>
      <w:r w:rsidR="00735E01" w:rsidRPr="00C83029">
        <w:rPr>
          <w:lang w:val="en-AU"/>
        </w:rPr>
        <w:t>-</w:t>
      </w:r>
      <w:r w:rsidR="00370461" w:rsidRPr="00C83029">
        <w:rPr>
          <w:lang w:val="en-AU"/>
        </w:rPr>
        <w:t>ad</w:t>
      </w:r>
      <w:r w:rsidRPr="00C83029">
        <w:rPr>
          <w:lang w:val="en-AU"/>
        </w:rPr>
        <w:t>mini</w:t>
      </w:r>
      <w:r w:rsidR="00370461" w:rsidRPr="00C83029">
        <w:rPr>
          <w:lang w:val="en-AU"/>
        </w:rPr>
        <w:t>stration</w:t>
      </w:r>
      <w:r w:rsidRPr="00C83029">
        <w:rPr>
          <w:lang w:val="en-AU"/>
        </w:rPr>
        <w:t xml:space="preserve"> </w:t>
      </w:r>
      <w:r w:rsidR="00370461" w:rsidRPr="00C83029">
        <w:rPr>
          <w:lang w:val="en-AU"/>
        </w:rPr>
        <w:t xml:space="preserve">there was no significant change in either </w:t>
      </w:r>
      <w:r w:rsidR="00735E01" w:rsidRPr="00C83029">
        <w:rPr>
          <w:lang w:val="en-AU"/>
        </w:rPr>
        <w:t>pitavastatin</w:t>
      </w:r>
      <w:r w:rsidR="00370461" w:rsidRPr="00C83029">
        <w:rPr>
          <w:lang w:val="en-AU"/>
        </w:rPr>
        <w:t xml:space="preserve"> or digoxin concentrations.</w:t>
      </w:r>
    </w:p>
    <w:p w:rsidR="00E16073" w:rsidRPr="00C83029" w:rsidRDefault="00E16073" w:rsidP="008B3204">
      <w:pPr>
        <w:pStyle w:val="Heading2"/>
      </w:pPr>
      <w:r w:rsidRPr="00C83029">
        <w:t>Warfarin</w:t>
      </w:r>
    </w:p>
    <w:p w:rsidR="00CD2773" w:rsidRPr="00C83029" w:rsidRDefault="005D3AE1" w:rsidP="00EE5749">
      <w:pPr>
        <w:rPr>
          <w:lang w:val="en-AU"/>
        </w:rPr>
      </w:pPr>
      <w:r w:rsidRPr="00C83029">
        <w:rPr>
          <w:lang w:val="en-AU"/>
        </w:rPr>
        <w:t xml:space="preserve">Livalo </w:t>
      </w:r>
      <w:r w:rsidR="00E16073" w:rsidRPr="00C83029">
        <w:rPr>
          <w:lang w:val="en-AU"/>
        </w:rPr>
        <w:t xml:space="preserve">had no significant pharmacokinetic interaction with R- and S- warfarin. </w:t>
      </w:r>
      <w:r w:rsidRPr="00C83029">
        <w:rPr>
          <w:lang w:val="en-AU"/>
        </w:rPr>
        <w:t xml:space="preserve">Livalo </w:t>
      </w:r>
      <w:r w:rsidR="00E16073" w:rsidRPr="00C83029">
        <w:rPr>
          <w:lang w:val="en-AU"/>
        </w:rPr>
        <w:t xml:space="preserve">had no significant effect on prothrombin time (PT) and international </w:t>
      </w:r>
      <w:r w:rsidR="00710BEF" w:rsidRPr="00C83029">
        <w:rPr>
          <w:lang w:val="en-AU"/>
        </w:rPr>
        <w:t xml:space="preserve">normalised </w:t>
      </w:r>
      <w:r w:rsidR="00E16073" w:rsidRPr="00C83029">
        <w:rPr>
          <w:lang w:val="en-AU"/>
        </w:rPr>
        <w:t xml:space="preserve">ratio (INR) when administered to patients receiving chronic warfarin treatment </w:t>
      </w:r>
      <w:r w:rsidRPr="00C83029">
        <w:rPr>
          <w:lang w:val="en-AU"/>
        </w:rPr>
        <w:t>(</w:t>
      </w:r>
      <w:r w:rsidR="00E16073" w:rsidRPr="00C83029">
        <w:rPr>
          <w:lang w:val="en-AU"/>
        </w:rPr>
        <w:t>see Pharmacology</w:t>
      </w:r>
      <w:r w:rsidRPr="00C83029">
        <w:rPr>
          <w:lang w:val="en-AU"/>
        </w:rPr>
        <w:t xml:space="preserve"> section). </w:t>
      </w:r>
      <w:r w:rsidR="00E16073" w:rsidRPr="00C83029">
        <w:rPr>
          <w:lang w:val="en-AU"/>
        </w:rPr>
        <w:t>However, patients receiving warfarin should have their PT and INR monitored when pitavastatin is added to their therapy.</w:t>
      </w:r>
    </w:p>
    <w:p w:rsidR="00CD2773" w:rsidRPr="00C83029" w:rsidRDefault="00CD2773" w:rsidP="008B3204">
      <w:pPr>
        <w:pStyle w:val="Heading1"/>
      </w:pPr>
      <w:r w:rsidRPr="00C83029">
        <w:t xml:space="preserve">ADVERSE </w:t>
      </w:r>
      <w:r w:rsidR="00123846" w:rsidRPr="00C83029">
        <w:t>EFFECTS</w:t>
      </w:r>
    </w:p>
    <w:p w:rsidR="0041208F" w:rsidRPr="00C83029" w:rsidRDefault="00936BDD" w:rsidP="00EE5749">
      <w:pPr>
        <w:rPr>
          <w:lang w:val="en-AU"/>
        </w:rPr>
      </w:pPr>
      <w:r w:rsidRPr="00C83029">
        <w:rPr>
          <w:lang w:val="en-AU"/>
        </w:rPr>
        <w:t xml:space="preserve">Of 4,798 patients enrolled in 10 controlled clinical studies and 4 subsequent open-label extension studies, 3,291 patients were administered </w:t>
      </w:r>
      <w:r w:rsidR="00AB6B78">
        <w:rPr>
          <w:lang w:val="en-AU"/>
        </w:rPr>
        <w:t>Livalo</w:t>
      </w:r>
      <w:r w:rsidRPr="00C83029">
        <w:rPr>
          <w:lang w:val="en-AU"/>
        </w:rPr>
        <w:t xml:space="preserve"> 1 mg to 4 mg daily. The mean continuous exposure of </w:t>
      </w:r>
      <w:r w:rsidR="00AB6B78">
        <w:rPr>
          <w:lang w:val="en-AU"/>
        </w:rPr>
        <w:t>Livalo</w:t>
      </w:r>
      <w:r w:rsidRPr="00C83029">
        <w:rPr>
          <w:lang w:val="en-AU"/>
        </w:rPr>
        <w:t xml:space="preserve"> (1 mg to 4 mg) was 36.7 weeks (median 51.1 weeks). </w:t>
      </w:r>
      <w:r w:rsidR="0041208F" w:rsidRPr="00C83029">
        <w:rPr>
          <w:lang w:val="en-AU"/>
        </w:rPr>
        <w:t xml:space="preserve">In controlled clinical trials, at the recommended doses, less than 4% of patients treated with </w:t>
      </w:r>
      <w:r w:rsidR="0041208F" w:rsidRPr="00C83029">
        <w:rPr>
          <w:lang w:val="en-AU"/>
        </w:rPr>
        <w:lastRenderedPageBreak/>
        <w:t>Livalo were withdrawn due to adverse events. The most commonly reported pitavastatin related adverse reaction</w:t>
      </w:r>
      <w:r w:rsidR="00416CF6" w:rsidRPr="00C83029">
        <w:rPr>
          <w:lang w:val="en-AU"/>
        </w:rPr>
        <w:t xml:space="preserve"> </w:t>
      </w:r>
      <w:r w:rsidR="0041208F" w:rsidRPr="00C83029">
        <w:rPr>
          <w:lang w:val="en-AU"/>
        </w:rPr>
        <w:t>in controlled trials was myalgia.</w:t>
      </w:r>
    </w:p>
    <w:p w:rsidR="00936BDD" w:rsidRPr="00C83029" w:rsidRDefault="00936BDD" w:rsidP="00C4529E">
      <w:pPr>
        <w:rPr>
          <w:lang w:val="en-AU"/>
        </w:rPr>
      </w:pPr>
      <w:r w:rsidRPr="00C83029">
        <w:rPr>
          <w:lang w:val="en-AU"/>
        </w:rPr>
        <w:t xml:space="preserve">Adverse reactions reported in &gt; 2% of patients in controlled clinical studies and at a rate greater than or equal to placebo are shown in Table </w:t>
      </w:r>
      <w:r w:rsidR="005C0777" w:rsidRPr="00C83029">
        <w:rPr>
          <w:lang w:val="en-AU"/>
        </w:rPr>
        <w:t>7</w:t>
      </w:r>
      <w:r w:rsidRPr="00C83029">
        <w:rPr>
          <w:lang w:val="en-AU"/>
        </w:rPr>
        <w:t>. These studies had treatment duration of up to 12 weeks.</w:t>
      </w:r>
    </w:p>
    <w:p w:rsidR="00936BDD" w:rsidRPr="00C83029" w:rsidRDefault="00C4529E" w:rsidP="00C4529E">
      <w:pPr>
        <w:pStyle w:val="Heading4"/>
      </w:pPr>
      <w:proofErr w:type="gramStart"/>
      <w:r w:rsidRPr="00C83029">
        <w:t xml:space="preserve">Table </w:t>
      </w:r>
      <w:r w:rsidR="005C0777" w:rsidRPr="00C83029">
        <w:t>7</w:t>
      </w:r>
      <w:r w:rsidRPr="00C83029">
        <w:t>.</w:t>
      </w:r>
      <w:proofErr w:type="gramEnd"/>
      <w:r w:rsidRPr="00C83029">
        <w:tab/>
      </w:r>
      <w:r w:rsidR="00936BDD" w:rsidRPr="00C83029">
        <w:t>Adverse Reactions* Reported by ≥</w:t>
      </w:r>
      <w:r w:rsidR="006F5AC2">
        <w:t xml:space="preserve"> </w:t>
      </w:r>
      <w:r w:rsidR="00936BDD" w:rsidRPr="00C83029">
        <w:t>2.0% of Patients Treated with LIVALO and &gt; Placebo in Short-Term Controlled Studies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5"/>
        <w:gridCol w:w="1535"/>
        <w:gridCol w:w="1535"/>
        <w:gridCol w:w="1535"/>
        <w:gridCol w:w="1535"/>
      </w:tblGrid>
      <w:tr w:rsidR="00936BDD" w:rsidRPr="00464C36" w:rsidTr="00FF626C">
        <w:tblPrEx>
          <w:tblCellMar>
            <w:top w:w="0" w:type="dxa"/>
            <w:bottom w:w="0" w:type="dxa"/>
          </w:tblCellMar>
        </w:tblPrEx>
        <w:trPr>
          <w:trHeight w:val="361"/>
          <w:jc w:val="center"/>
        </w:trPr>
        <w:tc>
          <w:tcPr>
            <w:tcW w:w="1535" w:type="dxa"/>
          </w:tcPr>
          <w:p w:rsidR="00936BDD" w:rsidRPr="00464C36" w:rsidRDefault="00936BDD" w:rsidP="00C4529E">
            <w:pPr>
              <w:jc w:val="left"/>
              <w:rPr>
                <w:sz w:val="20"/>
                <w:lang w:val="en-AU"/>
              </w:rPr>
            </w:pPr>
            <w:r w:rsidRPr="00464C36">
              <w:rPr>
                <w:sz w:val="20"/>
                <w:lang w:val="en-AU"/>
              </w:rPr>
              <w:t xml:space="preserve">Adverse </w:t>
            </w:r>
          </w:p>
          <w:p w:rsidR="00936BDD" w:rsidRPr="00464C36" w:rsidRDefault="00936BDD" w:rsidP="00C4529E">
            <w:pPr>
              <w:jc w:val="left"/>
              <w:rPr>
                <w:sz w:val="20"/>
                <w:lang w:val="en-AU" w:eastAsia="zh-TW"/>
              </w:rPr>
            </w:pPr>
            <w:r w:rsidRPr="00464C36">
              <w:rPr>
                <w:sz w:val="20"/>
                <w:lang w:val="en-AU"/>
              </w:rPr>
              <w:t xml:space="preserve">Reactions* </w:t>
            </w:r>
          </w:p>
        </w:tc>
        <w:tc>
          <w:tcPr>
            <w:tcW w:w="1535" w:type="dxa"/>
          </w:tcPr>
          <w:p w:rsidR="00936BDD" w:rsidRPr="00464C36" w:rsidRDefault="00936BDD" w:rsidP="00C4529E">
            <w:pPr>
              <w:jc w:val="center"/>
              <w:rPr>
                <w:sz w:val="20"/>
                <w:lang w:val="en-AU"/>
              </w:rPr>
            </w:pPr>
            <w:r w:rsidRPr="00464C36">
              <w:rPr>
                <w:sz w:val="20"/>
                <w:lang w:val="en-AU"/>
              </w:rPr>
              <w:t>Placebo</w:t>
            </w:r>
          </w:p>
          <w:p w:rsidR="00936BDD" w:rsidRPr="00464C36" w:rsidRDefault="00936BDD" w:rsidP="00C4529E">
            <w:pPr>
              <w:jc w:val="center"/>
              <w:rPr>
                <w:sz w:val="20"/>
                <w:lang w:val="en-AU" w:eastAsia="zh-TW"/>
              </w:rPr>
            </w:pPr>
            <w:r w:rsidRPr="00464C36">
              <w:rPr>
                <w:sz w:val="20"/>
                <w:lang w:val="en-AU"/>
              </w:rPr>
              <w:t>N= 208</w:t>
            </w:r>
          </w:p>
        </w:tc>
        <w:tc>
          <w:tcPr>
            <w:tcW w:w="1535" w:type="dxa"/>
          </w:tcPr>
          <w:p w:rsidR="00936BDD" w:rsidRPr="00464C36" w:rsidRDefault="00936BDD" w:rsidP="00C4529E">
            <w:pPr>
              <w:jc w:val="center"/>
              <w:rPr>
                <w:sz w:val="20"/>
                <w:lang w:val="en-AU"/>
              </w:rPr>
            </w:pPr>
            <w:r w:rsidRPr="00464C36">
              <w:rPr>
                <w:sz w:val="20"/>
                <w:lang w:val="en-AU"/>
              </w:rPr>
              <w:t>LIVALO</w:t>
            </w:r>
          </w:p>
          <w:p w:rsidR="00936BDD" w:rsidRPr="00464C36" w:rsidRDefault="00936BDD" w:rsidP="00C4529E">
            <w:pPr>
              <w:jc w:val="center"/>
              <w:rPr>
                <w:sz w:val="20"/>
                <w:lang w:val="en-AU"/>
              </w:rPr>
            </w:pPr>
            <w:r w:rsidRPr="00464C36">
              <w:rPr>
                <w:sz w:val="20"/>
                <w:lang w:val="en-AU"/>
              </w:rPr>
              <w:t>1 mg</w:t>
            </w:r>
          </w:p>
          <w:p w:rsidR="00936BDD" w:rsidRPr="00464C36" w:rsidRDefault="00936BDD" w:rsidP="00C4529E">
            <w:pPr>
              <w:jc w:val="center"/>
              <w:rPr>
                <w:sz w:val="20"/>
                <w:lang w:val="en-AU" w:eastAsia="zh-TW"/>
              </w:rPr>
            </w:pPr>
            <w:r w:rsidRPr="00464C36">
              <w:rPr>
                <w:sz w:val="20"/>
                <w:lang w:val="en-AU"/>
              </w:rPr>
              <w:t>N=309</w:t>
            </w:r>
          </w:p>
        </w:tc>
        <w:tc>
          <w:tcPr>
            <w:tcW w:w="1535" w:type="dxa"/>
          </w:tcPr>
          <w:p w:rsidR="00936BDD" w:rsidRPr="00464C36" w:rsidRDefault="00936BDD" w:rsidP="00C4529E">
            <w:pPr>
              <w:jc w:val="center"/>
              <w:rPr>
                <w:sz w:val="20"/>
                <w:lang w:val="en-AU"/>
              </w:rPr>
            </w:pPr>
            <w:r w:rsidRPr="00464C36">
              <w:rPr>
                <w:sz w:val="20"/>
                <w:lang w:val="en-AU"/>
              </w:rPr>
              <w:t>LIVALO 2 mg N=951</w:t>
            </w:r>
          </w:p>
        </w:tc>
        <w:tc>
          <w:tcPr>
            <w:tcW w:w="1535" w:type="dxa"/>
          </w:tcPr>
          <w:p w:rsidR="00936BDD" w:rsidRPr="00464C36" w:rsidRDefault="00936BDD" w:rsidP="00C4529E">
            <w:pPr>
              <w:jc w:val="center"/>
              <w:rPr>
                <w:sz w:val="20"/>
                <w:lang w:val="en-AU"/>
              </w:rPr>
            </w:pPr>
            <w:r w:rsidRPr="00464C36">
              <w:rPr>
                <w:sz w:val="20"/>
                <w:lang w:val="en-AU"/>
              </w:rPr>
              <w:t>LIVALO 4 mg N=1540</w:t>
            </w:r>
          </w:p>
        </w:tc>
      </w:tr>
      <w:tr w:rsidR="00936BDD" w:rsidRPr="00464C36" w:rsidTr="00FF626C">
        <w:tblPrEx>
          <w:tblCellMar>
            <w:top w:w="0" w:type="dxa"/>
            <w:bottom w:w="0" w:type="dxa"/>
          </w:tblCellMar>
        </w:tblPrEx>
        <w:trPr>
          <w:trHeight w:val="130"/>
          <w:jc w:val="center"/>
        </w:trPr>
        <w:tc>
          <w:tcPr>
            <w:tcW w:w="1535" w:type="dxa"/>
          </w:tcPr>
          <w:p w:rsidR="00936BDD" w:rsidRPr="00464C36" w:rsidRDefault="00936BDD" w:rsidP="00C4529E">
            <w:pPr>
              <w:jc w:val="left"/>
              <w:rPr>
                <w:sz w:val="20"/>
                <w:lang w:val="en-AU"/>
              </w:rPr>
            </w:pPr>
            <w:r w:rsidRPr="00464C36">
              <w:rPr>
                <w:sz w:val="20"/>
                <w:lang w:val="en-AU"/>
              </w:rPr>
              <w:t xml:space="preserve">Back Pain </w:t>
            </w:r>
          </w:p>
        </w:tc>
        <w:tc>
          <w:tcPr>
            <w:tcW w:w="1535" w:type="dxa"/>
          </w:tcPr>
          <w:p w:rsidR="00936BDD" w:rsidRPr="00464C36" w:rsidRDefault="00936BDD" w:rsidP="00C4529E">
            <w:pPr>
              <w:jc w:val="center"/>
              <w:rPr>
                <w:sz w:val="20"/>
                <w:lang w:val="en-AU"/>
              </w:rPr>
            </w:pPr>
            <w:r w:rsidRPr="00464C36">
              <w:rPr>
                <w:sz w:val="20"/>
                <w:lang w:val="en-AU"/>
              </w:rPr>
              <w:t>2.9%</w:t>
            </w:r>
          </w:p>
        </w:tc>
        <w:tc>
          <w:tcPr>
            <w:tcW w:w="1535" w:type="dxa"/>
          </w:tcPr>
          <w:p w:rsidR="00936BDD" w:rsidRPr="00464C36" w:rsidRDefault="00936BDD" w:rsidP="00C4529E">
            <w:pPr>
              <w:jc w:val="center"/>
              <w:rPr>
                <w:sz w:val="20"/>
                <w:lang w:val="en-AU"/>
              </w:rPr>
            </w:pPr>
            <w:r w:rsidRPr="00464C36">
              <w:rPr>
                <w:sz w:val="20"/>
                <w:lang w:val="en-AU"/>
              </w:rPr>
              <w:t>3.9%</w:t>
            </w:r>
          </w:p>
        </w:tc>
        <w:tc>
          <w:tcPr>
            <w:tcW w:w="1535" w:type="dxa"/>
          </w:tcPr>
          <w:p w:rsidR="00936BDD" w:rsidRPr="00464C36" w:rsidRDefault="00936BDD" w:rsidP="00C4529E">
            <w:pPr>
              <w:jc w:val="center"/>
              <w:rPr>
                <w:sz w:val="20"/>
                <w:lang w:val="en-AU"/>
              </w:rPr>
            </w:pPr>
            <w:r w:rsidRPr="00464C36">
              <w:rPr>
                <w:sz w:val="20"/>
                <w:lang w:val="en-AU"/>
              </w:rPr>
              <w:t>1.8%</w:t>
            </w:r>
          </w:p>
        </w:tc>
        <w:tc>
          <w:tcPr>
            <w:tcW w:w="1535" w:type="dxa"/>
          </w:tcPr>
          <w:p w:rsidR="00936BDD" w:rsidRPr="00464C36" w:rsidRDefault="00936BDD" w:rsidP="00C4529E">
            <w:pPr>
              <w:jc w:val="center"/>
              <w:rPr>
                <w:sz w:val="20"/>
                <w:lang w:val="en-AU"/>
              </w:rPr>
            </w:pPr>
            <w:r w:rsidRPr="00464C36">
              <w:rPr>
                <w:sz w:val="20"/>
                <w:lang w:val="en-AU"/>
              </w:rPr>
              <w:t>1.4%</w:t>
            </w:r>
          </w:p>
        </w:tc>
      </w:tr>
      <w:tr w:rsidR="00936BDD" w:rsidRPr="00464C36" w:rsidTr="00FF626C">
        <w:tblPrEx>
          <w:tblCellMar>
            <w:top w:w="0" w:type="dxa"/>
            <w:bottom w:w="0" w:type="dxa"/>
          </w:tblCellMar>
        </w:tblPrEx>
        <w:trPr>
          <w:trHeight w:val="130"/>
          <w:jc w:val="center"/>
        </w:trPr>
        <w:tc>
          <w:tcPr>
            <w:tcW w:w="1535" w:type="dxa"/>
          </w:tcPr>
          <w:p w:rsidR="00936BDD" w:rsidRPr="00464C36" w:rsidRDefault="00936BDD" w:rsidP="00C4529E">
            <w:pPr>
              <w:jc w:val="left"/>
              <w:rPr>
                <w:sz w:val="20"/>
                <w:lang w:val="en-AU"/>
              </w:rPr>
            </w:pPr>
            <w:r w:rsidRPr="00464C36">
              <w:rPr>
                <w:sz w:val="20"/>
                <w:lang w:val="en-AU"/>
              </w:rPr>
              <w:t xml:space="preserve">Constipation </w:t>
            </w:r>
          </w:p>
        </w:tc>
        <w:tc>
          <w:tcPr>
            <w:tcW w:w="1535" w:type="dxa"/>
          </w:tcPr>
          <w:p w:rsidR="00936BDD" w:rsidRPr="00464C36" w:rsidRDefault="00936BDD" w:rsidP="00C4529E">
            <w:pPr>
              <w:jc w:val="center"/>
              <w:rPr>
                <w:sz w:val="20"/>
                <w:lang w:val="en-AU"/>
              </w:rPr>
            </w:pPr>
            <w:r w:rsidRPr="00464C36">
              <w:rPr>
                <w:sz w:val="20"/>
                <w:lang w:val="en-AU"/>
              </w:rPr>
              <w:t>1.9%</w:t>
            </w:r>
          </w:p>
        </w:tc>
        <w:tc>
          <w:tcPr>
            <w:tcW w:w="1535" w:type="dxa"/>
          </w:tcPr>
          <w:p w:rsidR="00936BDD" w:rsidRPr="00464C36" w:rsidRDefault="00936BDD" w:rsidP="00C4529E">
            <w:pPr>
              <w:jc w:val="center"/>
              <w:rPr>
                <w:sz w:val="20"/>
                <w:lang w:val="en-AU"/>
              </w:rPr>
            </w:pPr>
            <w:r w:rsidRPr="00464C36">
              <w:rPr>
                <w:sz w:val="20"/>
                <w:lang w:val="en-AU"/>
              </w:rPr>
              <w:t>3.6%</w:t>
            </w:r>
          </w:p>
        </w:tc>
        <w:tc>
          <w:tcPr>
            <w:tcW w:w="1535" w:type="dxa"/>
          </w:tcPr>
          <w:p w:rsidR="00936BDD" w:rsidRPr="00464C36" w:rsidRDefault="00936BDD" w:rsidP="00C4529E">
            <w:pPr>
              <w:jc w:val="center"/>
              <w:rPr>
                <w:sz w:val="20"/>
                <w:lang w:val="en-AU"/>
              </w:rPr>
            </w:pPr>
            <w:r w:rsidRPr="00464C36">
              <w:rPr>
                <w:sz w:val="20"/>
                <w:lang w:val="en-AU"/>
              </w:rPr>
              <w:t>1.5%</w:t>
            </w:r>
          </w:p>
        </w:tc>
        <w:tc>
          <w:tcPr>
            <w:tcW w:w="1535" w:type="dxa"/>
          </w:tcPr>
          <w:p w:rsidR="00936BDD" w:rsidRPr="00464C36" w:rsidRDefault="00936BDD" w:rsidP="00C4529E">
            <w:pPr>
              <w:jc w:val="center"/>
              <w:rPr>
                <w:sz w:val="20"/>
                <w:lang w:val="en-AU"/>
              </w:rPr>
            </w:pPr>
            <w:r w:rsidRPr="00464C36">
              <w:rPr>
                <w:sz w:val="20"/>
                <w:lang w:val="en-AU"/>
              </w:rPr>
              <w:t>2.2%</w:t>
            </w:r>
          </w:p>
        </w:tc>
      </w:tr>
      <w:tr w:rsidR="00936BDD" w:rsidRPr="00464C36" w:rsidTr="00FF626C">
        <w:tblPrEx>
          <w:tblCellMar>
            <w:top w:w="0" w:type="dxa"/>
            <w:bottom w:w="0" w:type="dxa"/>
          </w:tblCellMar>
        </w:tblPrEx>
        <w:trPr>
          <w:trHeight w:val="130"/>
          <w:jc w:val="center"/>
        </w:trPr>
        <w:tc>
          <w:tcPr>
            <w:tcW w:w="1535" w:type="dxa"/>
          </w:tcPr>
          <w:p w:rsidR="00936BDD" w:rsidRPr="00464C36" w:rsidRDefault="00FB10D7" w:rsidP="00C4529E">
            <w:pPr>
              <w:jc w:val="left"/>
              <w:rPr>
                <w:sz w:val="20"/>
                <w:lang w:val="en-AU"/>
              </w:rPr>
            </w:pPr>
            <w:r w:rsidRPr="00464C36">
              <w:rPr>
                <w:sz w:val="20"/>
                <w:lang w:val="en-AU"/>
              </w:rPr>
              <w:t>Diarrhoe</w:t>
            </w:r>
            <w:r w:rsidR="00936BDD" w:rsidRPr="00464C36">
              <w:rPr>
                <w:sz w:val="20"/>
                <w:lang w:val="en-AU"/>
              </w:rPr>
              <w:t xml:space="preserve">a </w:t>
            </w:r>
          </w:p>
        </w:tc>
        <w:tc>
          <w:tcPr>
            <w:tcW w:w="1535" w:type="dxa"/>
          </w:tcPr>
          <w:p w:rsidR="00936BDD" w:rsidRPr="00464C36" w:rsidRDefault="00936BDD" w:rsidP="00C4529E">
            <w:pPr>
              <w:jc w:val="center"/>
              <w:rPr>
                <w:sz w:val="20"/>
                <w:lang w:val="en-AU"/>
              </w:rPr>
            </w:pPr>
            <w:r w:rsidRPr="00464C36">
              <w:rPr>
                <w:sz w:val="20"/>
                <w:lang w:val="en-AU"/>
              </w:rPr>
              <w:t>1.9%</w:t>
            </w:r>
          </w:p>
        </w:tc>
        <w:tc>
          <w:tcPr>
            <w:tcW w:w="1535" w:type="dxa"/>
          </w:tcPr>
          <w:p w:rsidR="00936BDD" w:rsidRPr="00464C36" w:rsidRDefault="00936BDD" w:rsidP="00C4529E">
            <w:pPr>
              <w:jc w:val="center"/>
              <w:rPr>
                <w:sz w:val="20"/>
                <w:lang w:val="en-AU"/>
              </w:rPr>
            </w:pPr>
            <w:r w:rsidRPr="00464C36">
              <w:rPr>
                <w:sz w:val="20"/>
                <w:lang w:val="en-AU"/>
              </w:rPr>
              <w:t>2.6%</w:t>
            </w:r>
          </w:p>
        </w:tc>
        <w:tc>
          <w:tcPr>
            <w:tcW w:w="1535" w:type="dxa"/>
          </w:tcPr>
          <w:p w:rsidR="00936BDD" w:rsidRPr="00464C36" w:rsidRDefault="00936BDD" w:rsidP="00C4529E">
            <w:pPr>
              <w:jc w:val="center"/>
              <w:rPr>
                <w:sz w:val="20"/>
                <w:lang w:val="en-AU"/>
              </w:rPr>
            </w:pPr>
            <w:r w:rsidRPr="00464C36">
              <w:rPr>
                <w:sz w:val="20"/>
                <w:lang w:val="en-AU"/>
              </w:rPr>
              <w:t>1.5%</w:t>
            </w:r>
          </w:p>
        </w:tc>
        <w:tc>
          <w:tcPr>
            <w:tcW w:w="1535" w:type="dxa"/>
          </w:tcPr>
          <w:p w:rsidR="00936BDD" w:rsidRPr="00464C36" w:rsidRDefault="00936BDD" w:rsidP="00C4529E">
            <w:pPr>
              <w:jc w:val="center"/>
              <w:rPr>
                <w:sz w:val="20"/>
                <w:lang w:val="en-AU"/>
              </w:rPr>
            </w:pPr>
            <w:r w:rsidRPr="00464C36">
              <w:rPr>
                <w:sz w:val="20"/>
                <w:lang w:val="en-AU"/>
              </w:rPr>
              <w:t>1.9%</w:t>
            </w:r>
          </w:p>
        </w:tc>
      </w:tr>
      <w:tr w:rsidR="00936BDD" w:rsidRPr="00464C36" w:rsidTr="00FF626C">
        <w:tblPrEx>
          <w:tblCellMar>
            <w:top w:w="0" w:type="dxa"/>
            <w:bottom w:w="0" w:type="dxa"/>
          </w:tblCellMar>
        </w:tblPrEx>
        <w:trPr>
          <w:trHeight w:val="130"/>
          <w:jc w:val="center"/>
        </w:trPr>
        <w:tc>
          <w:tcPr>
            <w:tcW w:w="1535" w:type="dxa"/>
          </w:tcPr>
          <w:p w:rsidR="00936BDD" w:rsidRPr="00464C36" w:rsidRDefault="00936BDD" w:rsidP="00C4529E">
            <w:pPr>
              <w:jc w:val="left"/>
              <w:rPr>
                <w:sz w:val="20"/>
                <w:lang w:val="en-AU"/>
              </w:rPr>
            </w:pPr>
            <w:r w:rsidRPr="00464C36">
              <w:rPr>
                <w:sz w:val="20"/>
                <w:lang w:val="en-AU"/>
              </w:rPr>
              <w:t xml:space="preserve">Myalgia </w:t>
            </w:r>
          </w:p>
        </w:tc>
        <w:tc>
          <w:tcPr>
            <w:tcW w:w="1535" w:type="dxa"/>
          </w:tcPr>
          <w:p w:rsidR="00936BDD" w:rsidRPr="00464C36" w:rsidRDefault="00936BDD" w:rsidP="00C4529E">
            <w:pPr>
              <w:jc w:val="center"/>
              <w:rPr>
                <w:sz w:val="20"/>
                <w:lang w:val="en-AU"/>
              </w:rPr>
            </w:pPr>
            <w:r w:rsidRPr="00464C36">
              <w:rPr>
                <w:sz w:val="20"/>
                <w:lang w:val="en-AU"/>
              </w:rPr>
              <w:t>1.4%</w:t>
            </w:r>
          </w:p>
        </w:tc>
        <w:tc>
          <w:tcPr>
            <w:tcW w:w="1535" w:type="dxa"/>
          </w:tcPr>
          <w:p w:rsidR="00936BDD" w:rsidRPr="00464C36" w:rsidRDefault="00936BDD" w:rsidP="00C4529E">
            <w:pPr>
              <w:jc w:val="center"/>
              <w:rPr>
                <w:sz w:val="20"/>
                <w:lang w:val="en-AU"/>
              </w:rPr>
            </w:pPr>
            <w:r w:rsidRPr="00464C36">
              <w:rPr>
                <w:sz w:val="20"/>
                <w:lang w:val="en-AU"/>
              </w:rPr>
              <w:t>1.9%</w:t>
            </w:r>
          </w:p>
        </w:tc>
        <w:tc>
          <w:tcPr>
            <w:tcW w:w="1535" w:type="dxa"/>
          </w:tcPr>
          <w:p w:rsidR="00936BDD" w:rsidRPr="00464C36" w:rsidRDefault="00936BDD" w:rsidP="00C4529E">
            <w:pPr>
              <w:jc w:val="center"/>
              <w:rPr>
                <w:sz w:val="20"/>
                <w:lang w:val="en-AU"/>
              </w:rPr>
            </w:pPr>
            <w:r w:rsidRPr="00464C36">
              <w:rPr>
                <w:sz w:val="20"/>
                <w:lang w:val="en-AU"/>
              </w:rPr>
              <w:t>2.8%</w:t>
            </w:r>
          </w:p>
        </w:tc>
        <w:tc>
          <w:tcPr>
            <w:tcW w:w="1535" w:type="dxa"/>
          </w:tcPr>
          <w:p w:rsidR="00936BDD" w:rsidRPr="00464C36" w:rsidRDefault="00936BDD" w:rsidP="00C4529E">
            <w:pPr>
              <w:jc w:val="center"/>
              <w:rPr>
                <w:sz w:val="20"/>
                <w:lang w:val="en-AU"/>
              </w:rPr>
            </w:pPr>
            <w:r w:rsidRPr="00464C36">
              <w:rPr>
                <w:sz w:val="20"/>
                <w:lang w:val="en-AU"/>
              </w:rPr>
              <w:t>3.1%</w:t>
            </w:r>
          </w:p>
        </w:tc>
      </w:tr>
      <w:tr w:rsidR="00936BDD" w:rsidRPr="00464C36" w:rsidTr="00FF626C">
        <w:tblPrEx>
          <w:tblCellMar>
            <w:top w:w="0" w:type="dxa"/>
            <w:bottom w:w="0" w:type="dxa"/>
          </w:tblCellMar>
        </w:tblPrEx>
        <w:trPr>
          <w:trHeight w:val="246"/>
          <w:jc w:val="center"/>
        </w:trPr>
        <w:tc>
          <w:tcPr>
            <w:tcW w:w="1535" w:type="dxa"/>
          </w:tcPr>
          <w:p w:rsidR="00936BDD" w:rsidRPr="00464C36" w:rsidRDefault="00936BDD" w:rsidP="00C4529E">
            <w:pPr>
              <w:jc w:val="left"/>
              <w:rPr>
                <w:sz w:val="20"/>
                <w:lang w:val="en-AU"/>
              </w:rPr>
            </w:pPr>
            <w:r w:rsidRPr="00464C36">
              <w:rPr>
                <w:sz w:val="20"/>
                <w:lang w:val="en-AU"/>
              </w:rPr>
              <w:t xml:space="preserve">Pain in extremity </w:t>
            </w:r>
          </w:p>
        </w:tc>
        <w:tc>
          <w:tcPr>
            <w:tcW w:w="1535" w:type="dxa"/>
          </w:tcPr>
          <w:p w:rsidR="00936BDD" w:rsidRPr="00464C36" w:rsidRDefault="00936BDD" w:rsidP="00C4529E">
            <w:pPr>
              <w:jc w:val="center"/>
              <w:rPr>
                <w:sz w:val="20"/>
                <w:lang w:val="en-AU"/>
              </w:rPr>
            </w:pPr>
            <w:r w:rsidRPr="00464C36">
              <w:rPr>
                <w:sz w:val="20"/>
                <w:lang w:val="en-AU"/>
              </w:rPr>
              <w:t>1.9%</w:t>
            </w:r>
          </w:p>
        </w:tc>
        <w:tc>
          <w:tcPr>
            <w:tcW w:w="1535" w:type="dxa"/>
          </w:tcPr>
          <w:p w:rsidR="00936BDD" w:rsidRPr="00464C36" w:rsidRDefault="00936BDD" w:rsidP="00C4529E">
            <w:pPr>
              <w:jc w:val="center"/>
              <w:rPr>
                <w:sz w:val="20"/>
                <w:lang w:val="en-AU"/>
              </w:rPr>
            </w:pPr>
            <w:r w:rsidRPr="00464C36">
              <w:rPr>
                <w:sz w:val="20"/>
                <w:lang w:val="en-AU"/>
              </w:rPr>
              <w:t>2.3%</w:t>
            </w:r>
          </w:p>
        </w:tc>
        <w:tc>
          <w:tcPr>
            <w:tcW w:w="1535" w:type="dxa"/>
          </w:tcPr>
          <w:p w:rsidR="00936BDD" w:rsidRPr="00464C36" w:rsidRDefault="00936BDD" w:rsidP="00C4529E">
            <w:pPr>
              <w:jc w:val="center"/>
              <w:rPr>
                <w:sz w:val="20"/>
                <w:lang w:val="en-AU"/>
              </w:rPr>
            </w:pPr>
            <w:r w:rsidRPr="00464C36">
              <w:rPr>
                <w:sz w:val="20"/>
                <w:lang w:val="en-AU"/>
              </w:rPr>
              <w:t>0.6%</w:t>
            </w:r>
          </w:p>
        </w:tc>
        <w:tc>
          <w:tcPr>
            <w:tcW w:w="1535" w:type="dxa"/>
          </w:tcPr>
          <w:p w:rsidR="00936BDD" w:rsidRPr="00464C36" w:rsidRDefault="00936BDD" w:rsidP="00C4529E">
            <w:pPr>
              <w:jc w:val="center"/>
              <w:rPr>
                <w:sz w:val="20"/>
                <w:lang w:val="en-AU"/>
              </w:rPr>
            </w:pPr>
            <w:r w:rsidRPr="00464C36">
              <w:rPr>
                <w:sz w:val="20"/>
                <w:lang w:val="en-AU"/>
              </w:rPr>
              <w:t>0.9%</w:t>
            </w:r>
          </w:p>
        </w:tc>
      </w:tr>
      <w:tr w:rsidR="00936BDD" w:rsidRPr="00464C36" w:rsidTr="00FF626C">
        <w:tblPrEx>
          <w:tblCellMar>
            <w:top w:w="0" w:type="dxa"/>
            <w:bottom w:w="0" w:type="dxa"/>
          </w:tblCellMar>
        </w:tblPrEx>
        <w:trPr>
          <w:trHeight w:val="130"/>
          <w:jc w:val="center"/>
        </w:trPr>
        <w:tc>
          <w:tcPr>
            <w:tcW w:w="7675" w:type="dxa"/>
            <w:gridSpan w:val="5"/>
          </w:tcPr>
          <w:p w:rsidR="00936BDD" w:rsidRPr="00464C36" w:rsidRDefault="00936BDD" w:rsidP="00C4529E">
            <w:pPr>
              <w:jc w:val="left"/>
              <w:rPr>
                <w:sz w:val="20"/>
                <w:lang w:val="en-AU"/>
              </w:rPr>
            </w:pPr>
            <w:r w:rsidRPr="00464C36">
              <w:rPr>
                <w:sz w:val="20"/>
                <w:lang w:val="en-AU"/>
              </w:rPr>
              <w:t xml:space="preserve">* Adverse reactions by </w:t>
            </w:r>
            <w:proofErr w:type="spellStart"/>
            <w:r w:rsidRPr="00464C36">
              <w:rPr>
                <w:sz w:val="20"/>
                <w:lang w:val="en-AU"/>
              </w:rPr>
              <w:t>MedDRA</w:t>
            </w:r>
            <w:proofErr w:type="spellEnd"/>
            <w:r w:rsidRPr="00464C36">
              <w:rPr>
                <w:sz w:val="20"/>
                <w:lang w:val="en-AU"/>
              </w:rPr>
              <w:t xml:space="preserve"> preferred term.</w:t>
            </w:r>
          </w:p>
        </w:tc>
      </w:tr>
    </w:tbl>
    <w:p w:rsidR="0095510D" w:rsidRPr="00C83029" w:rsidRDefault="0095510D" w:rsidP="00EE5749">
      <w:pPr>
        <w:rPr>
          <w:lang w:val="en-AU"/>
        </w:rPr>
      </w:pPr>
    </w:p>
    <w:p w:rsidR="00CD2773" w:rsidRDefault="0095510D" w:rsidP="00EE5749">
      <w:pPr>
        <w:rPr>
          <w:lang w:val="en-AU"/>
        </w:rPr>
      </w:pPr>
      <w:r w:rsidRPr="00C83029">
        <w:rPr>
          <w:lang w:val="en-AU"/>
        </w:rPr>
        <w:t>Elevated blood creatinine kinase of &gt;</w:t>
      </w:r>
      <w:r w:rsidR="00540117">
        <w:rPr>
          <w:lang w:val="en-AU"/>
        </w:rPr>
        <w:t xml:space="preserve"> </w:t>
      </w:r>
      <w:r w:rsidRPr="00C83029">
        <w:rPr>
          <w:lang w:val="en-AU"/>
        </w:rPr>
        <w:t xml:space="preserve">3 times the upper limit of normal (ULN) occurred in 49 out of 2800 (1.8%) patients receiving </w:t>
      </w:r>
      <w:r w:rsidR="008261E3" w:rsidRPr="00C83029">
        <w:rPr>
          <w:lang w:val="en-AU"/>
        </w:rPr>
        <w:t>pitavastatin</w:t>
      </w:r>
      <w:r w:rsidRPr="00C83029">
        <w:rPr>
          <w:lang w:val="en-AU"/>
        </w:rPr>
        <w:t xml:space="preserve"> in the controlled clinical trials. Levels of</w:t>
      </w:r>
      <w:r w:rsidR="00913E10">
        <w:rPr>
          <w:lang w:val="en-AU"/>
        </w:rPr>
        <w:t xml:space="preserve"> </w:t>
      </w:r>
      <w:r w:rsidRPr="00C83029">
        <w:rPr>
          <w:lang w:val="en-AU"/>
        </w:rPr>
        <w:t xml:space="preserve">≥ 10 times ULN with concurrent muscle symptoms were rare and only observed in one patient out of 2406 treated with 4mg </w:t>
      </w:r>
      <w:r w:rsidR="008261E3" w:rsidRPr="00C83029">
        <w:rPr>
          <w:lang w:val="en-AU"/>
        </w:rPr>
        <w:t xml:space="preserve">pitavastatin </w:t>
      </w:r>
      <w:r w:rsidRPr="00C83029">
        <w:rPr>
          <w:lang w:val="en-AU"/>
        </w:rPr>
        <w:t>(0.04%) in the clinical trial programme.</w:t>
      </w:r>
    </w:p>
    <w:p w:rsidR="000D3E89" w:rsidRPr="00BB209C" w:rsidRDefault="00BB209C" w:rsidP="00BB209C">
      <w:pPr>
        <w:rPr>
          <w:lang w:eastAsia="zh-TW"/>
        </w:rPr>
      </w:pPr>
      <w:r>
        <w:rPr>
          <w:lang w:eastAsia="zh-TW"/>
        </w:rPr>
        <w:t xml:space="preserve">In clinical trials for doses </w:t>
      </w:r>
      <w:r w:rsidR="00AA0B24">
        <w:rPr>
          <w:lang w:eastAsia="zh-TW"/>
        </w:rPr>
        <w:t>above the recommended dose range</w:t>
      </w:r>
      <w:r>
        <w:rPr>
          <w:lang w:eastAsia="zh-TW"/>
        </w:rPr>
        <w:t xml:space="preserve">, adverse events reported as rhabdomyolysis and myopathy (myalgia associated with CK </w:t>
      </w:r>
      <w:r>
        <w:rPr>
          <w:rFonts w:ascii="SymbolMT" w:eastAsia="SymbolMT" w:cs="SymbolMT" w:hint="eastAsia"/>
          <w:lang w:eastAsia="zh-TW"/>
        </w:rPr>
        <w:t>≥</w:t>
      </w:r>
      <w:r>
        <w:rPr>
          <w:lang w:eastAsia="zh-TW"/>
        </w:rPr>
        <w:t xml:space="preserve">10x ULN) were seen at doses of 8 mg and above and 16 mg and above, respectively. Nine subjects (0.3%) were reported as having rhabdomyolysis after receiving pitavastatin, two (0.4%) with 8 mg pitavastatin, one (1.0%) with 16 mg pitavastatin, three (8.8%) with 32 mg pitavastatin and three (9.1%) with 64 mg pitavastatin. (See </w:t>
      </w:r>
      <w:r w:rsidR="007D55BF">
        <w:rPr>
          <w:lang w:eastAsia="zh-TW"/>
        </w:rPr>
        <w:t>‘</w:t>
      </w:r>
      <w:r>
        <w:rPr>
          <w:lang w:eastAsia="zh-TW"/>
        </w:rPr>
        <w:t>Precautions</w:t>
      </w:r>
      <w:r w:rsidR="007D55BF">
        <w:rPr>
          <w:lang w:eastAsia="zh-TW"/>
        </w:rPr>
        <w:t>’</w:t>
      </w:r>
      <w:r>
        <w:rPr>
          <w:lang w:eastAsia="zh-TW"/>
        </w:rPr>
        <w:t>)</w:t>
      </w:r>
    </w:p>
    <w:p w:rsidR="00CD2773" w:rsidRPr="00C83029" w:rsidRDefault="00CD2773" w:rsidP="008B3204">
      <w:pPr>
        <w:pStyle w:val="Heading2"/>
      </w:pPr>
      <w:r w:rsidRPr="00C83029">
        <w:t>Post-marketing data</w:t>
      </w:r>
    </w:p>
    <w:p w:rsidR="0095510D" w:rsidRPr="00C83029" w:rsidRDefault="0095510D" w:rsidP="00EE5749">
      <w:pPr>
        <w:rPr>
          <w:lang w:val="en-AU"/>
        </w:rPr>
      </w:pPr>
      <w:r w:rsidRPr="00C83029">
        <w:rPr>
          <w:lang w:val="en-AU"/>
        </w:rPr>
        <w:t xml:space="preserve">A two year prospective post-marketing surveillance study was conducted in nearly 20,000 patients in </w:t>
      </w:r>
      <w:smartTag w:uri="urn:schemas-microsoft-com:office:smarttags" w:element="place">
        <w:smartTag w:uri="urn:schemas-microsoft-com:office:smarttags" w:element="country-region">
          <w:r w:rsidRPr="00C83029">
            <w:rPr>
              <w:lang w:val="en-AU"/>
            </w:rPr>
            <w:t>Japan</w:t>
          </w:r>
        </w:smartTag>
      </w:smartTag>
      <w:r w:rsidRPr="00C83029">
        <w:rPr>
          <w:lang w:val="en-AU"/>
        </w:rPr>
        <w:t>. The overwhelming majority of the 20,000 patients in the study were treated with 1</w:t>
      </w:r>
      <w:r w:rsidR="00913E10">
        <w:rPr>
          <w:lang w:val="en-AU"/>
        </w:rPr>
        <w:t xml:space="preserve"> </w:t>
      </w:r>
      <w:r w:rsidRPr="00C83029">
        <w:rPr>
          <w:lang w:val="en-AU"/>
        </w:rPr>
        <w:t>mg or 2</w:t>
      </w:r>
      <w:r w:rsidR="00913E10">
        <w:rPr>
          <w:lang w:val="en-AU"/>
        </w:rPr>
        <w:t xml:space="preserve"> </w:t>
      </w:r>
      <w:r w:rsidRPr="00C83029">
        <w:rPr>
          <w:lang w:val="en-AU"/>
        </w:rPr>
        <w:t>mg pitavastatin and not 4</w:t>
      </w:r>
      <w:r w:rsidR="00913E10">
        <w:rPr>
          <w:lang w:val="en-AU"/>
        </w:rPr>
        <w:t xml:space="preserve"> </w:t>
      </w:r>
      <w:r w:rsidRPr="00C83029">
        <w:rPr>
          <w:lang w:val="en-AU"/>
        </w:rPr>
        <w:t>mg. 10.4% of patients reported adverse events for which a causal relationship to pitavastatin could not be ruled out and 7.4% of patients withdrew from therapy due to adverse events. The myalgia rate was 1.08%. The majority of adverse events were mild. Adverse event rates were higher over 2 years in patients with a history of drug allergy (20.4%), or hepatic or renal disease (13.5%).</w:t>
      </w:r>
    </w:p>
    <w:p w:rsidR="0095510D" w:rsidRPr="00C83029" w:rsidRDefault="0095510D" w:rsidP="00EE5749">
      <w:pPr>
        <w:rPr>
          <w:lang w:val="en-AU"/>
        </w:rPr>
      </w:pPr>
      <w:r w:rsidRPr="00C83029">
        <w:rPr>
          <w:lang w:val="en-AU"/>
        </w:rPr>
        <w:t>Adverse reactions and frequencies observed in the prospective post-marketing surveillance study but not in worldwide controlled clinical trials, at the recommended doses are listed below.</w:t>
      </w:r>
    </w:p>
    <w:p w:rsidR="006F5AC2" w:rsidRPr="006F5AC2" w:rsidRDefault="006F5AC2" w:rsidP="006F5AC2">
      <w:pPr>
        <w:pStyle w:val="Heading3"/>
      </w:pPr>
      <w:r w:rsidRPr="006F5AC2">
        <w:t>Nervous system disorders</w:t>
      </w:r>
    </w:p>
    <w:p w:rsidR="006F5AC2" w:rsidRPr="006F5AC2" w:rsidRDefault="006F5AC2" w:rsidP="006F5AC2">
      <w:pPr>
        <w:pStyle w:val="Heading3"/>
        <w:rPr>
          <w:rFonts w:eastAsia="PMingLiU" w:cs="Arial"/>
          <w:i/>
          <w:iCs/>
          <w:sz w:val="21"/>
          <w:szCs w:val="21"/>
          <w:lang w:eastAsia="zh-TW"/>
        </w:rPr>
      </w:pPr>
      <w:r>
        <w:rPr>
          <w:rFonts w:eastAsia="PMingLiU" w:cs="Arial"/>
          <w:i/>
          <w:iCs/>
          <w:sz w:val="21"/>
          <w:szCs w:val="21"/>
          <w:lang w:eastAsia="zh-TW"/>
        </w:rPr>
        <w:t>Uncommon</w:t>
      </w:r>
      <w:r w:rsidRPr="006F5AC2">
        <w:rPr>
          <w:rFonts w:eastAsia="PMingLiU" w:cs="Arial"/>
          <w:i/>
          <w:iCs/>
          <w:sz w:val="21"/>
          <w:szCs w:val="21"/>
          <w:lang w:eastAsia="zh-TW"/>
        </w:rPr>
        <w:t xml:space="preserve">: </w:t>
      </w:r>
      <w:r w:rsidRPr="00981004">
        <w:rPr>
          <w:rFonts w:eastAsia="PMingLiU" w:cs="Arial"/>
          <w:i/>
          <w:iCs/>
          <w:sz w:val="21"/>
          <w:szCs w:val="21"/>
          <w:lang w:eastAsia="zh-TW"/>
        </w:rPr>
        <w:t>Hypoaesthesia</w:t>
      </w:r>
    </w:p>
    <w:p w:rsidR="006F5AC2" w:rsidRPr="006F5AC2" w:rsidRDefault="006F5AC2" w:rsidP="006F5AC2">
      <w:pPr>
        <w:pStyle w:val="Heading3"/>
      </w:pPr>
      <w:r w:rsidRPr="006F5AC2">
        <w:t>Gastrointestinal disorders</w:t>
      </w:r>
    </w:p>
    <w:p w:rsidR="006F5AC2" w:rsidRDefault="006F5AC2" w:rsidP="006F5AC2">
      <w:pPr>
        <w:pStyle w:val="Heading3"/>
        <w:rPr>
          <w:rFonts w:eastAsia="PMingLiU" w:cs="Arial"/>
          <w:sz w:val="21"/>
          <w:szCs w:val="21"/>
          <w:lang w:eastAsia="zh-TW"/>
        </w:rPr>
      </w:pPr>
      <w:r>
        <w:rPr>
          <w:rFonts w:eastAsia="PMingLiU" w:cs="Arial"/>
          <w:i/>
          <w:iCs/>
          <w:sz w:val="21"/>
          <w:szCs w:val="21"/>
          <w:lang w:eastAsia="zh-TW"/>
        </w:rPr>
        <w:t>Rare</w:t>
      </w:r>
      <w:r>
        <w:rPr>
          <w:rFonts w:eastAsia="PMingLiU" w:cs="Arial"/>
          <w:sz w:val="21"/>
          <w:szCs w:val="21"/>
          <w:lang w:eastAsia="zh-TW"/>
        </w:rPr>
        <w:t xml:space="preserve">: Abdominal discomfort, </w:t>
      </w:r>
      <w:r w:rsidR="00981004">
        <w:rPr>
          <w:rFonts w:eastAsia="PMingLiU" w:cs="Arial"/>
          <w:sz w:val="21"/>
          <w:szCs w:val="21"/>
          <w:lang w:eastAsia="zh-TW"/>
        </w:rPr>
        <w:t>a</w:t>
      </w:r>
      <w:r>
        <w:rPr>
          <w:rFonts w:eastAsia="PMingLiU" w:cs="Arial"/>
          <w:sz w:val="21"/>
          <w:szCs w:val="21"/>
          <w:lang w:eastAsia="zh-TW"/>
        </w:rPr>
        <w:t>bdominal pain</w:t>
      </w:r>
    </w:p>
    <w:p w:rsidR="006F5AC2" w:rsidRPr="006F5AC2" w:rsidRDefault="006F5AC2" w:rsidP="006F5AC2">
      <w:pPr>
        <w:pStyle w:val="Heading3"/>
      </w:pPr>
      <w:r w:rsidRPr="006F5AC2">
        <w:t>Skin and subcutaneous tissue disorders</w:t>
      </w:r>
    </w:p>
    <w:p w:rsidR="006F5AC2" w:rsidRDefault="006F5AC2" w:rsidP="006F5AC2">
      <w:pPr>
        <w:pStyle w:val="Heading3"/>
      </w:pPr>
      <w:r>
        <w:rPr>
          <w:rFonts w:eastAsia="PMingLiU" w:cs="Arial"/>
          <w:i/>
          <w:iCs/>
          <w:sz w:val="21"/>
          <w:szCs w:val="21"/>
          <w:lang w:eastAsia="zh-TW"/>
        </w:rPr>
        <w:t>Uncommon</w:t>
      </w:r>
      <w:r>
        <w:rPr>
          <w:rFonts w:eastAsia="PMingLiU" w:cs="Arial"/>
          <w:sz w:val="21"/>
          <w:szCs w:val="21"/>
          <w:lang w:eastAsia="zh-TW"/>
        </w:rPr>
        <w:t>: Urticaria</w:t>
      </w:r>
    </w:p>
    <w:p w:rsidR="0095510D" w:rsidRPr="00C83029" w:rsidRDefault="0095510D" w:rsidP="006F5AC2">
      <w:pPr>
        <w:pStyle w:val="Heading3"/>
      </w:pPr>
      <w:r w:rsidRPr="00C83029">
        <w:t>Hepato-biliary disorders</w:t>
      </w:r>
    </w:p>
    <w:p w:rsidR="0095510D" w:rsidRPr="00C83029" w:rsidRDefault="0095510D" w:rsidP="00EE5749">
      <w:pPr>
        <w:rPr>
          <w:lang w:val="en-AU"/>
        </w:rPr>
      </w:pPr>
      <w:r w:rsidRPr="00EC4857">
        <w:rPr>
          <w:i/>
          <w:lang w:val="en-AU"/>
        </w:rPr>
        <w:t>Rare:</w:t>
      </w:r>
      <w:r w:rsidRPr="00C83029">
        <w:rPr>
          <w:lang w:val="en-AU"/>
        </w:rPr>
        <w:t xml:space="preserve"> Hepatic function abnormal, </w:t>
      </w:r>
      <w:r w:rsidR="00981004" w:rsidRPr="00C83029">
        <w:rPr>
          <w:lang w:val="en-AU"/>
        </w:rPr>
        <w:t>liver</w:t>
      </w:r>
      <w:r w:rsidRPr="00C83029">
        <w:rPr>
          <w:lang w:val="en-AU"/>
        </w:rPr>
        <w:t xml:space="preserve"> disorder</w:t>
      </w:r>
    </w:p>
    <w:p w:rsidR="0095510D" w:rsidRPr="00C83029" w:rsidRDefault="0095510D" w:rsidP="00F001A8">
      <w:pPr>
        <w:pStyle w:val="Heading3"/>
      </w:pPr>
      <w:r w:rsidRPr="00C83029">
        <w:lastRenderedPageBreak/>
        <w:t>Musculoskeletal, connective tissue disorders</w:t>
      </w:r>
    </w:p>
    <w:p w:rsidR="0095510D" w:rsidRDefault="0095510D" w:rsidP="00EE5749">
      <w:pPr>
        <w:rPr>
          <w:lang w:val="en-AU"/>
        </w:rPr>
      </w:pPr>
      <w:r w:rsidRPr="00EC4857">
        <w:rPr>
          <w:i/>
          <w:lang w:val="en-AU"/>
        </w:rPr>
        <w:t>Rare:</w:t>
      </w:r>
      <w:r w:rsidRPr="00C83029">
        <w:rPr>
          <w:lang w:val="en-AU"/>
        </w:rPr>
        <w:t xml:space="preserve"> Myopathy, Rhabdomyolysis</w:t>
      </w:r>
    </w:p>
    <w:p w:rsidR="00EC4857" w:rsidRDefault="00EC4857" w:rsidP="00EC4857">
      <w:pPr>
        <w:pStyle w:val="Heading3"/>
        <w:rPr>
          <w:lang w:eastAsia="zh-TW"/>
        </w:rPr>
      </w:pPr>
      <w:r>
        <w:rPr>
          <w:lang w:eastAsia="zh-TW"/>
        </w:rPr>
        <w:t>General disorders and administration site conditions</w:t>
      </w:r>
    </w:p>
    <w:p w:rsidR="00EC4857" w:rsidRPr="00EC4857" w:rsidRDefault="00EC4857" w:rsidP="00EC4857">
      <w:pPr>
        <w:rPr>
          <w:lang w:val="en-AU"/>
        </w:rPr>
      </w:pPr>
      <w:r w:rsidRPr="00EC4857">
        <w:rPr>
          <w:i/>
          <w:lang w:val="en-AU"/>
        </w:rPr>
        <w:t>Uncommon:</w:t>
      </w:r>
      <w:r w:rsidRPr="00EC4857">
        <w:rPr>
          <w:lang w:val="en-AU"/>
        </w:rPr>
        <w:t xml:space="preserve"> Malaise*</w:t>
      </w:r>
    </w:p>
    <w:p w:rsidR="00EC4857" w:rsidRPr="00C83029" w:rsidRDefault="00EC4857" w:rsidP="00EC4857">
      <w:pPr>
        <w:rPr>
          <w:lang w:val="en-AU"/>
        </w:rPr>
      </w:pPr>
      <w:r w:rsidRPr="00EC4857">
        <w:rPr>
          <w:i/>
          <w:lang w:val="en-AU"/>
        </w:rPr>
        <w:t>Rare:</w:t>
      </w:r>
      <w:r w:rsidRPr="00EC4857">
        <w:rPr>
          <w:lang w:val="en-AU"/>
        </w:rPr>
        <w:t xml:space="preserve"> Asthenia</w:t>
      </w:r>
    </w:p>
    <w:p w:rsidR="0095510D" w:rsidRPr="00C83029" w:rsidRDefault="0095510D" w:rsidP="00EE5749">
      <w:pPr>
        <w:rPr>
          <w:lang w:val="en-AU"/>
        </w:rPr>
      </w:pPr>
      <w:r w:rsidRPr="00C83029">
        <w:rPr>
          <w:lang w:val="en-AU"/>
        </w:rPr>
        <w:t>In the post-marketing surveillance study there were two repo</w:t>
      </w:r>
      <w:r w:rsidR="00D71227" w:rsidRPr="00C83029">
        <w:rPr>
          <w:lang w:val="en-AU"/>
        </w:rPr>
        <w:t xml:space="preserve">rts of rhabdomyolysis requiring </w:t>
      </w:r>
      <w:r w:rsidRPr="00C83029">
        <w:rPr>
          <w:lang w:val="en-AU"/>
        </w:rPr>
        <w:t>hospitalisation (0.01% of patients).</w:t>
      </w:r>
    </w:p>
    <w:p w:rsidR="0095510D" w:rsidRPr="00C83029" w:rsidRDefault="0095510D" w:rsidP="00EE5749">
      <w:pPr>
        <w:rPr>
          <w:lang w:val="en-AU"/>
        </w:rPr>
      </w:pPr>
      <w:r w:rsidRPr="00C83029">
        <w:rPr>
          <w:lang w:val="en-AU"/>
        </w:rPr>
        <w:t>In addition there are unsolicited post-marketing reports of skeletal m</w:t>
      </w:r>
      <w:r w:rsidR="00D71227" w:rsidRPr="00C83029">
        <w:rPr>
          <w:lang w:val="en-AU"/>
        </w:rPr>
        <w:t xml:space="preserve">uscle effects including myalgia </w:t>
      </w:r>
      <w:r w:rsidRPr="00C83029">
        <w:rPr>
          <w:lang w:val="en-AU"/>
        </w:rPr>
        <w:t xml:space="preserve">and myopathy in </w:t>
      </w:r>
      <w:r w:rsidR="00523DD9" w:rsidRPr="00C83029">
        <w:rPr>
          <w:lang w:val="en-AU"/>
        </w:rPr>
        <w:t xml:space="preserve">patients treated with </w:t>
      </w:r>
      <w:r w:rsidR="008261E3" w:rsidRPr="00C83029">
        <w:rPr>
          <w:lang w:val="en-AU"/>
        </w:rPr>
        <w:t>pitavastatin</w:t>
      </w:r>
      <w:r w:rsidRPr="00C83029">
        <w:rPr>
          <w:lang w:val="en-AU"/>
        </w:rPr>
        <w:t xml:space="preserve"> at all recommended doses. Reports of rhabdomyolysis, with</w:t>
      </w:r>
      <w:r w:rsidR="00D71227" w:rsidRPr="00C83029">
        <w:rPr>
          <w:lang w:val="en-AU"/>
        </w:rPr>
        <w:t xml:space="preserve"> </w:t>
      </w:r>
      <w:r w:rsidRPr="00C83029">
        <w:rPr>
          <w:lang w:val="en-AU"/>
        </w:rPr>
        <w:t>and without acute renal failure, including fatal rhabdomyolysis have also been received.</w:t>
      </w:r>
    </w:p>
    <w:p w:rsidR="0095510D" w:rsidRPr="00C83029" w:rsidRDefault="0095510D" w:rsidP="00CB72AE">
      <w:pPr>
        <w:pStyle w:val="Heading2"/>
      </w:pPr>
      <w:r w:rsidRPr="00C83029">
        <w:t>Statin class effects</w:t>
      </w:r>
    </w:p>
    <w:p w:rsidR="00CD2773" w:rsidRPr="00C83029" w:rsidRDefault="0095510D" w:rsidP="006405C6">
      <w:pPr>
        <w:rPr>
          <w:lang w:val="en-AU"/>
        </w:rPr>
      </w:pPr>
      <w:r w:rsidRPr="00C83029">
        <w:rPr>
          <w:lang w:val="en-AU"/>
        </w:rPr>
        <w:t>The following adverse events have been reported with some statins</w:t>
      </w:r>
      <w:r w:rsidR="006405C6">
        <w:rPr>
          <w:lang w:val="en-AU"/>
        </w:rPr>
        <w:t xml:space="preserve">, </w:t>
      </w:r>
      <w:r w:rsidRPr="00C83029">
        <w:rPr>
          <w:lang w:val="en-AU"/>
        </w:rPr>
        <w:t>Sleep disturbances, including nightmares</w:t>
      </w:r>
      <w:r w:rsidR="006405C6">
        <w:rPr>
          <w:lang w:val="en-AU"/>
        </w:rPr>
        <w:t xml:space="preserve">; </w:t>
      </w:r>
      <w:r w:rsidRPr="00C83029">
        <w:rPr>
          <w:lang w:val="en-AU"/>
        </w:rPr>
        <w:t>Memory loss</w:t>
      </w:r>
      <w:r w:rsidR="006405C6">
        <w:rPr>
          <w:lang w:val="en-AU"/>
        </w:rPr>
        <w:t xml:space="preserve">; </w:t>
      </w:r>
      <w:r w:rsidRPr="00C83029">
        <w:rPr>
          <w:lang w:val="en-AU"/>
        </w:rPr>
        <w:t>Sexual dysfunction</w:t>
      </w:r>
      <w:r w:rsidR="006405C6">
        <w:rPr>
          <w:lang w:val="en-AU"/>
        </w:rPr>
        <w:t xml:space="preserve">; </w:t>
      </w:r>
      <w:r w:rsidRPr="00C83029">
        <w:rPr>
          <w:lang w:val="en-AU"/>
        </w:rPr>
        <w:t>Depression</w:t>
      </w:r>
      <w:r w:rsidR="006405C6">
        <w:rPr>
          <w:lang w:val="en-AU"/>
        </w:rPr>
        <w:t xml:space="preserve">; </w:t>
      </w:r>
      <w:r w:rsidRPr="00C83029">
        <w:rPr>
          <w:lang w:val="en-AU"/>
        </w:rPr>
        <w:t>Exceptional cases of interstitial lung disease, especially with long term therapy</w:t>
      </w:r>
    </w:p>
    <w:p w:rsidR="00CD2773" w:rsidRPr="00C83029" w:rsidRDefault="00CD2773" w:rsidP="008B3204">
      <w:pPr>
        <w:pStyle w:val="Heading1"/>
      </w:pPr>
      <w:r w:rsidRPr="00C83029">
        <w:t>DOSAGE AND ADMINISTRATION</w:t>
      </w:r>
    </w:p>
    <w:p w:rsidR="00375DE6" w:rsidRPr="00C83029" w:rsidRDefault="00375DE6" w:rsidP="00EE5749">
      <w:pPr>
        <w:rPr>
          <w:lang w:val="en-AU"/>
        </w:rPr>
      </w:pPr>
      <w:r w:rsidRPr="00C83029">
        <w:rPr>
          <w:lang w:val="en-AU"/>
        </w:rPr>
        <w:t>For oral use only and should be swallowed whole. Livalo can be taken at any time of the day with or without food. It is desirable that the patient takes the tablet at the same time each day. Statin therapy is generally more effective in the evening due to the circadian rhythm of lipid metabolism. Patients should be on a cholesterol lowering diet before treatment. It is important that patients continue dietary control during treatment.</w:t>
      </w:r>
    </w:p>
    <w:p w:rsidR="00375DE6" w:rsidRPr="00C83029" w:rsidRDefault="00375DE6" w:rsidP="008B3204">
      <w:pPr>
        <w:pStyle w:val="Heading2"/>
      </w:pPr>
      <w:r w:rsidRPr="00C83029">
        <w:t xml:space="preserve">Adults: </w:t>
      </w:r>
    </w:p>
    <w:p w:rsidR="00AA0B24" w:rsidRDefault="00375DE6" w:rsidP="00EE5749">
      <w:pPr>
        <w:rPr>
          <w:lang w:val="en-AU"/>
        </w:rPr>
      </w:pPr>
      <w:r w:rsidRPr="00C83029">
        <w:rPr>
          <w:lang w:val="en-AU"/>
        </w:rPr>
        <w:t xml:space="preserve">The starting dose is 2 mg once daily. </w:t>
      </w:r>
    </w:p>
    <w:p w:rsidR="008C7CD4" w:rsidRDefault="00375DE6" w:rsidP="00EE5749">
      <w:pPr>
        <w:rPr>
          <w:lang w:val="en-AU"/>
        </w:rPr>
      </w:pPr>
      <w:r w:rsidRPr="00C83029">
        <w:rPr>
          <w:lang w:val="en-AU"/>
        </w:rPr>
        <w:t xml:space="preserve">Adjustment of dose should be made at intervals of 4 weeks or more. Doses should be individualised according to LDL-C levels, the goal of therapy and patient response. </w:t>
      </w:r>
    </w:p>
    <w:p w:rsidR="00375DE6" w:rsidRPr="00C83029" w:rsidRDefault="00375DE6" w:rsidP="00EE5749">
      <w:pPr>
        <w:rPr>
          <w:lang w:val="en-AU"/>
        </w:rPr>
      </w:pPr>
      <w:r w:rsidRPr="00C83029">
        <w:rPr>
          <w:lang w:val="en-AU"/>
        </w:rPr>
        <w:t>The maximum daily dose is 4mg</w:t>
      </w:r>
      <w:r w:rsidR="00BE2516" w:rsidRPr="00C83029">
        <w:rPr>
          <w:lang w:val="en-AU"/>
        </w:rPr>
        <w:t>; higher doses have been associated with increased safety risks</w:t>
      </w:r>
      <w:r w:rsidR="00865A6D" w:rsidRPr="00C83029">
        <w:rPr>
          <w:lang w:val="en-AU"/>
        </w:rPr>
        <w:t>.</w:t>
      </w:r>
      <w:r w:rsidR="00BE2516" w:rsidRPr="00C83029">
        <w:rPr>
          <w:lang w:val="en-AU"/>
        </w:rPr>
        <w:t xml:space="preserve"> (</w:t>
      </w:r>
      <w:proofErr w:type="gramStart"/>
      <w:r w:rsidR="00BE2516" w:rsidRPr="00C83029">
        <w:rPr>
          <w:lang w:val="en-AU"/>
        </w:rPr>
        <w:t>see</w:t>
      </w:r>
      <w:proofErr w:type="gramEnd"/>
      <w:r w:rsidR="00BE2516" w:rsidRPr="00C83029">
        <w:rPr>
          <w:lang w:val="en-AU"/>
        </w:rPr>
        <w:t xml:space="preserve"> </w:t>
      </w:r>
      <w:r w:rsidR="006F5AC2">
        <w:rPr>
          <w:lang w:val="en-AU"/>
        </w:rPr>
        <w:t>‘</w:t>
      </w:r>
      <w:r w:rsidR="00BE2516" w:rsidRPr="00C83029">
        <w:rPr>
          <w:lang w:val="en-AU"/>
        </w:rPr>
        <w:t>Precautions</w:t>
      </w:r>
      <w:r w:rsidR="006F5AC2">
        <w:rPr>
          <w:lang w:val="en-AU"/>
        </w:rPr>
        <w:t>’</w:t>
      </w:r>
      <w:r w:rsidR="008C7CD4">
        <w:rPr>
          <w:lang w:val="en-AU"/>
        </w:rPr>
        <w:t xml:space="preserve"> and ‘Adverse Effects’</w:t>
      </w:r>
      <w:r w:rsidR="00BE2516" w:rsidRPr="00C83029">
        <w:rPr>
          <w:lang w:val="en-AU"/>
        </w:rPr>
        <w:t>)</w:t>
      </w:r>
    </w:p>
    <w:p w:rsidR="00375DE6" w:rsidRPr="00C83029" w:rsidRDefault="00375DE6" w:rsidP="008B3204">
      <w:pPr>
        <w:pStyle w:val="Heading2"/>
      </w:pPr>
      <w:r w:rsidRPr="00C83029">
        <w:t xml:space="preserve">Elderly: </w:t>
      </w:r>
    </w:p>
    <w:p w:rsidR="00375DE6" w:rsidRPr="00C83029" w:rsidRDefault="00375DE6" w:rsidP="00EE5749">
      <w:pPr>
        <w:rPr>
          <w:lang w:val="en-AU"/>
        </w:rPr>
      </w:pPr>
      <w:r w:rsidRPr="00C83029">
        <w:rPr>
          <w:lang w:val="en-AU"/>
        </w:rPr>
        <w:t xml:space="preserve">No dosage adjustment is required (see </w:t>
      </w:r>
      <w:r w:rsidR="006F5AC2">
        <w:rPr>
          <w:lang w:val="en-AU"/>
        </w:rPr>
        <w:t>‘</w:t>
      </w:r>
      <w:r w:rsidR="00B156E3" w:rsidRPr="00C83029">
        <w:rPr>
          <w:lang w:val="en-AU"/>
        </w:rPr>
        <w:t>Precautions</w:t>
      </w:r>
      <w:r w:rsidR="007D55BF">
        <w:rPr>
          <w:lang w:val="en-AU"/>
        </w:rPr>
        <w:t xml:space="preserve"> – Muscle Effects &amp; Use in the Elderly’</w:t>
      </w:r>
      <w:r w:rsidR="006F5AC2">
        <w:rPr>
          <w:lang w:val="en-AU"/>
        </w:rPr>
        <w:t>’</w:t>
      </w:r>
      <w:r w:rsidRPr="00C83029">
        <w:rPr>
          <w:lang w:val="en-AU"/>
        </w:rPr>
        <w:t>).</w:t>
      </w:r>
    </w:p>
    <w:p w:rsidR="00375DE6" w:rsidRPr="00C83029" w:rsidRDefault="00375DE6" w:rsidP="008B3204">
      <w:pPr>
        <w:pStyle w:val="Heading2"/>
      </w:pPr>
      <w:r w:rsidRPr="00C83029">
        <w:t xml:space="preserve">Paediatric use: </w:t>
      </w:r>
    </w:p>
    <w:p w:rsidR="00375DE6" w:rsidRPr="00C83029" w:rsidRDefault="00FA1E14" w:rsidP="00EE5749">
      <w:pPr>
        <w:rPr>
          <w:lang w:val="en-AU"/>
        </w:rPr>
      </w:pPr>
      <w:r>
        <w:rPr>
          <w:lang w:val="en-AU"/>
        </w:rPr>
        <w:t>Livalo</w:t>
      </w:r>
      <w:r w:rsidRPr="00C83029">
        <w:rPr>
          <w:lang w:val="en-AU"/>
        </w:rPr>
        <w:t xml:space="preserve"> </w:t>
      </w:r>
      <w:r w:rsidR="00375DE6" w:rsidRPr="00C83029">
        <w:rPr>
          <w:lang w:val="en-AU"/>
        </w:rPr>
        <w:t>should not be used in children aged below 18 years because safety and efficacy has not been established. No data are currently available.</w:t>
      </w:r>
    </w:p>
    <w:p w:rsidR="00375DE6" w:rsidRPr="00C83029" w:rsidRDefault="00375DE6" w:rsidP="008C1E29">
      <w:pPr>
        <w:pStyle w:val="Heading2"/>
      </w:pPr>
      <w:r w:rsidRPr="00C83029">
        <w:t xml:space="preserve">Patients with impaired renal function: </w:t>
      </w:r>
    </w:p>
    <w:p w:rsidR="004420F9" w:rsidRPr="00C83029" w:rsidRDefault="004608E4" w:rsidP="00FB10D7">
      <w:pPr>
        <w:rPr>
          <w:lang w:val="en-AU"/>
        </w:rPr>
      </w:pPr>
      <w:r w:rsidRPr="00C83029">
        <w:rPr>
          <w:lang w:val="en-AU"/>
        </w:rPr>
        <w:t xml:space="preserve">Patients with </w:t>
      </w:r>
      <w:r w:rsidR="003F3FDA">
        <w:rPr>
          <w:lang w:val="en-AU"/>
        </w:rPr>
        <w:t>Stage 3 kidney</w:t>
      </w:r>
      <w:r w:rsidRPr="00C83029">
        <w:rPr>
          <w:lang w:val="en-AU"/>
        </w:rPr>
        <w:t xml:space="preserve"> </w:t>
      </w:r>
      <w:r w:rsidR="006F5AC2">
        <w:rPr>
          <w:lang w:val="en-AU"/>
        </w:rPr>
        <w:t>disease</w:t>
      </w:r>
      <w:r w:rsidR="006F5AC2" w:rsidRPr="00C83029">
        <w:rPr>
          <w:lang w:val="en-AU"/>
        </w:rPr>
        <w:t xml:space="preserve"> </w:t>
      </w:r>
      <w:r w:rsidRPr="00C83029">
        <w:rPr>
          <w:lang w:val="en-AU"/>
        </w:rPr>
        <w:t>(</w:t>
      </w:r>
      <w:r w:rsidR="00FA1E14">
        <w:rPr>
          <w:lang w:val="en-AU"/>
        </w:rPr>
        <w:t>GFR</w:t>
      </w:r>
      <w:r w:rsidRPr="00C83029">
        <w:rPr>
          <w:lang w:val="en-AU"/>
        </w:rPr>
        <w:t xml:space="preserve"> 30 to &lt; 60 mL/min/1.73 m</w:t>
      </w:r>
      <w:r w:rsidRPr="006F5AC2">
        <w:rPr>
          <w:vertAlign w:val="superscript"/>
          <w:lang w:val="en-AU"/>
        </w:rPr>
        <w:t>2</w:t>
      </w:r>
      <w:r w:rsidRPr="00C83029">
        <w:rPr>
          <w:lang w:val="en-AU"/>
        </w:rPr>
        <w:t xml:space="preserve">) and end–stage renal disease receiving </w:t>
      </w:r>
      <w:r w:rsidR="00476169" w:rsidRPr="00C83029">
        <w:rPr>
          <w:lang w:val="en-AU"/>
        </w:rPr>
        <w:t>haemodialysis</w:t>
      </w:r>
      <w:r w:rsidRPr="00C83029">
        <w:rPr>
          <w:lang w:val="en-AU"/>
        </w:rPr>
        <w:t xml:space="preserve"> should receive a starting dose of </w:t>
      </w:r>
      <w:r w:rsidR="005B6C1C" w:rsidRPr="00C83029">
        <w:rPr>
          <w:lang w:val="en-AU"/>
        </w:rPr>
        <w:t>Livalo</w:t>
      </w:r>
      <w:r w:rsidRPr="00C83029">
        <w:rPr>
          <w:lang w:val="en-AU"/>
        </w:rPr>
        <w:t xml:space="preserve"> 1 mg once daily and a maximum dose of </w:t>
      </w:r>
      <w:r w:rsidR="00710BEF" w:rsidRPr="00C83029">
        <w:rPr>
          <w:lang w:val="en-AU"/>
        </w:rPr>
        <w:t xml:space="preserve">Livalo </w:t>
      </w:r>
      <w:r w:rsidRPr="00C83029">
        <w:rPr>
          <w:lang w:val="en-AU"/>
        </w:rPr>
        <w:t xml:space="preserve">2 mg once daily. </w:t>
      </w:r>
      <w:r w:rsidR="00710BEF" w:rsidRPr="00C83029">
        <w:rPr>
          <w:lang w:val="en-AU"/>
        </w:rPr>
        <w:t xml:space="preserve">Livalo </w:t>
      </w:r>
      <w:r w:rsidRPr="00C83029">
        <w:rPr>
          <w:lang w:val="en-AU"/>
        </w:rPr>
        <w:t>should not be used in patients with severe renal impairment (</w:t>
      </w:r>
      <w:r w:rsidR="00FA1E14">
        <w:rPr>
          <w:lang w:val="en-AU"/>
        </w:rPr>
        <w:t>GFR</w:t>
      </w:r>
      <w:r w:rsidRPr="00C83029">
        <w:rPr>
          <w:lang w:val="en-AU"/>
        </w:rPr>
        <w:t xml:space="preserve"> &lt; 30 mL/min/1.73 m</w:t>
      </w:r>
      <w:r w:rsidRPr="006F5AC2">
        <w:rPr>
          <w:vertAlign w:val="superscript"/>
          <w:lang w:val="en-AU"/>
        </w:rPr>
        <w:t>2</w:t>
      </w:r>
      <w:r w:rsidRPr="00C83029">
        <w:rPr>
          <w:lang w:val="en-AU"/>
        </w:rPr>
        <w:t xml:space="preserve">) not yet on </w:t>
      </w:r>
      <w:r w:rsidR="00476169" w:rsidRPr="00C83029">
        <w:rPr>
          <w:lang w:val="en-AU"/>
        </w:rPr>
        <w:t>haemodialysis</w:t>
      </w:r>
      <w:r w:rsidRPr="00C83029">
        <w:rPr>
          <w:lang w:val="en-AU"/>
        </w:rPr>
        <w:t>.</w:t>
      </w:r>
      <w:r w:rsidR="00E94C8E" w:rsidRPr="00C83029">
        <w:rPr>
          <w:lang w:val="en-AU"/>
        </w:rPr>
        <w:t xml:space="preserve"> (</w:t>
      </w:r>
      <w:proofErr w:type="gramStart"/>
      <w:r w:rsidR="006F5AC2">
        <w:rPr>
          <w:lang w:val="en-AU"/>
        </w:rPr>
        <w:t>s</w:t>
      </w:r>
      <w:r w:rsidR="00E94C8E" w:rsidRPr="00C83029">
        <w:rPr>
          <w:lang w:val="en-AU"/>
        </w:rPr>
        <w:t>ee</w:t>
      </w:r>
      <w:proofErr w:type="gramEnd"/>
      <w:r w:rsidR="00E94C8E" w:rsidRPr="00C83029">
        <w:rPr>
          <w:lang w:val="en-AU"/>
        </w:rPr>
        <w:t xml:space="preserve"> </w:t>
      </w:r>
      <w:r w:rsidR="006F5AC2">
        <w:rPr>
          <w:lang w:val="en-AU"/>
        </w:rPr>
        <w:t>‘</w:t>
      </w:r>
      <w:r w:rsidR="00E94C8E" w:rsidRPr="00C83029">
        <w:rPr>
          <w:lang w:val="en-AU"/>
        </w:rPr>
        <w:t>Precautions</w:t>
      </w:r>
      <w:r w:rsidR="006F5AC2">
        <w:rPr>
          <w:lang w:val="en-AU"/>
        </w:rPr>
        <w:t>’</w:t>
      </w:r>
      <w:r w:rsidR="00E94C8E" w:rsidRPr="00C83029">
        <w:rPr>
          <w:lang w:val="en-AU"/>
        </w:rPr>
        <w:t>)</w:t>
      </w:r>
    </w:p>
    <w:p w:rsidR="00375DE6" w:rsidRPr="00C83029" w:rsidRDefault="00375DE6" w:rsidP="008C1E29">
      <w:pPr>
        <w:pStyle w:val="Heading2"/>
      </w:pPr>
      <w:r w:rsidRPr="00C83029">
        <w:t>Patients with mild to moderate impaired hepatic function:</w:t>
      </w:r>
    </w:p>
    <w:p w:rsidR="00AC44AB" w:rsidRPr="00C83029" w:rsidRDefault="00375DE6" w:rsidP="00EE5749">
      <w:pPr>
        <w:rPr>
          <w:lang w:val="en-AU"/>
        </w:rPr>
      </w:pPr>
      <w:r w:rsidRPr="00C83029">
        <w:rPr>
          <w:lang w:val="en-AU"/>
        </w:rPr>
        <w:t xml:space="preserve">The 4mg dose is not recommended in patients with mild to moderate impaired hepatic function. A maximum daily dose of 2mg may be given with close monitoring (see </w:t>
      </w:r>
      <w:r w:rsidR="0058721A">
        <w:rPr>
          <w:lang w:val="en-AU"/>
        </w:rPr>
        <w:t>‘</w:t>
      </w:r>
      <w:r w:rsidR="00B156E3" w:rsidRPr="00C83029">
        <w:rPr>
          <w:lang w:val="en-AU"/>
        </w:rPr>
        <w:t>Precautions</w:t>
      </w:r>
      <w:r w:rsidR="0058721A">
        <w:rPr>
          <w:lang w:val="en-AU"/>
        </w:rPr>
        <w:t>’</w:t>
      </w:r>
      <w:r w:rsidRPr="00C83029">
        <w:rPr>
          <w:lang w:val="en-AU"/>
        </w:rPr>
        <w:t>).</w:t>
      </w:r>
    </w:p>
    <w:p w:rsidR="00BE2516" w:rsidRPr="00C83029" w:rsidRDefault="00BE2516" w:rsidP="00BE2516">
      <w:pPr>
        <w:pStyle w:val="Heading2"/>
      </w:pPr>
      <w:r w:rsidRPr="00C83029">
        <w:t>Use with Rifampicin</w:t>
      </w:r>
    </w:p>
    <w:p w:rsidR="00BE2516" w:rsidRPr="00C83029" w:rsidRDefault="00BE2516" w:rsidP="00BE2516">
      <w:pPr>
        <w:rPr>
          <w:lang w:val="en-AU"/>
        </w:rPr>
      </w:pPr>
      <w:r w:rsidRPr="00C83029">
        <w:rPr>
          <w:lang w:val="en-AU"/>
        </w:rPr>
        <w:t>In patients taking rifamp</w:t>
      </w:r>
      <w:r w:rsidR="00913E10">
        <w:rPr>
          <w:lang w:val="en-AU"/>
        </w:rPr>
        <w:t>ic</w:t>
      </w:r>
      <w:r w:rsidRPr="00C83029">
        <w:rPr>
          <w:lang w:val="en-AU"/>
        </w:rPr>
        <w:t xml:space="preserve">in, a dose of </w:t>
      </w:r>
      <w:r w:rsidR="005B6C1C" w:rsidRPr="00C83029">
        <w:rPr>
          <w:lang w:val="en-AU"/>
        </w:rPr>
        <w:t>Livalo</w:t>
      </w:r>
      <w:r w:rsidRPr="00C83029">
        <w:rPr>
          <w:lang w:val="en-AU"/>
        </w:rPr>
        <w:t xml:space="preserve"> 2 mg once daily should not be exceeded. (</w:t>
      </w:r>
      <w:proofErr w:type="gramStart"/>
      <w:r w:rsidRPr="00C83029">
        <w:rPr>
          <w:lang w:val="en-AU"/>
        </w:rPr>
        <w:t>see</w:t>
      </w:r>
      <w:proofErr w:type="gramEnd"/>
      <w:r w:rsidRPr="00C83029">
        <w:rPr>
          <w:lang w:val="en-AU"/>
        </w:rPr>
        <w:t xml:space="preserve"> </w:t>
      </w:r>
      <w:r w:rsidR="006F5AC2">
        <w:rPr>
          <w:lang w:val="en-AU"/>
        </w:rPr>
        <w:t>‘</w:t>
      </w:r>
      <w:r w:rsidRPr="00C83029">
        <w:rPr>
          <w:lang w:val="en-AU"/>
        </w:rPr>
        <w:t xml:space="preserve">Interactions with </w:t>
      </w:r>
      <w:r w:rsidR="0058721A">
        <w:rPr>
          <w:lang w:val="en-AU"/>
        </w:rPr>
        <w:t>O</w:t>
      </w:r>
      <w:r w:rsidRPr="00C83029">
        <w:rPr>
          <w:lang w:val="en-AU"/>
        </w:rPr>
        <w:t xml:space="preserve">ther </w:t>
      </w:r>
      <w:r w:rsidR="0058721A">
        <w:rPr>
          <w:lang w:val="en-AU"/>
        </w:rPr>
        <w:t>M</w:t>
      </w:r>
      <w:r w:rsidRPr="00C83029">
        <w:rPr>
          <w:lang w:val="en-AU"/>
        </w:rPr>
        <w:t>edicines</w:t>
      </w:r>
      <w:r w:rsidR="006F5AC2">
        <w:rPr>
          <w:lang w:val="en-AU"/>
        </w:rPr>
        <w:t>’</w:t>
      </w:r>
      <w:r w:rsidRPr="00C83029">
        <w:rPr>
          <w:lang w:val="en-AU"/>
        </w:rPr>
        <w:t>)</w:t>
      </w:r>
      <w:r w:rsidR="006F5AC2">
        <w:rPr>
          <w:lang w:val="en-AU"/>
        </w:rPr>
        <w:t>.</w:t>
      </w:r>
    </w:p>
    <w:p w:rsidR="00CD2773" w:rsidRPr="00C83029" w:rsidRDefault="00CD2773" w:rsidP="008B3204">
      <w:pPr>
        <w:pStyle w:val="Heading1"/>
      </w:pPr>
      <w:r w:rsidRPr="00C83029">
        <w:lastRenderedPageBreak/>
        <w:t>OVERDOSAGE</w:t>
      </w:r>
    </w:p>
    <w:p w:rsidR="00CD2773" w:rsidRPr="00C83029" w:rsidRDefault="00AC44AB" w:rsidP="00EE5749">
      <w:pPr>
        <w:rPr>
          <w:lang w:val="en-AU"/>
        </w:rPr>
      </w:pPr>
      <w:r w:rsidRPr="00C83029">
        <w:rPr>
          <w:lang w:val="en-AU"/>
        </w:rPr>
        <w:t xml:space="preserve">There is no known specific treatment in the event of overdose of </w:t>
      </w:r>
      <w:r w:rsidR="00FA1E14">
        <w:rPr>
          <w:lang w:val="en-AU"/>
        </w:rPr>
        <w:t>Livalo</w:t>
      </w:r>
      <w:r w:rsidRPr="00C83029">
        <w:rPr>
          <w:lang w:val="en-AU"/>
        </w:rPr>
        <w:t>. In the event of overdose, the patient should be treated symptomatically and supportive measures instituted as required. Haemodialysis is unlikely to be of benefit due to high protein binding</w:t>
      </w:r>
      <w:r w:rsidR="00C831BE" w:rsidRPr="00C83029">
        <w:rPr>
          <w:lang w:val="en-AU"/>
        </w:rPr>
        <w:t xml:space="preserve"> </w:t>
      </w:r>
      <w:r w:rsidRPr="00C83029">
        <w:rPr>
          <w:lang w:val="en-AU"/>
        </w:rPr>
        <w:t>ratio of pitavastatin.</w:t>
      </w:r>
    </w:p>
    <w:p w:rsidR="00FB10D7" w:rsidRPr="00C83029" w:rsidRDefault="00FB10D7" w:rsidP="00FB10D7">
      <w:pPr>
        <w:rPr>
          <w:lang w:val="en-AU"/>
        </w:rPr>
      </w:pPr>
      <w:r w:rsidRPr="00C83029">
        <w:rPr>
          <w:lang w:val="en-AU"/>
        </w:rPr>
        <w:t>For information on the management of overdose, contact the Poison Information Centre on 131126 (</w:t>
      </w:r>
      <w:smartTag w:uri="urn:schemas-microsoft-com:office:smarttags" w:element="place">
        <w:smartTag w:uri="urn:schemas-microsoft-com:office:smarttags" w:element="country-region">
          <w:r w:rsidRPr="00C83029">
            <w:rPr>
              <w:lang w:val="en-AU"/>
            </w:rPr>
            <w:t>Australia</w:t>
          </w:r>
        </w:smartTag>
      </w:smartTag>
      <w:r w:rsidRPr="00C83029">
        <w:rPr>
          <w:lang w:val="en-AU"/>
        </w:rPr>
        <w:t>).</w:t>
      </w:r>
    </w:p>
    <w:p w:rsidR="00CD2773" w:rsidRPr="00C83029" w:rsidRDefault="00CD2773" w:rsidP="008B3204">
      <w:pPr>
        <w:pStyle w:val="Heading1"/>
      </w:pPr>
      <w:r w:rsidRPr="00C83029">
        <w:t>PRESENTATION</w:t>
      </w:r>
      <w:r w:rsidR="008B3204" w:rsidRPr="00C83029">
        <w:t xml:space="preserve"> and STORAGE CONDITIONS</w:t>
      </w:r>
    </w:p>
    <w:p w:rsidR="00AC44AB" w:rsidRPr="00C83029" w:rsidRDefault="00AC44AB" w:rsidP="00EE5749">
      <w:pPr>
        <w:rPr>
          <w:lang w:val="en-AU"/>
        </w:rPr>
      </w:pPr>
      <w:r w:rsidRPr="00C83029">
        <w:rPr>
          <w:lang w:val="en-AU"/>
        </w:rPr>
        <w:t xml:space="preserve">1 mg: Round white film-coated tablet. </w:t>
      </w:r>
      <w:proofErr w:type="gramStart"/>
      <w:r w:rsidR="00993146" w:rsidRPr="00C83029">
        <w:rPr>
          <w:lang w:val="en-AU"/>
        </w:rPr>
        <w:t xml:space="preserve">Embossed </w:t>
      </w:r>
      <w:r w:rsidRPr="00C83029">
        <w:rPr>
          <w:lang w:val="en-AU"/>
        </w:rPr>
        <w:t>“KC” on one side and “1” on the other side of the tablet.</w:t>
      </w:r>
      <w:proofErr w:type="gramEnd"/>
    </w:p>
    <w:p w:rsidR="00AC44AB" w:rsidRPr="00C83029" w:rsidRDefault="00AC44AB" w:rsidP="00EE5749">
      <w:pPr>
        <w:rPr>
          <w:lang w:val="en-AU"/>
        </w:rPr>
      </w:pPr>
      <w:r w:rsidRPr="00C83029">
        <w:rPr>
          <w:lang w:val="en-AU"/>
        </w:rPr>
        <w:t xml:space="preserve">2 mg: Round white film-coated tablet. </w:t>
      </w:r>
      <w:proofErr w:type="gramStart"/>
      <w:r w:rsidR="00993146" w:rsidRPr="00C83029">
        <w:rPr>
          <w:lang w:val="en-AU"/>
        </w:rPr>
        <w:t xml:space="preserve">Embossed </w:t>
      </w:r>
      <w:r w:rsidRPr="00C83029">
        <w:rPr>
          <w:lang w:val="en-AU"/>
        </w:rPr>
        <w:t>“KC” on one side and “2” on the other side of the tablet.</w:t>
      </w:r>
      <w:proofErr w:type="gramEnd"/>
    </w:p>
    <w:p w:rsidR="00CD2773" w:rsidRPr="00C83029" w:rsidRDefault="00AC44AB" w:rsidP="00EE5749">
      <w:pPr>
        <w:rPr>
          <w:lang w:val="en-AU"/>
        </w:rPr>
      </w:pPr>
      <w:r w:rsidRPr="00C83029">
        <w:rPr>
          <w:lang w:val="en-AU"/>
        </w:rPr>
        <w:t xml:space="preserve">4 mg: Round white film-coated tablet. </w:t>
      </w:r>
      <w:proofErr w:type="gramStart"/>
      <w:r w:rsidR="00993146" w:rsidRPr="00C83029">
        <w:rPr>
          <w:lang w:val="en-AU"/>
        </w:rPr>
        <w:t xml:space="preserve">Embossed </w:t>
      </w:r>
      <w:r w:rsidRPr="00C83029">
        <w:rPr>
          <w:lang w:val="en-AU"/>
        </w:rPr>
        <w:t>“KC” on one side and “4” on the other side of the tablet.</w:t>
      </w:r>
      <w:proofErr w:type="gramEnd"/>
    </w:p>
    <w:p w:rsidR="00993146" w:rsidRPr="00C83029" w:rsidRDefault="00993146" w:rsidP="00993146">
      <w:pPr>
        <w:rPr>
          <w:lang w:val="en-AU"/>
        </w:rPr>
      </w:pPr>
      <w:r w:rsidRPr="00C83029">
        <w:rPr>
          <w:lang w:val="en-AU"/>
        </w:rPr>
        <w:t>All presentations are packed in blisters contained in a cardboard carton.</w:t>
      </w:r>
    </w:p>
    <w:p w:rsidR="001D7B58" w:rsidRPr="00C83029" w:rsidRDefault="00D71227" w:rsidP="00EE5749">
      <w:pPr>
        <w:rPr>
          <w:lang w:val="en-AU"/>
        </w:rPr>
      </w:pPr>
      <w:r w:rsidRPr="00C83029">
        <w:rPr>
          <w:lang w:val="en-AU"/>
        </w:rPr>
        <w:t>Do not store above 25ºC.</w:t>
      </w:r>
      <w:r w:rsidR="006F5AC2">
        <w:rPr>
          <w:lang w:val="en-AU"/>
        </w:rPr>
        <w:t xml:space="preserve"> </w:t>
      </w:r>
      <w:proofErr w:type="gramStart"/>
      <w:r w:rsidRPr="00C83029">
        <w:rPr>
          <w:lang w:val="en-AU"/>
        </w:rPr>
        <w:t>To protect from light keep blister in the outer carton.</w:t>
      </w:r>
      <w:proofErr w:type="gramEnd"/>
    </w:p>
    <w:p w:rsidR="00CB72AE" w:rsidRPr="00C83029" w:rsidRDefault="00CB72AE" w:rsidP="00EE5749">
      <w:pPr>
        <w:rPr>
          <w:lang w:val="en-AU"/>
        </w:rPr>
      </w:pPr>
      <w:r w:rsidRPr="00C83029">
        <w:rPr>
          <w:lang w:val="en-AU"/>
        </w:rPr>
        <w:t xml:space="preserve">Pack sizes: </w:t>
      </w:r>
      <w:r w:rsidR="00B03469" w:rsidRPr="00C83029">
        <w:rPr>
          <w:lang w:val="en-AU"/>
        </w:rPr>
        <w:t>10</w:t>
      </w:r>
      <w:r w:rsidRPr="00C83029">
        <w:rPr>
          <w:lang w:val="en-AU"/>
        </w:rPr>
        <w:t xml:space="preserve">, 28, 30, </w:t>
      </w:r>
      <w:proofErr w:type="gramStart"/>
      <w:r w:rsidRPr="00C83029">
        <w:rPr>
          <w:lang w:val="en-AU"/>
        </w:rPr>
        <w:t>100</w:t>
      </w:r>
      <w:proofErr w:type="gramEnd"/>
    </w:p>
    <w:p w:rsidR="00CD2773" w:rsidRPr="00C83029" w:rsidRDefault="008B3204" w:rsidP="008B3204">
      <w:pPr>
        <w:pStyle w:val="Heading1"/>
      </w:pPr>
      <w:r w:rsidRPr="00C83029">
        <w:t xml:space="preserve">Name and address of the </w:t>
      </w:r>
      <w:r w:rsidR="00CD2773" w:rsidRPr="00C83029">
        <w:t>SPONSOR</w:t>
      </w:r>
    </w:p>
    <w:p w:rsidR="00CD2773" w:rsidRPr="00C83029" w:rsidRDefault="00B2237B" w:rsidP="00EE5749">
      <w:pPr>
        <w:rPr>
          <w:lang w:val="en-AU"/>
        </w:rPr>
      </w:pPr>
      <w:r w:rsidRPr="00C83029">
        <w:rPr>
          <w:lang w:val="en-AU"/>
        </w:rPr>
        <w:t xml:space="preserve">Abbott </w:t>
      </w:r>
      <w:r w:rsidR="008B3204" w:rsidRPr="00C83029">
        <w:rPr>
          <w:lang w:val="en-AU"/>
        </w:rPr>
        <w:t xml:space="preserve">Australasia </w:t>
      </w:r>
      <w:r w:rsidRPr="00C83029">
        <w:rPr>
          <w:lang w:val="en-AU"/>
        </w:rPr>
        <w:t>Pty Ltd</w:t>
      </w:r>
    </w:p>
    <w:p w:rsidR="00CD2773" w:rsidRPr="00C83029" w:rsidRDefault="008B3204" w:rsidP="00EE5749">
      <w:pPr>
        <w:rPr>
          <w:lang w:val="en-AU"/>
        </w:rPr>
      </w:pPr>
      <w:smartTag w:uri="urn:schemas-microsoft-com:office:smarttags" w:element="Street">
        <w:smartTag w:uri="urn:schemas-microsoft-com:office:smarttags" w:element="address">
          <w:r w:rsidRPr="00C83029">
            <w:rPr>
              <w:lang w:val="en-AU"/>
            </w:rPr>
            <w:t>32-34 Lord</w:t>
          </w:r>
          <w:r w:rsidR="00CD2773" w:rsidRPr="00C83029">
            <w:rPr>
              <w:lang w:val="en-AU"/>
            </w:rPr>
            <w:t xml:space="preserve"> Street</w:t>
          </w:r>
        </w:smartTag>
      </w:smartTag>
    </w:p>
    <w:p w:rsidR="00CD2773" w:rsidRPr="00C83029" w:rsidRDefault="008B3204" w:rsidP="00EE5749">
      <w:pPr>
        <w:rPr>
          <w:lang w:val="en-AU"/>
        </w:rPr>
      </w:pPr>
      <w:proofErr w:type="gramStart"/>
      <w:r w:rsidRPr="00C83029">
        <w:rPr>
          <w:lang w:val="en-AU"/>
        </w:rPr>
        <w:t xml:space="preserve">Botany  </w:t>
      </w:r>
      <w:r w:rsidR="00CD2773" w:rsidRPr="00C83029">
        <w:rPr>
          <w:lang w:val="en-AU"/>
        </w:rPr>
        <w:t>NSW</w:t>
      </w:r>
      <w:proofErr w:type="gramEnd"/>
      <w:r w:rsidR="00CD2773" w:rsidRPr="00C83029">
        <w:rPr>
          <w:lang w:val="en-AU"/>
        </w:rPr>
        <w:t xml:space="preserve">  </w:t>
      </w:r>
      <w:r w:rsidRPr="00C83029">
        <w:rPr>
          <w:lang w:val="en-AU"/>
        </w:rPr>
        <w:t>2019</w:t>
      </w:r>
    </w:p>
    <w:p w:rsidR="008B3204" w:rsidRPr="00C83029" w:rsidRDefault="008B3204" w:rsidP="008B3204">
      <w:pPr>
        <w:pStyle w:val="Heading1"/>
      </w:pPr>
      <w:r w:rsidRPr="00C83029">
        <w:t>Poison schedule of the medicine</w:t>
      </w:r>
    </w:p>
    <w:p w:rsidR="008B3204" w:rsidRPr="00C83029" w:rsidRDefault="008B3204" w:rsidP="00EE5749">
      <w:pPr>
        <w:rPr>
          <w:lang w:val="en-AU"/>
        </w:rPr>
      </w:pPr>
      <w:r w:rsidRPr="00C83029">
        <w:rPr>
          <w:lang w:val="en-AU"/>
        </w:rPr>
        <w:t>Schedule 4</w:t>
      </w:r>
    </w:p>
    <w:p w:rsidR="008B3204" w:rsidRPr="00C83029" w:rsidRDefault="008B3204" w:rsidP="008B3204">
      <w:pPr>
        <w:pStyle w:val="Heading1"/>
      </w:pPr>
      <w:r w:rsidRPr="00C83029">
        <w:t>Date of first inclusion in the ARTG</w:t>
      </w:r>
    </w:p>
    <w:p w:rsidR="008C1E29" w:rsidRPr="00C83029" w:rsidRDefault="00121575" w:rsidP="00EE5749">
      <w:pPr>
        <w:rPr>
          <w:lang w:val="en-AU"/>
        </w:rPr>
      </w:pPr>
      <w:r>
        <w:rPr>
          <w:lang w:val="en-AU"/>
        </w:rPr>
        <w:t>27 August 2013</w:t>
      </w:r>
    </w:p>
    <w:sectPr w:rsidR="008C1E29" w:rsidRPr="00C83029">
      <w:headerReference w:type="default" r:id="rId8"/>
      <w:footerReference w:type="default" r:id="rId9"/>
      <w:endnotePr>
        <w:numFmt w:val="decimal"/>
      </w:endnotePr>
      <w:pgSz w:w="11909" w:h="16834" w:code="9"/>
      <w:pgMar w:top="1298" w:right="1361" w:bottom="1298" w:left="1298"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A40" w:rsidRDefault="003A3A40">
      <w:pPr>
        <w:spacing w:line="20" w:lineRule="exact"/>
      </w:pPr>
    </w:p>
  </w:endnote>
  <w:endnote w:type="continuationSeparator" w:id="0">
    <w:p w:rsidR="003A3A40" w:rsidRDefault="003A3A40">
      <w:r>
        <w:t xml:space="preserve"> </w:t>
      </w:r>
    </w:p>
  </w:endnote>
  <w:endnote w:type="continuationNotice" w:id="1">
    <w:p w:rsidR="003A3A40" w:rsidRDefault="003A3A40">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000"/>
    </w:tblPr>
    <w:tblGrid>
      <w:gridCol w:w="3173"/>
      <w:gridCol w:w="3156"/>
      <w:gridCol w:w="3137"/>
    </w:tblGrid>
    <w:tr w:rsidR="003A7FBB" w:rsidTr="004953F0">
      <w:tblPrEx>
        <w:tblCellMar>
          <w:top w:w="0" w:type="dxa"/>
          <w:bottom w:w="0" w:type="dxa"/>
        </w:tblCellMar>
      </w:tblPrEx>
      <w:tc>
        <w:tcPr>
          <w:tcW w:w="3382" w:type="dxa"/>
        </w:tcPr>
        <w:p w:rsidR="003A7FBB" w:rsidRPr="008C1E29" w:rsidRDefault="003A7FBB" w:rsidP="004953F0">
          <w:pPr>
            <w:pStyle w:val="Footer"/>
            <w:tabs>
              <w:tab w:val="right" w:pos="-1843"/>
              <w:tab w:val="center" w:pos="4962"/>
              <w:tab w:val="right" w:pos="9923"/>
              <w:tab w:val="right" w:pos="10632"/>
            </w:tabs>
            <w:jc w:val="left"/>
            <w:rPr>
              <w:bCs/>
              <w:i/>
              <w:iCs/>
              <w:sz w:val="16"/>
            </w:rPr>
          </w:pPr>
          <w:r w:rsidRPr="008C1E29">
            <w:rPr>
              <w:bCs/>
              <w:i/>
              <w:iCs/>
            </w:rPr>
            <w:t xml:space="preserve">Livalo </w:t>
          </w:r>
          <w:r w:rsidR="003E071C">
            <w:rPr>
              <w:bCs/>
              <w:i/>
              <w:iCs/>
            </w:rPr>
            <w:t>Approved</w:t>
          </w:r>
          <w:r w:rsidR="003E071C" w:rsidRPr="008C1E29">
            <w:rPr>
              <w:bCs/>
              <w:i/>
              <w:iCs/>
            </w:rPr>
            <w:t xml:space="preserve"> </w:t>
          </w:r>
          <w:r w:rsidRPr="008C1E29">
            <w:rPr>
              <w:bCs/>
              <w:i/>
              <w:iCs/>
            </w:rPr>
            <w:t xml:space="preserve">PI </w:t>
          </w:r>
        </w:p>
      </w:tc>
      <w:tc>
        <w:tcPr>
          <w:tcW w:w="3382" w:type="dxa"/>
        </w:tcPr>
        <w:p w:rsidR="003A7FBB" w:rsidRDefault="003A7FBB" w:rsidP="004953F0">
          <w:pPr>
            <w:pStyle w:val="Footer"/>
            <w:tabs>
              <w:tab w:val="right" w:pos="-1843"/>
              <w:tab w:val="center" w:pos="4962"/>
              <w:tab w:val="right" w:pos="9923"/>
              <w:tab w:val="right" w:pos="10632"/>
            </w:tabs>
            <w:jc w:val="center"/>
            <w:rPr>
              <w:bCs/>
              <w:i/>
              <w:iCs/>
            </w:rPr>
          </w:pPr>
          <w:r w:rsidRPr="008C1E29">
            <w:rPr>
              <w:bCs/>
              <w:i/>
              <w:iCs/>
            </w:rPr>
            <w:t>Version</w:t>
          </w:r>
          <w:r>
            <w:rPr>
              <w:bCs/>
              <w:i/>
              <w:iCs/>
            </w:rPr>
            <w:t xml:space="preserve"> </w:t>
          </w:r>
          <w:r w:rsidR="003E071C">
            <w:rPr>
              <w:bCs/>
              <w:i/>
              <w:iCs/>
            </w:rPr>
            <w:t>1</w:t>
          </w:r>
        </w:p>
      </w:tc>
      <w:tc>
        <w:tcPr>
          <w:tcW w:w="3382" w:type="dxa"/>
        </w:tcPr>
        <w:p w:rsidR="003A7FBB" w:rsidRDefault="003A7FBB" w:rsidP="004953F0">
          <w:pPr>
            <w:pStyle w:val="Footer"/>
            <w:tabs>
              <w:tab w:val="right" w:pos="-1843"/>
              <w:tab w:val="center" w:pos="4962"/>
              <w:tab w:val="right" w:pos="9923"/>
              <w:tab w:val="right" w:pos="10632"/>
            </w:tabs>
            <w:jc w:val="right"/>
            <w:rPr>
              <w:bCs/>
              <w:i/>
              <w:iCs/>
              <w:highlight w:val="yellow"/>
            </w:rPr>
          </w:pPr>
          <w:r>
            <w:rPr>
              <w:bCs/>
              <w:i/>
              <w:iCs/>
            </w:rPr>
            <w:t xml:space="preserve">Page </w:t>
          </w:r>
          <w:r>
            <w:rPr>
              <w:i/>
              <w:iCs/>
            </w:rPr>
            <w:fldChar w:fldCharType="begin"/>
          </w:r>
          <w:r>
            <w:rPr>
              <w:i/>
              <w:iCs/>
            </w:rPr>
            <w:instrText xml:space="preserve"> PAGE </w:instrText>
          </w:r>
          <w:r>
            <w:rPr>
              <w:i/>
              <w:iCs/>
            </w:rPr>
            <w:fldChar w:fldCharType="separate"/>
          </w:r>
          <w:r w:rsidR="00644199">
            <w:rPr>
              <w:i/>
              <w:iCs/>
              <w:noProof/>
            </w:rPr>
            <w:t>2</w:t>
          </w:r>
          <w:r>
            <w:rPr>
              <w:i/>
              <w:iCs/>
            </w:rPr>
            <w:fldChar w:fldCharType="end"/>
          </w:r>
          <w:r>
            <w:rPr>
              <w:bCs/>
              <w:i/>
              <w:iCs/>
            </w:rPr>
            <w:t xml:space="preserve"> </w:t>
          </w:r>
        </w:p>
      </w:tc>
    </w:tr>
  </w:tbl>
  <w:p w:rsidR="003A7FBB" w:rsidRPr="002F5AAE" w:rsidRDefault="003A7FBB" w:rsidP="002F5AAE">
    <w:pPr>
      <w:pStyle w:val="Footer"/>
      <w:tabs>
        <w:tab w:val="clear" w:pos="4153"/>
        <w:tab w:val="clear" w:pos="8306"/>
        <w:tab w:val="center" w:pos="4678"/>
        <w:tab w:val="right" w:pos="9214"/>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A40" w:rsidRDefault="003A3A40">
      <w:r>
        <w:separator/>
      </w:r>
    </w:p>
  </w:footnote>
  <w:footnote w:type="continuationSeparator" w:id="0">
    <w:p w:rsidR="003A3A40" w:rsidRDefault="003A3A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34C" w:rsidRPr="004C534C" w:rsidRDefault="004C534C" w:rsidP="004C534C">
    <w:pPr>
      <w:pBdr>
        <w:top w:val="single" w:sz="4" w:space="1" w:color="auto"/>
        <w:left w:val="single" w:sz="4" w:space="4" w:color="auto"/>
        <w:bottom w:val="single" w:sz="4" w:space="1" w:color="auto"/>
        <w:right w:val="single" w:sz="4" w:space="4" w:color="auto"/>
      </w:pBdr>
      <w:shd w:val="clear" w:color="auto" w:fill="E4F2E0"/>
      <w:spacing w:before="40" w:after="40"/>
      <w:rPr>
        <w:rFonts w:ascii="Cambria" w:hAnsi="Cambria"/>
        <w:b/>
        <w:sz w:val="20"/>
      </w:rPr>
    </w:pPr>
    <w:r w:rsidRPr="004C534C">
      <w:rPr>
        <w:rFonts w:ascii="Cambria" w:hAnsi="Cambria"/>
        <w:b/>
        <w:sz w:val="20"/>
      </w:rPr>
      <w:t xml:space="preserve">Attachment 1: Product information for </w:t>
    </w:r>
    <w:proofErr w:type="spellStart"/>
    <w:r w:rsidRPr="004C534C">
      <w:rPr>
        <w:rFonts w:ascii="Cambria" w:hAnsi="Cambria"/>
        <w:b/>
        <w:sz w:val="20"/>
      </w:rPr>
      <w:t>AusPAR</w:t>
    </w:r>
    <w:proofErr w:type="spellEnd"/>
    <w:r w:rsidRPr="004C534C">
      <w:rPr>
        <w:rFonts w:ascii="Cambria" w:hAnsi="Cambria"/>
        <w:b/>
        <w:sz w:val="20"/>
      </w:rPr>
      <w:t xml:space="preserve"> </w:t>
    </w:r>
    <w:proofErr w:type="spellStart"/>
    <w:r w:rsidRPr="004C534C">
      <w:rPr>
        <w:rFonts w:ascii="Cambria" w:hAnsi="Cambria"/>
        <w:b/>
        <w:sz w:val="20"/>
      </w:rPr>
      <w:t>Livalo</w:t>
    </w:r>
    <w:proofErr w:type="spellEnd"/>
    <w:r w:rsidRPr="004C534C">
      <w:rPr>
        <w:rFonts w:ascii="Cambria" w:hAnsi="Cambria"/>
        <w:b/>
        <w:sz w:val="20"/>
      </w:rPr>
      <w:t xml:space="preserve"> </w:t>
    </w:r>
    <w:proofErr w:type="spellStart"/>
    <w:r w:rsidRPr="004C534C">
      <w:rPr>
        <w:rFonts w:ascii="Cambria" w:hAnsi="Cambria"/>
        <w:b/>
        <w:sz w:val="20"/>
      </w:rPr>
      <w:t>Pitavastatin</w:t>
    </w:r>
    <w:proofErr w:type="spellEnd"/>
    <w:r w:rsidRPr="004C534C">
      <w:rPr>
        <w:rFonts w:ascii="Cambria" w:hAnsi="Cambria"/>
        <w:b/>
        <w:sz w:val="20"/>
      </w:rPr>
      <w:t xml:space="preserve"> Abbott Australasia Pty Ltd PM-2010-02898-3-3 Date of </w:t>
    </w:r>
    <w:proofErr w:type="spellStart"/>
    <w:r w:rsidRPr="004C534C">
      <w:rPr>
        <w:rFonts w:ascii="Cambria" w:hAnsi="Cambria"/>
        <w:b/>
        <w:sz w:val="20"/>
      </w:rPr>
      <w:t>finalisation</w:t>
    </w:r>
    <w:proofErr w:type="spellEnd"/>
    <w:r w:rsidRPr="004C534C">
      <w:rPr>
        <w:rFonts w:ascii="Cambria" w:hAnsi="Cambria"/>
        <w:b/>
        <w:sz w:val="20"/>
      </w:rPr>
      <w:t xml:space="preserve"> 2 September 2013</w:t>
    </w:r>
    <w:r w:rsidRPr="004C534C">
      <w:rPr>
        <w:rFonts w:ascii="Cambria" w:hAnsi="Cambria"/>
        <w:b/>
        <w:sz w:val="20"/>
      </w:rPr>
      <w:t xml:space="preserve">. This Product Information was approved at the time this </w:t>
    </w:r>
    <w:proofErr w:type="spellStart"/>
    <w:r w:rsidRPr="004C534C">
      <w:rPr>
        <w:rFonts w:ascii="Cambria" w:hAnsi="Cambria"/>
        <w:b/>
        <w:sz w:val="20"/>
      </w:rPr>
      <w:t>AusPAR</w:t>
    </w:r>
    <w:proofErr w:type="spellEnd"/>
    <w:r w:rsidRPr="004C534C">
      <w:rPr>
        <w:rFonts w:ascii="Cambria" w:hAnsi="Cambria"/>
        <w:b/>
        <w:sz w:val="20"/>
      </w:rPr>
      <w:t xml:space="preserve"> was published.</w:t>
    </w:r>
  </w:p>
  <w:p w:rsidR="003A7FBB" w:rsidRPr="002F5AAE" w:rsidRDefault="003A7FBB">
    <w:pPr>
      <w:tabs>
        <w:tab w:val="right" w:pos="9025"/>
      </w:tabs>
      <w:suppressAutoHyphens/>
      <w:rPr>
        <w:lang w:val="en-A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70D6"/>
    <w:multiLevelType w:val="multilevel"/>
    <w:tmpl w:val="124E7694"/>
    <w:lvl w:ilvl="0">
      <w:start w:val="1"/>
      <w:numFmt w:val="bullet"/>
      <w:lvlText w:val=""/>
      <w:lvlJc w:val="left"/>
      <w:pPr>
        <w:tabs>
          <w:tab w:val="num" w:pos="0"/>
        </w:tabs>
        <w:ind w:left="567" w:hanging="567"/>
      </w:pPr>
      <w:rPr>
        <w:rFonts w:ascii="Symbol" w:hAnsi="Symbol" w:hint="default"/>
        <w:sz w:val="22"/>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ED12791"/>
    <w:multiLevelType w:val="hybridMultilevel"/>
    <w:tmpl w:val="21122908"/>
    <w:lvl w:ilvl="0" w:tplc="391C7262">
      <w:start w:val="1"/>
      <w:numFmt w:val="bullet"/>
      <w:lvlText w:val="-"/>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6782B64"/>
    <w:multiLevelType w:val="hybridMultilevel"/>
    <w:tmpl w:val="C89224EC"/>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70C648F"/>
    <w:multiLevelType w:val="hybridMultilevel"/>
    <w:tmpl w:val="1E64280A"/>
    <w:lvl w:ilvl="0" w:tplc="683C417E">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D401CC"/>
    <w:multiLevelType w:val="hybridMultilevel"/>
    <w:tmpl w:val="40241BDC"/>
    <w:lvl w:ilvl="0" w:tplc="391C7262">
      <w:start w:val="1"/>
      <w:numFmt w:val="bullet"/>
      <w:lvlText w:val="-"/>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689129F"/>
    <w:multiLevelType w:val="hybridMultilevel"/>
    <w:tmpl w:val="481E33AA"/>
    <w:lvl w:ilvl="0" w:tplc="683C417E">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3F609B"/>
    <w:multiLevelType w:val="singleLevel"/>
    <w:tmpl w:val="A8C6556A"/>
    <w:lvl w:ilvl="0">
      <w:numFmt w:val="bullet"/>
      <w:lvlText w:val="-"/>
      <w:lvlJc w:val="left"/>
      <w:pPr>
        <w:tabs>
          <w:tab w:val="num" w:pos="360"/>
        </w:tabs>
        <w:ind w:left="360" w:hanging="360"/>
      </w:pPr>
      <w:rPr>
        <w:rFonts w:ascii="Times New Roman" w:hAnsi="Times New Roman" w:hint="default"/>
      </w:rPr>
    </w:lvl>
  </w:abstractNum>
  <w:abstractNum w:abstractNumId="7">
    <w:nsid w:val="286731C9"/>
    <w:multiLevelType w:val="multilevel"/>
    <w:tmpl w:val="53F41BF6"/>
    <w:styleLink w:val="StyleBulleted"/>
    <w:lvl w:ilvl="0">
      <w:start w:val="1"/>
      <w:numFmt w:val="bullet"/>
      <w:lvlText w:val=""/>
      <w:lvlJc w:val="left"/>
      <w:pPr>
        <w:tabs>
          <w:tab w:val="num" w:pos="567"/>
        </w:tabs>
        <w:ind w:left="567" w:hanging="567"/>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B65035B"/>
    <w:multiLevelType w:val="multilevel"/>
    <w:tmpl w:val="124E7694"/>
    <w:lvl w:ilvl="0">
      <w:start w:val="1"/>
      <w:numFmt w:val="bullet"/>
      <w:lvlText w:val=""/>
      <w:lvlJc w:val="left"/>
      <w:pPr>
        <w:tabs>
          <w:tab w:val="num" w:pos="0"/>
        </w:tabs>
        <w:ind w:left="567" w:hanging="567"/>
      </w:pPr>
      <w:rPr>
        <w:rFonts w:ascii="Symbol" w:hAnsi="Symbol" w:hint="default"/>
        <w:sz w:val="22"/>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BFA4709"/>
    <w:multiLevelType w:val="multilevel"/>
    <w:tmpl w:val="124E7694"/>
    <w:lvl w:ilvl="0">
      <w:start w:val="1"/>
      <w:numFmt w:val="bullet"/>
      <w:lvlText w:val=""/>
      <w:lvlJc w:val="left"/>
      <w:pPr>
        <w:tabs>
          <w:tab w:val="num" w:pos="0"/>
        </w:tabs>
        <w:ind w:left="567" w:hanging="567"/>
      </w:pPr>
      <w:rPr>
        <w:rFonts w:ascii="Symbol" w:hAnsi="Symbol" w:hint="default"/>
        <w:sz w:val="22"/>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C3E73E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2C976B4D"/>
    <w:multiLevelType w:val="multilevel"/>
    <w:tmpl w:val="53F41BF6"/>
    <w:numStyleLink w:val="StyleBulleted"/>
  </w:abstractNum>
  <w:abstractNum w:abstractNumId="12">
    <w:nsid w:val="2E52371A"/>
    <w:multiLevelType w:val="multilevel"/>
    <w:tmpl w:val="124E7694"/>
    <w:lvl w:ilvl="0">
      <w:start w:val="1"/>
      <w:numFmt w:val="bullet"/>
      <w:lvlText w:val=""/>
      <w:lvlJc w:val="left"/>
      <w:pPr>
        <w:tabs>
          <w:tab w:val="num" w:pos="0"/>
        </w:tabs>
        <w:ind w:left="567" w:hanging="567"/>
      </w:pPr>
      <w:rPr>
        <w:rFonts w:ascii="Symbol" w:hAnsi="Symbol" w:hint="default"/>
        <w:sz w:val="22"/>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F9644A4"/>
    <w:multiLevelType w:val="multilevel"/>
    <w:tmpl w:val="53F41BF6"/>
    <w:numStyleLink w:val="StyleBulleted"/>
  </w:abstractNum>
  <w:abstractNum w:abstractNumId="14">
    <w:nsid w:val="42306EDF"/>
    <w:multiLevelType w:val="multilevel"/>
    <w:tmpl w:val="53F41BF6"/>
    <w:numStyleLink w:val="StyleBulleted"/>
  </w:abstractNum>
  <w:abstractNum w:abstractNumId="15">
    <w:nsid w:val="42950BE2"/>
    <w:multiLevelType w:val="hybridMultilevel"/>
    <w:tmpl w:val="E6D048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50C32D0"/>
    <w:multiLevelType w:val="multilevel"/>
    <w:tmpl w:val="124E7694"/>
    <w:lvl w:ilvl="0">
      <w:start w:val="1"/>
      <w:numFmt w:val="bullet"/>
      <w:lvlText w:val=""/>
      <w:lvlJc w:val="left"/>
      <w:pPr>
        <w:tabs>
          <w:tab w:val="num" w:pos="0"/>
        </w:tabs>
        <w:ind w:left="567" w:hanging="567"/>
      </w:pPr>
      <w:rPr>
        <w:rFonts w:ascii="Symbol" w:hAnsi="Symbol" w:hint="default"/>
        <w:sz w:val="22"/>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9160F24"/>
    <w:multiLevelType w:val="multilevel"/>
    <w:tmpl w:val="C0145556"/>
    <w:lvl w:ilvl="0">
      <w:start w:val="1"/>
      <w:numFmt w:val="bullet"/>
      <w:lvlText w:val=""/>
      <w:lvlJc w:val="left"/>
      <w:pPr>
        <w:tabs>
          <w:tab w:val="num" w:pos="0"/>
        </w:tabs>
        <w:ind w:left="567" w:hanging="567"/>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952154C"/>
    <w:multiLevelType w:val="multilevel"/>
    <w:tmpl w:val="53F41BF6"/>
    <w:numStyleLink w:val="StyleBulleted"/>
  </w:abstractNum>
  <w:abstractNum w:abstractNumId="19">
    <w:nsid w:val="51EE577A"/>
    <w:multiLevelType w:val="multilevel"/>
    <w:tmpl w:val="124E7694"/>
    <w:lvl w:ilvl="0">
      <w:start w:val="1"/>
      <w:numFmt w:val="bullet"/>
      <w:lvlText w:val=""/>
      <w:lvlJc w:val="left"/>
      <w:pPr>
        <w:tabs>
          <w:tab w:val="num" w:pos="0"/>
        </w:tabs>
        <w:ind w:left="567" w:hanging="567"/>
      </w:pPr>
      <w:rPr>
        <w:rFonts w:ascii="Symbol" w:hAnsi="Symbol" w:hint="default"/>
        <w:sz w:val="22"/>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3C85F5A"/>
    <w:multiLevelType w:val="multilevel"/>
    <w:tmpl w:val="124E7694"/>
    <w:lvl w:ilvl="0">
      <w:start w:val="1"/>
      <w:numFmt w:val="bullet"/>
      <w:lvlText w:val=""/>
      <w:lvlJc w:val="left"/>
      <w:pPr>
        <w:tabs>
          <w:tab w:val="num" w:pos="0"/>
        </w:tabs>
        <w:ind w:left="567" w:hanging="567"/>
      </w:pPr>
      <w:rPr>
        <w:rFonts w:ascii="Symbol" w:hAnsi="Symbol" w:hint="default"/>
        <w:sz w:val="22"/>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6A41867"/>
    <w:multiLevelType w:val="multilevel"/>
    <w:tmpl w:val="124E7694"/>
    <w:lvl w:ilvl="0">
      <w:start w:val="1"/>
      <w:numFmt w:val="bullet"/>
      <w:lvlText w:val=""/>
      <w:lvlJc w:val="left"/>
      <w:pPr>
        <w:tabs>
          <w:tab w:val="num" w:pos="0"/>
        </w:tabs>
        <w:ind w:left="567" w:hanging="567"/>
      </w:pPr>
      <w:rPr>
        <w:rFonts w:ascii="Symbol" w:hAnsi="Symbol" w:hint="default"/>
        <w:sz w:val="22"/>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7E36C18"/>
    <w:multiLevelType w:val="hybridMultilevel"/>
    <w:tmpl w:val="5C268BB0"/>
    <w:lvl w:ilvl="0" w:tplc="391C7262">
      <w:start w:val="1"/>
      <w:numFmt w:val="bullet"/>
      <w:lvlText w:val="-"/>
      <w:lvlJc w:val="left"/>
      <w:pPr>
        <w:tabs>
          <w:tab w:val="num" w:pos="1440"/>
        </w:tabs>
        <w:ind w:left="144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8796B3A"/>
    <w:multiLevelType w:val="hybridMultilevel"/>
    <w:tmpl w:val="B0AAFE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94F6EE2"/>
    <w:multiLevelType w:val="multilevel"/>
    <w:tmpl w:val="21122908"/>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BE65EBA"/>
    <w:multiLevelType w:val="multilevel"/>
    <w:tmpl w:val="53F41BF6"/>
    <w:numStyleLink w:val="StyleBulleted"/>
  </w:abstractNum>
  <w:abstractNum w:abstractNumId="26">
    <w:nsid w:val="5ECB6613"/>
    <w:multiLevelType w:val="multilevel"/>
    <w:tmpl w:val="124E7694"/>
    <w:lvl w:ilvl="0">
      <w:start w:val="1"/>
      <w:numFmt w:val="bullet"/>
      <w:lvlText w:val=""/>
      <w:lvlJc w:val="left"/>
      <w:pPr>
        <w:tabs>
          <w:tab w:val="num" w:pos="0"/>
        </w:tabs>
        <w:ind w:left="567" w:hanging="567"/>
      </w:pPr>
      <w:rPr>
        <w:rFonts w:ascii="Symbol" w:hAnsi="Symbol" w:hint="default"/>
        <w:sz w:val="22"/>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F795FB0"/>
    <w:multiLevelType w:val="hybridMultilevel"/>
    <w:tmpl w:val="611C06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4B7098B"/>
    <w:multiLevelType w:val="multilevel"/>
    <w:tmpl w:val="53F41BF6"/>
    <w:numStyleLink w:val="StyleBulleted"/>
  </w:abstractNum>
  <w:abstractNum w:abstractNumId="29">
    <w:nsid w:val="7A5A1D79"/>
    <w:multiLevelType w:val="multilevel"/>
    <w:tmpl w:val="124E7694"/>
    <w:lvl w:ilvl="0">
      <w:start w:val="1"/>
      <w:numFmt w:val="bullet"/>
      <w:lvlText w:val=""/>
      <w:lvlJc w:val="left"/>
      <w:pPr>
        <w:tabs>
          <w:tab w:val="num" w:pos="0"/>
        </w:tabs>
        <w:ind w:left="567" w:hanging="567"/>
      </w:pPr>
      <w:rPr>
        <w:rFonts w:ascii="Symbol" w:hAnsi="Symbol" w:hint="default"/>
        <w:sz w:val="22"/>
        <w:effect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C7F76B6"/>
    <w:multiLevelType w:val="multilevel"/>
    <w:tmpl w:val="53F41BF6"/>
    <w:numStyleLink w:val="StyleBulleted"/>
  </w:abstractNum>
  <w:num w:numId="1">
    <w:abstractNumId w:val="10"/>
  </w:num>
  <w:num w:numId="2">
    <w:abstractNumId w:val="6"/>
  </w:num>
  <w:num w:numId="3">
    <w:abstractNumId w:val="15"/>
  </w:num>
  <w:num w:numId="4">
    <w:abstractNumId w:val="22"/>
  </w:num>
  <w:num w:numId="5">
    <w:abstractNumId w:val="4"/>
  </w:num>
  <w:num w:numId="6">
    <w:abstractNumId w:val="1"/>
  </w:num>
  <w:num w:numId="7">
    <w:abstractNumId w:val="24"/>
  </w:num>
  <w:num w:numId="8">
    <w:abstractNumId w:val="2"/>
  </w:num>
  <w:num w:numId="9">
    <w:abstractNumId w:val="27"/>
  </w:num>
  <w:num w:numId="10">
    <w:abstractNumId w:val="23"/>
  </w:num>
  <w:num w:numId="11">
    <w:abstractNumId w:val="5"/>
  </w:num>
  <w:num w:numId="12">
    <w:abstractNumId w:val="0"/>
  </w:num>
  <w:num w:numId="13">
    <w:abstractNumId w:val="12"/>
  </w:num>
  <w:num w:numId="14">
    <w:abstractNumId w:val="16"/>
  </w:num>
  <w:num w:numId="15">
    <w:abstractNumId w:val="21"/>
  </w:num>
  <w:num w:numId="16">
    <w:abstractNumId w:val="29"/>
  </w:num>
  <w:num w:numId="17">
    <w:abstractNumId w:val="20"/>
  </w:num>
  <w:num w:numId="18">
    <w:abstractNumId w:val="19"/>
  </w:num>
  <w:num w:numId="19">
    <w:abstractNumId w:val="17"/>
  </w:num>
  <w:num w:numId="20">
    <w:abstractNumId w:val="8"/>
  </w:num>
  <w:num w:numId="21">
    <w:abstractNumId w:val="26"/>
  </w:num>
  <w:num w:numId="22">
    <w:abstractNumId w:val="9"/>
  </w:num>
  <w:num w:numId="23">
    <w:abstractNumId w:val="3"/>
  </w:num>
  <w:num w:numId="24">
    <w:abstractNumId w:val="7"/>
  </w:num>
  <w:num w:numId="25">
    <w:abstractNumId w:val="14"/>
  </w:num>
  <w:num w:numId="26">
    <w:abstractNumId w:val="11"/>
  </w:num>
  <w:num w:numId="27">
    <w:abstractNumId w:val="13"/>
  </w:num>
  <w:num w:numId="28">
    <w:abstractNumId w:val="30"/>
  </w:num>
  <w:num w:numId="29">
    <w:abstractNumId w:val="28"/>
  </w:num>
  <w:num w:numId="30">
    <w:abstractNumId w:val="25"/>
  </w:num>
  <w:num w:numId="3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rsids>
    <w:rsidRoot w:val="009C4976"/>
    <w:rsid w:val="00040EE7"/>
    <w:rsid w:val="00042152"/>
    <w:rsid w:val="0004450C"/>
    <w:rsid w:val="00046806"/>
    <w:rsid w:val="00046824"/>
    <w:rsid w:val="0008039D"/>
    <w:rsid w:val="00091B59"/>
    <w:rsid w:val="000979F0"/>
    <w:rsid w:val="000A47E5"/>
    <w:rsid w:val="000A4A4D"/>
    <w:rsid w:val="000A6D98"/>
    <w:rsid w:val="000A7E0D"/>
    <w:rsid w:val="000C5BED"/>
    <w:rsid w:val="000D3E89"/>
    <w:rsid w:val="000E129C"/>
    <w:rsid w:val="000E43EA"/>
    <w:rsid w:val="000F36F9"/>
    <w:rsid w:val="000F741B"/>
    <w:rsid w:val="00121575"/>
    <w:rsid w:val="00123846"/>
    <w:rsid w:val="0012630D"/>
    <w:rsid w:val="0014085D"/>
    <w:rsid w:val="00141C77"/>
    <w:rsid w:val="00143211"/>
    <w:rsid w:val="0015022B"/>
    <w:rsid w:val="001541FA"/>
    <w:rsid w:val="00155CA5"/>
    <w:rsid w:val="00162E50"/>
    <w:rsid w:val="00163FFE"/>
    <w:rsid w:val="00166486"/>
    <w:rsid w:val="001757A2"/>
    <w:rsid w:val="0019771E"/>
    <w:rsid w:val="001D4BEE"/>
    <w:rsid w:val="001D67F6"/>
    <w:rsid w:val="001D7738"/>
    <w:rsid w:val="001D7B58"/>
    <w:rsid w:val="001F3005"/>
    <w:rsid w:val="001F35A8"/>
    <w:rsid w:val="001F6B90"/>
    <w:rsid w:val="002059AB"/>
    <w:rsid w:val="002101B6"/>
    <w:rsid w:val="00223F91"/>
    <w:rsid w:val="00232117"/>
    <w:rsid w:val="002330E8"/>
    <w:rsid w:val="00240A4C"/>
    <w:rsid w:val="00252C7A"/>
    <w:rsid w:val="00252D6D"/>
    <w:rsid w:val="00260E61"/>
    <w:rsid w:val="00265B42"/>
    <w:rsid w:val="00277D75"/>
    <w:rsid w:val="00281B8A"/>
    <w:rsid w:val="00292000"/>
    <w:rsid w:val="002A01B2"/>
    <w:rsid w:val="002A22F5"/>
    <w:rsid w:val="002A2507"/>
    <w:rsid w:val="002A26AE"/>
    <w:rsid w:val="002A4F2E"/>
    <w:rsid w:val="002A5452"/>
    <w:rsid w:val="002B055E"/>
    <w:rsid w:val="002B1098"/>
    <w:rsid w:val="002B2B98"/>
    <w:rsid w:val="002B47DC"/>
    <w:rsid w:val="002B534F"/>
    <w:rsid w:val="002C5BF2"/>
    <w:rsid w:val="002D3AA0"/>
    <w:rsid w:val="002E6EBB"/>
    <w:rsid w:val="002F13C8"/>
    <w:rsid w:val="002F1928"/>
    <w:rsid w:val="002F1C40"/>
    <w:rsid w:val="002F5AAE"/>
    <w:rsid w:val="00300E88"/>
    <w:rsid w:val="0030754E"/>
    <w:rsid w:val="00325193"/>
    <w:rsid w:val="00336005"/>
    <w:rsid w:val="00345275"/>
    <w:rsid w:val="00346209"/>
    <w:rsid w:val="003468CE"/>
    <w:rsid w:val="0035022A"/>
    <w:rsid w:val="00351997"/>
    <w:rsid w:val="003532A6"/>
    <w:rsid w:val="00357D4E"/>
    <w:rsid w:val="003617C4"/>
    <w:rsid w:val="00361D35"/>
    <w:rsid w:val="00367C96"/>
    <w:rsid w:val="00370461"/>
    <w:rsid w:val="00374B84"/>
    <w:rsid w:val="00375DE6"/>
    <w:rsid w:val="003841C5"/>
    <w:rsid w:val="003900E6"/>
    <w:rsid w:val="00392EBF"/>
    <w:rsid w:val="00396D66"/>
    <w:rsid w:val="003A086D"/>
    <w:rsid w:val="003A2EC5"/>
    <w:rsid w:val="003A3A40"/>
    <w:rsid w:val="003A7FBB"/>
    <w:rsid w:val="003D1D47"/>
    <w:rsid w:val="003E071C"/>
    <w:rsid w:val="003F1CD6"/>
    <w:rsid w:val="003F27AC"/>
    <w:rsid w:val="003F3FDA"/>
    <w:rsid w:val="0040069C"/>
    <w:rsid w:val="00406DC8"/>
    <w:rsid w:val="00411EF2"/>
    <w:rsid w:val="0041208F"/>
    <w:rsid w:val="00416CF6"/>
    <w:rsid w:val="00422558"/>
    <w:rsid w:val="00427A80"/>
    <w:rsid w:val="004420F9"/>
    <w:rsid w:val="00450EEA"/>
    <w:rsid w:val="004608E4"/>
    <w:rsid w:val="00462EC0"/>
    <w:rsid w:val="00464C36"/>
    <w:rsid w:val="004721ED"/>
    <w:rsid w:val="00473674"/>
    <w:rsid w:val="00476169"/>
    <w:rsid w:val="004953F0"/>
    <w:rsid w:val="004B0EE2"/>
    <w:rsid w:val="004B196A"/>
    <w:rsid w:val="004C534C"/>
    <w:rsid w:val="004C5DA4"/>
    <w:rsid w:val="004C6BB9"/>
    <w:rsid w:val="004E026C"/>
    <w:rsid w:val="004F02AE"/>
    <w:rsid w:val="004F1540"/>
    <w:rsid w:val="00504D2C"/>
    <w:rsid w:val="00512389"/>
    <w:rsid w:val="00523A1F"/>
    <w:rsid w:val="00523DD9"/>
    <w:rsid w:val="00527AD6"/>
    <w:rsid w:val="00532B75"/>
    <w:rsid w:val="00532DC3"/>
    <w:rsid w:val="005339B0"/>
    <w:rsid w:val="00540117"/>
    <w:rsid w:val="00546EFC"/>
    <w:rsid w:val="00553358"/>
    <w:rsid w:val="0056158F"/>
    <w:rsid w:val="005649FB"/>
    <w:rsid w:val="00564D84"/>
    <w:rsid w:val="00570CBB"/>
    <w:rsid w:val="005732E9"/>
    <w:rsid w:val="005740CC"/>
    <w:rsid w:val="00587026"/>
    <w:rsid w:val="0058721A"/>
    <w:rsid w:val="00587558"/>
    <w:rsid w:val="005A433F"/>
    <w:rsid w:val="005A4DF6"/>
    <w:rsid w:val="005B6C1C"/>
    <w:rsid w:val="005C0777"/>
    <w:rsid w:val="005C0E41"/>
    <w:rsid w:val="005C2098"/>
    <w:rsid w:val="005C3BDE"/>
    <w:rsid w:val="005D2D9B"/>
    <w:rsid w:val="005D3AE1"/>
    <w:rsid w:val="005E6B4E"/>
    <w:rsid w:val="005F2BE9"/>
    <w:rsid w:val="0062068B"/>
    <w:rsid w:val="0062468B"/>
    <w:rsid w:val="0063258D"/>
    <w:rsid w:val="00634B96"/>
    <w:rsid w:val="006405C6"/>
    <w:rsid w:val="00642B6D"/>
    <w:rsid w:val="00644199"/>
    <w:rsid w:val="00660BEF"/>
    <w:rsid w:val="0066355E"/>
    <w:rsid w:val="00664E9B"/>
    <w:rsid w:val="00665195"/>
    <w:rsid w:val="00674BBB"/>
    <w:rsid w:val="006913CF"/>
    <w:rsid w:val="006A18FC"/>
    <w:rsid w:val="006A5928"/>
    <w:rsid w:val="006A7D74"/>
    <w:rsid w:val="006B06D2"/>
    <w:rsid w:val="006B1417"/>
    <w:rsid w:val="006B1F05"/>
    <w:rsid w:val="006B48FB"/>
    <w:rsid w:val="006C5686"/>
    <w:rsid w:val="006C7003"/>
    <w:rsid w:val="006C7064"/>
    <w:rsid w:val="006D1899"/>
    <w:rsid w:val="006E19DD"/>
    <w:rsid w:val="006E1FEA"/>
    <w:rsid w:val="006E3A87"/>
    <w:rsid w:val="006F5AC2"/>
    <w:rsid w:val="00702BEF"/>
    <w:rsid w:val="0070430A"/>
    <w:rsid w:val="00710BEF"/>
    <w:rsid w:val="00711DE1"/>
    <w:rsid w:val="0071480A"/>
    <w:rsid w:val="00714CEA"/>
    <w:rsid w:val="00722D7A"/>
    <w:rsid w:val="0072551B"/>
    <w:rsid w:val="007257CB"/>
    <w:rsid w:val="007271CF"/>
    <w:rsid w:val="00735E01"/>
    <w:rsid w:val="00764440"/>
    <w:rsid w:val="00777F64"/>
    <w:rsid w:val="00783A29"/>
    <w:rsid w:val="0079664E"/>
    <w:rsid w:val="0079737D"/>
    <w:rsid w:val="007C118D"/>
    <w:rsid w:val="007C209B"/>
    <w:rsid w:val="007D0CBB"/>
    <w:rsid w:val="007D2F64"/>
    <w:rsid w:val="007D55BF"/>
    <w:rsid w:val="007E593A"/>
    <w:rsid w:val="007F0C73"/>
    <w:rsid w:val="007F7EF8"/>
    <w:rsid w:val="00800250"/>
    <w:rsid w:val="008176FB"/>
    <w:rsid w:val="008238BC"/>
    <w:rsid w:val="008261E3"/>
    <w:rsid w:val="00831428"/>
    <w:rsid w:val="00837613"/>
    <w:rsid w:val="0085230C"/>
    <w:rsid w:val="00852AC4"/>
    <w:rsid w:val="00852FE0"/>
    <w:rsid w:val="00863AF1"/>
    <w:rsid w:val="00865A6D"/>
    <w:rsid w:val="00887715"/>
    <w:rsid w:val="00887ED5"/>
    <w:rsid w:val="008A4185"/>
    <w:rsid w:val="008A46AB"/>
    <w:rsid w:val="008B3204"/>
    <w:rsid w:val="008C1E29"/>
    <w:rsid w:val="008C7CD4"/>
    <w:rsid w:val="008E1733"/>
    <w:rsid w:val="008E7C3C"/>
    <w:rsid w:val="008F1440"/>
    <w:rsid w:val="00902EE0"/>
    <w:rsid w:val="00913E10"/>
    <w:rsid w:val="00921D8B"/>
    <w:rsid w:val="00934679"/>
    <w:rsid w:val="00936BDD"/>
    <w:rsid w:val="00946B51"/>
    <w:rsid w:val="0095510D"/>
    <w:rsid w:val="00964957"/>
    <w:rsid w:val="0097410D"/>
    <w:rsid w:val="0097517A"/>
    <w:rsid w:val="00981004"/>
    <w:rsid w:val="00982C86"/>
    <w:rsid w:val="00985903"/>
    <w:rsid w:val="00990940"/>
    <w:rsid w:val="00993146"/>
    <w:rsid w:val="00996508"/>
    <w:rsid w:val="00996BF3"/>
    <w:rsid w:val="009A1117"/>
    <w:rsid w:val="009A174F"/>
    <w:rsid w:val="009B0CEC"/>
    <w:rsid w:val="009C3909"/>
    <w:rsid w:val="009C3C56"/>
    <w:rsid w:val="009C4976"/>
    <w:rsid w:val="009C6DAC"/>
    <w:rsid w:val="00A51CDB"/>
    <w:rsid w:val="00A53CDC"/>
    <w:rsid w:val="00A637F2"/>
    <w:rsid w:val="00A66DA1"/>
    <w:rsid w:val="00A72049"/>
    <w:rsid w:val="00A74F21"/>
    <w:rsid w:val="00A85238"/>
    <w:rsid w:val="00A852E3"/>
    <w:rsid w:val="00A85407"/>
    <w:rsid w:val="00A94715"/>
    <w:rsid w:val="00A9751E"/>
    <w:rsid w:val="00AA064D"/>
    <w:rsid w:val="00AA0B24"/>
    <w:rsid w:val="00AA17FA"/>
    <w:rsid w:val="00AA426D"/>
    <w:rsid w:val="00AB27F4"/>
    <w:rsid w:val="00AB6B78"/>
    <w:rsid w:val="00AC44AB"/>
    <w:rsid w:val="00AC53CE"/>
    <w:rsid w:val="00AD2E7D"/>
    <w:rsid w:val="00AD67AE"/>
    <w:rsid w:val="00AD699A"/>
    <w:rsid w:val="00AF2686"/>
    <w:rsid w:val="00AF5B2C"/>
    <w:rsid w:val="00B03469"/>
    <w:rsid w:val="00B03DF1"/>
    <w:rsid w:val="00B06758"/>
    <w:rsid w:val="00B14056"/>
    <w:rsid w:val="00B151B9"/>
    <w:rsid w:val="00B15347"/>
    <w:rsid w:val="00B156E3"/>
    <w:rsid w:val="00B2237B"/>
    <w:rsid w:val="00B33C13"/>
    <w:rsid w:val="00B369AC"/>
    <w:rsid w:val="00B41A61"/>
    <w:rsid w:val="00B57222"/>
    <w:rsid w:val="00B63F61"/>
    <w:rsid w:val="00B726B4"/>
    <w:rsid w:val="00B733FA"/>
    <w:rsid w:val="00B77928"/>
    <w:rsid w:val="00B87E23"/>
    <w:rsid w:val="00B941D1"/>
    <w:rsid w:val="00BA09C8"/>
    <w:rsid w:val="00BB01AF"/>
    <w:rsid w:val="00BB209C"/>
    <w:rsid w:val="00BC75E1"/>
    <w:rsid w:val="00BD7F16"/>
    <w:rsid w:val="00BE2516"/>
    <w:rsid w:val="00C15494"/>
    <w:rsid w:val="00C1647D"/>
    <w:rsid w:val="00C213DB"/>
    <w:rsid w:val="00C35871"/>
    <w:rsid w:val="00C4529E"/>
    <w:rsid w:val="00C46477"/>
    <w:rsid w:val="00C701C4"/>
    <w:rsid w:val="00C77A44"/>
    <w:rsid w:val="00C83029"/>
    <w:rsid w:val="00C831BE"/>
    <w:rsid w:val="00C836EC"/>
    <w:rsid w:val="00C861E9"/>
    <w:rsid w:val="00C937A8"/>
    <w:rsid w:val="00CA6DDF"/>
    <w:rsid w:val="00CB3184"/>
    <w:rsid w:val="00CB72AE"/>
    <w:rsid w:val="00CC194D"/>
    <w:rsid w:val="00CD0356"/>
    <w:rsid w:val="00CD2773"/>
    <w:rsid w:val="00CD7BD3"/>
    <w:rsid w:val="00CE3E87"/>
    <w:rsid w:val="00CE5F79"/>
    <w:rsid w:val="00CF63D6"/>
    <w:rsid w:val="00D03F66"/>
    <w:rsid w:val="00D15C63"/>
    <w:rsid w:val="00D15CF5"/>
    <w:rsid w:val="00D17085"/>
    <w:rsid w:val="00D2156C"/>
    <w:rsid w:val="00D36404"/>
    <w:rsid w:val="00D665EC"/>
    <w:rsid w:val="00D674C8"/>
    <w:rsid w:val="00D710DF"/>
    <w:rsid w:val="00D71227"/>
    <w:rsid w:val="00D75817"/>
    <w:rsid w:val="00D76648"/>
    <w:rsid w:val="00D83F15"/>
    <w:rsid w:val="00D95913"/>
    <w:rsid w:val="00DA27A2"/>
    <w:rsid w:val="00DA6727"/>
    <w:rsid w:val="00DA7105"/>
    <w:rsid w:val="00DD668F"/>
    <w:rsid w:val="00DF263A"/>
    <w:rsid w:val="00DF49C6"/>
    <w:rsid w:val="00E07449"/>
    <w:rsid w:val="00E10D61"/>
    <w:rsid w:val="00E15777"/>
    <w:rsid w:val="00E16073"/>
    <w:rsid w:val="00E264F9"/>
    <w:rsid w:val="00E31072"/>
    <w:rsid w:val="00E43804"/>
    <w:rsid w:val="00E5043E"/>
    <w:rsid w:val="00E57728"/>
    <w:rsid w:val="00E601E0"/>
    <w:rsid w:val="00E70A2B"/>
    <w:rsid w:val="00E8394C"/>
    <w:rsid w:val="00E85E39"/>
    <w:rsid w:val="00E9231F"/>
    <w:rsid w:val="00E93EA7"/>
    <w:rsid w:val="00E94C8E"/>
    <w:rsid w:val="00EA3A48"/>
    <w:rsid w:val="00EB2CDC"/>
    <w:rsid w:val="00EB748E"/>
    <w:rsid w:val="00EC4857"/>
    <w:rsid w:val="00EC681D"/>
    <w:rsid w:val="00ED4593"/>
    <w:rsid w:val="00EE5749"/>
    <w:rsid w:val="00EF7BB1"/>
    <w:rsid w:val="00F001A8"/>
    <w:rsid w:val="00F309DB"/>
    <w:rsid w:val="00F4335C"/>
    <w:rsid w:val="00F447D4"/>
    <w:rsid w:val="00F66FC6"/>
    <w:rsid w:val="00F825D1"/>
    <w:rsid w:val="00F86C77"/>
    <w:rsid w:val="00F957D7"/>
    <w:rsid w:val="00F9775A"/>
    <w:rsid w:val="00FA09F5"/>
    <w:rsid w:val="00FA1E14"/>
    <w:rsid w:val="00FB10D7"/>
    <w:rsid w:val="00FD0311"/>
    <w:rsid w:val="00FD4934"/>
    <w:rsid w:val="00FE1B08"/>
    <w:rsid w:val="00FF26F4"/>
    <w:rsid w:val="00FF29F9"/>
    <w:rsid w:val="00FF626C"/>
    <w:rsid w:val="00FF7E6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7105"/>
    <w:pPr>
      <w:spacing w:after="60"/>
      <w:jc w:val="both"/>
    </w:pPr>
    <w:rPr>
      <w:rFonts w:ascii="Arial" w:eastAsia="Arial Unicode MS" w:hAnsi="Arial"/>
      <w:sz w:val="22"/>
      <w:lang w:val="en-US" w:eastAsia="en-US"/>
    </w:rPr>
  </w:style>
  <w:style w:type="paragraph" w:styleId="Heading1">
    <w:name w:val="heading 1"/>
    <w:basedOn w:val="Normal"/>
    <w:next w:val="Normal"/>
    <w:qFormat/>
    <w:rsid w:val="00FD0311"/>
    <w:pPr>
      <w:keepNext/>
      <w:tabs>
        <w:tab w:val="left" w:pos="-1440"/>
        <w:tab w:val="left" w:pos="-720"/>
      </w:tabs>
      <w:suppressAutoHyphens/>
      <w:spacing w:before="240"/>
      <w:outlineLvl w:val="0"/>
    </w:pPr>
    <w:rPr>
      <w:b/>
      <w:caps/>
      <w:sz w:val="24"/>
      <w:lang w:val="en-AU"/>
    </w:rPr>
  </w:style>
  <w:style w:type="paragraph" w:styleId="Heading2">
    <w:name w:val="heading 2"/>
    <w:basedOn w:val="Normal"/>
    <w:next w:val="Normal"/>
    <w:link w:val="Heading2Char1"/>
    <w:qFormat/>
    <w:rsid w:val="000A6D98"/>
    <w:pPr>
      <w:keepNext/>
      <w:tabs>
        <w:tab w:val="left" w:pos="-1440"/>
        <w:tab w:val="left" w:pos="-720"/>
      </w:tabs>
      <w:suppressAutoHyphens/>
      <w:spacing w:before="120" w:after="120"/>
      <w:outlineLvl w:val="1"/>
    </w:pPr>
    <w:rPr>
      <w:rFonts w:eastAsia="Times New Roman"/>
      <w:b/>
      <w:spacing w:val="-2"/>
      <w:lang w:val="en-AU"/>
    </w:rPr>
  </w:style>
  <w:style w:type="paragraph" w:styleId="Heading3">
    <w:name w:val="heading 3"/>
    <w:basedOn w:val="Normal"/>
    <w:next w:val="Normal"/>
    <w:link w:val="Heading3Char"/>
    <w:qFormat/>
    <w:rsid w:val="00DA27A2"/>
    <w:pPr>
      <w:keepNext/>
      <w:tabs>
        <w:tab w:val="left" w:pos="-1440"/>
        <w:tab w:val="left" w:pos="-720"/>
      </w:tabs>
      <w:suppressAutoHyphens/>
      <w:outlineLvl w:val="2"/>
    </w:pPr>
    <w:rPr>
      <w:rFonts w:eastAsia="Times New Roman"/>
      <w:spacing w:val="-2"/>
      <w:u w:val="single"/>
      <w:lang w:val="en-AU"/>
    </w:rPr>
  </w:style>
  <w:style w:type="paragraph" w:styleId="Heading4">
    <w:name w:val="heading 4"/>
    <w:basedOn w:val="Normal"/>
    <w:next w:val="Normal"/>
    <w:link w:val="Heading4Char"/>
    <w:qFormat/>
    <w:rsid w:val="00EE5749"/>
    <w:pPr>
      <w:keepNext/>
      <w:tabs>
        <w:tab w:val="left" w:pos="992"/>
      </w:tabs>
      <w:suppressAutoHyphens/>
      <w:spacing w:before="120"/>
      <w:ind w:left="992" w:hanging="992"/>
      <w:jc w:val="left"/>
      <w:outlineLvl w:val="3"/>
    </w:pPr>
    <w:rPr>
      <w:rFonts w:eastAsia="Times New Roman"/>
      <w:b/>
      <w:spacing w:val="-2"/>
      <w:sz w:val="20"/>
      <w:lang w:val="en-AU"/>
    </w:rPr>
  </w:style>
  <w:style w:type="paragraph" w:styleId="Heading5">
    <w:name w:val="heading 5"/>
    <w:basedOn w:val="Normal"/>
    <w:next w:val="Normal"/>
    <w:qFormat/>
    <w:pPr>
      <w:keepNext/>
      <w:tabs>
        <w:tab w:val="left" w:pos="-1440"/>
        <w:tab w:val="left" w:pos="-720"/>
      </w:tabs>
      <w:suppressAutoHyphens/>
      <w:jc w:val="center"/>
      <w:outlineLvl w:val="4"/>
    </w:pPr>
    <w:rPr>
      <w:b/>
      <w:spacing w:val="-2"/>
      <w:lang w:val="en-AU"/>
    </w:rPr>
  </w:style>
  <w:style w:type="paragraph" w:styleId="Heading6">
    <w:name w:val="heading 6"/>
    <w:basedOn w:val="Normal"/>
    <w:next w:val="Normal"/>
    <w:qFormat/>
    <w:pPr>
      <w:keepNext/>
      <w:tabs>
        <w:tab w:val="left" w:pos="-1440"/>
        <w:tab w:val="left" w:pos="-720"/>
      </w:tabs>
      <w:suppressAutoHyphens/>
      <w:outlineLvl w:val="5"/>
    </w:pPr>
    <w:rPr>
      <w:i/>
      <w:spacing w:val="-2"/>
      <w:u w:val="double"/>
      <w:lang w:val="en-AU"/>
    </w:rPr>
  </w:style>
  <w:style w:type="paragraph" w:styleId="Heading7">
    <w:name w:val="heading 7"/>
    <w:basedOn w:val="Normal"/>
    <w:next w:val="Normal"/>
    <w:qFormat/>
    <w:pPr>
      <w:keepNext/>
      <w:tabs>
        <w:tab w:val="left" w:pos="-1440"/>
        <w:tab w:val="left" w:pos="-720"/>
      </w:tabs>
      <w:suppressAutoHyphens/>
      <w:outlineLvl w:val="6"/>
    </w:pPr>
    <w:rPr>
      <w:spacing w:val="-2"/>
      <w:u w:val="single"/>
      <w:lang w:val="en-AU"/>
    </w:rPr>
  </w:style>
  <w:style w:type="paragraph" w:styleId="Heading8">
    <w:name w:val="heading 8"/>
    <w:basedOn w:val="Normal"/>
    <w:next w:val="Normal"/>
    <w:qFormat/>
    <w:pPr>
      <w:keepNext/>
      <w:outlineLvl w:val="7"/>
    </w:pPr>
    <w:rPr>
      <w:i/>
      <w:iCs/>
    </w:rPr>
  </w:style>
  <w:style w:type="paragraph" w:styleId="Heading9">
    <w:name w:val="heading 9"/>
    <w:basedOn w:val="Normal"/>
    <w:next w:val="Normal"/>
    <w:qFormat/>
    <w:pPr>
      <w:keepNext/>
      <w:outlineLvl w:val="8"/>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1">
    <w:name w:val="Heading 2 Char1"/>
    <w:link w:val="Heading2"/>
    <w:rsid w:val="000A6D98"/>
    <w:rPr>
      <w:rFonts w:ascii="Arial" w:hAnsi="Arial"/>
      <w:b/>
      <w:spacing w:val="-2"/>
      <w:sz w:val="22"/>
      <w:lang w:val="en-AU" w:eastAsia="en-US" w:bidi="ar-SA"/>
    </w:rPr>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paragraph" w:styleId="Header">
    <w:name w:val="header"/>
    <w:basedOn w:val="Normal"/>
    <w:pPr>
      <w:tabs>
        <w:tab w:val="center" w:pos="4153"/>
        <w:tab w:val="right" w:pos="8306"/>
      </w:tabs>
    </w:pPr>
  </w:style>
  <w:style w:type="paragraph" w:styleId="Footer">
    <w:name w:val="footer"/>
    <w:basedOn w:val="Normal"/>
    <w:rsid w:val="002F5AAE"/>
    <w:pPr>
      <w:tabs>
        <w:tab w:val="center" w:pos="4153"/>
        <w:tab w:val="right" w:pos="8306"/>
      </w:tabs>
      <w:spacing w:after="0"/>
    </w:pPr>
    <w:rPr>
      <w:sz w:val="20"/>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Pr>
      <w:rFonts w:ascii="Tahoma" w:hAnsi="Tahoma" w:cs="Tahoma"/>
      <w:sz w:val="16"/>
      <w:szCs w:val="16"/>
    </w:rPr>
  </w:style>
  <w:style w:type="character" w:customStyle="1" w:styleId="Heading3Char">
    <w:name w:val="Heading 3 Char"/>
    <w:link w:val="Heading3"/>
    <w:rsid w:val="003900E6"/>
    <w:rPr>
      <w:rFonts w:ascii="Arial" w:hAnsi="Arial"/>
      <w:spacing w:val="-2"/>
      <w:sz w:val="22"/>
      <w:u w:val="single"/>
      <w:lang w:val="en-AU" w:eastAsia="en-US" w:bidi="ar-SA"/>
    </w:rPr>
  </w:style>
  <w:style w:type="character" w:styleId="CommentReference">
    <w:name w:val="annotation reference"/>
    <w:semiHidden/>
    <w:rsid w:val="00AA17FA"/>
    <w:rPr>
      <w:sz w:val="16"/>
      <w:szCs w:val="16"/>
    </w:rPr>
  </w:style>
  <w:style w:type="paragraph" w:styleId="CommentText">
    <w:name w:val="annotation text"/>
    <w:basedOn w:val="Normal"/>
    <w:semiHidden/>
    <w:rsid w:val="00AA17FA"/>
    <w:rPr>
      <w:sz w:val="20"/>
    </w:rPr>
  </w:style>
  <w:style w:type="paragraph" w:styleId="CommentSubject">
    <w:name w:val="annotation subject"/>
    <w:basedOn w:val="CommentText"/>
    <w:next w:val="CommentText"/>
    <w:semiHidden/>
    <w:rsid w:val="00AA17FA"/>
    <w:rPr>
      <w:b/>
      <w:bCs/>
    </w:rPr>
  </w:style>
  <w:style w:type="paragraph" w:styleId="Title">
    <w:name w:val="Title"/>
    <w:basedOn w:val="Normal"/>
    <w:qFormat/>
    <w:rsid w:val="00FD0311"/>
    <w:pPr>
      <w:spacing w:before="240"/>
      <w:jc w:val="center"/>
      <w:outlineLvl w:val="0"/>
    </w:pPr>
    <w:rPr>
      <w:rFonts w:cs="Arial"/>
      <w:b/>
      <w:bCs/>
      <w:caps/>
      <w:kern w:val="28"/>
      <w:sz w:val="28"/>
      <w:szCs w:val="32"/>
      <w:lang w:val="en-AU"/>
    </w:rPr>
  </w:style>
  <w:style w:type="paragraph" w:styleId="Subtitle">
    <w:name w:val="Subtitle"/>
    <w:basedOn w:val="Normal"/>
    <w:qFormat/>
    <w:rsid w:val="00FD0311"/>
    <w:pPr>
      <w:jc w:val="center"/>
      <w:outlineLvl w:val="1"/>
    </w:pPr>
    <w:rPr>
      <w:rFonts w:cs="Arial"/>
      <w:b/>
      <w:caps/>
      <w:sz w:val="24"/>
      <w:szCs w:val="24"/>
      <w:lang w:val="en-AU"/>
    </w:rPr>
  </w:style>
  <w:style w:type="character" w:customStyle="1" w:styleId="Heading4Char">
    <w:name w:val="Heading 4 Char"/>
    <w:link w:val="Heading4"/>
    <w:rsid w:val="00EE5749"/>
    <w:rPr>
      <w:rFonts w:ascii="Arial" w:hAnsi="Arial"/>
      <w:b/>
      <w:spacing w:val="-2"/>
      <w:lang w:val="en-AU" w:eastAsia="en-US" w:bidi="ar-SA"/>
    </w:rPr>
  </w:style>
  <w:style w:type="numbering" w:customStyle="1" w:styleId="StyleBulleted">
    <w:name w:val="Style Bulleted"/>
    <w:basedOn w:val="NoList"/>
    <w:rsid w:val="000A6D98"/>
    <w:pPr>
      <w:numPr>
        <w:numId w:val="24"/>
      </w:numPr>
    </w:pPr>
  </w:style>
  <w:style w:type="paragraph" w:customStyle="1" w:styleId="StyleHeading2">
    <w:name w:val="Style Heading 2"/>
    <w:basedOn w:val="Heading2"/>
    <w:rsid w:val="00FB10D7"/>
    <w:rPr>
      <w:rFonts w:eastAsia="PMingLiU"/>
      <w:bCs/>
    </w:rPr>
  </w:style>
  <w:style w:type="character" w:customStyle="1" w:styleId="Heading2Char">
    <w:name w:val="Heading 2 Char"/>
    <w:rsid w:val="00714CEA"/>
    <w:rPr>
      <w:rFonts w:ascii="Arial" w:eastAsia="Arial Unicode MS" w:hAnsi="Arial"/>
      <w:b/>
      <w:spacing w:val="-2"/>
      <w:sz w:val="22"/>
      <w:lang w:val="en-AU" w:eastAsia="en-US" w:bidi="ar-SA"/>
    </w:rPr>
  </w:style>
  <w:style w:type="paragraph" w:customStyle="1" w:styleId="Default">
    <w:name w:val="Default"/>
    <w:rsid w:val="00473674"/>
    <w:pPr>
      <w:autoSpaceDE w:val="0"/>
      <w:autoSpaceDN w:val="0"/>
      <w:adjustRightInd w:val="0"/>
    </w:pPr>
    <w:rPr>
      <w:rFonts w:eastAsia="PMingLiU"/>
      <w:color w:val="000000"/>
      <w:sz w:val="24"/>
      <w:szCs w:val="24"/>
      <w:lang w:val="en-US" w:eastAsia="zh-TW"/>
    </w:rPr>
  </w:style>
  <w:style w:type="table" w:styleId="TableGrid">
    <w:name w:val="Table Grid"/>
    <w:basedOn w:val="TableNormal"/>
    <w:uiPriority w:val="59"/>
    <w:rsid w:val="004C534C"/>
    <w:rPr>
      <w:rFonts w:asciiTheme="minorHAnsi" w:eastAsia="Cambria"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16348616">
      <w:bodyDiv w:val="1"/>
      <w:marLeft w:val="0"/>
      <w:marRight w:val="0"/>
      <w:marTop w:val="0"/>
      <w:marBottom w:val="0"/>
      <w:divBdr>
        <w:top w:val="none" w:sz="0" w:space="0" w:color="auto"/>
        <w:left w:val="none" w:sz="0" w:space="0" w:color="auto"/>
        <w:bottom w:val="none" w:sz="0" w:space="0" w:color="auto"/>
        <w:right w:val="none" w:sz="0" w:space="0" w:color="auto"/>
      </w:divBdr>
    </w:div>
    <w:div w:id="321130999">
      <w:bodyDiv w:val="1"/>
      <w:marLeft w:val="0"/>
      <w:marRight w:val="0"/>
      <w:marTop w:val="0"/>
      <w:marBottom w:val="0"/>
      <w:divBdr>
        <w:top w:val="none" w:sz="0" w:space="0" w:color="auto"/>
        <w:left w:val="none" w:sz="0" w:space="0" w:color="auto"/>
        <w:bottom w:val="none" w:sz="0" w:space="0" w:color="auto"/>
        <w:right w:val="none" w:sz="0" w:space="0" w:color="auto"/>
      </w:divBdr>
    </w:div>
    <w:div w:id="369571853">
      <w:bodyDiv w:val="1"/>
      <w:marLeft w:val="0"/>
      <w:marRight w:val="0"/>
      <w:marTop w:val="0"/>
      <w:marBottom w:val="0"/>
      <w:divBdr>
        <w:top w:val="none" w:sz="0" w:space="0" w:color="auto"/>
        <w:left w:val="none" w:sz="0" w:space="0" w:color="auto"/>
        <w:bottom w:val="none" w:sz="0" w:space="0" w:color="auto"/>
        <w:right w:val="none" w:sz="0" w:space="0" w:color="auto"/>
      </w:divBdr>
      <w:divsChild>
        <w:div w:id="1927107901">
          <w:marLeft w:val="0"/>
          <w:marRight w:val="0"/>
          <w:marTop w:val="0"/>
          <w:marBottom w:val="0"/>
          <w:divBdr>
            <w:top w:val="none" w:sz="0" w:space="0" w:color="auto"/>
            <w:left w:val="none" w:sz="0" w:space="0" w:color="auto"/>
            <w:bottom w:val="none" w:sz="0" w:space="0" w:color="auto"/>
            <w:right w:val="none" w:sz="0" w:space="0" w:color="auto"/>
          </w:divBdr>
          <w:divsChild>
            <w:div w:id="1745294580">
              <w:marLeft w:val="0"/>
              <w:marRight w:val="0"/>
              <w:marTop w:val="0"/>
              <w:marBottom w:val="0"/>
              <w:divBdr>
                <w:top w:val="none" w:sz="0" w:space="0" w:color="auto"/>
                <w:left w:val="none" w:sz="0" w:space="0" w:color="auto"/>
                <w:bottom w:val="none" w:sz="0" w:space="0" w:color="auto"/>
                <w:right w:val="none" w:sz="0" w:space="0" w:color="auto"/>
              </w:divBdr>
              <w:divsChild>
                <w:div w:id="90009880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63404065">
      <w:bodyDiv w:val="1"/>
      <w:marLeft w:val="0"/>
      <w:marRight w:val="0"/>
      <w:marTop w:val="0"/>
      <w:marBottom w:val="0"/>
      <w:divBdr>
        <w:top w:val="none" w:sz="0" w:space="0" w:color="auto"/>
        <w:left w:val="none" w:sz="0" w:space="0" w:color="auto"/>
        <w:bottom w:val="none" w:sz="0" w:space="0" w:color="auto"/>
        <w:right w:val="none" w:sz="0" w:space="0" w:color="auto"/>
      </w:divBdr>
    </w:div>
    <w:div w:id="1401714154">
      <w:bodyDiv w:val="1"/>
      <w:marLeft w:val="0"/>
      <w:marRight w:val="0"/>
      <w:marTop w:val="0"/>
      <w:marBottom w:val="0"/>
      <w:divBdr>
        <w:top w:val="none" w:sz="0" w:space="0" w:color="auto"/>
        <w:left w:val="none" w:sz="0" w:space="0" w:color="auto"/>
        <w:bottom w:val="none" w:sz="0" w:space="0" w:color="auto"/>
        <w:right w:val="none" w:sz="0" w:space="0" w:color="auto"/>
      </w:divBdr>
    </w:div>
    <w:div w:id="1447697883">
      <w:bodyDiv w:val="1"/>
      <w:marLeft w:val="0"/>
      <w:marRight w:val="0"/>
      <w:marTop w:val="0"/>
      <w:marBottom w:val="0"/>
      <w:divBdr>
        <w:top w:val="none" w:sz="0" w:space="0" w:color="auto"/>
        <w:left w:val="none" w:sz="0" w:space="0" w:color="auto"/>
        <w:bottom w:val="none" w:sz="0" w:space="0" w:color="auto"/>
        <w:right w:val="none" w:sz="0" w:space="0" w:color="auto"/>
      </w:divBdr>
    </w:div>
    <w:div w:id="1577785002">
      <w:bodyDiv w:val="1"/>
      <w:marLeft w:val="0"/>
      <w:marRight w:val="0"/>
      <w:marTop w:val="0"/>
      <w:marBottom w:val="0"/>
      <w:divBdr>
        <w:top w:val="none" w:sz="0" w:space="0" w:color="auto"/>
        <w:left w:val="none" w:sz="0" w:space="0" w:color="auto"/>
        <w:bottom w:val="none" w:sz="0" w:space="0" w:color="auto"/>
        <w:right w:val="none" w:sz="0" w:space="0" w:color="auto"/>
      </w:divBdr>
    </w:div>
    <w:div w:id="1652176186">
      <w:bodyDiv w:val="1"/>
      <w:marLeft w:val="0"/>
      <w:marRight w:val="0"/>
      <w:marTop w:val="0"/>
      <w:marBottom w:val="0"/>
      <w:divBdr>
        <w:top w:val="none" w:sz="0" w:space="0" w:color="auto"/>
        <w:left w:val="none" w:sz="0" w:space="0" w:color="auto"/>
        <w:bottom w:val="none" w:sz="0" w:space="0" w:color="auto"/>
        <w:right w:val="none" w:sz="0" w:space="0" w:color="auto"/>
      </w:divBdr>
    </w:div>
    <w:div w:id="1817648772">
      <w:bodyDiv w:val="1"/>
      <w:marLeft w:val="0"/>
      <w:marRight w:val="0"/>
      <w:marTop w:val="0"/>
      <w:marBottom w:val="0"/>
      <w:divBdr>
        <w:top w:val="none" w:sz="0" w:space="0" w:color="auto"/>
        <w:left w:val="none" w:sz="0" w:space="0" w:color="auto"/>
        <w:bottom w:val="none" w:sz="0" w:space="0" w:color="auto"/>
        <w:right w:val="none" w:sz="0" w:space="0" w:color="auto"/>
      </w:divBdr>
    </w:div>
    <w:div w:id="2022126775">
      <w:bodyDiv w:val="1"/>
      <w:marLeft w:val="0"/>
      <w:marRight w:val="0"/>
      <w:marTop w:val="0"/>
      <w:marBottom w:val="0"/>
      <w:divBdr>
        <w:top w:val="none" w:sz="0" w:space="0" w:color="auto"/>
        <w:left w:val="none" w:sz="0" w:space="0" w:color="auto"/>
        <w:bottom w:val="none" w:sz="0" w:space="0" w:color="auto"/>
        <w:right w:val="none" w:sz="0" w:space="0" w:color="auto"/>
      </w:divBdr>
    </w:div>
    <w:div w:id="21373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6271</Words>
  <Characters>36223</Characters>
  <Application>Microsoft Office Word</Application>
  <DocSecurity>0</DocSecurity>
  <Lines>658</Lines>
  <Paragraphs>241</Paragraphs>
  <ScaleCrop>false</ScaleCrop>
  <HeadingPairs>
    <vt:vector size="2" baseType="variant">
      <vt:variant>
        <vt:lpstr>Title</vt:lpstr>
      </vt:variant>
      <vt:variant>
        <vt:i4>1</vt:i4>
      </vt:variant>
    </vt:vector>
  </HeadingPairs>
  <TitlesOfParts>
    <vt:vector size="1" baseType="lpstr">
      <vt:lpstr>PRODUCT INFORMATION</vt:lpstr>
    </vt:vector>
  </TitlesOfParts>
  <Manager/>
  <Company/>
  <LinksUpToDate>false</LinksUpToDate>
  <CharactersWithSpaces>42253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Livalo (Pitavastatin calcium)</dc:title>
  <dc:subject>prescription medicine regulation</dc:subject>
  <dc:creator/>
  <cp:keywords>product, information, pi, prescription, medicine, regulation, livalo, pitavastatin calcium, abbott</cp:keywords>
  <cp:lastModifiedBy/>
  <cp:revision>1</cp:revision>
  <cp:lastPrinted>2011-11-09T22:56:00Z</cp:lastPrinted>
  <dcterms:created xsi:type="dcterms:W3CDTF">2013-10-21T01:12:00Z</dcterms:created>
  <dcterms:modified xsi:type="dcterms:W3CDTF">2013-10-21T01:18:00Z</dcterms:modified>
</cp:coreProperties>
</file>