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FEF" w:rsidRPr="00604F1C" w:rsidRDefault="00501F41" w:rsidP="0055186A">
      <w:pPr>
        <w:tabs>
          <w:tab w:val="left" w:pos="-1440"/>
          <w:tab w:val="left" w:pos="-720"/>
        </w:tabs>
        <w:jc w:val="center"/>
        <w:rPr>
          <w:b/>
          <w:lang w:val="en-AU"/>
        </w:rPr>
      </w:pPr>
      <w:bookmarkStart w:id="0" w:name="_GoBack"/>
      <w:bookmarkEnd w:id="0"/>
      <w:r>
        <w:rPr>
          <w:b/>
          <w:lang w:val="en-AU"/>
        </w:rPr>
        <w:t>POMALYST</w:t>
      </w:r>
      <w:r w:rsidR="0055186A" w:rsidRPr="00604F1C">
        <w:rPr>
          <w:b/>
          <w:vertAlign w:val="superscript"/>
          <w:lang w:val="en-AU"/>
        </w:rPr>
        <w:t>®</w:t>
      </w:r>
      <w:r w:rsidR="0055186A" w:rsidRPr="00604F1C">
        <w:rPr>
          <w:b/>
          <w:lang w:val="en-AU"/>
        </w:rPr>
        <w:t xml:space="preserve"> (</w:t>
      </w:r>
      <w:proofErr w:type="spellStart"/>
      <w:r w:rsidR="007F0C77">
        <w:rPr>
          <w:b/>
          <w:lang w:val="en-AU"/>
        </w:rPr>
        <w:t>poma</w:t>
      </w:r>
      <w:r w:rsidR="0055186A" w:rsidRPr="00604F1C">
        <w:rPr>
          <w:b/>
          <w:lang w:val="en-AU"/>
        </w:rPr>
        <w:t>lidomide</w:t>
      </w:r>
      <w:proofErr w:type="spellEnd"/>
      <w:r w:rsidR="0055186A" w:rsidRPr="00604F1C">
        <w:rPr>
          <w:b/>
          <w:lang w:val="en-AU"/>
        </w:rPr>
        <w:t>) capsules Product Information</w:t>
      </w:r>
    </w:p>
    <w:p w:rsidR="0055186A" w:rsidRDefault="0055186A" w:rsidP="00F94C11">
      <w:pPr>
        <w:tabs>
          <w:tab w:val="left" w:pos="-1440"/>
          <w:tab w:val="left" w:pos="-720"/>
        </w:tabs>
        <w:rPr>
          <w:sz w:val="22"/>
          <w:szCs w:val="22"/>
          <w:lang w:val="en-AU"/>
        </w:rPr>
      </w:pPr>
    </w:p>
    <w:p w:rsidR="0055186A" w:rsidRPr="00F77E74" w:rsidRDefault="0055186A" w:rsidP="00E77A42">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rPr>
          <w:rFonts w:eastAsia="SimSun"/>
          <w:b/>
          <w:bCs/>
          <w:sz w:val="22"/>
          <w:szCs w:val="22"/>
          <w:lang w:val="en-AU" w:eastAsia="zh-CN"/>
        </w:rPr>
      </w:pPr>
      <w:r w:rsidRPr="00F77E74">
        <w:rPr>
          <w:rFonts w:eastAsia="SimSun"/>
          <w:b/>
          <w:bCs/>
          <w:sz w:val="22"/>
          <w:szCs w:val="22"/>
          <w:lang w:val="en-AU" w:eastAsia="zh-CN"/>
        </w:rPr>
        <w:t>Teratogenic effects:</w:t>
      </w:r>
    </w:p>
    <w:p w:rsidR="0055186A" w:rsidRPr="00F77E74" w:rsidRDefault="00FA1A57" w:rsidP="00E77A42">
      <w:pPr>
        <w:pBdr>
          <w:top w:val="single" w:sz="4" w:space="1" w:color="auto"/>
          <w:left w:val="single" w:sz="4" w:space="4" w:color="auto"/>
          <w:bottom w:val="single" w:sz="4" w:space="1" w:color="auto"/>
          <w:right w:val="single" w:sz="4" w:space="4" w:color="auto"/>
        </w:pBdr>
        <w:shd w:val="clear" w:color="auto" w:fill="E0E0E0"/>
        <w:autoSpaceDE w:val="0"/>
        <w:autoSpaceDN w:val="0"/>
        <w:adjustRightInd w:val="0"/>
        <w:rPr>
          <w:b/>
          <w:sz w:val="22"/>
          <w:szCs w:val="22"/>
          <w:lang w:val="en-AU"/>
        </w:rPr>
      </w:pPr>
      <w:proofErr w:type="spellStart"/>
      <w:r>
        <w:rPr>
          <w:b/>
          <w:bCs/>
          <w:sz w:val="22"/>
          <w:szCs w:val="22"/>
          <w:lang w:val="en-AU"/>
        </w:rPr>
        <w:t>Poma</w:t>
      </w:r>
      <w:r w:rsidRPr="00F77E74">
        <w:rPr>
          <w:b/>
          <w:bCs/>
          <w:sz w:val="22"/>
          <w:szCs w:val="22"/>
          <w:lang w:val="en-AU"/>
        </w:rPr>
        <w:t>lidomide</w:t>
      </w:r>
      <w:proofErr w:type="spellEnd"/>
      <w:r w:rsidRPr="00F77E74">
        <w:rPr>
          <w:rFonts w:eastAsia="SimSun"/>
          <w:b/>
          <w:bCs/>
          <w:sz w:val="22"/>
          <w:szCs w:val="22"/>
          <w:lang w:val="en-AU" w:eastAsia="zh-CN"/>
        </w:rPr>
        <w:t xml:space="preserve"> </w:t>
      </w:r>
      <w:r w:rsidR="0055186A" w:rsidRPr="00F77E74">
        <w:rPr>
          <w:rFonts w:eastAsia="SimSun"/>
          <w:b/>
          <w:bCs/>
          <w:sz w:val="22"/>
          <w:szCs w:val="22"/>
          <w:lang w:val="en-AU" w:eastAsia="zh-CN"/>
        </w:rPr>
        <w:t>(</w:t>
      </w:r>
      <w:proofErr w:type="spellStart"/>
      <w:r>
        <w:rPr>
          <w:rFonts w:eastAsia="SimSun"/>
          <w:b/>
          <w:bCs/>
          <w:sz w:val="22"/>
          <w:szCs w:val="22"/>
          <w:lang w:val="en-AU" w:eastAsia="zh-CN"/>
        </w:rPr>
        <w:t>Pomalyst</w:t>
      </w:r>
      <w:proofErr w:type="spellEnd"/>
      <w:r w:rsidR="0055186A" w:rsidRPr="00F77E74">
        <w:rPr>
          <w:rFonts w:eastAsia="SimSun"/>
          <w:b/>
          <w:bCs/>
          <w:sz w:val="22"/>
          <w:szCs w:val="22"/>
          <w:lang w:val="en-AU" w:eastAsia="zh-CN"/>
        </w:rPr>
        <w:t xml:space="preserve">) </w:t>
      </w:r>
      <w:r w:rsidR="0055186A" w:rsidRPr="00F77E74">
        <w:rPr>
          <w:b/>
          <w:bCs/>
          <w:sz w:val="22"/>
          <w:szCs w:val="22"/>
          <w:lang w:val="en-AU"/>
        </w:rPr>
        <w:t xml:space="preserve">is </w:t>
      </w:r>
      <w:r w:rsidR="00800E8F">
        <w:rPr>
          <w:b/>
          <w:bCs/>
          <w:sz w:val="22"/>
          <w:szCs w:val="22"/>
          <w:lang w:val="en-AU"/>
        </w:rPr>
        <w:t xml:space="preserve">a </w:t>
      </w:r>
      <w:r w:rsidR="0055186A" w:rsidRPr="00F77E74">
        <w:rPr>
          <w:b/>
          <w:bCs/>
          <w:sz w:val="22"/>
          <w:szCs w:val="22"/>
          <w:lang w:val="en-AU"/>
        </w:rPr>
        <w:t>thalidomide</w:t>
      </w:r>
      <w:r w:rsidR="00800E8F">
        <w:rPr>
          <w:b/>
          <w:bCs/>
          <w:sz w:val="22"/>
          <w:szCs w:val="22"/>
          <w:lang w:val="en-AU"/>
        </w:rPr>
        <w:t xml:space="preserve"> analogue</w:t>
      </w:r>
      <w:r w:rsidR="0055186A" w:rsidRPr="00F77E74">
        <w:rPr>
          <w:rFonts w:eastAsia="SimSun"/>
          <w:b/>
          <w:bCs/>
          <w:sz w:val="22"/>
          <w:szCs w:val="22"/>
          <w:lang w:val="en-AU" w:eastAsia="zh-CN"/>
        </w:rPr>
        <w:t xml:space="preserve">. </w:t>
      </w:r>
      <w:r w:rsidR="00501F41">
        <w:rPr>
          <w:rFonts w:eastAsia="SimSun"/>
          <w:b/>
          <w:bCs/>
          <w:sz w:val="22"/>
          <w:szCs w:val="22"/>
          <w:lang w:val="en-AU" w:eastAsia="zh-CN"/>
        </w:rPr>
        <w:t xml:space="preserve"> </w:t>
      </w:r>
      <w:r w:rsidR="0055186A" w:rsidRPr="00F77E74">
        <w:rPr>
          <w:rFonts w:eastAsia="SimSun"/>
          <w:b/>
          <w:bCs/>
          <w:sz w:val="22"/>
          <w:szCs w:val="22"/>
          <w:lang w:val="en-AU" w:eastAsia="zh-CN"/>
        </w:rPr>
        <w:t>Thalidomide is a known human teratogen that causes severe life-threatening human birth defects.</w:t>
      </w:r>
      <w:r w:rsidR="00501F41">
        <w:rPr>
          <w:rFonts w:eastAsia="SimSun"/>
          <w:b/>
          <w:bCs/>
          <w:sz w:val="22"/>
          <w:szCs w:val="22"/>
          <w:lang w:val="en-AU" w:eastAsia="zh-CN"/>
        </w:rPr>
        <w:t xml:space="preserve"> </w:t>
      </w:r>
      <w:r w:rsidR="0055186A" w:rsidRPr="00F77E74">
        <w:rPr>
          <w:rFonts w:eastAsia="SimSun"/>
          <w:b/>
          <w:bCs/>
          <w:sz w:val="22"/>
          <w:szCs w:val="22"/>
          <w:lang w:val="en-AU" w:eastAsia="zh-CN"/>
        </w:rPr>
        <w:t xml:space="preserve"> If </w:t>
      </w:r>
      <w:proofErr w:type="spellStart"/>
      <w:r w:rsidR="007F0C77">
        <w:rPr>
          <w:rFonts w:eastAsia="SimSun"/>
          <w:b/>
          <w:bCs/>
          <w:sz w:val="22"/>
          <w:szCs w:val="22"/>
          <w:lang w:val="en-AU" w:eastAsia="zh-CN"/>
        </w:rPr>
        <w:t>pomalidomide</w:t>
      </w:r>
      <w:proofErr w:type="spellEnd"/>
      <w:r w:rsidR="0055186A" w:rsidRPr="00F77E74">
        <w:rPr>
          <w:rFonts w:eastAsia="SimSun"/>
          <w:b/>
          <w:bCs/>
          <w:sz w:val="22"/>
          <w:szCs w:val="22"/>
          <w:lang w:val="en-AU" w:eastAsia="zh-CN"/>
        </w:rPr>
        <w:t xml:space="preserve"> is taken during pregnancy, it may cause birth defects or death to an unborn baby. </w:t>
      </w:r>
      <w:r w:rsidR="00501F41">
        <w:rPr>
          <w:rFonts w:eastAsia="SimSun"/>
          <w:b/>
          <w:bCs/>
          <w:sz w:val="22"/>
          <w:szCs w:val="22"/>
          <w:lang w:val="en-AU" w:eastAsia="zh-CN"/>
        </w:rPr>
        <w:t xml:space="preserve"> </w:t>
      </w:r>
      <w:r w:rsidR="0055186A" w:rsidRPr="00F77E74">
        <w:rPr>
          <w:rFonts w:eastAsia="SimSun"/>
          <w:b/>
          <w:bCs/>
          <w:sz w:val="22"/>
          <w:szCs w:val="22"/>
          <w:lang w:val="en-AU" w:eastAsia="zh-CN"/>
        </w:rPr>
        <w:t xml:space="preserve">Women should be advised to avoid pregnancy whilst taking </w:t>
      </w:r>
      <w:proofErr w:type="spellStart"/>
      <w:r w:rsidR="002F32EE">
        <w:rPr>
          <w:rFonts w:eastAsia="SimSun"/>
          <w:b/>
          <w:bCs/>
          <w:sz w:val="22"/>
          <w:szCs w:val="22"/>
          <w:lang w:val="en-AU" w:eastAsia="zh-CN"/>
        </w:rPr>
        <w:t>Pomalyst</w:t>
      </w:r>
      <w:proofErr w:type="spellEnd"/>
      <w:r w:rsidR="0055186A" w:rsidRPr="00F77E74">
        <w:rPr>
          <w:rFonts w:eastAsia="SimSun"/>
          <w:b/>
          <w:bCs/>
          <w:sz w:val="22"/>
          <w:szCs w:val="22"/>
          <w:lang w:val="en-AU" w:eastAsia="zh-CN"/>
        </w:rPr>
        <w:t xml:space="preserve"> (</w:t>
      </w:r>
      <w:proofErr w:type="spellStart"/>
      <w:r w:rsidR="007F0C77">
        <w:rPr>
          <w:rFonts w:eastAsia="SimSun"/>
          <w:b/>
          <w:bCs/>
          <w:sz w:val="22"/>
          <w:szCs w:val="22"/>
          <w:lang w:val="en-AU" w:eastAsia="zh-CN"/>
        </w:rPr>
        <w:t>pomalidomide</w:t>
      </w:r>
      <w:proofErr w:type="spellEnd"/>
      <w:r w:rsidR="0055186A" w:rsidRPr="00F77E74">
        <w:rPr>
          <w:rFonts w:eastAsia="SimSun"/>
          <w:b/>
          <w:bCs/>
          <w:sz w:val="22"/>
          <w:szCs w:val="22"/>
          <w:lang w:val="en-AU" w:eastAsia="zh-CN"/>
        </w:rPr>
        <w:t>)</w:t>
      </w:r>
      <w:r w:rsidR="009A06F2">
        <w:rPr>
          <w:rFonts w:eastAsia="SimSun"/>
          <w:b/>
          <w:bCs/>
          <w:sz w:val="22"/>
          <w:szCs w:val="22"/>
          <w:lang w:val="en-AU" w:eastAsia="zh-CN"/>
        </w:rPr>
        <w:t>, during dose interruptions,</w:t>
      </w:r>
      <w:r w:rsidR="0055186A" w:rsidRPr="00F77E74">
        <w:rPr>
          <w:rFonts w:eastAsia="SimSun"/>
          <w:b/>
          <w:bCs/>
          <w:sz w:val="22"/>
          <w:szCs w:val="22"/>
          <w:lang w:val="en-AU" w:eastAsia="zh-CN"/>
        </w:rPr>
        <w:t xml:space="preserve"> and for 4 weeks after stopping the </w:t>
      </w:r>
      <w:r w:rsidR="004E6D90">
        <w:rPr>
          <w:rFonts w:eastAsia="SimSun"/>
          <w:b/>
          <w:bCs/>
          <w:sz w:val="22"/>
          <w:szCs w:val="22"/>
          <w:lang w:val="en-AU" w:eastAsia="zh-CN"/>
        </w:rPr>
        <w:t>medicine</w:t>
      </w:r>
      <w:r w:rsidR="0055186A" w:rsidRPr="00F77E74">
        <w:rPr>
          <w:rFonts w:eastAsia="SimSun"/>
          <w:b/>
          <w:bCs/>
          <w:sz w:val="22"/>
          <w:szCs w:val="22"/>
          <w:lang w:val="en-AU" w:eastAsia="zh-CN"/>
        </w:rPr>
        <w:t>.</w:t>
      </w:r>
    </w:p>
    <w:p w:rsidR="0055186A" w:rsidRPr="00F77E74" w:rsidRDefault="0055186A" w:rsidP="00F94C11">
      <w:pPr>
        <w:tabs>
          <w:tab w:val="left" w:pos="-1440"/>
          <w:tab w:val="left" w:pos="-720"/>
        </w:tabs>
        <w:rPr>
          <w:sz w:val="22"/>
          <w:szCs w:val="22"/>
          <w:lang w:val="en-AU"/>
        </w:rPr>
      </w:pPr>
    </w:p>
    <w:p w:rsidR="00DD6BEB" w:rsidRDefault="00DD67D7" w:rsidP="009E253B">
      <w:pPr>
        <w:pStyle w:val="ListParagraph"/>
        <w:keepNext/>
        <w:numPr>
          <w:ilvl w:val="0"/>
          <w:numId w:val="46"/>
        </w:numPr>
        <w:tabs>
          <w:tab w:val="left" w:pos="-1440"/>
          <w:tab w:val="left" w:pos="1276"/>
        </w:tabs>
        <w:ind w:left="1134" w:hanging="1134"/>
        <w:rPr>
          <w:sz w:val="28"/>
          <w:szCs w:val="28"/>
          <w:lang w:val="en-AU"/>
        </w:rPr>
      </w:pPr>
      <w:r w:rsidRPr="000D5F35">
        <w:rPr>
          <w:b/>
          <w:sz w:val="28"/>
          <w:szCs w:val="28"/>
          <w:lang w:val="en-AU"/>
        </w:rPr>
        <w:t xml:space="preserve">Name of the </w:t>
      </w:r>
      <w:r w:rsidR="00215DC0" w:rsidRPr="000D5F35">
        <w:rPr>
          <w:b/>
          <w:sz w:val="28"/>
          <w:szCs w:val="28"/>
          <w:lang w:val="en-AU"/>
        </w:rPr>
        <w:t>m</w:t>
      </w:r>
      <w:r w:rsidRPr="000D5F35">
        <w:rPr>
          <w:b/>
          <w:sz w:val="28"/>
          <w:szCs w:val="28"/>
          <w:lang w:val="en-AU"/>
        </w:rPr>
        <w:t>edicine</w:t>
      </w:r>
    </w:p>
    <w:p w:rsidR="00F94C11" w:rsidRPr="005F1AA8" w:rsidRDefault="009C5AED" w:rsidP="007F0C77">
      <w:pPr>
        <w:spacing w:before="120"/>
        <w:rPr>
          <w:sz w:val="22"/>
          <w:szCs w:val="22"/>
          <w:lang w:val="pt-PT"/>
        </w:rPr>
      </w:pPr>
      <w:r w:rsidRPr="005F1AA8">
        <w:rPr>
          <w:sz w:val="22"/>
          <w:szCs w:val="22"/>
          <w:lang w:val="pt-PT"/>
        </w:rPr>
        <w:t>Australian approved name:</w:t>
      </w:r>
      <w:r w:rsidRPr="005F1AA8">
        <w:rPr>
          <w:sz w:val="22"/>
          <w:szCs w:val="22"/>
          <w:lang w:val="pt-PT"/>
        </w:rPr>
        <w:tab/>
      </w:r>
      <w:r w:rsidRPr="005F1AA8">
        <w:rPr>
          <w:sz w:val="22"/>
          <w:szCs w:val="22"/>
          <w:lang w:val="pt-PT"/>
        </w:rPr>
        <w:tab/>
      </w:r>
      <w:r w:rsidR="007F0C77">
        <w:rPr>
          <w:sz w:val="22"/>
          <w:szCs w:val="22"/>
          <w:lang w:val="pt-PT"/>
        </w:rPr>
        <w:t>pomalidomide</w:t>
      </w:r>
    </w:p>
    <w:p w:rsidR="001B4CDA" w:rsidRPr="007F0C77" w:rsidRDefault="001B4CDA" w:rsidP="00F94C11">
      <w:pPr>
        <w:rPr>
          <w:sz w:val="22"/>
          <w:szCs w:val="22"/>
          <w:lang w:val="pt-PT"/>
        </w:rPr>
      </w:pPr>
      <w:r w:rsidRPr="005F1AA8">
        <w:rPr>
          <w:sz w:val="22"/>
          <w:szCs w:val="22"/>
          <w:lang w:val="pt-PT"/>
        </w:rPr>
        <w:t>Molecular formula:</w:t>
      </w:r>
      <w:r w:rsidRPr="005F1AA8">
        <w:rPr>
          <w:sz w:val="22"/>
          <w:szCs w:val="22"/>
          <w:lang w:val="pt-PT"/>
        </w:rPr>
        <w:tab/>
      </w:r>
      <w:r w:rsidRPr="005F1AA8">
        <w:rPr>
          <w:sz w:val="22"/>
          <w:szCs w:val="22"/>
          <w:lang w:val="pt-PT"/>
        </w:rPr>
        <w:tab/>
      </w:r>
      <w:r w:rsidRPr="005F1AA8">
        <w:rPr>
          <w:sz w:val="22"/>
          <w:szCs w:val="22"/>
          <w:lang w:val="pt-PT"/>
        </w:rPr>
        <w:tab/>
      </w:r>
      <w:r w:rsidR="007F0C77" w:rsidRPr="007F0C77">
        <w:rPr>
          <w:sz w:val="22"/>
          <w:szCs w:val="22"/>
          <w:lang w:val="en-US" w:eastAsia="zh-CN"/>
        </w:rPr>
        <w:t>C</w:t>
      </w:r>
      <w:r w:rsidR="007F0C77" w:rsidRPr="007F0C77">
        <w:rPr>
          <w:sz w:val="22"/>
          <w:szCs w:val="22"/>
          <w:vertAlign w:val="subscript"/>
          <w:lang w:val="en-US" w:eastAsia="zh-CN"/>
        </w:rPr>
        <w:t>13</w:t>
      </w:r>
      <w:r w:rsidR="007F0C77" w:rsidRPr="007F0C77">
        <w:rPr>
          <w:sz w:val="22"/>
          <w:szCs w:val="22"/>
          <w:lang w:val="en-US" w:eastAsia="zh-CN"/>
        </w:rPr>
        <w:t>H</w:t>
      </w:r>
      <w:r w:rsidR="007F0C77" w:rsidRPr="007F0C77">
        <w:rPr>
          <w:sz w:val="22"/>
          <w:szCs w:val="22"/>
          <w:vertAlign w:val="subscript"/>
          <w:lang w:val="en-US" w:eastAsia="zh-CN"/>
        </w:rPr>
        <w:t>11</w:t>
      </w:r>
      <w:r w:rsidR="007F0C77" w:rsidRPr="007F0C77">
        <w:rPr>
          <w:sz w:val="22"/>
          <w:szCs w:val="22"/>
          <w:lang w:val="en-US" w:eastAsia="zh-CN"/>
        </w:rPr>
        <w:t>N</w:t>
      </w:r>
      <w:r w:rsidR="007F0C77" w:rsidRPr="007F0C77">
        <w:rPr>
          <w:sz w:val="22"/>
          <w:szCs w:val="22"/>
          <w:vertAlign w:val="subscript"/>
          <w:lang w:val="en-US" w:eastAsia="zh-CN"/>
        </w:rPr>
        <w:t>3</w:t>
      </w:r>
      <w:r w:rsidR="007F0C77" w:rsidRPr="007F0C77">
        <w:rPr>
          <w:sz w:val="22"/>
          <w:szCs w:val="22"/>
          <w:lang w:val="en-US" w:eastAsia="zh-CN"/>
        </w:rPr>
        <w:t>O</w:t>
      </w:r>
      <w:r w:rsidR="007F0C77" w:rsidRPr="007F0C77">
        <w:rPr>
          <w:sz w:val="22"/>
          <w:szCs w:val="22"/>
          <w:vertAlign w:val="subscript"/>
          <w:lang w:val="en-US" w:eastAsia="zh-CN"/>
        </w:rPr>
        <w:t>4</w:t>
      </w:r>
    </w:p>
    <w:p w:rsidR="001B4CDA" w:rsidRPr="00D309FD" w:rsidRDefault="00153E5D" w:rsidP="00F94C11">
      <w:pPr>
        <w:rPr>
          <w:sz w:val="22"/>
          <w:lang w:val="en-US"/>
        </w:rPr>
      </w:pPr>
      <w:r w:rsidRPr="00D309FD">
        <w:rPr>
          <w:sz w:val="22"/>
          <w:szCs w:val="16"/>
          <w:lang w:val="en-US"/>
        </w:rPr>
        <w:t>Molecular weight:</w:t>
      </w:r>
      <w:r w:rsidRPr="00D309FD">
        <w:rPr>
          <w:sz w:val="22"/>
          <w:szCs w:val="16"/>
          <w:lang w:val="en-US"/>
        </w:rPr>
        <w:tab/>
      </w:r>
      <w:r w:rsidRPr="00D309FD">
        <w:rPr>
          <w:sz w:val="22"/>
          <w:szCs w:val="16"/>
          <w:lang w:val="en-US"/>
        </w:rPr>
        <w:tab/>
      </w:r>
      <w:r w:rsidRPr="00D309FD">
        <w:rPr>
          <w:sz w:val="22"/>
          <w:szCs w:val="16"/>
          <w:lang w:val="en-US"/>
        </w:rPr>
        <w:tab/>
      </w:r>
      <w:r w:rsidR="00501F41">
        <w:rPr>
          <w:sz w:val="22"/>
          <w:szCs w:val="16"/>
          <w:lang w:val="en-US"/>
        </w:rPr>
        <w:t>273.24</w:t>
      </w:r>
    </w:p>
    <w:p w:rsidR="001B4CDA" w:rsidRPr="00D309FD" w:rsidRDefault="00153E5D" w:rsidP="00F94C11">
      <w:pPr>
        <w:rPr>
          <w:sz w:val="22"/>
          <w:szCs w:val="22"/>
          <w:lang w:val="en-US"/>
        </w:rPr>
      </w:pPr>
      <w:r w:rsidRPr="00D309FD">
        <w:rPr>
          <w:sz w:val="22"/>
          <w:lang w:val="en-US"/>
        </w:rPr>
        <w:t>CAS number:</w:t>
      </w:r>
      <w:r w:rsidRPr="00D309FD">
        <w:rPr>
          <w:sz w:val="22"/>
          <w:lang w:val="en-US"/>
        </w:rPr>
        <w:tab/>
      </w:r>
      <w:r w:rsidRPr="00D309FD">
        <w:rPr>
          <w:sz w:val="22"/>
          <w:lang w:val="en-US"/>
        </w:rPr>
        <w:tab/>
      </w:r>
      <w:r w:rsidRPr="00D309FD">
        <w:rPr>
          <w:sz w:val="22"/>
          <w:lang w:val="en-US"/>
        </w:rPr>
        <w:tab/>
      </w:r>
      <w:r w:rsidRPr="00D309FD">
        <w:rPr>
          <w:sz w:val="22"/>
          <w:lang w:val="en-US"/>
        </w:rPr>
        <w:tab/>
      </w:r>
      <w:r w:rsidR="007F0C77" w:rsidRPr="007F0C77">
        <w:rPr>
          <w:sz w:val="22"/>
          <w:lang w:val="en-US"/>
        </w:rPr>
        <w:t>19171-19-8</w:t>
      </w:r>
    </w:p>
    <w:p w:rsidR="003174D1" w:rsidRPr="00D309FD" w:rsidRDefault="00FE2F98" w:rsidP="00F94C11">
      <w:pPr>
        <w:rPr>
          <w:sz w:val="22"/>
          <w:szCs w:val="22"/>
          <w:lang w:val="en-US"/>
        </w:rPr>
      </w:pPr>
      <w:r>
        <w:rPr>
          <w:sz w:val="22"/>
          <w:szCs w:val="22"/>
          <w:lang w:val="en-US"/>
        </w:rPr>
        <w:t>ATC</w:t>
      </w:r>
      <w:r w:rsidR="003174D1" w:rsidRPr="00307630">
        <w:rPr>
          <w:sz w:val="22"/>
          <w:szCs w:val="22"/>
          <w:lang w:val="en-US"/>
        </w:rPr>
        <w:t xml:space="preserve"> code</w:t>
      </w:r>
      <w:r w:rsidR="003174D1" w:rsidRPr="00D309FD">
        <w:rPr>
          <w:sz w:val="22"/>
          <w:szCs w:val="22"/>
          <w:lang w:val="en-US"/>
        </w:rPr>
        <w:t>:</w:t>
      </w:r>
      <w:r w:rsidR="003174D1" w:rsidRPr="00D309FD">
        <w:rPr>
          <w:sz w:val="22"/>
          <w:szCs w:val="22"/>
          <w:lang w:val="en-US"/>
        </w:rPr>
        <w:tab/>
      </w:r>
      <w:r w:rsidR="003174D1" w:rsidRPr="00D309FD">
        <w:rPr>
          <w:sz w:val="22"/>
          <w:szCs w:val="22"/>
          <w:lang w:val="en-US"/>
        </w:rPr>
        <w:tab/>
      </w:r>
      <w:r w:rsidR="003174D1" w:rsidRPr="00D309FD">
        <w:rPr>
          <w:sz w:val="22"/>
          <w:szCs w:val="22"/>
          <w:lang w:val="en-US"/>
        </w:rPr>
        <w:tab/>
      </w:r>
      <w:r w:rsidR="003174D1" w:rsidRPr="00D309FD">
        <w:rPr>
          <w:sz w:val="22"/>
          <w:szCs w:val="22"/>
          <w:lang w:val="en-US"/>
        </w:rPr>
        <w:tab/>
      </w:r>
      <w:r w:rsidR="0009476E" w:rsidRPr="0009476E">
        <w:rPr>
          <w:sz w:val="22"/>
          <w:szCs w:val="22"/>
        </w:rPr>
        <w:t>L04AX06</w:t>
      </w:r>
    </w:p>
    <w:p w:rsidR="001B4CDA" w:rsidRPr="00D309FD" w:rsidRDefault="00153E5D" w:rsidP="001B4CDA">
      <w:pPr>
        <w:ind w:left="3600" w:hanging="3600"/>
        <w:rPr>
          <w:sz w:val="22"/>
          <w:szCs w:val="22"/>
          <w:lang w:val="en-US"/>
        </w:rPr>
      </w:pPr>
      <w:r w:rsidRPr="00D309FD">
        <w:rPr>
          <w:sz w:val="22"/>
          <w:szCs w:val="22"/>
          <w:lang w:val="en-US"/>
        </w:rPr>
        <w:t>Chemical name:</w:t>
      </w:r>
      <w:r w:rsidRPr="00D309FD">
        <w:rPr>
          <w:sz w:val="22"/>
          <w:szCs w:val="22"/>
          <w:lang w:val="en-US"/>
        </w:rPr>
        <w:tab/>
      </w:r>
      <w:r w:rsidR="00FD324B" w:rsidRPr="00FD324B">
        <w:rPr>
          <w:i/>
          <w:sz w:val="22"/>
          <w:szCs w:val="22"/>
          <w:lang w:val="en-US"/>
        </w:rPr>
        <w:t>(RS)</w:t>
      </w:r>
      <w:r w:rsidR="00FD324B" w:rsidRPr="00FD324B">
        <w:rPr>
          <w:sz w:val="22"/>
          <w:szCs w:val="22"/>
          <w:lang w:val="en-US"/>
        </w:rPr>
        <w:t>-4-Amino-2-(2</w:t>
      </w:r>
      <w:proofErr w:type="gramStart"/>
      <w:r w:rsidR="00FD324B" w:rsidRPr="00FD324B">
        <w:rPr>
          <w:sz w:val="22"/>
          <w:szCs w:val="22"/>
          <w:lang w:val="en-US"/>
        </w:rPr>
        <w:t>,6</w:t>
      </w:r>
      <w:proofErr w:type="gramEnd"/>
      <w:r w:rsidR="00FD324B" w:rsidRPr="00FD324B">
        <w:rPr>
          <w:sz w:val="22"/>
          <w:szCs w:val="22"/>
          <w:lang w:val="en-US"/>
        </w:rPr>
        <w:t>-dioxo-piperidin-3-yl)-isoindoline-1,3-dione</w:t>
      </w:r>
    </w:p>
    <w:p w:rsidR="001B4CDA" w:rsidRPr="00C80A5F" w:rsidRDefault="00153E5D" w:rsidP="001B4CDA">
      <w:pPr>
        <w:ind w:left="3600" w:hanging="3600"/>
        <w:rPr>
          <w:sz w:val="22"/>
          <w:szCs w:val="16"/>
          <w:lang w:val="pt-PT"/>
        </w:rPr>
      </w:pPr>
      <w:r w:rsidRPr="00153E5D">
        <w:rPr>
          <w:sz w:val="22"/>
          <w:szCs w:val="16"/>
          <w:lang w:val="pt-PT"/>
        </w:rPr>
        <w:t>Chemical structure:</w:t>
      </w:r>
    </w:p>
    <w:p w:rsidR="00F94C11" w:rsidRPr="00F77E74" w:rsidRDefault="007F0C77" w:rsidP="00F94C11">
      <w:pPr>
        <w:jc w:val="center"/>
        <w:rPr>
          <w:sz w:val="22"/>
          <w:szCs w:val="22"/>
          <w:lang w:val="en-AU"/>
        </w:rPr>
      </w:pPr>
      <w:r>
        <w:rPr>
          <w:noProof/>
          <w:sz w:val="22"/>
          <w:szCs w:val="22"/>
          <w:lang w:val="en-AU" w:eastAsia="en-AU"/>
        </w:rPr>
        <w:drawing>
          <wp:inline distT="0" distB="0" distL="0" distR="0">
            <wp:extent cx="1747837" cy="1015410"/>
            <wp:effectExtent l="0" t="0" r="0" b="0"/>
            <wp:docPr id="2" name="Picture 1" descr="Chemical structure of pomalido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47837" cy="1015410"/>
                    </a:xfrm>
                    <a:prstGeom prst="rect">
                      <a:avLst/>
                    </a:prstGeom>
                    <a:noFill/>
                    <a:ln w="9525">
                      <a:noFill/>
                      <a:miter lim="800000"/>
                      <a:headEnd/>
                      <a:tailEnd/>
                    </a:ln>
                  </pic:spPr>
                </pic:pic>
              </a:graphicData>
            </a:graphic>
          </wp:inline>
        </w:drawing>
      </w:r>
    </w:p>
    <w:p w:rsidR="00DB5E63" w:rsidRPr="00F77E74" w:rsidRDefault="00DB5E63" w:rsidP="00DB5E63">
      <w:pPr>
        <w:rPr>
          <w:sz w:val="22"/>
          <w:szCs w:val="22"/>
          <w:lang w:val="en-AU"/>
        </w:rPr>
      </w:pPr>
    </w:p>
    <w:p w:rsidR="00DB5E63" w:rsidRPr="00F77E74" w:rsidRDefault="00DB5E63" w:rsidP="00DB5E63">
      <w:pPr>
        <w:rPr>
          <w:sz w:val="22"/>
          <w:szCs w:val="22"/>
          <w:lang w:val="en-AU"/>
        </w:rPr>
      </w:pPr>
    </w:p>
    <w:p w:rsidR="00DD6BEB" w:rsidRDefault="00215DC0" w:rsidP="009E253B">
      <w:pPr>
        <w:pStyle w:val="ListParagraph"/>
        <w:keepNext/>
        <w:numPr>
          <w:ilvl w:val="0"/>
          <w:numId w:val="46"/>
        </w:numPr>
        <w:tabs>
          <w:tab w:val="left" w:pos="720"/>
        </w:tabs>
        <w:ind w:left="1134" w:hanging="1134"/>
        <w:rPr>
          <w:caps/>
          <w:sz w:val="28"/>
          <w:szCs w:val="28"/>
          <w:lang w:val="en-AU"/>
        </w:rPr>
      </w:pPr>
      <w:r w:rsidRPr="00496855">
        <w:rPr>
          <w:b/>
          <w:lang w:val="en-AU"/>
        </w:rPr>
        <w:tab/>
      </w:r>
      <w:r w:rsidR="00DD67D7" w:rsidRPr="00496855">
        <w:rPr>
          <w:b/>
          <w:sz w:val="28"/>
          <w:szCs w:val="28"/>
          <w:lang w:val="en-AU"/>
        </w:rPr>
        <w:t>Description</w:t>
      </w:r>
    </w:p>
    <w:p w:rsidR="00F94C11" w:rsidRPr="00450028" w:rsidRDefault="007F0C77" w:rsidP="001B4CDA">
      <w:pPr>
        <w:spacing w:before="120"/>
        <w:rPr>
          <w:sz w:val="22"/>
          <w:szCs w:val="22"/>
          <w:lang w:val="en-AU"/>
        </w:rPr>
      </w:pPr>
      <w:proofErr w:type="spellStart"/>
      <w:r w:rsidRPr="00450028">
        <w:rPr>
          <w:sz w:val="22"/>
          <w:szCs w:val="22"/>
          <w:lang w:val="en-AU"/>
        </w:rPr>
        <w:t>Pomalidomide</w:t>
      </w:r>
      <w:proofErr w:type="spellEnd"/>
      <w:r w:rsidR="00750B75" w:rsidRPr="00450028">
        <w:rPr>
          <w:sz w:val="22"/>
          <w:szCs w:val="22"/>
          <w:lang w:val="en-AU"/>
        </w:rPr>
        <w:t xml:space="preserve"> is </w:t>
      </w:r>
      <w:r w:rsidRPr="00450028">
        <w:rPr>
          <w:sz w:val="22"/>
          <w:szCs w:val="22"/>
          <w:lang w:val="en-AU"/>
        </w:rPr>
        <w:t xml:space="preserve">a </w:t>
      </w:r>
      <w:r w:rsidR="00750B75" w:rsidRPr="00450028">
        <w:rPr>
          <w:sz w:val="22"/>
          <w:szCs w:val="22"/>
          <w:lang w:val="en-AU"/>
        </w:rPr>
        <w:t xml:space="preserve">yellow </w:t>
      </w:r>
      <w:r w:rsidR="00450028" w:rsidRPr="00450028">
        <w:rPr>
          <w:sz w:val="22"/>
          <w:szCs w:val="22"/>
          <w:lang w:val="en-AU"/>
        </w:rPr>
        <w:t>solid powde</w:t>
      </w:r>
      <w:r w:rsidR="00450028">
        <w:rPr>
          <w:sz w:val="22"/>
          <w:szCs w:val="22"/>
          <w:lang w:val="en-AU"/>
        </w:rPr>
        <w:t>r</w:t>
      </w:r>
      <w:r w:rsidR="00450028" w:rsidRPr="00450028">
        <w:rPr>
          <w:sz w:val="22"/>
          <w:szCs w:val="22"/>
          <w:lang w:val="en-AU"/>
        </w:rPr>
        <w:t>.</w:t>
      </w:r>
      <w:r w:rsidR="00750B75" w:rsidRPr="00450028">
        <w:rPr>
          <w:sz w:val="22"/>
          <w:szCs w:val="22"/>
          <w:lang w:val="en-AU"/>
        </w:rPr>
        <w:t xml:space="preserve"> </w:t>
      </w:r>
      <w:r w:rsidR="00450028">
        <w:rPr>
          <w:sz w:val="22"/>
          <w:szCs w:val="22"/>
          <w:lang w:val="en-AU"/>
        </w:rPr>
        <w:t xml:space="preserve"> </w:t>
      </w:r>
      <w:r w:rsidR="00E4239F" w:rsidRPr="00E4239F">
        <w:rPr>
          <w:sz w:val="22"/>
          <w:szCs w:val="22"/>
        </w:rPr>
        <w:t>It is practically insoluble in water over the pH range 1</w:t>
      </w:r>
      <w:r w:rsidR="004948B6">
        <w:rPr>
          <w:sz w:val="22"/>
          <w:szCs w:val="22"/>
        </w:rPr>
        <w:t>.2-6.8</w:t>
      </w:r>
      <w:r w:rsidR="00E4239F" w:rsidRPr="00E4239F">
        <w:rPr>
          <w:sz w:val="22"/>
          <w:szCs w:val="22"/>
        </w:rPr>
        <w:t xml:space="preserve"> and is slightly soluble (</w:t>
      </w:r>
      <w:proofErr w:type="spellStart"/>
      <w:r w:rsidR="00E4239F" w:rsidRPr="00E4239F">
        <w:rPr>
          <w:sz w:val="22"/>
          <w:szCs w:val="22"/>
        </w:rPr>
        <w:t>eg</w:t>
      </w:r>
      <w:proofErr w:type="spellEnd"/>
      <w:r w:rsidR="00E4239F" w:rsidRPr="00E4239F">
        <w:rPr>
          <w:sz w:val="22"/>
          <w:szCs w:val="22"/>
        </w:rPr>
        <w:t xml:space="preserve">. acetone, methylene chloride) </w:t>
      </w:r>
      <w:proofErr w:type="gramStart"/>
      <w:r w:rsidR="00E4239F" w:rsidRPr="00E4239F">
        <w:rPr>
          <w:sz w:val="22"/>
          <w:szCs w:val="22"/>
        </w:rPr>
        <w:t>to</w:t>
      </w:r>
      <w:proofErr w:type="gramEnd"/>
      <w:r w:rsidR="00E4239F" w:rsidRPr="00E4239F">
        <w:rPr>
          <w:sz w:val="22"/>
          <w:szCs w:val="22"/>
        </w:rPr>
        <w:t xml:space="preserve"> practically insoluble (</w:t>
      </w:r>
      <w:proofErr w:type="spellStart"/>
      <w:r w:rsidR="00E4239F" w:rsidRPr="00E4239F">
        <w:rPr>
          <w:sz w:val="22"/>
          <w:szCs w:val="22"/>
        </w:rPr>
        <w:t>eg</w:t>
      </w:r>
      <w:proofErr w:type="spellEnd"/>
      <w:r w:rsidR="00E4239F" w:rsidRPr="00E4239F">
        <w:rPr>
          <w:sz w:val="22"/>
          <w:szCs w:val="22"/>
        </w:rPr>
        <w:t xml:space="preserve">. </w:t>
      </w:r>
      <w:proofErr w:type="spellStart"/>
      <w:r w:rsidR="00E4239F" w:rsidRPr="00E4239F">
        <w:rPr>
          <w:sz w:val="22"/>
          <w:szCs w:val="22"/>
        </w:rPr>
        <w:t>heptane</w:t>
      </w:r>
      <w:r w:rsidR="004948B6">
        <w:rPr>
          <w:sz w:val="22"/>
          <w:szCs w:val="22"/>
        </w:rPr>
        <w:t>s</w:t>
      </w:r>
      <w:proofErr w:type="spellEnd"/>
      <w:r w:rsidR="00E4239F" w:rsidRPr="00E4239F">
        <w:rPr>
          <w:sz w:val="22"/>
          <w:szCs w:val="22"/>
        </w:rPr>
        <w:t>, ethanol) in organic solvents.</w:t>
      </w:r>
      <w:r w:rsidR="00E4239F" w:rsidRPr="00A95E43">
        <w:t xml:space="preserve"> </w:t>
      </w:r>
      <w:r w:rsidR="00450028" w:rsidRPr="00450028">
        <w:rPr>
          <w:sz w:val="22"/>
          <w:szCs w:val="22"/>
        </w:rPr>
        <w:t xml:space="preserve">  </w:t>
      </w:r>
      <w:proofErr w:type="spellStart"/>
      <w:r w:rsidR="00450028" w:rsidRPr="00450028">
        <w:rPr>
          <w:sz w:val="22"/>
          <w:szCs w:val="22"/>
        </w:rPr>
        <w:t>Pomalidomide</w:t>
      </w:r>
      <w:proofErr w:type="spellEnd"/>
      <w:r w:rsidR="00450028" w:rsidRPr="00450028">
        <w:rPr>
          <w:sz w:val="22"/>
          <w:szCs w:val="22"/>
        </w:rPr>
        <w:t xml:space="preserve"> has a chiral carbon atom </w:t>
      </w:r>
      <w:r w:rsidR="00450028">
        <w:rPr>
          <w:sz w:val="22"/>
          <w:szCs w:val="22"/>
        </w:rPr>
        <w:t>and</w:t>
      </w:r>
      <w:r w:rsidR="00450028" w:rsidRPr="00450028">
        <w:rPr>
          <w:sz w:val="22"/>
          <w:szCs w:val="22"/>
        </w:rPr>
        <w:t xml:space="preserve"> exists as a racemic mixture of the </w:t>
      </w:r>
      <w:proofErr w:type="gramStart"/>
      <w:r w:rsidR="00450028" w:rsidRPr="00450028">
        <w:rPr>
          <w:sz w:val="22"/>
          <w:szCs w:val="22"/>
        </w:rPr>
        <w:t>R(</w:t>
      </w:r>
      <w:proofErr w:type="gramEnd"/>
      <w:r w:rsidR="00450028" w:rsidRPr="00450028">
        <w:rPr>
          <w:sz w:val="22"/>
          <w:szCs w:val="22"/>
        </w:rPr>
        <w:t>+) and S(-) enantiomers.</w:t>
      </w:r>
    </w:p>
    <w:p w:rsidR="004804A1" w:rsidRPr="00F77E74" w:rsidRDefault="004804A1" w:rsidP="00B0538E">
      <w:pPr>
        <w:pStyle w:val="C-TableHeader"/>
        <w:keepNext w:val="0"/>
        <w:spacing w:before="0" w:after="0"/>
        <w:rPr>
          <w:b w:val="0"/>
          <w:szCs w:val="22"/>
          <w:lang w:val="en-AU"/>
        </w:rPr>
      </w:pPr>
    </w:p>
    <w:p w:rsidR="00B0538E" w:rsidRPr="00E742BA" w:rsidRDefault="00B0538E" w:rsidP="00B0538E">
      <w:pPr>
        <w:keepNext/>
        <w:jc w:val="both"/>
        <w:rPr>
          <w:b/>
          <w:sz w:val="22"/>
          <w:szCs w:val="22"/>
          <w:lang w:val="en-AU"/>
        </w:rPr>
      </w:pPr>
      <w:r w:rsidRPr="00E742BA">
        <w:rPr>
          <w:b/>
          <w:sz w:val="22"/>
          <w:szCs w:val="22"/>
          <w:lang w:val="en-AU"/>
        </w:rPr>
        <w:t>L</w:t>
      </w:r>
      <w:r w:rsidR="00963047">
        <w:rPr>
          <w:b/>
          <w:sz w:val="22"/>
          <w:szCs w:val="22"/>
          <w:lang w:val="en-AU"/>
        </w:rPr>
        <w:t>ist of E</w:t>
      </w:r>
      <w:r w:rsidRPr="00E742BA">
        <w:rPr>
          <w:b/>
          <w:sz w:val="22"/>
          <w:szCs w:val="22"/>
          <w:lang w:val="en-AU"/>
        </w:rPr>
        <w:t>xcipients</w:t>
      </w:r>
    </w:p>
    <w:p w:rsidR="0046080E" w:rsidRDefault="0046080E" w:rsidP="0046080E">
      <w:pPr>
        <w:spacing w:before="120"/>
        <w:rPr>
          <w:sz w:val="22"/>
          <w:szCs w:val="22"/>
          <w:lang w:val="en-AU"/>
        </w:rPr>
      </w:pPr>
      <w:proofErr w:type="spellStart"/>
      <w:r w:rsidRPr="002F32EE">
        <w:rPr>
          <w:rFonts w:eastAsia="SimSun"/>
          <w:bCs/>
          <w:sz w:val="22"/>
          <w:szCs w:val="22"/>
          <w:lang w:val="en-AU" w:eastAsia="zh-CN"/>
        </w:rPr>
        <w:t>Pomalyst</w:t>
      </w:r>
      <w:proofErr w:type="spellEnd"/>
      <w:r w:rsidRPr="002F32EE">
        <w:rPr>
          <w:sz w:val="22"/>
          <w:szCs w:val="22"/>
          <w:lang w:val="en-AU"/>
        </w:rPr>
        <w:t xml:space="preserve"> </w:t>
      </w:r>
      <w:r>
        <w:rPr>
          <w:sz w:val="22"/>
          <w:szCs w:val="22"/>
          <w:lang w:val="en-AU"/>
        </w:rPr>
        <w:t xml:space="preserve">capsules contain </w:t>
      </w:r>
      <w:proofErr w:type="spellStart"/>
      <w:r>
        <w:rPr>
          <w:sz w:val="22"/>
          <w:szCs w:val="22"/>
          <w:lang w:val="en-AU"/>
        </w:rPr>
        <w:t>mannitol</w:t>
      </w:r>
      <w:proofErr w:type="spellEnd"/>
      <w:r>
        <w:rPr>
          <w:sz w:val="22"/>
          <w:szCs w:val="22"/>
          <w:lang w:val="en-AU"/>
        </w:rPr>
        <w:t xml:space="preserve">, </w:t>
      </w:r>
      <w:proofErr w:type="spellStart"/>
      <w:r>
        <w:rPr>
          <w:sz w:val="22"/>
          <w:szCs w:val="22"/>
          <w:lang w:val="en-AU"/>
        </w:rPr>
        <w:t>pregelatinised</w:t>
      </w:r>
      <w:proofErr w:type="spellEnd"/>
      <w:r>
        <w:rPr>
          <w:sz w:val="22"/>
          <w:szCs w:val="22"/>
          <w:lang w:val="en-AU"/>
        </w:rPr>
        <w:t xml:space="preserve"> starch and sodium </w:t>
      </w:r>
      <w:proofErr w:type="spellStart"/>
      <w:r>
        <w:rPr>
          <w:sz w:val="22"/>
          <w:szCs w:val="22"/>
          <w:lang w:val="en-AU"/>
        </w:rPr>
        <w:t>stearyl</w:t>
      </w:r>
      <w:proofErr w:type="spellEnd"/>
      <w:r>
        <w:rPr>
          <w:sz w:val="22"/>
          <w:szCs w:val="22"/>
          <w:lang w:val="en-AU"/>
        </w:rPr>
        <w:t xml:space="preserve"> </w:t>
      </w:r>
      <w:proofErr w:type="spellStart"/>
      <w:r>
        <w:rPr>
          <w:sz w:val="22"/>
          <w:szCs w:val="22"/>
          <w:lang w:val="en-AU"/>
        </w:rPr>
        <w:t>fumarate</w:t>
      </w:r>
      <w:proofErr w:type="spellEnd"/>
      <w:r>
        <w:rPr>
          <w:sz w:val="22"/>
          <w:szCs w:val="22"/>
          <w:lang w:val="en-AU"/>
        </w:rPr>
        <w:t xml:space="preserve"> as inactive ingredients.</w:t>
      </w:r>
    </w:p>
    <w:p w:rsidR="0046080E" w:rsidRDefault="0046080E" w:rsidP="0046080E">
      <w:pPr>
        <w:pStyle w:val="C-BodyText"/>
        <w:spacing w:after="0" w:line="240" w:lineRule="auto"/>
        <w:rPr>
          <w:sz w:val="22"/>
          <w:szCs w:val="22"/>
        </w:rPr>
      </w:pPr>
      <w:r w:rsidRPr="00987EA9">
        <w:rPr>
          <w:sz w:val="22"/>
          <w:szCs w:val="22"/>
          <w:lang w:val="en-AU"/>
        </w:rPr>
        <w:t xml:space="preserve">The </w:t>
      </w:r>
      <w:r w:rsidRPr="00987EA9">
        <w:rPr>
          <w:sz w:val="22"/>
          <w:szCs w:val="22"/>
        </w:rPr>
        <w:t xml:space="preserve">capsule shells contain gelatin, titanium dioxide and the following </w:t>
      </w:r>
      <w:proofErr w:type="spellStart"/>
      <w:r w:rsidRPr="00987EA9">
        <w:rPr>
          <w:sz w:val="22"/>
          <w:szCs w:val="22"/>
        </w:rPr>
        <w:t>colourants</w:t>
      </w:r>
      <w:proofErr w:type="spellEnd"/>
      <w:r w:rsidRPr="00987EA9">
        <w:rPr>
          <w:sz w:val="22"/>
          <w:szCs w:val="22"/>
        </w:rPr>
        <w:t xml:space="preserve">: </w:t>
      </w:r>
      <w:r>
        <w:rPr>
          <w:sz w:val="22"/>
          <w:szCs w:val="22"/>
        </w:rPr>
        <w:t xml:space="preserve">1 mg: </w:t>
      </w:r>
      <w:r w:rsidRPr="00987EA9">
        <w:rPr>
          <w:sz w:val="22"/>
          <w:szCs w:val="22"/>
        </w:rPr>
        <w:t>indigo carm</w:t>
      </w:r>
      <w:r>
        <w:rPr>
          <w:sz w:val="22"/>
          <w:szCs w:val="22"/>
        </w:rPr>
        <w:t xml:space="preserve">ine and yellow iron oxide; 2 mg: </w:t>
      </w:r>
      <w:r w:rsidRPr="00987EA9">
        <w:rPr>
          <w:sz w:val="22"/>
          <w:szCs w:val="22"/>
        </w:rPr>
        <w:t xml:space="preserve">indigo carmine, yellow iron oxide and </w:t>
      </w:r>
      <w:proofErr w:type="spellStart"/>
      <w:r w:rsidRPr="00987EA9">
        <w:rPr>
          <w:sz w:val="22"/>
          <w:szCs w:val="22"/>
        </w:rPr>
        <w:t>erythrosin</w:t>
      </w:r>
      <w:proofErr w:type="spellEnd"/>
      <w:r w:rsidRPr="00987EA9">
        <w:rPr>
          <w:sz w:val="22"/>
          <w:szCs w:val="22"/>
        </w:rPr>
        <w:t xml:space="preserve">; </w:t>
      </w:r>
      <w:r>
        <w:rPr>
          <w:sz w:val="22"/>
          <w:szCs w:val="22"/>
        </w:rPr>
        <w:t xml:space="preserve">3 mg: </w:t>
      </w:r>
      <w:r w:rsidRPr="00987EA9">
        <w:rPr>
          <w:sz w:val="22"/>
          <w:szCs w:val="22"/>
        </w:rPr>
        <w:t>Indigo carmine, yellow iron</w:t>
      </w:r>
      <w:r>
        <w:rPr>
          <w:sz w:val="22"/>
          <w:szCs w:val="22"/>
        </w:rPr>
        <w:t xml:space="preserve"> oxide and 4 mg: </w:t>
      </w:r>
      <w:r w:rsidR="00776F1F" w:rsidRPr="00987EA9">
        <w:rPr>
          <w:sz w:val="22"/>
          <w:szCs w:val="22"/>
        </w:rPr>
        <w:t>Indigo carmine</w:t>
      </w:r>
      <w:r w:rsidR="00776F1F" w:rsidRPr="00987EA9">
        <w:rPr>
          <w:sz w:val="22"/>
          <w:szCs w:val="22"/>
          <w:lang w:eastAsia="zh-CN"/>
        </w:rPr>
        <w:t xml:space="preserve"> </w:t>
      </w:r>
      <w:r w:rsidR="00776F1F">
        <w:rPr>
          <w:sz w:val="22"/>
          <w:szCs w:val="22"/>
          <w:lang w:eastAsia="zh-CN"/>
        </w:rPr>
        <w:t xml:space="preserve">and </w:t>
      </w:r>
      <w:r w:rsidRPr="00987EA9">
        <w:rPr>
          <w:sz w:val="22"/>
          <w:szCs w:val="22"/>
          <w:lang w:eastAsia="zh-CN"/>
        </w:rPr>
        <w:t>brilliant blue FCF</w:t>
      </w:r>
      <w:r w:rsidR="00776F1F">
        <w:rPr>
          <w:sz w:val="22"/>
          <w:szCs w:val="22"/>
        </w:rPr>
        <w:t>.</w:t>
      </w:r>
      <w:r w:rsidRPr="00987EA9">
        <w:rPr>
          <w:sz w:val="22"/>
          <w:szCs w:val="22"/>
        </w:rPr>
        <w:t xml:space="preserve">  </w:t>
      </w:r>
    </w:p>
    <w:p w:rsidR="00776F1F" w:rsidRDefault="0046080E" w:rsidP="0046080E">
      <w:pPr>
        <w:pStyle w:val="C-BodyText"/>
        <w:spacing w:after="0" w:line="240" w:lineRule="auto"/>
        <w:rPr>
          <w:sz w:val="22"/>
          <w:szCs w:val="22"/>
        </w:rPr>
      </w:pPr>
      <w:r w:rsidRPr="00987EA9">
        <w:rPr>
          <w:sz w:val="22"/>
          <w:szCs w:val="22"/>
        </w:rPr>
        <w:t>The</w:t>
      </w:r>
      <w:r>
        <w:rPr>
          <w:sz w:val="22"/>
          <w:szCs w:val="22"/>
        </w:rPr>
        <w:t xml:space="preserve"> </w:t>
      </w:r>
      <w:r w:rsidRPr="00987EA9">
        <w:rPr>
          <w:sz w:val="22"/>
          <w:szCs w:val="22"/>
        </w:rPr>
        <w:t>white ink</w:t>
      </w:r>
      <w:r>
        <w:rPr>
          <w:sz w:val="22"/>
          <w:szCs w:val="22"/>
        </w:rPr>
        <w:t xml:space="preserve"> used in 1 mg, 2 mg, 3 mg and 4 mg capsules </w:t>
      </w:r>
      <w:r w:rsidRPr="00987EA9">
        <w:rPr>
          <w:sz w:val="22"/>
          <w:szCs w:val="22"/>
        </w:rPr>
        <w:t>contain</w:t>
      </w:r>
      <w:r w:rsidR="00E4239F">
        <w:rPr>
          <w:sz w:val="22"/>
          <w:szCs w:val="22"/>
        </w:rPr>
        <w:t>s</w:t>
      </w:r>
      <w:r w:rsidRPr="00987EA9">
        <w:rPr>
          <w:sz w:val="22"/>
          <w:szCs w:val="22"/>
        </w:rPr>
        <w:t xml:space="preserve"> Shellac, titanium dioxide, </w:t>
      </w:r>
      <w:proofErr w:type="spellStart"/>
      <w:r w:rsidRPr="00987EA9">
        <w:rPr>
          <w:sz w:val="22"/>
          <w:szCs w:val="22"/>
        </w:rPr>
        <w:t>simethicone</w:t>
      </w:r>
      <w:proofErr w:type="spellEnd"/>
      <w:r w:rsidRPr="00987EA9">
        <w:rPr>
          <w:sz w:val="22"/>
          <w:szCs w:val="22"/>
        </w:rPr>
        <w:t>, p</w:t>
      </w:r>
      <w:r>
        <w:rPr>
          <w:sz w:val="22"/>
          <w:szCs w:val="22"/>
        </w:rPr>
        <w:t>ropylene glycol and</w:t>
      </w:r>
      <w:r w:rsidRPr="00987EA9">
        <w:rPr>
          <w:sz w:val="22"/>
          <w:szCs w:val="22"/>
        </w:rPr>
        <w:t xml:space="preserve"> ammonium hydroxide.  </w:t>
      </w:r>
    </w:p>
    <w:p w:rsidR="00B0538E" w:rsidRPr="004F5370" w:rsidRDefault="0046080E" w:rsidP="00776F1F">
      <w:pPr>
        <w:pStyle w:val="C-TableText"/>
        <w:spacing w:before="120" w:after="0"/>
      </w:pPr>
      <w:r>
        <w:rPr>
          <w:szCs w:val="22"/>
        </w:rPr>
        <w:t xml:space="preserve">The black ink used in the 1 mg capsule </w:t>
      </w:r>
      <w:r w:rsidRPr="00987EA9">
        <w:rPr>
          <w:szCs w:val="22"/>
        </w:rPr>
        <w:t xml:space="preserve">contains </w:t>
      </w:r>
      <w:r w:rsidR="00126CBC" w:rsidRPr="00987EA9">
        <w:rPr>
          <w:szCs w:val="22"/>
        </w:rPr>
        <w:t>Shellac,</w:t>
      </w:r>
      <w:r w:rsidR="00126CBC">
        <w:rPr>
          <w:szCs w:val="22"/>
        </w:rPr>
        <w:t xml:space="preserve"> </w:t>
      </w:r>
      <w:r w:rsidRPr="00987EA9">
        <w:rPr>
          <w:szCs w:val="22"/>
        </w:rPr>
        <w:t>iron oxide black</w:t>
      </w:r>
      <w:r w:rsidR="00126CBC">
        <w:rPr>
          <w:szCs w:val="22"/>
        </w:rPr>
        <w:t xml:space="preserve"> </w:t>
      </w:r>
      <w:r w:rsidR="00126CBC" w:rsidRPr="00987EA9">
        <w:rPr>
          <w:szCs w:val="22"/>
        </w:rPr>
        <w:t>p</w:t>
      </w:r>
      <w:r w:rsidR="00126CBC">
        <w:rPr>
          <w:szCs w:val="22"/>
        </w:rPr>
        <w:t>ropylene glycol and</w:t>
      </w:r>
      <w:r w:rsidR="00126CBC" w:rsidRPr="00987EA9">
        <w:rPr>
          <w:szCs w:val="22"/>
        </w:rPr>
        <w:t xml:space="preserve"> ammonium hydroxide</w:t>
      </w:r>
      <w:r w:rsidRPr="00987EA9">
        <w:rPr>
          <w:szCs w:val="22"/>
        </w:rPr>
        <w:t>.</w:t>
      </w:r>
    </w:p>
    <w:p w:rsidR="004A129A" w:rsidRDefault="004A129A" w:rsidP="00895ACB">
      <w:pPr>
        <w:pStyle w:val="C-TableText"/>
        <w:spacing w:before="0" w:after="0"/>
        <w:rPr>
          <w:lang w:val="en-AU"/>
        </w:rPr>
      </w:pPr>
    </w:p>
    <w:p w:rsidR="00F23B9B" w:rsidRPr="00F77E74" w:rsidRDefault="00F23B9B" w:rsidP="00895ACB">
      <w:pPr>
        <w:pStyle w:val="C-TableText"/>
        <w:spacing w:before="0" w:after="0"/>
        <w:rPr>
          <w:lang w:val="en-AU"/>
        </w:rPr>
      </w:pPr>
    </w:p>
    <w:p w:rsidR="00DD6BEB" w:rsidRDefault="00DD67D7" w:rsidP="00DD6BEB">
      <w:pPr>
        <w:pStyle w:val="C-TableHeader"/>
        <w:numPr>
          <w:ilvl w:val="0"/>
          <w:numId w:val="46"/>
        </w:numPr>
        <w:spacing w:before="0" w:after="0"/>
        <w:ind w:left="1134" w:hanging="1134"/>
        <w:rPr>
          <w:bCs/>
          <w:sz w:val="28"/>
          <w:szCs w:val="28"/>
          <w:lang w:val="en-AU"/>
        </w:rPr>
      </w:pPr>
      <w:r w:rsidRPr="000D5F35">
        <w:rPr>
          <w:bCs/>
          <w:sz w:val="28"/>
          <w:szCs w:val="28"/>
          <w:lang w:val="en-AU"/>
        </w:rPr>
        <w:t>Pharmacology</w:t>
      </w:r>
    </w:p>
    <w:p w:rsidR="00DD67D7" w:rsidRPr="00F77E74" w:rsidRDefault="00DD67D7" w:rsidP="009B1FEF">
      <w:pPr>
        <w:spacing w:before="120"/>
        <w:rPr>
          <w:sz w:val="22"/>
          <w:szCs w:val="22"/>
          <w:lang w:val="en-AU"/>
        </w:rPr>
      </w:pPr>
      <w:proofErr w:type="spellStart"/>
      <w:r w:rsidRPr="00F77E74">
        <w:rPr>
          <w:sz w:val="22"/>
          <w:szCs w:val="22"/>
          <w:lang w:val="en-AU"/>
        </w:rPr>
        <w:t>Pharmacotherapeutic</w:t>
      </w:r>
      <w:proofErr w:type="spellEnd"/>
      <w:r w:rsidRPr="00F77E74">
        <w:rPr>
          <w:sz w:val="22"/>
          <w:szCs w:val="22"/>
          <w:lang w:val="en-AU"/>
        </w:rPr>
        <w:t xml:space="preserve"> group: </w:t>
      </w:r>
      <w:proofErr w:type="spellStart"/>
      <w:r w:rsidRPr="00F77E74">
        <w:rPr>
          <w:sz w:val="22"/>
          <w:szCs w:val="22"/>
          <w:lang w:val="en-AU"/>
        </w:rPr>
        <w:t>Immunomodulating</w:t>
      </w:r>
      <w:proofErr w:type="spellEnd"/>
      <w:r w:rsidRPr="00F77E74">
        <w:rPr>
          <w:sz w:val="22"/>
          <w:szCs w:val="22"/>
          <w:lang w:val="en-AU"/>
        </w:rPr>
        <w:t xml:space="preserve"> agent.</w:t>
      </w:r>
    </w:p>
    <w:p w:rsidR="00EB51FF" w:rsidRPr="00F77E74" w:rsidRDefault="00EB51FF" w:rsidP="004475F5">
      <w:pPr>
        <w:rPr>
          <w:sz w:val="22"/>
          <w:szCs w:val="22"/>
          <w:lang w:val="en-AU"/>
        </w:rPr>
      </w:pPr>
    </w:p>
    <w:p w:rsidR="00307630" w:rsidRPr="009E253B" w:rsidRDefault="00496855" w:rsidP="00496855">
      <w:pPr>
        <w:keepNext/>
        <w:ind w:left="851" w:hanging="851"/>
        <w:rPr>
          <w:b/>
          <w:lang w:val="en-AU"/>
        </w:rPr>
      </w:pPr>
      <w:r w:rsidRPr="009E253B">
        <w:rPr>
          <w:b/>
          <w:lang w:val="en-AU"/>
        </w:rPr>
        <w:lastRenderedPageBreak/>
        <w:t>3.1</w:t>
      </w:r>
      <w:r w:rsidRPr="009E253B">
        <w:rPr>
          <w:b/>
          <w:lang w:val="en-AU"/>
        </w:rPr>
        <w:tab/>
      </w:r>
      <w:r w:rsidR="00307630" w:rsidRPr="009E253B">
        <w:rPr>
          <w:b/>
          <w:lang w:val="en-AU"/>
        </w:rPr>
        <w:t>Mechanism of action</w:t>
      </w:r>
    </w:p>
    <w:p w:rsidR="008A759D" w:rsidRDefault="00307630">
      <w:pPr>
        <w:spacing w:before="120"/>
        <w:rPr>
          <w:sz w:val="22"/>
          <w:szCs w:val="22"/>
          <w:lang w:val="en-AU"/>
        </w:rPr>
      </w:pPr>
      <w:proofErr w:type="spellStart"/>
      <w:r w:rsidRPr="00307630">
        <w:rPr>
          <w:sz w:val="22"/>
          <w:szCs w:val="22"/>
          <w:lang w:val="en-AU"/>
        </w:rPr>
        <w:t>Pomalidomide</w:t>
      </w:r>
      <w:proofErr w:type="spellEnd"/>
      <w:r w:rsidRPr="00307630">
        <w:rPr>
          <w:sz w:val="22"/>
          <w:szCs w:val="22"/>
          <w:lang w:val="en-AU"/>
        </w:rPr>
        <w:t xml:space="preserve"> has direct anti-myeloma </w:t>
      </w:r>
      <w:proofErr w:type="spellStart"/>
      <w:r w:rsidRPr="00307630">
        <w:rPr>
          <w:sz w:val="22"/>
          <w:szCs w:val="22"/>
          <w:lang w:val="en-AU"/>
        </w:rPr>
        <w:t>tumo</w:t>
      </w:r>
      <w:r>
        <w:rPr>
          <w:sz w:val="22"/>
          <w:szCs w:val="22"/>
          <w:lang w:val="en-AU"/>
        </w:rPr>
        <w:t>u</w:t>
      </w:r>
      <w:r w:rsidRPr="00307630">
        <w:rPr>
          <w:sz w:val="22"/>
          <w:szCs w:val="22"/>
          <w:lang w:val="en-AU"/>
        </w:rPr>
        <w:t>ricidal</w:t>
      </w:r>
      <w:proofErr w:type="spellEnd"/>
      <w:r w:rsidRPr="00307630">
        <w:rPr>
          <w:sz w:val="22"/>
          <w:szCs w:val="22"/>
          <w:lang w:val="en-AU"/>
        </w:rPr>
        <w:t xml:space="preserve"> activity, </w:t>
      </w:r>
      <w:proofErr w:type="spellStart"/>
      <w:r w:rsidRPr="00307630">
        <w:rPr>
          <w:sz w:val="22"/>
          <w:szCs w:val="22"/>
          <w:lang w:val="en-AU"/>
        </w:rPr>
        <w:t>immunomodulatory</w:t>
      </w:r>
      <w:proofErr w:type="spellEnd"/>
      <w:r w:rsidRPr="00307630">
        <w:rPr>
          <w:sz w:val="22"/>
          <w:szCs w:val="22"/>
          <w:lang w:val="en-AU"/>
        </w:rPr>
        <w:t xml:space="preserve"> activities and inhibits</w:t>
      </w:r>
      <w:r>
        <w:rPr>
          <w:sz w:val="22"/>
          <w:szCs w:val="22"/>
          <w:lang w:val="en-AU"/>
        </w:rPr>
        <w:t xml:space="preserve"> </w:t>
      </w:r>
      <w:r w:rsidRPr="00307630">
        <w:rPr>
          <w:sz w:val="22"/>
          <w:szCs w:val="22"/>
          <w:lang w:val="en-AU"/>
        </w:rPr>
        <w:t xml:space="preserve">stromal cell support for multiple myeloma </w:t>
      </w:r>
      <w:r w:rsidR="000F76EB">
        <w:rPr>
          <w:sz w:val="22"/>
          <w:szCs w:val="22"/>
          <w:lang w:val="en-AU"/>
        </w:rPr>
        <w:t xml:space="preserve">(MM) </w:t>
      </w:r>
      <w:r w:rsidRPr="00307630">
        <w:rPr>
          <w:sz w:val="22"/>
          <w:szCs w:val="22"/>
          <w:lang w:val="en-AU"/>
        </w:rPr>
        <w:t>tumour cell growth.</w:t>
      </w:r>
      <w:r w:rsidR="00895ACB">
        <w:rPr>
          <w:sz w:val="22"/>
          <w:szCs w:val="22"/>
          <w:lang w:val="en-AU"/>
        </w:rPr>
        <w:t xml:space="preserve"> </w:t>
      </w:r>
      <w:r w:rsidRPr="00307630">
        <w:rPr>
          <w:sz w:val="22"/>
          <w:szCs w:val="22"/>
          <w:lang w:val="en-AU"/>
        </w:rPr>
        <w:t xml:space="preserve"> Specifically, </w:t>
      </w:r>
      <w:proofErr w:type="spellStart"/>
      <w:r w:rsidRPr="00307630">
        <w:rPr>
          <w:sz w:val="22"/>
          <w:szCs w:val="22"/>
          <w:lang w:val="en-AU"/>
        </w:rPr>
        <w:t>pomalidomide</w:t>
      </w:r>
      <w:proofErr w:type="spellEnd"/>
      <w:r w:rsidRPr="00307630">
        <w:rPr>
          <w:sz w:val="22"/>
          <w:szCs w:val="22"/>
          <w:lang w:val="en-AU"/>
        </w:rPr>
        <w:t xml:space="preserve"> inhibits</w:t>
      </w:r>
      <w:r>
        <w:rPr>
          <w:sz w:val="22"/>
          <w:szCs w:val="22"/>
          <w:lang w:val="en-AU"/>
        </w:rPr>
        <w:t xml:space="preserve"> </w:t>
      </w:r>
      <w:r w:rsidRPr="00307630">
        <w:rPr>
          <w:sz w:val="22"/>
          <w:szCs w:val="22"/>
          <w:lang w:val="en-AU"/>
        </w:rPr>
        <w:t xml:space="preserve">proliferation and induces apoptosis of haematopoietic tumour cells. </w:t>
      </w:r>
      <w:r w:rsidR="00895ACB">
        <w:rPr>
          <w:sz w:val="22"/>
          <w:szCs w:val="22"/>
          <w:lang w:val="en-AU"/>
        </w:rPr>
        <w:t xml:space="preserve"> </w:t>
      </w:r>
      <w:r w:rsidRPr="00307630">
        <w:rPr>
          <w:sz w:val="22"/>
          <w:szCs w:val="22"/>
          <w:lang w:val="en-AU"/>
        </w:rPr>
        <w:t xml:space="preserve">Additionally, </w:t>
      </w:r>
      <w:proofErr w:type="spellStart"/>
      <w:r w:rsidRPr="00307630">
        <w:rPr>
          <w:sz w:val="22"/>
          <w:szCs w:val="22"/>
          <w:lang w:val="en-AU"/>
        </w:rPr>
        <w:t>pomalidomide</w:t>
      </w:r>
      <w:proofErr w:type="spellEnd"/>
      <w:r w:rsidRPr="00307630">
        <w:rPr>
          <w:sz w:val="22"/>
          <w:szCs w:val="22"/>
          <w:lang w:val="en-AU"/>
        </w:rPr>
        <w:t xml:space="preserve"> inhibits the</w:t>
      </w:r>
      <w:r>
        <w:rPr>
          <w:sz w:val="22"/>
          <w:szCs w:val="22"/>
          <w:lang w:val="en-AU"/>
        </w:rPr>
        <w:t xml:space="preserve"> </w:t>
      </w:r>
      <w:r w:rsidRPr="00307630">
        <w:rPr>
          <w:sz w:val="22"/>
          <w:szCs w:val="22"/>
          <w:lang w:val="en-AU"/>
        </w:rPr>
        <w:t xml:space="preserve">proliferation of </w:t>
      </w:r>
      <w:proofErr w:type="spellStart"/>
      <w:r w:rsidRPr="00307630">
        <w:rPr>
          <w:sz w:val="22"/>
          <w:szCs w:val="22"/>
          <w:lang w:val="en-AU"/>
        </w:rPr>
        <w:t>lenalidomide</w:t>
      </w:r>
      <w:proofErr w:type="spellEnd"/>
      <w:r w:rsidRPr="00307630">
        <w:rPr>
          <w:sz w:val="22"/>
          <w:szCs w:val="22"/>
          <w:lang w:val="en-AU"/>
        </w:rPr>
        <w:t>-resistant multiple myeloma cell lines and synergises with dexamethasone in</w:t>
      </w:r>
      <w:r>
        <w:rPr>
          <w:sz w:val="22"/>
          <w:szCs w:val="22"/>
          <w:lang w:val="en-AU"/>
        </w:rPr>
        <w:t xml:space="preserve"> </w:t>
      </w:r>
      <w:r w:rsidRPr="00307630">
        <w:rPr>
          <w:sz w:val="22"/>
          <w:szCs w:val="22"/>
          <w:lang w:val="en-AU"/>
        </w:rPr>
        <w:t xml:space="preserve">both </w:t>
      </w:r>
      <w:proofErr w:type="spellStart"/>
      <w:r w:rsidRPr="00307630">
        <w:rPr>
          <w:sz w:val="22"/>
          <w:szCs w:val="22"/>
          <w:lang w:val="en-AU"/>
        </w:rPr>
        <w:t>lenalidomide</w:t>
      </w:r>
      <w:proofErr w:type="spellEnd"/>
      <w:r w:rsidRPr="00307630">
        <w:rPr>
          <w:sz w:val="22"/>
          <w:szCs w:val="22"/>
          <w:lang w:val="en-AU"/>
        </w:rPr>
        <w:t xml:space="preserve">-sensitive and </w:t>
      </w:r>
      <w:proofErr w:type="spellStart"/>
      <w:r w:rsidRPr="00307630">
        <w:rPr>
          <w:sz w:val="22"/>
          <w:szCs w:val="22"/>
          <w:lang w:val="en-AU"/>
        </w:rPr>
        <w:t>lenalidomide</w:t>
      </w:r>
      <w:proofErr w:type="spellEnd"/>
      <w:r w:rsidRPr="00307630">
        <w:rPr>
          <w:sz w:val="22"/>
          <w:szCs w:val="22"/>
          <w:lang w:val="en-AU"/>
        </w:rPr>
        <w:t>-resistant cell lines to induce tumour cell apoptosis.</w:t>
      </w:r>
      <w:r>
        <w:rPr>
          <w:sz w:val="22"/>
          <w:szCs w:val="22"/>
          <w:lang w:val="en-AU"/>
        </w:rPr>
        <w:t xml:space="preserve"> </w:t>
      </w:r>
      <w:r w:rsidR="00895ACB">
        <w:rPr>
          <w:sz w:val="22"/>
          <w:szCs w:val="22"/>
          <w:lang w:val="en-AU"/>
        </w:rPr>
        <w:t xml:space="preserve"> </w:t>
      </w:r>
      <w:proofErr w:type="spellStart"/>
      <w:r w:rsidRPr="00307630">
        <w:rPr>
          <w:sz w:val="22"/>
          <w:szCs w:val="22"/>
          <w:lang w:val="en-AU"/>
        </w:rPr>
        <w:t>Pomalidomide</w:t>
      </w:r>
      <w:proofErr w:type="spellEnd"/>
      <w:r w:rsidRPr="00307630">
        <w:rPr>
          <w:sz w:val="22"/>
          <w:szCs w:val="22"/>
          <w:lang w:val="en-AU"/>
        </w:rPr>
        <w:t xml:space="preserve"> enhances T cell- and natural killer (NK) cell-mediated immunity and inhibits production of</w:t>
      </w:r>
      <w:r>
        <w:rPr>
          <w:sz w:val="22"/>
          <w:szCs w:val="22"/>
          <w:lang w:val="en-AU"/>
        </w:rPr>
        <w:t xml:space="preserve"> </w:t>
      </w:r>
      <w:r w:rsidRPr="00307630">
        <w:rPr>
          <w:sz w:val="22"/>
          <w:szCs w:val="22"/>
          <w:lang w:val="en-AU"/>
        </w:rPr>
        <w:t>pro-inflammatory cytokines (e.g., TNF-</w:t>
      </w:r>
      <w:proofErr w:type="gramStart"/>
      <w:r w:rsidRPr="00307630">
        <w:rPr>
          <w:sz w:val="22"/>
          <w:szCs w:val="22"/>
          <w:lang w:val="en-AU"/>
        </w:rPr>
        <w:t>α and</w:t>
      </w:r>
      <w:proofErr w:type="gramEnd"/>
      <w:r w:rsidRPr="00307630">
        <w:rPr>
          <w:sz w:val="22"/>
          <w:szCs w:val="22"/>
          <w:lang w:val="en-AU"/>
        </w:rPr>
        <w:t xml:space="preserve"> IL-6) by monocytes.</w:t>
      </w:r>
      <w:r w:rsidR="001B37B7">
        <w:rPr>
          <w:sz w:val="22"/>
          <w:szCs w:val="22"/>
          <w:lang w:val="en-AU"/>
        </w:rPr>
        <w:t xml:space="preserve"> </w:t>
      </w:r>
      <w:r w:rsidRPr="00307630">
        <w:rPr>
          <w:sz w:val="22"/>
          <w:szCs w:val="22"/>
          <w:lang w:val="en-AU"/>
        </w:rPr>
        <w:t xml:space="preserve"> </w:t>
      </w:r>
      <w:proofErr w:type="spellStart"/>
      <w:r w:rsidRPr="00307630">
        <w:rPr>
          <w:sz w:val="22"/>
          <w:szCs w:val="22"/>
          <w:lang w:val="en-AU"/>
        </w:rPr>
        <w:t>Pomalidomide</w:t>
      </w:r>
      <w:proofErr w:type="spellEnd"/>
      <w:r w:rsidRPr="00307630">
        <w:rPr>
          <w:sz w:val="22"/>
          <w:szCs w:val="22"/>
          <w:lang w:val="en-AU"/>
        </w:rPr>
        <w:t xml:space="preserve"> </w:t>
      </w:r>
      <w:r w:rsidR="00775A85">
        <w:rPr>
          <w:sz w:val="22"/>
          <w:szCs w:val="22"/>
          <w:lang w:val="en-AU"/>
        </w:rPr>
        <w:t>demonstrated anti-</w:t>
      </w:r>
      <w:proofErr w:type="spellStart"/>
      <w:r w:rsidR="00775A85">
        <w:rPr>
          <w:sz w:val="22"/>
          <w:szCs w:val="22"/>
          <w:lang w:val="en-AU"/>
        </w:rPr>
        <w:t>angiogenic</w:t>
      </w:r>
      <w:proofErr w:type="spellEnd"/>
      <w:r w:rsidR="00775A85">
        <w:rPr>
          <w:sz w:val="22"/>
          <w:szCs w:val="22"/>
          <w:lang w:val="en-AU"/>
        </w:rPr>
        <w:t xml:space="preserve"> activity in a mouse tumour model and the </w:t>
      </w:r>
      <w:r w:rsidR="00775A85" w:rsidRPr="00B74618">
        <w:rPr>
          <w:i/>
          <w:sz w:val="22"/>
          <w:szCs w:val="22"/>
          <w:lang w:val="en-AU"/>
        </w:rPr>
        <w:t>in vitro</w:t>
      </w:r>
      <w:r w:rsidR="00775A85">
        <w:rPr>
          <w:sz w:val="22"/>
          <w:szCs w:val="22"/>
          <w:lang w:val="en-AU"/>
        </w:rPr>
        <w:t xml:space="preserve"> umbilical cord model.</w:t>
      </w:r>
      <w:r w:rsidR="00775A85" w:rsidRPr="00307630">
        <w:rPr>
          <w:sz w:val="22"/>
          <w:szCs w:val="22"/>
          <w:lang w:val="en-AU"/>
        </w:rPr>
        <w:t xml:space="preserve"> </w:t>
      </w:r>
    </w:p>
    <w:p w:rsidR="00E572F9" w:rsidRDefault="00E572F9" w:rsidP="00E572F9">
      <w:pPr>
        <w:rPr>
          <w:sz w:val="22"/>
          <w:szCs w:val="22"/>
          <w:lang w:val="en-AU"/>
        </w:rPr>
      </w:pPr>
    </w:p>
    <w:p w:rsidR="00DD67D7" w:rsidRPr="009E253B" w:rsidRDefault="00496855" w:rsidP="00496855">
      <w:pPr>
        <w:keepNext/>
        <w:ind w:left="851" w:hanging="851"/>
        <w:jc w:val="both"/>
        <w:rPr>
          <w:lang w:val="en-AU"/>
        </w:rPr>
      </w:pPr>
      <w:r w:rsidRPr="009E253B">
        <w:rPr>
          <w:b/>
          <w:lang w:val="en-AU"/>
        </w:rPr>
        <w:t>3.2</w:t>
      </w:r>
      <w:r w:rsidRPr="009E253B">
        <w:rPr>
          <w:b/>
          <w:lang w:val="en-AU"/>
        </w:rPr>
        <w:tab/>
      </w:r>
      <w:r w:rsidR="00DD67D7" w:rsidRPr="009E253B">
        <w:rPr>
          <w:b/>
          <w:lang w:val="en-AU"/>
        </w:rPr>
        <w:t>Pharmacokinetic properties</w:t>
      </w:r>
    </w:p>
    <w:p w:rsidR="00307630" w:rsidRPr="00205FF6" w:rsidRDefault="00496855" w:rsidP="00496855">
      <w:pPr>
        <w:keepNext/>
        <w:spacing w:before="120"/>
        <w:ind w:left="567" w:hanging="567"/>
        <w:rPr>
          <w:b/>
          <w:sz w:val="22"/>
          <w:szCs w:val="22"/>
          <w:lang w:val="en-AU"/>
        </w:rPr>
      </w:pPr>
      <w:r w:rsidRPr="00205FF6">
        <w:rPr>
          <w:b/>
          <w:sz w:val="22"/>
          <w:szCs w:val="22"/>
          <w:lang w:val="en-AU"/>
        </w:rPr>
        <w:t>3.2.1</w:t>
      </w:r>
      <w:r w:rsidRPr="00205FF6">
        <w:rPr>
          <w:b/>
          <w:sz w:val="22"/>
          <w:szCs w:val="22"/>
          <w:lang w:val="en-AU"/>
        </w:rPr>
        <w:tab/>
      </w:r>
      <w:r w:rsidR="00307630" w:rsidRPr="00205FF6">
        <w:rPr>
          <w:b/>
          <w:sz w:val="22"/>
          <w:szCs w:val="22"/>
          <w:lang w:val="en-AU"/>
        </w:rPr>
        <w:t>Absorption</w:t>
      </w:r>
    </w:p>
    <w:p w:rsidR="00307630" w:rsidRDefault="00307630" w:rsidP="00C22942">
      <w:pPr>
        <w:spacing w:before="120"/>
        <w:rPr>
          <w:sz w:val="22"/>
          <w:szCs w:val="22"/>
          <w:lang w:val="en-AU"/>
        </w:rPr>
      </w:pPr>
      <w:proofErr w:type="spellStart"/>
      <w:r w:rsidRPr="00307630">
        <w:rPr>
          <w:sz w:val="22"/>
          <w:szCs w:val="22"/>
          <w:lang w:val="en-AU"/>
        </w:rPr>
        <w:t>Pomalidomide</w:t>
      </w:r>
      <w:proofErr w:type="spellEnd"/>
      <w:r w:rsidRPr="00307630">
        <w:rPr>
          <w:sz w:val="22"/>
          <w:szCs w:val="22"/>
          <w:lang w:val="en-AU"/>
        </w:rPr>
        <w:t xml:space="preserve"> is absorbed with a maximum plasma concentration (</w:t>
      </w:r>
      <w:proofErr w:type="spellStart"/>
      <w:r w:rsidRPr="00307630">
        <w:rPr>
          <w:sz w:val="22"/>
          <w:szCs w:val="22"/>
          <w:lang w:val="en-AU"/>
        </w:rPr>
        <w:t>C</w:t>
      </w:r>
      <w:r w:rsidRPr="00307630">
        <w:rPr>
          <w:sz w:val="22"/>
          <w:szCs w:val="22"/>
          <w:vertAlign w:val="subscript"/>
          <w:lang w:val="en-AU"/>
        </w:rPr>
        <w:t>max</w:t>
      </w:r>
      <w:proofErr w:type="spellEnd"/>
      <w:r>
        <w:rPr>
          <w:sz w:val="22"/>
          <w:szCs w:val="22"/>
          <w:lang w:val="en-AU"/>
        </w:rPr>
        <w:t>) occurring between 2 and 3 </w:t>
      </w:r>
      <w:r w:rsidRPr="00307630">
        <w:rPr>
          <w:sz w:val="22"/>
          <w:szCs w:val="22"/>
          <w:lang w:val="en-AU"/>
        </w:rPr>
        <w:t>hours</w:t>
      </w:r>
      <w:r>
        <w:rPr>
          <w:sz w:val="22"/>
          <w:szCs w:val="22"/>
          <w:lang w:val="en-AU"/>
        </w:rPr>
        <w:t xml:space="preserve"> </w:t>
      </w:r>
      <w:r w:rsidRPr="00307630">
        <w:rPr>
          <w:sz w:val="22"/>
          <w:szCs w:val="22"/>
          <w:lang w:val="en-AU"/>
        </w:rPr>
        <w:t xml:space="preserve">and is </w:t>
      </w:r>
      <w:r w:rsidR="004178BA">
        <w:rPr>
          <w:sz w:val="22"/>
          <w:szCs w:val="22"/>
          <w:lang w:val="en-AU"/>
        </w:rPr>
        <w:t>&gt;</w:t>
      </w:r>
      <w:r w:rsidRPr="00307630">
        <w:rPr>
          <w:sz w:val="22"/>
          <w:szCs w:val="22"/>
          <w:lang w:val="en-AU"/>
        </w:rPr>
        <w:t xml:space="preserve"> 7</w:t>
      </w:r>
      <w:r w:rsidR="004178BA">
        <w:rPr>
          <w:sz w:val="22"/>
          <w:szCs w:val="22"/>
          <w:lang w:val="en-AU"/>
        </w:rPr>
        <w:t>0</w:t>
      </w:r>
      <w:r w:rsidRPr="00307630">
        <w:rPr>
          <w:sz w:val="22"/>
          <w:szCs w:val="22"/>
          <w:lang w:val="en-AU"/>
        </w:rPr>
        <w:t xml:space="preserve">% absorbed following administration of single oral dose. </w:t>
      </w:r>
      <w:r w:rsidR="001B37B7">
        <w:rPr>
          <w:sz w:val="22"/>
          <w:szCs w:val="22"/>
          <w:lang w:val="en-AU"/>
        </w:rPr>
        <w:t xml:space="preserve"> </w:t>
      </w:r>
      <w:r w:rsidRPr="00307630">
        <w:rPr>
          <w:sz w:val="22"/>
          <w:szCs w:val="22"/>
          <w:lang w:val="en-AU"/>
        </w:rPr>
        <w:t>The systemic exposure (AUC) of</w:t>
      </w:r>
      <w:r>
        <w:rPr>
          <w:sz w:val="22"/>
          <w:szCs w:val="22"/>
          <w:lang w:val="en-AU"/>
        </w:rPr>
        <w:t xml:space="preserve"> </w:t>
      </w:r>
      <w:proofErr w:type="spellStart"/>
      <w:r w:rsidRPr="00307630">
        <w:rPr>
          <w:sz w:val="22"/>
          <w:szCs w:val="22"/>
          <w:lang w:val="en-AU"/>
        </w:rPr>
        <w:t>pomalidomide</w:t>
      </w:r>
      <w:proofErr w:type="spellEnd"/>
      <w:r w:rsidRPr="00307630">
        <w:rPr>
          <w:sz w:val="22"/>
          <w:szCs w:val="22"/>
          <w:lang w:val="en-AU"/>
        </w:rPr>
        <w:t xml:space="preserve"> increases in an approximately dose proportional manner. </w:t>
      </w:r>
      <w:r w:rsidR="001B37B7">
        <w:rPr>
          <w:sz w:val="22"/>
          <w:szCs w:val="22"/>
          <w:lang w:val="en-AU"/>
        </w:rPr>
        <w:t xml:space="preserve"> </w:t>
      </w:r>
      <w:r w:rsidR="000E6961">
        <w:rPr>
          <w:sz w:val="22"/>
          <w:szCs w:val="22"/>
          <w:lang w:val="en-AU"/>
        </w:rPr>
        <w:t xml:space="preserve">Following multiple doses, </w:t>
      </w:r>
      <w:proofErr w:type="spellStart"/>
      <w:r w:rsidR="000E6961">
        <w:rPr>
          <w:sz w:val="22"/>
          <w:szCs w:val="22"/>
          <w:lang w:val="en-AU"/>
        </w:rPr>
        <w:t>pomalidomide</w:t>
      </w:r>
      <w:proofErr w:type="spellEnd"/>
      <w:r w:rsidR="000E6961">
        <w:rPr>
          <w:sz w:val="22"/>
          <w:szCs w:val="22"/>
          <w:lang w:val="en-AU"/>
        </w:rPr>
        <w:t xml:space="preserve"> has an a</w:t>
      </w:r>
      <w:r w:rsidRPr="00307630">
        <w:rPr>
          <w:sz w:val="22"/>
          <w:szCs w:val="22"/>
          <w:lang w:val="en-AU"/>
        </w:rPr>
        <w:t xml:space="preserve">ccumulation </w:t>
      </w:r>
      <w:r w:rsidR="000E6961">
        <w:rPr>
          <w:sz w:val="22"/>
          <w:szCs w:val="22"/>
          <w:lang w:val="en-AU"/>
        </w:rPr>
        <w:t xml:space="preserve">ratio of 27 to 31%. </w:t>
      </w:r>
    </w:p>
    <w:p w:rsidR="00307630" w:rsidRPr="00307630" w:rsidRDefault="00307630" w:rsidP="00307630">
      <w:pPr>
        <w:rPr>
          <w:sz w:val="22"/>
          <w:szCs w:val="22"/>
          <w:lang w:val="en-AU"/>
        </w:rPr>
      </w:pPr>
    </w:p>
    <w:p w:rsidR="0036735B" w:rsidRDefault="00307630" w:rsidP="004F038A">
      <w:pPr>
        <w:autoSpaceDE w:val="0"/>
        <w:autoSpaceDN w:val="0"/>
        <w:adjustRightInd w:val="0"/>
        <w:rPr>
          <w:sz w:val="22"/>
          <w:szCs w:val="22"/>
          <w:lang w:val="en-AU"/>
        </w:rPr>
      </w:pPr>
      <w:proofErr w:type="spellStart"/>
      <w:r w:rsidRPr="00307630">
        <w:rPr>
          <w:sz w:val="22"/>
          <w:szCs w:val="22"/>
          <w:lang w:val="en-AU"/>
        </w:rPr>
        <w:t>Coadministration</w:t>
      </w:r>
      <w:proofErr w:type="spellEnd"/>
      <w:r w:rsidRPr="00307630">
        <w:rPr>
          <w:sz w:val="22"/>
          <w:szCs w:val="22"/>
          <w:lang w:val="en-AU"/>
        </w:rPr>
        <w:t xml:space="preserve"> with a high-fat and high-calorie meal slows the rate of absorption, decreasing plasma </w:t>
      </w:r>
      <w:proofErr w:type="spellStart"/>
      <w:r w:rsidRPr="00307630">
        <w:rPr>
          <w:sz w:val="22"/>
          <w:szCs w:val="22"/>
          <w:lang w:val="en-AU"/>
        </w:rPr>
        <w:t>C</w:t>
      </w:r>
      <w:r w:rsidRPr="00307630">
        <w:rPr>
          <w:sz w:val="22"/>
          <w:szCs w:val="22"/>
          <w:vertAlign w:val="subscript"/>
          <w:lang w:val="en-AU"/>
        </w:rPr>
        <w:t>max</w:t>
      </w:r>
      <w:proofErr w:type="spellEnd"/>
      <w:r>
        <w:rPr>
          <w:sz w:val="22"/>
          <w:szCs w:val="22"/>
          <w:lang w:val="en-AU"/>
        </w:rPr>
        <w:t xml:space="preserve"> </w:t>
      </w:r>
      <w:r w:rsidRPr="00307630">
        <w:rPr>
          <w:sz w:val="22"/>
          <w:szCs w:val="22"/>
          <w:lang w:val="en-AU"/>
        </w:rPr>
        <w:t>by approximately 25%, but has minimal effect on the overall extent of absorption with an 8% decrease in</w:t>
      </w:r>
      <w:r>
        <w:rPr>
          <w:sz w:val="22"/>
          <w:szCs w:val="22"/>
          <w:lang w:val="en-AU"/>
        </w:rPr>
        <w:t xml:space="preserve"> </w:t>
      </w:r>
      <w:r w:rsidRPr="00307630">
        <w:rPr>
          <w:sz w:val="22"/>
          <w:szCs w:val="22"/>
          <w:lang w:val="en-AU"/>
        </w:rPr>
        <w:t xml:space="preserve">AUC. </w:t>
      </w:r>
      <w:r w:rsidR="001B37B7">
        <w:rPr>
          <w:sz w:val="22"/>
          <w:szCs w:val="22"/>
          <w:lang w:val="en-AU"/>
        </w:rPr>
        <w:t xml:space="preserve"> </w:t>
      </w:r>
    </w:p>
    <w:p w:rsidR="0036735B" w:rsidRDefault="0036735B" w:rsidP="00307630">
      <w:pPr>
        <w:rPr>
          <w:sz w:val="22"/>
          <w:szCs w:val="22"/>
          <w:lang w:val="en-AU"/>
        </w:rPr>
      </w:pPr>
    </w:p>
    <w:p w:rsidR="00307630" w:rsidRPr="00205FF6" w:rsidRDefault="00496855" w:rsidP="00496855">
      <w:pPr>
        <w:keepNext/>
        <w:ind w:left="567" w:hanging="567"/>
        <w:rPr>
          <w:b/>
          <w:sz w:val="22"/>
          <w:szCs w:val="22"/>
          <w:lang w:val="en-AU"/>
        </w:rPr>
      </w:pPr>
      <w:r w:rsidRPr="00205FF6">
        <w:rPr>
          <w:b/>
          <w:sz w:val="22"/>
          <w:szCs w:val="22"/>
          <w:lang w:val="en-AU"/>
        </w:rPr>
        <w:t>3.2.2</w:t>
      </w:r>
      <w:r w:rsidRPr="00205FF6">
        <w:rPr>
          <w:b/>
          <w:sz w:val="22"/>
          <w:szCs w:val="22"/>
          <w:lang w:val="en-AU"/>
        </w:rPr>
        <w:tab/>
      </w:r>
      <w:r w:rsidR="00307630" w:rsidRPr="00205FF6">
        <w:rPr>
          <w:b/>
          <w:sz w:val="22"/>
          <w:szCs w:val="22"/>
          <w:lang w:val="en-AU"/>
        </w:rPr>
        <w:t>Distribution</w:t>
      </w:r>
    </w:p>
    <w:p w:rsidR="00307630" w:rsidRPr="00307630" w:rsidRDefault="00307630" w:rsidP="001B37B7">
      <w:pPr>
        <w:spacing w:before="120"/>
        <w:rPr>
          <w:sz w:val="22"/>
          <w:szCs w:val="22"/>
          <w:lang w:val="en-AU"/>
        </w:rPr>
      </w:pPr>
      <w:proofErr w:type="spellStart"/>
      <w:r w:rsidRPr="00307630">
        <w:rPr>
          <w:sz w:val="22"/>
          <w:szCs w:val="22"/>
          <w:lang w:val="en-AU"/>
        </w:rPr>
        <w:t>Pomalidomide</w:t>
      </w:r>
      <w:proofErr w:type="spellEnd"/>
      <w:r w:rsidRPr="00307630">
        <w:rPr>
          <w:sz w:val="22"/>
          <w:szCs w:val="22"/>
          <w:lang w:val="en-AU"/>
        </w:rPr>
        <w:t xml:space="preserve"> has a mean apparent volume of distrib</w:t>
      </w:r>
      <w:r>
        <w:rPr>
          <w:sz w:val="22"/>
          <w:szCs w:val="22"/>
          <w:lang w:val="en-AU"/>
        </w:rPr>
        <w:t>ution (</w:t>
      </w:r>
      <w:proofErr w:type="spellStart"/>
      <w:r>
        <w:rPr>
          <w:sz w:val="22"/>
          <w:szCs w:val="22"/>
          <w:lang w:val="en-AU"/>
        </w:rPr>
        <w:t>Vd</w:t>
      </w:r>
      <w:proofErr w:type="spellEnd"/>
      <w:r>
        <w:rPr>
          <w:sz w:val="22"/>
          <w:szCs w:val="22"/>
          <w:lang w:val="en-AU"/>
        </w:rPr>
        <w:t>/F) between 62 and 138 </w:t>
      </w:r>
      <w:r w:rsidRPr="00307630">
        <w:rPr>
          <w:sz w:val="22"/>
          <w:szCs w:val="22"/>
          <w:lang w:val="en-AU"/>
        </w:rPr>
        <w:t>L at steady state.</w:t>
      </w:r>
      <w:r w:rsidR="001B37B7">
        <w:rPr>
          <w:sz w:val="22"/>
          <w:szCs w:val="22"/>
          <w:lang w:val="en-AU"/>
        </w:rPr>
        <w:t xml:space="preserve">  </w:t>
      </w:r>
      <w:proofErr w:type="spellStart"/>
      <w:r w:rsidRPr="00307630">
        <w:rPr>
          <w:sz w:val="22"/>
          <w:szCs w:val="22"/>
          <w:lang w:val="en-AU"/>
        </w:rPr>
        <w:t>Pomalidomide</w:t>
      </w:r>
      <w:proofErr w:type="spellEnd"/>
      <w:r w:rsidRPr="00307630">
        <w:rPr>
          <w:sz w:val="22"/>
          <w:szCs w:val="22"/>
          <w:lang w:val="en-AU"/>
        </w:rPr>
        <w:t xml:space="preserve"> is distributed in semen of healthy subjects at a concentration of approximately 67% of plasma</w:t>
      </w:r>
      <w:r>
        <w:rPr>
          <w:sz w:val="22"/>
          <w:szCs w:val="22"/>
          <w:lang w:val="en-AU"/>
        </w:rPr>
        <w:t xml:space="preserve"> level at 4 </w:t>
      </w:r>
      <w:r w:rsidRPr="00307630">
        <w:rPr>
          <w:sz w:val="22"/>
          <w:szCs w:val="22"/>
          <w:lang w:val="en-AU"/>
        </w:rPr>
        <w:t xml:space="preserve">hours post-dose (approximately </w:t>
      </w:r>
      <w:proofErr w:type="spellStart"/>
      <w:r w:rsidRPr="00307630">
        <w:rPr>
          <w:sz w:val="22"/>
          <w:szCs w:val="22"/>
          <w:lang w:val="en-AU"/>
        </w:rPr>
        <w:t>T</w:t>
      </w:r>
      <w:r w:rsidRPr="00307630">
        <w:rPr>
          <w:sz w:val="22"/>
          <w:szCs w:val="22"/>
          <w:vertAlign w:val="subscript"/>
          <w:lang w:val="en-AU"/>
        </w:rPr>
        <w:t>max</w:t>
      </w:r>
      <w:proofErr w:type="spellEnd"/>
      <w:r w:rsidR="00110D66">
        <w:rPr>
          <w:sz w:val="22"/>
          <w:szCs w:val="22"/>
          <w:lang w:val="en-AU"/>
        </w:rPr>
        <w:t>) after 4 </w:t>
      </w:r>
      <w:r w:rsidRPr="00307630">
        <w:rPr>
          <w:sz w:val="22"/>
          <w:szCs w:val="22"/>
          <w:lang w:val="en-AU"/>
        </w:rPr>
        <w:t>days of once daily dosing at 4</w:t>
      </w:r>
      <w:r>
        <w:rPr>
          <w:sz w:val="22"/>
          <w:szCs w:val="22"/>
          <w:lang w:val="en-AU"/>
        </w:rPr>
        <w:t xml:space="preserve"> mg. </w:t>
      </w:r>
      <w:r w:rsidR="00974F35">
        <w:rPr>
          <w:sz w:val="22"/>
          <w:szCs w:val="22"/>
          <w:lang w:val="en-AU"/>
        </w:rPr>
        <w:t xml:space="preserve"> </w:t>
      </w:r>
      <w:r w:rsidRPr="00307630">
        <w:rPr>
          <w:i/>
          <w:sz w:val="22"/>
          <w:szCs w:val="22"/>
          <w:lang w:val="en-AU"/>
        </w:rPr>
        <w:t>In vitro</w:t>
      </w:r>
      <w:r w:rsidRPr="00307630">
        <w:rPr>
          <w:sz w:val="22"/>
          <w:szCs w:val="22"/>
          <w:lang w:val="en-AU"/>
        </w:rPr>
        <w:t xml:space="preserve"> binding of</w:t>
      </w:r>
      <w:r>
        <w:rPr>
          <w:sz w:val="22"/>
          <w:szCs w:val="22"/>
          <w:lang w:val="en-AU"/>
        </w:rPr>
        <w:t xml:space="preserve"> </w:t>
      </w:r>
      <w:proofErr w:type="spellStart"/>
      <w:r w:rsidRPr="00307630">
        <w:rPr>
          <w:sz w:val="22"/>
          <w:szCs w:val="22"/>
          <w:lang w:val="en-AU"/>
        </w:rPr>
        <w:t>pomalidomide</w:t>
      </w:r>
      <w:proofErr w:type="spellEnd"/>
      <w:r w:rsidRPr="00307630">
        <w:rPr>
          <w:sz w:val="22"/>
          <w:szCs w:val="22"/>
          <w:lang w:val="en-AU"/>
        </w:rPr>
        <w:t xml:space="preserve"> enantiomers to proteins in human plasma ranges from 12% to 44% and is not concentration</w:t>
      </w:r>
      <w:r w:rsidR="00110D66">
        <w:rPr>
          <w:sz w:val="22"/>
          <w:szCs w:val="22"/>
          <w:lang w:val="en-AU"/>
        </w:rPr>
        <w:t>-</w:t>
      </w:r>
      <w:r w:rsidRPr="00307630">
        <w:rPr>
          <w:sz w:val="22"/>
          <w:szCs w:val="22"/>
          <w:lang w:val="en-AU"/>
        </w:rPr>
        <w:t>dependent.</w:t>
      </w:r>
    </w:p>
    <w:p w:rsidR="00307630" w:rsidRDefault="00307630" w:rsidP="00307630">
      <w:pPr>
        <w:rPr>
          <w:sz w:val="22"/>
          <w:szCs w:val="22"/>
          <w:lang w:val="en-AU"/>
        </w:rPr>
      </w:pPr>
    </w:p>
    <w:p w:rsidR="00307630" w:rsidRPr="00205FF6" w:rsidRDefault="00496855" w:rsidP="00496855">
      <w:pPr>
        <w:keepNext/>
        <w:ind w:left="567" w:hanging="567"/>
        <w:rPr>
          <w:b/>
          <w:sz w:val="22"/>
          <w:szCs w:val="22"/>
          <w:lang w:val="en-AU"/>
        </w:rPr>
      </w:pPr>
      <w:r w:rsidRPr="00205FF6">
        <w:rPr>
          <w:b/>
          <w:sz w:val="22"/>
          <w:szCs w:val="22"/>
          <w:lang w:val="en-AU"/>
        </w:rPr>
        <w:t>3.2.3</w:t>
      </w:r>
      <w:r w:rsidRPr="00205FF6">
        <w:rPr>
          <w:b/>
          <w:sz w:val="22"/>
          <w:szCs w:val="22"/>
          <w:lang w:val="en-AU"/>
        </w:rPr>
        <w:tab/>
      </w:r>
      <w:r w:rsidR="00974F35" w:rsidRPr="00205FF6">
        <w:rPr>
          <w:b/>
          <w:sz w:val="22"/>
          <w:szCs w:val="22"/>
          <w:lang w:val="en-AU"/>
        </w:rPr>
        <w:t>Metabolism</w:t>
      </w:r>
    </w:p>
    <w:p w:rsidR="00307630" w:rsidRDefault="00307630" w:rsidP="00C22942">
      <w:pPr>
        <w:spacing w:before="120"/>
        <w:rPr>
          <w:sz w:val="22"/>
          <w:szCs w:val="22"/>
          <w:lang w:val="en-AU"/>
        </w:rPr>
      </w:pPr>
      <w:proofErr w:type="spellStart"/>
      <w:r w:rsidRPr="00307630">
        <w:rPr>
          <w:sz w:val="22"/>
          <w:szCs w:val="22"/>
          <w:lang w:val="en-AU"/>
        </w:rPr>
        <w:t>Pomalidomide</w:t>
      </w:r>
      <w:proofErr w:type="spellEnd"/>
      <w:r w:rsidRPr="00307630">
        <w:rPr>
          <w:sz w:val="22"/>
          <w:szCs w:val="22"/>
          <w:lang w:val="en-AU"/>
        </w:rPr>
        <w:t xml:space="preserve"> is the major circulating component (approximately 70% of plasma radioactivity) </w:t>
      </w:r>
      <w:r w:rsidR="000835AA">
        <w:rPr>
          <w:i/>
          <w:sz w:val="22"/>
          <w:szCs w:val="22"/>
          <w:lang w:val="en-AU"/>
        </w:rPr>
        <w:t>in </w:t>
      </w:r>
      <w:r w:rsidRPr="00307630">
        <w:rPr>
          <w:i/>
          <w:sz w:val="22"/>
          <w:szCs w:val="22"/>
          <w:lang w:val="en-AU"/>
        </w:rPr>
        <w:t>vivo</w:t>
      </w:r>
      <w:r w:rsidRPr="00307630">
        <w:rPr>
          <w:sz w:val="22"/>
          <w:szCs w:val="22"/>
          <w:lang w:val="en-AU"/>
        </w:rPr>
        <w:t xml:space="preserve"> in</w:t>
      </w:r>
      <w:r>
        <w:rPr>
          <w:sz w:val="22"/>
          <w:szCs w:val="22"/>
          <w:lang w:val="en-AU"/>
        </w:rPr>
        <w:t xml:space="preserve"> </w:t>
      </w:r>
      <w:r w:rsidRPr="00307630">
        <w:rPr>
          <w:sz w:val="22"/>
          <w:szCs w:val="22"/>
          <w:lang w:val="en-AU"/>
        </w:rPr>
        <w:t>healthy subjects who received a single oral dose of [</w:t>
      </w:r>
      <w:r w:rsidRPr="00307630">
        <w:rPr>
          <w:sz w:val="22"/>
          <w:szCs w:val="22"/>
          <w:vertAlign w:val="superscript"/>
          <w:lang w:val="en-AU"/>
        </w:rPr>
        <w:t>14</w:t>
      </w:r>
      <w:r>
        <w:rPr>
          <w:sz w:val="22"/>
          <w:szCs w:val="22"/>
          <w:lang w:val="en-AU"/>
        </w:rPr>
        <w:t>C]-</w:t>
      </w:r>
      <w:proofErr w:type="spellStart"/>
      <w:r>
        <w:rPr>
          <w:sz w:val="22"/>
          <w:szCs w:val="22"/>
          <w:lang w:val="en-AU"/>
        </w:rPr>
        <w:t>pomalidomide</w:t>
      </w:r>
      <w:proofErr w:type="spellEnd"/>
      <w:r>
        <w:rPr>
          <w:sz w:val="22"/>
          <w:szCs w:val="22"/>
          <w:lang w:val="en-AU"/>
        </w:rPr>
        <w:t xml:space="preserve"> (2 </w:t>
      </w:r>
      <w:r w:rsidRPr="00307630">
        <w:rPr>
          <w:sz w:val="22"/>
          <w:szCs w:val="22"/>
          <w:lang w:val="en-AU"/>
        </w:rPr>
        <w:t xml:space="preserve">mg). </w:t>
      </w:r>
      <w:r w:rsidR="00974F35">
        <w:rPr>
          <w:sz w:val="22"/>
          <w:szCs w:val="22"/>
          <w:lang w:val="en-AU"/>
        </w:rPr>
        <w:t xml:space="preserve"> </w:t>
      </w:r>
      <w:r w:rsidRPr="00307630">
        <w:rPr>
          <w:sz w:val="22"/>
          <w:szCs w:val="22"/>
          <w:lang w:val="en-AU"/>
        </w:rPr>
        <w:t>No metabolites were present</w:t>
      </w:r>
      <w:r>
        <w:rPr>
          <w:sz w:val="22"/>
          <w:szCs w:val="22"/>
          <w:lang w:val="en-AU"/>
        </w:rPr>
        <w:t xml:space="preserve"> </w:t>
      </w:r>
      <w:r w:rsidRPr="00307630">
        <w:rPr>
          <w:sz w:val="22"/>
          <w:szCs w:val="22"/>
          <w:lang w:val="en-AU"/>
        </w:rPr>
        <w:t>at &gt;</w:t>
      </w:r>
      <w:r>
        <w:rPr>
          <w:sz w:val="22"/>
          <w:szCs w:val="22"/>
          <w:lang w:val="en-AU"/>
        </w:rPr>
        <w:t> </w:t>
      </w:r>
      <w:r w:rsidRPr="00307630">
        <w:rPr>
          <w:sz w:val="22"/>
          <w:szCs w:val="22"/>
          <w:lang w:val="en-AU"/>
        </w:rPr>
        <w:t>10% relative to parent or total radioactivity in plasma.</w:t>
      </w:r>
    </w:p>
    <w:p w:rsidR="00307630" w:rsidRPr="00974F35" w:rsidRDefault="00307630" w:rsidP="00307630">
      <w:pPr>
        <w:rPr>
          <w:sz w:val="22"/>
          <w:szCs w:val="22"/>
          <w:lang w:val="en-AU"/>
        </w:rPr>
      </w:pPr>
    </w:p>
    <w:p w:rsidR="003C4F5F" w:rsidRDefault="00974F35" w:rsidP="00307630">
      <w:pPr>
        <w:rPr>
          <w:sz w:val="22"/>
          <w:szCs w:val="22"/>
          <w:lang w:val="en-AU"/>
        </w:rPr>
      </w:pPr>
      <w:proofErr w:type="spellStart"/>
      <w:r w:rsidRPr="00974F35">
        <w:rPr>
          <w:sz w:val="22"/>
          <w:szCs w:val="22"/>
        </w:rPr>
        <w:t>Pomalidomide</w:t>
      </w:r>
      <w:proofErr w:type="spellEnd"/>
      <w:r w:rsidRPr="00974F35">
        <w:rPr>
          <w:sz w:val="22"/>
          <w:szCs w:val="22"/>
        </w:rPr>
        <w:t xml:space="preserve"> is eliminated in humans via multiple pathways including CYP-mediated metabolism, non-CYP dependent hydrolysis, and excretion of unchanged drug</w:t>
      </w:r>
      <w:r>
        <w:rPr>
          <w:sz w:val="22"/>
          <w:szCs w:val="22"/>
        </w:rPr>
        <w:t xml:space="preserve">. </w:t>
      </w:r>
      <w:r w:rsidRPr="00974F35">
        <w:rPr>
          <w:sz w:val="22"/>
          <w:szCs w:val="22"/>
          <w:lang w:val="en-AU"/>
        </w:rPr>
        <w:t xml:space="preserve"> </w:t>
      </w:r>
      <w:r w:rsidR="00307630" w:rsidRPr="00974F35">
        <w:rPr>
          <w:sz w:val="22"/>
          <w:szCs w:val="22"/>
          <w:lang w:val="en-AU"/>
        </w:rPr>
        <w:t>The</w:t>
      </w:r>
      <w:r w:rsidR="00307630" w:rsidRPr="00307630">
        <w:rPr>
          <w:sz w:val="22"/>
          <w:szCs w:val="22"/>
          <w:lang w:val="en-AU"/>
        </w:rPr>
        <w:t xml:space="preserve"> predominant metabolic pathways of excreted radioactivity are hydroxylation with subsequent</w:t>
      </w:r>
      <w:r w:rsidR="00307630">
        <w:rPr>
          <w:sz w:val="22"/>
          <w:szCs w:val="22"/>
          <w:lang w:val="en-AU"/>
        </w:rPr>
        <w:t xml:space="preserve"> </w:t>
      </w:r>
      <w:proofErr w:type="spellStart"/>
      <w:r w:rsidR="00307630" w:rsidRPr="00307630">
        <w:rPr>
          <w:sz w:val="22"/>
          <w:szCs w:val="22"/>
          <w:lang w:val="en-AU"/>
        </w:rPr>
        <w:t>glucuronidation</w:t>
      </w:r>
      <w:proofErr w:type="spellEnd"/>
      <w:r w:rsidR="00307630" w:rsidRPr="00307630">
        <w:rPr>
          <w:sz w:val="22"/>
          <w:szCs w:val="22"/>
          <w:lang w:val="en-AU"/>
        </w:rPr>
        <w:t xml:space="preserve">, or hydrolysis. </w:t>
      </w:r>
      <w:r>
        <w:rPr>
          <w:sz w:val="22"/>
          <w:szCs w:val="22"/>
          <w:lang w:val="en-AU"/>
        </w:rPr>
        <w:t xml:space="preserve"> </w:t>
      </w:r>
    </w:p>
    <w:p w:rsidR="003C4F5F" w:rsidRDefault="003C4F5F" w:rsidP="00307630">
      <w:pPr>
        <w:rPr>
          <w:sz w:val="22"/>
          <w:szCs w:val="22"/>
          <w:lang w:val="en-AU"/>
        </w:rPr>
      </w:pPr>
    </w:p>
    <w:p w:rsidR="00974F35" w:rsidRDefault="000835AA" w:rsidP="00307630">
      <w:pPr>
        <w:rPr>
          <w:sz w:val="22"/>
          <w:szCs w:val="22"/>
          <w:lang w:val="en-AU"/>
        </w:rPr>
      </w:pPr>
      <w:r>
        <w:rPr>
          <w:i/>
          <w:sz w:val="22"/>
          <w:szCs w:val="22"/>
          <w:lang w:val="en-AU"/>
        </w:rPr>
        <w:t>In </w:t>
      </w:r>
      <w:r w:rsidR="00307630" w:rsidRPr="00307630">
        <w:rPr>
          <w:i/>
          <w:sz w:val="22"/>
          <w:szCs w:val="22"/>
          <w:lang w:val="en-AU"/>
        </w:rPr>
        <w:t>vitro</w:t>
      </w:r>
      <w:r w:rsidR="00307630" w:rsidRPr="00307630">
        <w:rPr>
          <w:sz w:val="22"/>
          <w:szCs w:val="22"/>
          <w:lang w:val="en-AU"/>
        </w:rPr>
        <w:t>, CYP1A2 and CYP3A4 were identified as the primary enzymes</w:t>
      </w:r>
      <w:r w:rsidR="00307630">
        <w:rPr>
          <w:sz w:val="22"/>
          <w:szCs w:val="22"/>
          <w:lang w:val="en-AU"/>
        </w:rPr>
        <w:t xml:space="preserve"> </w:t>
      </w:r>
      <w:r w:rsidR="00307630" w:rsidRPr="00307630">
        <w:rPr>
          <w:sz w:val="22"/>
          <w:szCs w:val="22"/>
          <w:lang w:val="en-AU"/>
        </w:rPr>
        <w:t xml:space="preserve">involved in the CYP-mediated hydroxylation of </w:t>
      </w:r>
      <w:proofErr w:type="spellStart"/>
      <w:r w:rsidR="00307630" w:rsidRPr="00307630">
        <w:rPr>
          <w:sz w:val="22"/>
          <w:szCs w:val="22"/>
          <w:lang w:val="en-AU"/>
        </w:rPr>
        <w:t>pomalidomide</w:t>
      </w:r>
      <w:proofErr w:type="spellEnd"/>
      <w:r w:rsidR="00307630" w:rsidRPr="00307630">
        <w:rPr>
          <w:sz w:val="22"/>
          <w:szCs w:val="22"/>
          <w:lang w:val="en-AU"/>
        </w:rPr>
        <w:t>, with additional minor contributions from</w:t>
      </w:r>
      <w:r w:rsidR="00307630">
        <w:rPr>
          <w:sz w:val="22"/>
          <w:szCs w:val="22"/>
          <w:lang w:val="en-AU"/>
        </w:rPr>
        <w:t xml:space="preserve"> </w:t>
      </w:r>
      <w:r w:rsidR="00307630" w:rsidRPr="00307630">
        <w:rPr>
          <w:sz w:val="22"/>
          <w:szCs w:val="22"/>
          <w:lang w:val="en-AU"/>
        </w:rPr>
        <w:t xml:space="preserve">CYP2C19 and CYP2D6. </w:t>
      </w:r>
    </w:p>
    <w:p w:rsidR="00974F35" w:rsidRDefault="00974F35" w:rsidP="00307630">
      <w:pPr>
        <w:rPr>
          <w:sz w:val="22"/>
          <w:szCs w:val="22"/>
          <w:lang w:val="en-AU"/>
        </w:rPr>
      </w:pPr>
    </w:p>
    <w:p w:rsidR="007E6749" w:rsidRPr="00307630" w:rsidRDefault="00307630" w:rsidP="00307630">
      <w:pPr>
        <w:rPr>
          <w:sz w:val="22"/>
          <w:szCs w:val="22"/>
          <w:lang w:val="en-AU"/>
        </w:rPr>
      </w:pPr>
      <w:proofErr w:type="spellStart"/>
      <w:r w:rsidRPr="00307630">
        <w:rPr>
          <w:sz w:val="22"/>
          <w:szCs w:val="22"/>
          <w:lang w:val="en-AU"/>
        </w:rPr>
        <w:t>Pomalidomide</w:t>
      </w:r>
      <w:proofErr w:type="spellEnd"/>
      <w:r w:rsidRPr="00307630">
        <w:rPr>
          <w:sz w:val="22"/>
          <w:szCs w:val="22"/>
          <w:lang w:val="en-AU"/>
        </w:rPr>
        <w:t xml:space="preserve"> is a substrate of P-glycoprotein </w:t>
      </w:r>
      <w:r w:rsidR="00110D66">
        <w:rPr>
          <w:i/>
          <w:sz w:val="22"/>
          <w:szCs w:val="22"/>
          <w:lang w:val="en-AU"/>
        </w:rPr>
        <w:t>in </w:t>
      </w:r>
      <w:r w:rsidRPr="00307630">
        <w:rPr>
          <w:i/>
          <w:sz w:val="22"/>
          <w:szCs w:val="22"/>
          <w:lang w:val="en-AU"/>
        </w:rPr>
        <w:t>vitro</w:t>
      </w:r>
      <w:r w:rsidRPr="00307630">
        <w:rPr>
          <w:sz w:val="22"/>
          <w:szCs w:val="22"/>
          <w:lang w:val="en-AU"/>
        </w:rPr>
        <w:t>, but this did not appear to limit its absorption in</w:t>
      </w:r>
      <w:r>
        <w:rPr>
          <w:sz w:val="22"/>
          <w:szCs w:val="22"/>
          <w:lang w:val="en-AU"/>
        </w:rPr>
        <w:t xml:space="preserve"> </w:t>
      </w:r>
      <w:r w:rsidR="00964727">
        <w:rPr>
          <w:sz w:val="22"/>
          <w:szCs w:val="22"/>
          <w:lang w:val="en-AU"/>
        </w:rPr>
        <w:t>humans, where at least 73</w:t>
      </w:r>
      <w:r w:rsidRPr="00307630">
        <w:rPr>
          <w:sz w:val="22"/>
          <w:szCs w:val="22"/>
          <w:lang w:val="en-AU"/>
        </w:rPr>
        <w:t xml:space="preserve">% of the drug was absorbed. </w:t>
      </w:r>
    </w:p>
    <w:p w:rsidR="00307630" w:rsidRPr="00307630" w:rsidRDefault="00307630" w:rsidP="00307630">
      <w:pPr>
        <w:rPr>
          <w:sz w:val="22"/>
          <w:szCs w:val="22"/>
          <w:lang w:val="en-AU"/>
        </w:rPr>
      </w:pPr>
    </w:p>
    <w:p w:rsidR="00307630" w:rsidRPr="00205FF6" w:rsidRDefault="00496855" w:rsidP="00496855">
      <w:pPr>
        <w:keepNext/>
        <w:ind w:left="567" w:hanging="567"/>
        <w:rPr>
          <w:b/>
          <w:sz w:val="22"/>
          <w:szCs w:val="22"/>
          <w:lang w:val="en-AU"/>
        </w:rPr>
      </w:pPr>
      <w:r w:rsidRPr="00205FF6">
        <w:rPr>
          <w:b/>
          <w:sz w:val="22"/>
          <w:szCs w:val="22"/>
          <w:lang w:val="en-AU"/>
        </w:rPr>
        <w:t>3.2.4</w:t>
      </w:r>
      <w:r w:rsidRPr="00205FF6">
        <w:rPr>
          <w:b/>
          <w:sz w:val="22"/>
          <w:szCs w:val="22"/>
          <w:lang w:val="en-AU"/>
        </w:rPr>
        <w:tab/>
      </w:r>
      <w:r w:rsidR="00307630" w:rsidRPr="00205FF6">
        <w:rPr>
          <w:b/>
          <w:sz w:val="22"/>
          <w:szCs w:val="22"/>
          <w:lang w:val="en-AU"/>
        </w:rPr>
        <w:t>Elimination</w:t>
      </w:r>
    </w:p>
    <w:p w:rsidR="00307630" w:rsidRDefault="00307630" w:rsidP="00C22942">
      <w:pPr>
        <w:spacing w:before="120"/>
        <w:rPr>
          <w:sz w:val="22"/>
          <w:szCs w:val="22"/>
          <w:lang w:val="en-AU"/>
        </w:rPr>
      </w:pPr>
      <w:proofErr w:type="spellStart"/>
      <w:r w:rsidRPr="00307630">
        <w:rPr>
          <w:sz w:val="22"/>
          <w:szCs w:val="22"/>
          <w:lang w:val="en-AU"/>
        </w:rPr>
        <w:t>Pomalidomide</w:t>
      </w:r>
      <w:proofErr w:type="spellEnd"/>
      <w:r w:rsidRPr="00307630">
        <w:rPr>
          <w:sz w:val="22"/>
          <w:szCs w:val="22"/>
          <w:lang w:val="en-AU"/>
        </w:rPr>
        <w:t xml:space="preserve"> is eliminated with a median plasma</w:t>
      </w:r>
      <w:r>
        <w:rPr>
          <w:sz w:val="22"/>
          <w:szCs w:val="22"/>
          <w:lang w:val="en-AU"/>
        </w:rPr>
        <w:t xml:space="preserve"> half-life of approximately 9.5 </w:t>
      </w:r>
      <w:r w:rsidRPr="00307630">
        <w:rPr>
          <w:sz w:val="22"/>
          <w:szCs w:val="22"/>
          <w:lang w:val="en-AU"/>
        </w:rPr>
        <w:t>hours in healthy subjects</w:t>
      </w:r>
      <w:r>
        <w:rPr>
          <w:sz w:val="22"/>
          <w:szCs w:val="22"/>
          <w:lang w:val="en-AU"/>
        </w:rPr>
        <w:t xml:space="preserve"> and approximately 7.5 </w:t>
      </w:r>
      <w:r w:rsidRPr="00307630">
        <w:rPr>
          <w:sz w:val="22"/>
          <w:szCs w:val="22"/>
          <w:lang w:val="en-AU"/>
        </w:rPr>
        <w:t xml:space="preserve">hours in patients with multiple myeloma. </w:t>
      </w:r>
      <w:r w:rsidR="00632312">
        <w:rPr>
          <w:sz w:val="22"/>
          <w:szCs w:val="22"/>
          <w:lang w:val="en-AU"/>
        </w:rPr>
        <w:t xml:space="preserve"> </w:t>
      </w:r>
      <w:proofErr w:type="spellStart"/>
      <w:r w:rsidRPr="00307630">
        <w:rPr>
          <w:sz w:val="22"/>
          <w:szCs w:val="22"/>
          <w:lang w:val="en-AU"/>
        </w:rPr>
        <w:t>Pomalidomide</w:t>
      </w:r>
      <w:proofErr w:type="spellEnd"/>
      <w:r w:rsidRPr="00307630">
        <w:rPr>
          <w:sz w:val="22"/>
          <w:szCs w:val="22"/>
          <w:lang w:val="en-AU"/>
        </w:rPr>
        <w:t xml:space="preserve"> has a mean total body</w:t>
      </w:r>
      <w:r>
        <w:rPr>
          <w:sz w:val="22"/>
          <w:szCs w:val="22"/>
          <w:lang w:val="en-AU"/>
        </w:rPr>
        <w:t xml:space="preserve"> </w:t>
      </w:r>
      <w:r w:rsidRPr="00307630">
        <w:rPr>
          <w:sz w:val="22"/>
          <w:szCs w:val="22"/>
          <w:lang w:val="en-AU"/>
        </w:rPr>
        <w:t>clearan</w:t>
      </w:r>
      <w:r>
        <w:rPr>
          <w:sz w:val="22"/>
          <w:szCs w:val="22"/>
          <w:lang w:val="en-AU"/>
        </w:rPr>
        <w:t>ce (CL/F) of approximately 7-10 </w:t>
      </w:r>
      <w:r w:rsidRPr="00307630">
        <w:rPr>
          <w:sz w:val="22"/>
          <w:szCs w:val="22"/>
          <w:lang w:val="en-AU"/>
        </w:rPr>
        <w:t>L/hr.</w:t>
      </w:r>
    </w:p>
    <w:p w:rsidR="00307630" w:rsidRPr="00307630" w:rsidRDefault="00307630" w:rsidP="00307630">
      <w:pPr>
        <w:rPr>
          <w:sz w:val="22"/>
          <w:szCs w:val="22"/>
          <w:lang w:val="en-AU"/>
        </w:rPr>
      </w:pPr>
    </w:p>
    <w:p w:rsidR="00307630" w:rsidRPr="00307630" w:rsidRDefault="00307630" w:rsidP="00307630">
      <w:pPr>
        <w:rPr>
          <w:sz w:val="22"/>
          <w:szCs w:val="22"/>
          <w:lang w:val="en-AU"/>
        </w:rPr>
      </w:pPr>
      <w:r w:rsidRPr="00307630">
        <w:rPr>
          <w:sz w:val="22"/>
          <w:szCs w:val="22"/>
          <w:lang w:val="en-AU"/>
        </w:rPr>
        <w:t>Following a single oral administration of [</w:t>
      </w:r>
      <w:r w:rsidRPr="00307630">
        <w:rPr>
          <w:sz w:val="22"/>
          <w:szCs w:val="22"/>
          <w:vertAlign w:val="superscript"/>
          <w:lang w:val="en-AU"/>
        </w:rPr>
        <w:t>14</w:t>
      </w:r>
      <w:r w:rsidRPr="00307630">
        <w:rPr>
          <w:sz w:val="22"/>
          <w:szCs w:val="22"/>
          <w:lang w:val="en-AU"/>
        </w:rPr>
        <w:t>C]-</w:t>
      </w:r>
      <w:proofErr w:type="spellStart"/>
      <w:r w:rsidRPr="00307630">
        <w:rPr>
          <w:sz w:val="22"/>
          <w:szCs w:val="22"/>
          <w:lang w:val="en-AU"/>
        </w:rPr>
        <w:t>pomalidomide</w:t>
      </w:r>
      <w:proofErr w:type="spellEnd"/>
      <w:r w:rsidRPr="00307630">
        <w:rPr>
          <w:sz w:val="22"/>
          <w:szCs w:val="22"/>
          <w:lang w:val="en-AU"/>
        </w:rPr>
        <w:t xml:space="preserve"> (2</w:t>
      </w:r>
      <w:r>
        <w:rPr>
          <w:sz w:val="22"/>
          <w:szCs w:val="22"/>
          <w:lang w:val="en-AU"/>
        </w:rPr>
        <w:t> </w:t>
      </w:r>
      <w:r w:rsidRPr="00307630">
        <w:rPr>
          <w:sz w:val="22"/>
          <w:szCs w:val="22"/>
          <w:lang w:val="en-AU"/>
        </w:rPr>
        <w:t>mg) to healthy subjects, approximately 73%</w:t>
      </w:r>
      <w:r>
        <w:rPr>
          <w:sz w:val="22"/>
          <w:szCs w:val="22"/>
          <w:lang w:val="en-AU"/>
        </w:rPr>
        <w:t xml:space="preserve"> </w:t>
      </w:r>
      <w:r w:rsidRPr="00307630">
        <w:rPr>
          <w:sz w:val="22"/>
          <w:szCs w:val="22"/>
          <w:lang w:val="en-AU"/>
        </w:rPr>
        <w:t xml:space="preserve">and 15% of the radioactive dose was eliminated in urine and faeces, respectively, with </w:t>
      </w:r>
      <w:r w:rsidRPr="00307630">
        <w:rPr>
          <w:sz w:val="22"/>
          <w:szCs w:val="22"/>
          <w:lang w:val="en-AU"/>
        </w:rPr>
        <w:lastRenderedPageBreak/>
        <w:t>approximately 2% and</w:t>
      </w:r>
      <w:r>
        <w:rPr>
          <w:sz w:val="22"/>
          <w:szCs w:val="22"/>
          <w:lang w:val="en-AU"/>
        </w:rPr>
        <w:t xml:space="preserve"> </w:t>
      </w:r>
      <w:r w:rsidRPr="00307630">
        <w:rPr>
          <w:sz w:val="22"/>
          <w:szCs w:val="22"/>
          <w:lang w:val="en-AU"/>
        </w:rPr>
        <w:t xml:space="preserve">8% of the dosed radiocarbon eliminated as </w:t>
      </w:r>
      <w:r w:rsidR="004E6D90">
        <w:rPr>
          <w:sz w:val="22"/>
          <w:szCs w:val="22"/>
          <w:lang w:val="en-AU"/>
        </w:rPr>
        <w:t xml:space="preserve">unchanged </w:t>
      </w:r>
      <w:proofErr w:type="spellStart"/>
      <w:r w:rsidRPr="00307630">
        <w:rPr>
          <w:sz w:val="22"/>
          <w:szCs w:val="22"/>
          <w:lang w:val="en-AU"/>
        </w:rPr>
        <w:t>pomalidomide</w:t>
      </w:r>
      <w:proofErr w:type="spellEnd"/>
      <w:r w:rsidRPr="00307630">
        <w:rPr>
          <w:sz w:val="22"/>
          <w:szCs w:val="22"/>
          <w:lang w:val="en-AU"/>
        </w:rPr>
        <w:t xml:space="preserve"> in urine and faeces</w:t>
      </w:r>
      <w:r w:rsidR="00110D66">
        <w:rPr>
          <w:sz w:val="22"/>
          <w:szCs w:val="22"/>
          <w:lang w:val="en-AU"/>
        </w:rPr>
        <w:t>, respectively</w:t>
      </w:r>
      <w:r w:rsidRPr="00307630">
        <w:rPr>
          <w:sz w:val="22"/>
          <w:szCs w:val="22"/>
          <w:lang w:val="en-AU"/>
        </w:rPr>
        <w:t>.</w:t>
      </w:r>
    </w:p>
    <w:p w:rsidR="00C22942" w:rsidRDefault="00C22942" w:rsidP="00307630">
      <w:pPr>
        <w:rPr>
          <w:sz w:val="22"/>
          <w:szCs w:val="22"/>
          <w:lang w:val="en-AU"/>
        </w:rPr>
      </w:pPr>
    </w:p>
    <w:p w:rsidR="00307630" w:rsidRPr="00205FF6" w:rsidRDefault="00496855" w:rsidP="00496855">
      <w:pPr>
        <w:keepNext/>
        <w:ind w:left="567" w:hanging="567"/>
        <w:rPr>
          <w:b/>
          <w:sz w:val="22"/>
          <w:szCs w:val="22"/>
          <w:lang w:val="en-AU"/>
        </w:rPr>
      </w:pPr>
      <w:r w:rsidRPr="00205FF6">
        <w:rPr>
          <w:b/>
          <w:sz w:val="22"/>
          <w:szCs w:val="22"/>
          <w:lang w:val="en-AU"/>
        </w:rPr>
        <w:t>3.2.5</w:t>
      </w:r>
      <w:r w:rsidRPr="00205FF6">
        <w:rPr>
          <w:b/>
          <w:sz w:val="22"/>
          <w:szCs w:val="22"/>
          <w:lang w:val="en-AU"/>
        </w:rPr>
        <w:tab/>
      </w:r>
      <w:r w:rsidR="00307630" w:rsidRPr="00205FF6">
        <w:rPr>
          <w:b/>
          <w:sz w:val="22"/>
          <w:szCs w:val="22"/>
          <w:lang w:val="en-AU"/>
        </w:rPr>
        <w:t>Renal impairment</w:t>
      </w:r>
    </w:p>
    <w:p w:rsidR="00AB4F77" w:rsidRPr="002C0078" w:rsidRDefault="00307630" w:rsidP="00AB4F77">
      <w:pPr>
        <w:spacing w:before="120"/>
        <w:rPr>
          <w:sz w:val="22"/>
          <w:szCs w:val="22"/>
          <w:lang w:val="en-AU"/>
        </w:rPr>
      </w:pPr>
      <w:r w:rsidRPr="002C0078">
        <w:rPr>
          <w:sz w:val="22"/>
          <w:szCs w:val="22"/>
          <w:lang w:val="en-AU"/>
        </w:rPr>
        <w:t xml:space="preserve">A </w:t>
      </w:r>
      <w:r w:rsidR="00632312" w:rsidRPr="002C0078">
        <w:rPr>
          <w:sz w:val="22"/>
          <w:szCs w:val="22"/>
          <w:lang w:val="en-AU"/>
        </w:rPr>
        <w:t xml:space="preserve">pharmacokinetics </w:t>
      </w:r>
      <w:r w:rsidRPr="002C0078">
        <w:rPr>
          <w:sz w:val="22"/>
          <w:szCs w:val="22"/>
          <w:lang w:val="en-AU"/>
        </w:rPr>
        <w:t xml:space="preserve">study in subjects with renal impairment has not been conducted with </w:t>
      </w:r>
      <w:proofErr w:type="spellStart"/>
      <w:r w:rsidRPr="002C0078">
        <w:rPr>
          <w:sz w:val="22"/>
          <w:szCs w:val="22"/>
          <w:lang w:val="en-AU"/>
        </w:rPr>
        <w:t>pomalidomide</w:t>
      </w:r>
      <w:proofErr w:type="spellEnd"/>
      <w:r w:rsidRPr="002C0078">
        <w:rPr>
          <w:sz w:val="22"/>
          <w:szCs w:val="22"/>
          <w:lang w:val="en-AU"/>
        </w:rPr>
        <w:t>.</w:t>
      </w:r>
      <w:r w:rsidR="00BC35DD" w:rsidRPr="002C0078">
        <w:rPr>
          <w:sz w:val="22"/>
          <w:szCs w:val="22"/>
          <w:lang w:val="en-AU"/>
        </w:rPr>
        <w:t xml:space="preserve">  Patients with</w:t>
      </w:r>
      <w:r w:rsidR="00AB4F77" w:rsidRPr="002C0078">
        <w:rPr>
          <w:sz w:val="22"/>
          <w:szCs w:val="22"/>
          <w:lang w:val="en-AU"/>
        </w:rPr>
        <w:t xml:space="preserve"> </w:t>
      </w:r>
      <w:r w:rsidR="00AB4F77" w:rsidRPr="002C0078">
        <w:rPr>
          <w:sz w:val="22"/>
          <w:szCs w:val="22"/>
          <w:lang w:val="en-US" w:eastAsia="zh-CN"/>
        </w:rPr>
        <w:t>moderate or severe renal impairment</w:t>
      </w:r>
      <w:r w:rsidR="00BC35DD" w:rsidRPr="002C0078">
        <w:rPr>
          <w:sz w:val="22"/>
          <w:szCs w:val="22"/>
          <w:lang w:val="en-AU"/>
        </w:rPr>
        <w:t xml:space="preserve"> </w:t>
      </w:r>
      <w:r w:rsidR="00AB4F77" w:rsidRPr="002C0078">
        <w:rPr>
          <w:sz w:val="22"/>
          <w:szCs w:val="22"/>
          <w:lang w:val="en-AU"/>
        </w:rPr>
        <w:t>(</w:t>
      </w:r>
      <w:r w:rsidR="00BC35DD" w:rsidRPr="002C0078">
        <w:rPr>
          <w:sz w:val="22"/>
          <w:szCs w:val="22"/>
          <w:lang w:val="en-AU"/>
        </w:rPr>
        <w:t>creatinine clearance &lt; 45 mL/minute</w:t>
      </w:r>
      <w:r w:rsidR="00011626">
        <w:rPr>
          <w:sz w:val="22"/>
          <w:szCs w:val="22"/>
          <w:lang w:val="en-AU"/>
        </w:rPr>
        <w:t>)</w:t>
      </w:r>
      <w:r w:rsidR="00BC35DD" w:rsidRPr="002C0078">
        <w:rPr>
          <w:sz w:val="22"/>
          <w:szCs w:val="22"/>
          <w:lang w:val="en-AU"/>
        </w:rPr>
        <w:t xml:space="preserve"> were excluded from </w:t>
      </w:r>
      <w:r w:rsidR="002C0078" w:rsidRPr="002C0078">
        <w:rPr>
          <w:sz w:val="22"/>
          <w:szCs w:val="22"/>
          <w:lang w:val="en-AU"/>
        </w:rPr>
        <w:t xml:space="preserve">clinical studies.  </w:t>
      </w:r>
    </w:p>
    <w:p w:rsidR="00C22942" w:rsidRDefault="00C22942" w:rsidP="00307630">
      <w:pPr>
        <w:rPr>
          <w:sz w:val="22"/>
          <w:szCs w:val="22"/>
          <w:lang w:val="en-AU"/>
        </w:rPr>
      </w:pPr>
    </w:p>
    <w:p w:rsidR="00307630" w:rsidRPr="00205FF6" w:rsidRDefault="00496855" w:rsidP="00496855">
      <w:pPr>
        <w:keepNext/>
        <w:ind w:left="567" w:hanging="567"/>
        <w:rPr>
          <w:b/>
          <w:sz w:val="22"/>
          <w:szCs w:val="22"/>
          <w:lang w:val="en-AU"/>
        </w:rPr>
      </w:pPr>
      <w:r w:rsidRPr="00205FF6">
        <w:rPr>
          <w:b/>
          <w:sz w:val="22"/>
          <w:szCs w:val="22"/>
          <w:lang w:val="en-AU"/>
        </w:rPr>
        <w:t>3.2.6</w:t>
      </w:r>
      <w:r w:rsidRPr="00205FF6">
        <w:rPr>
          <w:b/>
          <w:sz w:val="22"/>
          <w:szCs w:val="22"/>
          <w:lang w:val="en-AU"/>
        </w:rPr>
        <w:tab/>
      </w:r>
      <w:r w:rsidR="00307630" w:rsidRPr="00205FF6">
        <w:rPr>
          <w:b/>
          <w:sz w:val="22"/>
          <w:szCs w:val="22"/>
          <w:lang w:val="en-AU"/>
        </w:rPr>
        <w:t>Hepatic impairment</w:t>
      </w:r>
    </w:p>
    <w:p w:rsidR="00C22942" w:rsidRDefault="00307630" w:rsidP="00CE32D8">
      <w:pPr>
        <w:spacing w:before="120"/>
        <w:rPr>
          <w:sz w:val="22"/>
          <w:szCs w:val="22"/>
          <w:lang w:val="en-AU"/>
        </w:rPr>
      </w:pPr>
      <w:r w:rsidRPr="00307630">
        <w:rPr>
          <w:sz w:val="22"/>
          <w:szCs w:val="22"/>
          <w:lang w:val="en-AU"/>
        </w:rPr>
        <w:t xml:space="preserve">A </w:t>
      </w:r>
      <w:r w:rsidR="00632312" w:rsidRPr="002C0078">
        <w:rPr>
          <w:sz w:val="22"/>
          <w:szCs w:val="22"/>
          <w:lang w:val="en-AU"/>
        </w:rPr>
        <w:t xml:space="preserve">pharmacokinetics </w:t>
      </w:r>
      <w:r w:rsidRPr="002C0078">
        <w:rPr>
          <w:sz w:val="22"/>
          <w:szCs w:val="22"/>
          <w:lang w:val="en-AU"/>
        </w:rPr>
        <w:t xml:space="preserve">study in subjects with hepatic impairment has not been conducted with </w:t>
      </w:r>
      <w:proofErr w:type="spellStart"/>
      <w:r w:rsidRPr="002C0078">
        <w:rPr>
          <w:sz w:val="22"/>
          <w:szCs w:val="22"/>
          <w:lang w:val="en-AU"/>
        </w:rPr>
        <w:t>pomalidomide</w:t>
      </w:r>
      <w:proofErr w:type="spellEnd"/>
      <w:r w:rsidRPr="002C0078">
        <w:rPr>
          <w:sz w:val="22"/>
          <w:szCs w:val="22"/>
          <w:lang w:val="en-AU"/>
        </w:rPr>
        <w:t>.</w:t>
      </w:r>
      <w:r w:rsidR="002C0078" w:rsidRPr="002C0078">
        <w:rPr>
          <w:sz w:val="22"/>
          <w:szCs w:val="22"/>
          <w:lang w:val="en-AU"/>
        </w:rPr>
        <w:t xml:space="preserve">  </w:t>
      </w:r>
      <w:r w:rsidR="002C0078" w:rsidRPr="002C0078">
        <w:rPr>
          <w:sz w:val="22"/>
          <w:szCs w:val="22"/>
        </w:rPr>
        <w:t>Patients with serum bilirubin &gt;</w:t>
      </w:r>
      <w:r w:rsidR="003804AC">
        <w:rPr>
          <w:sz w:val="22"/>
          <w:szCs w:val="22"/>
        </w:rPr>
        <w:t>34.2 µ</w:t>
      </w:r>
      <w:proofErr w:type="spellStart"/>
      <w:r w:rsidR="003804AC">
        <w:rPr>
          <w:sz w:val="22"/>
          <w:szCs w:val="22"/>
        </w:rPr>
        <w:t>mol</w:t>
      </w:r>
      <w:proofErr w:type="spellEnd"/>
      <w:r w:rsidR="003804AC">
        <w:rPr>
          <w:sz w:val="22"/>
          <w:szCs w:val="22"/>
        </w:rPr>
        <w:t>/L</w:t>
      </w:r>
      <w:r w:rsidR="00775A85">
        <w:rPr>
          <w:sz w:val="22"/>
          <w:szCs w:val="22"/>
        </w:rPr>
        <w:t xml:space="preserve"> and transaminases &gt;3xULN</w:t>
      </w:r>
      <w:r w:rsidR="002C0078" w:rsidRPr="002C0078">
        <w:rPr>
          <w:sz w:val="22"/>
          <w:szCs w:val="22"/>
        </w:rPr>
        <w:t xml:space="preserve"> were excluded from the efficacy studies.</w:t>
      </w:r>
    </w:p>
    <w:p w:rsidR="004F5370" w:rsidRDefault="004F5370">
      <w:pPr>
        <w:rPr>
          <w:sz w:val="22"/>
          <w:szCs w:val="22"/>
          <w:lang w:val="en-AU"/>
        </w:rPr>
      </w:pPr>
    </w:p>
    <w:p w:rsidR="004F5370" w:rsidRDefault="004F5370">
      <w:pPr>
        <w:rPr>
          <w:sz w:val="22"/>
          <w:szCs w:val="22"/>
          <w:lang w:val="en-AU"/>
        </w:rPr>
      </w:pPr>
    </w:p>
    <w:p w:rsidR="00DD6BEB" w:rsidRDefault="00DD67D7" w:rsidP="00DD6BEB">
      <w:pPr>
        <w:pStyle w:val="C-TableHeader"/>
        <w:numPr>
          <w:ilvl w:val="0"/>
          <w:numId w:val="46"/>
        </w:numPr>
        <w:tabs>
          <w:tab w:val="left" w:pos="1134"/>
        </w:tabs>
        <w:spacing w:before="0" w:after="0"/>
        <w:ind w:left="1134" w:hanging="1134"/>
        <w:jc w:val="both"/>
        <w:rPr>
          <w:bCs/>
          <w:sz w:val="28"/>
          <w:szCs w:val="28"/>
          <w:lang w:val="en-AU"/>
        </w:rPr>
      </w:pPr>
      <w:r w:rsidRPr="000D5F35">
        <w:rPr>
          <w:bCs/>
          <w:sz w:val="28"/>
          <w:szCs w:val="28"/>
          <w:lang w:val="en-AU"/>
        </w:rPr>
        <w:t xml:space="preserve">Clinical </w:t>
      </w:r>
      <w:r w:rsidR="002528F3" w:rsidRPr="000D5F35">
        <w:rPr>
          <w:bCs/>
          <w:sz w:val="28"/>
          <w:szCs w:val="28"/>
          <w:lang w:val="en-AU"/>
        </w:rPr>
        <w:t>t</w:t>
      </w:r>
      <w:r w:rsidRPr="000D5F35">
        <w:rPr>
          <w:bCs/>
          <w:sz w:val="28"/>
          <w:szCs w:val="28"/>
          <w:lang w:val="en-AU"/>
        </w:rPr>
        <w:t>rials</w:t>
      </w:r>
    </w:p>
    <w:p w:rsidR="00713015" w:rsidRDefault="00930C8F" w:rsidP="00E87D8D">
      <w:pPr>
        <w:autoSpaceDE w:val="0"/>
        <w:autoSpaceDN w:val="0"/>
        <w:adjustRightInd w:val="0"/>
        <w:spacing w:before="120"/>
        <w:rPr>
          <w:sz w:val="22"/>
          <w:szCs w:val="22"/>
          <w:lang w:val="en-US" w:eastAsia="zh-CN"/>
        </w:rPr>
      </w:pPr>
      <w:r w:rsidRPr="00930C8F">
        <w:rPr>
          <w:sz w:val="22"/>
          <w:szCs w:val="22"/>
        </w:rPr>
        <w:t xml:space="preserve">The efficacy and safety of </w:t>
      </w:r>
      <w:proofErr w:type="spellStart"/>
      <w:r w:rsidRPr="00930C8F">
        <w:rPr>
          <w:sz w:val="22"/>
          <w:szCs w:val="22"/>
        </w:rPr>
        <w:t>pomalidomide</w:t>
      </w:r>
      <w:proofErr w:type="spellEnd"/>
      <w:r w:rsidRPr="00930C8F">
        <w:rPr>
          <w:sz w:val="22"/>
          <w:szCs w:val="22"/>
        </w:rPr>
        <w:t xml:space="preserve"> in combination with dexamethasone were evaluated in a Phase III multi-centre, randomised, open-label study (CC-4047-MM-003</w:t>
      </w:r>
      <w:r w:rsidR="00E87D8D">
        <w:rPr>
          <w:sz w:val="22"/>
          <w:szCs w:val="22"/>
        </w:rPr>
        <w:t xml:space="preserve">).  In this study, </w:t>
      </w:r>
      <w:proofErr w:type="spellStart"/>
      <w:r w:rsidRPr="00930C8F">
        <w:rPr>
          <w:sz w:val="22"/>
          <w:szCs w:val="22"/>
        </w:rPr>
        <w:t>pomalidomide</w:t>
      </w:r>
      <w:proofErr w:type="spellEnd"/>
      <w:r w:rsidRPr="00930C8F">
        <w:rPr>
          <w:sz w:val="22"/>
          <w:szCs w:val="22"/>
        </w:rPr>
        <w:t xml:space="preserve"> plus low-dose dexamethasone therapy (</w:t>
      </w:r>
      <w:proofErr w:type="spellStart"/>
      <w:r w:rsidRPr="00930C8F">
        <w:rPr>
          <w:sz w:val="22"/>
          <w:szCs w:val="22"/>
        </w:rPr>
        <w:t>Pom</w:t>
      </w:r>
      <w:proofErr w:type="spellEnd"/>
      <w:r w:rsidR="00FD42F0">
        <w:rPr>
          <w:sz w:val="22"/>
          <w:szCs w:val="22"/>
        </w:rPr>
        <w:t xml:space="preserve"> </w:t>
      </w:r>
      <w:r w:rsidRPr="00930C8F">
        <w:rPr>
          <w:sz w:val="22"/>
          <w:szCs w:val="22"/>
        </w:rPr>
        <w:t>+</w:t>
      </w:r>
      <w:r w:rsidR="00FD42F0">
        <w:rPr>
          <w:sz w:val="22"/>
          <w:szCs w:val="22"/>
        </w:rPr>
        <w:t xml:space="preserve"> </w:t>
      </w:r>
      <w:r w:rsidRPr="00930C8F">
        <w:rPr>
          <w:sz w:val="22"/>
          <w:szCs w:val="22"/>
        </w:rPr>
        <w:t>LD-</w:t>
      </w:r>
      <w:proofErr w:type="spellStart"/>
      <w:r w:rsidRPr="00930C8F">
        <w:rPr>
          <w:sz w:val="22"/>
          <w:szCs w:val="22"/>
        </w:rPr>
        <w:t>dex</w:t>
      </w:r>
      <w:proofErr w:type="spellEnd"/>
      <w:r w:rsidRPr="00930C8F">
        <w:rPr>
          <w:sz w:val="22"/>
          <w:szCs w:val="22"/>
        </w:rPr>
        <w:t>) was compared to high-dose dexamethasone alone (HD-</w:t>
      </w:r>
      <w:proofErr w:type="spellStart"/>
      <w:r w:rsidRPr="00930C8F">
        <w:rPr>
          <w:sz w:val="22"/>
          <w:szCs w:val="22"/>
        </w:rPr>
        <w:t>dex</w:t>
      </w:r>
      <w:proofErr w:type="spellEnd"/>
      <w:r w:rsidRPr="00930C8F">
        <w:rPr>
          <w:sz w:val="22"/>
          <w:szCs w:val="22"/>
        </w:rPr>
        <w:t>) in previously treated adult patients with relapsed a</w:t>
      </w:r>
      <w:r w:rsidR="00E87D8D">
        <w:rPr>
          <w:sz w:val="22"/>
          <w:szCs w:val="22"/>
        </w:rPr>
        <w:t>nd refractory multiple myeloma</w:t>
      </w:r>
      <w:r w:rsidR="008A239D">
        <w:rPr>
          <w:sz w:val="22"/>
          <w:szCs w:val="22"/>
        </w:rPr>
        <w:t xml:space="preserve"> (MM)</w:t>
      </w:r>
      <w:r w:rsidR="00E87D8D">
        <w:rPr>
          <w:sz w:val="22"/>
          <w:szCs w:val="22"/>
        </w:rPr>
        <w:t xml:space="preserve">. </w:t>
      </w:r>
      <w:r w:rsidR="009122C0">
        <w:rPr>
          <w:sz w:val="22"/>
          <w:szCs w:val="22"/>
        </w:rPr>
        <w:t xml:space="preserve"> To be included in the study, the patients should</w:t>
      </w:r>
      <w:r w:rsidRPr="00930C8F">
        <w:rPr>
          <w:sz w:val="22"/>
          <w:szCs w:val="22"/>
        </w:rPr>
        <w:t xml:space="preserve"> have received at least tw</w:t>
      </w:r>
      <w:r w:rsidR="009122C0">
        <w:rPr>
          <w:sz w:val="22"/>
          <w:szCs w:val="22"/>
        </w:rPr>
        <w:t xml:space="preserve">o prior treatment regimens, </w:t>
      </w:r>
      <w:r w:rsidRPr="00930C8F">
        <w:rPr>
          <w:sz w:val="22"/>
          <w:szCs w:val="22"/>
        </w:rPr>
        <w:t xml:space="preserve">have failed both </w:t>
      </w:r>
      <w:proofErr w:type="spellStart"/>
      <w:r w:rsidRPr="00930C8F">
        <w:rPr>
          <w:sz w:val="22"/>
          <w:szCs w:val="22"/>
        </w:rPr>
        <w:t>lenalidomide</w:t>
      </w:r>
      <w:proofErr w:type="spellEnd"/>
      <w:r w:rsidRPr="00930C8F">
        <w:rPr>
          <w:sz w:val="22"/>
          <w:szCs w:val="22"/>
        </w:rPr>
        <w:t xml:space="preserve"> and </w:t>
      </w:r>
      <w:proofErr w:type="spellStart"/>
      <w:r w:rsidRPr="00930C8F">
        <w:rPr>
          <w:sz w:val="22"/>
          <w:szCs w:val="22"/>
        </w:rPr>
        <w:t>bortezomib</w:t>
      </w:r>
      <w:proofErr w:type="spellEnd"/>
      <w:r w:rsidRPr="00930C8F">
        <w:rPr>
          <w:sz w:val="22"/>
          <w:szCs w:val="22"/>
        </w:rPr>
        <w:t xml:space="preserve">, and have demonstrated disease progression on the last therapy. </w:t>
      </w:r>
      <w:r>
        <w:rPr>
          <w:sz w:val="22"/>
          <w:szCs w:val="22"/>
        </w:rPr>
        <w:t xml:space="preserve"> </w:t>
      </w:r>
      <w:r w:rsidR="008A239D">
        <w:rPr>
          <w:sz w:val="22"/>
          <w:szCs w:val="22"/>
        </w:rPr>
        <w:t>A total of 455 </w:t>
      </w:r>
      <w:r w:rsidRPr="00930C8F">
        <w:rPr>
          <w:sz w:val="22"/>
          <w:szCs w:val="22"/>
        </w:rPr>
        <w:t xml:space="preserve">subjects were enrolled in the study: 302 in the </w:t>
      </w:r>
      <w:proofErr w:type="spellStart"/>
      <w:r w:rsidRPr="00930C8F">
        <w:rPr>
          <w:sz w:val="22"/>
          <w:szCs w:val="22"/>
        </w:rPr>
        <w:t>Pom</w:t>
      </w:r>
      <w:proofErr w:type="spellEnd"/>
      <w:r w:rsidR="004F54EF">
        <w:rPr>
          <w:sz w:val="22"/>
          <w:szCs w:val="22"/>
        </w:rPr>
        <w:t> </w:t>
      </w:r>
      <w:r w:rsidRPr="00930C8F">
        <w:rPr>
          <w:sz w:val="22"/>
          <w:szCs w:val="22"/>
        </w:rPr>
        <w:t>+</w:t>
      </w:r>
      <w:r w:rsidR="004F54EF">
        <w:rPr>
          <w:sz w:val="22"/>
          <w:szCs w:val="22"/>
        </w:rPr>
        <w:t> </w:t>
      </w:r>
      <w:r w:rsidRPr="00930C8F">
        <w:rPr>
          <w:sz w:val="22"/>
          <w:szCs w:val="22"/>
        </w:rPr>
        <w:t>LD-</w:t>
      </w:r>
      <w:proofErr w:type="spellStart"/>
      <w:r w:rsidRPr="00930C8F">
        <w:rPr>
          <w:sz w:val="22"/>
          <w:szCs w:val="22"/>
        </w:rPr>
        <w:t>dex</w:t>
      </w:r>
      <w:proofErr w:type="spellEnd"/>
      <w:r w:rsidRPr="00930C8F">
        <w:rPr>
          <w:sz w:val="22"/>
          <w:szCs w:val="22"/>
        </w:rPr>
        <w:t xml:space="preserve"> arm and 153 in the HD-</w:t>
      </w:r>
      <w:proofErr w:type="spellStart"/>
      <w:r w:rsidRPr="00930C8F">
        <w:rPr>
          <w:sz w:val="22"/>
          <w:szCs w:val="22"/>
        </w:rPr>
        <w:t>dex</w:t>
      </w:r>
      <w:proofErr w:type="spellEnd"/>
      <w:r w:rsidRPr="00930C8F">
        <w:rPr>
          <w:sz w:val="22"/>
          <w:szCs w:val="22"/>
        </w:rPr>
        <w:t xml:space="preserve"> arm. </w:t>
      </w:r>
      <w:r>
        <w:rPr>
          <w:sz w:val="22"/>
          <w:szCs w:val="22"/>
        </w:rPr>
        <w:t xml:space="preserve"> </w:t>
      </w:r>
      <w:r w:rsidRPr="00930C8F">
        <w:rPr>
          <w:sz w:val="22"/>
          <w:szCs w:val="22"/>
        </w:rPr>
        <w:t xml:space="preserve">The majority of subjects </w:t>
      </w:r>
      <w:r w:rsidR="004E6D90">
        <w:rPr>
          <w:sz w:val="22"/>
          <w:szCs w:val="22"/>
        </w:rPr>
        <w:t>were male (59%) and white (79%) and</w:t>
      </w:r>
      <w:r w:rsidRPr="00930C8F">
        <w:rPr>
          <w:sz w:val="22"/>
          <w:szCs w:val="22"/>
        </w:rPr>
        <w:t xml:space="preserve"> the median age for the overall population </w:t>
      </w:r>
      <w:proofErr w:type="gramStart"/>
      <w:r w:rsidRPr="00930C8F">
        <w:rPr>
          <w:sz w:val="22"/>
          <w:szCs w:val="22"/>
        </w:rPr>
        <w:t>was</w:t>
      </w:r>
      <w:proofErr w:type="gramEnd"/>
      <w:r w:rsidRPr="00930C8F">
        <w:rPr>
          <w:sz w:val="22"/>
          <w:szCs w:val="22"/>
        </w:rPr>
        <w:t xml:space="preserve"> 64 years (min, max: 35, 87 years). </w:t>
      </w:r>
    </w:p>
    <w:p w:rsidR="00BD3FC0" w:rsidRPr="00BD3FC0" w:rsidRDefault="00BD3FC0" w:rsidP="00930C8F">
      <w:pPr>
        <w:autoSpaceDE w:val="0"/>
        <w:autoSpaceDN w:val="0"/>
        <w:adjustRightInd w:val="0"/>
        <w:rPr>
          <w:sz w:val="22"/>
          <w:szCs w:val="22"/>
          <w:lang w:val="en-US" w:eastAsia="zh-CN"/>
        </w:rPr>
      </w:pPr>
    </w:p>
    <w:p w:rsidR="00BD3FC0" w:rsidRDefault="00BD3FC0" w:rsidP="00930C8F">
      <w:pPr>
        <w:autoSpaceDE w:val="0"/>
        <w:autoSpaceDN w:val="0"/>
        <w:adjustRightInd w:val="0"/>
        <w:rPr>
          <w:sz w:val="22"/>
          <w:szCs w:val="22"/>
        </w:rPr>
      </w:pPr>
      <w:r w:rsidRPr="00BD3FC0">
        <w:rPr>
          <w:sz w:val="22"/>
          <w:szCs w:val="22"/>
        </w:rPr>
        <w:t xml:space="preserve">Patients in the </w:t>
      </w:r>
      <w:proofErr w:type="spellStart"/>
      <w:r w:rsidRPr="00BD3FC0">
        <w:rPr>
          <w:sz w:val="22"/>
          <w:szCs w:val="22"/>
        </w:rPr>
        <w:t>Pom</w:t>
      </w:r>
      <w:proofErr w:type="spellEnd"/>
      <w:r w:rsidR="004F54EF">
        <w:rPr>
          <w:sz w:val="22"/>
          <w:szCs w:val="22"/>
        </w:rPr>
        <w:t> </w:t>
      </w:r>
      <w:r w:rsidRPr="00BD3FC0">
        <w:rPr>
          <w:sz w:val="22"/>
          <w:szCs w:val="22"/>
        </w:rPr>
        <w:t>+</w:t>
      </w:r>
      <w:r w:rsidR="004F54EF">
        <w:rPr>
          <w:sz w:val="22"/>
          <w:szCs w:val="22"/>
        </w:rPr>
        <w:t> </w:t>
      </w:r>
      <w:r w:rsidRPr="00BD3FC0">
        <w:rPr>
          <w:sz w:val="22"/>
          <w:szCs w:val="22"/>
        </w:rPr>
        <w:t>LD-</w:t>
      </w:r>
      <w:proofErr w:type="spellStart"/>
      <w:r w:rsidRPr="00BD3FC0">
        <w:rPr>
          <w:sz w:val="22"/>
          <w:szCs w:val="22"/>
        </w:rPr>
        <w:t>dex</w:t>
      </w:r>
      <w:proofErr w:type="spellEnd"/>
      <w:r w:rsidRPr="00BD3FC0">
        <w:rPr>
          <w:sz w:val="22"/>
          <w:szCs w:val="22"/>
        </w:rPr>
        <w:t xml:space="preserve"> arm were administered 4</w:t>
      </w:r>
      <w:r w:rsidR="008A239D">
        <w:rPr>
          <w:sz w:val="22"/>
          <w:szCs w:val="22"/>
        </w:rPr>
        <w:t xml:space="preserve"> mg </w:t>
      </w:r>
      <w:proofErr w:type="spellStart"/>
      <w:r w:rsidR="008A239D">
        <w:rPr>
          <w:sz w:val="22"/>
          <w:szCs w:val="22"/>
        </w:rPr>
        <w:t>pomalidomide</w:t>
      </w:r>
      <w:proofErr w:type="spellEnd"/>
      <w:r w:rsidR="008A239D">
        <w:rPr>
          <w:sz w:val="22"/>
          <w:szCs w:val="22"/>
        </w:rPr>
        <w:t xml:space="preserve"> orally on Days </w:t>
      </w:r>
      <w:r w:rsidRPr="00BD3FC0">
        <w:rPr>
          <w:sz w:val="22"/>
          <w:szCs w:val="22"/>
        </w:rPr>
        <w:t>1 to 21 of each 28-day cycle.</w:t>
      </w:r>
      <w:r>
        <w:rPr>
          <w:sz w:val="22"/>
          <w:szCs w:val="22"/>
        </w:rPr>
        <w:t xml:space="preserve"> </w:t>
      </w:r>
      <w:r w:rsidRPr="00BD3FC0">
        <w:rPr>
          <w:sz w:val="22"/>
          <w:szCs w:val="22"/>
        </w:rPr>
        <w:t xml:space="preserve"> LD-</w:t>
      </w:r>
      <w:proofErr w:type="spellStart"/>
      <w:r w:rsidRPr="00BD3FC0">
        <w:rPr>
          <w:sz w:val="22"/>
          <w:szCs w:val="22"/>
        </w:rPr>
        <w:t>dex</w:t>
      </w:r>
      <w:proofErr w:type="spellEnd"/>
      <w:r w:rsidRPr="00BD3FC0">
        <w:rPr>
          <w:sz w:val="22"/>
          <w:szCs w:val="22"/>
        </w:rPr>
        <w:t xml:space="preserve"> (40 mg) was ad</w:t>
      </w:r>
      <w:r w:rsidR="008A239D">
        <w:rPr>
          <w:sz w:val="22"/>
          <w:szCs w:val="22"/>
        </w:rPr>
        <w:t>ministered once per day on Days </w:t>
      </w:r>
      <w:r w:rsidRPr="00BD3FC0">
        <w:rPr>
          <w:sz w:val="22"/>
          <w:szCs w:val="22"/>
        </w:rPr>
        <w:t xml:space="preserve">1, 8, 15 and 22 of a 28-day cycle. </w:t>
      </w:r>
      <w:r>
        <w:rPr>
          <w:sz w:val="22"/>
          <w:szCs w:val="22"/>
        </w:rPr>
        <w:t xml:space="preserve"> </w:t>
      </w:r>
      <w:r w:rsidRPr="00BD3FC0">
        <w:rPr>
          <w:sz w:val="22"/>
          <w:szCs w:val="22"/>
        </w:rPr>
        <w:t>For the HD-</w:t>
      </w:r>
      <w:proofErr w:type="spellStart"/>
      <w:r w:rsidRPr="00BD3FC0">
        <w:rPr>
          <w:sz w:val="22"/>
          <w:szCs w:val="22"/>
        </w:rPr>
        <w:t>dex</w:t>
      </w:r>
      <w:proofErr w:type="spellEnd"/>
      <w:r w:rsidRPr="00BD3FC0">
        <w:rPr>
          <w:sz w:val="22"/>
          <w:szCs w:val="22"/>
        </w:rPr>
        <w:t xml:space="preserve"> arm, dexamethasone (40 mg) was ad</w:t>
      </w:r>
      <w:r w:rsidR="00CE32D8">
        <w:rPr>
          <w:sz w:val="22"/>
          <w:szCs w:val="22"/>
        </w:rPr>
        <w:t>ministered once per day on Days </w:t>
      </w:r>
      <w:r w:rsidRPr="00BD3FC0">
        <w:rPr>
          <w:sz w:val="22"/>
          <w:szCs w:val="22"/>
        </w:rPr>
        <w:t>1 through 4, 9 through 12, and 17 through 20 of a 28-day cycle.  Subjects &gt; 75 years o</w:t>
      </w:r>
      <w:r w:rsidR="008A239D">
        <w:rPr>
          <w:sz w:val="22"/>
          <w:szCs w:val="22"/>
        </w:rPr>
        <w:t>f age started treatment with 20 </w:t>
      </w:r>
      <w:r w:rsidRPr="00BD3FC0">
        <w:rPr>
          <w:sz w:val="22"/>
          <w:szCs w:val="22"/>
        </w:rPr>
        <w:t xml:space="preserve">mg dexamethasone using the same schedule.  Treatment continued until subjects had disease progression. </w:t>
      </w:r>
    </w:p>
    <w:p w:rsidR="00BD3FC0" w:rsidRDefault="00BD3FC0" w:rsidP="00930C8F">
      <w:pPr>
        <w:autoSpaceDE w:val="0"/>
        <w:autoSpaceDN w:val="0"/>
        <w:adjustRightInd w:val="0"/>
        <w:rPr>
          <w:sz w:val="22"/>
          <w:szCs w:val="22"/>
        </w:rPr>
      </w:pPr>
    </w:p>
    <w:p w:rsidR="00BD3FC0" w:rsidRDefault="00BD3FC0" w:rsidP="00930C8F">
      <w:pPr>
        <w:autoSpaceDE w:val="0"/>
        <w:autoSpaceDN w:val="0"/>
        <w:adjustRightInd w:val="0"/>
        <w:rPr>
          <w:sz w:val="22"/>
          <w:szCs w:val="22"/>
        </w:rPr>
      </w:pPr>
      <w:r w:rsidRPr="00BD3FC0">
        <w:rPr>
          <w:sz w:val="22"/>
          <w:szCs w:val="22"/>
        </w:rPr>
        <w:t xml:space="preserve">The primary efficacy endpoint was progression free survival (PFS) according to the </w:t>
      </w:r>
      <w:r w:rsidR="008A239D">
        <w:rPr>
          <w:sz w:val="22"/>
          <w:szCs w:val="22"/>
        </w:rPr>
        <w:t>International Myeloma Working Group (</w:t>
      </w:r>
      <w:r w:rsidRPr="00BD3FC0">
        <w:rPr>
          <w:sz w:val="22"/>
          <w:szCs w:val="22"/>
        </w:rPr>
        <w:t>IMWG</w:t>
      </w:r>
      <w:r w:rsidR="008A239D">
        <w:rPr>
          <w:sz w:val="22"/>
          <w:szCs w:val="22"/>
        </w:rPr>
        <w:t>)</w:t>
      </w:r>
      <w:r w:rsidRPr="00BD3FC0">
        <w:rPr>
          <w:sz w:val="22"/>
          <w:szCs w:val="22"/>
        </w:rPr>
        <w:t xml:space="preserve"> criteria.</w:t>
      </w:r>
      <w:r w:rsidR="009122C0">
        <w:rPr>
          <w:sz w:val="22"/>
          <w:szCs w:val="22"/>
        </w:rPr>
        <w:t xml:space="preserve"> </w:t>
      </w:r>
      <w:r w:rsidRPr="00BD3FC0">
        <w:rPr>
          <w:sz w:val="22"/>
          <w:szCs w:val="22"/>
        </w:rPr>
        <w:t xml:space="preserve"> For the Intention-To-Treat (ITT) population, median PFS time by Independent Review Adjudication C</w:t>
      </w:r>
      <w:r w:rsidR="00CE32D8">
        <w:rPr>
          <w:sz w:val="22"/>
          <w:szCs w:val="22"/>
        </w:rPr>
        <w:t>ommittee (IRAC) review</w:t>
      </w:r>
      <w:r w:rsidR="00776F1F">
        <w:rPr>
          <w:sz w:val="22"/>
          <w:szCs w:val="22"/>
        </w:rPr>
        <w:t xml:space="preserve"> as of data cut-off date (01 March 2013)</w:t>
      </w:r>
      <w:r w:rsidR="00CE32D8">
        <w:rPr>
          <w:sz w:val="22"/>
          <w:szCs w:val="22"/>
        </w:rPr>
        <w:t xml:space="preserve"> was </w:t>
      </w:r>
      <w:r w:rsidR="009F3772">
        <w:rPr>
          <w:sz w:val="22"/>
          <w:szCs w:val="22"/>
        </w:rPr>
        <w:t xml:space="preserve">16.0 </w:t>
      </w:r>
      <w:r w:rsidR="00CE32D8">
        <w:rPr>
          <w:sz w:val="22"/>
          <w:szCs w:val="22"/>
        </w:rPr>
        <w:t> </w:t>
      </w:r>
      <w:r w:rsidRPr="00BD3FC0">
        <w:rPr>
          <w:sz w:val="22"/>
          <w:szCs w:val="22"/>
        </w:rPr>
        <w:t xml:space="preserve">weeks </w:t>
      </w:r>
      <w:r w:rsidR="00CE32D8">
        <w:rPr>
          <w:sz w:val="22"/>
          <w:szCs w:val="22"/>
        </w:rPr>
        <w:t xml:space="preserve">in the </w:t>
      </w:r>
      <w:proofErr w:type="spellStart"/>
      <w:r w:rsidR="00CE32D8">
        <w:rPr>
          <w:sz w:val="22"/>
          <w:szCs w:val="22"/>
        </w:rPr>
        <w:t>Pom</w:t>
      </w:r>
      <w:proofErr w:type="spellEnd"/>
      <w:r w:rsidR="00CE32D8">
        <w:rPr>
          <w:sz w:val="22"/>
          <w:szCs w:val="22"/>
        </w:rPr>
        <w:t> + </w:t>
      </w:r>
      <w:r w:rsidR="00042E78">
        <w:rPr>
          <w:sz w:val="22"/>
          <w:szCs w:val="22"/>
        </w:rPr>
        <w:t>LD-</w:t>
      </w:r>
      <w:proofErr w:type="spellStart"/>
      <w:r w:rsidR="00042E78">
        <w:rPr>
          <w:sz w:val="22"/>
          <w:szCs w:val="22"/>
        </w:rPr>
        <w:t>dex</w:t>
      </w:r>
      <w:proofErr w:type="spellEnd"/>
      <w:r w:rsidR="00042E78">
        <w:rPr>
          <w:sz w:val="22"/>
          <w:szCs w:val="22"/>
        </w:rPr>
        <w:t xml:space="preserve"> arm and </w:t>
      </w:r>
      <w:r w:rsidR="00042E78" w:rsidRPr="00BD3FC0">
        <w:rPr>
          <w:sz w:val="22"/>
          <w:szCs w:val="22"/>
        </w:rPr>
        <w:t>8.</w:t>
      </w:r>
      <w:r w:rsidR="009F3772">
        <w:rPr>
          <w:sz w:val="22"/>
          <w:szCs w:val="22"/>
        </w:rPr>
        <w:t>1</w:t>
      </w:r>
      <w:r w:rsidR="00042E78" w:rsidRPr="00BD3FC0">
        <w:rPr>
          <w:sz w:val="22"/>
          <w:szCs w:val="22"/>
        </w:rPr>
        <w:t xml:space="preserve"> weeks </w:t>
      </w:r>
      <w:r w:rsidR="00042E78">
        <w:rPr>
          <w:sz w:val="22"/>
          <w:szCs w:val="22"/>
        </w:rPr>
        <w:t>i</w:t>
      </w:r>
      <w:r w:rsidR="00042E78" w:rsidRPr="00BD3FC0">
        <w:rPr>
          <w:sz w:val="22"/>
          <w:szCs w:val="22"/>
        </w:rPr>
        <w:t>n the HD-</w:t>
      </w:r>
      <w:proofErr w:type="spellStart"/>
      <w:r w:rsidR="00042E78" w:rsidRPr="00BD3FC0">
        <w:rPr>
          <w:sz w:val="22"/>
          <w:szCs w:val="22"/>
        </w:rPr>
        <w:t>dex</w:t>
      </w:r>
      <w:proofErr w:type="spellEnd"/>
      <w:r w:rsidR="00042E78" w:rsidRPr="00BD3FC0">
        <w:rPr>
          <w:sz w:val="22"/>
          <w:szCs w:val="22"/>
        </w:rPr>
        <w:t xml:space="preserve"> arm</w:t>
      </w:r>
      <w:r w:rsidR="00042E78">
        <w:rPr>
          <w:sz w:val="22"/>
          <w:szCs w:val="22"/>
        </w:rPr>
        <w:t xml:space="preserve"> (p &lt; 0.001).  T</w:t>
      </w:r>
      <w:r w:rsidRPr="00BD3FC0">
        <w:rPr>
          <w:sz w:val="22"/>
          <w:szCs w:val="22"/>
        </w:rPr>
        <w:t xml:space="preserve">he estimated 26-week event-free survival rate was </w:t>
      </w:r>
      <w:r w:rsidR="008B3ACD">
        <w:rPr>
          <w:color w:val="000000"/>
          <w:sz w:val="22"/>
          <w:szCs w:val="22"/>
        </w:rPr>
        <w:t>33.03% ±2.79%</w:t>
      </w:r>
      <w:r w:rsidR="00042E78">
        <w:rPr>
          <w:color w:val="000000"/>
          <w:sz w:val="22"/>
          <w:szCs w:val="22"/>
        </w:rPr>
        <w:t xml:space="preserve"> in the </w:t>
      </w:r>
      <w:proofErr w:type="spellStart"/>
      <w:r w:rsidR="00042E78">
        <w:rPr>
          <w:sz w:val="22"/>
          <w:szCs w:val="22"/>
        </w:rPr>
        <w:t>Pom</w:t>
      </w:r>
      <w:proofErr w:type="spellEnd"/>
      <w:r w:rsidR="004F54EF">
        <w:rPr>
          <w:sz w:val="22"/>
          <w:szCs w:val="22"/>
        </w:rPr>
        <w:t> </w:t>
      </w:r>
      <w:r w:rsidR="00042E78">
        <w:rPr>
          <w:sz w:val="22"/>
          <w:szCs w:val="22"/>
        </w:rPr>
        <w:t>+</w:t>
      </w:r>
      <w:r w:rsidR="004F54EF">
        <w:rPr>
          <w:sz w:val="22"/>
          <w:szCs w:val="22"/>
        </w:rPr>
        <w:t> </w:t>
      </w:r>
      <w:r w:rsidR="00042E78">
        <w:rPr>
          <w:sz w:val="22"/>
          <w:szCs w:val="22"/>
        </w:rPr>
        <w:t>LD-</w:t>
      </w:r>
      <w:proofErr w:type="spellStart"/>
      <w:r w:rsidR="00042E78">
        <w:rPr>
          <w:sz w:val="22"/>
          <w:szCs w:val="22"/>
        </w:rPr>
        <w:t>dex</w:t>
      </w:r>
      <w:proofErr w:type="spellEnd"/>
      <w:r w:rsidR="00042E78">
        <w:rPr>
          <w:sz w:val="22"/>
          <w:szCs w:val="22"/>
        </w:rPr>
        <w:t xml:space="preserve"> arm and </w:t>
      </w:r>
      <w:r w:rsidR="008B3ACD">
        <w:rPr>
          <w:color w:val="000000"/>
          <w:sz w:val="22"/>
          <w:szCs w:val="22"/>
        </w:rPr>
        <w:t>12.37%±2.94%</w:t>
      </w:r>
      <w:r w:rsidR="00042E78">
        <w:rPr>
          <w:sz w:val="22"/>
          <w:szCs w:val="22"/>
        </w:rPr>
        <w:t xml:space="preserve"> i</w:t>
      </w:r>
      <w:r w:rsidRPr="00BD3FC0">
        <w:rPr>
          <w:sz w:val="22"/>
          <w:szCs w:val="22"/>
        </w:rPr>
        <w:t>n the HD-</w:t>
      </w:r>
      <w:proofErr w:type="spellStart"/>
      <w:r w:rsidRPr="00BD3FC0">
        <w:rPr>
          <w:sz w:val="22"/>
          <w:szCs w:val="22"/>
        </w:rPr>
        <w:t>dex</w:t>
      </w:r>
      <w:proofErr w:type="spellEnd"/>
      <w:r w:rsidRPr="00BD3FC0">
        <w:rPr>
          <w:sz w:val="22"/>
          <w:szCs w:val="22"/>
        </w:rPr>
        <w:t xml:space="preserve"> arm</w:t>
      </w:r>
      <w:r w:rsidR="00042E78">
        <w:rPr>
          <w:sz w:val="22"/>
          <w:szCs w:val="22"/>
        </w:rPr>
        <w:t xml:space="preserve"> </w:t>
      </w:r>
      <w:r w:rsidR="00D101AD" w:rsidRPr="002237A6">
        <w:rPr>
          <w:sz w:val="22"/>
          <w:szCs w:val="22"/>
        </w:rPr>
        <w:t>(p</w:t>
      </w:r>
      <w:r w:rsidR="002237A6">
        <w:rPr>
          <w:sz w:val="22"/>
          <w:szCs w:val="22"/>
        </w:rPr>
        <w:t>&lt;0.001)</w:t>
      </w:r>
    </w:p>
    <w:p w:rsidR="00BD3FC0" w:rsidRDefault="00BD3FC0" w:rsidP="00930C8F">
      <w:pPr>
        <w:autoSpaceDE w:val="0"/>
        <w:autoSpaceDN w:val="0"/>
        <w:adjustRightInd w:val="0"/>
        <w:rPr>
          <w:sz w:val="22"/>
          <w:szCs w:val="22"/>
        </w:rPr>
      </w:pPr>
    </w:p>
    <w:p w:rsidR="00BD3FC0" w:rsidRDefault="00BD3FC0" w:rsidP="00BD3FC0">
      <w:pPr>
        <w:autoSpaceDE w:val="0"/>
        <w:autoSpaceDN w:val="0"/>
        <w:adjustRightInd w:val="0"/>
        <w:rPr>
          <w:sz w:val="22"/>
          <w:szCs w:val="22"/>
          <w:lang w:val="en-US" w:eastAsia="zh-CN"/>
        </w:rPr>
      </w:pPr>
      <w:r w:rsidRPr="00BD3FC0">
        <w:rPr>
          <w:sz w:val="22"/>
          <w:szCs w:val="22"/>
          <w:lang w:val="en-US" w:eastAsia="zh-CN"/>
        </w:rPr>
        <w:t>Progression-free survival was evaluated in several relevant subgroups</w:t>
      </w:r>
      <w:r w:rsidR="002237A6">
        <w:rPr>
          <w:sz w:val="22"/>
          <w:szCs w:val="22"/>
          <w:lang w:val="en-US" w:eastAsia="zh-CN"/>
        </w:rPr>
        <w:t xml:space="preserve">.  </w:t>
      </w:r>
      <w:r w:rsidR="00FD0148">
        <w:rPr>
          <w:sz w:val="22"/>
          <w:szCs w:val="22"/>
          <w:lang w:val="en-US" w:eastAsia="zh-CN"/>
        </w:rPr>
        <w:t>In most</w:t>
      </w:r>
      <w:r w:rsidR="00FD0148" w:rsidRPr="00BD3FC0">
        <w:rPr>
          <w:sz w:val="22"/>
          <w:szCs w:val="22"/>
          <w:lang w:val="en-US" w:eastAsia="zh-CN"/>
        </w:rPr>
        <w:t xml:space="preserve"> </w:t>
      </w:r>
      <w:r w:rsidRPr="00BD3FC0">
        <w:rPr>
          <w:sz w:val="22"/>
          <w:szCs w:val="22"/>
          <w:lang w:val="en-US" w:eastAsia="zh-CN"/>
        </w:rPr>
        <w:t>of the subgroup evaluated, PFS was generally consistent with that</w:t>
      </w:r>
      <w:r>
        <w:rPr>
          <w:sz w:val="22"/>
          <w:szCs w:val="22"/>
          <w:lang w:val="en-US" w:eastAsia="zh-CN"/>
        </w:rPr>
        <w:t xml:space="preserve"> observed in the ITT population </w:t>
      </w:r>
      <w:r w:rsidRPr="00BD3FC0">
        <w:rPr>
          <w:sz w:val="22"/>
          <w:szCs w:val="22"/>
          <w:lang w:val="en-US" w:eastAsia="zh-CN"/>
        </w:rPr>
        <w:t>for both treatment groups.</w:t>
      </w:r>
    </w:p>
    <w:p w:rsidR="007D713D" w:rsidRDefault="007D713D" w:rsidP="00BD3FC0">
      <w:pPr>
        <w:autoSpaceDE w:val="0"/>
        <w:autoSpaceDN w:val="0"/>
        <w:adjustRightInd w:val="0"/>
        <w:rPr>
          <w:sz w:val="22"/>
          <w:szCs w:val="22"/>
          <w:lang w:val="en-US" w:eastAsia="zh-CN"/>
        </w:rPr>
      </w:pPr>
    </w:p>
    <w:p w:rsidR="007D713D" w:rsidRPr="00126BF1" w:rsidRDefault="007D713D" w:rsidP="007D713D">
      <w:pPr>
        <w:rPr>
          <w:sz w:val="22"/>
          <w:szCs w:val="22"/>
        </w:rPr>
      </w:pPr>
      <w:r w:rsidRPr="00126BF1">
        <w:rPr>
          <w:sz w:val="22"/>
          <w:szCs w:val="22"/>
        </w:rPr>
        <w:t xml:space="preserve">Overall Survival </w:t>
      </w:r>
      <w:r w:rsidR="001800BC">
        <w:rPr>
          <w:sz w:val="22"/>
          <w:szCs w:val="22"/>
        </w:rPr>
        <w:t xml:space="preserve">(OS) </w:t>
      </w:r>
      <w:r w:rsidRPr="00126BF1">
        <w:rPr>
          <w:sz w:val="22"/>
          <w:szCs w:val="22"/>
        </w:rPr>
        <w:t xml:space="preserve">was one of the secondary study endpoints. </w:t>
      </w:r>
      <w:r>
        <w:rPr>
          <w:sz w:val="22"/>
          <w:szCs w:val="22"/>
        </w:rPr>
        <w:t xml:space="preserve"> </w:t>
      </w:r>
      <w:r w:rsidRPr="00126BF1">
        <w:rPr>
          <w:sz w:val="22"/>
          <w:szCs w:val="22"/>
        </w:rPr>
        <w:t xml:space="preserve">A </w:t>
      </w:r>
      <w:r w:rsidR="00CE32D8">
        <w:rPr>
          <w:sz w:val="22"/>
          <w:szCs w:val="22"/>
        </w:rPr>
        <w:t xml:space="preserve">total of </w:t>
      </w:r>
      <w:r w:rsidR="008B3ACD">
        <w:rPr>
          <w:sz w:val="22"/>
          <w:szCs w:val="22"/>
        </w:rPr>
        <w:t>145 (48.0%)</w:t>
      </w:r>
      <w:r w:rsidR="00CE32D8">
        <w:rPr>
          <w:sz w:val="22"/>
          <w:szCs w:val="22"/>
        </w:rPr>
        <w:t xml:space="preserve"> of the </w:t>
      </w:r>
      <w:proofErr w:type="spellStart"/>
      <w:r w:rsidR="00CE32D8">
        <w:rPr>
          <w:sz w:val="22"/>
          <w:szCs w:val="22"/>
        </w:rPr>
        <w:t>Pom</w:t>
      </w:r>
      <w:proofErr w:type="spellEnd"/>
      <w:r w:rsidR="00CE32D8">
        <w:rPr>
          <w:sz w:val="22"/>
          <w:szCs w:val="22"/>
        </w:rPr>
        <w:t> + LD</w:t>
      </w:r>
      <w:r w:rsidR="00CE32D8">
        <w:rPr>
          <w:sz w:val="22"/>
          <w:szCs w:val="22"/>
        </w:rPr>
        <w:noBreakHyphen/>
      </w:r>
      <w:proofErr w:type="spellStart"/>
      <w:r w:rsidRPr="00126BF1">
        <w:rPr>
          <w:sz w:val="22"/>
          <w:szCs w:val="22"/>
        </w:rPr>
        <w:t>dex</w:t>
      </w:r>
      <w:proofErr w:type="spellEnd"/>
      <w:r w:rsidRPr="00126BF1">
        <w:rPr>
          <w:sz w:val="22"/>
          <w:szCs w:val="22"/>
        </w:rPr>
        <w:t xml:space="preserve"> subjects and </w:t>
      </w:r>
      <w:r w:rsidR="008B3ACD">
        <w:rPr>
          <w:sz w:val="22"/>
          <w:szCs w:val="22"/>
        </w:rPr>
        <w:t>82 (53.6%)</w:t>
      </w:r>
      <w:r w:rsidRPr="00126BF1">
        <w:rPr>
          <w:sz w:val="22"/>
          <w:szCs w:val="22"/>
        </w:rPr>
        <w:t xml:space="preserve"> of the HD-</w:t>
      </w:r>
      <w:proofErr w:type="spellStart"/>
      <w:r w:rsidRPr="00126BF1">
        <w:rPr>
          <w:sz w:val="22"/>
          <w:szCs w:val="22"/>
        </w:rPr>
        <w:t>dex</w:t>
      </w:r>
      <w:proofErr w:type="spellEnd"/>
      <w:r w:rsidRPr="00126BF1">
        <w:rPr>
          <w:sz w:val="22"/>
          <w:szCs w:val="22"/>
        </w:rPr>
        <w:t xml:space="preserve"> subjects </w:t>
      </w:r>
      <w:r w:rsidR="00776F1F">
        <w:rPr>
          <w:sz w:val="22"/>
          <w:szCs w:val="22"/>
        </w:rPr>
        <w:t>had died</w:t>
      </w:r>
      <w:r w:rsidR="008B3ACD" w:rsidRPr="00126BF1">
        <w:rPr>
          <w:sz w:val="22"/>
          <w:szCs w:val="22"/>
        </w:rPr>
        <w:t xml:space="preserve"> </w:t>
      </w:r>
      <w:r w:rsidRPr="00126BF1">
        <w:rPr>
          <w:sz w:val="22"/>
          <w:szCs w:val="22"/>
        </w:rPr>
        <w:t xml:space="preserve">as of </w:t>
      </w:r>
      <w:r w:rsidR="00CE32D8">
        <w:rPr>
          <w:sz w:val="22"/>
          <w:szCs w:val="22"/>
        </w:rPr>
        <w:t>the</w:t>
      </w:r>
      <w:r w:rsidR="00776F1F">
        <w:rPr>
          <w:sz w:val="22"/>
          <w:szCs w:val="22"/>
        </w:rPr>
        <w:t xml:space="preserve"> data</w:t>
      </w:r>
      <w:r w:rsidR="00CE32D8">
        <w:rPr>
          <w:sz w:val="22"/>
          <w:szCs w:val="22"/>
        </w:rPr>
        <w:t xml:space="preserve"> cut</w:t>
      </w:r>
      <w:r w:rsidR="00776F1F">
        <w:rPr>
          <w:sz w:val="22"/>
          <w:szCs w:val="22"/>
        </w:rPr>
        <w:t>-</w:t>
      </w:r>
      <w:r w:rsidR="00CE32D8">
        <w:rPr>
          <w:sz w:val="22"/>
          <w:szCs w:val="22"/>
        </w:rPr>
        <w:t xml:space="preserve">off date </w:t>
      </w:r>
      <w:r w:rsidR="004B7960">
        <w:rPr>
          <w:sz w:val="22"/>
          <w:szCs w:val="22"/>
        </w:rPr>
        <w:t>(01</w:t>
      </w:r>
      <w:r w:rsidR="00776F1F">
        <w:rPr>
          <w:sz w:val="22"/>
          <w:szCs w:val="22"/>
        </w:rPr>
        <w:t> </w:t>
      </w:r>
      <w:r w:rsidR="008B3ACD">
        <w:rPr>
          <w:sz w:val="22"/>
          <w:szCs w:val="22"/>
        </w:rPr>
        <w:t>March 2013</w:t>
      </w:r>
      <w:r w:rsidRPr="00126BF1">
        <w:rPr>
          <w:sz w:val="22"/>
          <w:szCs w:val="22"/>
        </w:rPr>
        <w:t>).  Median OS time from Kaplan-Meier estimates</w:t>
      </w:r>
      <w:r w:rsidR="00776F1F">
        <w:rPr>
          <w:sz w:val="22"/>
          <w:szCs w:val="22"/>
        </w:rPr>
        <w:t xml:space="preserve"> was 55.4 weeks</w:t>
      </w:r>
      <w:r w:rsidRPr="00126BF1">
        <w:rPr>
          <w:sz w:val="22"/>
          <w:szCs w:val="22"/>
        </w:rPr>
        <w:t xml:space="preserve"> </w:t>
      </w:r>
      <w:r w:rsidR="00CE32D8">
        <w:rPr>
          <w:sz w:val="22"/>
          <w:szCs w:val="22"/>
        </w:rPr>
        <w:t xml:space="preserve">for the </w:t>
      </w:r>
      <w:proofErr w:type="spellStart"/>
      <w:r w:rsidR="00CE32D8">
        <w:rPr>
          <w:sz w:val="22"/>
          <w:szCs w:val="22"/>
        </w:rPr>
        <w:t>Pom</w:t>
      </w:r>
      <w:proofErr w:type="spellEnd"/>
      <w:r w:rsidR="00CE32D8">
        <w:rPr>
          <w:sz w:val="22"/>
          <w:szCs w:val="22"/>
        </w:rPr>
        <w:t> + </w:t>
      </w:r>
      <w:r w:rsidRPr="00126BF1">
        <w:rPr>
          <w:sz w:val="22"/>
          <w:szCs w:val="22"/>
        </w:rPr>
        <w:t>LD</w:t>
      </w:r>
      <w:r w:rsidR="00776F1F">
        <w:rPr>
          <w:sz w:val="22"/>
          <w:szCs w:val="22"/>
        </w:rPr>
        <w:noBreakHyphen/>
      </w:r>
      <w:proofErr w:type="spellStart"/>
      <w:r w:rsidRPr="00126BF1">
        <w:rPr>
          <w:sz w:val="22"/>
          <w:szCs w:val="22"/>
        </w:rPr>
        <w:t>dex</w:t>
      </w:r>
      <w:proofErr w:type="spellEnd"/>
      <w:r w:rsidR="008B3ACD">
        <w:rPr>
          <w:sz w:val="22"/>
          <w:szCs w:val="22"/>
        </w:rPr>
        <w:t xml:space="preserve"> </w:t>
      </w:r>
      <w:r w:rsidR="00776F1F">
        <w:rPr>
          <w:sz w:val="22"/>
          <w:szCs w:val="22"/>
        </w:rPr>
        <w:t>and 35.1</w:t>
      </w:r>
      <w:r w:rsidR="00776F1F" w:rsidRPr="00126BF1">
        <w:rPr>
          <w:sz w:val="22"/>
          <w:szCs w:val="22"/>
        </w:rPr>
        <w:t xml:space="preserve"> weeks</w:t>
      </w:r>
      <w:r w:rsidRPr="00126BF1">
        <w:rPr>
          <w:sz w:val="22"/>
          <w:szCs w:val="22"/>
        </w:rPr>
        <w:t xml:space="preserve"> for the </w:t>
      </w:r>
      <w:r w:rsidR="00CE32D8">
        <w:rPr>
          <w:sz w:val="22"/>
          <w:szCs w:val="22"/>
        </w:rPr>
        <w:t>HD</w:t>
      </w:r>
      <w:r w:rsidR="00CE32D8">
        <w:rPr>
          <w:sz w:val="22"/>
          <w:szCs w:val="22"/>
        </w:rPr>
        <w:noBreakHyphen/>
      </w:r>
      <w:proofErr w:type="spellStart"/>
      <w:r w:rsidRPr="00126BF1">
        <w:rPr>
          <w:sz w:val="22"/>
          <w:szCs w:val="22"/>
        </w:rPr>
        <w:t>dex</w:t>
      </w:r>
      <w:proofErr w:type="spellEnd"/>
      <w:r w:rsidRPr="00126BF1">
        <w:rPr>
          <w:sz w:val="22"/>
          <w:szCs w:val="22"/>
        </w:rPr>
        <w:t xml:space="preserve"> arm</w:t>
      </w:r>
      <w:r w:rsidR="00776F1F">
        <w:rPr>
          <w:sz w:val="22"/>
          <w:szCs w:val="22"/>
        </w:rPr>
        <w:t xml:space="preserve"> (p=0.028)</w:t>
      </w:r>
      <w:r w:rsidRPr="00126BF1">
        <w:rPr>
          <w:sz w:val="22"/>
          <w:szCs w:val="22"/>
        </w:rPr>
        <w:t>.  The 1</w:t>
      </w:r>
      <w:r w:rsidRPr="00126BF1">
        <w:rPr>
          <w:sz w:val="22"/>
          <w:szCs w:val="22"/>
        </w:rPr>
        <w:noBreakHyphen/>
        <w:t>ye</w:t>
      </w:r>
      <w:r w:rsidR="00CE32D8">
        <w:rPr>
          <w:sz w:val="22"/>
          <w:szCs w:val="22"/>
        </w:rPr>
        <w:t xml:space="preserve">ar event free rate was </w:t>
      </w:r>
      <w:r w:rsidR="007F0615">
        <w:rPr>
          <w:sz w:val="22"/>
          <w:szCs w:val="22"/>
        </w:rPr>
        <w:t>51.11%±3.30%</w:t>
      </w:r>
      <w:r w:rsidRPr="00126BF1">
        <w:rPr>
          <w:sz w:val="22"/>
          <w:szCs w:val="22"/>
        </w:rPr>
        <w:t xml:space="preserve"> for the </w:t>
      </w:r>
      <w:proofErr w:type="spellStart"/>
      <w:r w:rsidRPr="00126BF1">
        <w:rPr>
          <w:sz w:val="22"/>
          <w:szCs w:val="22"/>
        </w:rPr>
        <w:t>Pom</w:t>
      </w:r>
      <w:proofErr w:type="spellEnd"/>
      <w:r w:rsidR="004F54EF">
        <w:rPr>
          <w:sz w:val="22"/>
          <w:szCs w:val="22"/>
        </w:rPr>
        <w:t> </w:t>
      </w:r>
      <w:r w:rsidRPr="00126BF1">
        <w:rPr>
          <w:sz w:val="22"/>
          <w:szCs w:val="22"/>
        </w:rPr>
        <w:t>+</w:t>
      </w:r>
      <w:r w:rsidR="004F54EF">
        <w:rPr>
          <w:sz w:val="22"/>
          <w:szCs w:val="22"/>
        </w:rPr>
        <w:t> </w:t>
      </w:r>
      <w:r w:rsidRPr="00126BF1">
        <w:rPr>
          <w:sz w:val="22"/>
          <w:szCs w:val="22"/>
        </w:rPr>
        <w:t>LD-</w:t>
      </w:r>
      <w:proofErr w:type="spellStart"/>
      <w:r w:rsidRPr="00126BF1">
        <w:rPr>
          <w:sz w:val="22"/>
          <w:szCs w:val="22"/>
        </w:rPr>
        <w:t>dex</w:t>
      </w:r>
      <w:proofErr w:type="spellEnd"/>
      <w:r w:rsidRPr="00126BF1">
        <w:rPr>
          <w:sz w:val="22"/>
          <w:szCs w:val="22"/>
        </w:rPr>
        <w:t xml:space="preserve"> arm and </w:t>
      </w:r>
      <w:r w:rsidR="007F0615">
        <w:rPr>
          <w:sz w:val="22"/>
          <w:szCs w:val="22"/>
        </w:rPr>
        <w:t>39.44% ±4.51%</w:t>
      </w:r>
      <w:r w:rsidRPr="00126BF1">
        <w:rPr>
          <w:sz w:val="22"/>
          <w:szCs w:val="22"/>
        </w:rPr>
        <w:t xml:space="preserve"> for the HD-</w:t>
      </w:r>
      <w:proofErr w:type="spellStart"/>
      <w:r w:rsidRPr="00126BF1">
        <w:rPr>
          <w:sz w:val="22"/>
          <w:szCs w:val="22"/>
        </w:rPr>
        <w:t>dex</w:t>
      </w:r>
      <w:proofErr w:type="spellEnd"/>
      <w:r w:rsidRPr="00126BF1">
        <w:rPr>
          <w:sz w:val="22"/>
          <w:szCs w:val="22"/>
        </w:rPr>
        <w:t xml:space="preserve"> arm</w:t>
      </w:r>
      <w:r w:rsidR="007F0615">
        <w:rPr>
          <w:sz w:val="22"/>
          <w:szCs w:val="22"/>
        </w:rPr>
        <w:t xml:space="preserve"> (p=0.</w:t>
      </w:r>
      <w:r w:rsidR="00776F1F">
        <w:rPr>
          <w:sz w:val="22"/>
          <w:szCs w:val="22"/>
        </w:rPr>
        <w:t>0</w:t>
      </w:r>
      <w:r w:rsidR="007F0615">
        <w:rPr>
          <w:sz w:val="22"/>
          <w:szCs w:val="22"/>
        </w:rPr>
        <w:t>28</w:t>
      </w:r>
      <w:r w:rsidRPr="00126BF1">
        <w:rPr>
          <w:sz w:val="22"/>
          <w:szCs w:val="22"/>
        </w:rPr>
        <w:t>).  Results for the efficacy evaluable population are consistent with those observed in the ITT population.</w:t>
      </w:r>
    </w:p>
    <w:p w:rsidR="003976F1" w:rsidRDefault="003976F1" w:rsidP="003976F1">
      <w:pPr>
        <w:autoSpaceDE w:val="0"/>
        <w:autoSpaceDN w:val="0"/>
        <w:adjustRightInd w:val="0"/>
        <w:rPr>
          <w:sz w:val="22"/>
          <w:szCs w:val="22"/>
          <w:lang w:val="en-US" w:eastAsia="zh-CN"/>
        </w:rPr>
      </w:pPr>
    </w:p>
    <w:p w:rsidR="00FD527B" w:rsidRDefault="005B26AE" w:rsidP="008B62B4">
      <w:pPr>
        <w:pStyle w:val="C-BodyText"/>
        <w:spacing w:before="0" w:after="0"/>
        <w:rPr>
          <w:sz w:val="22"/>
          <w:szCs w:val="22"/>
          <w:lang w:val="en-AU"/>
        </w:rPr>
      </w:pPr>
      <w:r>
        <w:rPr>
          <w:sz w:val="22"/>
          <w:szCs w:val="22"/>
          <w:lang w:eastAsia="zh-CN"/>
        </w:rPr>
        <w:t xml:space="preserve">The </w:t>
      </w:r>
      <w:r w:rsidR="003976F1" w:rsidRPr="003976F1">
        <w:rPr>
          <w:sz w:val="22"/>
          <w:szCs w:val="22"/>
          <w:lang w:eastAsia="zh-CN"/>
        </w:rPr>
        <w:t xml:space="preserve">PFS </w:t>
      </w:r>
      <w:r>
        <w:rPr>
          <w:sz w:val="22"/>
          <w:szCs w:val="22"/>
          <w:lang w:eastAsia="zh-CN"/>
        </w:rPr>
        <w:t xml:space="preserve">and OS </w:t>
      </w:r>
      <w:r w:rsidR="003976F1" w:rsidRPr="003976F1">
        <w:rPr>
          <w:sz w:val="22"/>
          <w:szCs w:val="22"/>
          <w:lang w:eastAsia="zh-CN"/>
        </w:rPr>
        <w:t>for the ITT population</w:t>
      </w:r>
      <w:r>
        <w:rPr>
          <w:sz w:val="22"/>
          <w:szCs w:val="22"/>
          <w:lang w:eastAsia="zh-CN"/>
        </w:rPr>
        <w:t xml:space="preserve"> are</w:t>
      </w:r>
      <w:r w:rsidR="008A239D">
        <w:rPr>
          <w:sz w:val="22"/>
          <w:szCs w:val="22"/>
          <w:lang w:eastAsia="zh-CN"/>
        </w:rPr>
        <w:t xml:space="preserve"> </w:t>
      </w:r>
      <w:proofErr w:type="spellStart"/>
      <w:r w:rsidR="008A239D">
        <w:rPr>
          <w:sz w:val="22"/>
          <w:szCs w:val="22"/>
          <w:lang w:eastAsia="zh-CN"/>
        </w:rPr>
        <w:t>summarised</w:t>
      </w:r>
      <w:proofErr w:type="spellEnd"/>
      <w:r w:rsidR="008A239D">
        <w:rPr>
          <w:sz w:val="22"/>
          <w:szCs w:val="22"/>
          <w:lang w:eastAsia="zh-CN"/>
        </w:rPr>
        <w:t xml:space="preserve"> in Table 1</w:t>
      </w:r>
      <w:r w:rsidR="003976F1" w:rsidRPr="003976F1">
        <w:rPr>
          <w:sz w:val="22"/>
          <w:szCs w:val="22"/>
          <w:lang w:eastAsia="zh-CN"/>
        </w:rPr>
        <w:t>.</w:t>
      </w:r>
      <w:r w:rsidR="008A239D">
        <w:rPr>
          <w:sz w:val="22"/>
          <w:szCs w:val="22"/>
          <w:lang w:eastAsia="zh-CN"/>
        </w:rPr>
        <w:t xml:space="preserve"> </w:t>
      </w:r>
      <w:r w:rsidR="003976F1" w:rsidRPr="003976F1">
        <w:rPr>
          <w:sz w:val="22"/>
          <w:szCs w:val="22"/>
          <w:lang w:eastAsia="zh-CN"/>
        </w:rPr>
        <w:t xml:space="preserve"> </w:t>
      </w:r>
      <w:r w:rsidR="00EB2081">
        <w:rPr>
          <w:sz w:val="22"/>
          <w:szCs w:val="22"/>
          <w:lang w:eastAsia="zh-CN"/>
        </w:rPr>
        <w:t xml:space="preserve">The </w:t>
      </w:r>
      <w:r w:rsidR="003976F1" w:rsidRPr="003976F1">
        <w:rPr>
          <w:sz w:val="22"/>
          <w:szCs w:val="22"/>
          <w:lang w:eastAsia="zh-CN"/>
        </w:rPr>
        <w:t xml:space="preserve">Kaplan-Meier </w:t>
      </w:r>
      <w:proofErr w:type="gramStart"/>
      <w:r w:rsidR="003976F1" w:rsidRPr="003976F1">
        <w:rPr>
          <w:sz w:val="22"/>
          <w:szCs w:val="22"/>
          <w:lang w:eastAsia="zh-CN"/>
        </w:rPr>
        <w:t xml:space="preserve">curve for PFS </w:t>
      </w:r>
      <w:r>
        <w:rPr>
          <w:sz w:val="22"/>
          <w:szCs w:val="22"/>
          <w:lang w:eastAsia="zh-CN"/>
        </w:rPr>
        <w:t>and OS for the ITT population are</w:t>
      </w:r>
      <w:proofErr w:type="gramEnd"/>
      <w:r w:rsidR="003976F1" w:rsidRPr="003976F1">
        <w:rPr>
          <w:sz w:val="22"/>
          <w:szCs w:val="22"/>
          <w:lang w:eastAsia="zh-CN"/>
        </w:rPr>
        <w:t xml:space="preserve"> provided in Figure</w:t>
      </w:r>
      <w:r>
        <w:rPr>
          <w:sz w:val="22"/>
          <w:szCs w:val="22"/>
          <w:lang w:eastAsia="zh-CN"/>
        </w:rPr>
        <w:t>s</w:t>
      </w:r>
      <w:r w:rsidR="003976F1" w:rsidRPr="003976F1">
        <w:rPr>
          <w:sz w:val="22"/>
          <w:szCs w:val="22"/>
          <w:lang w:eastAsia="zh-CN"/>
        </w:rPr>
        <w:t xml:space="preserve"> 1</w:t>
      </w:r>
      <w:r>
        <w:rPr>
          <w:sz w:val="22"/>
          <w:szCs w:val="22"/>
          <w:lang w:eastAsia="zh-CN"/>
        </w:rPr>
        <w:t xml:space="preserve"> and 2 respectively</w:t>
      </w:r>
      <w:r w:rsidR="003976F1" w:rsidRPr="003976F1">
        <w:rPr>
          <w:sz w:val="22"/>
          <w:szCs w:val="22"/>
          <w:lang w:eastAsia="zh-CN"/>
        </w:rPr>
        <w:t>.</w:t>
      </w:r>
      <w:r w:rsidR="00FD527B">
        <w:rPr>
          <w:sz w:val="22"/>
          <w:szCs w:val="22"/>
          <w:lang w:val="en-AU"/>
        </w:rPr>
        <w:br w:type="page"/>
      </w:r>
    </w:p>
    <w:p w:rsidR="00C22942" w:rsidRDefault="009017AB" w:rsidP="00CB4513">
      <w:pPr>
        <w:keepNext/>
        <w:ind w:left="851" w:hanging="851"/>
        <w:rPr>
          <w:sz w:val="22"/>
          <w:szCs w:val="22"/>
          <w:lang w:eastAsia="ja-JP"/>
        </w:rPr>
      </w:pPr>
      <w:r>
        <w:rPr>
          <w:b/>
          <w:sz w:val="22"/>
          <w:szCs w:val="22"/>
          <w:lang w:val="en-AU"/>
        </w:rPr>
        <w:lastRenderedPageBreak/>
        <w:t xml:space="preserve">Table 1 - </w:t>
      </w:r>
      <w:r w:rsidR="003976F1" w:rsidRPr="00EC1A19">
        <w:rPr>
          <w:b/>
          <w:sz w:val="22"/>
          <w:szCs w:val="22"/>
          <w:lang w:eastAsia="ja-JP"/>
        </w:rPr>
        <w:t>Progression Free Survival Time</w:t>
      </w:r>
      <w:r w:rsidR="007525C3" w:rsidRPr="00EC1A19">
        <w:rPr>
          <w:b/>
          <w:sz w:val="22"/>
          <w:szCs w:val="22"/>
          <w:lang w:eastAsia="ja-JP"/>
        </w:rPr>
        <w:t xml:space="preserve"> and Overall Survival time</w:t>
      </w:r>
      <w:r w:rsidR="003976F1" w:rsidRPr="00EC1A19">
        <w:rPr>
          <w:b/>
          <w:sz w:val="22"/>
          <w:szCs w:val="22"/>
          <w:lang w:eastAsia="ja-JP"/>
        </w:rPr>
        <w:t xml:space="preserve"> by IRAC Review Based on IMWG Criteria </w:t>
      </w:r>
      <w:r w:rsidR="00EC1A19">
        <w:rPr>
          <w:b/>
          <w:sz w:val="22"/>
          <w:szCs w:val="22"/>
          <w:lang w:eastAsia="ja-JP"/>
        </w:rPr>
        <w:t xml:space="preserve">in </w:t>
      </w:r>
      <w:r w:rsidR="00EC1A19" w:rsidRPr="0097537A">
        <w:rPr>
          <w:b/>
          <w:sz w:val="22"/>
          <w:szCs w:val="22"/>
          <w:lang w:val="en-US" w:eastAsia="zh-CN"/>
        </w:rPr>
        <w:t>CC-4047-MM-003</w:t>
      </w:r>
      <w:r w:rsidR="00EC1A19" w:rsidRPr="00EC1A19">
        <w:rPr>
          <w:b/>
          <w:sz w:val="22"/>
          <w:szCs w:val="22"/>
          <w:lang w:eastAsia="ja-JP"/>
        </w:rPr>
        <w:t xml:space="preserve"> </w:t>
      </w:r>
      <w:r w:rsidR="003976F1" w:rsidRPr="00EC1A19">
        <w:rPr>
          <w:b/>
          <w:sz w:val="22"/>
          <w:szCs w:val="22"/>
          <w:lang w:eastAsia="ja-JP"/>
        </w:rPr>
        <w:t>(ITT Population)</w:t>
      </w:r>
    </w:p>
    <w:p w:rsidR="00042E78" w:rsidRPr="00FC3CDC" w:rsidRDefault="00042E78" w:rsidP="00FC3CDC"/>
    <w:tbl>
      <w:tblPr>
        <w:tblW w:w="9305" w:type="dxa"/>
        <w:tblCellMar>
          <w:left w:w="60" w:type="dxa"/>
          <w:right w:w="60" w:type="dxa"/>
        </w:tblCellMar>
        <w:tblLook w:val="0000" w:firstRow="0" w:lastRow="0" w:firstColumn="0" w:lastColumn="0" w:noHBand="0" w:noVBand="0"/>
      </w:tblPr>
      <w:tblGrid>
        <w:gridCol w:w="2850"/>
        <w:gridCol w:w="1613"/>
        <w:gridCol w:w="1614"/>
        <w:gridCol w:w="1614"/>
        <w:gridCol w:w="1614"/>
      </w:tblGrid>
      <w:tr w:rsidR="007525C3" w:rsidRPr="00A00A78" w:rsidTr="00D67512">
        <w:trPr>
          <w:cantSplit/>
          <w:tblHeader/>
        </w:trPr>
        <w:tc>
          <w:tcPr>
            <w:tcW w:w="2850" w:type="dxa"/>
            <w:tcBorders>
              <w:top w:val="inset" w:sz="4" w:space="0" w:color="000000"/>
              <w:left w:val="inset" w:sz="4" w:space="0" w:color="000000"/>
              <w:bottom w:val="single" w:sz="6" w:space="0" w:color="auto"/>
              <w:right w:val="nil"/>
            </w:tcBorders>
            <w:shd w:val="clear" w:color="auto" w:fill="FFFFFF"/>
            <w:vAlign w:val="bottom"/>
          </w:tcPr>
          <w:p w:rsidR="007525C3" w:rsidRPr="00A00A78" w:rsidRDefault="007525C3" w:rsidP="00344325">
            <w:pPr>
              <w:keepNext/>
              <w:adjustRightInd w:val="0"/>
              <w:spacing w:before="60" w:after="60"/>
              <w:jc w:val="center"/>
              <w:rPr>
                <w:b/>
                <w:bCs/>
                <w:color w:val="000000"/>
                <w:sz w:val="20"/>
              </w:rPr>
            </w:pPr>
          </w:p>
        </w:tc>
        <w:tc>
          <w:tcPr>
            <w:tcW w:w="3227" w:type="dxa"/>
            <w:gridSpan w:val="2"/>
            <w:tcBorders>
              <w:top w:val="inset" w:sz="4" w:space="0" w:color="000000"/>
              <w:left w:val="inset" w:sz="2" w:space="0" w:color="000000"/>
              <w:bottom w:val="single" w:sz="6" w:space="0" w:color="auto"/>
              <w:right w:val="single" w:sz="4" w:space="0" w:color="auto"/>
            </w:tcBorders>
            <w:shd w:val="clear" w:color="auto" w:fill="FFFFFF"/>
            <w:vAlign w:val="bottom"/>
          </w:tcPr>
          <w:p w:rsidR="007525C3" w:rsidRPr="00A12040" w:rsidRDefault="007525C3" w:rsidP="007525C3">
            <w:pPr>
              <w:keepNext/>
              <w:adjustRightInd w:val="0"/>
              <w:spacing w:before="60" w:after="60"/>
              <w:jc w:val="center"/>
              <w:rPr>
                <w:b/>
                <w:bCs/>
                <w:color w:val="000000"/>
                <w:sz w:val="22"/>
                <w:szCs w:val="22"/>
              </w:rPr>
            </w:pPr>
            <w:r w:rsidRPr="00A12040">
              <w:rPr>
                <w:b/>
                <w:color w:val="000000"/>
                <w:sz w:val="22"/>
                <w:szCs w:val="22"/>
              </w:rPr>
              <w:t>Progression Free Survival Time(weeks)</w:t>
            </w:r>
          </w:p>
        </w:tc>
        <w:tc>
          <w:tcPr>
            <w:tcW w:w="3228" w:type="dxa"/>
            <w:gridSpan w:val="2"/>
            <w:tcBorders>
              <w:top w:val="inset" w:sz="4" w:space="0" w:color="000000"/>
              <w:left w:val="inset" w:sz="2" w:space="0" w:color="000000"/>
              <w:bottom w:val="single" w:sz="6" w:space="0" w:color="auto"/>
              <w:right w:val="single" w:sz="4" w:space="0" w:color="auto"/>
            </w:tcBorders>
            <w:shd w:val="clear" w:color="auto" w:fill="FFFFFF"/>
          </w:tcPr>
          <w:p w:rsidR="007525C3" w:rsidRPr="00A12040" w:rsidRDefault="007525C3" w:rsidP="007525C3">
            <w:pPr>
              <w:keepNext/>
              <w:adjustRightInd w:val="0"/>
              <w:spacing w:before="60" w:after="60"/>
              <w:jc w:val="center"/>
              <w:rPr>
                <w:b/>
                <w:bCs/>
                <w:color w:val="000000"/>
                <w:sz w:val="22"/>
                <w:szCs w:val="22"/>
              </w:rPr>
            </w:pPr>
            <w:r w:rsidRPr="00A12040">
              <w:rPr>
                <w:b/>
                <w:sz w:val="22"/>
                <w:szCs w:val="22"/>
                <w:lang w:eastAsia="ja-JP"/>
              </w:rPr>
              <w:t>Overall Survival time (weeks)</w:t>
            </w:r>
          </w:p>
        </w:tc>
      </w:tr>
      <w:tr w:rsidR="007525C3" w:rsidRPr="00A00A78" w:rsidTr="00D67512">
        <w:trPr>
          <w:cantSplit/>
          <w:tblHeader/>
        </w:trPr>
        <w:tc>
          <w:tcPr>
            <w:tcW w:w="2850" w:type="dxa"/>
            <w:tcBorders>
              <w:top w:val="inset" w:sz="4" w:space="0" w:color="000000"/>
              <w:left w:val="inset" w:sz="4" w:space="0" w:color="000000"/>
              <w:bottom w:val="single" w:sz="6" w:space="0" w:color="auto"/>
              <w:right w:val="nil"/>
            </w:tcBorders>
            <w:shd w:val="clear" w:color="auto" w:fill="FFFFFF"/>
            <w:vAlign w:val="bottom"/>
          </w:tcPr>
          <w:p w:rsidR="007525C3" w:rsidRPr="00A00A78" w:rsidRDefault="007525C3" w:rsidP="00344325">
            <w:pPr>
              <w:keepNext/>
              <w:adjustRightInd w:val="0"/>
              <w:spacing w:before="60" w:after="60"/>
              <w:jc w:val="center"/>
              <w:rPr>
                <w:b/>
                <w:bCs/>
                <w:color w:val="000000"/>
                <w:sz w:val="20"/>
              </w:rPr>
            </w:pPr>
          </w:p>
        </w:tc>
        <w:tc>
          <w:tcPr>
            <w:tcW w:w="1613" w:type="dxa"/>
            <w:tcBorders>
              <w:top w:val="inset" w:sz="4" w:space="0" w:color="000000"/>
              <w:left w:val="inset" w:sz="2" w:space="0" w:color="000000"/>
              <w:bottom w:val="single" w:sz="6" w:space="0" w:color="auto"/>
              <w:right w:val="nil"/>
            </w:tcBorders>
            <w:shd w:val="clear" w:color="auto" w:fill="FFFFFF"/>
            <w:vAlign w:val="bottom"/>
          </w:tcPr>
          <w:p w:rsidR="007525C3" w:rsidRPr="00A00A78" w:rsidRDefault="004F54EF" w:rsidP="007525C3">
            <w:pPr>
              <w:keepNext/>
              <w:adjustRightInd w:val="0"/>
              <w:spacing w:before="60" w:after="60"/>
              <w:jc w:val="center"/>
              <w:rPr>
                <w:b/>
                <w:bCs/>
                <w:color w:val="000000"/>
                <w:sz w:val="20"/>
              </w:rPr>
            </w:pPr>
            <w:proofErr w:type="spellStart"/>
            <w:r>
              <w:rPr>
                <w:b/>
                <w:bCs/>
                <w:color w:val="000000"/>
                <w:sz w:val="20"/>
              </w:rPr>
              <w:t>Pom</w:t>
            </w:r>
            <w:proofErr w:type="spellEnd"/>
            <w:r>
              <w:rPr>
                <w:b/>
                <w:bCs/>
                <w:color w:val="000000"/>
                <w:sz w:val="20"/>
              </w:rPr>
              <w:t> + </w:t>
            </w:r>
            <w:r w:rsidR="00896389">
              <w:rPr>
                <w:b/>
                <w:bCs/>
                <w:color w:val="000000"/>
                <w:sz w:val="20"/>
              </w:rPr>
              <w:t>LD-</w:t>
            </w:r>
            <w:proofErr w:type="spellStart"/>
            <w:r w:rsidR="00896389">
              <w:rPr>
                <w:b/>
                <w:bCs/>
                <w:color w:val="000000"/>
                <w:sz w:val="20"/>
              </w:rPr>
              <w:t>d</w:t>
            </w:r>
            <w:r w:rsidR="007525C3" w:rsidRPr="00A00A78">
              <w:rPr>
                <w:b/>
                <w:bCs/>
                <w:color w:val="000000"/>
                <w:sz w:val="20"/>
              </w:rPr>
              <w:t>ex</w:t>
            </w:r>
            <w:proofErr w:type="spellEnd"/>
            <w:r w:rsidR="007525C3" w:rsidRPr="00A00A78">
              <w:rPr>
                <w:b/>
                <w:bCs/>
                <w:color w:val="000000"/>
                <w:sz w:val="20"/>
              </w:rPr>
              <w:br/>
              <w:t>(N=302)</w:t>
            </w:r>
          </w:p>
        </w:tc>
        <w:tc>
          <w:tcPr>
            <w:tcW w:w="1614" w:type="dxa"/>
            <w:tcBorders>
              <w:top w:val="inset" w:sz="4" w:space="0" w:color="000000"/>
              <w:left w:val="inset" w:sz="2" w:space="0" w:color="000000"/>
              <w:bottom w:val="single" w:sz="6" w:space="0" w:color="auto"/>
              <w:right w:val="single" w:sz="4" w:space="0" w:color="auto"/>
            </w:tcBorders>
            <w:shd w:val="clear" w:color="auto" w:fill="FFFFFF"/>
            <w:vAlign w:val="bottom"/>
          </w:tcPr>
          <w:p w:rsidR="007525C3" w:rsidRPr="00A00A78" w:rsidRDefault="00896389" w:rsidP="007525C3">
            <w:pPr>
              <w:keepNext/>
              <w:adjustRightInd w:val="0"/>
              <w:spacing w:before="60" w:after="60"/>
              <w:jc w:val="center"/>
              <w:rPr>
                <w:b/>
                <w:bCs/>
                <w:color w:val="000000"/>
                <w:sz w:val="20"/>
              </w:rPr>
            </w:pPr>
            <w:r>
              <w:rPr>
                <w:b/>
                <w:bCs/>
                <w:color w:val="000000"/>
                <w:sz w:val="20"/>
              </w:rPr>
              <w:t>HD-</w:t>
            </w:r>
            <w:proofErr w:type="spellStart"/>
            <w:r>
              <w:rPr>
                <w:b/>
                <w:bCs/>
                <w:color w:val="000000"/>
                <w:sz w:val="20"/>
              </w:rPr>
              <w:t>d</w:t>
            </w:r>
            <w:r w:rsidR="007525C3" w:rsidRPr="00A00A78">
              <w:rPr>
                <w:b/>
                <w:bCs/>
                <w:color w:val="000000"/>
                <w:sz w:val="20"/>
              </w:rPr>
              <w:t>ex</w:t>
            </w:r>
            <w:proofErr w:type="spellEnd"/>
            <w:r w:rsidR="007525C3" w:rsidRPr="00A00A78">
              <w:rPr>
                <w:b/>
                <w:bCs/>
                <w:color w:val="000000"/>
                <w:sz w:val="20"/>
              </w:rPr>
              <w:br/>
              <w:t>(N=153)</w:t>
            </w:r>
          </w:p>
        </w:tc>
        <w:tc>
          <w:tcPr>
            <w:tcW w:w="1614" w:type="dxa"/>
            <w:tcBorders>
              <w:top w:val="inset" w:sz="4" w:space="0" w:color="000000"/>
              <w:left w:val="inset" w:sz="2" w:space="0" w:color="000000"/>
              <w:bottom w:val="single" w:sz="6" w:space="0" w:color="auto"/>
              <w:right w:val="single" w:sz="4" w:space="0" w:color="auto"/>
            </w:tcBorders>
            <w:shd w:val="clear" w:color="auto" w:fill="FFFFFF"/>
          </w:tcPr>
          <w:p w:rsidR="007525C3" w:rsidRPr="00A00A78" w:rsidRDefault="004F54EF" w:rsidP="007525C3">
            <w:pPr>
              <w:keepNext/>
              <w:adjustRightInd w:val="0"/>
              <w:spacing w:before="60" w:after="60"/>
              <w:jc w:val="center"/>
              <w:rPr>
                <w:b/>
                <w:bCs/>
                <w:color w:val="000000"/>
                <w:sz w:val="20"/>
              </w:rPr>
            </w:pPr>
            <w:proofErr w:type="spellStart"/>
            <w:r>
              <w:rPr>
                <w:b/>
                <w:bCs/>
                <w:color w:val="000000"/>
                <w:sz w:val="20"/>
              </w:rPr>
              <w:t>Pom</w:t>
            </w:r>
            <w:proofErr w:type="spellEnd"/>
            <w:r>
              <w:rPr>
                <w:b/>
                <w:bCs/>
                <w:color w:val="000000"/>
                <w:sz w:val="20"/>
              </w:rPr>
              <w:t> + </w:t>
            </w:r>
            <w:r w:rsidR="00896389">
              <w:rPr>
                <w:b/>
                <w:bCs/>
                <w:color w:val="000000"/>
                <w:sz w:val="20"/>
              </w:rPr>
              <w:t>LD-</w:t>
            </w:r>
            <w:proofErr w:type="spellStart"/>
            <w:r w:rsidR="00896389">
              <w:rPr>
                <w:b/>
                <w:bCs/>
                <w:color w:val="000000"/>
                <w:sz w:val="20"/>
              </w:rPr>
              <w:t>d</w:t>
            </w:r>
            <w:r w:rsidR="007525C3" w:rsidRPr="00A00A78">
              <w:rPr>
                <w:b/>
                <w:bCs/>
                <w:color w:val="000000"/>
                <w:sz w:val="20"/>
              </w:rPr>
              <w:t>ex</w:t>
            </w:r>
            <w:proofErr w:type="spellEnd"/>
            <w:r w:rsidR="007525C3" w:rsidRPr="00A00A78">
              <w:rPr>
                <w:b/>
                <w:bCs/>
                <w:color w:val="000000"/>
                <w:sz w:val="20"/>
              </w:rPr>
              <w:br/>
              <w:t>(N=302)</w:t>
            </w:r>
          </w:p>
        </w:tc>
        <w:tc>
          <w:tcPr>
            <w:tcW w:w="1614" w:type="dxa"/>
            <w:tcBorders>
              <w:top w:val="inset" w:sz="4" w:space="0" w:color="000000"/>
              <w:left w:val="inset" w:sz="2" w:space="0" w:color="000000"/>
              <w:bottom w:val="single" w:sz="6" w:space="0" w:color="auto"/>
              <w:right w:val="single" w:sz="4" w:space="0" w:color="auto"/>
            </w:tcBorders>
            <w:shd w:val="clear" w:color="auto" w:fill="FFFFFF"/>
          </w:tcPr>
          <w:p w:rsidR="007525C3" w:rsidRPr="00A00A78" w:rsidRDefault="00896389" w:rsidP="007525C3">
            <w:pPr>
              <w:keepNext/>
              <w:adjustRightInd w:val="0"/>
              <w:spacing w:before="60" w:after="60"/>
              <w:jc w:val="center"/>
              <w:rPr>
                <w:b/>
                <w:bCs/>
                <w:color w:val="000000"/>
                <w:sz w:val="20"/>
              </w:rPr>
            </w:pPr>
            <w:r>
              <w:rPr>
                <w:b/>
                <w:bCs/>
                <w:color w:val="000000"/>
                <w:sz w:val="20"/>
              </w:rPr>
              <w:t>HD-</w:t>
            </w:r>
            <w:proofErr w:type="spellStart"/>
            <w:r>
              <w:rPr>
                <w:b/>
                <w:bCs/>
                <w:color w:val="000000"/>
                <w:sz w:val="20"/>
              </w:rPr>
              <w:t>d</w:t>
            </w:r>
            <w:r w:rsidR="007525C3" w:rsidRPr="00A00A78">
              <w:rPr>
                <w:b/>
                <w:bCs/>
                <w:color w:val="000000"/>
                <w:sz w:val="20"/>
              </w:rPr>
              <w:t>ex</w:t>
            </w:r>
            <w:proofErr w:type="spellEnd"/>
            <w:r w:rsidR="007525C3" w:rsidRPr="00A00A78">
              <w:rPr>
                <w:b/>
                <w:bCs/>
                <w:color w:val="000000"/>
                <w:sz w:val="20"/>
              </w:rPr>
              <w:br/>
              <w:t>(N=153)</w:t>
            </w:r>
          </w:p>
        </w:tc>
      </w:tr>
      <w:tr w:rsidR="007525C3" w:rsidRPr="00A00A78" w:rsidTr="00D67512">
        <w:trPr>
          <w:cantSplit/>
        </w:trPr>
        <w:tc>
          <w:tcPr>
            <w:tcW w:w="2850" w:type="dxa"/>
            <w:tcBorders>
              <w:top w:val="nil"/>
              <w:left w:val="inset" w:sz="4" w:space="0" w:color="000000"/>
              <w:bottom w:val="inset" w:sz="2" w:space="0" w:color="000000"/>
              <w:right w:val="nil"/>
            </w:tcBorders>
            <w:shd w:val="clear" w:color="auto" w:fill="FFFFFF"/>
          </w:tcPr>
          <w:p w:rsidR="007525C3" w:rsidRDefault="007525C3" w:rsidP="00344325">
            <w:pPr>
              <w:keepNext/>
              <w:adjustRightInd w:val="0"/>
              <w:spacing w:before="60" w:after="60"/>
              <w:ind w:left="195"/>
              <w:rPr>
                <w:sz w:val="20"/>
              </w:rPr>
            </w:pPr>
            <w:r w:rsidRPr="00A00A78">
              <w:rPr>
                <w:color w:val="000000"/>
                <w:sz w:val="20"/>
              </w:rPr>
              <w:t>Median</w:t>
            </w:r>
            <w:r w:rsidRPr="00A00A78">
              <w:rPr>
                <w:sz w:val="20"/>
                <w:vertAlign w:val="superscript"/>
              </w:rPr>
              <w:t xml:space="preserve"> a</w:t>
            </w:r>
            <w:r w:rsidRPr="00A00A78">
              <w:rPr>
                <w:sz w:val="20"/>
              </w:rPr>
              <w:t xml:space="preserve"> </w:t>
            </w:r>
          </w:p>
          <w:p w:rsidR="007525C3" w:rsidRPr="00A00A78" w:rsidRDefault="007525C3" w:rsidP="00344325">
            <w:pPr>
              <w:keepNext/>
              <w:adjustRightInd w:val="0"/>
              <w:spacing w:before="60" w:after="60"/>
              <w:ind w:left="195"/>
              <w:rPr>
                <w:color w:val="000000"/>
                <w:sz w:val="20"/>
              </w:rPr>
            </w:pPr>
            <w:r w:rsidRPr="00A00A78">
              <w:rPr>
                <w:sz w:val="20"/>
              </w:rPr>
              <w:t xml:space="preserve">(Two sided 95% CI </w:t>
            </w:r>
            <w:r w:rsidRPr="00A00A78">
              <w:rPr>
                <w:sz w:val="20"/>
                <w:vertAlign w:val="superscript"/>
              </w:rPr>
              <w:t>b</w:t>
            </w:r>
            <w:r w:rsidRPr="00A00A78">
              <w:rPr>
                <w:sz w:val="20"/>
              </w:rPr>
              <w:t>)</w:t>
            </w:r>
          </w:p>
        </w:tc>
        <w:tc>
          <w:tcPr>
            <w:tcW w:w="1613" w:type="dxa"/>
            <w:tcBorders>
              <w:top w:val="nil"/>
              <w:left w:val="inset" w:sz="2" w:space="0" w:color="000000"/>
              <w:bottom w:val="single" w:sz="4" w:space="0" w:color="auto"/>
              <w:right w:val="nil"/>
            </w:tcBorders>
            <w:shd w:val="clear" w:color="auto" w:fill="FFFFFF"/>
          </w:tcPr>
          <w:p w:rsidR="007525C3" w:rsidRDefault="009F3772" w:rsidP="007525C3">
            <w:pPr>
              <w:keepNext/>
              <w:adjustRightInd w:val="0"/>
              <w:spacing w:before="60" w:after="60"/>
              <w:ind w:left="280"/>
              <w:jc w:val="center"/>
              <w:rPr>
                <w:color w:val="000000"/>
                <w:sz w:val="20"/>
              </w:rPr>
            </w:pPr>
            <w:r>
              <w:rPr>
                <w:color w:val="000000"/>
                <w:sz w:val="20"/>
              </w:rPr>
              <w:t>16.0</w:t>
            </w:r>
          </w:p>
          <w:p w:rsidR="007525C3" w:rsidRPr="00A00A78" w:rsidRDefault="007525C3" w:rsidP="00D67512">
            <w:pPr>
              <w:keepNext/>
              <w:adjustRightInd w:val="0"/>
              <w:spacing w:before="60" w:after="60"/>
              <w:ind w:left="280"/>
              <w:jc w:val="center"/>
              <w:rPr>
                <w:color w:val="000000"/>
                <w:sz w:val="20"/>
              </w:rPr>
            </w:pPr>
            <w:r>
              <w:rPr>
                <w:color w:val="000000"/>
                <w:sz w:val="20"/>
              </w:rPr>
              <w:t>[</w:t>
            </w:r>
            <w:r w:rsidR="008B3ACD">
              <w:rPr>
                <w:color w:val="000000"/>
                <w:sz w:val="20"/>
              </w:rPr>
              <w:t>13.0, 19.6</w:t>
            </w:r>
            <w:r w:rsidRPr="00A00A78">
              <w:rPr>
                <w:color w:val="000000"/>
                <w:sz w:val="20"/>
              </w:rPr>
              <w:t>]</w:t>
            </w:r>
          </w:p>
        </w:tc>
        <w:tc>
          <w:tcPr>
            <w:tcW w:w="1614" w:type="dxa"/>
            <w:tcBorders>
              <w:top w:val="nil"/>
              <w:left w:val="inset" w:sz="2" w:space="0" w:color="000000"/>
              <w:bottom w:val="single" w:sz="4" w:space="0" w:color="auto"/>
              <w:right w:val="single" w:sz="4" w:space="0" w:color="auto"/>
            </w:tcBorders>
            <w:shd w:val="clear" w:color="auto" w:fill="FFFFFF"/>
          </w:tcPr>
          <w:p w:rsidR="007525C3" w:rsidRDefault="007525C3" w:rsidP="007525C3">
            <w:pPr>
              <w:keepNext/>
              <w:adjustRightInd w:val="0"/>
              <w:spacing w:before="60" w:after="60"/>
              <w:ind w:left="350"/>
              <w:jc w:val="center"/>
              <w:rPr>
                <w:color w:val="000000"/>
                <w:sz w:val="20"/>
              </w:rPr>
            </w:pPr>
            <w:r w:rsidRPr="00A00A78">
              <w:rPr>
                <w:color w:val="000000"/>
                <w:sz w:val="20"/>
              </w:rPr>
              <w:t>8.</w:t>
            </w:r>
            <w:r w:rsidR="009F3772">
              <w:rPr>
                <w:color w:val="000000"/>
                <w:sz w:val="20"/>
              </w:rPr>
              <w:t>1</w:t>
            </w:r>
          </w:p>
          <w:p w:rsidR="007525C3" w:rsidRPr="00A00A78" w:rsidRDefault="007525C3" w:rsidP="00D67512">
            <w:pPr>
              <w:keepNext/>
              <w:adjustRightInd w:val="0"/>
              <w:spacing w:before="60" w:after="60"/>
              <w:ind w:left="350"/>
              <w:jc w:val="center"/>
              <w:rPr>
                <w:color w:val="000000"/>
                <w:sz w:val="20"/>
              </w:rPr>
            </w:pPr>
            <w:r>
              <w:rPr>
                <w:color w:val="000000"/>
                <w:sz w:val="20"/>
              </w:rPr>
              <w:t>[</w:t>
            </w:r>
            <w:r w:rsidR="008B3ACD">
              <w:rPr>
                <w:color w:val="000000"/>
                <w:sz w:val="20"/>
              </w:rPr>
              <w:t>7.1, 9.4</w:t>
            </w:r>
            <w:r w:rsidRPr="00A00A78">
              <w:rPr>
                <w:color w:val="000000"/>
                <w:sz w:val="20"/>
              </w:rPr>
              <w:t>]</w:t>
            </w:r>
          </w:p>
        </w:tc>
        <w:tc>
          <w:tcPr>
            <w:tcW w:w="1614" w:type="dxa"/>
            <w:tcBorders>
              <w:top w:val="nil"/>
              <w:left w:val="inset" w:sz="2" w:space="0" w:color="000000"/>
              <w:bottom w:val="single" w:sz="4" w:space="0" w:color="auto"/>
              <w:right w:val="single" w:sz="4" w:space="0" w:color="auto"/>
            </w:tcBorders>
            <w:shd w:val="clear" w:color="auto" w:fill="FFFFFF"/>
          </w:tcPr>
          <w:p w:rsidR="007525C3" w:rsidRDefault="009F3772" w:rsidP="007525C3">
            <w:pPr>
              <w:keepNext/>
              <w:adjustRightInd w:val="0"/>
              <w:spacing w:before="60" w:after="60"/>
              <w:ind w:left="350"/>
              <w:jc w:val="center"/>
              <w:rPr>
                <w:color w:val="000000"/>
                <w:sz w:val="20"/>
              </w:rPr>
            </w:pPr>
            <w:r>
              <w:rPr>
                <w:color w:val="000000"/>
                <w:sz w:val="20"/>
              </w:rPr>
              <w:t>55.4</w:t>
            </w:r>
          </w:p>
          <w:p w:rsidR="007525C3" w:rsidRPr="00A00A78" w:rsidRDefault="007525C3" w:rsidP="00D67512">
            <w:pPr>
              <w:keepNext/>
              <w:adjustRightInd w:val="0"/>
              <w:spacing w:before="60" w:after="60"/>
              <w:ind w:left="350"/>
              <w:jc w:val="center"/>
              <w:rPr>
                <w:color w:val="000000"/>
                <w:sz w:val="20"/>
              </w:rPr>
            </w:pPr>
            <w:r>
              <w:rPr>
                <w:color w:val="000000"/>
                <w:sz w:val="20"/>
              </w:rPr>
              <w:t>[</w:t>
            </w:r>
            <w:r w:rsidR="009F3772">
              <w:rPr>
                <w:color w:val="000000"/>
                <w:sz w:val="20"/>
              </w:rPr>
              <w:t>45.3, 67.3</w:t>
            </w:r>
            <w:r>
              <w:rPr>
                <w:color w:val="000000"/>
                <w:sz w:val="20"/>
              </w:rPr>
              <w:t>]</w:t>
            </w:r>
          </w:p>
        </w:tc>
        <w:tc>
          <w:tcPr>
            <w:tcW w:w="1614" w:type="dxa"/>
            <w:tcBorders>
              <w:top w:val="nil"/>
              <w:left w:val="inset" w:sz="2" w:space="0" w:color="000000"/>
              <w:bottom w:val="single" w:sz="4" w:space="0" w:color="auto"/>
              <w:right w:val="single" w:sz="4" w:space="0" w:color="auto"/>
            </w:tcBorders>
            <w:shd w:val="clear" w:color="auto" w:fill="FFFFFF"/>
          </w:tcPr>
          <w:p w:rsidR="007525C3" w:rsidRDefault="009F3772" w:rsidP="007525C3">
            <w:pPr>
              <w:keepNext/>
              <w:adjustRightInd w:val="0"/>
              <w:spacing w:before="60" w:after="60"/>
              <w:ind w:left="350"/>
              <w:jc w:val="center"/>
              <w:rPr>
                <w:color w:val="000000"/>
                <w:sz w:val="20"/>
              </w:rPr>
            </w:pPr>
            <w:r>
              <w:rPr>
                <w:color w:val="000000"/>
                <w:sz w:val="20"/>
              </w:rPr>
              <w:t>35.1</w:t>
            </w:r>
          </w:p>
          <w:p w:rsidR="007525C3" w:rsidRPr="00A00A78" w:rsidRDefault="007525C3" w:rsidP="00D67512">
            <w:pPr>
              <w:keepNext/>
              <w:adjustRightInd w:val="0"/>
              <w:spacing w:before="60" w:after="60"/>
              <w:ind w:left="350"/>
              <w:jc w:val="center"/>
              <w:rPr>
                <w:color w:val="000000"/>
                <w:sz w:val="20"/>
              </w:rPr>
            </w:pPr>
            <w:r>
              <w:rPr>
                <w:color w:val="000000"/>
                <w:sz w:val="20"/>
              </w:rPr>
              <w:t>[</w:t>
            </w:r>
            <w:r w:rsidR="009F3772">
              <w:rPr>
                <w:color w:val="000000"/>
                <w:sz w:val="20"/>
              </w:rPr>
              <w:t>29.9, 47.1</w:t>
            </w:r>
            <w:r>
              <w:rPr>
                <w:color w:val="000000"/>
                <w:sz w:val="20"/>
              </w:rPr>
              <w:t>]</w:t>
            </w:r>
          </w:p>
        </w:tc>
      </w:tr>
      <w:tr w:rsidR="007525C3" w:rsidRPr="00A00A78" w:rsidTr="00D67512">
        <w:trPr>
          <w:cantSplit/>
        </w:trPr>
        <w:tc>
          <w:tcPr>
            <w:tcW w:w="2850" w:type="dxa"/>
            <w:tcBorders>
              <w:top w:val="nil"/>
              <w:left w:val="inset" w:sz="4" w:space="0" w:color="000000"/>
              <w:bottom w:val="inset" w:sz="4" w:space="0" w:color="000000"/>
              <w:right w:val="nil"/>
            </w:tcBorders>
            <w:shd w:val="clear" w:color="auto" w:fill="FFFFFF"/>
          </w:tcPr>
          <w:p w:rsidR="007525C3" w:rsidRPr="00A00A78" w:rsidRDefault="007525C3" w:rsidP="00344325">
            <w:pPr>
              <w:adjustRightInd w:val="0"/>
              <w:spacing w:before="60" w:after="60"/>
              <w:rPr>
                <w:color w:val="000000"/>
                <w:sz w:val="20"/>
              </w:rPr>
            </w:pPr>
            <w:r w:rsidRPr="00A00A78">
              <w:rPr>
                <w:color w:val="000000"/>
                <w:sz w:val="20"/>
              </w:rPr>
              <w:t>Hazard Ratio (</w:t>
            </w:r>
            <w:proofErr w:type="spellStart"/>
            <w:r w:rsidRPr="00A00A78">
              <w:rPr>
                <w:color w:val="000000"/>
                <w:sz w:val="20"/>
              </w:rPr>
              <w:t>Pom</w:t>
            </w:r>
            <w:proofErr w:type="spellEnd"/>
            <w:r w:rsidR="004F54EF">
              <w:rPr>
                <w:color w:val="000000"/>
                <w:sz w:val="20"/>
              </w:rPr>
              <w:t> </w:t>
            </w:r>
            <w:r w:rsidRPr="00A00A78">
              <w:rPr>
                <w:color w:val="000000"/>
                <w:sz w:val="20"/>
              </w:rPr>
              <w:t>+</w:t>
            </w:r>
            <w:r w:rsidR="004F54EF">
              <w:rPr>
                <w:color w:val="000000"/>
                <w:sz w:val="20"/>
              </w:rPr>
              <w:t> </w:t>
            </w:r>
            <w:proofErr w:type="spellStart"/>
            <w:r w:rsidRPr="00A00A78">
              <w:rPr>
                <w:color w:val="000000"/>
                <w:sz w:val="20"/>
              </w:rPr>
              <w:t>LD-Dex:HD-Dex</w:t>
            </w:r>
            <w:proofErr w:type="spellEnd"/>
            <w:r w:rsidRPr="00A00A78">
              <w:rPr>
                <w:color w:val="000000"/>
                <w:sz w:val="20"/>
              </w:rPr>
              <w:t xml:space="preserve">) 2-Sided 95% CI </w:t>
            </w:r>
            <w:r w:rsidRPr="00A00A78">
              <w:rPr>
                <w:sz w:val="20"/>
                <w:vertAlign w:val="superscript"/>
              </w:rPr>
              <w:t>c</w:t>
            </w:r>
          </w:p>
        </w:tc>
        <w:tc>
          <w:tcPr>
            <w:tcW w:w="3227" w:type="dxa"/>
            <w:gridSpan w:val="2"/>
            <w:tcBorders>
              <w:top w:val="nil"/>
              <w:left w:val="inset" w:sz="2" w:space="0" w:color="000000"/>
              <w:bottom w:val="inset" w:sz="4" w:space="0" w:color="000000"/>
              <w:right w:val="single" w:sz="4" w:space="0" w:color="auto"/>
            </w:tcBorders>
            <w:shd w:val="clear" w:color="auto" w:fill="FFFFFF"/>
          </w:tcPr>
          <w:p w:rsidR="007525C3" w:rsidRPr="00A00A78" w:rsidRDefault="007525C3" w:rsidP="00D67512">
            <w:pPr>
              <w:adjustRightInd w:val="0"/>
              <w:spacing w:before="60" w:after="60"/>
              <w:jc w:val="center"/>
              <w:rPr>
                <w:color w:val="000000"/>
                <w:sz w:val="20"/>
              </w:rPr>
            </w:pPr>
            <w:r w:rsidRPr="00A00A78">
              <w:rPr>
                <w:color w:val="000000"/>
                <w:sz w:val="20"/>
              </w:rPr>
              <w:t>0.4</w:t>
            </w:r>
            <w:r w:rsidR="009F3772">
              <w:rPr>
                <w:color w:val="000000"/>
                <w:sz w:val="20"/>
              </w:rPr>
              <w:t>9</w:t>
            </w:r>
            <w:r w:rsidRPr="00A00A78">
              <w:rPr>
                <w:color w:val="000000"/>
                <w:sz w:val="20"/>
              </w:rPr>
              <w:t xml:space="preserve"> </w:t>
            </w:r>
            <w:r w:rsidRPr="008B3ACD">
              <w:rPr>
                <w:color w:val="000000"/>
                <w:sz w:val="20"/>
              </w:rPr>
              <w:t>[</w:t>
            </w:r>
            <w:r w:rsidR="008B3ACD">
              <w:rPr>
                <w:color w:val="000000"/>
                <w:sz w:val="20"/>
              </w:rPr>
              <w:t>0.39, 0.61</w:t>
            </w:r>
            <w:r w:rsidRPr="008B3ACD">
              <w:rPr>
                <w:color w:val="000000"/>
                <w:sz w:val="20"/>
              </w:rPr>
              <w:t>]</w:t>
            </w:r>
          </w:p>
        </w:tc>
        <w:tc>
          <w:tcPr>
            <w:tcW w:w="3228" w:type="dxa"/>
            <w:gridSpan w:val="2"/>
            <w:tcBorders>
              <w:top w:val="nil"/>
              <w:left w:val="inset" w:sz="2" w:space="0" w:color="000000"/>
              <w:bottom w:val="inset" w:sz="4" w:space="0" w:color="000000"/>
              <w:right w:val="single" w:sz="4" w:space="0" w:color="auto"/>
            </w:tcBorders>
            <w:shd w:val="clear" w:color="auto" w:fill="FFFFFF"/>
          </w:tcPr>
          <w:p w:rsidR="008B3ACD" w:rsidRPr="00A00A78" w:rsidRDefault="007525C3" w:rsidP="00D67512">
            <w:pPr>
              <w:adjustRightInd w:val="0"/>
              <w:spacing w:before="60" w:after="60"/>
              <w:jc w:val="center"/>
              <w:rPr>
                <w:color w:val="000000"/>
                <w:sz w:val="20"/>
              </w:rPr>
            </w:pPr>
            <w:r>
              <w:rPr>
                <w:color w:val="000000"/>
                <w:sz w:val="20"/>
              </w:rPr>
              <w:t>0.</w:t>
            </w:r>
            <w:r w:rsidR="009F3772">
              <w:rPr>
                <w:color w:val="000000"/>
                <w:sz w:val="20"/>
              </w:rPr>
              <w:t xml:space="preserve">74 </w:t>
            </w:r>
            <w:r w:rsidRPr="008B3ACD">
              <w:rPr>
                <w:color w:val="000000"/>
                <w:sz w:val="20"/>
              </w:rPr>
              <w:t>[</w:t>
            </w:r>
            <w:r w:rsidR="008B3ACD">
              <w:rPr>
                <w:color w:val="000000"/>
                <w:sz w:val="20"/>
              </w:rPr>
              <w:t>0.56, 0.97]</w:t>
            </w:r>
          </w:p>
        </w:tc>
      </w:tr>
      <w:tr w:rsidR="007525C3" w:rsidRPr="00A00A78" w:rsidTr="00D67512">
        <w:trPr>
          <w:cantSplit/>
        </w:trPr>
        <w:tc>
          <w:tcPr>
            <w:tcW w:w="2850" w:type="dxa"/>
            <w:tcBorders>
              <w:top w:val="nil"/>
              <w:left w:val="inset" w:sz="4" w:space="0" w:color="000000"/>
              <w:bottom w:val="inset" w:sz="4" w:space="0" w:color="000000"/>
              <w:right w:val="nil"/>
            </w:tcBorders>
            <w:shd w:val="clear" w:color="auto" w:fill="FFFFFF"/>
          </w:tcPr>
          <w:p w:rsidR="007525C3" w:rsidRPr="00A00A78" w:rsidRDefault="007525C3" w:rsidP="00344325">
            <w:pPr>
              <w:adjustRightInd w:val="0"/>
              <w:spacing w:before="60" w:after="60"/>
              <w:rPr>
                <w:color w:val="000000"/>
                <w:sz w:val="20"/>
              </w:rPr>
            </w:pPr>
            <w:r w:rsidRPr="00A00A78">
              <w:rPr>
                <w:color w:val="000000"/>
                <w:sz w:val="20"/>
              </w:rPr>
              <w:t xml:space="preserve">Log-Rank Test Two sided P-Value </w:t>
            </w:r>
            <w:r w:rsidRPr="00A00A78">
              <w:rPr>
                <w:sz w:val="20"/>
                <w:vertAlign w:val="superscript"/>
              </w:rPr>
              <w:t>d</w:t>
            </w:r>
          </w:p>
        </w:tc>
        <w:tc>
          <w:tcPr>
            <w:tcW w:w="3227" w:type="dxa"/>
            <w:gridSpan w:val="2"/>
            <w:tcBorders>
              <w:top w:val="inset" w:sz="4" w:space="0" w:color="000000"/>
              <w:left w:val="inset" w:sz="2" w:space="0" w:color="000000"/>
              <w:bottom w:val="inset" w:sz="4" w:space="0" w:color="000000"/>
              <w:right w:val="single" w:sz="4" w:space="0" w:color="auto"/>
            </w:tcBorders>
            <w:shd w:val="clear" w:color="auto" w:fill="FFFFFF"/>
          </w:tcPr>
          <w:p w:rsidR="007525C3" w:rsidRPr="00A00A78" w:rsidRDefault="007525C3" w:rsidP="007525C3">
            <w:pPr>
              <w:adjustRightInd w:val="0"/>
              <w:spacing w:before="60" w:after="60"/>
              <w:jc w:val="center"/>
              <w:rPr>
                <w:color w:val="000000"/>
                <w:sz w:val="20"/>
              </w:rPr>
            </w:pPr>
            <w:r w:rsidRPr="00A00A78">
              <w:rPr>
                <w:color w:val="000000"/>
                <w:sz w:val="20"/>
              </w:rPr>
              <w:t>&lt;0.001</w:t>
            </w:r>
          </w:p>
        </w:tc>
        <w:tc>
          <w:tcPr>
            <w:tcW w:w="3228" w:type="dxa"/>
            <w:gridSpan w:val="2"/>
            <w:tcBorders>
              <w:top w:val="inset" w:sz="4" w:space="0" w:color="000000"/>
              <w:left w:val="inset" w:sz="2" w:space="0" w:color="000000"/>
              <w:bottom w:val="inset" w:sz="4" w:space="0" w:color="000000"/>
              <w:right w:val="single" w:sz="4" w:space="0" w:color="auto"/>
            </w:tcBorders>
            <w:shd w:val="clear" w:color="auto" w:fill="FFFFFF"/>
          </w:tcPr>
          <w:p w:rsidR="007525C3" w:rsidRPr="00A00A78" w:rsidRDefault="009F3772" w:rsidP="007525C3">
            <w:pPr>
              <w:adjustRightInd w:val="0"/>
              <w:spacing w:before="60" w:after="60"/>
              <w:jc w:val="center"/>
              <w:rPr>
                <w:color w:val="000000"/>
                <w:sz w:val="20"/>
              </w:rPr>
            </w:pPr>
            <w:r>
              <w:rPr>
                <w:color w:val="000000"/>
                <w:sz w:val="20"/>
              </w:rPr>
              <w:t>=0.028</w:t>
            </w:r>
          </w:p>
        </w:tc>
      </w:tr>
    </w:tbl>
    <w:p w:rsidR="007D713D" w:rsidRPr="00CB4513" w:rsidRDefault="003976F1" w:rsidP="003976F1">
      <w:pPr>
        <w:rPr>
          <w:sz w:val="22"/>
          <w:szCs w:val="22"/>
        </w:rPr>
      </w:pPr>
      <w:proofErr w:type="spellStart"/>
      <w:proofErr w:type="gramStart"/>
      <w:r w:rsidRPr="003976F1">
        <w:rPr>
          <w:color w:val="000000"/>
          <w:sz w:val="18"/>
          <w:szCs w:val="18"/>
          <w:vertAlign w:val="superscript"/>
          <w:lang w:eastAsia="ja-JP"/>
        </w:rPr>
        <w:t>a</w:t>
      </w:r>
      <w:proofErr w:type="spellEnd"/>
      <w:proofErr w:type="gramEnd"/>
      <w:r w:rsidRPr="003976F1">
        <w:rPr>
          <w:color w:val="000000"/>
          <w:sz w:val="18"/>
          <w:szCs w:val="18"/>
          <w:lang w:eastAsia="ja-JP"/>
        </w:rPr>
        <w:t xml:space="preserve"> The median is based on Kaplan-Meier estimate.</w:t>
      </w:r>
      <w:r w:rsidR="008E3BAA">
        <w:rPr>
          <w:color w:val="000000"/>
          <w:sz w:val="18"/>
          <w:szCs w:val="18"/>
          <w:lang w:eastAsia="ja-JP"/>
        </w:rPr>
        <w:t xml:space="preserve"> </w:t>
      </w:r>
      <w:r w:rsidRPr="003976F1">
        <w:rPr>
          <w:color w:val="000000"/>
          <w:sz w:val="18"/>
          <w:szCs w:val="18"/>
          <w:vertAlign w:val="superscript"/>
          <w:lang w:eastAsia="ja-JP"/>
        </w:rPr>
        <w:t>b</w:t>
      </w:r>
      <w:r w:rsidRPr="003976F1">
        <w:rPr>
          <w:color w:val="000000"/>
          <w:sz w:val="18"/>
          <w:szCs w:val="18"/>
          <w:lang w:eastAsia="ja-JP"/>
        </w:rPr>
        <w:t xml:space="preserve"> </w:t>
      </w:r>
      <w:r w:rsidR="00BD1AFE" w:rsidRPr="003976F1">
        <w:rPr>
          <w:color w:val="000000"/>
          <w:sz w:val="18"/>
          <w:szCs w:val="18"/>
          <w:lang w:eastAsia="ja-JP"/>
        </w:rPr>
        <w:t>CI=Confidence interval</w:t>
      </w:r>
      <w:r w:rsidR="00BD1AFE">
        <w:rPr>
          <w:color w:val="000000"/>
          <w:sz w:val="18"/>
          <w:szCs w:val="18"/>
          <w:lang w:eastAsia="ja-JP"/>
        </w:rPr>
        <w:t>,</w:t>
      </w:r>
      <w:r w:rsidR="00BD1AFE" w:rsidRPr="003976F1">
        <w:rPr>
          <w:color w:val="000000"/>
          <w:sz w:val="18"/>
          <w:szCs w:val="18"/>
          <w:lang w:eastAsia="ja-JP"/>
        </w:rPr>
        <w:t xml:space="preserve"> </w:t>
      </w:r>
      <w:r w:rsidRPr="003976F1">
        <w:rPr>
          <w:color w:val="000000"/>
          <w:sz w:val="18"/>
          <w:szCs w:val="18"/>
          <w:lang w:eastAsia="ja-JP"/>
        </w:rPr>
        <w:t>95% confid</w:t>
      </w:r>
      <w:r w:rsidR="00E63CF2">
        <w:rPr>
          <w:color w:val="000000"/>
          <w:sz w:val="18"/>
          <w:szCs w:val="18"/>
          <w:lang w:eastAsia="ja-JP"/>
        </w:rPr>
        <w:t>ence interval about the median Progression Free S</w:t>
      </w:r>
      <w:r w:rsidRPr="003976F1">
        <w:rPr>
          <w:color w:val="000000"/>
          <w:sz w:val="18"/>
          <w:szCs w:val="18"/>
          <w:lang w:eastAsia="ja-JP"/>
        </w:rPr>
        <w:t>urvival t</w:t>
      </w:r>
      <w:r w:rsidR="00E63CF2">
        <w:rPr>
          <w:color w:val="000000"/>
          <w:sz w:val="18"/>
          <w:szCs w:val="18"/>
          <w:lang w:eastAsia="ja-JP"/>
        </w:rPr>
        <w:t>ime and medial Overall S</w:t>
      </w:r>
      <w:r w:rsidR="007525C3">
        <w:rPr>
          <w:color w:val="000000"/>
          <w:sz w:val="18"/>
          <w:szCs w:val="18"/>
          <w:lang w:eastAsia="ja-JP"/>
        </w:rPr>
        <w:t>urvival time</w:t>
      </w:r>
      <w:r w:rsidR="008E3BAA">
        <w:rPr>
          <w:color w:val="000000"/>
          <w:sz w:val="18"/>
          <w:szCs w:val="18"/>
          <w:lang w:eastAsia="ja-JP"/>
        </w:rPr>
        <w:t xml:space="preserve">. </w:t>
      </w:r>
      <w:proofErr w:type="gramStart"/>
      <w:r w:rsidRPr="003976F1">
        <w:rPr>
          <w:color w:val="000000"/>
          <w:sz w:val="18"/>
          <w:szCs w:val="18"/>
          <w:vertAlign w:val="superscript"/>
          <w:lang w:eastAsia="ja-JP"/>
        </w:rPr>
        <w:t>c</w:t>
      </w:r>
      <w:proofErr w:type="gramEnd"/>
      <w:r w:rsidRPr="003976F1">
        <w:rPr>
          <w:color w:val="000000"/>
          <w:sz w:val="18"/>
          <w:szCs w:val="18"/>
          <w:lang w:eastAsia="ja-JP"/>
        </w:rPr>
        <w:t xml:space="preserve"> Based on Cox proportional hazards model comparing the hazard functions associated with treatment groups</w:t>
      </w:r>
      <w:r w:rsidR="008E3BAA">
        <w:rPr>
          <w:color w:val="000000"/>
          <w:sz w:val="18"/>
          <w:szCs w:val="18"/>
          <w:lang w:eastAsia="ja-JP"/>
        </w:rPr>
        <w:t xml:space="preserve"> .</w:t>
      </w:r>
      <w:r w:rsidRPr="003976F1">
        <w:rPr>
          <w:color w:val="000000"/>
          <w:sz w:val="18"/>
          <w:szCs w:val="18"/>
          <w:lang w:eastAsia="ja-JP"/>
        </w:rPr>
        <w:t xml:space="preserve"> </w:t>
      </w:r>
      <w:proofErr w:type="gramStart"/>
      <w:r w:rsidRPr="003976F1">
        <w:rPr>
          <w:color w:val="000000"/>
          <w:sz w:val="18"/>
          <w:szCs w:val="18"/>
          <w:vertAlign w:val="superscript"/>
          <w:lang w:eastAsia="ja-JP"/>
        </w:rPr>
        <w:t>d</w:t>
      </w:r>
      <w:proofErr w:type="gramEnd"/>
      <w:r w:rsidRPr="003976F1">
        <w:rPr>
          <w:color w:val="000000"/>
          <w:sz w:val="18"/>
          <w:szCs w:val="18"/>
          <w:lang w:eastAsia="ja-JP"/>
        </w:rPr>
        <w:t xml:space="preserve"> The p-value is based on a stratified log-rank test with the same stratification factors as the above Cox model.</w:t>
      </w:r>
      <w:r w:rsidRPr="003976F1">
        <w:rPr>
          <w:color w:val="000000"/>
          <w:sz w:val="18"/>
          <w:szCs w:val="18"/>
          <w:lang w:eastAsia="ja-JP"/>
        </w:rPr>
        <w:br/>
      </w:r>
    </w:p>
    <w:p w:rsidR="00EA3990" w:rsidRPr="00CB4513" w:rsidRDefault="00EA3990" w:rsidP="003976F1">
      <w:pPr>
        <w:rPr>
          <w:sz w:val="22"/>
          <w:szCs w:val="22"/>
        </w:rPr>
      </w:pPr>
    </w:p>
    <w:p w:rsidR="00B3653A" w:rsidRPr="00A12040" w:rsidRDefault="009017AB" w:rsidP="00CB4513">
      <w:pPr>
        <w:pStyle w:val="Caption"/>
        <w:spacing w:before="0"/>
        <w:ind w:left="851" w:hanging="851"/>
        <w:rPr>
          <w:rFonts w:ascii="Times New Roman" w:hAnsi="Times New Roman"/>
          <w:sz w:val="22"/>
          <w:szCs w:val="22"/>
          <w:lang w:eastAsia="ja-JP"/>
        </w:rPr>
      </w:pPr>
      <w:r>
        <w:rPr>
          <w:rFonts w:ascii="Times New Roman" w:hAnsi="Times New Roman"/>
          <w:sz w:val="22"/>
          <w:szCs w:val="22"/>
          <w:lang w:eastAsia="ja-JP"/>
        </w:rPr>
        <w:t xml:space="preserve">Figure 1 - </w:t>
      </w:r>
      <w:r w:rsidR="00B3653A" w:rsidRPr="00A12040">
        <w:rPr>
          <w:rFonts w:ascii="Times New Roman" w:hAnsi="Times New Roman"/>
          <w:sz w:val="22"/>
          <w:szCs w:val="22"/>
          <w:lang w:eastAsia="ja-JP"/>
        </w:rPr>
        <w:t>Progression Free Survival Based on IRAC Review of Response by IMWG Criteria</w:t>
      </w:r>
      <w:r w:rsidR="00A12040" w:rsidRPr="00A12040">
        <w:rPr>
          <w:rFonts w:ascii="Times New Roman" w:hAnsi="Times New Roman"/>
          <w:sz w:val="22"/>
          <w:szCs w:val="22"/>
          <w:lang w:eastAsia="ja-JP"/>
        </w:rPr>
        <w:t xml:space="preserve"> in </w:t>
      </w:r>
      <w:r w:rsidR="00A12040" w:rsidRPr="00A12040">
        <w:rPr>
          <w:rFonts w:ascii="Times New Roman" w:hAnsi="Times New Roman"/>
          <w:sz w:val="22"/>
          <w:szCs w:val="22"/>
          <w:lang w:eastAsia="zh-CN"/>
        </w:rPr>
        <w:t>CC-4047-MM-003</w:t>
      </w:r>
      <w:r w:rsidR="00B3653A" w:rsidRPr="00A12040">
        <w:rPr>
          <w:rFonts w:ascii="Times New Roman" w:hAnsi="Times New Roman"/>
          <w:sz w:val="22"/>
          <w:szCs w:val="22"/>
          <w:lang w:eastAsia="ja-JP"/>
        </w:rPr>
        <w:t xml:space="preserve"> (ITT Population)</w:t>
      </w:r>
    </w:p>
    <w:p w:rsidR="000333FE" w:rsidRDefault="000333FE" w:rsidP="001C3499">
      <w:pPr>
        <w:rPr>
          <w:color w:val="000000"/>
          <w:sz w:val="18"/>
          <w:szCs w:val="18"/>
        </w:rPr>
      </w:pPr>
    </w:p>
    <w:p w:rsidR="00955C77" w:rsidRDefault="00955C77" w:rsidP="001C3499">
      <w:pPr>
        <w:rPr>
          <w:color w:val="000000"/>
          <w:sz w:val="18"/>
          <w:szCs w:val="18"/>
        </w:rPr>
      </w:pPr>
    </w:p>
    <w:p w:rsidR="00955C77" w:rsidRDefault="00171048" w:rsidP="001C3499">
      <w:pPr>
        <w:rPr>
          <w:color w:val="000000"/>
          <w:sz w:val="18"/>
          <w:szCs w:val="18"/>
        </w:rPr>
      </w:pPr>
      <w:r>
        <w:rPr>
          <w:noProof/>
          <w:lang w:val="en-AU" w:eastAsia="en-AU"/>
        </w:rPr>
        <w:drawing>
          <wp:inline distT="0" distB="0" distL="0" distR="0">
            <wp:extent cx="5832475" cy="3563874"/>
            <wp:effectExtent l="0" t="0" r="0" b="0"/>
            <wp:docPr id="4" name="Picture 1" descr="Figure 1 - Progression Free Survival Based on IRAC Review of Response by IMWG Criteria in CC-4047-MM-003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t="2110"/>
                    <a:stretch>
                      <a:fillRect/>
                    </a:stretch>
                  </pic:blipFill>
                  <pic:spPr bwMode="auto">
                    <a:xfrm>
                      <a:off x="0" y="0"/>
                      <a:ext cx="5832475" cy="3563874"/>
                    </a:xfrm>
                    <a:prstGeom prst="rect">
                      <a:avLst/>
                    </a:prstGeom>
                    <a:noFill/>
                    <a:ln w="9525">
                      <a:noFill/>
                      <a:miter lim="800000"/>
                      <a:headEnd/>
                      <a:tailEnd/>
                    </a:ln>
                  </pic:spPr>
                </pic:pic>
              </a:graphicData>
            </a:graphic>
          </wp:inline>
        </w:drawing>
      </w:r>
    </w:p>
    <w:p w:rsidR="004D5156" w:rsidRPr="00C33403" w:rsidRDefault="004D5156" w:rsidP="004D5156">
      <w:pPr>
        <w:rPr>
          <w:color w:val="000000"/>
          <w:sz w:val="18"/>
          <w:szCs w:val="18"/>
        </w:rPr>
      </w:pPr>
      <w:r w:rsidRPr="00C33403">
        <w:rPr>
          <w:color w:val="000000"/>
          <w:sz w:val="18"/>
          <w:szCs w:val="18"/>
        </w:rPr>
        <w:t>HR = hazard ratio; IMWG = International Myeloma Working Group; IRAC=Independent Review Adjudication Committee;</w:t>
      </w:r>
    </w:p>
    <w:p w:rsidR="004D5156" w:rsidRDefault="004D5156" w:rsidP="004D5156">
      <w:pPr>
        <w:rPr>
          <w:color w:val="000000"/>
          <w:sz w:val="18"/>
          <w:szCs w:val="18"/>
        </w:rPr>
      </w:pPr>
      <w:r w:rsidRPr="00C33403">
        <w:rPr>
          <w:color w:val="000000"/>
          <w:sz w:val="18"/>
          <w:szCs w:val="18"/>
        </w:rPr>
        <w:t>KM = Kaplan Meier.</w:t>
      </w:r>
    </w:p>
    <w:p w:rsidR="00672ED0" w:rsidRDefault="00672ED0" w:rsidP="001C3499">
      <w:pPr>
        <w:rPr>
          <w:color w:val="000000"/>
          <w:sz w:val="18"/>
          <w:szCs w:val="18"/>
        </w:rPr>
      </w:pPr>
    </w:p>
    <w:p w:rsidR="00672ED0" w:rsidRDefault="00672ED0" w:rsidP="001C3499">
      <w:pPr>
        <w:rPr>
          <w:color w:val="000000"/>
          <w:sz w:val="18"/>
          <w:szCs w:val="18"/>
        </w:rPr>
      </w:pPr>
    </w:p>
    <w:p w:rsidR="000333FE" w:rsidRDefault="000333FE" w:rsidP="00574115">
      <w:pPr>
        <w:ind w:left="567" w:hanging="567"/>
        <w:rPr>
          <w:color w:val="000000"/>
          <w:sz w:val="18"/>
          <w:szCs w:val="18"/>
        </w:rPr>
      </w:pPr>
    </w:p>
    <w:p w:rsidR="000333FE" w:rsidRDefault="000333FE" w:rsidP="00574115">
      <w:pPr>
        <w:ind w:left="567" w:hanging="567"/>
        <w:rPr>
          <w:color w:val="000000"/>
          <w:sz w:val="18"/>
          <w:szCs w:val="18"/>
        </w:rPr>
      </w:pPr>
    </w:p>
    <w:p w:rsidR="004F038A" w:rsidRDefault="004F038A">
      <w:pPr>
        <w:rPr>
          <w:sz w:val="18"/>
          <w:szCs w:val="18"/>
          <w:lang w:val="en-US" w:eastAsia="zh-CN"/>
        </w:rPr>
      </w:pPr>
      <w:r>
        <w:rPr>
          <w:sz w:val="18"/>
          <w:szCs w:val="18"/>
          <w:lang w:val="en-US" w:eastAsia="zh-CN"/>
        </w:rPr>
        <w:br w:type="page"/>
      </w:r>
    </w:p>
    <w:p w:rsidR="008F3DBB" w:rsidRDefault="009017AB" w:rsidP="008F3DBB">
      <w:pPr>
        <w:pStyle w:val="Caption"/>
        <w:rPr>
          <w:rFonts w:ascii="Times New Roman" w:hAnsi="Times New Roman"/>
          <w:sz w:val="22"/>
          <w:szCs w:val="22"/>
          <w:lang w:eastAsia="ja-JP"/>
        </w:rPr>
      </w:pPr>
      <w:r>
        <w:rPr>
          <w:rFonts w:ascii="Times New Roman" w:hAnsi="Times New Roman"/>
          <w:sz w:val="22"/>
          <w:szCs w:val="22"/>
          <w:lang w:eastAsia="ja-JP"/>
        </w:rPr>
        <w:lastRenderedPageBreak/>
        <w:t>Figure 2 -</w:t>
      </w:r>
      <w:r w:rsidR="008F3DBB" w:rsidRPr="00AD19F1">
        <w:rPr>
          <w:rFonts w:ascii="Times New Roman" w:hAnsi="Times New Roman"/>
          <w:sz w:val="22"/>
          <w:szCs w:val="22"/>
          <w:lang w:eastAsia="ja-JP"/>
        </w:rPr>
        <w:t xml:space="preserve"> Kaplan-Meier Curve of Overall </w:t>
      </w:r>
      <w:r w:rsidR="008F3DBB" w:rsidRPr="00A12040">
        <w:rPr>
          <w:rFonts w:ascii="Times New Roman" w:hAnsi="Times New Roman"/>
          <w:sz w:val="22"/>
          <w:szCs w:val="22"/>
          <w:lang w:eastAsia="ja-JP"/>
        </w:rPr>
        <w:t xml:space="preserve">Survival </w:t>
      </w:r>
      <w:r w:rsidR="00A12040" w:rsidRPr="00A12040">
        <w:rPr>
          <w:rFonts w:ascii="Times New Roman" w:hAnsi="Times New Roman"/>
          <w:sz w:val="22"/>
          <w:szCs w:val="22"/>
          <w:lang w:eastAsia="ja-JP"/>
        </w:rPr>
        <w:t xml:space="preserve">in </w:t>
      </w:r>
      <w:r w:rsidR="00A12040" w:rsidRPr="00A12040">
        <w:rPr>
          <w:rFonts w:ascii="Times New Roman" w:hAnsi="Times New Roman"/>
          <w:sz w:val="22"/>
          <w:szCs w:val="22"/>
          <w:lang w:eastAsia="zh-CN"/>
        </w:rPr>
        <w:t>CC-4047-MM-003</w:t>
      </w:r>
      <w:r w:rsidR="00A12040" w:rsidRPr="00A12040">
        <w:rPr>
          <w:rFonts w:ascii="Times New Roman" w:hAnsi="Times New Roman"/>
          <w:sz w:val="22"/>
          <w:szCs w:val="22"/>
          <w:lang w:eastAsia="ja-JP"/>
        </w:rPr>
        <w:t xml:space="preserve"> </w:t>
      </w:r>
      <w:r w:rsidR="008F3DBB" w:rsidRPr="00A12040">
        <w:rPr>
          <w:rFonts w:ascii="Times New Roman" w:hAnsi="Times New Roman"/>
          <w:sz w:val="22"/>
          <w:szCs w:val="22"/>
          <w:lang w:eastAsia="ja-JP"/>
        </w:rPr>
        <w:t>(ITT</w:t>
      </w:r>
      <w:r w:rsidR="008F3DBB" w:rsidRPr="00AD19F1">
        <w:rPr>
          <w:rFonts w:ascii="Times New Roman" w:hAnsi="Times New Roman"/>
          <w:sz w:val="22"/>
          <w:szCs w:val="22"/>
          <w:lang w:eastAsia="ja-JP"/>
        </w:rPr>
        <w:t xml:space="preserve"> Population)</w:t>
      </w:r>
    </w:p>
    <w:p w:rsidR="00672ED0" w:rsidRPr="00CB4513" w:rsidRDefault="00672ED0" w:rsidP="00672ED0">
      <w:pPr>
        <w:rPr>
          <w:sz w:val="22"/>
          <w:szCs w:val="22"/>
          <w:lang w:val="en-US" w:eastAsia="ja-JP"/>
        </w:rPr>
      </w:pPr>
    </w:p>
    <w:p w:rsidR="002C4F8A" w:rsidRPr="00CB4513" w:rsidRDefault="002C4F8A" w:rsidP="00672ED0">
      <w:pPr>
        <w:rPr>
          <w:sz w:val="22"/>
          <w:szCs w:val="22"/>
          <w:lang w:val="en-US" w:eastAsia="ja-JP"/>
        </w:rPr>
      </w:pPr>
    </w:p>
    <w:p w:rsidR="002C4F8A" w:rsidRDefault="00171048" w:rsidP="00672ED0">
      <w:pPr>
        <w:rPr>
          <w:lang w:val="en-US" w:eastAsia="ja-JP"/>
        </w:rPr>
      </w:pPr>
      <w:r>
        <w:rPr>
          <w:noProof/>
          <w:lang w:val="en-AU" w:eastAsia="en-AU"/>
        </w:rPr>
        <w:drawing>
          <wp:inline distT="0" distB="0" distL="0" distR="0">
            <wp:extent cx="5832475" cy="3650978"/>
            <wp:effectExtent l="0" t="0" r="0" b="0"/>
            <wp:docPr id="5" name="Picture 4" descr="Figure 2 - Kaplan-Meier Curve of Overall Survival in CC-4047-MM-003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1166" t="1849"/>
                    <a:stretch>
                      <a:fillRect/>
                    </a:stretch>
                  </pic:blipFill>
                  <pic:spPr bwMode="auto">
                    <a:xfrm>
                      <a:off x="0" y="0"/>
                      <a:ext cx="5832475" cy="3650978"/>
                    </a:xfrm>
                    <a:prstGeom prst="rect">
                      <a:avLst/>
                    </a:prstGeom>
                    <a:noFill/>
                    <a:ln w="9525">
                      <a:noFill/>
                      <a:miter lim="800000"/>
                      <a:headEnd/>
                      <a:tailEnd/>
                    </a:ln>
                  </pic:spPr>
                </pic:pic>
              </a:graphicData>
            </a:graphic>
          </wp:inline>
        </w:drawing>
      </w:r>
    </w:p>
    <w:p w:rsidR="004D5156" w:rsidRPr="00E3403D" w:rsidRDefault="004D5156" w:rsidP="004D5156">
      <w:pPr>
        <w:rPr>
          <w:color w:val="000000"/>
          <w:sz w:val="18"/>
          <w:szCs w:val="18"/>
          <w:lang w:val="de-DE"/>
        </w:rPr>
      </w:pPr>
      <w:r w:rsidRPr="00C55CC4">
        <w:rPr>
          <w:color w:val="000000"/>
          <w:sz w:val="18"/>
          <w:szCs w:val="18"/>
          <w:lang w:val="de-DE"/>
        </w:rPr>
        <w:t>HR = hazard ratio; KM = Kaplan Meier.</w:t>
      </w:r>
    </w:p>
    <w:p w:rsidR="00672ED0" w:rsidRPr="00CB4513" w:rsidRDefault="00672ED0" w:rsidP="00672ED0">
      <w:pPr>
        <w:rPr>
          <w:sz w:val="22"/>
          <w:szCs w:val="22"/>
          <w:lang w:val="de-DE" w:eastAsia="ja-JP"/>
        </w:rPr>
      </w:pPr>
    </w:p>
    <w:p w:rsidR="00672ED0" w:rsidRPr="00CB4513" w:rsidRDefault="00672ED0" w:rsidP="00672ED0">
      <w:pPr>
        <w:rPr>
          <w:sz w:val="22"/>
          <w:szCs w:val="22"/>
          <w:lang w:val="de-DE" w:eastAsia="ja-JP"/>
        </w:rPr>
      </w:pPr>
    </w:p>
    <w:p w:rsidR="00AD19F1" w:rsidRPr="00CB4513" w:rsidRDefault="004475F5" w:rsidP="00AD19F1">
      <w:pPr>
        <w:pStyle w:val="ListParagraph"/>
        <w:keepNext/>
        <w:numPr>
          <w:ilvl w:val="0"/>
          <w:numId w:val="46"/>
        </w:numPr>
        <w:ind w:left="1134" w:hanging="1134"/>
        <w:rPr>
          <w:sz w:val="28"/>
          <w:szCs w:val="28"/>
          <w:lang w:val="en-AU"/>
        </w:rPr>
      </w:pPr>
      <w:r w:rsidRPr="000D5F35">
        <w:rPr>
          <w:b/>
          <w:sz w:val="28"/>
          <w:szCs w:val="28"/>
          <w:lang w:val="en-AU"/>
        </w:rPr>
        <w:t>I</w:t>
      </w:r>
      <w:r w:rsidR="00DD67D7" w:rsidRPr="000D5F35">
        <w:rPr>
          <w:b/>
          <w:sz w:val="28"/>
          <w:szCs w:val="28"/>
          <w:lang w:val="en-AU"/>
        </w:rPr>
        <w:t>ndication</w:t>
      </w:r>
    </w:p>
    <w:p w:rsidR="00CC5553" w:rsidRPr="009E253B" w:rsidRDefault="00775A85" w:rsidP="00CB4513">
      <w:pPr>
        <w:spacing w:before="120"/>
        <w:rPr>
          <w:sz w:val="22"/>
          <w:szCs w:val="22"/>
        </w:rPr>
      </w:pPr>
      <w:proofErr w:type="spellStart"/>
      <w:r>
        <w:rPr>
          <w:sz w:val="22"/>
          <w:szCs w:val="22"/>
        </w:rPr>
        <w:t>Pomalidomide</w:t>
      </w:r>
      <w:proofErr w:type="spellEnd"/>
      <w:r>
        <w:rPr>
          <w:sz w:val="22"/>
          <w:szCs w:val="22"/>
        </w:rPr>
        <w:t>,</w:t>
      </w:r>
      <w:r w:rsidR="00CC5553" w:rsidRPr="00CC5553">
        <w:rPr>
          <w:sz w:val="22"/>
          <w:szCs w:val="22"/>
        </w:rPr>
        <w:t xml:space="preserve"> in combination with dexamethasone</w:t>
      </w:r>
      <w:r w:rsidR="00EE58CF">
        <w:rPr>
          <w:sz w:val="22"/>
          <w:szCs w:val="22"/>
        </w:rPr>
        <w:t>,</w:t>
      </w:r>
      <w:r w:rsidR="00CC5553" w:rsidRPr="00CC5553">
        <w:rPr>
          <w:sz w:val="22"/>
          <w:szCs w:val="22"/>
        </w:rPr>
        <w:t xml:space="preserve"> is indicated for the treatment of patients with </w:t>
      </w:r>
      <w:r>
        <w:rPr>
          <w:sz w:val="22"/>
          <w:szCs w:val="22"/>
        </w:rPr>
        <w:t xml:space="preserve">relapsed and refractory </w:t>
      </w:r>
      <w:r w:rsidR="00CC5553" w:rsidRPr="00CC5553">
        <w:rPr>
          <w:sz w:val="22"/>
          <w:szCs w:val="22"/>
        </w:rPr>
        <w:t xml:space="preserve">multiple myeloma who have </w:t>
      </w:r>
      <w:r>
        <w:rPr>
          <w:sz w:val="22"/>
          <w:szCs w:val="22"/>
        </w:rPr>
        <w:t xml:space="preserve">received </w:t>
      </w:r>
      <w:r w:rsidR="00CC5553" w:rsidRPr="00CC5553">
        <w:rPr>
          <w:sz w:val="22"/>
          <w:szCs w:val="22"/>
        </w:rPr>
        <w:t xml:space="preserve">at least two prior </w:t>
      </w:r>
      <w:r>
        <w:rPr>
          <w:sz w:val="22"/>
          <w:szCs w:val="22"/>
        </w:rPr>
        <w:t xml:space="preserve">treatment regimens, </w:t>
      </w:r>
      <w:r w:rsidR="00CC5553" w:rsidRPr="00CC5553">
        <w:rPr>
          <w:sz w:val="22"/>
          <w:szCs w:val="22"/>
        </w:rPr>
        <w:t xml:space="preserve">including </w:t>
      </w:r>
      <w:r>
        <w:rPr>
          <w:sz w:val="22"/>
          <w:szCs w:val="22"/>
        </w:rPr>
        <w:t xml:space="preserve">both </w:t>
      </w:r>
      <w:proofErr w:type="spellStart"/>
      <w:r w:rsidR="00CC5553" w:rsidRPr="00CC5553">
        <w:rPr>
          <w:sz w:val="22"/>
          <w:szCs w:val="22"/>
        </w:rPr>
        <w:t>lenalidomide</w:t>
      </w:r>
      <w:proofErr w:type="spellEnd"/>
      <w:r w:rsidR="00CC5553" w:rsidRPr="00CC5553">
        <w:rPr>
          <w:sz w:val="22"/>
          <w:szCs w:val="22"/>
        </w:rPr>
        <w:t xml:space="preserve"> and </w:t>
      </w:r>
      <w:proofErr w:type="spellStart"/>
      <w:r>
        <w:rPr>
          <w:sz w:val="22"/>
          <w:szCs w:val="22"/>
        </w:rPr>
        <w:t>bort</w:t>
      </w:r>
      <w:r w:rsidR="00C04E1F">
        <w:rPr>
          <w:sz w:val="22"/>
          <w:szCs w:val="22"/>
        </w:rPr>
        <w:t>e</w:t>
      </w:r>
      <w:r>
        <w:rPr>
          <w:sz w:val="22"/>
          <w:szCs w:val="22"/>
        </w:rPr>
        <w:t>zomib</w:t>
      </w:r>
      <w:proofErr w:type="spellEnd"/>
      <w:r>
        <w:rPr>
          <w:sz w:val="22"/>
          <w:szCs w:val="22"/>
        </w:rPr>
        <w:t>, and have demonstrated disease progression on the last therapy.</w:t>
      </w:r>
      <w:r w:rsidRPr="009E253B">
        <w:rPr>
          <w:sz w:val="22"/>
          <w:szCs w:val="22"/>
        </w:rPr>
        <w:t xml:space="preserve"> </w:t>
      </w:r>
    </w:p>
    <w:p w:rsidR="005A3053" w:rsidRPr="00CC5553" w:rsidRDefault="005A3053" w:rsidP="00446564">
      <w:pPr>
        <w:jc w:val="both"/>
        <w:rPr>
          <w:sz w:val="22"/>
          <w:szCs w:val="22"/>
        </w:rPr>
      </w:pPr>
    </w:p>
    <w:p w:rsidR="0078001D" w:rsidRPr="00F77E74" w:rsidRDefault="0078001D" w:rsidP="00446564">
      <w:pPr>
        <w:jc w:val="both"/>
        <w:rPr>
          <w:sz w:val="22"/>
          <w:szCs w:val="22"/>
          <w:lang w:val="en-AU"/>
        </w:rPr>
      </w:pPr>
    </w:p>
    <w:p w:rsidR="00F71750" w:rsidRPr="000D5F35" w:rsidRDefault="00215DC0" w:rsidP="00496855">
      <w:pPr>
        <w:pStyle w:val="ListParagraph"/>
        <w:keepNext/>
        <w:numPr>
          <w:ilvl w:val="0"/>
          <w:numId w:val="46"/>
        </w:numPr>
        <w:tabs>
          <w:tab w:val="left" w:pos="720"/>
        </w:tabs>
        <w:ind w:left="1134" w:hanging="1134"/>
        <w:jc w:val="both"/>
        <w:rPr>
          <w:b/>
          <w:sz w:val="28"/>
          <w:szCs w:val="28"/>
          <w:lang w:val="en-AU"/>
        </w:rPr>
      </w:pPr>
      <w:r w:rsidRPr="00604F1C">
        <w:rPr>
          <w:b/>
          <w:lang w:val="en-AU"/>
        </w:rPr>
        <w:tab/>
      </w:r>
      <w:r w:rsidR="00DD67D7" w:rsidRPr="000D5F35">
        <w:rPr>
          <w:b/>
          <w:sz w:val="28"/>
          <w:szCs w:val="28"/>
          <w:lang w:val="en-AU"/>
        </w:rPr>
        <w:t>Contraindications</w:t>
      </w:r>
    </w:p>
    <w:p w:rsidR="00DD67D7" w:rsidRPr="00F77E74" w:rsidRDefault="0030549F" w:rsidP="009B1FEF">
      <w:pPr>
        <w:numPr>
          <w:ilvl w:val="0"/>
          <w:numId w:val="2"/>
        </w:numPr>
        <w:tabs>
          <w:tab w:val="clear" w:pos="720"/>
        </w:tabs>
        <w:spacing w:before="120"/>
        <w:ind w:left="539" w:hanging="539"/>
        <w:rPr>
          <w:sz w:val="22"/>
          <w:szCs w:val="22"/>
          <w:lang w:val="en-AU"/>
        </w:rPr>
      </w:pPr>
      <w:r>
        <w:rPr>
          <w:sz w:val="22"/>
          <w:szCs w:val="22"/>
          <w:lang w:val="en-AU"/>
        </w:rPr>
        <w:t>Pregnancy</w:t>
      </w:r>
      <w:r w:rsidR="001E264E" w:rsidRPr="00F77E74">
        <w:rPr>
          <w:sz w:val="22"/>
          <w:szCs w:val="22"/>
          <w:lang w:val="en-AU"/>
        </w:rPr>
        <w:t>.</w:t>
      </w:r>
    </w:p>
    <w:p w:rsidR="00DD67D7" w:rsidRPr="00F77E74" w:rsidRDefault="0030549F" w:rsidP="004475F5">
      <w:pPr>
        <w:numPr>
          <w:ilvl w:val="0"/>
          <w:numId w:val="2"/>
        </w:numPr>
        <w:tabs>
          <w:tab w:val="clear" w:pos="720"/>
          <w:tab w:val="num" w:pos="540"/>
        </w:tabs>
        <w:spacing w:line="260" w:lineRule="exact"/>
        <w:ind w:left="540" w:hanging="540"/>
        <w:rPr>
          <w:sz w:val="22"/>
          <w:szCs w:val="22"/>
          <w:lang w:val="en-AU"/>
        </w:rPr>
      </w:pPr>
      <w:r>
        <w:rPr>
          <w:sz w:val="22"/>
          <w:szCs w:val="22"/>
          <w:lang w:val="en-AU"/>
        </w:rPr>
        <w:t>Females</w:t>
      </w:r>
      <w:r w:rsidRPr="00F77E74">
        <w:rPr>
          <w:sz w:val="22"/>
          <w:szCs w:val="22"/>
          <w:lang w:val="en-AU"/>
        </w:rPr>
        <w:t xml:space="preserve"> </w:t>
      </w:r>
      <w:r w:rsidR="00DD67D7" w:rsidRPr="00F77E74">
        <w:rPr>
          <w:sz w:val="22"/>
          <w:szCs w:val="22"/>
          <w:lang w:val="en-AU"/>
        </w:rPr>
        <w:t xml:space="preserve">of childbearing potential </w:t>
      </w:r>
      <w:r w:rsidR="006C46C2">
        <w:rPr>
          <w:sz w:val="22"/>
          <w:szCs w:val="22"/>
          <w:lang w:val="en-AU"/>
        </w:rPr>
        <w:t xml:space="preserve">and male patients </w:t>
      </w:r>
      <w:r w:rsidR="00DD67D7" w:rsidRPr="00F77E74">
        <w:rPr>
          <w:sz w:val="22"/>
          <w:szCs w:val="22"/>
          <w:lang w:val="en-AU"/>
        </w:rPr>
        <w:t xml:space="preserve">unless all of the conditions of </w:t>
      </w:r>
      <w:proofErr w:type="gramStart"/>
      <w:r w:rsidR="00DD67D7" w:rsidRPr="00F77E74">
        <w:rPr>
          <w:sz w:val="22"/>
          <w:szCs w:val="22"/>
          <w:lang w:val="en-AU"/>
        </w:rPr>
        <w:t xml:space="preserve">the </w:t>
      </w:r>
      <w:proofErr w:type="spellStart"/>
      <w:r w:rsidR="00907044" w:rsidRPr="00F77E74">
        <w:rPr>
          <w:i/>
          <w:sz w:val="22"/>
          <w:szCs w:val="22"/>
          <w:lang w:val="en-AU"/>
        </w:rPr>
        <w:t>i</w:t>
      </w:r>
      <w:proofErr w:type="spellEnd"/>
      <w:proofErr w:type="gramEnd"/>
      <w:r w:rsidR="00907044" w:rsidRPr="00F77E74">
        <w:rPr>
          <w:i/>
          <w:sz w:val="22"/>
          <w:szCs w:val="22"/>
          <w:lang w:val="en-AU"/>
        </w:rPr>
        <w:t>-</w:t>
      </w:r>
      <w:r w:rsidR="00907044" w:rsidRPr="00E00E8C">
        <w:rPr>
          <w:i/>
          <w:sz w:val="22"/>
          <w:szCs w:val="22"/>
          <w:lang w:val="en-AU"/>
        </w:rPr>
        <w:t>access</w:t>
      </w:r>
      <w:r w:rsidR="00E00E8C" w:rsidRPr="00E00E8C">
        <w:rPr>
          <w:sz w:val="22"/>
          <w:szCs w:val="22"/>
          <w:vertAlign w:val="superscript"/>
          <w:lang w:val="en-AU"/>
        </w:rPr>
        <w:t>®</w:t>
      </w:r>
      <w:r w:rsidR="006E111E" w:rsidRPr="00F77E74">
        <w:rPr>
          <w:sz w:val="22"/>
          <w:szCs w:val="22"/>
          <w:lang w:val="en-AU"/>
        </w:rPr>
        <w:t xml:space="preserve"> </w:t>
      </w:r>
      <w:r w:rsidR="00810BDF" w:rsidRPr="00F77E74">
        <w:rPr>
          <w:sz w:val="22"/>
          <w:szCs w:val="22"/>
          <w:lang w:val="en-AU"/>
        </w:rPr>
        <w:t>Program</w:t>
      </w:r>
      <w:r w:rsidR="00DD67D7" w:rsidRPr="00F77E74">
        <w:rPr>
          <w:sz w:val="22"/>
          <w:szCs w:val="22"/>
          <w:lang w:val="en-AU"/>
        </w:rPr>
        <w:t xml:space="preserve"> </w:t>
      </w:r>
      <w:r w:rsidR="00AD19F1">
        <w:rPr>
          <w:sz w:val="22"/>
          <w:szCs w:val="22"/>
          <w:lang w:val="en-AU"/>
        </w:rPr>
        <w:t>have been</w:t>
      </w:r>
      <w:r w:rsidR="00DC09FF">
        <w:rPr>
          <w:sz w:val="22"/>
          <w:szCs w:val="22"/>
          <w:lang w:val="en-AU"/>
        </w:rPr>
        <w:t xml:space="preserve"> met; </w:t>
      </w:r>
      <w:r w:rsidR="00DD67D7" w:rsidRPr="00DC09FF">
        <w:rPr>
          <w:sz w:val="22"/>
          <w:szCs w:val="22"/>
          <w:lang w:val="en-AU"/>
        </w:rPr>
        <w:t>see</w:t>
      </w:r>
      <w:r w:rsidR="007329BA" w:rsidRPr="00DC09FF">
        <w:rPr>
          <w:sz w:val="22"/>
          <w:szCs w:val="22"/>
          <w:lang w:val="en-AU"/>
        </w:rPr>
        <w:t xml:space="preserve"> </w:t>
      </w:r>
      <w:r w:rsidR="00DC09FF" w:rsidRPr="00DC09FF">
        <w:rPr>
          <w:sz w:val="22"/>
          <w:szCs w:val="22"/>
          <w:lang w:val="en-AU"/>
        </w:rPr>
        <w:t xml:space="preserve">section </w:t>
      </w:r>
      <w:r w:rsidR="007138B5">
        <w:rPr>
          <w:sz w:val="22"/>
          <w:szCs w:val="22"/>
          <w:lang w:val="en-AU"/>
        </w:rPr>
        <w:t>7</w:t>
      </w:r>
      <w:r w:rsidR="00DC09FF" w:rsidRPr="00DC09FF">
        <w:rPr>
          <w:sz w:val="22"/>
          <w:szCs w:val="22"/>
          <w:lang w:val="en-AU"/>
        </w:rPr>
        <w:t>-</w:t>
      </w:r>
      <w:r w:rsidR="007329BA" w:rsidRPr="00DC09FF">
        <w:rPr>
          <w:sz w:val="22"/>
          <w:szCs w:val="22"/>
          <w:lang w:val="en-AU"/>
        </w:rPr>
        <w:t>Precautions</w:t>
      </w:r>
      <w:r w:rsidR="00DD67D7" w:rsidRPr="00DC09FF">
        <w:rPr>
          <w:sz w:val="22"/>
          <w:szCs w:val="22"/>
          <w:lang w:val="en-AU"/>
        </w:rPr>
        <w:t>.</w:t>
      </w:r>
    </w:p>
    <w:p w:rsidR="00DD67D7" w:rsidRPr="00F77E74" w:rsidRDefault="00DD67D7" w:rsidP="004475F5">
      <w:pPr>
        <w:numPr>
          <w:ilvl w:val="0"/>
          <w:numId w:val="2"/>
        </w:numPr>
        <w:tabs>
          <w:tab w:val="clear" w:pos="720"/>
          <w:tab w:val="num" w:pos="540"/>
        </w:tabs>
        <w:ind w:left="630" w:hanging="630"/>
        <w:rPr>
          <w:sz w:val="22"/>
          <w:szCs w:val="22"/>
          <w:lang w:val="en-AU"/>
        </w:rPr>
      </w:pPr>
      <w:r w:rsidRPr="00F77E74">
        <w:rPr>
          <w:sz w:val="22"/>
          <w:szCs w:val="22"/>
          <w:lang w:val="en-AU"/>
        </w:rPr>
        <w:t>Hypersensitivity to the active substance or to any of the excipients.</w:t>
      </w:r>
    </w:p>
    <w:p w:rsidR="00DD67D7" w:rsidRPr="00F77E74" w:rsidRDefault="00DD67D7" w:rsidP="004475F5">
      <w:pPr>
        <w:jc w:val="both"/>
        <w:rPr>
          <w:sz w:val="22"/>
          <w:szCs w:val="22"/>
          <w:lang w:val="en-AU"/>
        </w:rPr>
      </w:pPr>
    </w:p>
    <w:p w:rsidR="00D70000" w:rsidRPr="00F77E74" w:rsidRDefault="00D70000" w:rsidP="004475F5">
      <w:pPr>
        <w:jc w:val="both"/>
        <w:rPr>
          <w:sz w:val="22"/>
          <w:szCs w:val="22"/>
          <w:lang w:val="en-AU"/>
        </w:rPr>
      </w:pPr>
    </w:p>
    <w:p w:rsidR="00646D90" w:rsidRDefault="004475F5" w:rsidP="009E253B">
      <w:pPr>
        <w:pStyle w:val="ListParagraph"/>
        <w:keepNext/>
        <w:numPr>
          <w:ilvl w:val="0"/>
          <w:numId w:val="46"/>
        </w:numPr>
        <w:tabs>
          <w:tab w:val="left" w:pos="1418"/>
        </w:tabs>
        <w:ind w:left="1134" w:hanging="1134"/>
        <w:jc w:val="both"/>
        <w:rPr>
          <w:sz w:val="28"/>
          <w:szCs w:val="28"/>
          <w:lang w:val="en-AU"/>
        </w:rPr>
      </w:pPr>
      <w:r w:rsidRPr="000D5F35">
        <w:rPr>
          <w:b/>
          <w:sz w:val="28"/>
          <w:szCs w:val="28"/>
          <w:lang w:val="en-AU"/>
        </w:rPr>
        <w:t>P</w:t>
      </w:r>
      <w:r w:rsidR="00DD67D7" w:rsidRPr="000D5F35">
        <w:rPr>
          <w:b/>
          <w:sz w:val="28"/>
          <w:szCs w:val="28"/>
          <w:lang w:val="en-AU"/>
        </w:rPr>
        <w:t>recautions</w:t>
      </w:r>
    </w:p>
    <w:p w:rsidR="00F71750" w:rsidRPr="001F36F9" w:rsidRDefault="004A08A9" w:rsidP="00496855">
      <w:pPr>
        <w:pStyle w:val="C-Bullet"/>
        <w:keepNext/>
        <w:numPr>
          <w:ilvl w:val="1"/>
          <w:numId w:val="46"/>
        </w:numPr>
        <w:spacing w:after="0" w:line="240" w:lineRule="auto"/>
        <w:ind w:left="851" w:hanging="851"/>
        <w:jc w:val="both"/>
        <w:rPr>
          <w:b/>
          <w:szCs w:val="24"/>
          <w:lang w:val="en-AU"/>
        </w:rPr>
      </w:pPr>
      <w:r w:rsidRPr="001F36F9">
        <w:rPr>
          <w:b/>
          <w:szCs w:val="24"/>
          <w:lang w:val="en-AU"/>
        </w:rPr>
        <w:t xml:space="preserve">Effects on </w:t>
      </w:r>
      <w:r w:rsidR="006E4EEA" w:rsidRPr="001F36F9">
        <w:rPr>
          <w:b/>
          <w:szCs w:val="24"/>
          <w:lang w:val="en-AU"/>
        </w:rPr>
        <w:t>f</w:t>
      </w:r>
      <w:r w:rsidRPr="001F36F9">
        <w:rPr>
          <w:b/>
          <w:szCs w:val="24"/>
          <w:lang w:val="en-AU"/>
        </w:rPr>
        <w:t>ertility</w:t>
      </w:r>
    </w:p>
    <w:p w:rsidR="00E80F7F" w:rsidRPr="006F239F" w:rsidRDefault="00E80F7F" w:rsidP="006F239F">
      <w:pPr>
        <w:spacing w:before="120"/>
        <w:rPr>
          <w:sz w:val="22"/>
          <w:szCs w:val="22"/>
        </w:rPr>
      </w:pPr>
      <w:r w:rsidRPr="00E80F7F">
        <w:rPr>
          <w:sz w:val="22"/>
          <w:szCs w:val="22"/>
        </w:rPr>
        <w:t xml:space="preserve">In a fertility and early embryonic development study in rats, </w:t>
      </w:r>
      <w:proofErr w:type="spellStart"/>
      <w:r w:rsidRPr="00E80F7F">
        <w:rPr>
          <w:sz w:val="22"/>
          <w:szCs w:val="22"/>
        </w:rPr>
        <w:t>pomalidomide</w:t>
      </w:r>
      <w:proofErr w:type="spellEnd"/>
      <w:r w:rsidRPr="00E80F7F">
        <w:rPr>
          <w:sz w:val="22"/>
          <w:szCs w:val="22"/>
        </w:rPr>
        <w:t xml:space="preserve"> was administered to males and females at dosages of 25, 250, and 1000 mg/kg/day.  Uterine examination on Gestation Day 13 showed a decrease in mean number of viable embryos and an increase in </w:t>
      </w:r>
      <w:proofErr w:type="spellStart"/>
      <w:r w:rsidRPr="00E80F7F">
        <w:rPr>
          <w:sz w:val="22"/>
          <w:szCs w:val="22"/>
        </w:rPr>
        <w:t>postimplantation</w:t>
      </w:r>
      <w:proofErr w:type="spellEnd"/>
      <w:r w:rsidRPr="00E80F7F">
        <w:rPr>
          <w:sz w:val="22"/>
          <w:szCs w:val="22"/>
        </w:rPr>
        <w:t xml:space="preserve"> loss at all dosage levels.  Therefore, the NOAEL for these observed effects was &lt;25 mg/kg/day 99-fold higher exposure at the lowest dose tested relative to a 4 mg dose.  When treated males on this study were </w:t>
      </w:r>
      <w:r w:rsidRPr="00E80F7F">
        <w:rPr>
          <w:sz w:val="22"/>
          <w:szCs w:val="22"/>
        </w:rPr>
        <w:lastRenderedPageBreak/>
        <w:t>mated with untreated females, all uterine parameters were comparable to the controls.  Based on these results, the observed effects were attributed to the treatment of females.</w:t>
      </w:r>
    </w:p>
    <w:p w:rsidR="00C6142D" w:rsidRDefault="00C6142D" w:rsidP="00C6142D">
      <w:pPr>
        <w:rPr>
          <w:sz w:val="22"/>
          <w:szCs w:val="22"/>
          <w:lang w:val="en-AU"/>
        </w:rPr>
      </w:pPr>
    </w:p>
    <w:p w:rsidR="00312F9C" w:rsidRPr="00F77E74" w:rsidRDefault="00312F9C" w:rsidP="00C6142D">
      <w:pPr>
        <w:rPr>
          <w:sz w:val="22"/>
          <w:szCs w:val="22"/>
          <w:lang w:val="en-AU"/>
        </w:rPr>
      </w:pPr>
    </w:p>
    <w:p w:rsidR="00DD6BEB" w:rsidRDefault="001E264E" w:rsidP="00C04E1F">
      <w:pPr>
        <w:pStyle w:val="BodyText2"/>
        <w:keepNext/>
        <w:numPr>
          <w:ilvl w:val="1"/>
          <w:numId w:val="46"/>
        </w:numPr>
        <w:tabs>
          <w:tab w:val="clear" w:pos="567"/>
        </w:tabs>
        <w:spacing w:line="240" w:lineRule="auto"/>
        <w:ind w:left="851" w:hanging="851"/>
        <w:jc w:val="both"/>
        <w:rPr>
          <w:iCs/>
          <w:sz w:val="24"/>
          <w:szCs w:val="24"/>
          <w:lang w:val="en-AU"/>
        </w:rPr>
      </w:pPr>
      <w:r w:rsidRPr="001F36F9">
        <w:rPr>
          <w:iCs/>
          <w:sz w:val="24"/>
          <w:szCs w:val="24"/>
          <w:lang w:val="en-AU"/>
        </w:rPr>
        <w:t xml:space="preserve">Use in </w:t>
      </w:r>
      <w:r w:rsidR="006E4EEA" w:rsidRPr="001F36F9">
        <w:rPr>
          <w:iCs/>
          <w:sz w:val="24"/>
          <w:szCs w:val="24"/>
          <w:lang w:val="en-AU"/>
        </w:rPr>
        <w:t>p</w:t>
      </w:r>
      <w:r w:rsidR="004475F5" w:rsidRPr="001F36F9">
        <w:rPr>
          <w:iCs/>
          <w:sz w:val="24"/>
          <w:szCs w:val="24"/>
          <w:lang w:val="en-AU"/>
        </w:rPr>
        <w:t>regnancy (</w:t>
      </w:r>
      <w:r w:rsidR="00B33653" w:rsidRPr="001F36F9">
        <w:rPr>
          <w:iCs/>
          <w:sz w:val="24"/>
          <w:szCs w:val="24"/>
          <w:lang w:val="en-AU"/>
        </w:rPr>
        <w:t xml:space="preserve">Pregnancy </w:t>
      </w:r>
      <w:r w:rsidR="004475F5" w:rsidRPr="001F36F9">
        <w:rPr>
          <w:iCs/>
          <w:sz w:val="24"/>
          <w:szCs w:val="24"/>
          <w:lang w:val="en-AU"/>
        </w:rPr>
        <w:t xml:space="preserve">Category </w:t>
      </w:r>
      <w:r w:rsidR="00A20973" w:rsidRPr="001F36F9">
        <w:rPr>
          <w:iCs/>
          <w:sz w:val="24"/>
          <w:szCs w:val="24"/>
          <w:lang w:val="en-AU"/>
        </w:rPr>
        <w:t>X</w:t>
      </w:r>
      <w:r w:rsidR="004475F5" w:rsidRPr="001F36F9">
        <w:rPr>
          <w:iCs/>
          <w:sz w:val="24"/>
          <w:szCs w:val="24"/>
          <w:lang w:val="en-AU"/>
        </w:rPr>
        <w:t>)</w:t>
      </w:r>
    </w:p>
    <w:p w:rsidR="00443C45" w:rsidRDefault="00775A85" w:rsidP="00C50599">
      <w:pPr>
        <w:pStyle w:val="C-BodyText"/>
        <w:spacing w:after="0" w:line="240" w:lineRule="auto"/>
        <w:rPr>
          <w:sz w:val="22"/>
          <w:szCs w:val="22"/>
        </w:rPr>
      </w:pPr>
      <w:proofErr w:type="spellStart"/>
      <w:r>
        <w:rPr>
          <w:sz w:val="22"/>
          <w:szCs w:val="22"/>
          <w:lang w:val="en-AU" w:eastAsia="zh-CN"/>
        </w:rPr>
        <w:t>Pom</w:t>
      </w:r>
      <w:r w:rsidRPr="00B4319A">
        <w:rPr>
          <w:sz w:val="22"/>
          <w:szCs w:val="22"/>
          <w:lang w:val="en-AU" w:eastAsia="zh-CN"/>
        </w:rPr>
        <w:t>alidomide</w:t>
      </w:r>
      <w:proofErr w:type="spellEnd"/>
      <w:r w:rsidRPr="00B4319A">
        <w:rPr>
          <w:sz w:val="22"/>
          <w:szCs w:val="22"/>
          <w:lang w:val="en-AU" w:eastAsia="zh-CN"/>
        </w:rPr>
        <w:t xml:space="preserve"> crossed the placenta and was detected in </w:t>
      </w:r>
      <w:proofErr w:type="spellStart"/>
      <w:r w:rsidRPr="00B4319A">
        <w:rPr>
          <w:sz w:val="22"/>
          <w:szCs w:val="22"/>
          <w:lang w:val="en-AU" w:eastAsia="zh-CN"/>
        </w:rPr>
        <w:t>fetal</w:t>
      </w:r>
      <w:proofErr w:type="spellEnd"/>
      <w:r w:rsidRPr="00B4319A">
        <w:rPr>
          <w:sz w:val="22"/>
          <w:szCs w:val="22"/>
          <w:lang w:val="en-AU" w:eastAsia="zh-CN"/>
        </w:rPr>
        <w:t xml:space="preserve"> blood following administration to pregnant rabbits. </w:t>
      </w:r>
      <w:r>
        <w:rPr>
          <w:sz w:val="22"/>
          <w:szCs w:val="22"/>
          <w:lang w:val="en-AU" w:eastAsia="zh-CN"/>
        </w:rPr>
        <w:t xml:space="preserve"> </w:t>
      </w:r>
      <w:proofErr w:type="spellStart"/>
      <w:r>
        <w:rPr>
          <w:sz w:val="22"/>
          <w:szCs w:val="22"/>
          <w:lang w:val="en-AU" w:eastAsia="zh-CN"/>
        </w:rPr>
        <w:t>Pom</w:t>
      </w:r>
      <w:r w:rsidRPr="00B4319A">
        <w:rPr>
          <w:sz w:val="22"/>
          <w:szCs w:val="22"/>
          <w:lang w:val="en-AU" w:eastAsia="zh-CN"/>
        </w:rPr>
        <w:t>alidomide</w:t>
      </w:r>
      <w:proofErr w:type="spellEnd"/>
      <w:r w:rsidRPr="00B4319A">
        <w:rPr>
          <w:sz w:val="22"/>
          <w:szCs w:val="22"/>
          <w:lang w:val="en-AU" w:eastAsia="zh-CN"/>
        </w:rPr>
        <w:t xml:space="preserve"> was found to be teratogenic and induce </w:t>
      </w:r>
      <w:proofErr w:type="spellStart"/>
      <w:r w:rsidRPr="00B4319A">
        <w:rPr>
          <w:sz w:val="22"/>
          <w:szCs w:val="22"/>
          <w:lang w:val="en-AU" w:eastAsia="zh-CN"/>
        </w:rPr>
        <w:t>embryofetal</w:t>
      </w:r>
      <w:proofErr w:type="spellEnd"/>
      <w:r w:rsidRPr="00B4319A">
        <w:rPr>
          <w:sz w:val="22"/>
          <w:szCs w:val="22"/>
          <w:lang w:val="en-AU" w:eastAsia="zh-CN"/>
        </w:rPr>
        <w:t xml:space="preserve"> lethality in reproductive toxicity studies in rats and rabbits. </w:t>
      </w:r>
      <w:r>
        <w:rPr>
          <w:sz w:val="22"/>
          <w:szCs w:val="22"/>
          <w:lang w:val="en-AU" w:eastAsia="zh-CN"/>
        </w:rPr>
        <w:t xml:space="preserve"> </w:t>
      </w:r>
      <w:r w:rsidRPr="00B4319A">
        <w:rPr>
          <w:sz w:val="22"/>
          <w:szCs w:val="22"/>
          <w:lang w:val="en-AU" w:eastAsia="zh-CN"/>
        </w:rPr>
        <w:t xml:space="preserve">Teratogenicity was seen at all doses. </w:t>
      </w:r>
      <w:r>
        <w:rPr>
          <w:sz w:val="22"/>
          <w:szCs w:val="22"/>
          <w:lang w:val="en-AU" w:eastAsia="zh-CN"/>
        </w:rPr>
        <w:t xml:space="preserve"> </w:t>
      </w:r>
      <w:r w:rsidRPr="00B4319A">
        <w:rPr>
          <w:sz w:val="22"/>
          <w:szCs w:val="22"/>
          <w:lang w:val="en-AU" w:eastAsia="zh-CN"/>
        </w:rPr>
        <w:t xml:space="preserve">Both skeletal (including rotated </w:t>
      </w:r>
      <w:r>
        <w:rPr>
          <w:sz w:val="22"/>
          <w:szCs w:val="22"/>
          <w:lang w:val="en-AU" w:eastAsia="zh-CN"/>
        </w:rPr>
        <w:t>fore- and/or hind limbs and un</w:t>
      </w:r>
      <w:r w:rsidRPr="00B4319A">
        <w:rPr>
          <w:sz w:val="22"/>
          <w:szCs w:val="22"/>
          <w:lang w:val="en-AU" w:eastAsia="zh-CN"/>
        </w:rPr>
        <w:t xml:space="preserve">attached </w:t>
      </w:r>
      <w:r>
        <w:rPr>
          <w:sz w:val="22"/>
          <w:szCs w:val="22"/>
          <w:lang w:val="en-AU" w:eastAsia="zh-CN"/>
        </w:rPr>
        <w:t>or absent digits) and visceral (</w:t>
      </w:r>
      <w:r w:rsidRPr="00B4319A">
        <w:rPr>
          <w:sz w:val="22"/>
          <w:szCs w:val="22"/>
          <w:lang w:val="en-AU" w:eastAsia="zh-CN"/>
        </w:rPr>
        <w:t xml:space="preserve">including absent urinary bladder, </w:t>
      </w:r>
      <w:proofErr w:type="spellStart"/>
      <w:r w:rsidRPr="00B4319A">
        <w:rPr>
          <w:sz w:val="22"/>
          <w:szCs w:val="22"/>
          <w:lang w:val="en-AU" w:eastAsia="zh-CN"/>
        </w:rPr>
        <w:t>in</w:t>
      </w:r>
      <w:r>
        <w:rPr>
          <w:sz w:val="22"/>
          <w:szCs w:val="22"/>
          <w:lang w:val="en-AU" w:eastAsia="zh-CN"/>
        </w:rPr>
        <w:t>traventricular</w:t>
      </w:r>
      <w:proofErr w:type="spellEnd"/>
      <w:r>
        <w:rPr>
          <w:sz w:val="22"/>
          <w:szCs w:val="22"/>
          <w:lang w:val="en-AU" w:eastAsia="zh-CN"/>
        </w:rPr>
        <w:t xml:space="preserve"> septal defect) m</w:t>
      </w:r>
      <w:r w:rsidRPr="00B4319A">
        <w:rPr>
          <w:sz w:val="22"/>
          <w:szCs w:val="22"/>
          <w:lang w:val="en-AU" w:eastAsia="zh-CN"/>
        </w:rPr>
        <w:t xml:space="preserve">alformations were observed. </w:t>
      </w:r>
      <w:r>
        <w:rPr>
          <w:sz w:val="22"/>
          <w:szCs w:val="22"/>
          <w:lang w:val="en-AU" w:eastAsia="zh-CN"/>
        </w:rPr>
        <w:t xml:space="preserve"> </w:t>
      </w:r>
      <w:r w:rsidRPr="00B4319A">
        <w:rPr>
          <w:sz w:val="22"/>
          <w:szCs w:val="22"/>
          <w:lang w:val="en-AU" w:eastAsia="zh-CN"/>
        </w:rPr>
        <w:t>Exposures at the LOEL in rats and rabbits were</w:t>
      </w:r>
      <w:r w:rsidR="00862838">
        <w:rPr>
          <w:sz w:val="22"/>
          <w:szCs w:val="22"/>
          <w:lang w:val="en-AU" w:eastAsia="zh-CN"/>
        </w:rPr>
        <w:t xml:space="preserve"> 85</w:t>
      </w:r>
      <w:r w:rsidR="00AB7189" w:rsidRPr="00862838">
        <w:rPr>
          <w:sz w:val="22"/>
          <w:szCs w:val="22"/>
          <w:lang w:val="en-AU" w:eastAsia="zh-CN"/>
        </w:rPr>
        <w:t>-</w:t>
      </w:r>
      <w:r w:rsidRPr="00B4319A">
        <w:rPr>
          <w:sz w:val="22"/>
          <w:szCs w:val="22"/>
          <w:lang w:val="en-AU" w:eastAsia="zh-CN"/>
        </w:rPr>
        <w:t>fold and similar to, respectively, the exposure expected with a 4 mg clinical dose.</w:t>
      </w:r>
    </w:p>
    <w:p w:rsidR="00775A85" w:rsidRPr="00443C45" w:rsidRDefault="00775A85" w:rsidP="00E47C8D">
      <w:pPr>
        <w:pStyle w:val="C-BodyText"/>
        <w:spacing w:before="0" w:after="0" w:line="240" w:lineRule="auto"/>
        <w:rPr>
          <w:sz w:val="22"/>
          <w:szCs w:val="22"/>
        </w:rPr>
      </w:pPr>
    </w:p>
    <w:p w:rsidR="0028636D" w:rsidRPr="00063921" w:rsidRDefault="0028636D" w:rsidP="0028636D">
      <w:pPr>
        <w:pStyle w:val="C-BodyText"/>
        <w:spacing w:before="0" w:after="0"/>
        <w:rPr>
          <w:sz w:val="22"/>
          <w:szCs w:val="22"/>
        </w:rPr>
      </w:pPr>
      <w:r w:rsidRPr="00C82498">
        <w:rPr>
          <w:sz w:val="22"/>
          <w:szCs w:val="22"/>
        </w:rPr>
        <w:t xml:space="preserve">A teratogenic effect of </w:t>
      </w:r>
      <w:proofErr w:type="spellStart"/>
      <w:r w:rsidRPr="00C82498">
        <w:rPr>
          <w:sz w:val="22"/>
          <w:szCs w:val="22"/>
        </w:rPr>
        <w:t>pomalidomide</w:t>
      </w:r>
      <w:proofErr w:type="spellEnd"/>
      <w:r w:rsidRPr="00C82498">
        <w:rPr>
          <w:sz w:val="22"/>
          <w:szCs w:val="22"/>
        </w:rPr>
        <w:t xml:space="preserve"> in humans cannot be ruled out.  </w:t>
      </w:r>
      <w:r w:rsidR="006C46C2">
        <w:rPr>
          <w:sz w:val="22"/>
          <w:szCs w:val="22"/>
        </w:rPr>
        <w:t xml:space="preserve">Because </w:t>
      </w:r>
      <w:proofErr w:type="spellStart"/>
      <w:r w:rsidR="006C46C2">
        <w:rPr>
          <w:sz w:val="22"/>
          <w:szCs w:val="22"/>
        </w:rPr>
        <w:t>pomalidomide</w:t>
      </w:r>
      <w:proofErr w:type="spellEnd"/>
      <w:r w:rsidR="006C46C2">
        <w:rPr>
          <w:sz w:val="22"/>
          <w:szCs w:val="22"/>
        </w:rPr>
        <w:t xml:space="preserve"> is a structural analogue of thalidomide, a known human teratogen</w:t>
      </w:r>
      <w:r w:rsidRPr="00C82498">
        <w:rPr>
          <w:sz w:val="22"/>
          <w:szCs w:val="22"/>
        </w:rPr>
        <w:t xml:space="preserve">, </w:t>
      </w:r>
      <w:r w:rsidRPr="00C82498">
        <w:rPr>
          <w:sz w:val="22"/>
          <w:szCs w:val="22"/>
          <w:lang w:eastAsia="zh-CN"/>
        </w:rPr>
        <w:t xml:space="preserve">the conditions of </w:t>
      </w:r>
      <w:proofErr w:type="gramStart"/>
      <w:r w:rsidRPr="00C82498">
        <w:rPr>
          <w:sz w:val="22"/>
          <w:szCs w:val="22"/>
          <w:lang w:eastAsia="zh-CN"/>
        </w:rPr>
        <w:t xml:space="preserve">the </w:t>
      </w:r>
      <w:proofErr w:type="spellStart"/>
      <w:r w:rsidRPr="00C82498">
        <w:rPr>
          <w:i/>
          <w:sz w:val="22"/>
          <w:szCs w:val="22"/>
          <w:lang w:val="en-AU"/>
        </w:rPr>
        <w:t>i</w:t>
      </w:r>
      <w:proofErr w:type="spellEnd"/>
      <w:proofErr w:type="gramEnd"/>
      <w:r w:rsidRPr="00C82498">
        <w:rPr>
          <w:i/>
          <w:sz w:val="22"/>
          <w:szCs w:val="22"/>
          <w:lang w:val="en-AU"/>
        </w:rPr>
        <w:t>-access</w:t>
      </w:r>
      <w:r w:rsidRPr="00C82498">
        <w:rPr>
          <w:sz w:val="22"/>
          <w:szCs w:val="22"/>
          <w:vertAlign w:val="superscript"/>
          <w:lang w:val="en-AU"/>
        </w:rPr>
        <w:t>®</w:t>
      </w:r>
      <w:r w:rsidRPr="00C82498">
        <w:rPr>
          <w:sz w:val="22"/>
          <w:szCs w:val="22"/>
          <w:lang w:val="en-AU"/>
        </w:rPr>
        <w:t xml:space="preserve"> </w:t>
      </w:r>
      <w:r w:rsidRPr="00C82498">
        <w:rPr>
          <w:sz w:val="22"/>
          <w:szCs w:val="22"/>
          <w:lang w:eastAsia="zh-CN"/>
        </w:rPr>
        <w:t xml:space="preserve">Program </w:t>
      </w:r>
      <w:r>
        <w:rPr>
          <w:sz w:val="22"/>
          <w:szCs w:val="22"/>
          <w:lang w:eastAsia="zh-CN"/>
        </w:rPr>
        <w:t xml:space="preserve">for pregnancy prevention </w:t>
      </w:r>
      <w:r w:rsidRPr="00C82498">
        <w:rPr>
          <w:sz w:val="22"/>
          <w:szCs w:val="22"/>
          <w:lang w:eastAsia="zh-CN"/>
        </w:rPr>
        <w:t>must be fulfilled for all patients.</w:t>
      </w:r>
    </w:p>
    <w:p w:rsidR="00DF1C2C" w:rsidRPr="00312F9C" w:rsidRDefault="00DF1C2C" w:rsidP="00E47C8D">
      <w:pPr>
        <w:rPr>
          <w:sz w:val="22"/>
          <w:szCs w:val="22"/>
          <w:lang w:val="en-US"/>
        </w:rPr>
      </w:pPr>
    </w:p>
    <w:p w:rsidR="00987EA9" w:rsidRPr="0028636D" w:rsidRDefault="00336C61" w:rsidP="00205FF6">
      <w:pPr>
        <w:pStyle w:val="ListParagraph"/>
        <w:ind w:left="567" w:hanging="567"/>
        <w:rPr>
          <w:b/>
          <w:sz w:val="22"/>
          <w:szCs w:val="22"/>
          <w:lang w:val="en-AU"/>
        </w:rPr>
      </w:pPr>
      <w:r>
        <w:rPr>
          <w:b/>
          <w:sz w:val="22"/>
          <w:szCs w:val="22"/>
          <w:lang w:val="en-AU"/>
        </w:rPr>
        <w:t>7.2.1</w:t>
      </w:r>
      <w:r>
        <w:rPr>
          <w:b/>
          <w:sz w:val="22"/>
          <w:szCs w:val="22"/>
          <w:lang w:val="en-AU"/>
        </w:rPr>
        <w:tab/>
      </w:r>
      <w:r w:rsidR="00876F06">
        <w:rPr>
          <w:b/>
          <w:sz w:val="22"/>
          <w:szCs w:val="22"/>
          <w:lang w:val="en-AU"/>
        </w:rPr>
        <w:t>T</w:t>
      </w:r>
      <w:r w:rsidR="00876F06" w:rsidRPr="00987EA9">
        <w:rPr>
          <w:b/>
          <w:sz w:val="22"/>
          <w:szCs w:val="22"/>
          <w:lang w:val="en-AU"/>
        </w:rPr>
        <w:t xml:space="preserve">he </w:t>
      </w:r>
      <w:proofErr w:type="spellStart"/>
      <w:r w:rsidR="00FC3CDC" w:rsidRPr="00987EA9">
        <w:rPr>
          <w:b/>
          <w:i/>
          <w:sz w:val="22"/>
          <w:szCs w:val="22"/>
          <w:lang w:val="en-AU"/>
        </w:rPr>
        <w:t>i</w:t>
      </w:r>
      <w:proofErr w:type="spellEnd"/>
      <w:r w:rsidR="00FC3CDC" w:rsidRPr="00987EA9">
        <w:rPr>
          <w:b/>
          <w:i/>
          <w:sz w:val="22"/>
          <w:szCs w:val="22"/>
          <w:lang w:val="en-AU"/>
        </w:rPr>
        <w:t>-access</w:t>
      </w:r>
      <w:r w:rsidR="00876F06" w:rsidRPr="00987EA9">
        <w:rPr>
          <w:b/>
          <w:i/>
          <w:sz w:val="22"/>
          <w:szCs w:val="22"/>
          <w:vertAlign w:val="superscript"/>
          <w:lang w:val="en-AU"/>
        </w:rPr>
        <w:t>®</w:t>
      </w:r>
      <w:r w:rsidR="00FC3CDC" w:rsidRPr="00987EA9">
        <w:rPr>
          <w:b/>
          <w:sz w:val="22"/>
          <w:szCs w:val="22"/>
          <w:lang w:val="en-AU"/>
        </w:rPr>
        <w:t xml:space="preserve"> Program conditions</w:t>
      </w:r>
      <w:r w:rsidR="0028636D">
        <w:rPr>
          <w:b/>
          <w:sz w:val="22"/>
          <w:szCs w:val="22"/>
          <w:lang w:val="en-AU"/>
        </w:rPr>
        <w:t xml:space="preserve"> for pregnancy prevention</w:t>
      </w:r>
    </w:p>
    <w:p w:rsidR="00C6587A" w:rsidRDefault="002F32EE" w:rsidP="00FC3CDC">
      <w:pPr>
        <w:tabs>
          <w:tab w:val="left" w:pos="-1440"/>
          <w:tab w:val="left" w:pos="-720"/>
        </w:tabs>
        <w:spacing w:before="120"/>
        <w:rPr>
          <w:sz w:val="22"/>
          <w:szCs w:val="22"/>
          <w:lang w:val="en-AU"/>
        </w:rPr>
      </w:pPr>
      <w:proofErr w:type="spellStart"/>
      <w:r w:rsidRPr="002F32EE">
        <w:rPr>
          <w:rFonts w:eastAsia="SimSun"/>
          <w:bCs/>
          <w:sz w:val="22"/>
          <w:szCs w:val="22"/>
          <w:lang w:val="en-AU" w:eastAsia="zh-CN"/>
        </w:rPr>
        <w:t>Pomalyst</w:t>
      </w:r>
      <w:proofErr w:type="spellEnd"/>
      <w:r w:rsidRPr="00F77E74">
        <w:rPr>
          <w:sz w:val="22"/>
          <w:szCs w:val="22"/>
          <w:lang w:val="en-AU"/>
        </w:rPr>
        <w:t xml:space="preserve"> </w:t>
      </w:r>
      <w:r w:rsidR="0024661B" w:rsidRPr="00F77E74">
        <w:rPr>
          <w:sz w:val="22"/>
          <w:szCs w:val="22"/>
          <w:lang w:val="en-AU"/>
        </w:rPr>
        <w:t>is available under a restricted distribution program (</w:t>
      </w:r>
      <w:proofErr w:type="spellStart"/>
      <w:r w:rsidR="00DF1C2C" w:rsidRPr="00F77E74">
        <w:rPr>
          <w:i/>
          <w:sz w:val="22"/>
          <w:szCs w:val="22"/>
          <w:lang w:val="en-AU"/>
        </w:rPr>
        <w:t>i</w:t>
      </w:r>
      <w:proofErr w:type="spellEnd"/>
      <w:r w:rsidR="00DF1C2C" w:rsidRPr="00F77E74">
        <w:rPr>
          <w:i/>
          <w:sz w:val="22"/>
          <w:szCs w:val="22"/>
          <w:lang w:val="en-AU"/>
        </w:rPr>
        <w:t>-access</w:t>
      </w:r>
      <w:r w:rsidR="00AA06A1" w:rsidRPr="00F77E74">
        <w:rPr>
          <w:sz w:val="22"/>
          <w:szCs w:val="22"/>
          <w:vertAlign w:val="superscript"/>
          <w:lang w:val="en-AU"/>
        </w:rPr>
        <w:t>®</w:t>
      </w:r>
      <w:r w:rsidR="0024661B" w:rsidRPr="00F77E74">
        <w:rPr>
          <w:sz w:val="22"/>
          <w:szCs w:val="22"/>
          <w:lang w:val="en-AU"/>
        </w:rPr>
        <w:t xml:space="preserve">). </w:t>
      </w:r>
      <w:r w:rsidR="00063921">
        <w:rPr>
          <w:sz w:val="22"/>
          <w:szCs w:val="22"/>
          <w:lang w:val="en-AU"/>
        </w:rPr>
        <w:t xml:space="preserve"> </w:t>
      </w:r>
      <w:r w:rsidR="0024661B" w:rsidRPr="00F77E74">
        <w:rPr>
          <w:sz w:val="22"/>
          <w:szCs w:val="22"/>
          <w:lang w:val="en-AU"/>
        </w:rPr>
        <w:t>Only physicians and pharmacists registered with this program can prescribe and dispense the product.</w:t>
      </w:r>
      <w:r w:rsidR="00063921">
        <w:rPr>
          <w:sz w:val="22"/>
          <w:szCs w:val="22"/>
          <w:lang w:val="en-AU"/>
        </w:rPr>
        <w:t xml:space="preserve"> </w:t>
      </w:r>
      <w:r w:rsidR="0024661B" w:rsidRPr="00F77E74">
        <w:rPr>
          <w:sz w:val="22"/>
          <w:szCs w:val="22"/>
          <w:lang w:val="en-AU"/>
        </w:rPr>
        <w:t xml:space="preserve"> In addition, </w:t>
      </w:r>
      <w:proofErr w:type="spellStart"/>
      <w:r w:rsidRPr="002F32EE">
        <w:rPr>
          <w:rFonts w:eastAsia="SimSun"/>
          <w:bCs/>
          <w:sz w:val="22"/>
          <w:szCs w:val="22"/>
          <w:lang w:val="en-AU" w:eastAsia="zh-CN"/>
        </w:rPr>
        <w:t>Pomalyst</w:t>
      </w:r>
      <w:proofErr w:type="spellEnd"/>
      <w:r w:rsidR="007C69A9">
        <w:rPr>
          <w:sz w:val="22"/>
          <w:szCs w:val="22"/>
          <w:lang w:val="en-AU"/>
        </w:rPr>
        <w:t xml:space="preserve"> </w:t>
      </w:r>
      <w:r w:rsidR="0024661B" w:rsidRPr="00F77E74">
        <w:rPr>
          <w:sz w:val="22"/>
          <w:szCs w:val="22"/>
          <w:lang w:val="en-AU"/>
        </w:rPr>
        <w:t>must only be dispensed to patients who are registered and meet all the conditions of the program.</w:t>
      </w:r>
    </w:p>
    <w:p w:rsidR="00CB5DF2" w:rsidRPr="00D423EA" w:rsidRDefault="00CB5DF2" w:rsidP="00F23B9B">
      <w:pPr>
        <w:rPr>
          <w:sz w:val="22"/>
          <w:szCs w:val="22"/>
          <w:lang w:val="en-AU"/>
        </w:rPr>
      </w:pPr>
    </w:p>
    <w:p w:rsidR="00DD6BEB" w:rsidRDefault="00630C88" w:rsidP="00F23B9B">
      <w:pPr>
        <w:pStyle w:val="ListParagraph"/>
        <w:numPr>
          <w:ilvl w:val="3"/>
          <w:numId w:val="46"/>
        </w:numPr>
        <w:ind w:left="851" w:hanging="851"/>
        <w:rPr>
          <w:b/>
          <w:i/>
          <w:sz w:val="22"/>
          <w:szCs w:val="22"/>
          <w:lang w:val="en-AU"/>
        </w:rPr>
      </w:pPr>
      <w:r w:rsidRPr="00DC45D3">
        <w:rPr>
          <w:b/>
          <w:i/>
          <w:sz w:val="22"/>
          <w:szCs w:val="22"/>
          <w:lang w:val="en-AU"/>
        </w:rPr>
        <w:t>Females of non-child bearing potential:</w:t>
      </w:r>
    </w:p>
    <w:p w:rsidR="00630C88" w:rsidRPr="00F77E74" w:rsidRDefault="00630C88" w:rsidP="00630C88">
      <w:pPr>
        <w:spacing w:before="120"/>
        <w:rPr>
          <w:sz w:val="22"/>
          <w:szCs w:val="22"/>
          <w:lang w:val="en-AU"/>
        </w:rPr>
      </w:pPr>
      <w:r w:rsidRPr="00F77E74">
        <w:rPr>
          <w:sz w:val="22"/>
          <w:szCs w:val="22"/>
          <w:lang w:val="en-AU"/>
        </w:rPr>
        <w:t xml:space="preserve">A female patient or a </w:t>
      </w:r>
      <w:r w:rsidRPr="00630C88">
        <w:rPr>
          <w:sz w:val="22"/>
          <w:szCs w:val="22"/>
          <w:lang w:val="en-AU"/>
        </w:rPr>
        <w:t>female partner of a male patient</w:t>
      </w:r>
      <w:r w:rsidRPr="00F77E74">
        <w:rPr>
          <w:sz w:val="22"/>
          <w:szCs w:val="22"/>
          <w:lang w:val="en-AU"/>
        </w:rPr>
        <w:t xml:space="preserve"> is considered to have childbearing potential unless she meets at least one of the following criteria:</w:t>
      </w:r>
    </w:p>
    <w:p w:rsidR="00630C88" w:rsidRDefault="00630C88" w:rsidP="00630C88">
      <w:pPr>
        <w:numPr>
          <w:ilvl w:val="0"/>
          <w:numId w:val="3"/>
        </w:numPr>
        <w:tabs>
          <w:tab w:val="clear" w:pos="720"/>
          <w:tab w:val="left" w:pos="567"/>
          <w:tab w:val="right" w:leader="dot" w:pos="8222"/>
        </w:tabs>
        <w:ind w:left="544" w:hanging="544"/>
        <w:jc w:val="both"/>
        <w:rPr>
          <w:sz w:val="22"/>
          <w:szCs w:val="22"/>
          <w:lang w:val="en-AU"/>
        </w:rPr>
      </w:pPr>
      <w:r w:rsidRPr="00F77E74">
        <w:rPr>
          <w:sz w:val="22"/>
          <w:szCs w:val="22"/>
          <w:lang w:val="en-AU"/>
        </w:rPr>
        <w:t xml:space="preserve">Age </w:t>
      </w:r>
      <w:r w:rsidRPr="00F77E74">
        <w:rPr>
          <w:sz w:val="22"/>
          <w:szCs w:val="22"/>
          <w:lang w:val="en-AU"/>
        </w:rPr>
        <w:sym w:font="Symbol" w:char="F0B3"/>
      </w:r>
      <w:r w:rsidRPr="00F77E74">
        <w:rPr>
          <w:sz w:val="22"/>
          <w:szCs w:val="22"/>
          <w:lang w:val="en-AU"/>
        </w:rPr>
        <w:t xml:space="preserve"> 50 years and naturally </w:t>
      </w:r>
      <w:proofErr w:type="spellStart"/>
      <w:r w:rsidRPr="00F77E74">
        <w:rPr>
          <w:sz w:val="22"/>
          <w:szCs w:val="22"/>
          <w:lang w:val="en-AU"/>
        </w:rPr>
        <w:t>amenorrhoeic</w:t>
      </w:r>
      <w:proofErr w:type="spellEnd"/>
      <w:r w:rsidRPr="00F77E74">
        <w:rPr>
          <w:sz w:val="22"/>
          <w:szCs w:val="22"/>
          <w:lang w:val="en-AU"/>
        </w:rPr>
        <w:t xml:space="preserve"> for </w:t>
      </w:r>
      <w:r w:rsidRPr="00F77E74">
        <w:rPr>
          <w:sz w:val="22"/>
          <w:szCs w:val="22"/>
          <w:lang w:val="en-AU"/>
        </w:rPr>
        <w:sym w:font="Symbol" w:char="F0B3"/>
      </w:r>
      <w:r w:rsidRPr="00F77E74">
        <w:rPr>
          <w:sz w:val="22"/>
          <w:szCs w:val="22"/>
          <w:lang w:val="en-AU"/>
        </w:rPr>
        <w:t> 1 year*</w:t>
      </w:r>
    </w:p>
    <w:p w:rsidR="00630C88" w:rsidRPr="003227A8" w:rsidRDefault="00630C88" w:rsidP="00630C88">
      <w:pPr>
        <w:numPr>
          <w:ilvl w:val="0"/>
          <w:numId w:val="3"/>
        </w:numPr>
        <w:tabs>
          <w:tab w:val="left" w:pos="567"/>
          <w:tab w:val="right" w:leader="dot" w:pos="8222"/>
        </w:tabs>
        <w:ind w:left="547" w:hanging="547"/>
        <w:jc w:val="both"/>
        <w:rPr>
          <w:sz w:val="22"/>
          <w:szCs w:val="22"/>
          <w:lang w:val="en-AU"/>
        </w:rPr>
      </w:pPr>
      <w:r w:rsidRPr="003227A8">
        <w:rPr>
          <w:sz w:val="22"/>
          <w:szCs w:val="22"/>
          <w:lang w:val="en-AU"/>
        </w:rPr>
        <w:t>Premature ovarian failure confirmed by a specialist gynaecologist</w:t>
      </w:r>
    </w:p>
    <w:p w:rsidR="00630C88" w:rsidRPr="003227A8" w:rsidRDefault="00630C88" w:rsidP="00630C88">
      <w:pPr>
        <w:numPr>
          <w:ilvl w:val="0"/>
          <w:numId w:val="3"/>
        </w:numPr>
        <w:tabs>
          <w:tab w:val="left" w:pos="567"/>
          <w:tab w:val="right" w:leader="dot" w:pos="8222"/>
        </w:tabs>
        <w:ind w:left="547" w:hanging="547"/>
        <w:jc w:val="both"/>
        <w:rPr>
          <w:sz w:val="22"/>
          <w:szCs w:val="22"/>
          <w:lang w:val="en-AU"/>
        </w:rPr>
      </w:pPr>
      <w:r w:rsidRPr="003227A8">
        <w:rPr>
          <w:sz w:val="22"/>
          <w:szCs w:val="22"/>
          <w:lang w:val="en-AU"/>
        </w:rPr>
        <w:t xml:space="preserve">Previous bilateral </w:t>
      </w:r>
      <w:proofErr w:type="spellStart"/>
      <w:r w:rsidRPr="003227A8">
        <w:rPr>
          <w:sz w:val="22"/>
          <w:szCs w:val="22"/>
          <w:lang w:val="en-AU"/>
        </w:rPr>
        <w:t>salpingo</w:t>
      </w:r>
      <w:proofErr w:type="spellEnd"/>
      <w:r w:rsidRPr="003227A8">
        <w:rPr>
          <w:sz w:val="22"/>
          <w:szCs w:val="22"/>
          <w:lang w:val="en-AU"/>
        </w:rPr>
        <w:t>-oophorectomy, or hysterectomy</w:t>
      </w:r>
    </w:p>
    <w:p w:rsidR="00630C88" w:rsidRPr="00714023" w:rsidRDefault="00630C88" w:rsidP="00630C88">
      <w:pPr>
        <w:pStyle w:val="ListParagraph"/>
        <w:numPr>
          <w:ilvl w:val="0"/>
          <w:numId w:val="3"/>
        </w:numPr>
        <w:tabs>
          <w:tab w:val="clear" w:pos="720"/>
          <w:tab w:val="num" w:pos="540"/>
        </w:tabs>
        <w:ind w:hanging="720"/>
        <w:rPr>
          <w:sz w:val="22"/>
          <w:szCs w:val="22"/>
          <w:lang w:val="sv-SE"/>
        </w:rPr>
      </w:pPr>
      <w:r w:rsidRPr="00714023">
        <w:rPr>
          <w:sz w:val="22"/>
          <w:szCs w:val="22"/>
          <w:lang w:val="sv-SE"/>
        </w:rPr>
        <w:t>XY genotype, Turner syndrome, uterine agenesis.</w:t>
      </w:r>
    </w:p>
    <w:p w:rsidR="00630C88" w:rsidRDefault="00630C88" w:rsidP="00630C88">
      <w:pPr>
        <w:tabs>
          <w:tab w:val="right" w:leader="dot" w:pos="8222"/>
        </w:tabs>
        <w:jc w:val="both"/>
        <w:rPr>
          <w:sz w:val="20"/>
          <w:szCs w:val="20"/>
          <w:lang w:val="en-AU"/>
        </w:rPr>
      </w:pPr>
      <w:r w:rsidRPr="00F71750">
        <w:rPr>
          <w:sz w:val="20"/>
          <w:szCs w:val="20"/>
          <w:lang w:val="en-AU"/>
        </w:rPr>
        <w:t>*Amenorrhoea following cancer therapy</w:t>
      </w:r>
      <w:r>
        <w:rPr>
          <w:sz w:val="20"/>
          <w:szCs w:val="20"/>
          <w:lang w:val="en-AU"/>
        </w:rPr>
        <w:t xml:space="preserve"> </w:t>
      </w:r>
      <w:r w:rsidRPr="00F71750">
        <w:rPr>
          <w:sz w:val="20"/>
          <w:szCs w:val="20"/>
          <w:lang w:val="en-AU"/>
        </w:rPr>
        <w:t>does not rule out childbearing potential.</w:t>
      </w:r>
    </w:p>
    <w:p w:rsidR="00630C88" w:rsidRPr="005B71EA" w:rsidRDefault="00630C88" w:rsidP="00630C88">
      <w:pPr>
        <w:tabs>
          <w:tab w:val="right" w:leader="dot" w:pos="8222"/>
        </w:tabs>
        <w:spacing w:before="120"/>
        <w:rPr>
          <w:sz w:val="22"/>
          <w:szCs w:val="22"/>
          <w:lang w:val="en-AU"/>
        </w:rPr>
      </w:pPr>
      <w:r>
        <w:rPr>
          <w:sz w:val="22"/>
          <w:szCs w:val="22"/>
          <w:lang w:val="en-AU"/>
        </w:rPr>
        <w:t xml:space="preserve">Female patients of non-child bearing potential </w:t>
      </w:r>
      <w:r w:rsidR="0028636D">
        <w:rPr>
          <w:sz w:val="22"/>
          <w:szCs w:val="22"/>
          <w:lang w:val="en-AU"/>
        </w:rPr>
        <w:t xml:space="preserve">are </w:t>
      </w:r>
      <w:r w:rsidR="00E166CC">
        <w:rPr>
          <w:sz w:val="22"/>
          <w:szCs w:val="22"/>
          <w:lang w:val="en-AU"/>
        </w:rPr>
        <w:t>only required</w:t>
      </w:r>
      <w:r w:rsidR="0028636D">
        <w:rPr>
          <w:sz w:val="22"/>
          <w:szCs w:val="22"/>
          <w:lang w:val="en-AU"/>
        </w:rPr>
        <w:t xml:space="preserve"> to</w:t>
      </w:r>
      <w:r>
        <w:rPr>
          <w:sz w:val="22"/>
          <w:szCs w:val="22"/>
          <w:lang w:val="en-AU"/>
        </w:rPr>
        <w:t xml:space="preserve"> comply with the </w:t>
      </w:r>
      <w:r w:rsidR="00E166CC">
        <w:rPr>
          <w:sz w:val="22"/>
          <w:szCs w:val="22"/>
          <w:lang w:val="en-AU"/>
        </w:rPr>
        <w:t>General C</w:t>
      </w:r>
      <w:r w:rsidR="0028636D">
        <w:rPr>
          <w:sz w:val="22"/>
          <w:szCs w:val="22"/>
          <w:lang w:val="en-AU"/>
        </w:rPr>
        <w:t>onditions listed</w:t>
      </w:r>
      <w:r w:rsidR="00817905">
        <w:rPr>
          <w:sz w:val="22"/>
          <w:szCs w:val="22"/>
          <w:lang w:val="en-AU"/>
        </w:rPr>
        <w:t xml:space="preserve"> </w:t>
      </w:r>
      <w:r w:rsidR="0028636D">
        <w:rPr>
          <w:sz w:val="22"/>
          <w:szCs w:val="22"/>
          <w:lang w:val="en-AU"/>
        </w:rPr>
        <w:t xml:space="preserve">within the </w:t>
      </w:r>
      <w:r w:rsidR="00817905">
        <w:rPr>
          <w:sz w:val="22"/>
          <w:szCs w:val="22"/>
          <w:lang w:val="en-AU"/>
        </w:rPr>
        <w:t>pregnancy prevention programme.</w:t>
      </w:r>
    </w:p>
    <w:p w:rsidR="00CB5DF2" w:rsidRDefault="00CB5DF2" w:rsidP="004475F5">
      <w:pPr>
        <w:jc w:val="both"/>
        <w:rPr>
          <w:sz w:val="22"/>
          <w:szCs w:val="22"/>
          <w:lang w:val="en-AU"/>
        </w:rPr>
      </w:pPr>
    </w:p>
    <w:p w:rsidR="00DD6BEB" w:rsidRPr="00C04E1F" w:rsidRDefault="00630C88" w:rsidP="00C04E1F">
      <w:pPr>
        <w:pStyle w:val="ListParagraph"/>
        <w:numPr>
          <w:ilvl w:val="3"/>
          <w:numId w:val="46"/>
        </w:numPr>
        <w:ind w:left="851" w:hanging="851"/>
        <w:rPr>
          <w:b/>
          <w:i/>
          <w:sz w:val="22"/>
          <w:szCs w:val="22"/>
          <w:lang w:val="en-AU"/>
        </w:rPr>
      </w:pPr>
      <w:r w:rsidRPr="00C04E1F">
        <w:rPr>
          <w:b/>
          <w:i/>
          <w:sz w:val="22"/>
          <w:szCs w:val="22"/>
          <w:lang w:val="en-AU"/>
        </w:rPr>
        <w:t>Females of child bearing potential:</w:t>
      </w:r>
    </w:p>
    <w:p w:rsidR="00630C88" w:rsidRPr="007E283F" w:rsidRDefault="00630C88" w:rsidP="00630C88">
      <w:pPr>
        <w:spacing w:before="120"/>
        <w:rPr>
          <w:sz w:val="22"/>
          <w:szCs w:val="22"/>
          <w:lang w:val="en-AU"/>
        </w:rPr>
      </w:pPr>
      <w:r w:rsidRPr="007E283F">
        <w:rPr>
          <w:sz w:val="22"/>
          <w:szCs w:val="22"/>
          <w:lang w:val="en-AU"/>
        </w:rPr>
        <w:t>Female patients of child bearing potential must comply with the following requirements on counselling, contraception and pregnancy testing.</w:t>
      </w:r>
    </w:p>
    <w:p w:rsidR="00630C88" w:rsidRDefault="00630C88" w:rsidP="00630C88">
      <w:pPr>
        <w:rPr>
          <w:sz w:val="22"/>
          <w:szCs w:val="22"/>
          <w:lang w:val="en-AU"/>
        </w:rPr>
      </w:pPr>
    </w:p>
    <w:p w:rsidR="00630C88" w:rsidRPr="007E283F" w:rsidRDefault="00630C88" w:rsidP="00630C88">
      <w:pPr>
        <w:rPr>
          <w:sz w:val="22"/>
          <w:szCs w:val="22"/>
          <w:lang w:val="en-AU"/>
        </w:rPr>
      </w:pPr>
      <w:r w:rsidRPr="00F77E74">
        <w:rPr>
          <w:sz w:val="22"/>
          <w:szCs w:val="22"/>
          <w:lang w:val="en-AU"/>
        </w:rPr>
        <w:t xml:space="preserve">If pregnancy occurs in a </w:t>
      </w:r>
      <w:r>
        <w:rPr>
          <w:sz w:val="22"/>
          <w:szCs w:val="22"/>
          <w:lang w:val="en-AU"/>
        </w:rPr>
        <w:t>female</w:t>
      </w:r>
      <w:r w:rsidRPr="00F77E74">
        <w:rPr>
          <w:sz w:val="22"/>
          <w:szCs w:val="22"/>
          <w:lang w:val="en-AU"/>
        </w:rPr>
        <w:t xml:space="preserve"> treated with </w:t>
      </w:r>
      <w:proofErr w:type="spellStart"/>
      <w:r>
        <w:rPr>
          <w:sz w:val="22"/>
          <w:szCs w:val="22"/>
          <w:lang w:val="en-AU"/>
        </w:rPr>
        <w:t>pomalidomide</w:t>
      </w:r>
      <w:proofErr w:type="spellEnd"/>
      <w:r w:rsidRPr="00F77E74">
        <w:rPr>
          <w:sz w:val="22"/>
          <w:szCs w:val="22"/>
          <w:lang w:val="en-AU"/>
        </w:rPr>
        <w:t xml:space="preserve">, treatment must be stopped and the patient should be referred to a physician specialised or experienced in teratology for evaluation and advice. Similarly, if pregnancy occurs in a partner of a male patient taking </w:t>
      </w:r>
      <w:proofErr w:type="spellStart"/>
      <w:r>
        <w:rPr>
          <w:sz w:val="22"/>
          <w:szCs w:val="22"/>
          <w:lang w:val="en-AU"/>
        </w:rPr>
        <w:t>pomalidomide</w:t>
      </w:r>
      <w:proofErr w:type="spellEnd"/>
      <w:r w:rsidRPr="00F77E74">
        <w:rPr>
          <w:sz w:val="22"/>
          <w:szCs w:val="22"/>
          <w:lang w:val="en-AU"/>
        </w:rPr>
        <w:t>, the female partner should be referred to a physician specialised or experienced in teratology for evaluation and advice</w:t>
      </w:r>
      <w:r w:rsidR="00BB699B">
        <w:rPr>
          <w:sz w:val="22"/>
          <w:szCs w:val="22"/>
          <w:lang w:val="en-AU"/>
        </w:rPr>
        <w:t>.</w:t>
      </w:r>
    </w:p>
    <w:p w:rsidR="006F239F" w:rsidRDefault="006F239F" w:rsidP="00CB5DF2">
      <w:pPr>
        <w:pStyle w:val="C-TableText"/>
        <w:tabs>
          <w:tab w:val="left" w:pos="567"/>
          <w:tab w:val="left" w:pos="1260"/>
        </w:tabs>
        <w:spacing w:before="0" w:after="0" w:line="260" w:lineRule="exact"/>
        <w:jc w:val="both"/>
        <w:rPr>
          <w:bCs/>
          <w:iCs/>
          <w:szCs w:val="22"/>
          <w:u w:val="single"/>
          <w:lang w:val="en-AU"/>
        </w:rPr>
      </w:pPr>
    </w:p>
    <w:p w:rsidR="00630C88" w:rsidRPr="00DC45D3" w:rsidRDefault="00630C88" w:rsidP="00CB5DF2">
      <w:pPr>
        <w:pStyle w:val="C-TableText"/>
        <w:tabs>
          <w:tab w:val="left" w:pos="567"/>
          <w:tab w:val="left" w:pos="1260"/>
        </w:tabs>
        <w:spacing w:before="0" w:after="0" w:line="260" w:lineRule="exact"/>
        <w:jc w:val="both"/>
        <w:rPr>
          <w:bCs/>
          <w:iCs/>
          <w:szCs w:val="22"/>
          <w:u w:val="single"/>
          <w:lang w:val="en-AU"/>
        </w:rPr>
      </w:pPr>
      <w:r w:rsidRPr="00DC45D3">
        <w:rPr>
          <w:bCs/>
          <w:iCs/>
          <w:szCs w:val="22"/>
          <w:u w:val="single"/>
          <w:lang w:val="en-AU"/>
        </w:rPr>
        <w:t>Counselling</w:t>
      </w:r>
    </w:p>
    <w:p w:rsidR="00630C88" w:rsidRPr="00F77E74" w:rsidRDefault="00630C88" w:rsidP="00630C88">
      <w:pPr>
        <w:keepNext/>
        <w:spacing w:before="120"/>
        <w:rPr>
          <w:sz w:val="22"/>
          <w:szCs w:val="22"/>
          <w:lang w:val="en-AU"/>
        </w:rPr>
      </w:pPr>
      <w:r w:rsidRPr="00F77E74">
        <w:rPr>
          <w:sz w:val="22"/>
          <w:szCs w:val="22"/>
          <w:lang w:val="en-AU"/>
        </w:rPr>
        <w:t xml:space="preserve">For </w:t>
      </w:r>
      <w:r>
        <w:rPr>
          <w:sz w:val="22"/>
          <w:szCs w:val="22"/>
          <w:lang w:val="en-AU"/>
        </w:rPr>
        <w:t>female</w:t>
      </w:r>
      <w:r w:rsidRPr="00F77E74">
        <w:rPr>
          <w:sz w:val="22"/>
          <w:szCs w:val="22"/>
          <w:lang w:val="en-AU"/>
        </w:rPr>
        <w:t xml:space="preserve"> </w:t>
      </w:r>
      <w:r>
        <w:rPr>
          <w:sz w:val="22"/>
          <w:szCs w:val="22"/>
          <w:lang w:val="en-AU"/>
        </w:rPr>
        <w:t xml:space="preserve">patients </w:t>
      </w:r>
      <w:r w:rsidRPr="00F77E74">
        <w:rPr>
          <w:sz w:val="22"/>
          <w:szCs w:val="22"/>
          <w:lang w:val="en-AU"/>
        </w:rPr>
        <w:t xml:space="preserve">of childbearing potential, </w:t>
      </w:r>
      <w:proofErr w:type="spellStart"/>
      <w:r>
        <w:rPr>
          <w:sz w:val="22"/>
          <w:szCs w:val="22"/>
          <w:lang w:val="en-AU"/>
        </w:rPr>
        <w:t>pomalidomide</w:t>
      </w:r>
      <w:proofErr w:type="spellEnd"/>
      <w:r w:rsidRPr="00F77E74">
        <w:rPr>
          <w:sz w:val="22"/>
          <w:szCs w:val="22"/>
          <w:lang w:val="en-AU"/>
        </w:rPr>
        <w:t xml:space="preserve"> is contraindicated unless all of the following are met:</w:t>
      </w:r>
    </w:p>
    <w:p w:rsidR="00630C88" w:rsidRPr="00F77E74" w:rsidRDefault="00630C88" w:rsidP="00630C88">
      <w:pPr>
        <w:numPr>
          <w:ilvl w:val="0"/>
          <w:numId w:val="5"/>
        </w:numPr>
        <w:tabs>
          <w:tab w:val="clear" w:pos="360"/>
          <w:tab w:val="num" w:pos="540"/>
        </w:tabs>
        <w:spacing w:before="120"/>
        <w:ind w:left="539" w:hanging="539"/>
        <w:rPr>
          <w:sz w:val="22"/>
          <w:szCs w:val="22"/>
          <w:lang w:val="en-AU"/>
        </w:rPr>
      </w:pPr>
      <w:r w:rsidRPr="00F77E74">
        <w:rPr>
          <w:sz w:val="22"/>
          <w:szCs w:val="22"/>
          <w:lang w:val="en-AU"/>
        </w:rPr>
        <w:t>She understands the potential teratogenic risk to the unborn child.</w:t>
      </w:r>
    </w:p>
    <w:p w:rsidR="00630C88" w:rsidRPr="00F77E74" w:rsidRDefault="00630C88" w:rsidP="00630C88">
      <w:pPr>
        <w:numPr>
          <w:ilvl w:val="0"/>
          <w:numId w:val="5"/>
        </w:numPr>
        <w:tabs>
          <w:tab w:val="clear" w:pos="360"/>
          <w:tab w:val="num" w:pos="540"/>
        </w:tabs>
        <w:ind w:left="540" w:hanging="540"/>
        <w:rPr>
          <w:sz w:val="22"/>
          <w:szCs w:val="22"/>
          <w:lang w:val="en-AU"/>
        </w:rPr>
      </w:pPr>
      <w:r w:rsidRPr="00F77E74">
        <w:rPr>
          <w:sz w:val="22"/>
          <w:szCs w:val="22"/>
          <w:lang w:val="en-AU"/>
        </w:rPr>
        <w:t xml:space="preserve">She understands </w:t>
      </w:r>
      <w:r>
        <w:rPr>
          <w:sz w:val="22"/>
          <w:szCs w:val="22"/>
          <w:lang w:val="en-AU"/>
        </w:rPr>
        <w:t xml:space="preserve">and agrees to comply with </w:t>
      </w:r>
      <w:r w:rsidRPr="00F77E74">
        <w:rPr>
          <w:sz w:val="22"/>
          <w:szCs w:val="22"/>
          <w:lang w:val="en-AU"/>
        </w:rPr>
        <w:t xml:space="preserve">the </w:t>
      </w:r>
      <w:r w:rsidR="00346E31">
        <w:rPr>
          <w:sz w:val="22"/>
          <w:szCs w:val="22"/>
          <w:lang w:val="en-AU"/>
        </w:rPr>
        <w:t>requirement</w:t>
      </w:r>
      <w:r w:rsidR="00346E31" w:rsidRPr="00F77E74">
        <w:rPr>
          <w:sz w:val="22"/>
          <w:szCs w:val="22"/>
          <w:lang w:val="en-AU"/>
        </w:rPr>
        <w:t xml:space="preserve"> </w:t>
      </w:r>
      <w:r w:rsidRPr="00F77E74">
        <w:rPr>
          <w:sz w:val="22"/>
          <w:szCs w:val="22"/>
          <w:lang w:val="en-AU"/>
        </w:rPr>
        <w:t>for effective contraception, without interruption, 4 weeks before starting treatment, throughout the entire duration of treatment</w:t>
      </w:r>
      <w:r w:rsidR="00223CFA">
        <w:rPr>
          <w:sz w:val="22"/>
          <w:szCs w:val="22"/>
          <w:lang w:val="en-AU"/>
        </w:rPr>
        <w:t xml:space="preserve"> including during dose interruptions</w:t>
      </w:r>
      <w:r w:rsidRPr="00F77E74">
        <w:rPr>
          <w:sz w:val="22"/>
          <w:szCs w:val="22"/>
          <w:lang w:val="en-AU"/>
        </w:rPr>
        <w:t>, and 4 weeks after the end of treatment.</w:t>
      </w:r>
    </w:p>
    <w:p w:rsidR="00630C88" w:rsidRPr="00F77E74" w:rsidRDefault="00630C88" w:rsidP="00630C88">
      <w:pPr>
        <w:numPr>
          <w:ilvl w:val="0"/>
          <w:numId w:val="5"/>
        </w:numPr>
        <w:tabs>
          <w:tab w:val="clear" w:pos="360"/>
          <w:tab w:val="num" w:pos="540"/>
        </w:tabs>
        <w:ind w:left="540" w:hanging="540"/>
        <w:rPr>
          <w:sz w:val="22"/>
          <w:szCs w:val="22"/>
          <w:lang w:val="en-AU"/>
        </w:rPr>
      </w:pPr>
      <w:r w:rsidRPr="00F77E74">
        <w:rPr>
          <w:sz w:val="22"/>
          <w:szCs w:val="22"/>
          <w:lang w:val="en-AU"/>
        </w:rPr>
        <w:t xml:space="preserve">Even if a </w:t>
      </w:r>
      <w:r>
        <w:rPr>
          <w:sz w:val="22"/>
          <w:szCs w:val="22"/>
          <w:lang w:val="en-AU"/>
        </w:rPr>
        <w:t>female</w:t>
      </w:r>
      <w:r w:rsidRPr="00F77E74">
        <w:rPr>
          <w:sz w:val="22"/>
          <w:szCs w:val="22"/>
          <w:lang w:val="en-AU"/>
        </w:rPr>
        <w:t xml:space="preserve"> of childbearing potential has amenorrhea she must follow all the </w:t>
      </w:r>
      <w:r w:rsidR="00346E31" w:rsidRPr="00987EA9">
        <w:rPr>
          <w:sz w:val="22"/>
          <w:szCs w:val="22"/>
          <w:lang w:val="en-AU"/>
        </w:rPr>
        <w:t xml:space="preserve">requirements </w:t>
      </w:r>
      <w:r w:rsidRPr="00987EA9">
        <w:rPr>
          <w:sz w:val="22"/>
          <w:szCs w:val="22"/>
          <w:lang w:val="en-AU"/>
        </w:rPr>
        <w:t>on</w:t>
      </w:r>
      <w:r w:rsidRPr="00F77E74">
        <w:rPr>
          <w:sz w:val="22"/>
          <w:szCs w:val="22"/>
          <w:lang w:val="en-AU"/>
        </w:rPr>
        <w:t xml:space="preserve"> effective contraception.</w:t>
      </w:r>
    </w:p>
    <w:p w:rsidR="00630C88" w:rsidRPr="00F77E74" w:rsidRDefault="00630C88" w:rsidP="00630C88">
      <w:pPr>
        <w:numPr>
          <w:ilvl w:val="0"/>
          <w:numId w:val="5"/>
        </w:numPr>
        <w:tabs>
          <w:tab w:val="clear" w:pos="360"/>
          <w:tab w:val="num" w:pos="540"/>
        </w:tabs>
        <w:ind w:left="540" w:hanging="540"/>
        <w:rPr>
          <w:sz w:val="22"/>
          <w:szCs w:val="22"/>
          <w:lang w:val="en-AU"/>
        </w:rPr>
      </w:pPr>
      <w:r w:rsidRPr="00F77E74">
        <w:rPr>
          <w:sz w:val="22"/>
          <w:szCs w:val="22"/>
          <w:lang w:val="en-AU"/>
        </w:rPr>
        <w:lastRenderedPageBreak/>
        <w:t>She should be capable of complying with effective contraceptive measures.</w:t>
      </w:r>
    </w:p>
    <w:p w:rsidR="00630C88" w:rsidRPr="00F77E74" w:rsidRDefault="00630C88" w:rsidP="00630C88">
      <w:pPr>
        <w:numPr>
          <w:ilvl w:val="0"/>
          <w:numId w:val="5"/>
        </w:numPr>
        <w:tabs>
          <w:tab w:val="clear" w:pos="360"/>
          <w:tab w:val="num" w:pos="540"/>
        </w:tabs>
        <w:ind w:left="540" w:hanging="540"/>
        <w:rPr>
          <w:sz w:val="22"/>
          <w:szCs w:val="22"/>
          <w:lang w:val="en-AU"/>
        </w:rPr>
      </w:pPr>
      <w:r w:rsidRPr="00F77E74">
        <w:rPr>
          <w:sz w:val="22"/>
          <w:szCs w:val="22"/>
          <w:lang w:val="en-AU"/>
        </w:rPr>
        <w:t>She is informed and understands the potential consequences of pregnancy and the need to rapidly consult</w:t>
      </w:r>
      <w:r w:rsidR="00346E31">
        <w:rPr>
          <w:sz w:val="22"/>
          <w:szCs w:val="22"/>
          <w:lang w:val="en-AU"/>
        </w:rPr>
        <w:t xml:space="preserve"> </w:t>
      </w:r>
      <w:r w:rsidR="004B7960">
        <w:rPr>
          <w:sz w:val="22"/>
          <w:szCs w:val="22"/>
          <w:lang w:val="en-AU"/>
        </w:rPr>
        <w:t>her</w:t>
      </w:r>
      <w:r w:rsidR="00987EA9">
        <w:rPr>
          <w:sz w:val="22"/>
          <w:szCs w:val="22"/>
          <w:lang w:val="en-AU"/>
        </w:rPr>
        <w:t xml:space="preserve"> physician</w:t>
      </w:r>
      <w:r w:rsidRPr="00F77E74">
        <w:rPr>
          <w:sz w:val="22"/>
          <w:szCs w:val="22"/>
          <w:lang w:val="en-AU"/>
        </w:rPr>
        <w:t xml:space="preserve"> there is a risk of pregnancy.</w:t>
      </w:r>
    </w:p>
    <w:p w:rsidR="00630C88" w:rsidRPr="00F77E74" w:rsidRDefault="00630C88" w:rsidP="00630C88">
      <w:pPr>
        <w:numPr>
          <w:ilvl w:val="0"/>
          <w:numId w:val="4"/>
        </w:numPr>
        <w:tabs>
          <w:tab w:val="clear" w:pos="360"/>
          <w:tab w:val="num" w:pos="540"/>
        </w:tabs>
        <w:ind w:left="540" w:hanging="540"/>
        <w:rPr>
          <w:sz w:val="22"/>
          <w:szCs w:val="22"/>
          <w:lang w:val="en-AU"/>
        </w:rPr>
      </w:pPr>
      <w:r w:rsidRPr="00F77E74">
        <w:rPr>
          <w:sz w:val="22"/>
          <w:szCs w:val="22"/>
          <w:lang w:val="en-AU"/>
        </w:rPr>
        <w:t xml:space="preserve">She understands the </w:t>
      </w:r>
      <w:r w:rsidR="00346E31">
        <w:rPr>
          <w:sz w:val="22"/>
          <w:szCs w:val="22"/>
          <w:lang w:val="en-AU"/>
        </w:rPr>
        <w:t>requirement</w:t>
      </w:r>
      <w:r w:rsidR="00346E31" w:rsidRPr="00F77E74">
        <w:rPr>
          <w:sz w:val="22"/>
          <w:szCs w:val="22"/>
          <w:lang w:val="en-AU"/>
        </w:rPr>
        <w:t xml:space="preserve"> </w:t>
      </w:r>
      <w:r w:rsidRPr="00F77E74">
        <w:rPr>
          <w:sz w:val="22"/>
          <w:szCs w:val="22"/>
          <w:lang w:val="en-AU"/>
        </w:rPr>
        <w:t xml:space="preserve">to commence the treatment as soon as </w:t>
      </w:r>
      <w:proofErr w:type="spellStart"/>
      <w:r>
        <w:rPr>
          <w:sz w:val="22"/>
          <w:szCs w:val="22"/>
          <w:lang w:val="en-AU"/>
        </w:rPr>
        <w:t>pomalidomide</w:t>
      </w:r>
      <w:proofErr w:type="spellEnd"/>
      <w:r w:rsidRPr="00F77E74">
        <w:rPr>
          <w:sz w:val="22"/>
          <w:szCs w:val="22"/>
          <w:lang w:val="en-AU"/>
        </w:rPr>
        <w:t xml:space="preserve"> is dispensed following a negative pregnancy test.</w:t>
      </w:r>
    </w:p>
    <w:p w:rsidR="00630C88" w:rsidRPr="00F77E74" w:rsidRDefault="00630C88" w:rsidP="00630C88">
      <w:pPr>
        <w:numPr>
          <w:ilvl w:val="0"/>
          <w:numId w:val="4"/>
        </w:numPr>
        <w:tabs>
          <w:tab w:val="clear" w:pos="360"/>
          <w:tab w:val="num" w:pos="540"/>
        </w:tabs>
        <w:ind w:left="540" w:hanging="540"/>
        <w:rPr>
          <w:sz w:val="22"/>
          <w:szCs w:val="22"/>
          <w:lang w:val="en-AU"/>
        </w:rPr>
      </w:pPr>
      <w:r w:rsidRPr="00F77E74">
        <w:rPr>
          <w:sz w:val="22"/>
          <w:szCs w:val="22"/>
          <w:lang w:val="en-AU"/>
        </w:rPr>
        <w:t xml:space="preserve">She understands the </w:t>
      </w:r>
      <w:r w:rsidR="00346E31">
        <w:rPr>
          <w:sz w:val="22"/>
          <w:szCs w:val="22"/>
          <w:lang w:val="en-AU"/>
        </w:rPr>
        <w:t>requirement</w:t>
      </w:r>
      <w:r w:rsidR="00346E31" w:rsidRPr="00F77E74">
        <w:rPr>
          <w:sz w:val="22"/>
          <w:szCs w:val="22"/>
          <w:lang w:val="en-AU"/>
        </w:rPr>
        <w:t xml:space="preserve"> </w:t>
      </w:r>
      <w:r w:rsidRPr="00F77E74">
        <w:rPr>
          <w:sz w:val="22"/>
          <w:szCs w:val="22"/>
          <w:lang w:val="en-AU"/>
        </w:rPr>
        <w:t xml:space="preserve">and accepts to </w:t>
      </w:r>
      <w:r w:rsidRPr="00B938CA">
        <w:rPr>
          <w:sz w:val="22"/>
          <w:szCs w:val="22"/>
          <w:lang w:val="en-AU"/>
        </w:rPr>
        <w:t>undergo medically supervised pregnancy</w:t>
      </w:r>
      <w:r w:rsidRPr="00F77E74">
        <w:rPr>
          <w:sz w:val="22"/>
          <w:szCs w:val="22"/>
          <w:lang w:val="en-AU"/>
        </w:rPr>
        <w:t xml:space="preserve"> testing every 4 weeks</w:t>
      </w:r>
      <w:r>
        <w:rPr>
          <w:sz w:val="22"/>
          <w:szCs w:val="22"/>
          <w:lang w:val="en-AU"/>
        </w:rPr>
        <w:t xml:space="preserve"> </w:t>
      </w:r>
    </w:p>
    <w:p w:rsidR="00630C88" w:rsidRPr="00F77E74" w:rsidRDefault="00630C88" w:rsidP="00630C88">
      <w:pPr>
        <w:numPr>
          <w:ilvl w:val="0"/>
          <w:numId w:val="5"/>
        </w:numPr>
        <w:tabs>
          <w:tab w:val="clear" w:pos="360"/>
          <w:tab w:val="num" w:pos="540"/>
        </w:tabs>
        <w:ind w:left="540" w:hanging="540"/>
        <w:rPr>
          <w:sz w:val="22"/>
          <w:szCs w:val="22"/>
          <w:lang w:val="en-AU"/>
        </w:rPr>
      </w:pPr>
      <w:r w:rsidRPr="00F77E74">
        <w:rPr>
          <w:sz w:val="22"/>
          <w:szCs w:val="22"/>
          <w:lang w:val="en-AU"/>
        </w:rPr>
        <w:t xml:space="preserve">She acknowledges that she understands the hazards and necessary precautions associated with the use of </w:t>
      </w:r>
      <w:proofErr w:type="spellStart"/>
      <w:r>
        <w:rPr>
          <w:sz w:val="22"/>
          <w:szCs w:val="22"/>
          <w:lang w:val="en-AU"/>
        </w:rPr>
        <w:t>pomalidomide</w:t>
      </w:r>
      <w:proofErr w:type="spellEnd"/>
      <w:r w:rsidRPr="00F77E74">
        <w:rPr>
          <w:sz w:val="22"/>
          <w:szCs w:val="22"/>
          <w:lang w:val="en-AU"/>
        </w:rPr>
        <w:t>.</w:t>
      </w:r>
    </w:p>
    <w:p w:rsidR="00630C88" w:rsidRDefault="00630C88" w:rsidP="004475F5">
      <w:pPr>
        <w:jc w:val="both"/>
        <w:rPr>
          <w:sz w:val="22"/>
          <w:szCs w:val="22"/>
          <w:lang w:val="en-AU"/>
        </w:rPr>
      </w:pPr>
    </w:p>
    <w:p w:rsidR="00630C88" w:rsidRPr="00CB5DF2" w:rsidRDefault="00630C88" w:rsidP="00CB5DF2">
      <w:pPr>
        <w:tabs>
          <w:tab w:val="left" w:pos="1260"/>
        </w:tabs>
        <w:jc w:val="both"/>
        <w:rPr>
          <w:sz w:val="22"/>
          <w:szCs w:val="22"/>
          <w:lang w:val="en-AU"/>
        </w:rPr>
      </w:pPr>
      <w:r w:rsidRPr="00CB5DF2">
        <w:rPr>
          <w:sz w:val="22"/>
          <w:szCs w:val="22"/>
          <w:u w:val="single"/>
          <w:lang w:val="en-AU"/>
        </w:rPr>
        <w:t>Contraception</w:t>
      </w:r>
    </w:p>
    <w:p w:rsidR="00630C88" w:rsidRDefault="00630C88" w:rsidP="00136419">
      <w:pPr>
        <w:spacing w:before="120"/>
        <w:rPr>
          <w:sz w:val="22"/>
          <w:szCs w:val="22"/>
          <w:lang w:val="en-AU"/>
        </w:rPr>
      </w:pPr>
      <w:r>
        <w:rPr>
          <w:sz w:val="22"/>
          <w:szCs w:val="22"/>
          <w:lang w:val="en-AU"/>
        </w:rPr>
        <w:t>Females</w:t>
      </w:r>
      <w:r w:rsidRPr="00F77E74">
        <w:rPr>
          <w:sz w:val="22"/>
          <w:szCs w:val="22"/>
          <w:lang w:val="en-AU"/>
        </w:rPr>
        <w:t xml:space="preserve"> of childbearing potential must use one effective method of contraception for 4 weeks before therapy, during therapy, and until 4 weeks after </w:t>
      </w:r>
      <w:proofErr w:type="spellStart"/>
      <w:r>
        <w:rPr>
          <w:sz w:val="22"/>
          <w:szCs w:val="22"/>
          <w:lang w:val="en-AU"/>
        </w:rPr>
        <w:t>pomalidomide</w:t>
      </w:r>
      <w:proofErr w:type="spellEnd"/>
      <w:r w:rsidRPr="00F77E74">
        <w:rPr>
          <w:sz w:val="22"/>
          <w:szCs w:val="22"/>
          <w:lang w:val="en-AU"/>
        </w:rPr>
        <w:t xml:space="preserve"> therapy</w:t>
      </w:r>
      <w:r>
        <w:rPr>
          <w:sz w:val="22"/>
          <w:szCs w:val="22"/>
          <w:lang w:val="en-AU"/>
        </w:rPr>
        <w:t xml:space="preserve">, </w:t>
      </w:r>
      <w:r w:rsidRPr="00F77E74">
        <w:rPr>
          <w:sz w:val="22"/>
          <w:szCs w:val="22"/>
          <w:lang w:val="en-AU"/>
        </w:rPr>
        <w:t>even in case of dose interruption.</w:t>
      </w:r>
      <w:r>
        <w:rPr>
          <w:sz w:val="22"/>
          <w:szCs w:val="22"/>
          <w:lang w:val="en-AU"/>
        </w:rPr>
        <w:t xml:space="preserve"> </w:t>
      </w:r>
      <w:r w:rsidRPr="00F77E74">
        <w:rPr>
          <w:sz w:val="22"/>
          <w:szCs w:val="22"/>
          <w:lang w:val="en-AU"/>
        </w:rPr>
        <w:t xml:space="preserve"> If not established on effective contraception, the patient must be referred to an appropriately trained health care professional for contraceptive advice in order that contraception can be initiated.</w:t>
      </w:r>
      <w:r w:rsidR="00136419">
        <w:rPr>
          <w:sz w:val="22"/>
          <w:szCs w:val="22"/>
          <w:lang w:val="en-AU"/>
        </w:rPr>
        <w:t xml:space="preserve">  Table 2 lists</w:t>
      </w:r>
      <w:r w:rsidRPr="00630C88">
        <w:rPr>
          <w:sz w:val="22"/>
          <w:szCs w:val="22"/>
          <w:lang w:val="en-AU"/>
        </w:rPr>
        <w:t xml:space="preserve"> examples of su</w:t>
      </w:r>
      <w:r w:rsidR="00136419">
        <w:rPr>
          <w:sz w:val="22"/>
          <w:szCs w:val="22"/>
          <w:lang w:val="en-AU"/>
        </w:rPr>
        <w:t>itable methods of contraception.</w:t>
      </w:r>
    </w:p>
    <w:p w:rsidR="00136419" w:rsidRDefault="00136419" w:rsidP="00136419">
      <w:pPr>
        <w:rPr>
          <w:sz w:val="22"/>
          <w:szCs w:val="22"/>
          <w:lang w:val="en-AU"/>
        </w:rPr>
      </w:pPr>
    </w:p>
    <w:p w:rsidR="00136419" w:rsidRDefault="00136419" w:rsidP="00136419">
      <w:pPr>
        <w:rPr>
          <w:b/>
          <w:sz w:val="22"/>
          <w:szCs w:val="22"/>
          <w:lang w:val="en-AU"/>
        </w:rPr>
      </w:pPr>
      <w:r w:rsidRPr="00136419">
        <w:rPr>
          <w:b/>
          <w:sz w:val="22"/>
          <w:szCs w:val="22"/>
          <w:lang w:val="en-AU"/>
        </w:rPr>
        <w:t xml:space="preserve">Table 2 – </w:t>
      </w:r>
      <w:r w:rsidR="00346E31">
        <w:rPr>
          <w:b/>
          <w:sz w:val="22"/>
          <w:szCs w:val="22"/>
          <w:lang w:val="en-AU"/>
        </w:rPr>
        <w:t>R</w:t>
      </w:r>
      <w:r w:rsidRPr="00136419">
        <w:rPr>
          <w:b/>
          <w:sz w:val="22"/>
          <w:szCs w:val="22"/>
          <w:lang w:val="en-AU"/>
        </w:rPr>
        <w:t>ecommended methods of contraception.</w:t>
      </w:r>
    </w:p>
    <w:p w:rsidR="00136419" w:rsidRPr="00136419" w:rsidRDefault="00136419" w:rsidP="00136419">
      <w:pPr>
        <w:rPr>
          <w:b/>
          <w:sz w:val="22"/>
          <w:szCs w:val="22"/>
          <w:lang w:val="en-AU"/>
        </w:rPr>
      </w:pPr>
    </w:p>
    <w:tbl>
      <w:tblPr>
        <w:tblStyle w:val="TableGrid"/>
        <w:tblW w:w="0" w:type="auto"/>
        <w:tblInd w:w="108" w:type="dxa"/>
        <w:tblLook w:val="04A0" w:firstRow="1" w:lastRow="0" w:firstColumn="1" w:lastColumn="0" w:noHBand="0" w:noVBand="1"/>
      </w:tblPr>
      <w:tblGrid>
        <w:gridCol w:w="2790"/>
        <w:gridCol w:w="6503"/>
      </w:tblGrid>
      <w:tr w:rsidR="00630C88" w:rsidRPr="00630C88" w:rsidTr="004D2A06">
        <w:tc>
          <w:tcPr>
            <w:tcW w:w="2790" w:type="dxa"/>
            <w:shd w:val="clear" w:color="auto" w:fill="D9D9D9" w:themeFill="background1" w:themeFillShade="D9"/>
          </w:tcPr>
          <w:p w:rsidR="00630C88" w:rsidRPr="00630C88" w:rsidRDefault="00630C88" w:rsidP="00FC3CDC">
            <w:pPr>
              <w:tabs>
                <w:tab w:val="right" w:leader="dot" w:pos="8222"/>
              </w:tabs>
              <w:spacing w:before="60" w:after="60"/>
              <w:ind w:left="357"/>
              <w:jc w:val="center"/>
              <w:rPr>
                <w:b/>
                <w:sz w:val="22"/>
                <w:szCs w:val="22"/>
                <w:lang w:val="en-AU"/>
              </w:rPr>
            </w:pPr>
            <w:r w:rsidRPr="00630C88">
              <w:rPr>
                <w:b/>
                <w:sz w:val="22"/>
                <w:szCs w:val="22"/>
                <w:lang w:val="en-AU"/>
              </w:rPr>
              <w:t>Contraceptive method</w:t>
            </w:r>
          </w:p>
        </w:tc>
        <w:tc>
          <w:tcPr>
            <w:tcW w:w="6503" w:type="dxa"/>
            <w:shd w:val="clear" w:color="auto" w:fill="D9D9D9" w:themeFill="background1" w:themeFillShade="D9"/>
          </w:tcPr>
          <w:p w:rsidR="00630C88" w:rsidRPr="00630C88" w:rsidRDefault="00630C88" w:rsidP="00FC3CDC">
            <w:pPr>
              <w:tabs>
                <w:tab w:val="right" w:leader="dot" w:pos="8222"/>
              </w:tabs>
              <w:spacing w:before="60" w:after="60"/>
              <w:jc w:val="center"/>
              <w:rPr>
                <w:b/>
                <w:sz w:val="22"/>
                <w:szCs w:val="22"/>
                <w:lang w:val="en-AU"/>
              </w:rPr>
            </w:pPr>
            <w:r w:rsidRPr="00630C88">
              <w:rPr>
                <w:b/>
                <w:sz w:val="22"/>
                <w:szCs w:val="22"/>
                <w:lang w:val="en-AU"/>
              </w:rPr>
              <w:t>Comments</w:t>
            </w:r>
          </w:p>
        </w:tc>
      </w:tr>
      <w:tr w:rsidR="00630C88" w:rsidTr="004D2A06">
        <w:tc>
          <w:tcPr>
            <w:tcW w:w="2790" w:type="dxa"/>
          </w:tcPr>
          <w:p w:rsidR="00630C88" w:rsidRPr="003829F1" w:rsidRDefault="00630C88" w:rsidP="00FC3CDC">
            <w:pPr>
              <w:tabs>
                <w:tab w:val="right" w:leader="dot" w:pos="8222"/>
              </w:tabs>
              <w:spacing w:before="60" w:after="60"/>
              <w:jc w:val="both"/>
              <w:rPr>
                <w:sz w:val="22"/>
                <w:szCs w:val="22"/>
                <w:lang w:val="en-AU"/>
              </w:rPr>
            </w:pPr>
            <w:r>
              <w:rPr>
                <w:sz w:val="22"/>
                <w:szCs w:val="22"/>
                <w:lang w:val="en-AU"/>
              </w:rPr>
              <w:t>Contraceptive i</w:t>
            </w:r>
            <w:r w:rsidRPr="00F77E74">
              <w:rPr>
                <w:sz w:val="22"/>
                <w:szCs w:val="22"/>
                <w:lang w:val="en-AU"/>
              </w:rPr>
              <w:t>mplant</w:t>
            </w:r>
          </w:p>
        </w:tc>
        <w:tc>
          <w:tcPr>
            <w:tcW w:w="6503" w:type="dxa"/>
            <w:vMerge w:val="restart"/>
          </w:tcPr>
          <w:p w:rsidR="00630C88" w:rsidRPr="00FC3CDC" w:rsidRDefault="00CB5DF2" w:rsidP="00346E31">
            <w:pPr>
              <w:tabs>
                <w:tab w:val="right" w:leader="dot" w:pos="8222"/>
              </w:tabs>
              <w:spacing w:before="60"/>
              <w:rPr>
                <w:sz w:val="22"/>
                <w:szCs w:val="22"/>
                <w:lang w:val="en-AU"/>
              </w:rPr>
            </w:pPr>
            <w:r>
              <w:rPr>
                <w:sz w:val="22"/>
                <w:szCs w:val="22"/>
                <w:lang w:val="en-AU"/>
              </w:rPr>
              <w:t>Contraceptive i</w:t>
            </w:r>
            <w:r w:rsidR="00630C88" w:rsidRPr="00FC3CDC">
              <w:rPr>
                <w:sz w:val="22"/>
                <w:szCs w:val="22"/>
                <w:lang w:val="en-AU"/>
              </w:rPr>
              <w:t xml:space="preserve">mplants and </w:t>
            </w:r>
            <w:proofErr w:type="spellStart"/>
            <w:r w:rsidR="00630C88" w:rsidRPr="00FC3CDC">
              <w:rPr>
                <w:sz w:val="22"/>
                <w:szCs w:val="22"/>
                <w:lang w:val="en-AU"/>
              </w:rPr>
              <w:t>levonorgestrel</w:t>
            </w:r>
            <w:proofErr w:type="spellEnd"/>
            <w:r w:rsidR="00630C88" w:rsidRPr="00FC3CDC">
              <w:rPr>
                <w:sz w:val="22"/>
                <w:szCs w:val="22"/>
                <w:lang w:val="en-AU"/>
              </w:rPr>
              <w:t>-releasing intrauterine systems are associated with an increased risk of infection at the time of insertion and irregular vaginal bleeding.  Prophylactic antibiotics should be considered particularly in patients with neutropenia.</w:t>
            </w:r>
          </w:p>
          <w:p w:rsidR="00630C88" w:rsidRPr="00FC3CDC" w:rsidRDefault="00630C88" w:rsidP="00346E31">
            <w:pPr>
              <w:rPr>
                <w:sz w:val="22"/>
                <w:szCs w:val="22"/>
                <w:lang w:val="en-AU"/>
              </w:rPr>
            </w:pPr>
          </w:p>
          <w:p w:rsidR="00630C88" w:rsidRDefault="00630C88" w:rsidP="00346E31">
            <w:pPr>
              <w:tabs>
                <w:tab w:val="right" w:leader="dot" w:pos="8222"/>
              </w:tabs>
              <w:spacing w:after="60"/>
              <w:rPr>
                <w:sz w:val="22"/>
                <w:szCs w:val="22"/>
                <w:lang w:val="en-AU"/>
              </w:rPr>
            </w:pPr>
            <w:r w:rsidRPr="00FC3CDC">
              <w:rPr>
                <w:sz w:val="22"/>
                <w:szCs w:val="22"/>
                <w:lang w:val="en-AU"/>
              </w:rPr>
              <w:t>Copper-releasing intrauterine devices are generally not recommended due to the potential risks of infection at the time of insertion and menstrual blood loss which may compromise patients with neutropenia or thrombocytopenia.</w:t>
            </w:r>
          </w:p>
        </w:tc>
      </w:tr>
      <w:tr w:rsidR="00630C88" w:rsidTr="004D2A06">
        <w:tc>
          <w:tcPr>
            <w:tcW w:w="2790" w:type="dxa"/>
          </w:tcPr>
          <w:p w:rsidR="00630C88" w:rsidRPr="00630C88" w:rsidRDefault="00630C88" w:rsidP="00FC3CDC">
            <w:pPr>
              <w:tabs>
                <w:tab w:val="right" w:leader="dot" w:pos="8222"/>
              </w:tabs>
              <w:spacing w:before="60" w:after="60"/>
              <w:rPr>
                <w:sz w:val="22"/>
                <w:szCs w:val="22"/>
                <w:lang w:val="en-AU"/>
              </w:rPr>
            </w:pPr>
            <w:proofErr w:type="spellStart"/>
            <w:r w:rsidRPr="00630C88">
              <w:rPr>
                <w:sz w:val="22"/>
                <w:szCs w:val="22"/>
                <w:lang w:val="en-AU"/>
              </w:rPr>
              <w:t>Levonorgestrel</w:t>
            </w:r>
            <w:proofErr w:type="spellEnd"/>
            <w:r w:rsidRPr="00630C88">
              <w:rPr>
                <w:sz w:val="22"/>
                <w:szCs w:val="22"/>
                <w:lang w:val="en-AU"/>
              </w:rPr>
              <w:t>-releasing intrauterine system (IUS)</w:t>
            </w:r>
          </w:p>
        </w:tc>
        <w:tc>
          <w:tcPr>
            <w:tcW w:w="6503" w:type="dxa"/>
            <w:vMerge/>
          </w:tcPr>
          <w:p w:rsidR="00630C88" w:rsidRDefault="00630C88" w:rsidP="00FC3CDC">
            <w:pPr>
              <w:tabs>
                <w:tab w:val="right" w:leader="dot" w:pos="8222"/>
              </w:tabs>
              <w:spacing w:before="60" w:after="60"/>
              <w:jc w:val="both"/>
              <w:rPr>
                <w:sz w:val="22"/>
                <w:szCs w:val="22"/>
                <w:lang w:val="en-AU"/>
              </w:rPr>
            </w:pPr>
          </w:p>
        </w:tc>
      </w:tr>
      <w:tr w:rsidR="00630C88" w:rsidTr="004D2A06">
        <w:tc>
          <w:tcPr>
            <w:tcW w:w="2790" w:type="dxa"/>
          </w:tcPr>
          <w:p w:rsidR="00630C88" w:rsidRPr="003829F1" w:rsidRDefault="00630C88" w:rsidP="00FC3CDC">
            <w:pPr>
              <w:tabs>
                <w:tab w:val="right" w:leader="dot" w:pos="8222"/>
              </w:tabs>
              <w:spacing w:before="60" w:after="60"/>
              <w:jc w:val="both"/>
              <w:rPr>
                <w:sz w:val="22"/>
                <w:szCs w:val="22"/>
                <w:lang w:val="en-AU"/>
              </w:rPr>
            </w:pPr>
            <w:proofErr w:type="spellStart"/>
            <w:r w:rsidRPr="00F77E74">
              <w:rPr>
                <w:sz w:val="22"/>
                <w:szCs w:val="22"/>
                <w:lang w:val="en-AU"/>
              </w:rPr>
              <w:t>Medroxyprogesterone</w:t>
            </w:r>
            <w:proofErr w:type="spellEnd"/>
            <w:r w:rsidRPr="00F77E74">
              <w:rPr>
                <w:sz w:val="22"/>
                <w:szCs w:val="22"/>
                <w:lang w:val="en-AU"/>
              </w:rPr>
              <w:t xml:space="preserve"> acetate depot</w:t>
            </w:r>
          </w:p>
        </w:tc>
        <w:tc>
          <w:tcPr>
            <w:tcW w:w="6503" w:type="dxa"/>
          </w:tcPr>
          <w:p w:rsidR="00630C88" w:rsidRDefault="00630C88" w:rsidP="00FC3CDC">
            <w:pPr>
              <w:tabs>
                <w:tab w:val="right" w:leader="dot" w:pos="8222"/>
              </w:tabs>
              <w:spacing w:before="60" w:after="60"/>
              <w:jc w:val="both"/>
              <w:rPr>
                <w:sz w:val="22"/>
                <w:szCs w:val="22"/>
                <w:lang w:val="en-AU"/>
              </w:rPr>
            </w:pPr>
          </w:p>
        </w:tc>
      </w:tr>
      <w:tr w:rsidR="00630C88" w:rsidTr="004D2A06">
        <w:tc>
          <w:tcPr>
            <w:tcW w:w="2790" w:type="dxa"/>
          </w:tcPr>
          <w:p w:rsidR="00630C88" w:rsidRPr="003829F1" w:rsidRDefault="00630C88" w:rsidP="00FC3CDC">
            <w:pPr>
              <w:tabs>
                <w:tab w:val="right" w:leader="dot" w:pos="8222"/>
              </w:tabs>
              <w:spacing w:before="60" w:after="60"/>
              <w:jc w:val="both"/>
              <w:rPr>
                <w:sz w:val="22"/>
                <w:szCs w:val="22"/>
                <w:lang w:val="en-AU"/>
              </w:rPr>
            </w:pPr>
            <w:r w:rsidRPr="00F77E74">
              <w:rPr>
                <w:sz w:val="22"/>
                <w:szCs w:val="22"/>
                <w:lang w:val="en-AU"/>
              </w:rPr>
              <w:t xml:space="preserve">Tubal </w:t>
            </w:r>
            <w:r>
              <w:rPr>
                <w:sz w:val="22"/>
                <w:szCs w:val="22"/>
                <w:lang w:val="en-AU"/>
              </w:rPr>
              <w:t>ligation</w:t>
            </w:r>
          </w:p>
        </w:tc>
        <w:tc>
          <w:tcPr>
            <w:tcW w:w="6503" w:type="dxa"/>
          </w:tcPr>
          <w:p w:rsidR="00630C88" w:rsidRDefault="00630C88" w:rsidP="00FC3CDC">
            <w:pPr>
              <w:tabs>
                <w:tab w:val="right" w:leader="dot" w:pos="8222"/>
              </w:tabs>
              <w:spacing w:before="60" w:after="60"/>
              <w:jc w:val="both"/>
              <w:rPr>
                <w:sz w:val="22"/>
                <w:szCs w:val="22"/>
                <w:lang w:val="en-AU"/>
              </w:rPr>
            </w:pPr>
          </w:p>
        </w:tc>
      </w:tr>
      <w:tr w:rsidR="00630C88" w:rsidTr="004D2A06">
        <w:tc>
          <w:tcPr>
            <w:tcW w:w="2790" w:type="dxa"/>
          </w:tcPr>
          <w:p w:rsidR="00630C88" w:rsidRPr="00F77E74" w:rsidRDefault="00630C88" w:rsidP="00FC3CDC">
            <w:pPr>
              <w:tabs>
                <w:tab w:val="right" w:leader="dot" w:pos="8222"/>
              </w:tabs>
              <w:spacing w:before="60" w:after="60"/>
              <w:rPr>
                <w:sz w:val="22"/>
                <w:szCs w:val="22"/>
                <w:lang w:val="en-AU"/>
              </w:rPr>
            </w:pPr>
            <w:r w:rsidRPr="00F77E74">
              <w:rPr>
                <w:sz w:val="22"/>
                <w:szCs w:val="22"/>
                <w:lang w:val="en-AU"/>
              </w:rPr>
              <w:t>Sexual intercourse with a vasectomised male partner only</w:t>
            </w:r>
          </w:p>
        </w:tc>
        <w:tc>
          <w:tcPr>
            <w:tcW w:w="6503" w:type="dxa"/>
          </w:tcPr>
          <w:p w:rsidR="00630C88" w:rsidRDefault="00630C88" w:rsidP="00FC3CDC">
            <w:pPr>
              <w:tabs>
                <w:tab w:val="right" w:leader="dot" w:pos="8222"/>
              </w:tabs>
              <w:spacing w:before="60" w:after="60"/>
              <w:jc w:val="both"/>
              <w:rPr>
                <w:sz w:val="22"/>
                <w:szCs w:val="22"/>
                <w:lang w:val="en-AU"/>
              </w:rPr>
            </w:pPr>
            <w:r>
              <w:rPr>
                <w:sz w:val="22"/>
                <w:szCs w:val="22"/>
                <w:lang w:val="en-AU"/>
              </w:rPr>
              <w:t>V</w:t>
            </w:r>
            <w:r w:rsidRPr="00F77E74">
              <w:rPr>
                <w:sz w:val="22"/>
                <w:szCs w:val="22"/>
                <w:lang w:val="en-AU"/>
              </w:rPr>
              <w:t>asectomy must be confirmed by two negative semen analyses</w:t>
            </w:r>
            <w:r>
              <w:rPr>
                <w:sz w:val="22"/>
                <w:szCs w:val="22"/>
                <w:lang w:val="en-AU"/>
              </w:rPr>
              <w:t>.</w:t>
            </w:r>
          </w:p>
        </w:tc>
      </w:tr>
      <w:tr w:rsidR="00630C88" w:rsidTr="004D2A06">
        <w:tc>
          <w:tcPr>
            <w:tcW w:w="2790" w:type="dxa"/>
          </w:tcPr>
          <w:p w:rsidR="00630C88" w:rsidRPr="00F77E74" w:rsidRDefault="00630C88" w:rsidP="00FC3CDC">
            <w:pPr>
              <w:tabs>
                <w:tab w:val="right" w:leader="dot" w:pos="8222"/>
              </w:tabs>
              <w:spacing w:before="60" w:after="60"/>
              <w:rPr>
                <w:sz w:val="22"/>
                <w:szCs w:val="22"/>
                <w:lang w:val="en-AU"/>
              </w:rPr>
            </w:pPr>
            <w:r w:rsidRPr="00F77E74">
              <w:rPr>
                <w:sz w:val="22"/>
                <w:szCs w:val="22"/>
                <w:lang w:val="en-AU"/>
              </w:rPr>
              <w:t xml:space="preserve">Ovulation inhibitory progesterone-only pills (i.e. </w:t>
            </w:r>
            <w:proofErr w:type="spellStart"/>
            <w:r w:rsidRPr="00F77E74">
              <w:rPr>
                <w:sz w:val="22"/>
                <w:szCs w:val="22"/>
                <w:lang w:val="en-AU"/>
              </w:rPr>
              <w:t>desogestrel</w:t>
            </w:r>
            <w:proofErr w:type="spellEnd"/>
            <w:r w:rsidRPr="00F77E74">
              <w:rPr>
                <w:sz w:val="22"/>
                <w:szCs w:val="22"/>
                <w:lang w:val="en-AU"/>
              </w:rPr>
              <w:t>).</w:t>
            </w:r>
          </w:p>
          <w:p w:rsidR="00630C88" w:rsidRPr="00F77E74" w:rsidRDefault="00630C88" w:rsidP="00FC3CDC">
            <w:pPr>
              <w:tabs>
                <w:tab w:val="right" w:leader="dot" w:pos="8222"/>
              </w:tabs>
              <w:spacing w:before="60" w:after="60"/>
              <w:ind w:left="360"/>
              <w:jc w:val="both"/>
              <w:rPr>
                <w:sz w:val="22"/>
                <w:szCs w:val="22"/>
                <w:lang w:val="en-AU"/>
              </w:rPr>
            </w:pPr>
          </w:p>
        </w:tc>
        <w:tc>
          <w:tcPr>
            <w:tcW w:w="6503" w:type="dxa"/>
          </w:tcPr>
          <w:p w:rsidR="00630C88" w:rsidRDefault="00630C88" w:rsidP="00FC3CDC">
            <w:pPr>
              <w:spacing w:before="60" w:after="60"/>
              <w:rPr>
                <w:sz w:val="22"/>
                <w:szCs w:val="22"/>
                <w:lang w:val="en-AU"/>
              </w:rPr>
            </w:pPr>
            <w:r w:rsidRPr="00F77E74">
              <w:rPr>
                <w:sz w:val="22"/>
                <w:szCs w:val="22"/>
                <w:lang w:val="en-AU"/>
              </w:rPr>
              <w:t xml:space="preserve">Because of the increased risk of venous thromboembolism in patients with multiple myeloma taking </w:t>
            </w:r>
            <w:proofErr w:type="spellStart"/>
            <w:r>
              <w:rPr>
                <w:sz w:val="22"/>
                <w:szCs w:val="22"/>
                <w:lang w:val="en-AU"/>
              </w:rPr>
              <w:t>pomalidomide</w:t>
            </w:r>
            <w:proofErr w:type="spellEnd"/>
            <w:r w:rsidRPr="00F77E74">
              <w:rPr>
                <w:sz w:val="22"/>
                <w:szCs w:val="22"/>
                <w:lang w:val="en-AU"/>
              </w:rPr>
              <w:t xml:space="preserve"> and dexamethasone, combined oral contraceptive pills are not recommended. </w:t>
            </w:r>
            <w:r>
              <w:rPr>
                <w:sz w:val="22"/>
                <w:szCs w:val="22"/>
                <w:lang w:val="en-AU"/>
              </w:rPr>
              <w:t xml:space="preserve"> </w:t>
            </w:r>
            <w:r w:rsidRPr="00F77E74">
              <w:rPr>
                <w:sz w:val="22"/>
                <w:szCs w:val="22"/>
                <w:lang w:val="en-AU"/>
              </w:rPr>
              <w:t>If a patient is currently using combined oral contraception the patient should switch to one of the effective methods listed above.</w:t>
            </w:r>
            <w:r>
              <w:rPr>
                <w:sz w:val="22"/>
                <w:szCs w:val="22"/>
                <w:lang w:val="en-AU"/>
              </w:rPr>
              <w:t xml:space="preserve"> </w:t>
            </w:r>
            <w:r w:rsidRPr="00F77E74">
              <w:rPr>
                <w:sz w:val="22"/>
                <w:szCs w:val="22"/>
                <w:lang w:val="en-AU"/>
              </w:rPr>
              <w:t xml:space="preserve"> The risk of venous thromboembolism continues for 4</w:t>
            </w:r>
            <w:r>
              <w:rPr>
                <w:sz w:val="22"/>
                <w:szCs w:val="22"/>
                <w:lang w:val="en-AU"/>
              </w:rPr>
              <w:t>-</w:t>
            </w:r>
            <w:r w:rsidRPr="00F77E74">
              <w:rPr>
                <w:sz w:val="22"/>
                <w:szCs w:val="22"/>
                <w:lang w:val="en-AU"/>
              </w:rPr>
              <w:t>6 weeks after discontinuing combined oral contraception.</w:t>
            </w:r>
            <w:r>
              <w:rPr>
                <w:sz w:val="22"/>
                <w:szCs w:val="22"/>
                <w:lang w:val="en-AU"/>
              </w:rPr>
              <w:t xml:space="preserve"> </w:t>
            </w:r>
            <w:r w:rsidRPr="00F77E74">
              <w:rPr>
                <w:sz w:val="22"/>
                <w:szCs w:val="22"/>
                <w:lang w:val="en-AU"/>
              </w:rPr>
              <w:t xml:space="preserve"> The efficacy of contraceptive steroids may be reduced during co-treatment with dexamethasone.</w:t>
            </w:r>
          </w:p>
        </w:tc>
      </w:tr>
    </w:tbl>
    <w:p w:rsidR="006F239F" w:rsidRDefault="006F239F" w:rsidP="00CB5DF2">
      <w:pPr>
        <w:rPr>
          <w:sz w:val="22"/>
          <w:szCs w:val="22"/>
          <w:u w:val="single"/>
          <w:lang w:val="en-AU"/>
        </w:rPr>
      </w:pPr>
    </w:p>
    <w:p w:rsidR="00630C88" w:rsidRPr="00DC45D3" w:rsidRDefault="00630C88" w:rsidP="00CB5DF2">
      <w:pPr>
        <w:rPr>
          <w:sz w:val="22"/>
          <w:szCs w:val="22"/>
          <w:u w:val="single"/>
          <w:lang w:val="en-AU"/>
        </w:rPr>
      </w:pPr>
      <w:r w:rsidRPr="00DC45D3">
        <w:rPr>
          <w:sz w:val="22"/>
          <w:szCs w:val="22"/>
          <w:u w:val="single"/>
          <w:lang w:val="en-AU"/>
        </w:rPr>
        <w:t>Pregnancy testing</w:t>
      </w:r>
    </w:p>
    <w:p w:rsidR="00630C88" w:rsidRDefault="00630C88" w:rsidP="00630C88">
      <w:pPr>
        <w:spacing w:before="120"/>
        <w:rPr>
          <w:sz w:val="22"/>
          <w:szCs w:val="22"/>
          <w:lang w:val="en-AU"/>
        </w:rPr>
      </w:pPr>
      <w:r w:rsidRPr="00F77E74">
        <w:rPr>
          <w:sz w:val="22"/>
          <w:szCs w:val="22"/>
          <w:lang w:val="en-AU"/>
        </w:rPr>
        <w:t xml:space="preserve">Medically supervised pregnancy </w:t>
      </w:r>
      <w:r w:rsidR="002739F6">
        <w:rPr>
          <w:sz w:val="22"/>
          <w:szCs w:val="22"/>
          <w:lang w:val="en-AU"/>
        </w:rPr>
        <w:t xml:space="preserve">blood </w:t>
      </w:r>
      <w:r w:rsidRPr="00F77E74">
        <w:rPr>
          <w:sz w:val="22"/>
          <w:szCs w:val="22"/>
          <w:lang w:val="en-AU"/>
        </w:rPr>
        <w:t xml:space="preserve">tests with a minimum sensitivity </w:t>
      </w:r>
      <w:proofErr w:type="gramStart"/>
      <w:r w:rsidRPr="00F77E74">
        <w:rPr>
          <w:sz w:val="22"/>
          <w:szCs w:val="22"/>
          <w:lang w:val="en-AU"/>
        </w:rPr>
        <w:t>of 25 </w:t>
      </w:r>
      <w:proofErr w:type="spellStart"/>
      <w:r w:rsidRPr="00F77E74">
        <w:rPr>
          <w:sz w:val="22"/>
          <w:szCs w:val="22"/>
          <w:lang w:val="en-AU"/>
        </w:rPr>
        <w:t>mIU</w:t>
      </w:r>
      <w:proofErr w:type="spellEnd"/>
      <w:r w:rsidRPr="00F77E74">
        <w:rPr>
          <w:sz w:val="22"/>
          <w:szCs w:val="22"/>
          <w:lang w:val="en-AU"/>
        </w:rPr>
        <w:t>/mL</w:t>
      </w:r>
      <w:proofErr w:type="gramEnd"/>
      <w:r w:rsidRPr="00F77E74">
        <w:rPr>
          <w:sz w:val="22"/>
          <w:szCs w:val="22"/>
          <w:lang w:val="en-AU"/>
        </w:rPr>
        <w:t xml:space="preserve"> must be performed for </w:t>
      </w:r>
      <w:r>
        <w:rPr>
          <w:sz w:val="22"/>
          <w:szCs w:val="22"/>
          <w:lang w:val="en-AU"/>
        </w:rPr>
        <w:t>females</w:t>
      </w:r>
      <w:r w:rsidRPr="00F77E74">
        <w:rPr>
          <w:sz w:val="22"/>
          <w:szCs w:val="22"/>
          <w:lang w:val="en-AU"/>
        </w:rPr>
        <w:t xml:space="preserve"> of childbearing potential as outlined below. </w:t>
      </w:r>
      <w:r>
        <w:rPr>
          <w:sz w:val="22"/>
          <w:szCs w:val="22"/>
          <w:lang w:val="en-AU"/>
        </w:rPr>
        <w:t xml:space="preserve"> </w:t>
      </w:r>
    </w:p>
    <w:p w:rsidR="00630C88" w:rsidRPr="00F77E74" w:rsidRDefault="00630C88" w:rsidP="00630C88">
      <w:pPr>
        <w:spacing w:before="120"/>
        <w:rPr>
          <w:sz w:val="22"/>
          <w:szCs w:val="22"/>
          <w:lang w:val="en-AU"/>
        </w:rPr>
      </w:pPr>
      <w:r w:rsidRPr="00F77E74">
        <w:rPr>
          <w:sz w:val="22"/>
          <w:szCs w:val="22"/>
          <w:lang w:val="en-AU"/>
        </w:rPr>
        <w:t xml:space="preserve">Ideally, pregnancy testing, issuing a prescription and dispensing should occur on the same day. </w:t>
      </w:r>
      <w:r>
        <w:rPr>
          <w:sz w:val="22"/>
          <w:szCs w:val="22"/>
          <w:lang w:val="en-AU"/>
        </w:rPr>
        <w:t xml:space="preserve"> </w:t>
      </w:r>
      <w:r w:rsidRPr="00F71750">
        <w:rPr>
          <w:sz w:val="22"/>
          <w:szCs w:val="22"/>
          <w:lang w:val="en-AU"/>
        </w:rPr>
        <w:t>For women of childbearing potential,</w:t>
      </w:r>
      <w:r w:rsidRPr="00F77E74">
        <w:rPr>
          <w:sz w:val="22"/>
          <w:szCs w:val="22"/>
          <w:lang w:val="en-AU"/>
        </w:rPr>
        <w:t xml:space="preserve"> dispensing </w:t>
      </w:r>
      <w:r w:rsidR="00346E31">
        <w:rPr>
          <w:sz w:val="22"/>
          <w:szCs w:val="22"/>
          <w:lang w:val="en-AU"/>
        </w:rPr>
        <w:t xml:space="preserve">and </w:t>
      </w:r>
      <w:r w:rsidR="00346E31" w:rsidRPr="00987EA9">
        <w:rPr>
          <w:sz w:val="22"/>
          <w:szCs w:val="22"/>
          <w:lang w:val="en-AU"/>
        </w:rPr>
        <w:t xml:space="preserve">commencement </w:t>
      </w:r>
      <w:r w:rsidRPr="00987EA9">
        <w:rPr>
          <w:sz w:val="22"/>
          <w:szCs w:val="22"/>
          <w:lang w:val="en-AU"/>
        </w:rPr>
        <w:t>of</w:t>
      </w:r>
      <w:r w:rsidRPr="00F77E74">
        <w:rPr>
          <w:sz w:val="22"/>
          <w:szCs w:val="22"/>
          <w:lang w:val="en-AU"/>
        </w:rPr>
        <w:t xml:space="preserve"> </w:t>
      </w:r>
      <w:proofErr w:type="spellStart"/>
      <w:r>
        <w:rPr>
          <w:sz w:val="22"/>
          <w:szCs w:val="22"/>
          <w:lang w:val="en-AU"/>
        </w:rPr>
        <w:t>pomalidomide</w:t>
      </w:r>
      <w:proofErr w:type="spellEnd"/>
      <w:r w:rsidRPr="00F77E74">
        <w:rPr>
          <w:sz w:val="22"/>
          <w:szCs w:val="22"/>
          <w:lang w:val="en-AU"/>
        </w:rPr>
        <w:t xml:space="preserve"> should occur within a maximum of 7 days of </w:t>
      </w:r>
      <w:r>
        <w:rPr>
          <w:sz w:val="22"/>
          <w:szCs w:val="22"/>
          <w:lang w:val="en-AU"/>
        </w:rPr>
        <w:t>a negative pregnancy test</w:t>
      </w:r>
      <w:r w:rsidRPr="00F77E74">
        <w:rPr>
          <w:sz w:val="22"/>
          <w:szCs w:val="22"/>
          <w:lang w:val="en-AU"/>
        </w:rPr>
        <w:t>.</w:t>
      </w:r>
    </w:p>
    <w:p w:rsidR="00C50599" w:rsidRDefault="00C50599" w:rsidP="00BB699B">
      <w:pPr>
        <w:rPr>
          <w:i/>
          <w:sz w:val="22"/>
          <w:szCs w:val="22"/>
          <w:lang w:val="en-AU"/>
        </w:rPr>
      </w:pPr>
    </w:p>
    <w:p w:rsidR="00630C88" w:rsidRPr="00BB699B" w:rsidRDefault="00630C88" w:rsidP="00BB699B">
      <w:pPr>
        <w:rPr>
          <w:i/>
          <w:sz w:val="22"/>
          <w:szCs w:val="22"/>
          <w:lang w:val="en-AU"/>
        </w:rPr>
      </w:pPr>
      <w:r w:rsidRPr="00BB699B">
        <w:rPr>
          <w:i/>
          <w:sz w:val="22"/>
          <w:szCs w:val="22"/>
          <w:lang w:val="en-AU"/>
        </w:rPr>
        <w:t>Prior to starting treatment</w:t>
      </w:r>
    </w:p>
    <w:p w:rsidR="00630C88" w:rsidRDefault="00630C88" w:rsidP="00BB699B">
      <w:pPr>
        <w:spacing w:before="120"/>
        <w:rPr>
          <w:sz w:val="22"/>
          <w:szCs w:val="22"/>
          <w:lang w:val="en-AU"/>
        </w:rPr>
      </w:pPr>
      <w:r w:rsidRPr="00F77E74">
        <w:rPr>
          <w:sz w:val="22"/>
          <w:szCs w:val="22"/>
          <w:lang w:val="en-AU"/>
        </w:rPr>
        <w:t xml:space="preserve">A medically supervised pregnancy test should be performed when </w:t>
      </w:r>
      <w:proofErr w:type="spellStart"/>
      <w:r>
        <w:rPr>
          <w:sz w:val="22"/>
          <w:szCs w:val="22"/>
          <w:lang w:val="en-AU"/>
        </w:rPr>
        <w:t>pomalidomide</w:t>
      </w:r>
      <w:proofErr w:type="spellEnd"/>
      <w:r w:rsidRPr="00F77E74">
        <w:rPr>
          <w:sz w:val="22"/>
          <w:szCs w:val="22"/>
          <w:lang w:val="en-AU"/>
        </w:rPr>
        <w:t xml:space="preserve"> is prescribed. </w:t>
      </w:r>
      <w:r>
        <w:rPr>
          <w:sz w:val="22"/>
          <w:szCs w:val="22"/>
          <w:lang w:val="en-AU"/>
        </w:rPr>
        <w:t xml:space="preserve"> </w:t>
      </w:r>
      <w:r w:rsidRPr="00F77E74">
        <w:rPr>
          <w:sz w:val="22"/>
          <w:szCs w:val="22"/>
          <w:lang w:val="en-AU"/>
        </w:rPr>
        <w:t xml:space="preserve">The test should occur either at the time of consultation, or in the 3 days prior to the visit to the prescriber and at a point where the patient has been using effective contraception for at least 4 weeks. </w:t>
      </w:r>
      <w:r>
        <w:rPr>
          <w:sz w:val="22"/>
          <w:szCs w:val="22"/>
          <w:lang w:val="en-AU"/>
        </w:rPr>
        <w:t xml:space="preserve"> </w:t>
      </w:r>
      <w:r w:rsidRPr="00F77E74">
        <w:rPr>
          <w:sz w:val="22"/>
          <w:szCs w:val="22"/>
          <w:lang w:val="en-AU"/>
        </w:rPr>
        <w:t xml:space="preserve">The test should ensure the patient is not pregnant when she starts treatment with </w:t>
      </w:r>
      <w:proofErr w:type="spellStart"/>
      <w:r>
        <w:rPr>
          <w:sz w:val="22"/>
          <w:szCs w:val="22"/>
          <w:lang w:val="en-AU"/>
        </w:rPr>
        <w:t>pomalidomide</w:t>
      </w:r>
      <w:proofErr w:type="spellEnd"/>
      <w:r w:rsidRPr="00F77E74">
        <w:rPr>
          <w:sz w:val="22"/>
          <w:szCs w:val="22"/>
          <w:lang w:val="en-AU"/>
        </w:rPr>
        <w:t xml:space="preserve">. </w:t>
      </w:r>
      <w:r>
        <w:rPr>
          <w:sz w:val="22"/>
          <w:szCs w:val="22"/>
          <w:lang w:val="en-AU"/>
        </w:rPr>
        <w:t xml:space="preserve"> </w:t>
      </w:r>
    </w:p>
    <w:p w:rsidR="00BD0A00" w:rsidRDefault="00BD0A00" w:rsidP="00BB699B">
      <w:pPr>
        <w:pStyle w:val="Heading6"/>
        <w:spacing w:before="0" w:after="0"/>
        <w:jc w:val="both"/>
        <w:rPr>
          <w:lang w:val="en-AU"/>
        </w:rPr>
      </w:pPr>
    </w:p>
    <w:p w:rsidR="00630C88" w:rsidRPr="00F77E74" w:rsidRDefault="00630C88" w:rsidP="00BB699B">
      <w:pPr>
        <w:pStyle w:val="Heading6"/>
        <w:spacing w:before="0" w:after="0"/>
        <w:jc w:val="both"/>
        <w:rPr>
          <w:b w:val="0"/>
          <w:i/>
          <w:lang w:val="en-AU"/>
        </w:rPr>
      </w:pPr>
      <w:r w:rsidRPr="00F77E74">
        <w:rPr>
          <w:b w:val="0"/>
          <w:i/>
          <w:lang w:val="en-AU"/>
        </w:rPr>
        <w:t>Follow-up and end of treatment</w:t>
      </w:r>
    </w:p>
    <w:p w:rsidR="00630C88" w:rsidRDefault="00630C88" w:rsidP="00BB699B">
      <w:pPr>
        <w:spacing w:before="120"/>
        <w:rPr>
          <w:sz w:val="22"/>
          <w:szCs w:val="22"/>
          <w:lang w:val="en-AU"/>
        </w:rPr>
      </w:pPr>
      <w:r w:rsidRPr="00F77E74">
        <w:rPr>
          <w:sz w:val="22"/>
          <w:szCs w:val="22"/>
          <w:lang w:val="en-AU"/>
        </w:rPr>
        <w:t xml:space="preserve">A medically supervised pregnancy test should be repeated every 4 weeks, including 4 weeks after the end of treatment. These pregnancy tests should be performed on the day of the prescribing visit or in the 3 days prior to the visit to the prescriber. </w:t>
      </w:r>
    </w:p>
    <w:p w:rsidR="00CB5DF2" w:rsidRPr="00DC45D3" w:rsidRDefault="00CB5DF2" w:rsidP="00630C88">
      <w:pPr>
        <w:rPr>
          <w:lang w:val="en-AU"/>
        </w:rPr>
      </w:pPr>
    </w:p>
    <w:p w:rsidR="00DD6BEB" w:rsidRPr="00C04E1F" w:rsidRDefault="00630C88" w:rsidP="00C04E1F">
      <w:pPr>
        <w:pStyle w:val="ListParagraph"/>
        <w:numPr>
          <w:ilvl w:val="3"/>
          <w:numId w:val="46"/>
        </w:numPr>
        <w:ind w:left="851" w:hanging="851"/>
        <w:rPr>
          <w:b/>
          <w:i/>
          <w:sz w:val="22"/>
          <w:szCs w:val="22"/>
          <w:lang w:val="en-AU"/>
        </w:rPr>
      </w:pPr>
      <w:r w:rsidRPr="00C04E1F">
        <w:rPr>
          <w:b/>
          <w:i/>
          <w:sz w:val="22"/>
          <w:szCs w:val="22"/>
          <w:lang w:val="en-AU"/>
        </w:rPr>
        <w:t>Male patients</w:t>
      </w:r>
    </w:p>
    <w:p w:rsidR="00630C88" w:rsidRDefault="00630C88" w:rsidP="00630C88">
      <w:pPr>
        <w:spacing w:before="120"/>
        <w:rPr>
          <w:sz w:val="22"/>
          <w:szCs w:val="22"/>
          <w:lang w:val="en-AU"/>
        </w:rPr>
      </w:pPr>
      <w:r w:rsidRPr="00A3038C">
        <w:rPr>
          <w:sz w:val="22"/>
          <w:szCs w:val="22"/>
          <w:lang w:val="en-AU"/>
        </w:rPr>
        <w:t>Male patients must comply with the following requirements on counselling and contraception</w:t>
      </w:r>
      <w:r>
        <w:rPr>
          <w:sz w:val="22"/>
          <w:szCs w:val="22"/>
          <w:lang w:val="en-AU"/>
        </w:rPr>
        <w:t xml:space="preserve"> as</w:t>
      </w:r>
      <w:r w:rsidRPr="00A3038C">
        <w:rPr>
          <w:sz w:val="22"/>
          <w:szCs w:val="22"/>
          <w:lang w:val="en-AU"/>
        </w:rPr>
        <w:t xml:space="preserve"> clinical data has demonstrated the presence of </w:t>
      </w:r>
      <w:proofErr w:type="spellStart"/>
      <w:r w:rsidRPr="00A3038C">
        <w:rPr>
          <w:sz w:val="22"/>
          <w:szCs w:val="22"/>
          <w:lang w:val="en-AU"/>
        </w:rPr>
        <w:t>pomalidomide</w:t>
      </w:r>
      <w:proofErr w:type="spellEnd"/>
      <w:r w:rsidRPr="00A3038C">
        <w:rPr>
          <w:sz w:val="22"/>
          <w:szCs w:val="22"/>
          <w:lang w:val="en-AU"/>
        </w:rPr>
        <w:t xml:space="preserve"> in human</w:t>
      </w:r>
      <w:r>
        <w:rPr>
          <w:sz w:val="22"/>
          <w:szCs w:val="22"/>
          <w:lang w:val="en-AU"/>
        </w:rPr>
        <w:t xml:space="preserve"> semen.</w:t>
      </w:r>
    </w:p>
    <w:p w:rsidR="00630C88" w:rsidRDefault="00630C88" w:rsidP="00630C88">
      <w:pPr>
        <w:rPr>
          <w:sz w:val="22"/>
          <w:szCs w:val="22"/>
          <w:lang w:val="en-AU"/>
        </w:rPr>
      </w:pPr>
    </w:p>
    <w:p w:rsidR="00630C88" w:rsidRPr="00A3038C" w:rsidRDefault="00630C88" w:rsidP="00CB5DF2">
      <w:pPr>
        <w:rPr>
          <w:sz w:val="22"/>
          <w:szCs w:val="22"/>
          <w:u w:val="single"/>
          <w:lang w:val="en-AU"/>
        </w:rPr>
      </w:pPr>
      <w:r w:rsidRPr="00A3038C">
        <w:rPr>
          <w:sz w:val="22"/>
          <w:szCs w:val="22"/>
          <w:u w:val="single"/>
          <w:lang w:val="en-AU"/>
        </w:rPr>
        <w:t>Counselling</w:t>
      </w:r>
      <w:r>
        <w:rPr>
          <w:sz w:val="22"/>
          <w:szCs w:val="22"/>
          <w:u w:val="single"/>
          <w:lang w:val="en-AU"/>
        </w:rPr>
        <w:t xml:space="preserve"> and contraception</w:t>
      </w:r>
    </w:p>
    <w:p w:rsidR="00630C88" w:rsidRPr="00F77E74" w:rsidRDefault="00A12040" w:rsidP="00630C88">
      <w:pPr>
        <w:numPr>
          <w:ilvl w:val="0"/>
          <w:numId w:val="5"/>
        </w:numPr>
        <w:tabs>
          <w:tab w:val="clear" w:pos="360"/>
          <w:tab w:val="num" w:pos="540"/>
        </w:tabs>
        <w:spacing w:before="120"/>
        <w:ind w:left="539" w:hanging="539"/>
        <w:jc w:val="both"/>
        <w:rPr>
          <w:sz w:val="22"/>
          <w:szCs w:val="22"/>
          <w:lang w:val="en-AU"/>
        </w:rPr>
      </w:pPr>
      <w:r>
        <w:rPr>
          <w:sz w:val="22"/>
          <w:szCs w:val="22"/>
          <w:lang w:val="en-AU"/>
        </w:rPr>
        <w:t>He u</w:t>
      </w:r>
      <w:r w:rsidR="00630C88" w:rsidRPr="00F77E74">
        <w:rPr>
          <w:sz w:val="22"/>
          <w:szCs w:val="22"/>
          <w:lang w:val="en-AU"/>
        </w:rPr>
        <w:t>nderstand</w:t>
      </w:r>
      <w:r>
        <w:rPr>
          <w:sz w:val="22"/>
          <w:szCs w:val="22"/>
          <w:lang w:val="en-AU"/>
        </w:rPr>
        <w:t>s</w:t>
      </w:r>
      <w:r w:rsidR="00630C88" w:rsidRPr="00F77E74">
        <w:rPr>
          <w:sz w:val="22"/>
          <w:szCs w:val="22"/>
          <w:lang w:val="en-AU"/>
        </w:rPr>
        <w:t xml:space="preserve"> the potential teratogenic risk if engaged in sexual activity with a woman of childbearing potential.</w:t>
      </w:r>
    </w:p>
    <w:p w:rsidR="00630C88" w:rsidRPr="001E7D87" w:rsidRDefault="00A12040" w:rsidP="00630C88">
      <w:pPr>
        <w:numPr>
          <w:ilvl w:val="0"/>
          <w:numId w:val="5"/>
        </w:numPr>
        <w:tabs>
          <w:tab w:val="clear" w:pos="360"/>
          <w:tab w:val="num" w:pos="540"/>
        </w:tabs>
        <w:ind w:left="540" w:hanging="540"/>
        <w:jc w:val="both"/>
        <w:rPr>
          <w:sz w:val="22"/>
          <w:szCs w:val="22"/>
          <w:lang w:val="en-AU"/>
        </w:rPr>
      </w:pPr>
      <w:r>
        <w:rPr>
          <w:sz w:val="22"/>
          <w:szCs w:val="22"/>
          <w:lang w:val="en-AU"/>
        </w:rPr>
        <w:t>He u</w:t>
      </w:r>
      <w:r w:rsidR="00630C88" w:rsidRPr="00F77E74">
        <w:rPr>
          <w:sz w:val="22"/>
          <w:szCs w:val="22"/>
          <w:lang w:val="en-AU"/>
        </w:rPr>
        <w:t>nderstand</w:t>
      </w:r>
      <w:r>
        <w:rPr>
          <w:sz w:val="22"/>
          <w:szCs w:val="22"/>
          <w:lang w:val="en-AU"/>
        </w:rPr>
        <w:t>s</w:t>
      </w:r>
      <w:r w:rsidR="00630C88" w:rsidRPr="00F77E74">
        <w:rPr>
          <w:sz w:val="22"/>
          <w:szCs w:val="22"/>
          <w:lang w:val="en-AU"/>
        </w:rPr>
        <w:t xml:space="preserve"> </w:t>
      </w:r>
      <w:r>
        <w:rPr>
          <w:sz w:val="22"/>
          <w:szCs w:val="22"/>
          <w:lang w:val="en-AU"/>
        </w:rPr>
        <w:t>and complies</w:t>
      </w:r>
      <w:r w:rsidR="00630C88">
        <w:rPr>
          <w:sz w:val="22"/>
          <w:szCs w:val="22"/>
          <w:lang w:val="en-AU"/>
        </w:rPr>
        <w:t xml:space="preserve"> with </w:t>
      </w:r>
      <w:r w:rsidR="00630C88" w:rsidRPr="00F77E74">
        <w:rPr>
          <w:sz w:val="22"/>
          <w:szCs w:val="22"/>
          <w:lang w:val="en-AU"/>
        </w:rPr>
        <w:t>the need for the use of a condom</w:t>
      </w:r>
      <w:r w:rsidR="006C46C2">
        <w:rPr>
          <w:sz w:val="22"/>
          <w:szCs w:val="22"/>
          <w:lang w:val="en-AU"/>
        </w:rPr>
        <w:t>, even if he is vasectomised,</w:t>
      </w:r>
      <w:r w:rsidR="00630C88" w:rsidRPr="00F77E74">
        <w:rPr>
          <w:sz w:val="22"/>
          <w:szCs w:val="22"/>
          <w:lang w:val="en-AU"/>
        </w:rPr>
        <w:t xml:space="preserve"> if engaged in sexual activity with a </w:t>
      </w:r>
      <w:r w:rsidR="00630C88">
        <w:rPr>
          <w:sz w:val="22"/>
          <w:szCs w:val="22"/>
          <w:lang w:val="en-AU"/>
        </w:rPr>
        <w:t xml:space="preserve">woman of childbearing potential </w:t>
      </w:r>
      <w:r w:rsidR="00630C88" w:rsidRPr="001E7D87">
        <w:rPr>
          <w:sz w:val="22"/>
          <w:szCs w:val="22"/>
          <w:lang w:val="en-AU"/>
        </w:rPr>
        <w:t xml:space="preserve">throughout treatment duration, during dose interruption and for 1 week after </w:t>
      </w:r>
      <w:r w:rsidR="00630C88">
        <w:rPr>
          <w:sz w:val="22"/>
          <w:szCs w:val="22"/>
          <w:lang w:val="en-AU"/>
        </w:rPr>
        <w:t>discontinuation</w:t>
      </w:r>
      <w:r w:rsidR="00630C88" w:rsidRPr="001E7D87">
        <w:rPr>
          <w:sz w:val="22"/>
          <w:szCs w:val="22"/>
          <w:lang w:val="en-AU"/>
        </w:rPr>
        <w:t xml:space="preserve"> of </w:t>
      </w:r>
      <w:r w:rsidR="00630C88">
        <w:rPr>
          <w:sz w:val="22"/>
          <w:szCs w:val="22"/>
          <w:lang w:val="en-AU"/>
        </w:rPr>
        <w:t>treatment.</w:t>
      </w:r>
    </w:p>
    <w:p w:rsidR="00BB699B" w:rsidRPr="00F77E74" w:rsidRDefault="00A12040" w:rsidP="00BB699B">
      <w:pPr>
        <w:numPr>
          <w:ilvl w:val="0"/>
          <w:numId w:val="40"/>
        </w:numPr>
        <w:ind w:left="540" w:hanging="540"/>
        <w:rPr>
          <w:sz w:val="22"/>
          <w:szCs w:val="22"/>
          <w:lang w:val="en-AU"/>
        </w:rPr>
      </w:pPr>
      <w:r>
        <w:rPr>
          <w:sz w:val="22"/>
          <w:szCs w:val="22"/>
          <w:lang w:val="en-AU"/>
        </w:rPr>
        <w:t>He u</w:t>
      </w:r>
      <w:r w:rsidR="00BB699B">
        <w:rPr>
          <w:sz w:val="22"/>
          <w:szCs w:val="22"/>
          <w:lang w:val="en-AU"/>
        </w:rPr>
        <w:t>nderstand</w:t>
      </w:r>
      <w:r>
        <w:rPr>
          <w:sz w:val="22"/>
          <w:szCs w:val="22"/>
          <w:lang w:val="en-AU"/>
        </w:rPr>
        <w:t>s</w:t>
      </w:r>
      <w:r w:rsidR="00BB699B">
        <w:rPr>
          <w:sz w:val="22"/>
          <w:szCs w:val="22"/>
          <w:lang w:val="en-AU"/>
        </w:rPr>
        <w:t xml:space="preserve"> that if his partner becomes pregnant whilst he is taking </w:t>
      </w:r>
      <w:proofErr w:type="spellStart"/>
      <w:r w:rsidR="00BB699B">
        <w:rPr>
          <w:sz w:val="22"/>
          <w:szCs w:val="22"/>
          <w:lang w:val="en-AU"/>
        </w:rPr>
        <w:t>pomalidomide</w:t>
      </w:r>
      <w:proofErr w:type="spellEnd"/>
      <w:r w:rsidR="00BB699B">
        <w:rPr>
          <w:sz w:val="22"/>
          <w:szCs w:val="22"/>
          <w:lang w:val="en-AU"/>
        </w:rPr>
        <w:t xml:space="preserve"> or during the 1</w:t>
      </w:r>
      <w:r w:rsidR="00BB699B" w:rsidRPr="00794442">
        <w:rPr>
          <w:sz w:val="22"/>
          <w:szCs w:val="22"/>
          <w:vertAlign w:val="superscript"/>
          <w:lang w:val="en-AU"/>
        </w:rPr>
        <w:t>st</w:t>
      </w:r>
      <w:r w:rsidR="00BB699B">
        <w:rPr>
          <w:sz w:val="22"/>
          <w:szCs w:val="22"/>
          <w:lang w:val="en-AU"/>
        </w:rPr>
        <w:t xml:space="preserve"> week after he discontinues taking </w:t>
      </w:r>
      <w:proofErr w:type="spellStart"/>
      <w:r w:rsidR="00BB699B">
        <w:rPr>
          <w:sz w:val="22"/>
          <w:szCs w:val="22"/>
          <w:lang w:val="en-AU"/>
        </w:rPr>
        <w:t>pomalidomide</w:t>
      </w:r>
      <w:proofErr w:type="spellEnd"/>
      <w:r w:rsidR="00BB699B">
        <w:rPr>
          <w:sz w:val="22"/>
          <w:szCs w:val="22"/>
          <w:lang w:val="en-AU"/>
        </w:rPr>
        <w:t>, he should inform his treating physician immediately.</w:t>
      </w:r>
    </w:p>
    <w:p w:rsidR="00630C88" w:rsidRPr="00F23B9B" w:rsidRDefault="00A12040" w:rsidP="00630C88">
      <w:pPr>
        <w:pStyle w:val="ListParagraph"/>
        <w:numPr>
          <w:ilvl w:val="0"/>
          <w:numId w:val="40"/>
        </w:numPr>
        <w:ind w:left="540" w:hanging="540"/>
        <w:rPr>
          <w:sz w:val="22"/>
          <w:szCs w:val="22"/>
          <w:lang w:val="en-AU"/>
        </w:rPr>
      </w:pPr>
      <w:r>
        <w:rPr>
          <w:sz w:val="22"/>
          <w:szCs w:val="22"/>
          <w:lang w:val="en-AU"/>
        </w:rPr>
        <w:t>He u</w:t>
      </w:r>
      <w:r w:rsidR="00BB699B">
        <w:rPr>
          <w:sz w:val="22"/>
          <w:szCs w:val="22"/>
          <w:lang w:val="en-AU"/>
        </w:rPr>
        <w:t>nderstand</w:t>
      </w:r>
      <w:r>
        <w:rPr>
          <w:sz w:val="22"/>
          <w:szCs w:val="22"/>
          <w:lang w:val="en-AU"/>
        </w:rPr>
        <w:t>s</w:t>
      </w:r>
      <w:r w:rsidR="00BB699B">
        <w:rPr>
          <w:sz w:val="22"/>
          <w:szCs w:val="22"/>
          <w:lang w:val="en-AU"/>
        </w:rPr>
        <w:t xml:space="preserve"> that </w:t>
      </w:r>
      <w:r w:rsidR="00346E31">
        <w:rPr>
          <w:sz w:val="22"/>
          <w:szCs w:val="22"/>
          <w:lang w:val="en-AU"/>
        </w:rPr>
        <w:t>he</w:t>
      </w:r>
      <w:r w:rsidR="00346E31" w:rsidRPr="00A3038C">
        <w:rPr>
          <w:sz w:val="22"/>
          <w:szCs w:val="22"/>
          <w:lang w:val="en-AU"/>
        </w:rPr>
        <w:t xml:space="preserve"> </w:t>
      </w:r>
      <w:r w:rsidR="00BB699B" w:rsidRPr="00A3038C">
        <w:rPr>
          <w:sz w:val="22"/>
          <w:szCs w:val="22"/>
          <w:lang w:val="en-AU"/>
        </w:rPr>
        <w:t>must not donate sperm during therapy</w:t>
      </w:r>
      <w:r w:rsidR="002B70FC">
        <w:rPr>
          <w:sz w:val="22"/>
          <w:szCs w:val="22"/>
          <w:lang w:val="en-AU"/>
        </w:rPr>
        <w:t xml:space="preserve"> (</w:t>
      </w:r>
      <w:r w:rsidR="002B70FC" w:rsidRPr="001E7D87">
        <w:rPr>
          <w:sz w:val="22"/>
          <w:szCs w:val="22"/>
          <w:lang w:val="en-AU"/>
        </w:rPr>
        <w:t>during dose interruption</w:t>
      </w:r>
      <w:r w:rsidR="002B70FC">
        <w:rPr>
          <w:sz w:val="22"/>
          <w:szCs w:val="22"/>
          <w:lang w:val="en-AU"/>
        </w:rPr>
        <w:t>)</w:t>
      </w:r>
      <w:r w:rsidR="00BB699B" w:rsidRPr="00A3038C">
        <w:rPr>
          <w:sz w:val="22"/>
          <w:szCs w:val="22"/>
          <w:lang w:val="en-AU"/>
        </w:rPr>
        <w:t xml:space="preserve"> or for 1 week following discontinuation of </w:t>
      </w:r>
      <w:proofErr w:type="spellStart"/>
      <w:r w:rsidR="00BB699B" w:rsidRPr="00A3038C">
        <w:rPr>
          <w:sz w:val="22"/>
          <w:szCs w:val="22"/>
          <w:lang w:val="en-AU"/>
        </w:rPr>
        <w:t>pomalidomide</w:t>
      </w:r>
      <w:proofErr w:type="spellEnd"/>
      <w:r w:rsidR="00BB699B" w:rsidRPr="00A3038C">
        <w:rPr>
          <w:sz w:val="22"/>
          <w:szCs w:val="22"/>
          <w:lang w:val="en-AU"/>
        </w:rPr>
        <w:t>.</w:t>
      </w:r>
    </w:p>
    <w:p w:rsidR="00CB5DF2" w:rsidRDefault="00CB5DF2" w:rsidP="00630C88">
      <w:pPr>
        <w:rPr>
          <w:lang w:val="en-AU"/>
        </w:rPr>
      </w:pPr>
    </w:p>
    <w:p w:rsidR="00630C88" w:rsidRPr="00DC45D3" w:rsidRDefault="00630C88" w:rsidP="00F23B9B">
      <w:pPr>
        <w:pStyle w:val="ListParagraph"/>
        <w:numPr>
          <w:ilvl w:val="3"/>
          <w:numId w:val="46"/>
        </w:numPr>
        <w:ind w:left="851" w:hanging="851"/>
        <w:rPr>
          <w:b/>
          <w:i/>
          <w:sz w:val="22"/>
          <w:szCs w:val="22"/>
          <w:lang w:val="en-AU"/>
        </w:rPr>
      </w:pPr>
      <w:r w:rsidRPr="00DC45D3">
        <w:rPr>
          <w:b/>
          <w:i/>
          <w:sz w:val="22"/>
          <w:szCs w:val="22"/>
          <w:lang w:val="en-AU"/>
        </w:rPr>
        <w:t>Prescribers</w:t>
      </w:r>
    </w:p>
    <w:p w:rsidR="00630C88" w:rsidRPr="00F77E74" w:rsidRDefault="00630C88" w:rsidP="00CF2E19">
      <w:pPr>
        <w:numPr>
          <w:ilvl w:val="0"/>
          <w:numId w:val="5"/>
        </w:numPr>
        <w:tabs>
          <w:tab w:val="clear" w:pos="360"/>
          <w:tab w:val="num" w:pos="540"/>
        </w:tabs>
        <w:spacing w:before="120"/>
        <w:ind w:left="539" w:hanging="539"/>
        <w:rPr>
          <w:sz w:val="22"/>
          <w:szCs w:val="22"/>
          <w:lang w:val="en-AU"/>
        </w:rPr>
      </w:pPr>
      <w:r>
        <w:rPr>
          <w:sz w:val="22"/>
          <w:szCs w:val="22"/>
          <w:lang w:val="en-AU"/>
        </w:rPr>
        <w:t xml:space="preserve">Ensure that females of child bearing potential </w:t>
      </w:r>
      <w:r w:rsidRPr="00F77E74">
        <w:rPr>
          <w:sz w:val="22"/>
          <w:szCs w:val="22"/>
          <w:lang w:val="en-AU"/>
        </w:rPr>
        <w:t>compl</w:t>
      </w:r>
      <w:r>
        <w:rPr>
          <w:sz w:val="22"/>
          <w:szCs w:val="22"/>
          <w:lang w:val="en-AU"/>
        </w:rPr>
        <w:t>y</w:t>
      </w:r>
      <w:r w:rsidRPr="00F77E74">
        <w:rPr>
          <w:sz w:val="22"/>
          <w:szCs w:val="22"/>
          <w:lang w:val="en-AU"/>
        </w:rPr>
        <w:t xml:space="preserve"> with the conditions of the </w:t>
      </w:r>
      <w:proofErr w:type="spellStart"/>
      <w:r w:rsidRPr="00F77E74">
        <w:rPr>
          <w:i/>
          <w:sz w:val="22"/>
          <w:szCs w:val="22"/>
          <w:lang w:val="en-AU"/>
        </w:rPr>
        <w:t>i</w:t>
      </w:r>
      <w:proofErr w:type="spellEnd"/>
      <w:r w:rsidRPr="00F77E74">
        <w:rPr>
          <w:i/>
          <w:sz w:val="22"/>
          <w:szCs w:val="22"/>
          <w:lang w:val="en-AU"/>
        </w:rPr>
        <w:t>-access</w:t>
      </w:r>
      <w:r w:rsidRPr="00F77E74">
        <w:rPr>
          <w:sz w:val="22"/>
          <w:szCs w:val="22"/>
          <w:vertAlign w:val="superscript"/>
          <w:lang w:val="en-AU"/>
        </w:rPr>
        <w:t>®</w:t>
      </w:r>
      <w:r w:rsidRPr="00F77E74">
        <w:rPr>
          <w:vertAlign w:val="superscript"/>
          <w:lang w:val="en-AU"/>
        </w:rPr>
        <w:t xml:space="preserve"> </w:t>
      </w:r>
      <w:r w:rsidRPr="00F77E74">
        <w:rPr>
          <w:sz w:val="22"/>
          <w:szCs w:val="22"/>
          <w:lang w:val="en-AU"/>
        </w:rPr>
        <w:t xml:space="preserve">Program, including confirmation that </w:t>
      </w:r>
      <w:r w:rsidR="00294249">
        <w:rPr>
          <w:sz w:val="22"/>
          <w:szCs w:val="22"/>
          <w:lang w:val="en-AU"/>
        </w:rPr>
        <w:t>they have</w:t>
      </w:r>
      <w:r w:rsidRPr="00F77E74">
        <w:rPr>
          <w:sz w:val="22"/>
          <w:szCs w:val="22"/>
          <w:lang w:val="en-AU"/>
        </w:rPr>
        <w:t xml:space="preserve"> an </w:t>
      </w:r>
      <w:r>
        <w:rPr>
          <w:sz w:val="22"/>
          <w:szCs w:val="22"/>
          <w:lang w:val="en-AU"/>
        </w:rPr>
        <w:t>adequate level of understanding of the requirements</w:t>
      </w:r>
    </w:p>
    <w:p w:rsidR="00630C88" w:rsidRPr="00B938CA" w:rsidRDefault="00630C88" w:rsidP="00553D48">
      <w:pPr>
        <w:numPr>
          <w:ilvl w:val="0"/>
          <w:numId w:val="5"/>
        </w:numPr>
        <w:tabs>
          <w:tab w:val="clear" w:pos="360"/>
          <w:tab w:val="num" w:pos="540"/>
        </w:tabs>
        <w:ind w:left="540" w:hanging="540"/>
        <w:rPr>
          <w:sz w:val="22"/>
          <w:szCs w:val="22"/>
          <w:lang w:val="en-AU"/>
        </w:rPr>
      </w:pPr>
      <w:r w:rsidRPr="00B938CA">
        <w:rPr>
          <w:sz w:val="22"/>
          <w:szCs w:val="22"/>
          <w:lang w:val="en-AU"/>
        </w:rPr>
        <w:t xml:space="preserve">Provide full patient information about the potential teratogenic risk and the strict pregnancy prevention measures as specified in the </w:t>
      </w:r>
      <w:proofErr w:type="spellStart"/>
      <w:r w:rsidRPr="00B938CA">
        <w:rPr>
          <w:i/>
          <w:sz w:val="22"/>
          <w:szCs w:val="22"/>
          <w:lang w:val="en-AU"/>
        </w:rPr>
        <w:t>i</w:t>
      </w:r>
      <w:proofErr w:type="spellEnd"/>
      <w:r w:rsidRPr="00B938CA">
        <w:rPr>
          <w:i/>
          <w:sz w:val="22"/>
          <w:szCs w:val="22"/>
          <w:lang w:val="en-AU"/>
        </w:rPr>
        <w:t>-access</w:t>
      </w:r>
      <w:r w:rsidRPr="00B938CA">
        <w:rPr>
          <w:sz w:val="22"/>
          <w:szCs w:val="22"/>
          <w:vertAlign w:val="superscript"/>
          <w:lang w:val="en-AU"/>
        </w:rPr>
        <w:t xml:space="preserve">® </w:t>
      </w:r>
      <w:r w:rsidRPr="00B938CA">
        <w:rPr>
          <w:sz w:val="22"/>
          <w:szCs w:val="22"/>
          <w:lang w:val="en-AU"/>
        </w:rPr>
        <w:t>Program</w:t>
      </w:r>
      <w:r>
        <w:rPr>
          <w:sz w:val="22"/>
          <w:szCs w:val="22"/>
          <w:lang w:val="en-AU"/>
        </w:rPr>
        <w:t xml:space="preserve"> to</w:t>
      </w:r>
      <w:r w:rsidRPr="00B938CA">
        <w:rPr>
          <w:sz w:val="22"/>
          <w:szCs w:val="22"/>
          <w:lang w:val="en-AU"/>
        </w:rPr>
        <w:t xml:space="preserve"> </w:t>
      </w:r>
      <w:r>
        <w:rPr>
          <w:sz w:val="22"/>
          <w:szCs w:val="22"/>
          <w:lang w:val="en-AU"/>
        </w:rPr>
        <w:t>female patients</w:t>
      </w:r>
      <w:r w:rsidRPr="00B938CA">
        <w:rPr>
          <w:sz w:val="22"/>
          <w:szCs w:val="22"/>
          <w:lang w:val="en-AU"/>
        </w:rPr>
        <w:t xml:space="preserve"> of childbearing potential and, as appropriate, to male patients</w:t>
      </w:r>
    </w:p>
    <w:p w:rsidR="00630C88" w:rsidRPr="00F23B9B" w:rsidRDefault="00630C88" w:rsidP="00F23B9B">
      <w:pPr>
        <w:numPr>
          <w:ilvl w:val="0"/>
          <w:numId w:val="5"/>
        </w:numPr>
        <w:tabs>
          <w:tab w:val="clear" w:pos="360"/>
          <w:tab w:val="num" w:pos="540"/>
        </w:tabs>
        <w:ind w:left="540" w:hanging="540"/>
        <w:rPr>
          <w:sz w:val="22"/>
          <w:szCs w:val="22"/>
          <w:lang w:val="en-AU"/>
        </w:rPr>
      </w:pPr>
      <w:r w:rsidRPr="00B938CA">
        <w:rPr>
          <w:sz w:val="22"/>
          <w:szCs w:val="22"/>
          <w:lang w:val="en-AU"/>
        </w:rPr>
        <w:t>Ensure that all patients acknowledge and agree to comply with the conditions</w:t>
      </w:r>
      <w:r>
        <w:rPr>
          <w:sz w:val="22"/>
          <w:szCs w:val="22"/>
          <w:lang w:val="en-AU"/>
        </w:rPr>
        <w:t xml:space="preserve"> of the </w:t>
      </w:r>
      <w:proofErr w:type="spellStart"/>
      <w:r w:rsidRPr="00F77E74">
        <w:rPr>
          <w:i/>
          <w:sz w:val="22"/>
          <w:szCs w:val="22"/>
          <w:lang w:val="en-AU"/>
        </w:rPr>
        <w:t>i</w:t>
      </w:r>
      <w:proofErr w:type="spellEnd"/>
      <w:r w:rsidRPr="00F77E74">
        <w:rPr>
          <w:i/>
          <w:sz w:val="22"/>
          <w:szCs w:val="22"/>
          <w:lang w:val="en-AU"/>
        </w:rPr>
        <w:t>-access</w:t>
      </w:r>
      <w:r w:rsidRPr="00F77E74">
        <w:rPr>
          <w:sz w:val="22"/>
          <w:szCs w:val="22"/>
          <w:vertAlign w:val="superscript"/>
          <w:lang w:val="en-AU"/>
        </w:rPr>
        <w:t>®</w:t>
      </w:r>
      <w:r>
        <w:rPr>
          <w:sz w:val="22"/>
          <w:szCs w:val="22"/>
          <w:lang w:val="en-AU"/>
        </w:rPr>
        <w:t xml:space="preserve"> program</w:t>
      </w:r>
    </w:p>
    <w:p w:rsidR="00630C88" w:rsidRPr="00B938CA" w:rsidRDefault="00630C88" w:rsidP="00630C88">
      <w:pPr>
        <w:jc w:val="both"/>
        <w:rPr>
          <w:sz w:val="22"/>
          <w:szCs w:val="22"/>
          <w:lang w:val="en-AU"/>
        </w:rPr>
      </w:pPr>
    </w:p>
    <w:p w:rsidR="00630C88" w:rsidRPr="00DC45D3" w:rsidRDefault="00630C88" w:rsidP="009E253B">
      <w:pPr>
        <w:pStyle w:val="ListParagraph"/>
        <w:numPr>
          <w:ilvl w:val="3"/>
          <w:numId w:val="46"/>
        </w:numPr>
        <w:ind w:left="851" w:hanging="851"/>
        <w:rPr>
          <w:b/>
          <w:i/>
          <w:sz w:val="22"/>
          <w:szCs w:val="22"/>
          <w:lang w:val="en-AU"/>
        </w:rPr>
      </w:pPr>
      <w:r w:rsidRPr="00DC45D3">
        <w:rPr>
          <w:b/>
          <w:i/>
          <w:sz w:val="22"/>
          <w:szCs w:val="22"/>
          <w:lang w:val="en-AU"/>
        </w:rPr>
        <w:t>Sponsor</w:t>
      </w:r>
    </w:p>
    <w:p w:rsidR="00DD67D7" w:rsidRPr="00282F6A" w:rsidRDefault="00630C88" w:rsidP="00F23B9B">
      <w:pPr>
        <w:spacing w:before="120"/>
        <w:ind w:left="851" w:hanging="851"/>
        <w:rPr>
          <w:sz w:val="22"/>
          <w:szCs w:val="22"/>
          <w:lang w:val="en-AU"/>
        </w:rPr>
      </w:pPr>
      <w:r w:rsidRPr="00282F6A">
        <w:rPr>
          <w:sz w:val="22"/>
          <w:szCs w:val="22"/>
          <w:lang w:val="en-AU"/>
        </w:rPr>
        <w:t xml:space="preserve">The sponsor will provide educational material to healthcare professionals to reinforce the warnings about the potential teratogenicity of </w:t>
      </w:r>
      <w:proofErr w:type="spellStart"/>
      <w:r w:rsidRPr="00282F6A">
        <w:rPr>
          <w:sz w:val="22"/>
          <w:szCs w:val="22"/>
          <w:lang w:val="en-AU"/>
        </w:rPr>
        <w:t>pomalidomide</w:t>
      </w:r>
      <w:proofErr w:type="spellEnd"/>
      <w:r w:rsidRPr="00282F6A">
        <w:rPr>
          <w:sz w:val="22"/>
          <w:szCs w:val="22"/>
          <w:lang w:val="en-AU"/>
        </w:rPr>
        <w:t>, to provide advice on contraception before therapy is started, and to provide guidance on the need for pregnancy testing.</w:t>
      </w:r>
    </w:p>
    <w:p w:rsidR="006F239F" w:rsidRDefault="006F239F" w:rsidP="006E4EEA">
      <w:pPr>
        <w:pStyle w:val="C-Bullet"/>
        <w:tabs>
          <w:tab w:val="clear" w:pos="720"/>
        </w:tabs>
        <w:spacing w:before="0" w:after="0" w:line="240" w:lineRule="auto"/>
        <w:ind w:left="0" w:firstLine="0"/>
        <w:jc w:val="both"/>
        <w:rPr>
          <w:sz w:val="22"/>
          <w:szCs w:val="22"/>
          <w:lang w:val="en-AU"/>
        </w:rPr>
      </w:pPr>
    </w:p>
    <w:p w:rsidR="0069055A" w:rsidRPr="00E166CC" w:rsidRDefault="00A537FA" w:rsidP="00F23B9B">
      <w:pPr>
        <w:pStyle w:val="C-Bullet"/>
        <w:numPr>
          <w:ilvl w:val="3"/>
          <w:numId w:val="46"/>
        </w:numPr>
        <w:spacing w:before="0" w:after="0" w:line="240" w:lineRule="auto"/>
        <w:ind w:left="851" w:hanging="851"/>
        <w:jc w:val="both"/>
        <w:rPr>
          <w:b/>
          <w:i/>
          <w:sz w:val="22"/>
          <w:szCs w:val="22"/>
          <w:lang w:val="en-AU"/>
        </w:rPr>
      </w:pPr>
      <w:r w:rsidRPr="00E166CC">
        <w:rPr>
          <w:b/>
          <w:i/>
          <w:iCs/>
          <w:sz w:val="22"/>
          <w:szCs w:val="22"/>
          <w:lang w:val="en-AU"/>
        </w:rPr>
        <w:t>G</w:t>
      </w:r>
      <w:r w:rsidR="0069055A" w:rsidRPr="00E166CC">
        <w:rPr>
          <w:b/>
          <w:i/>
          <w:sz w:val="22"/>
          <w:szCs w:val="22"/>
          <w:lang w:val="en-AU"/>
        </w:rPr>
        <w:t>eneral conditions:</w:t>
      </w:r>
    </w:p>
    <w:p w:rsidR="0069055A" w:rsidRPr="00F77E74" w:rsidRDefault="0069055A" w:rsidP="00F97215">
      <w:pPr>
        <w:spacing w:before="120"/>
        <w:rPr>
          <w:sz w:val="22"/>
          <w:szCs w:val="22"/>
          <w:lang w:val="en-AU"/>
        </w:rPr>
      </w:pPr>
      <w:r>
        <w:rPr>
          <w:sz w:val="22"/>
          <w:szCs w:val="22"/>
          <w:lang w:val="en-AU"/>
        </w:rPr>
        <w:t>All p</w:t>
      </w:r>
      <w:r w:rsidRPr="00F77E74">
        <w:rPr>
          <w:sz w:val="22"/>
          <w:szCs w:val="22"/>
          <w:lang w:val="en-AU"/>
        </w:rPr>
        <w:t xml:space="preserve">atients should be instructed never to give this medicinal product to another person and to return any unused capsules to </w:t>
      </w:r>
      <w:proofErr w:type="spellStart"/>
      <w:r w:rsidR="00810B96">
        <w:rPr>
          <w:sz w:val="22"/>
          <w:szCs w:val="22"/>
          <w:lang w:val="en-AU"/>
        </w:rPr>
        <w:t>Celgene</w:t>
      </w:r>
      <w:proofErr w:type="spellEnd"/>
      <w:r w:rsidR="00810B96">
        <w:rPr>
          <w:sz w:val="22"/>
          <w:szCs w:val="22"/>
          <w:lang w:val="en-AU"/>
        </w:rPr>
        <w:t xml:space="preserve">, </w:t>
      </w:r>
      <w:r w:rsidRPr="00F77E74">
        <w:rPr>
          <w:sz w:val="22"/>
          <w:szCs w:val="22"/>
          <w:lang w:val="en-AU"/>
        </w:rPr>
        <w:t>their</w:t>
      </w:r>
      <w:r w:rsidR="00810B96">
        <w:rPr>
          <w:sz w:val="22"/>
          <w:szCs w:val="22"/>
          <w:lang w:val="en-AU"/>
        </w:rPr>
        <w:t xml:space="preserve"> healthcare provider or</w:t>
      </w:r>
      <w:r w:rsidRPr="00F77E74">
        <w:rPr>
          <w:sz w:val="22"/>
          <w:szCs w:val="22"/>
          <w:lang w:val="en-AU"/>
        </w:rPr>
        <w:t xml:space="preserve"> pharmacist at the end of treatment.</w:t>
      </w:r>
    </w:p>
    <w:p w:rsidR="00810B96" w:rsidRPr="00F77E74" w:rsidRDefault="00810B96" w:rsidP="0069055A">
      <w:pPr>
        <w:rPr>
          <w:sz w:val="22"/>
          <w:szCs w:val="22"/>
          <w:lang w:val="en-AU"/>
        </w:rPr>
      </w:pPr>
    </w:p>
    <w:p w:rsidR="0069055A" w:rsidRPr="00436FE6" w:rsidRDefault="0069055A" w:rsidP="0069055A">
      <w:pPr>
        <w:rPr>
          <w:sz w:val="22"/>
          <w:szCs w:val="22"/>
          <w:lang w:val="en-AU"/>
        </w:rPr>
      </w:pPr>
      <w:r>
        <w:rPr>
          <w:sz w:val="22"/>
          <w:szCs w:val="22"/>
          <w:lang w:val="en-AU"/>
        </w:rPr>
        <w:t>All p</w:t>
      </w:r>
      <w:r w:rsidRPr="00F77E74">
        <w:rPr>
          <w:sz w:val="22"/>
          <w:szCs w:val="22"/>
          <w:lang w:val="en-AU"/>
        </w:rPr>
        <w:t xml:space="preserve">atients should not donate blood during therapy </w:t>
      </w:r>
      <w:r w:rsidR="00372DB6">
        <w:rPr>
          <w:sz w:val="22"/>
          <w:szCs w:val="22"/>
          <w:lang w:val="en-AU"/>
        </w:rPr>
        <w:t xml:space="preserve">including dose interruptions, </w:t>
      </w:r>
      <w:r w:rsidRPr="00F77E74">
        <w:rPr>
          <w:sz w:val="22"/>
          <w:szCs w:val="22"/>
          <w:lang w:val="en-AU"/>
        </w:rPr>
        <w:t xml:space="preserve">or for 1 week following discontinuation of </w:t>
      </w:r>
      <w:proofErr w:type="spellStart"/>
      <w:r>
        <w:rPr>
          <w:sz w:val="22"/>
          <w:szCs w:val="22"/>
          <w:lang w:val="en-AU"/>
        </w:rPr>
        <w:t>pomalidomide</w:t>
      </w:r>
      <w:proofErr w:type="spellEnd"/>
      <w:r w:rsidRPr="00F77E74">
        <w:rPr>
          <w:sz w:val="22"/>
          <w:szCs w:val="22"/>
          <w:lang w:val="en-AU"/>
        </w:rPr>
        <w:t>.</w:t>
      </w:r>
      <w:r w:rsidR="00C04E1F">
        <w:rPr>
          <w:sz w:val="22"/>
          <w:szCs w:val="22"/>
          <w:lang w:val="en-AU"/>
        </w:rPr>
        <w:t xml:space="preserve">  In Australia, patients with myeloma are permanently excluded from donating blood.</w:t>
      </w:r>
    </w:p>
    <w:p w:rsidR="00F71750" w:rsidRPr="001F36F9" w:rsidRDefault="006E4EEA" w:rsidP="00336C61">
      <w:pPr>
        <w:pStyle w:val="BodyText2"/>
        <w:keepNext/>
        <w:numPr>
          <w:ilvl w:val="1"/>
          <w:numId w:val="46"/>
        </w:numPr>
        <w:tabs>
          <w:tab w:val="clear" w:pos="567"/>
        </w:tabs>
        <w:spacing w:line="240" w:lineRule="auto"/>
        <w:ind w:left="851" w:hanging="851"/>
        <w:jc w:val="both"/>
        <w:rPr>
          <w:sz w:val="24"/>
          <w:szCs w:val="24"/>
          <w:lang w:val="en-AU"/>
        </w:rPr>
      </w:pPr>
      <w:r w:rsidRPr="001F36F9">
        <w:rPr>
          <w:sz w:val="24"/>
          <w:szCs w:val="24"/>
          <w:lang w:val="en-AU"/>
        </w:rPr>
        <w:lastRenderedPageBreak/>
        <w:t>Use during lactation</w:t>
      </w:r>
    </w:p>
    <w:p w:rsidR="00CE32D8" w:rsidRDefault="00C6142D" w:rsidP="006736E8">
      <w:pPr>
        <w:pStyle w:val="BodyText2"/>
        <w:spacing w:before="120" w:line="240" w:lineRule="auto"/>
        <w:jc w:val="both"/>
        <w:rPr>
          <w:b w:val="0"/>
          <w:bCs w:val="0"/>
          <w:szCs w:val="22"/>
          <w:lang w:val="en-AU"/>
        </w:rPr>
      </w:pPr>
      <w:r w:rsidRPr="00C6142D">
        <w:rPr>
          <w:b w:val="0"/>
          <w:bCs w:val="0"/>
          <w:szCs w:val="22"/>
          <w:lang w:val="en-AU"/>
        </w:rPr>
        <w:t xml:space="preserve">It is not known if </w:t>
      </w:r>
      <w:proofErr w:type="spellStart"/>
      <w:r w:rsidRPr="00C6142D">
        <w:rPr>
          <w:b w:val="0"/>
          <w:bCs w:val="0"/>
          <w:szCs w:val="22"/>
          <w:lang w:val="en-AU"/>
        </w:rPr>
        <w:t>pomalidomide</w:t>
      </w:r>
      <w:proofErr w:type="spellEnd"/>
      <w:r w:rsidRPr="00C6142D">
        <w:rPr>
          <w:b w:val="0"/>
          <w:bCs w:val="0"/>
          <w:szCs w:val="22"/>
          <w:lang w:val="en-AU"/>
        </w:rPr>
        <w:t xml:space="preserve"> is excreted in human milk.</w:t>
      </w:r>
      <w:r w:rsidR="00AA192D">
        <w:rPr>
          <w:b w:val="0"/>
          <w:bCs w:val="0"/>
          <w:szCs w:val="22"/>
          <w:lang w:val="en-AU"/>
        </w:rPr>
        <w:t xml:space="preserve"> </w:t>
      </w:r>
      <w:r w:rsidRPr="00C6142D">
        <w:rPr>
          <w:b w:val="0"/>
          <w:bCs w:val="0"/>
          <w:szCs w:val="22"/>
          <w:lang w:val="en-AU"/>
        </w:rPr>
        <w:t xml:space="preserve"> </w:t>
      </w:r>
      <w:proofErr w:type="spellStart"/>
      <w:r w:rsidRPr="00C6142D">
        <w:rPr>
          <w:b w:val="0"/>
          <w:bCs w:val="0"/>
          <w:szCs w:val="22"/>
          <w:lang w:val="en-AU"/>
        </w:rPr>
        <w:t>Pomalidomide</w:t>
      </w:r>
      <w:proofErr w:type="spellEnd"/>
      <w:r w:rsidRPr="00C6142D">
        <w:rPr>
          <w:b w:val="0"/>
          <w:bCs w:val="0"/>
          <w:szCs w:val="22"/>
          <w:lang w:val="en-AU"/>
        </w:rPr>
        <w:t xml:space="preserve"> was detected in milk of lactating</w:t>
      </w:r>
      <w:r>
        <w:rPr>
          <w:b w:val="0"/>
          <w:bCs w:val="0"/>
          <w:szCs w:val="22"/>
          <w:lang w:val="en-AU"/>
        </w:rPr>
        <w:t xml:space="preserve"> </w:t>
      </w:r>
      <w:r w:rsidRPr="00C6142D">
        <w:rPr>
          <w:b w:val="0"/>
          <w:bCs w:val="0"/>
          <w:szCs w:val="22"/>
          <w:lang w:val="en-AU"/>
        </w:rPr>
        <w:t xml:space="preserve">rats following administration to the mother. </w:t>
      </w:r>
      <w:r w:rsidR="00AA192D">
        <w:rPr>
          <w:b w:val="0"/>
          <w:bCs w:val="0"/>
          <w:szCs w:val="22"/>
          <w:lang w:val="en-AU"/>
        </w:rPr>
        <w:t xml:space="preserve"> </w:t>
      </w:r>
      <w:r w:rsidRPr="00C6142D">
        <w:rPr>
          <w:b w:val="0"/>
          <w:bCs w:val="0"/>
          <w:szCs w:val="22"/>
          <w:lang w:val="en-AU"/>
        </w:rPr>
        <w:t>Because of the potential for adverse reactions in nursing infants</w:t>
      </w:r>
      <w:r>
        <w:rPr>
          <w:b w:val="0"/>
          <w:bCs w:val="0"/>
          <w:szCs w:val="22"/>
          <w:lang w:val="en-AU"/>
        </w:rPr>
        <w:t xml:space="preserve"> </w:t>
      </w:r>
      <w:r w:rsidRPr="00C6142D">
        <w:rPr>
          <w:b w:val="0"/>
          <w:bCs w:val="0"/>
          <w:szCs w:val="22"/>
          <w:lang w:val="en-AU"/>
        </w:rPr>
        <w:t xml:space="preserve">from </w:t>
      </w:r>
      <w:proofErr w:type="spellStart"/>
      <w:r w:rsidRPr="00C6142D">
        <w:rPr>
          <w:b w:val="0"/>
          <w:bCs w:val="0"/>
          <w:szCs w:val="22"/>
          <w:lang w:val="en-AU"/>
        </w:rPr>
        <w:t>pomalidomide</w:t>
      </w:r>
      <w:proofErr w:type="spellEnd"/>
      <w:r w:rsidRPr="00C6142D">
        <w:rPr>
          <w:b w:val="0"/>
          <w:bCs w:val="0"/>
          <w:szCs w:val="22"/>
          <w:lang w:val="en-AU"/>
        </w:rPr>
        <w:t xml:space="preserve">, a decision should be made whether to discontinue nursing or to discontinue the </w:t>
      </w:r>
      <w:r w:rsidR="00AD2839">
        <w:rPr>
          <w:b w:val="0"/>
          <w:bCs w:val="0"/>
          <w:szCs w:val="22"/>
          <w:lang w:val="en-AU"/>
        </w:rPr>
        <w:t>medicine</w:t>
      </w:r>
      <w:r w:rsidRPr="00C6142D">
        <w:rPr>
          <w:b w:val="0"/>
          <w:bCs w:val="0"/>
          <w:szCs w:val="22"/>
          <w:lang w:val="en-AU"/>
        </w:rPr>
        <w:t>,</w:t>
      </w:r>
      <w:r>
        <w:rPr>
          <w:b w:val="0"/>
          <w:bCs w:val="0"/>
          <w:szCs w:val="22"/>
          <w:lang w:val="en-AU"/>
        </w:rPr>
        <w:t xml:space="preserve"> </w:t>
      </w:r>
      <w:r w:rsidRPr="00C6142D">
        <w:rPr>
          <w:b w:val="0"/>
          <w:bCs w:val="0"/>
          <w:szCs w:val="22"/>
          <w:lang w:val="en-AU"/>
        </w:rPr>
        <w:t xml:space="preserve">taking into account the importance of the </w:t>
      </w:r>
      <w:r w:rsidR="00AD2839">
        <w:rPr>
          <w:b w:val="0"/>
          <w:bCs w:val="0"/>
          <w:szCs w:val="22"/>
          <w:lang w:val="en-AU"/>
        </w:rPr>
        <w:t>medicine</w:t>
      </w:r>
      <w:r w:rsidRPr="00C6142D">
        <w:rPr>
          <w:b w:val="0"/>
          <w:bCs w:val="0"/>
          <w:szCs w:val="22"/>
          <w:lang w:val="en-AU"/>
        </w:rPr>
        <w:t xml:space="preserve"> to the mother.</w:t>
      </w:r>
    </w:p>
    <w:p w:rsidR="0028202F" w:rsidRPr="00F77E74" w:rsidRDefault="0028202F" w:rsidP="0028202F">
      <w:pPr>
        <w:pStyle w:val="BodyText2"/>
        <w:spacing w:line="240" w:lineRule="auto"/>
        <w:jc w:val="both"/>
        <w:rPr>
          <w:b w:val="0"/>
          <w:szCs w:val="22"/>
          <w:lang w:val="en-AU"/>
        </w:rPr>
      </w:pPr>
    </w:p>
    <w:p w:rsidR="00F71750" w:rsidRPr="0028202F" w:rsidRDefault="006E4EEA" w:rsidP="0028202F">
      <w:pPr>
        <w:pStyle w:val="BodyText2"/>
        <w:keepNext/>
        <w:numPr>
          <w:ilvl w:val="1"/>
          <w:numId w:val="46"/>
        </w:numPr>
        <w:tabs>
          <w:tab w:val="clear" w:pos="567"/>
          <w:tab w:val="left" w:pos="851"/>
        </w:tabs>
        <w:ind w:left="851" w:hanging="851"/>
        <w:jc w:val="both"/>
        <w:rPr>
          <w:sz w:val="24"/>
          <w:szCs w:val="24"/>
          <w:lang w:val="en-AU"/>
        </w:rPr>
      </w:pPr>
      <w:r w:rsidRPr="0028202F">
        <w:rPr>
          <w:sz w:val="24"/>
          <w:szCs w:val="24"/>
          <w:lang w:val="en-AU"/>
        </w:rPr>
        <w:t>Paediatric use</w:t>
      </w:r>
    </w:p>
    <w:p w:rsidR="006E4EEA" w:rsidRPr="00F77E74" w:rsidRDefault="006E4EEA" w:rsidP="009D29AF">
      <w:pPr>
        <w:spacing w:before="120"/>
        <w:rPr>
          <w:sz w:val="22"/>
          <w:szCs w:val="22"/>
          <w:lang w:val="en-AU"/>
        </w:rPr>
      </w:pPr>
      <w:r w:rsidRPr="00F77E74">
        <w:rPr>
          <w:sz w:val="22"/>
          <w:szCs w:val="22"/>
          <w:lang w:val="en-AU"/>
        </w:rPr>
        <w:t xml:space="preserve">There is no experience in treating children and adolescents with </w:t>
      </w:r>
      <w:proofErr w:type="spellStart"/>
      <w:r w:rsidR="00AA192D">
        <w:rPr>
          <w:sz w:val="22"/>
          <w:szCs w:val="22"/>
          <w:lang w:val="en-AU"/>
        </w:rPr>
        <w:t>pomalidomide</w:t>
      </w:r>
      <w:proofErr w:type="spellEnd"/>
      <w:r w:rsidRPr="00F77E74">
        <w:rPr>
          <w:sz w:val="22"/>
          <w:szCs w:val="22"/>
          <w:lang w:val="en-AU"/>
        </w:rPr>
        <w:t>.</w:t>
      </w:r>
      <w:r w:rsidR="00AA192D">
        <w:rPr>
          <w:sz w:val="22"/>
          <w:szCs w:val="22"/>
          <w:lang w:val="en-AU"/>
        </w:rPr>
        <w:t xml:space="preserve"> </w:t>
      </w:r>
      <w:r w:rsidRPr="00F77E74">
        <w:rPr>
          <w:sz w:val="22"/>
          <w:szCs w:val="22"/>
          <w:lang w:val="en-AU"/>
        </w:rPr>
        <w:t xml:space="preserve"> Therefore, </w:t>
      </w:r>
      <w:proofErr w:type="spellStart"/>
      <w:r w:rsidR="007F0C77">
        <w:rPr>
          <w:sz w:val="22"/>
          <w:szCs w:val="22"/>
          <w:lang w:val="en-AU"/>
        </w:rPr>
        <w:t>pomalidomide</w:t>
      </w:r>
      <w:proofErr w:type="spellEnd"/>
      <w:r w:rsidRPr="00F77E74">
        <w:rPr>
          <w:sz w:val="22"/>
          <w:szCs w:val="22"/>
          <w:lang w:val="en-AU"/>
        </w:rPr>
        <w:t xml:space="preserve"> should not be used in the paediatric age group (0-18 years).</w:t>
      </w:r>
    </w:p>
    <w:p w:rsidR="00CE32D8" w:rsidRPr="001F36F9" w:rsidRDefault="00CE32D8" w:rsidP="006E4EEA">
      <w:pPr>
        <w:jc w:val="both"/>
        <w:rPr>
          <w:sz w:val="22"/>
          <w:szCs w:val="22"/>
          <w:lang w:val="en-AU"/>
        </w:rPr>
      </w:pPr>
    </w:p>
    <w:p w:rsidR="00F71750" w:rsidRPr="005734FB" w:rsidRDefault="006E4EEA" w:rsidP="00336C61">
      <w:pPr>
        <w:pStyle w:val="BodyText2"/>
        <w:keepNext/>
        <w:numPr>
          <w:ilvl w:val="1"/>
          <w:numId w:val="46"/>
        </w:numPr>
        <w:tabs>
          <w:tab w:val="clear" w:pos="567"/>
        </w:tabs>
        <w:spacing w:line="240" w:lineRule="auto"/>
        <w:ind w:left="851" w:hanging="851"/>
        <w:jc w:val="both"/>
        <w:rPr>
          <w:sz w:val="24"/>
          <w:szCs w:val="24"/>
          <w:lang w:val="en-AU"/>
        </w:rPr>
      </w:pPr>
      <w:r w:rsidRPr="005734FB">
        <w:rPr>
          <w:sz w:val="24"/>
          <w:szCs w:val="24"/>
          <w:lang w:val="en-AU"/>
        </w:rPr>
        <w:t>Use in the elderly</w:t>
      </w:r>
    </w:p>
    <w:p w:rsidR="00E259CA" w:rsidRDefault="00E33242" w:rsidP="00BE7837">
      <w:pPr>
        <w:spacing w:before="120"/>
        <w:rPr>
          <w:sz w:val="22"/>
          <w:szCs w:val="22"/>
          <w:lang w:val="en-AU"/>
        </w:rPr>
      </w:pPr>
      <w:r>
        <w:rPr>
          <w:sz w:val="22"/>
          <w:szCs w:val="22"/>
        </w:rPr>
        <w:t xml:space="preserve">The effects of age on the pharmacokinetics of </w:t>
      </w:r>
      <w:proofErr w:type="spellStart"/>
      <w:r>
        <w:rPr>
          <w:sz w:val="22"/>
          <w:szCs w:val="22"/>
        </w:rPr>
        <w:t>pomalidomide</w:t>
      </w:r>
      <w:proofErr w:type="spellEnd"/>
      <w:r>
        <w:rPr>
          <w:sz w:val="22"/>
          <w:szCs w:val="22"/>
        </w:rPr>
        <w:t xml:space="preserve"> have not been studied.  </w:t>
      </w:r>
      <w:proofErr w:type="spellStart"/>
      <w:r>
        <w:rPr>
          <w:sz w:val="22"/>
          <w:szCs w:val="22"/>
        </w:rPr>
        <w:t>Pomalidomide</w:t>
      </w:r>
      <w:proofErr w:type="spellEnd"/>
      <w:r w:rsidR="00986466">
        <w:rPr>
          <w:sz w:val="22"/>
          <w:szCs w:val="22"/>
        </w:rPr>
        <w:t xml:space="preserve"> has been used in</w:t>
      </w:r>
      <w:r>
        <w:rPr>
          <w:sz w:val="22"/>
          <w:szCs w:val="22"/>
        </w:rPr>
        <w:t xml:space="preserve"> multiple myeloma patients up to 87 years of age in the Phase III clinical trial. </w:t>
      </w:r>
      <w:r w:rsidR="00986466">
        <w:rPr>
          <w:sz w:val="22"/>
          <w:szCs w:val="22"/>
        </w:rPr>
        <w:t xml:space="preserve">  For </w:t>
      </w:r>
      <w:proofErr w:type="gramStart"/>
      <w:r w:rsidR="00986466">
        <w:rPr>
          <w:sz w:val="22"/>
          <w:szCs w:val="22"/>
        </w:rPr>
        <w:t>patients</w:t>
      </w:r>
      <w:proofErr w:type="gramEnd"/>
      <w:r w:rsidR="00986466">
        <w:rPr>
          <w:sz w:val="22"/>
          <w:szCs w:val="22"/>
        </w:rPr>
        <w:t xml:space="preserve"> ≥ 75 years of age, a lower dose of dexamethasone is recommended: see section </w:t>
      </w:r>
      <w:r w:rsidR="00826E56">
        <w:rPr>
          <w:sz w:val="22"/>
          <w:szCs w:val="22"/>
        </w:rPr>
        <w:t>10-</w:t>
      </w:r>
      <w:r w:rsidR="00986466">
        <w:rPr>
          <w:sz w:val="22"/>
          <w:szCs w:val="22"/>
        </w:rPr>
        <w:t>Dosage and Administration.</w:t>
      </w:r>
    </w:p>
    <w:p w:rsidR="004E7E9E" w:rsidRPr="00F77E74" w:rsidRDefault="004E7E9E" w:rsidP="00E259CA">
      <w:pPr>
        <w:jc w:val="both"/>
        <w:rPr>
          <w:sz w:val="22"/>
          <w:szCs w:val="22"/>
          <w:lang w:val="en-AU"/>
        </w:rPr>
      </w:pPr>
    </w:p>
    <w:p w:rsidR="00F71750" w:rsidRPr="001F36F9" w:rsidRDefault="00F71750" w:rsidP="00336C61">
      <w:pPr>
        <w:pStyle w:val="ListParagraph"/>
        <w:keepNext/>
        <w:numPr>
          <w:ilvl w:val="1"/>
          <w:numId w:val="46"/>
        </w:numPr>
        <w:ind w:left="851" w:hanging="851"/>
        <w:jc w:val="both"/>
        <w:rPr>
          <w:b/>
          <w:lang w:val="en-AU"/>
        </w:rPr>
      </w:pPr>
      <w:proofErr w:type="spellStart"/>
      <w:r w:rsidRPr="001F36F9">
        <w:rPr>
          <w:b/>
          <w:lang w:val="en-AU"/>
        </w:rPr>
        <w:t>Genotoxicity</w:t>
      </w:r>
      <w:proofErr w:type="spellEnd"/>
    </w:p>
    <w:p w:rsidR="00210422" w:rsidRDefault="00430A9E" w:rsidP="00430A9E">
      <w:pPr>
        <w:pStyle w:val="BodyText2"/>
        <w:spacing w:before="120" w:line="240" w:lineRule="auto"/>
        <w:rPr>
          <w:b w:val="0"/>
          <w:bCs w:val="0"/>
          <w:iCs/>
          <w:szCs w:val="22"/>
          <w:lang w:val="en-AU"/>
        </w:rPr>
      </w:pPr>
      <w:proofErr w:type="spellStart"/>
      <w:r w:rsidRPr="00430A9E">
        <w:rPr>
          <w:b w:val="0"/>
          <w:bCs w:val="0"/>
          <w:iCs/>
          <w:szCs w:val="22"/>
          <w:lang w:val="en-AU"/>
        </w:rPr>
        <w:t>Pomalidomide</w:t>
      </w:r>
      <w:proofErr w:type="spellEnd"/>
      <w:r w:rsidRPr="00430A9E">
        <w:rPr>
          <w:b w:val="0"/>
          <w:bCs w:val="0"/>
          <w:iCs/>
          <w:szCs w:val="22"/>
          <w:lang w:val="en-AU"/>
        </w:rPr>
        <w:t xml:space="preserve"> was not mutagenic in bacterial and mammalian mutation assays, and did not induce</w:t>
      </w:r>
      <w:r>
        <w:rPr>
          <w:b w:val="0"/>
          <w:bCs w:val="0"/>
          <w:iCs/>
          <w:szCs w:val="22"/>
          <w:lang w:val="en-AU"/>
        </w:rPr>
        <w:t xml:space="preserve"> </w:t>
      </w:r>
      <w:r w:rsidRPr="00430A9E">
        <w:rPr>
          <w:b w:val="0"/>
          <w:bCs w:val="0"/>
          <w:iCs/>
          <w:szCs w:val="22"/>
          <w:lang w:val="en-AU"/>
        </w:rPr>
        <w:t>chromosomal aberrations in human peripheral blood lymphocytes or micronuclei formation in polychromatic</w:t>
      </w:r>
      <w:r>
        <w:rPr>
          <w:b w:val="0"/>
          <w:bCs w:val="0"/>
          <w:iCs/>
          <w:szCs w:val="22"/>
          <w:lang w:val="en-AU"/>
        </w:rPr>
        <w:t xml:space="preserve"> </w:t>
      </w:r>
      <w:r w:rsidRPr="00430A9E">
        <w:rPr>
          <w:b w:val="0"/>
          <w:bCs w:val="0"/>
          <w:iCs/>
          <w:szCs w:val="22"/>
          <w:lang w:val="en-AU"/>
        </w:rPr>
        <w:t>erythrocytes in bone marrow of rat</w:t>
      </w:r>
      <w:r>
        <w:rPr>
          <w:b w:val="0"/>
          <w:bCs w:val="0"/>
          <w:iCs/>
          <w:szCs w:val="22"/>
          <w:lang w:val="en-AU"/>
        </w:rPr>
        <w:t>s administered doses up to 2000 </w:t>
      </w:r>
      <w:r w:rsidRPr="00430A9E">
        <w:rPr>
          <w:b w:val="0"/>
          <w:bCs w:val="0"/>
          <w:iCs/>
          <w:szCs w:val="22"/>
          <w:lang w:val="en-AU"/>
        </w:rPr>
        <w:t xml:space="preserve">mg/kg/day. </w:t>
      </w:r>
    </w:p>
    <w:p w:rsidR="00CE32D8" w:rsidRPr="005734FB" w:rsidRDefault="00CE32D8" w:rsidP="005734FB">
      <w:pPr>
        <w:jc w:val="both"/>
        <w:rPr>
          <w:sz w:val="22"/>
          <w:szCs w:val="22"/>
          <w:lang w:val="en-AU"/>
        </w:rPr>
      </w:pPr>
    </w:p>
    <w:p w:rsidR="00775A85" w:rsidRDefault="00775A85" w:rsidP="00336C61">
      <w:pPr>
        <w:pStyle w:val="ListParagraph"/>
        <w:keepNext/>
        <w:numPr>
          <w:ilvl w:val="1"/>
          <w:numId w:val="46"/>
        </w:numPr>
        <w:ind w:left="851" w:hanging="851"/>
        <w:jc w:val="both"/>
        <w:rPr>
          <w:b/>
          <w:lang w:val="en-AU"/>
        </w:rPr>
      </w:pPr>
      <w:r w:rsidRPr="001F36F9">
        <w:rPr>
          <w:b/>
          <w:lang w:val="en-AU"/>
        </w:rPr>
        <w:t>Carcinogenicity</w:t>
      </w:r>
    </w:p>
    <w:p w:rsidR="00775A85" w:rsidRPr="00430A9E" w:rsidRDefault="00775A85" w:rsidP="00755236">
      <w:pPr>
        <w:pStyle w:val="BodyText2"/>
        <w:tabs>
          <w:tab w:val="clear" w:pos="567"/>
          <w:tab w:val="left" w:pos="0"/>
        </w:tabs>
        <w:spacing w:before="120" w:line="240" w:lineRule="auto"/>
        <w:rPr>
          <w:b w:val="0"/>
          <w:szCs w:val="22"/>
          <w:lang w:val="en-AU"/>
        </w:rPr>
      </w:pPr>
      <w:r w:rsidRPr="00430A9E">
        <w:rPr>
          <w:b w:val="0"/>
          <w:bCs w:val="0"/>
          <w:iCs/>
          <w:szCs w:val="22"/>
          <w:lang w:val="en-AU"/>
        </w:rPr>
        <w:t>Carcinogenicity studies have</w:t>
      </w:r>
      <w:r>
        <w:rPr>
          <w:b w:val="0"/>
          <w:bCs w:val="0"/>
          <w:iCs/>
          <w:szCs w:val="22"/>
          <w:lang w:val="en-AU"/>
        </w:rPr>
        <w:t xml:space="preserve"> </w:t>
      </w:r>
      <w:r w:rsidRPr="00430A9E">
        <w:rPr>
          <w:b w:val="0"/>
          <w:bCs w:val="0"/>
          <w:iCs/>
          <w:szCs w:val="22"/>
          <w:lang w:val="en-AU"/>
        </w:rPr>
        <w:t>not been conducted.</w:t>
      </w:r>
    </w:p>
    <w:p w:rsidR="00336C61" w:rsidRPr="00775A85" w:rsidRDefault="00336C61" w:rsidP="00775A85">
      <w:pPr>
        <w:rPr>
          <w:lang w:val="en-AU"/>
        </w:rPr>
      </w:pPr>
    </w:p>
    <w:p w:rsidR="00F71750" w:rsidRPr="00336C61" w:rsidRDefault="00336C61" w:rsidP="00D423EA">
      <w:pPr>
        <w:keepNext/>
        <w:ind w:left="851" w:hanging="851"/>
        <w:jc w:val="both"/>
        <w:rPr>
          <w:b/>
          <w:lang w:val="en-AU"/>
        </w:rPr>
      </w:pPr>
      <w:r w:rsidRPr="00336C61">
        <w:rPr>
          <w:b/>
          <w:lang w:val="en-AU"/>
        </w:rPr>
        <w:t>7.8</w:t>
      </w:r>
      <w:r w:rsidRPr="00336C61">
        <w:rPr>
          <w:b/>
          <w:lang w:val="en-AU"/>
        </w:rPr>
        <w:tab/>
      </w:r>
      <w:r w:rsidR="00FA4343" w:rsidRPr="00336C61">
        <w:rPr>
          <w:b/>
          <w:lang w:val="en-AU"/>
        </w:rPr>
        <w:t>Thromboembolic events</w:t>
      </w:r>
    </w:p>
    <w:p w:rsidR="00FA4343" w:rsidRDefault="00A112D9" w:rsidP="00986466">
      <w:pPr>
        <w:spacing w:before="120"/>
        <w:rPr>
          <w:sz w:val="22"/>
          <w:szCs w:val="22"/>
        </w:rPr>
      </w:pPr>
      <w:r w:rsidRPr="00A112D9">
        <w:rPr>
          <w:sz w:val="22"/>
          <w:szCs w:val="22"/>
        </w:rPr>
        <w:t xml:space="preserve">Patients receiving </w:t>
      </w:r>
      <w:proofErr w:type="spellStart"/>
      <w:r w:rsidRPr="00A112D9">
        <w:rPr>
          <w:sz w:val="22"/>
          <w:szCs w:val="22"/>
        </w:rPr>
        <w:t>pomalidomide</w:t>
      </w:r>
      <w:proofErr w:type="spellEnd"/>
      <w:r w:rsidRPr="00A112D9">
        <w:rPr>
          <w:sz w:val="22"/>
          <w:szCs w:val="22"/>
        </w:rPr>
        <w:t xml:space="preserve"> have developed venous thromb</w:t>
      </w:r>
      <w:r w:rsidRPr="00986466">
        <w:rPr>
          <w:sz w:val="22"/>
          <w:szCs w:val="22"/>
        </w:rPr>
        <w:t>oembolic events (VTE) reported as serious adverse events.  Anti-coagulation therapy (unless contraindicated) is recommended</w:t>
      </w:r>
      <w:r w:rsidR="00423044" w:rsidRPr="00986466">
        <w:rPr>
          <w:sz w:val="22"/>
          <w:szCs w:val="22"/>
        </w:rPr>
        <w:t xml:space="preserve"> (such as aspirin, warfarin, heparin or </w:t>
      </w:r>
      <w:proofErr w:type="spellStart"/>
      <w:r w:rsidR="00423044" w:rsidRPr="00986466">
        <w:rPr>
          <w:sz w:val="22"/>
          <w:szCs w:val="22"/>
        </w:rPr>
        <w:t>clopidogrel</w:t>
      </w:r>
      <w:proofErr w:type="spellEnd"/>
      <w:r w:rsidR="00423044" w:rsidRPr="00986466">
        <w:rPr>
          <w:sz w:val="22"/>
          <w:szCs w:val="22"/>
        </w:rPr>
        <w:t>)</w:t>
      </w:r>
      <w:r w:rsidRPr="00986466">
        <w:rPr>
          <w:sz w:val="22"/>
          <w:szCs w:val="22"/>
        </w:rPr>
        <w:t>.</w:t>
      </w:r>
      <w:r w:rsidRPr="00A112D9">
        <w:rPr>
          <w:sz w:val="22"/>
          <w:szCs w:val="22"/>
        </w:rPr>
        <w:t xml:space="preserve">  A decision to take prophylactic measures should be made carefully after an assessment of an individual patient’s underlying risk factors.  </w:t>
      </w:r>
    </w:p>
    <w:p w:rsidR="00CE32D8" w:rsidRPr="00A112D9" w:rsidRDefault="00CE32D8" w:rsidP="00CE32D8">
      <w:pPr>
        <w:jc w:val="both"/>
        <w:rPr>
          <w:sz w:val="22"/>
          <w:szCs w:val="22"/>
          <w:lang w:val="en-AU"/>
        </w:rPr>
      </w:pPr>
    </w:p>
    <w:p w:rsidR="007C5BFD" w:rsidRPr="001F36F9" w:rsidRDefault="00BB28B7" w:rsidP="00336C61">
      <w:pPr>
        <w:pStyle w:val="ListParagraph"/>
        <w:numPr>
          <w:ilvl w:val="1"/>
          <w:numId w:val="47"/>
        </w:numPr>
        <w:ind w:left="851" w:hanging="851"/>
        <w:rPr>
          <w:b/>
          <w:lang w:val="en-AU"/>
        </w:rPr>
      </w:pPr>
      <w:r w:rsidRPr="001F36F9">
        <w:rPr>
          <w:b/>
          <w:lang w:val="en-AU"/>
        </w:rPr>
        <w:t>Haematological</w:t>
      </w:r>
      <w:r w:rsidR="000A620D" w:rsidRPr="001F36F9">
        <w:rPr>
          <w:b/>
          <w:lang w:val="en-AU"/>
        </w:rPr>
        <w:t xml:space="preserve"> </w:t>
      </w:r>
      <w:r w:rsidR="00FA4343">
        <w:rPr>
          <w:b/>
          <w:lang w:val="en-AU"/>
        </w:rPr>
        <w:t>events</w:t>
      </w:r>
    </w:p>
    <w:p w:rsidR="00587918" w:rsidRDefault="00A112D9" w:rsidP="00DC09FF">
      <w:pPr>
        <w:pStyle w:val="C-BodyText"/>
        <w:spacing w:after="0"/>
        <w:rPr>
          <w:sz w:val="22"/>
          <w:szCs w:val="22"/>
        </w:rPr>
      </w:pPr>
      <w:r w:rsidRPr="00A112D9">
        <w:rPr>
          <w:sz w:val="22"/>
          <w:szCs w:val="22"/>
        </w:rPr>
        <w:t>Neutropenia was the most frequently reported</w:t>
      </w:r>
      <w:r w:rsidR="00273F5C">
        <w:rPr>
          <w:sz w:val="22"/>
          <w:szCs w:val="22"/>
        </w:rPr>
        <w:t xml:space="preserve"> Grade 3/4 hematologic adverse </w:t>
      </w:r>
      <w:r w:rsidRPr="00A112D9">
        <w:rPr>
          <w:sz w:val="22"/>
          <w:szCs w:val="22"/>
        </w:rPr>
        <w:t xml:space="preserve">reaction in subjects with relapsed/refractory multiple myeloma, followed by </w:t>
      </w:r>
      <w:proofErr w:type="spellStart"/>
      <w:r w:rsidRPr="00A112D9">
        <w:rPr>
          <w:sz w:val="22"/>
          <w:szCs w:val="22"/>
        </w:rPr>
        <w:t>an</w:t>
      </w:r>
      <w:r w:rsidR="00273F5C">
        <w:rPr>
          <w:sz w:val="22"/>
          <w:szCs w:val="22"/>
        </w:rPr>
        <w:t>a</w:t>
      </w:r>
      <w:r w:rsidRPr="00A112D9">
        <w:rPr>
          <w:sz w:val="22"/>
          <w:szCs w:val="22"/>
        </w:rPr>
        <w:t>emia</w:t>
      </w:r>
      <w:proofErr w:type="spellEnd"/>
      <w:r w:rsidRPr="00A112D9">
        <w:rPr>
          <w:sz w:val="22"/>
          <w:szCs w:val="22"/>
        </w:rPr>
        <w:t xml:space="preserve"> and thrombocytopenia.</w:t>
      </w:r>
    </w:p>
    <w:p w:rsidR="00587918" w:rsidRPr="00C50599" w:rsidRDefault="00587918" w:rsidP="00587918">
      <w:pPr>
        <w:autoSpaceDE w:val="0"/>
        <w:autoSpaceDN w:val="0"/>
        <w:adjustRightInd w:val="0"/>
        <w:spacing w:before="120"/>
        <w:rPr>
          <w:rFonts w:eastAsia="TimesNewRoman"/>
          <w:sz w:val="22"/>
          <w:szCs w:val="22"/>
          <w:lang w:eastAsia="zh-CN"/>
        </w:rPr>
      </w:pPr>
      <w:r w:rsidRPr="00C50599">
        <w:rPr>
          <w:rFonts w:eastAsia="TimesNewRoman"/>
          <w:sz w:val="22"/>
          <w:szCs w:val="22"/>
          <w:lang w:eastAsia="zh-CN"/>
        </w:rPr>
        <w:t xml:space="preserve">Grade 3 or 4 </w:t>
      </w:r>
      <w:r>
        <w:rPr>
          <w:rFonts w:eastAsia="TimesNewRoman"/>
          <w:sz w:val="22"/>
          <w:szCs w:val="22"/>
          <w:lang w:eastAsia="zh-CN"/>
        </w:rPr>
        <w:t>n</w:t>
      </w:r>
      <w:r w:rsidRPr="00C50599">
        <w:rPr>
          <w:rFonts w:eastAsia="TimesNewRoman"/>
          <w:sz w:val="22"/>
          <w:szCs w:val="22"/>
          <w:lang w:eastAsia="zh-CN"/>
        </w:rPr>
        <w:t xml:space="preserve">eutropenia occurred in 41.7% of patients who received </w:t>
      </w:r>
      <w:proofErr w:type="spellStart"/>
      <w:r w:rsidRPr="00C50599">
        <w:rPr>
          <w:rFonts w:eastAsia="TimesNewRoman"/>
          <w:sz w:val="22"/>
          <w:szCs w:val="22"/>
          <w:lang w:eastAsia="zh-CN"/>
        </w:rPr>
        <w:t>Pom</w:t>
      </w:r>
      <w:proofErr w:type="spellEnd"/>
      <w:r w:rsidR="004F54EF">
        <w:rPr>
          <w:rFonts w:eastAsia="TimesNewRoman"/>
          <w:sz w:val="22"/>
          <w:szCs w:val="22"/>
          <w:lang w:eastAsia="zh-CN"/>
        </w:rPr>
        <w:t> </w:t>
      </w:r>
      <w:r w:rsidRPr="00C50599">
        <w:rPr>
          <w:rFonts w:eastAsia="TimesNewRoman"/>
          <w:sz w:val="22"/>
          <w:szCs w:val="22"/>
          <w:lang w:eastAsia="zh-CN"/>
        </w:rPr>
        <w:t>+</w:t>
      </w:r>
      <w:r w:rsidR="004F54EF">
        <w:rPr>
          <w:rFonts w:eastAsia="TimesNewRoman"/>
          <w:sz w:val="22"/>
          <w:szCs w:val="22"/>
          <w:lang w:eastAsia="zh-CN"/>
        </w:rPr>
        <w:t> </w:t>
      </w:r>
      <w:r w:rsidRPr="00C50599">
        <w:rPr>
          <w:rFonts w:eastAsia="TimesNewRoman"/>
          <w:sz w:val="22"/>
          <w:szCs w:val="22"/>
          <w:lang w:eastAsia="zh-CN"/>
        </w:rPr>
        <w:t>LD-</w:t>
      </w:r>
      <w:proofErr w:type="spellStart"/>
      <w:r w:rsidR="004F54EF">
        <w:rPr>
          <w:rFonts w:eastAsia="TimesNewRoman"/>
          <w:sz w:val="22"/>
          <w:szCs w:val="22"/>
          <w:lang w:eastAsia="zh-CN"/>
        </w:rPr>
        <w:t>d</w:t>
      </w:r>
      <w:r w:rsidRPr="00C50599">
        <w:rPr>
          <w:rFonts w:eastAsia="TimesNewRoman"/>
          <w:sz w:val="22"/>
          <w:szCs w:val="22"/>
          <w:lang w:eastAsia="zh-CN"/>
        </w:rPr>
        <w:t>ex</w:t>
      </w:r>
      <w:proofErr w:type="spellEnd"/>
      <w:r w:rsidRPr="00C50599">
        <w:rPr>
          <w:rFonts w:eastAsia="TimesNewRoman"/>
          <w:sz w:val="22"/>
          <w:szCs w:val="22"/>
          <w:lang w:eastAsia="zh-CN"/>
        </w:rPr>
        <w:t>, compared with 14.8% who received HD-</w:t>
      </w:r>
      <w:proofErr w:type="spellStart"/>
      <w:r w:rsidR="004F54EF">
        <w:rPr>
          <w:rFonts w:eastAsia="TimesNewRoman"/>
          <w:sz w:val="22"/>
          <w:szCs w:val="22"/>
          <w:lang w:eastAsia="zh-CN"/>
        </w:rPr>
        <w:t>d</w:t>
      </w:r>
      <w:r w:rsidRPr="00C50599">
        <w:rPr>
          <w:rFonts w:eastAsia="TimesNewRoman"/>
          <w:sz w:val="22"/>
          <w:szCs w:val="22"/>
          <w:lang w:eastAsia="zh-CN"/>
        </w:rPr>
        <w:t>ex</w:t>
      </w:r>
      <w:proofErr w:type="spellEnd"/>
      <w:r w:rsidRPr="00C50599">
        <w:rPr>
          <w:rFonts w:eastAsia="TimesNewRoman"/>
          <w:sz w:val="22"/>
          <w:szCs w:val="22"/>
          <w:lang w:eastAsia="zh-CN"/>
        </w:rPr>
        <w:t xml:space="preserve">.  In </w:t>
      </w:r>
      <w:proofErr w:type="spellStart"/>
      <w:r w:rsidRPr="00C50599">
        <w:rPr>
          <w:rFonts w:eastAsia="TimesNewRoman"/>
          <w:sz w:val="22"/>
          <w:szCs w:val="22"/>
          <w:lang w:eastAsia="zh-CN"/>
        </w:rPr>
        <w:t>Pom</w:t>
      </w:r>
      <w:proofErr w:type="spellEnd"/>
      <w:r w:rsidR="004F54EF">
        <w:rPr>
          <w:rFonts w:eastAsia="TimesNewRoman"/>
          <w:sz w:val="22"/>
          <w:szCs w:val="22"/>
          <w:lang w:eastAsia="zh-CN"/>
        </w:rPr>
        <w:t> </w:t>
      </w:r>
      <w:r w:rsidRPr="00C50599">
        <w:rPr>
          <w:rFonts w:eastAsia="TimesNewRoman"/>
          <w:sz w:val="22"/>
          <w:szCs w:val="22"/>
          <w:lang w:eastAsia="zh-CN"/>
        </w:rPr>
        <w:t>+</w:t>
      </w:r>
      <w:r w:rsidR="004F54EF">
        <w:rPr>
          <w:rFonts w:eastAsia="TimesNewRoman"/>
          <w:sz w:val="22"/>
          <w:szCs w:val="22"/>
          <w:lang w:eastAsia="zh-CN"/>
        </w:rPr>
        <w:t> </w:t>
      </w:r>
      <w:r w:rsidRPr="00C50599">
        <w:rPr>
          <w:rFonts w:eastAsia="TimesNewRoman"/>
          <w:sz w:val="22"/>
          <w:szCs w:val="22"/>
          <w:lang w:eastAsia="zh-CN"/>
        </w:rPr>
        <w:t>LD-</w:t>
      </w:r>
      <w:proofErr w:type="spellStart"/>
      <w:r w:rsidR="004F54EF">
        <w:rPr>
          <w:rFonts w:eastAsia="TimesNewRoman"/>
          <w:sz w:val="22"/>
          <w:szCs w:val="22"/>
          <w:lang w:eastAsia="zh-CN"/>
        </w:rPr>
        <w:t>d</w:t>
      </w:r>
      <w:r w:rsidRPr="00C50599">
        <w:rPr>
          <w:rFonts w:eastAsia="TimesNewRoman"/>
          <w:sz w:val="22"/>
          <w:szCs w:val="22"/>
          <w:lang w:eastAsia="zh-CN"/>
        </w:rPr>
        <w:t>ex</w:t>
      </w:r>
      <w:proofErr w:type="spellEnd"/>
      <w:r w:rsidRPr="00C50599">
        <w:rPr>
          <w:rFonts w:eastAsia="TimesNewRoman"/>
          <w:sz w:val="22"/>
          <w:szCs w:val="22"/>
          <w:lang w:eastAsia="zh-CN"/>
        </w:rPr>
        <w:t xml:space="preserve"> treated patients neutropenia did not lead to treatment discontinuation, and was associated with treatment interruption in 21.0% of patients, and with dose reduction in 7.7% of patients.</w:t>
      </w:r>
    </w:p>
    <w:p w:rsidR="00587918" w:rsidRPr="00C50599" w:rsidRDefault="00587918" w:rsidP="00587918">
      <w:pPr>
        <w:autoSpaceDE w:val="0"/>
        <w:autoSpaceDN w:val="0"/>
        <w:adjustRightInd w:val="0"/>
        <w:spacing w:before="120"/>
        <w:rPr>
          <w:rFonts w:eastAsia="TimesNewRoman"/>
          <w:sz w:val="22"/>
          <w:szCs w:val="22"/>
          <w:lang w:eastAsia="zh-CN"/>
        </w:rPr>
      </w:pPr>
      <w:r w:rsidRPr="00C50599">
        <w:rPr>
          <w:rFonts w:eastAsia="TimesNewRoman"/>
          <w:sz w:val="22"/>
          <w:szCs w:val="22"/>
          <w:lang w:eastAsia="zh-CN"/>
        </w:rPr>
        <w:t xml:space="preserve">Grade 3 or 4 </w:t>
      </w:r>
      <w:r w:rsidR="004F54EF">
        <w:rPr>
          <w:rFonts w:eastAsia="TimesNewRoman"/>
          <w:sz w:val="22"/>
          <w:szCs w:val="22"/>
          <w:lang w:eastAsia="zh-CN"/>
        </w:rPr>
        <w:t>f</w:t>
      </w:r>
      <w:r w:rsidRPr="00C50599">
        <w:rPr>
          <w:rFonts w:eastAsia="TimesNewRoman"/>
          <w:sz w:val="22"/>
          <w:szCs w:val="22"/>
          <w:lang w:eastAsia="zh-CN"/>
        </w:rPr>
        <w:t xml:space="preserve">ebrile neutropenia (FN) was experienced in 6.7% of patients who received </w:t>
      </w:r>
      <w:proofErr w:type="spellStart"/>
      <w:r w:rsidRPr="00C50599">
        <w:rPr>
          <w:rFonts w:eastAsia="TimesNewRoman"/>
          <w:sz w:val="22"/>
          <w:szCs w:val="22"/>
          <w:lang w:eastAsia="zh-CN"/>
        </w:rPr>
        <w:t>Pom</w:t>
      </w:r>
      <w:proofErr w:type="spellEnd"/>
      <w:r w:rsidR="004F54EF">
        <w:rPr>
          <w:rFonts w:eastAsia="TimesNewRoman"/>
          <w:sz w:val="22"/>
          <w:szCs w:val="22"/>
          <w:lang w:eastAsia="zh-CN"/>
        </w:rPr>
        <w:t> </w:t>
      </w:r>
      <w:r w:rsidRPr="00C50599">
        <w:rPr>
          <w:rFonts w:eastAsia="TimesNewRoman"/>
          <w:sz w:val="22"/>
          <w:szCs w:val="22"/>
          <w:lang w:eastAsia="zh-CN"/>
        </w:rPr>
        <w:t>+</w:t>
      </w:r>
      <w:r w:rsidR="004F54EF">
        <w:rPr>
          <w:rFonts w:eastAsia="TimesNewRoman"/>
          <w:sz w:val="22"/>
          <w:szCs w:val="22"/>
          <w:lang w:eastAsia="zh-CN"/>
        </w:rPr>
        <w:t> </w:t>
      </w:r>
      <w:r w:rsidRPr="00C50599">
        <w:rPr>
          <w:rFonts w:eastAsia="TimesNewRoman"/>
          <w:sz w:val="22"/>
          <w:szCs w:val="22"/>
          <w:lang w:eastAsia="zh-CN"/>
        </w:rPr>
        <w:t>LD-</w:t>
      </w:r>
      <w:proofErr w:type="spellStart"/>
      <w:r w:rsidR="004F54EF">
        <w:rPr>
          <w:rFonts w:eastAsia="TimesNewRoman"/>
          <w:sz w:val="22"/>
          <w:szCs w:val="22"/>
          <w:lang w:eastAsia="zh-CN"/>
        </w:rPr>
        <w:t>d</w:t>
      </w:r>
      <w:r w:rsidRPr="00C50599">
        <w:rPr>
          <w:rFonts w:eastAsia="TimesNewRoman"/>
          <w:sz w:val="22"/>
          <w:szCs w:val="22"/>
          <w:lang w:eastAsia="zh-CN"/>
        </w:rPr>
        <w:t>ex</w:t>
      </w:r>
      <w:proofErr w:type="spellEnd"/>
      <w:r w:rsidRPr="00C50599">
        <w:rPr>
          <w:rFonts w:eastAsia="TimesNewRoman"/>
          <w:sz w:val="22"/>
          <w:szCs w:val="22"/>
          <w:lang w:eastAsia="zh-CN"/>
        </w:rPr>
        <w:t>, and in no patients who received HD-</w:t>
      </w:r>
      <w:proofErr w:type="spellStart"/>
      <w:r w:rsidR="004F54EF">
        <w:rPr>
          <w:rFonts w:eastAsia="TimesNewRoman"/>
          <w:sz w:val="22"/>
          <w:szCs w:val="22"/>
          <w:lang w:eastAsia="zh-CN"/>
        </w:rPr>
        <w:t>d</w:t>
      </w:r>
      <w:r w:rsidRPr="00C50599">
        <w:rPr>
          <w:rFonts w:eastAsia="TimesNewRoman"/>
          <w:sz w:val="22"/>
          <w:szCs w:val="22"/>
          <w:lang w:eastAsia="zh-CN"/>
        </w:rPr>
        <w:t>ex</w:t>
      </w:r>
      <w:proofErr w:type="spellEnd"/>
      <w:r w:rsidRPr="00C50599">
        <w:rPr>
          <w:rFonts w:eastAsia="TimesNewRoman"/>
          <w:sz w:val="22"/>
          <w:szCs w:val="22"/>
          <w:lang w:eastAsia="zh-CN"/>
        </w:rPr>
        <w:t>.  FN was associated with dose interruption in 3.7% of patients, and with dose reduction in 1.3% of patients, and with no treatment discontinuations.</w:t>
      </w:r>
    </w:p>
    <w:p w:rsidR="00A112D9" w:rsidRPr="006736E8" w:rsidRDefault="00587918" w:rsidP="006736E8">
      <w:pPr>
        <w:autoSpaceDE w:val="0"/>
        <w:autoSpaceDN w:val="0"/>
        <w:adjustRightInd w:val="0"/>
        <w:spacing w:before="120"/>
        <w:rPr>
          <w:rFonts w:eastAsia="TimesNewRoman"/>
          <w:sz w:val="22"/>
          <w:szCs w:val="22"/>
          <w:lang w:eastAsia="zh-CN"/>
        </w:rPr>
      </w:pPr>
      <w:r w:rsidRPr="00C50599">
        <w:rPr>
          <w:rFonts w:eastAsia="TimesNewRoman"/>
          <w:sz w:val="22"/>
          <w:szCs w:val="22"/>
          <w:lang w:eastAsia="zh-CN"/>
        </w:rPr>
        <w:t xml:space="preserve">Grade 3 or 4 </w:t>
      </w:r>
      <w:r>
        <w:rPr>
          <w:rFonts w:eastAsia="TimesNewRoman"/>
          <w:sz w:val="22"/>
          <w:szCs w:val="22"/>
          <w:lang w:eastAsia="zh-CN"/>
        </w:rPr>
        <w:t>t</w:t>
      </w:r>
      <w:r w:rsidRPr="00C50599">
        <w:rPr>
          <w:rFonts w:eastAsia="TimesNewRoman"/>
          <w:sz w:val="22"/>
          <w:szCs w:val="22"/>
          <w:lang w:eastAsia="zh-CN"/>
        </w:rPr>
        <w:t>hrombocytopenia occur</w:t>
      </w:r>
      <w:r>
        <w:rPr>
          <w:rFonts w:eastAsia="TimesNewRoman"/>
          <w:sz w:val="22"/>
          <w:szCs w:val="22"/>
          <w:lang w:eastAsia="zh-CN"/>
        </w:rPr>
        <w:t>r</w:t>
      </w:r>
      <w:r w:rsidRPr="00C50599">
        <w:rPr>
          <w:rFonts w:eastAsia="TimesNewRoman"/>
          <w:sz w:val="22"/>
          <w:szCs w:val="22"/>
          <w:lang w:eastAsia="zh-CN"/>
        </w:rPr>
        <w:t xml:space="preserve">ed in 20.7% of patients who received </w:t>
      </w:r>
      <w:proofErr w:type="spellStart"/>
      <w:r w:rsidRPr="00C50599">
        <w:rPr>
          <w:rFonts w:eastAsia="TimesNewRoman"/>
          <w:sz w:val="22"/>
          <w:szCs w:val="22"/>
          <w:lang w:eastAsia="zh-CN"/>
        </w:rPr>
        <w:t>Pom</w:t>
      </w:r>
      <w:proofErr w:type="spellEnd"/>
      <w:r w:rsidR="004F54EF">
        <w:rPr>
          <w:rFonts w:eastAsia="TimesNewRoman"/>
          <w:sz w:val="22"/>
          <w:szCs w:val="22"/>
          <w:lang w:eastAsia="zh-CN"/>
        </w:rPr>
        <w:t> </w:t>
      </w:r>
      <w:r w:rsidRPr="00C50599">
        <w:rPr>
          <w:rFonts w:eastAsia="TimesNewRoman"/>
          <w:sz w:val="22"/>
          <w:szCs w:val="22"/>
          <w:lang w:eastAsia="zh-CN"/>
        </w:rPr>
        <w:t>+</w:t>
      </w:r>
      <w:r w:rsidR="004F54EF">
        <w:rPr>
          <w:rFonts w:eastAsia="TimesNewRoman"/>
          <w:sz w:val="22"/>
          <w:szCs w:val="22"/>
          <w:lang w:eastAsia="zh-CN"/>
        </w:rPr>
        <w:t> </w:t>
      </w:r>
      <w:r w:rsidRPr="00C50599">
        <w:rPr>
          <w:rFonts w:eastAsia="TimesNewRoman"/>
          <w:sz w:val="22"/>
          <w:szCs w:val="22"/>
          <w:lang w:eastAsia="zh-CN"/>
        </w:rPr>
        <w:t>LD-</w:t>
      </w:r>
      <w:proofErr w:type="spellStart"/>
      <w:r w:rsidR="004F54EF">
        <w:rPr>
          <w:rFonts w:eastAsia="TimesNewRoman"/>
          <w:sz w:val="22"/>
          <w:szCs w:val="22"/>
          <w:lang w:eastAsia="zh-CN"/>
        </w:rPr>
        <w:t>d</w:t>
      </w:r>
      <w:r w:rsidRPr="00C50599">
        <w:rPr>
          <w:rFonts w:eastAsia="TimesNewRoman"/>
          <w:sz w:val="22"/>
          <w:szCs w:val="22"/>
          <w:lang w:eastAsia="zh-CN"/>
        </w:rPr>
        <w:t>ex</w:t>
      </w:r>
      <w:proofErr w:type="spellEnd"/>
      <w:r w:rsidRPr="00C50599">
        <w:rPr>
          <w:rFonts w:eastAsia="TimesNewRoman"/>
          <w:sz w:val="22"/>
          <w:szCs w:val="22"/>
          <w:lang w:eastAsia="zh-CN"/>
        </w:rPr>
        <w:t xml:space="preserve"> and in 24.2% who received HD-</w:t>
      </w:r>
      <w:proofErr w:type="spellStart"/>
      <w:r w:rsidR="004F54EF">
        <w:rPr>
          <w:rFonts w:eastAsia="TimesNewRoman"/>
          <w:sz w:val="22"/>
          <w:szCs w:val="22"/>
          <w:lang w:eastAsia="zh-CN"/>
        </w:rPr>
        <w:t>d</w:t>
      </w:r>
      <w:r w:rsidRPr="00C50599">
        <w:rPr>
          <w:rFonts w:eastAsia="TimesNewRoman"/>
          <w:sz w:val="22"/>
          <w:szCs w:val="22"/>
          <w:lang w:eastAsia="zh-CN"/>
        </w:rPr>
        <w:t>ex</w:t>
      </w:r>
      <w:proofErr w:type="spellEnd"/>
      <w:r w:rsidRPr="00C50599">
        <w:rPr>
          <w:rFonts w:eastAsia="TimesNewRoman"/>
          <w:sz w:val="22"/>
          <w:szCs w:val="22"/>
          <w:lang w:eastAsia="zh-CN"/>
        </w:rPr>
        <w:t xml:space="preserve">.  In </w:t>
      </w:r>
      <w:proofErr w:type="spellStart"/>
      <w:r w:rsidRPr="00C50599">
        <w:rPr>
          <w:rFonts w:eastAsia="TimesNewRoman"/>
          <w:sz w:val="22"/>
          <w:szCs w:val="22"/>
          <w:lang w:eastAsia="zh-CN"/>
        </w:rPr>
        <w:t>Pom</w:t>
      </w:r>
      <w:proofErr w:type="spellEnd"/>
      <w:r w:rsidR="004F54EF">
        <w:rPr>
          <w:rFonts w:eastAsia="TimesNewRoman"/>
          <w:sz w:val="22"/>
          <w:szCs w:val="22"/>
          <w:lang w:eastAsia="zh-CN"/>
        </w:rPr>
        <w:t> </w:t>
      </w:r>
      <w:r w:rsidRPr="00C50599">
        <w:rPr>
          <w:rFonts w:eastAsia="TimesNewRoman"/>
          <w:sz w:val="22"/>
          <w:szCs w:val="22"/>
          <w:lang w:eastAsia="zh-CN"/>
        </w:rPr>
        <w:t>+</w:t>
      </w:r>
      <w:r w:rsidR="004F54EF">
        <w:rPr>
          <w:rFonts w:eastAsia="TimesNewRoman"/>
          <w:sz w:val="22"/>
          <w:szCs w:val="22"/>
          <w:lang w:eastAsia="zh-CN"/>
        </w:rPr>
        <w:t> </w:t>
      </w:r>
      <w:r w:rsidRPr="00C50599">
        <w:rPr>
          <w:rFonts w:eastAsia="TimesNewRoman"/>
          <w:sz w:val="22"/>
          <w:szCs w:val="22"/>
          <w:lang w:eastAsia="zh-CN"/>
        </w:rPr>
        <w:t>LD-</w:t>
      </w:r>
      <w:proofErr w:type="spellStart"/>
      <w:r w:rsidR="004F54EF">
        <w:rPr>
          <w:rFonts w:eastAsia="TimesNewRoman"/>
          <w:sz w:val="22"/>
          <w:szCs w:val="22"/>
          <w:lang w:eastAsia="zh-CN"/>
        </w:rPr>
        <w:t>d</w:t>
      </w:r>
      <w:r w:rsidRPr="00C50599">
        <w:rPr>
          <w:rFonts w:eastAsia="TimesNewRoman"/>
          <w:sz w:val="22"/>
          <w:szCs w:val="22"/>
          <w:lang w:eastAsia="zh-CN"/>
        </w:rPr>
        <w:t>ex</w:t>
      </w:r>
      <w:proofErr w:type="spellEnd"/>
      <w:r w:rsidRPr="00C50599">
        <w:rPr>
          <w:rFonts w:eastAsia="TimesNewRoman"/>
          <w:sz w:val="22"/>
          <w:szCs w:val="22"/>
          <w:lang w:eastAsia="zh-CN"/>
        </w:rPr>
        <w:t xml:space="preserve"> treated patients, thrombocytopenia led to dose reduction in 6.3% of patients, to dose interruption in 8% of patients and to treatment discontinuation in 0.7% of patients.</w:t>
      </w:r>
    </w:p>
    <w:p w:rsidR="00EE3193" w:rsidRPr="00A112D9" w:rsidRDefault="00A112D9" w:rsidP="00DC09FF">
      <w:pPr>
        <w:spacing w:before="120"/>
        <w:rPr>
          <w:sz w:val="22"/>
          <w:szCs w:val="22"/>
        </w:rPr>
      </w:pPr>
      <w:r w:rsidRPr="00A112D9">
        <w:rPr>
          <w:sz w:val="22"/>
          <w:szCs w:val="22"/>
        </w:rPr>
        <w:t xml:space="preserve">Monitor patients for </w:t>
      </w:r>
      <w:proofErr w:type="spellStart"/>
      <w:r w:rsidRPr="00A112D9">
        <w:rPr>
          <w:sz w:val="22"/>
          <w:szCs w:val="22"/>
        </w:rPr>
        <w:t>h</w:t>
      </w:r>
      <w:r w:rsidR="005027CE">
        <w:rPr>
          <w:sz w:val="22"/>
          <w:szCs w:val="22"/>
        </w:rPr>
        <w:t>a</w:t>
      </w:r>
      <w:r w:rsidRPr="00A112D9">
        <w:rPr>
          <w:sz w:val="22"/>
          <w:szCs w:val="22"/>
        </w:rPr>
        <w:t>ematologic</w:t>
      </w:r>
      <w:proofErr w:type="spellEnd"/>
      <w:r w:rsidRPr="00A112D9">
        <w:rPr>
          <w:sz w:val="22"/>
          <w:szCs w:val="22"/>
        </w:rPr>
        <w:t xml:space="preserve"> toxicities, especially neutropenia.  Monitor complete blood counts weekly for the first 8 weeks and monthly thereafter.  A dose modifica</w:t>
      </w:r>
      <w:r w:rsidRPr="00DC09FF">
        <w:rPr>
          <w:sz w:val="22"/>
          <w:szCs w:val="22"/>
        </w:rPr>
        <w:t>tion may be required</w:t>
      </w:r>
      <w:r w:rsidR="00DC09FF" w:rsidRPr="00DC09FF">
        <w:rPr>
          <w:sz w:val="22"/>
          <w:szCs w:val="22"/>
        </w:rPr>
        <w:t>;</w:t>
      </w:r>
      <w:r w:rsidRPr="00DC09FF">
        <w:rPr>
          <w:sz w:val="22"/>
          <w:szCs w:val="22"/>
        </w:rPr>
        <w:t xml:space="preserve"> see </w:t>
      </w:r>
      <w:r w:rsidR="00350F48" w:rsidRPr="00DC09FF">
        <w:rPr>
          <w:sz w:val="22"/>
          <w:szCs w:val="22"/>
        </w:rPr>
        <w:t xml:space="preserve">section </w:t>
      </w:r>
      <w:r w:rsidR="004F54EF">
        <w:rPr>
          <w:sz w:val="22"/>
          <w:szCs w:val="22"/>
        </w:rPr>
        <w:t>10</w:t>
      </w:r>
      <w:r w:rsidR="00DC09FF" w:rsidRPr="00DC09FF">
        <w:rPr>
          <w:sz w:val="22"/>
          <w:szCs w:val="22"/>
        </w:rPr>
        <w:t>-</w:t>
      </w:r>
      <w:r w:rsidRPr="00DC09FF">
        <w:rPr>
          <w:sz w:val="22"/>
          <w:szCs w:val="22"/>
        </w:rPr>
        <w:t>D</w:t>
      </w:r>
      <w:r w:rsidR="00350F48" w:rsidRPr="00DC09FF">
        <w:rPr>
          <w:sz w:val="22"/>
          <w:szCs w:val="22"/>
        </w:rPr>
        <w:t>osage and Administration</w:t>
      </w:r>
      <w:r w:rsidRPr="00DC09FF">
        <w:rPr>
          <w:sz w:val="22"/>
          <w:szCs w:val="22"/>
        </w:rPr>
        <w:t>.</w:t>
      </w:r>
      <w:r w:rsidRPr="00350F48">
        <w:rPr>
          <w:sz w:val="22"/>
          <w:szCs w:val="22"/>
        </w:rPr>
        <w:t xml:space="preserve">  Patients may require use of blood product support and/or growth factors.</w:t>
      </w:r>
    </w:p>
    <w:p w:rsidR="00C808D8" w:rsidRDefault="00FA4343" w:rsidP="00336C61">
      <w:pPr>
        <w:pStyle w:val="ListParagraph"/>
        <w:keepNext/>
        <w:numPr>
          <w:ilvl w:val="1"/>
          <w:numId w:val="47"/>
        </w:numPr>
        <w:spacing w:before="120"/>
        <w:ind w:left="851" w:hanging="851"/>
        <w:jc w:val="both"/>
        <w:rPr>
          <w:b/>
          <w:lang w:val="en-AU"/>
        </w:rPr>
      </w:pPr>
      <w:r>
        <w:rPr>
          <w:b/>
          <w:lang w:val="en-AU"/>
        </w:rPr>
        <w:lastRenderedPageBreak/>
        <w:t>Allergic reaction</w:t>
      </w:r>
      <w:r w:rsidR="008E5F61">
        <w:rPr>
          <w:b/>
          <w:lang w:val="en-AU"/>
        </w:rPr>
        <w:t>s</w:t>
      </w:r>
    </w:p>
    <w:p w:rsidR="00C808D8" w:rsidRPr="004E7E9E" w:rsidRDefault="00C808D8" w:rsidP="004E7E9E">
      <w:pPr>
        <w:spacing w:before="120"/>
        <w:rPr>
          <w:sz w:val="22"/>
          <w:szCs w:val="22"/>
          <w:lang w:val="en-AU"/>
        </w:rPr>
      </w:pPr>
      <w:r w:rsidRPr="004E7E9E">
        <w:rPr>
          <w:sz w:val="22"/>
          <w:szCs w:val="22"/>
        </w:rPr>
        <w:t xml:space="preserve">Patients with a prior history of serious allergic reactions associated with thalidomide or </w:t>
      </w:r>
      <w:proofErr w:type="spellStart"/>
      <w:r w:rsidRPr="004E7E9E">
        <w:rPr>
          <w:sz w:val="22"/>
          <w:szCs w:val="22"/>
        </w:rPr>
        <w:t>lenalidomide</w:t>
      </w:r>
      <w:proofErr w:type="spellEnd"/>
      <w:r w:rsidRPr="004E7E9E">
        <w:rPr>
          <w:sz w:val="22"/>
          <w:szCs w:val="22"/>
        </w:rPr>
        <w:t xml:space="preserve"> were</w:t>
      </w:r>
      <w:r w:rsidR="00AE16AE">
        <w:rPr>
          <w:sz w:val="22"/>
          <w:szCs w:val="22"/>
        </w:rPr>
        <w:t xml:space="preserve"> excluded from clinical studies. </w:t>
      </w:r>
      <w:r w:rsidRPr="004E7E9E">
        <w:rPr>
          <w:sz w:val="22"/>
          <w:szCs w:val="22"/>
        </w:rPr>
        <w:t xml:space="preserve"> </w:t>
      </w:r>
      <w:r w:rsidR="00AE16AE">
        <w:rPr>
          <w:sz w:val="22"/>
          <w:szCs w:val="22"/>
        </w:rPr>
        <w:t>Such patients may be prone to a</w:t>
      </w:r>
      <w:r w:rsidRPr="004E7E9E">
        <w:rPr>
          <w:sz w:val="22"/>
          <w:szCs w:val="22"/>
        </w:rPr>
        <w:t xml:space="preserve"> higher risk of hypersensitivity and should not receive</w:t>
      </w:r>
      <w:r w:rsidRPr="004E7E9E">
        <w:rPr>
          <w:sz w:val="22"/>
          <w:szCs w:val="22"/>
          <w:lang w:val="en-AU"/>
        </w:rPr>
        <w:t xml:space="preserve"> </w:t>
      </w:r>
      <w:proofErr w:type="spellStart"/>
      <w:r w:rsidRPr="004E7E9E">
        <w:rPr>
          <w:sz w:val="22"/>
          <w:szCs w:val="22"/>
          <w:lang w:val="en-AU"/>
        </w:rPr>
        <w:t>pomalidomide</w:t>
      </w:r>
      <w:proofErr w:type="spellEnd"/>
      <w:r w:rsidRPr="004E7E9E">
        <w:rPr>
          <w:sz w:val="22"/>
          <w:szCs w:val="22"/>
          <w:lang w:val="en-AU"/>
        </w:rPr>
        <w:t xml:space="preserve">, see section </w:t>
      </w:r>
      <w:r w:rsidR="00826E56">
        <w:rPr>
          <w:sz w:val="22"/>
          <w:szCs w:val="22"/>
          <w:lang w:val="en-AU"/>
        </w:rPr>
        <w:t>6-</w:t>
      </w:r>
      <w:r w:rsidRPr="004E7E9E">
        <w:rPr>
          <w:sz w:val="22"/>
          <w:szCs w:val="22"/>
          <w:lang w:val="en-AU"/>
        </w:rPr>
        <w:t>Contraindications.</w:t>
      </w:r>
    </w:p>
    <w:p w:rsidR="00C808D8" w:rsidRPr="00C808D8" w:rsidRDefault="00C808D8" w:rsidP="00AB7225">
      <w:pPr>
        <w:pStyle w:val="ListParagraph"/>
        <w:ind w:left="360"/>
        <w:rPr>
          <w:sz w:val="22"/>
          <w:szCs w:val="22"/>
          <w:lang w:val="en-AU"/>
        </w:rPr>
      </w:pPr>
    </w:p>
    <w:p w:rsidR="00C808D8" w:rsidRPr="005410FD" w:rsidRDefault="00C808D8" w:rsidP="00336C61">
      <w:pPr>
        <w:pStyle w:val="ListParagraph"/>
        <w:numPr>
          <w:ilvl w:val="1"/>
          <w:numId w:val="47"/>
        </w:numPr>
        <w:spacing w:before="120"/>
        <w:ind w:left="851" w:hanging="851"/>
        <w:rPr>
          <w:b/>
          <w:lang w:val="en-AU"/>
        </w:rPr>
      </w:pPr>
      <w:r w:rsidRPr="005410FD">
        <w:rPr>
          <w:b/>
          <w:lang w:val="en-AU"/>
        </w:rPr>
        <w:t xml:space="preserve">Dizziness and Confusion </w:t>
      </w:r>
    </w:p>
    <w:p w:rsidR="00521343" w:rsidRDefault="00521343" w:rsidP="006F239F">
      <w:pPr>
        <w:spacing w:before="120"/>
        <w:rPr>
          <w:sz w:val="22"/>
          <w:szCs w:val="22"/>
        </w:rPr>
      </w:pPr>
      <w:r w:rsidRPr="00521343">
        <w:rPr>
          <w:sz w:val="22"/>
          <w:szCs w:val="22"/>
        </w:rPr>
        <w:t>Dizziness and confusion have been reported.  Instruct patients to exercise caution in situations where dizziness or confusion may be a problem.</w:t>
      </w:r>
    </w:p>
    <w:p w:rsidR="00755236" w:rsidRPr="006F239F" w:rsidRDefault="00755236" w:rsidP="00755236">
      <w:pPr>
        <w:rPr>
          <w:sz w:val="22"/>
          <w:szCs w:val="22"/>
        </w:rPr>
      </w:pPr>
    </w:p>
    <w:p w:rsidR="009E12DC" w:rsidRDefault="009E12DC" w:rsidP="00336C61">
      <w:pPr>
        <w:pStyle w:val="ListParagraph"/>
        <w:keepNext/>
        <w:numPr>
          <w:ilvl w:val="1"/>
          <w:numId w:val="47"/>
        </w:numPr>
        <w:ind w:left="851" w:hanging="851"/>
        <w:jc w:val="both"/>
        <w:rPr>
          <w:b/>
          <w:lang w:val="en-AU"/>
        </w:rPr>
      </w:pPr>
      <w:r w:rsidRPr="005410FD">
        <w:rPr>
          <w:b/>
          <w:lang w:val="en-AU"/>
        </w:rPr>
        <w:t xml:space="preserve">Second Primary Malignancies </w:t>
      </w:r>
    </w:p>
    <w:p w:rsidR="009E12DC" w:rsidRDefault="009E12DC" w:rsidP="00372DB6">
      <w:pPr>
        <w:spacing w:before="120"/>
        <w:rPr>
          <w:sz w:val="22"/>
          <w:szCs w:val="22"/>
          <w:lang w:val="en-AU"/>
        </w:rPr>
      </w:pPr>
      <w:r w:rsidRPr="009E12DC">
        <w:rPr>
          <w:sz w:val="22"/>
          <w:szCs w:val="22"/>
          <w:lang w:val="en-AU"/>
        </w:rPr>
        <w:t xml:space="preserve">Second primary malignancies have been reported in patients receiving </w:t>
      </w:r>
      <w:proofErr w:type="spellStart"/>
      <w:r w:rsidRPr="009E12DC">
        <w:rPr>
          <w:sz w:val="22"/>
          <w:szCs w:val="22"/>
          <w:lang w:val="en-AU"/>
        </w:rPr>
        <w:t>pomalidomide</w:t>
      </w:r>
      <w:proofErr w:type="spellEnd"/>
      <w:r w:rsidRPr="009E12DC">
        <w:rPr>
          <w:sz w:val="22"/>
          <w:szCs w:val="22"/>
          <w:lang w:val="en-AU"/>
        </w:rPr>
        <w:t xml:space="preserve">. The clinical significance of these observations is unclear. </w:t>
      </w:r>
      <w:r w:rsidR="00372DB6">
        <w:rPr>
          <w:sz w:val="22"/>
          <w:szCs w:val="22"/>
          <w:lang w:val="en-AU"/>
        </w:rPr>
        <w:t xml:space="preserve"> </w:t>
      </w:r>
      <w:r w:rsidRPr="009E12DC">
        <w:rPr>
          <w:sz w:val="22"/>
          <w:szCs w:val="22"/>
          <w:lang w:val="en-AU"/>
        </w:rPr>
        <w:t>Physicians should carefully evaluate patients before and during treatment using standard cancer screening for occurrence of SPM and institute treatment as indicated.</w:t>
      </w:r>
    </w:p>
    <w:p w:rsidR="00AB7225" w:rsidRPr="000F7DCD" w:rsidRDefault="00AB7225" w:rsidP="00AB7225">
      <w:pPr>
        <w:jc w:val="both"/>
        <w:rPr>
          <w:sz w:val="22"/>
          <w:szCs w:val="22"/>
          <w:lang w:val="en-AU"/>
        </w:rPr>
      </w:pPr>
    </w:p>
    <w:p w:rsidR="00C50599" w:rsidRPr="005410FD" w:rsidRDefault="00C50599" w:rsidP="00336C61">
      <w:pPr>
        <w:pStyle w:val="ListParagraph"/>
        <w:keepNext/>
        <w:numPr>
          <w:ilvl w:val="1"/>
          <w:numId w:val="47"/>
        </w:numPr>
        <w:ind w:left="851" w:hanging="851"/>
        <w:jc w:val="both"/>
        <w:rPr>
          <w:b/>
          <w:lang w:val="en-AU"/>
        </w:rPr>
      </w:pPr>
      <w:r>
        <w:rPr>
          <w:b/>
          <w:lang w:val="en-AU"/>
        </w:rPr>
        <w:t>Effect on ability to drive and use machines</w:t>
      </w:r>
    </w:p>
    <w:p w:rsidR="00E76471" w:rsidRDefault="006C46C2" w:rsidP="00C50599">
      <w:pPr>
        <w:pStyle w:val="C-Bullet"/>
        <w:tabs>
          <w:tab w:val="clear" w:pos="720"/>
        </w:tabs>
        <w:spacing w:after="0" w:line="240" w:lineRule="auto"/>
        <w:ind w:left="0" w:firstLine="0"/>
        <w:jc w:val="both"/>
        <w:rPr>
          <w:sz w:val="22"/>
          <w:szCs w:val="22"/>
          <w:lang w:val="en-AU"/>
        </w:rPr>
      </w:pPr>
      <w:r>
        <w:rPr>
          <w:sz w:val="22"/>
          <w:szCs w:val="22"/>
          <w:lang w:val="en-AU"/>
        </w:rPr>
        <w:t xml:space="preserve">Patients should be warned that confusion, fatigue, dizziness and depressed level of consciousness have been reported with </w:t>
      </w:r>
      <w:proofErr w:type="spellStart"/>
      <w:r>
        <w:rPr>
          <w:sz w:val="22"/>
          <w:szCs w:val="22"/>
          <w:lang w:val="en-AU"/>
        </w:rPr>
        <w:t>pomalidomide</w:t>
      </w:r>
      <w:proofErr w:type="spellEnd"/>
      <w:r>
        <w:rPr>
          <w:sz w:val="22"/>
          <w:szCs w:val="22"/>
          <w:lang w:val="en-AU"/>
        </w:rPr>
        <w:t xml:space="preserve"> usage and if affected, patients should be instructed not to drive cars, use machines or perform hazardous tasks while being treated with </w:t>
      </w:r>
      <w:proofErr w:type="spellStart"/>
      <w:r>
        <w:rPr>
          <w:sz w:val="22"/>
          <w:szCs w:val="22"/>
          <w:lang w:val="en-AU"/>
        </w:rPr>
        <w:t>pomalidomide</w:t>
      </w:r>
      <w:proofErr w:type="spellEnd"/>
      <w:r>
        <w:rPr>
          <w:sz w:val="22"/>
          <w:szCs w:val="22"/>
          <w:lang w:val="en-AU"/>
        </w:rPr>
        <w:t>.</w:t>
      </w:r>
    </w:p>
    <w:p w:rsidR="00E557CE" w:rsidRDefault="00E557CE" w:rsidP="004E0E94">
      <w:pPr>
        <w:pStyle w:val="C-Bullet"/>
        <w:tabs>
          <w:tab w:val="clear" w:pos="720"/>
        </w:tabs>
        <w:spacing w:before="0" w:after="0" w:line="240" w:lineRule="auto"/>
        <w:ind w:left="0" w:firstLine="0"/>
        <w:jc w:val="both"/>
        <w:rPr>
          <w:sz w:val="22"/>
          <w:szCs w:val="22"/>
          <w:lang w:val="en-AU"/>
        </w:rPr>
      </w:pPr>
    </w:p>
    <w:p w:rsidR="00E557CE" w:rsidRPr="00E557CE" w:rsidRDefault="00E557CE" w:rsidP="00336C61">
      <w:pPr>
        <w:pStyle w:val="ListParagraph"/>
        <w:keepNext/>
        <w:numPr>
          <w:ilvl w:val="1"/>
          <w:numId w:val="47"/>
        </w:numPr>
        <w:ind w:left="851" w:hanging="851"/>
        <w:jc w:val="both"/>
        <w:rPr>
          <w:b/>
          <w:lang w:val="en-AU"/>
        </w:rPr>
      </w:pPr>
      <w:r>
        <w:rPr>
          <w:b/>
          <w:lang w:val="en-AU"/>
        </w:rPr>
        <w:t>Peripheral neuropathy</w:t>
      </w:r>
    </w:p>
    <w:p w:rsidR="00C50599" w:rsidRPr="00C96553" w:rsidRDefault="00E557CE" w:rsidP="00D423EA">
      <w:pPr>
        <w:pStyle w:val="C-Bullet"/>
        <w:tabs>
          <w:tab w:val="clear" w:pos="720"/>
        </w:tabs>
        <w:spacing w:after="0" w:line="240" w:lineRule="auto"/>
        <w:ind w:left="0" w:firstLine="0"/>
        <w:rPr>
          <w:rFonts w:eastAsia="TimesNewRoman"/>
          <w:sz w:val="22"/>
          <w:szCs w:val="22"/>
          <w:lang w:eastAsia="zh-CN"/>
        </w:rPr>
      </w:pPr>
      <w:r w:rsidRPr="00E557CE">
        <w:rPr>
          <w:rFonts w:eastAsia="TimesNewRoman"/>
          <w:sz w:val="22"/>
          <w:szCs w:val="22"/>
          <w:lang w:eastAsia="zh-CN"/>
        </w:rPr>
        <w:t xml:space="preserve">Patients with ongoing ≥Grade 2 peripheral neuropathy were excluded from clinical studies with </w:t>
      </w:r>
      <w:proofErr w:type="spellStart"/>
      <w:r w:rsidRPr="00E557CE">
        <w:rPr>
          <w:rFonts w:eastAsia="TimesNewRoman"/>
          <w:sz w:val="22"/>
          <w:szCs w:val="22"/>
          <w:lang w:eastAsia="zh-CN"/>
        </w:rPr>
        <w:t>pomalidomide</w:t>
      </w:r>
      <w:proofErr w:type="spellEnd"/>
      <w:r w:rsidRPr="00E557CE">
        <w:rPr>
          <w:rFonts w:eastAsia="TimesNewRoman"/>
          <w:sz w:val="22"/>
          <w:szCs w:val="22"/>
          <w:lang w:eastAsia="zh-CN"/>
        </w:rPr>
        <w:t xml:space="preserve">.  Appropriate caution should be exercised when considering the treatment of such patients with </w:t>
      </w:r>
      <w:proofErr w:type="spellStart"/>
      <w:r w:rsidRPr="00E557CE">
        <w:rPr>
          <w:rFonts w:eastAsia="TimesNewRoman"/>
          <w:sz w:val="22"/>
          <w:szCs w:val="22"/>
          <w:lang w:eastAsia="zh-CN"/>
        </w:rPr>
        <w:t>pomalidomide</w:t>
      </w:r>
      <w:proofErr w:type="spellEnd"/>
      <w:r w:rsidRPr="00E557CE">
        <w:rPr>
          <w:rFonts w:eastAsia="TimesNewRoman"/>
          <w:sz w:val="22"/>
          <w:szCs w:val="22"/>
          <w:lang w:eastAsia="zh-CN"/>
        </w:rPr>
        <w:t>.</w:t>
      </w:r>
    </w:p>
    <w:p w:rsidR="00D423EA" w:rsidRPr="00336C61" w:rsidRDefault="00D423EA" w:rsidP="00E557CE">
      <w:pPr>
        <w:pStyle w:val="C-Bullet"/>
        <w:tabs>
          <w:tab w:val="clear" w:pos="720"/>
        </w:tabs>
        <w:spacing w:before="0" w:after="0" w:line="240" w:lineRule="auto"/>
        <w:ind w:left="0" w:firstLine="0"/>
        <w:rPr>
          <w:b/>
          <w:sz w:val="22"/>
          <w:szCs w:val="22"/>
          <w:lang w:val="en-AU"/>
        </w:rPr>
      </w:pPr>
    </w:p>
    <w:p w:rsidR="00E557CE" w:rsidRPr="00336C61" w:rsidRDefault="00E557CE" w:rsidP="00336C61">
      <w:pPr>
        <w:pStyle w:val="ListParagraph"/>
        <w:keepNext/>
        <w:numPr>
          <w:ilvl w:val="1"/>
          <w:numId w:val="47"/>
        </w:numPr>
        <w:ind w:left="851" w:hanging="851"/>
        <w:jc w:val="both"/>
        <w:rPr>
          <w:b/>
          <w:lang w:val="en-AU"/>
        </w:rPr>
      </w:pPr>
      <w:r w:rsidRPr="00336C61">
        <w:rPr>
          <w:b/>
          <w:lang w:val="en-AU"/>
        </w:rPr>
        <w:t>Cardiac dysfunction</w:t>
      </w:r>
    </w:p>
    <w:p w:rsidR="00E557CE" w:rsidRPr="00E557CE" w:rsidRDefault="00E557CE" w:rsidP="00E557CE">
      <w:pPr>
        <w:pStyle w:val="C-Bullet"/>
        <w:tabs>
          <w:tab w:val="clear" w:pos="720"/>
        </w:tabs>
        <w:spacing w:after="0" w:line="240" w:lineRule="auto"/>
        <w:ind w:left="0" w:firstLine="0"/>
        <w:rPr>
          <w:sz w:val="22"/>
          <w:szCs w:val="22"/>
          <w:lang w:val="en-AU"/>
        </w:rPr>
      </w:pPr>
      <w:r w:rsidRPr="00E557CE">
        <w:rPr>
          <w:rFonts w:eastAsia="TimesNewRoman"/>
          <w:sz w:val="22"/>
          <w:szCs w:val="22"/>
          <w:lang w:eastAsia="zh-CN"/>
        </w:rPr>
        <w:t xml:space="preserve">Patients with significant cardiac dysfunction (congestive heart failure [NY Heart Association Class III or IV]; myocardial infarction within 12 months of starting study; unstable or poorly controlled angina pectoris) were excluded from clinical studies with </w:t>
      </w:r>
      <w:proofErr w:type="spellStart"/>
      <w:r w:rsidRPr="00E557CE">
        <w:rPr>
          <w:rFonts w:eastAsia="TimesNewRoman"/>
          <w:sz w:val="22"/>
          <w:szCs w:val="22"/>
          <w:lang w:eastAsia="zh-CN"/>
        </w:rPr>
        <w:t>pomalidomide</w:t>
      </w:r>
      <w:proofErr w:type="spellEnd"/>
      <w:r w:rsidRPr="00E557CE">
        <w:rPr>
          <w:rFonts w:eastAsia="TimesNewRoman"/>
          <w:sz w:val="22"/>
          <w:szCs w:val="22"/>
          <w:lang w:eastAsia="zh-CN"/>
        </w:rPr>
        <w:t xml:space="preserve">.  There is no experience of </w:t>
      </w:r>
      <w:proofErr w:type="spellStart"/>
      <w:r w:rsidRPr="00E557CE">
        <w:rPr>
          <w:rFonts w:eastAsia="TimesNewRoman"/>
          <w:sz w:val="22"/>
          <w:szCs w:val="22"/>
          <w:lang w:eastAsia="zh-CN"/>
        </w:rPr>
        <w:t>pomalidomide</w:t>
      </w:r>
      <w:proofErr w:type="spellEnd"/>
      <w:r w:rsidRPr="00E557CE">
        <w:rPr>
          <w:rFonts w:eastAsia="TimesNewRoman"/>
          <w:sz w:val="22"/>
          <w:szCs w:val="22"/>
          <w:lang w:eastAsia="zh-CN"/>
        </w:rPr>
        <w:t xml:space="preserve"> in patients with pre-existing cardiac dysfunction due to exclusion from clinical trials.</w:t>
      </w:r>
    </w:p>
    <w:p w:rsidR="00481F88" w:rsidRPr="00336C61" w:rsidRDefault="00481F88" w:rsidP="004E0E94">
      <w:pPr>
        <w:pStyle w:val="C-Bullet"/>
        <w:tabs>
          <w:tab w:val="clear" w:pos="720"/>
        </w:tabs>
        <w:spacing w:before="0" w:after="0" w:line="240" w:lineRule="auto"/>
        <w:ind w:left="0" w:firstLine="0"/>
        <w:jc w:val="both"/>
        <w:rPr>
          <w:b/>
          <w:sz w:val="22"/>
          <w:szCs w:val="22"/>
          <w:lang w:val="en-AU"/>
        </w:rPr>
      </w:pPr>
    </w:p>
    <w:p w:rsidR="00481F88" w:rsidRPr="00336C61" w:rsidRDefault="00481F88" w:rsidP="00336C61">
      <w:pPr>
        <w:pStyle w:val="ListParagraph"/>
        <w:keepNext/>
        <w:numPr>
          <w:ilvl w:val="1"/>
          <w:numId w:val="47"/>
        </w:numPr>
        <w:ind w:left="851" w:hanging="851"/>
        <w:jc w:val="both"/>
        <w:rPr>
          <w:b/>
          <w:lang w:val="en-AU"/>
        </w:rPr>
      </w:pPr>
      <w:r w:rsidRPr="00336C61">
        <w:rPr>
          <w:b/>
          <w:lang w:val="en-AU"/>
        </w:rPr>
        <w:t xml:space="preserve">Tumour </w:t>
      </w:r>
      <w:proofErr w:type="spellStart"/>
      <w:r w:rsidRPr="00336C61">
        <w:rPr>
          <w:b/>
          <w:lang w:val="en-AU"/>
        </w:rPr>
        <w:t>lysis</w:t>
      </w:r>
      <w:proofErr w:type="spellEnd"/>
      <w:r w:rsidRPr="00336C61">
        <w:rPr>
          <w:b/>
          <w:lang w:val="en-AU"/>
        </w:rPr>
        <w:t xml:space="preserve"> syndrome</w:t>
      </w:r>
    </w:p>
    <w:p w:rsidR="005E010D" w:rsidRDefault="005E010D" w:rsidP="005E010D">
      <w:pPr>
        <w:autoSpaceDE w:val="0"/>
        <w:autoSpaceDN w:val="0"/>
        <w:adjustRightInd w:val="0"/>
        <w:spacing w:before="120"/>
        <w:rPr>
          <w:color w:val="000000"/>
          <w:sz w:val="22"/>
          <w:szCs w:val="22"/>
          <w:lang w:val="en-AU" w:eastAsia="zh-CN"/>
        </w:rPr>
      </w:pPr>
      <w:r w:rsidRPr="00C50599">
        <w:rPr>
          <w:color w:val="000000"/>
          <w:sz w:val="22"/>
          <w:szCs w:val="22"/>
          <w:lang w:val="en-AU" w:eastAsia="zh-CN"/>
        </w:rPr>
        <w:t>Tumo</w:t>
      </w:r>
      <w:r w:rsidR="004F54EF">
        <w:rPr>
          <w:color w:val="000000"/>
          <w:sz w:val="22"/>
          <w:szCs w:val="22"/>
          <w:lang w:val="en-AU" w:eastAsia="zh-CN"/>
        </w:rPr>
        <w:t>u</w:t>
      </w:r>
      <w:r w:rsidRPr="00C50599">
        <w:rPr>
          <w:color w:val="000000"/>
          <w:sz w:val="22"/>
          <w:szCs w:val="22"/>
          <w:lang w:val="en-AU" w:eastAsia="zh-CN"/>
        </w:rPr>
        <w:t xml:space="preserve">r </w:t>
      </w:r>
      <w:proofErr w:type="spellStart"/>
      <w:r w:rsidRPr="00C50599">
        <w:rPr>
          <w:color w:val="000000"/>
          <w:sz w:val="22"/>
          <w:szCs w:val="22"/>
          <w:lang w:val="en-AU" w:eastAsia="zh-CN"/>
        </w:rPr>
        <w:t>lysis</w:t>
      </w:r>
      <w:proofErr w:type="spellEnd"/>
      <w:r w:rsidRPr="00C50599">
        <w:rPr>
          <w:color w:val="000000"/>
          <w:sz w:val="22"/>
          <w:szCs w:val="22"/>
          <w:lang w:val="en-AU" w:eastAsia="zh-CN"/>
        </w:rPr>
        <w:t xml:space="preserve"> syndrome (TLS) may occur in patients treated with </w:t>
      </w:r>
      <w:proofErr w:type="spellStart"/>
      <w:r w:rsidRPr="00C50599">
        <w:rPr>
          <w:color w:val="000000"/>
          <w:sz w:val="22"/>
          <w:szCs w:val="22"/>
          <w:lang w:val="en-AU" w:eastAsia="zh-CN"/>
        </w:rPr>
        <w:t>pomalidomide</w:t>
      </w:r>
      <w:proofErr w:type="spellEnd"/>
      <w:r w:rsidRPr="00C50599">
        <w:rPr>
          <w:color w:val="000000"/>
          <w:sz w:val="22"/>
          <w:szCs w:val="22"/>
          <w:lang w:val="en-AU" w:eastAsia="zh-CN"/>
        </w:rPr>
        <w:t xml:space="preserve">.  Patients at risk for TLS are those with high tumour burden </w:t>
      </w:r>
      <w:r w:rsidR="002739F6">
        <w:rPr>
          <w:color w:val="000000"/>
          <w:sz w:val="22"/>
          <w:szCs w:val="22"/>
          <w:lang w:val="en-AU" w:eastAsia="zh-CN"/>
        </w:rPr>
        <w:t xml:space="preserve">and those with pre-existing renal impairment </w:t>
      </w:r>
      <w:r w:rsidRPr="00C50599">
        <w:rPr>
          <w:color w:val="000000"/>
          <w:sz w:val="22"/>
          <w:szCs w:val="22"/>
          <w:lang w:val="en-AU" w:eastAsia="zh-CN"/>
        </w:rPr>
        <w:t xml:space="preserve">prior to treatment.  These patients should be monitored closely and appropriate precautions taken. </w:t>
      </w:r>
    </w:p>
    <w:p w:rsidR="0028202F" w:rsidRDefault="0028202F">
      <w:pPr>
        <w:rPr>
          <w:b/>
          <w:sz w:val="28"/>
          <w:szCs w:val="28"/>
          <w:lang w:val="en-AU"/>
        </w:rPr>
      </w:pPr>
    </w:p>
    <w:p w:rsidR="0028202F" w:rsidRDefault="0028202F">
      <w:pPr>
        <w:rPr>
          <w:b/>
          <w:sz w:val="28"/>
          <w:szCs w:val="28"/>
          <w:lang w:val="en-AU"/>
        </w:rPr>
      </w:pPr>
    </w:p>
    <w:p w:rsidR="00DD6BEB" w:rsidRDefault="00F71750" w:rsidP="009E253B">
      <w:pPr>
        <w:pStyle w:val="ListParagraph"/>
        <w:keepNext/>
        <w:numPr>
          <w:ilvl w:val="0"/>
          <w:numId w:val="46"/>
        </w:numPr>
        <w:ind w:left="1134" w:hanging="1134"/>
        <w:jc w:val="both"/>
        <w:rPr>
          <w:sz w:val="28"/>
          <w:szCs w:val="28"/>
          <w:lang w:val="en-AU"/>
        </w:rPr>
      </w:pPr>
      <w:r w:rsidRPr="00F3058E">
        <w:rPr>
          <w:b/>
          <w:sz w:val="28"/>
          <w:szCs w:val="28"/>
          <w:lang w:val="en-AU"/>
        </w:rPr>
        <w:t>Interaction with other medicines</w:t>
      </w:r>
    </w:p>
    <w:p w:rsidR="00755236" w:rsidRDefault="00755236" w:rsidP="00755236">
      <w:pPr>
        <w:rPr>
          <w:lang w:val="en-AU"/>
        </w:rPr>
      </w:pPr>
    </w:p>
    <w:p w:rsidR="00755236" w:rsidRPr="009E253B" w:rsidRDefault="00322955" w:rsidP="00322955">
      <w:pPr>
        <w:keepNext/>
        <w:ind w:left="851" w:hanging="851"/>
        <w:rPr>
          <w:b/>
          <w:lang w:val="en-AU"/>
        </w:rPr>
      </w:pPr>
      <w:r w:rsidRPr="009E253B">
        <w:rPr>
          <w:b/>
          <w:lang w:val="en-AU"/>
        </w:rPr>
        <w:t>8.1</w:t>
      </w:r>
      <w:r w:rsidRPr="009E253B">
        <w:rPr>
          <w:b/>
          <w:lang w:val="en-AU"/>
        </w:rPr>
        <w:tab/>
      </w:r>
      <w:r w:rsidR="00755236" w:rsidRPr="009E253B">
        <w:rPr>
          <w:b/>
          <w:lang w:val="en-AU"/>
        </w:rPr>
        <w:t xml:space="preserve">Effect of other medicinal products on </w:t>
      </w:r>
      <w:proofErr w:type="spellStart"/>
      <w:r w:rsidR="00755236" w:rsidRPr="009E253B">
        <w:rPr>
          <w:b/>
          <w:lang w:val="en-AU"/>
        </w:rPr>
        <w:t>pomalidomide</w:t>
      </w:r>
      <w:proofErr w:type="spellEnd"/>
    </w:p>
    <w:p w:rsidR="00755236" w:rsidRDefault="00755236" w:rsidP="00755236">
      <w:pPr>
        <w:spacing w:before="120"/>
        <w:rPr>
          <w:sz w:val="22"/>
          <w:szCs w:val="22"/>
        </w:rPr>
      </w:pPr>
      <w:proofErr w:type="spellStart"/>
      <w:r w:rsidRPr="00BB1224">
        <w:rPr>
          <w:sz w:val="22"/>
          <w:szCs w:val="22"/>
        </w:rPr>
        <w:t>Pomalidomide</w:t>
      </w:r>
      <w:proofErr w:type="spellEnd"/>
      <w:r w:rsidRPr="00BB1224">
        <w:rPr>
          <w:sz w:val="22"/>
          <w:szCs w:val="22"/>
        </w:rPr>
        <w:t xml:space="preserve"> is partly metabolized by CYP1A2 and CYP3A4/5.  It is also a substrate for P-glycoprotein. </w:t>
      </w:r>
      <w:r>
        <w:rPr>
          <w:sz w:val="22"/>
          <w:szCs w:val="22"/>
        </w:rPr>
        <w:t xml:space="preserve"> </w:t>
      </w:r>
    </w:p>
    <w:p w:rsidR="00755236" w:rsidRPr="00AB7225" w:rsidRDefault="00755236" w:rsidP="00755236">
      <w:pPr>
        <w:rPr>
          <w:sz w:val="20"/>
          <w:szCs w:val="20"/>
        </w:rPr>
      </w:pPr>
    </w:p>
    <w:p w:rsidR="00755236" w:rsidRDefault="00755236" w:rsidP="00755236">
      <w:pPr>
        <w:rPr>
          <w:noProof/>
          <w:sz w:val="22"/>
          <w:szCs w:val="22"/>
        </w:rPr>
      </w:pPr>
      <w:r w:rsidRPr="00BB1224">
        <w:rPr>
          <w:noProof/>
          <w:sz w:val="22"/>
          <w:szCs w:val="22"/>
        </w:rPr>
        <w:t xml:space="preserve">Co-administration of pomalidomide with  the strong CYP3A4/5 and P-gp inhibitor ketoconazole, or the strong CYP3A4/5 inducer carbamazepine, had no clinically relevant effect on exposure to pomalidomide.  </w:t>
      </w:r>
    </w:p>
    <w:p w:rsidR="00755236" w:rsidRPr="00AB7225" w:rsidRDefault="00755236" w:rsidP="00755236">
      <w:pPr>
        <w:rPr>
          <w:sz w:val="20"/>
          <w:szCs w:val="20"/>
        </w:rPr>
      </w:pPr>
    </w:p>
    <w:p w:rsidR="00755236" w:rsidRDefault="00755236" w:rsidP="00755236">
      <w:pPr>
        <w:rPr>
          <w:noProof/>
          <w:sz w:val="22"/>
          <w:szCs w:val="22"/>
        </w:rPr>
      </w:pPr>
      <w:r w:rsidRPr="00BB1224">
        <w:rPr>
          <w:noProof/>
          <w:sz w:val="22"/>
          <w:szCs w:val="22"/>
        </w:rPr>
        <w:t>Co-administration of the strong CYP1A2 inhibitor fluvoxamine with pomalidomide in the presence of ketoconazole, increased</w:t>
      </w:r>
      <w:r>
        <w:rPr>
          <w:noProof/>
          <w:sz w:val="22"/>
          <w:szCs w:val="22"/>
        </w:rPr>
        <w:t xml:space="preserve"> exposure to pomalidomide by 104</w:t>
      </w:r>
      <w:r w:rsidRPr="00BB1224">
        <w:rPr>
          <w:noProof/>
          <w:sz w:val="22"/>
          <w:szCs w:val="22"/>
        </w:rPr>
        <w:t>% with a 90 %</w:t>
      </w:r>
      <w:r>
        <w:rPr>
          <w:noProof/>
          <w:sz w:val="22"/>
          <w:szCs w:val="22"/>
        </w:rPr>
        <w:t xml:space="preserve"> confidence interval [88% to </w:t>
      </w:r>
      <w:r>
        <w:rPr>
          <w:noProof/>
          <w:sz w:val="22"/>
          <w:szCs w:val="22"/>
        </w:rPr>
        <w:lastRenderedPageBreak/>
        <w:t>122</w:t>
      </w:r>
      <w:r w:rsidRPr="00BB1224">
        <w:rPr>
          <w:noProof/>
          <w:sz w:val="22"/>
          <w:szCs w:val="22"/>
        </w:rPr>
        <w:t>%] compared to pomalidomide plus ketoconazole.  If strong inhibitors of CYP1A2 are coadministered with pomalidomide, patients should be closely monitored for the occurrrence of side effects.</w:t>
      </w:r>
    </w:p>
    <w:p w:rsidR="00755236" w:rsidRPr="00755236" w:rsidRDefault="00755236" w:rsidP="00755236"/>
    <w:p w:rsidR="00112E36" w:rsidRPr="009E253B" w:rsidRDefault="00322955" w:rsidP="002568DF">
      <w:pPr>
        <w:keepNext/>
        <w:ind w:left="851" w:hanging="851"/>
        <w:rPr>
          <w:b/>
          <w:lang w:val="en-AU"/>
        </w:rPr>
      </w:pPr>
      <w:r w:rsidRPr="009E253B">
        <w:rPr>
          <w:b/>
          <w:lang w:val="en-AU"/>
        </w:rPr>
        <w:t>8.2</w:t>
      </w:r>
      <w:r w:rsidRPr="009E253B">
        <w:rPr>
          <w:b/>
          <w:lang w:val="en-AU"/>
        </w:rPr>
        <w:tab/>
      </w:r>
      <w:r w:rsidR="00112E36" w:rsidRPr="009E253B">
        <w:rPr>
          <w:b/>
          <w:lang w:val="en-AU"/>
        </w:rPr>
        <w:t xml:space="preserve">Effect of </w:t>
      </w:r>
      <w:proofErr w:type="spellStart"/>
      <w:r w:rsidR="00393EED" w:rsidRPr="009E253B">
        <w:rPr>
          <w:b/>
          <w:lang w:val="en-AU"/>
        </w:rPr>
        <w:t>pomalidomide</w:t>
      </w:r>
      <w:proofErr w:type="spellEnd"/>
      <w:r w:rsidR="00112E36" w:rsidRPr="009E253B">
        <w:rPr>
          <w:b/>
          <w:lang w:val="en-AU"/>
        </w:rPr>
        <w:t xml:space="preserve"> on other medicinal products</w:t>
      </w:r>
    </w:p>
    <w:p w:rsidR="00BC2B37" w:rsidRDefault="00BC2B37" w:rsidP="00AB7225">
      <w:pPr>
        <w:spacing w:before="120"/>
        <w:rPr>
          <w:i/>
          <w:sz w:val="22"/>
          <w:szCs w:val="22"/>
          <w:lang w:val="en-AU"/>
        </w:rPr>
      </w:pPr>
      <w:r w:rsidRPr="00393EED">
        <w:rPr>
          <w:sz w:val="22"/>
          <w:szCs w:val="22"/>
        </w:rPr>
        <w:t>The potential for such drug-drug interactions has not been evaluated clinically.</w:t>
      </w:r>
    </w:p>
    <w:p w:rsidR="00755236" w:rsidRDefault="00755236" w:rsidP="00AB7225">
      <w:pPr>
        <w:spacing w:before="120"/>
        <w:rPr>
          <w:sz w:val="22"/>
          <w:szCs w:val="22"/>
          <w:lang w:val="en-AU"/>
        </w:rPr>
      </w:pPr>
      <w:r w:rsidRPr="00755236">
        <w:rPr>
          <w:i/>
          <w:sz w:val="22"/>
          <w:szCs w:val="22"/>
          <w:lang w:val="en-AU"/>
        </w:rPr>
        <w:t xml:space="preserve">In vitro </w:t>
      </w:r>
      <w:r>
        <w:rPr>
          <w:sz w:val="22"/>
          <w:szCs w:val="22"/>
          <w:lang w:val="en-AU"/>
        </w:rPr>
        <w:t>studies</w:t>
      </w:r>
    </w:p>
    <w:p w:rsidR="00112E36" w:rsidRPr="00AB7225" w:rsidRDefault="00112E36" w:rsidP="00AB7225">
      <w:pPr>
        <w:spacing w:before="120"/>
        <w:rPr>
          <w:sz w:val="22"/>
          <w:szCs w:val="22"/>
          <w:lang w:val="en-AU"/>
        </w:rPr>
      </w:pPr>
      <w:proofErr w:type="spellStart"/>
      <w:r w:rsidRPr="00112E36">
        <w:rPr>
          <w:sz w:val="22"/>
          <w:szCs w:val="22"/>
          <w:lang w:val="en-AU"/>
        </w:rPr>
        <w:t>Pomalidomide</w:t>
      </w:r>
      <w:proofErr w:type="spellEnd"/>
      <w:r w:rsidRPr="00112E36">
        <w:rPr>
          <w:sz w:val="22"/>
          <w:szCs w:val="22"/>
          <w:lang w:val="en-AU"/>
        </w:rPr>
        <w:t xml:space="preserve"> does not inhibit CYP1A2, CYP2A6, CYP2B6, CYP2C8, CYP2C9, CYP2C19, CYP2D6,</w:t>
      </w:r>
      <w:r>
        <w:rPr>
          <w:sz w:val="22"/>
          <w:szCs w:val="22"/>
          <w:lang w:val="en-AU"/>
        </w:rPr>
        <w:t xml:space="preserve"> CYP2E1 or CYP3A4/5 </w:t>
      </w:r>
      <w:r w:rsidRPr="00112E36">
        <w:rPr>
          <w:i/>
          <w:sz w:val="22"/>
          <w:szCs w:val="22"/>
          <w:lang w:val="en-AU"/>
        </w:rPr>
        <w:t>in vitro</w:t>
      </w:r>
      <w:r w:rsidRPr="00112E36">
        <w:rPr>
          <w:sz w:val="22"/>
          <w:szCs w:val="22"/>
          <w:lang w:val="en-AU"/>
        </w:rPr>
        <w:t>.</w:t>
      </w:r>
      <w:r w:rsidR="00B254F2">
        <w:rPr>
          <w:sz w:val="22"/>
          <w:szCs w:val="22"/>
          <w:lang w:val="en-AU"/>
        </w:rPr>
        <w:t xml:space="preserve"> </w:t>
      </w:r>
      <w:r w:rsidR="00F97215">
        <w:rPr>
          <w:sz w:val="22"/>
          <w:szCs w:val="22"/>
          <w:lang w:val="en-AU"/>
        </w:rPr>
        <w:t xml:space="preserve"> </w:t>
      </w:r>
      <w:r w:rsidRPr="00112E36">
        <w:rPr>
          <w:sz w:val="22"/>
          <w:szCs w:val="22"/>
          <w:lang w:val="en-AU"/>
        </w:rPr>
        <w:t xml:space="preserve">In addition, </w:t>
      </w:r>
      <w:proofErr w:type="spellStart"/>
      <w:r w:rsidRPr="00112E36">
        <w:rPr>
          <w:sz w:val="22"/>
          <w:szCs w:val="22"/>
          <w:lang w:val="en-AU"/>
        </w:rPr>
        <w:t>pomalidomide</w:t>
      </w:r>
      <w:proofErr w:type="spellEnd"/>
      <w:r w:rsidRPr="00112E36">
        <w:rPr>
          <w:sz w:val="22"/>
          <w:szCs w:val="22"/>
          <w:lang w:val="en-AU"/>
        </w:rPr>
        <w:t xml:space="preserve"> does not induce CYP1A2, CYP2B6, CYP2C9,</w:t>
      </w:r>
      <w:r>
        <w:rPr>
          <w:sz w:val="22"/>
          <w:szCs w:val="22"/>
          <w:lang w:val="en-AU"/>
        </w:rPr>
        <w:t xml:space="preserve"> </w:t>
      </w:r>
      <w:r w:rsidRPr="00112E36">
        <w:rPr>
          <w:sz w:val="22"/>
          <w:szCs w:val="22"/>
          <w:lang w:val="en-AU"/>
        </w:rPr>
        <w:t xml:space="preserve">CYP2C19 or CYP3A4/5 </w:t>
      </w:r>
      <w:r w:rsidR="00437A93" w:rsidRPr="00437A93">
        <w:rPr>
          <w:i/>
          <w:sz w:val="22"/>
          <w:szCs w:val="22"/>
          <w:lang w:val="en-AU"/>
        </w:rPr>
        <w:t>in vitro</w:t>
      </w:r>
      <w:r w:rsidRPr="00112E36">
        <w:rPr>
          <w:sz w:val="22"/>
          <w:szCs w:val="22"/>
          <w:lang w:val="en-AU"/>
        </w:rPr>
        <w:t>.</w:t>
      </w:r>
    </w:p>
    <w:p w:rsidR="007E6749" w:rsidRPr="00AB7225" w:rsidRDefault="00112E36" w:rsidP="00AB7225">
      <w:pPr>
        <w:spacing w:before="120"/>
        <w:rPr>
          <w:sz w:val="22"/>
          <w:szCs w:val="22"/>
          <w:lang w:val="en-AU"/>
        </w:rPr>
      </w:pPr>
      <w:proofErr w:type="spellStart"/>
      <w:r w:rsidRPr="00112E36">
        <w:rPr>
          <w:sz w:val="22"/>
          <w:szCs w:val="22"/>
          <w:lang w:val="en-AU"/>
        </w:rPr>
        <w:t>Pomalidomide</w:t>
      </w:r>
      <w:proofErr w:type="spellEnd"/>
      <w:r w:rsidRPr="00112E36">
        <w:rPr>
          <w:sz w:val="22"/>
          <w:szCs w:val="22"/>
          <w:lang w:val="en-AU"/>
        </w:rPr>
        <w:t xml:space="preserve"> is not an inhibitor of P-glycoprotein (P-</w:t>
      </w:r>
      <w:proofErr w:type="spellStart"/>
      <w:r w:rsidRPr="00112E36">
        <w:rPr>
          <w:sz w:val="22"/>
          <w:szCs w:val="22"/>
          <w:lang w:val="en-AU"/>
        </w:rPr>
        <w:t>gp</w:t>
      </w:r>
      <w:proofErr w:type="spellEnd"/>
      <w:r w:rsidRPr="00112E36">
        <w:rPr>
          <w:sz w:val="22"/>
          <w:szCs w:val="22"/>
          <w:lang w:val="en-AU"/>
        </w:rPr>
        <w:t>), and had little to no inhibitory effect on breast</w:t>
      </w:r>
      <w:r>
        <w:rPr>
          <w:sz w:val="22"/>
          <w:szCs w:val="22"/>
          <w:lang w:val="en-AU"/>
        </w:rPr>
        <w:t xml:space="preserve"> </w:t>
      </w:r>
      <w:r w:rsidRPr="00112E36">
        <w:rPr>
          <w:sz w:val="22"/>
          <w:szCs w:val="22"/>
          <w:lang w:val="en-AU"/>
        </w:rPr>
        <w:t>cancer resistant protein (BCRP), Organic Anion transporter Protein (OATP</w:t>
      </w:r>
      <w:proofErr w:type="gramStart"/>
      <w:r w:rsidRPr="00112E36">
        <w:rPr>
          <w:sz w:val="22"/>
          <w:szCs w:val="22"/>
          <w:lang w:val="en-AU"/>
        </w:rPr>
        <w:t>)1B1</w:t>
      </w:r>
      <w:proofErr w:type="gramEnd"/>
      <w:r w:rsidRPr="00112E36">
        <w:rPr>
          <w:sz w:val="22"/>
          <w:szCs w:val="22"/>
          <w:lang w:val="en-AU"/>
        </w:rPr>
        <w:t>, OATP1B3, Organic Anion</w:t>
      </w:r>
      <w:r>
        <w:rPr>
          <w:sz w:val="22"/>
          <w:szCs w:val="22"/>
          <w:lang w:val="en-AU"/>
        </w:rPr>
        <w:t xml:space="preserve"> </w:t>
      </w:r>
      <w:r w:rsidRPr="00112E36">
        <w:rPr>
          <w:sz w:val="22"/>
          <w:szCs w:val="22"/>
          <w:lang w:val="en-AU"/>
        </w:rPr>
        <w:t xml:space="preserve">Transporters OAT1 and OAT3 and Organic </w:t>
      </w:r>
      <w:proofErr w:type="spellStart"/>
      <w:r w:rsidRPr="00112E36">
        <w:rPr>
          <w:sz w:val="22"/>
          <w:szCs w:val="22"/>
          <w:lang w:val="en-AU"/>
        </w:rPr>
        <w:t>Cati</w:t>
      </w:r>
      <w:r>
        <w:rPr>
          <w:sz w:val="22"/>
          <w:szCs w:val="22"/>
          <w:lang w:val="en-AU"/>
        </w:rPr>
        <w:t>on</w:t>
      </w:r>
      <w:proofErr w:type="spellEnd"/>
      <w:r>
        <w:rPr>
          <w:sz w:val="22"/>
          <w:szCs w:val="22"/>
          <w:lang w:val="en-AU"/>
        </w:rPr>
        <w:t xml:space="preserve"> Transporter OCT2 based on </w:t>
      </w:r>
      <w:r w:rsidRPr="00112E36">
        <w:rPr>
          <w:i/>
          <w:sz w:val="22"/>
          <w:szCs w:val="22"/>
          <w:lang w:val="en-AU"/>
        </w:rPr>
        <w:t>in vitro</w:t>
      </w:r>
      <w:r w:rsidRPr="00112E36">
        <w:rPr>
          <w:sz w:val="22"/>
          <w:szCs w:val="22"/>
          <w:lang w:val="en-AU"/>
        </w:rPr>
        <w:t xml:space="preserve"> studies.</w:t>
      </w:r>
    </w:p>
    <w:p w:rsidR="006F239F" w:rsidRPr="00BB1224" w:rsidRDefault="006F239F" w:rsidP="00174BE4">
      <w:pPr>
        <w:rPr>
          <w:noProof/>
          <w:sz w:val="22"/>
          <w:szCs w:val="22"/>
        </w:rPr>
      </w:pPr>
    </w:p>
    <w:p w:rsidR="00112E36" w:rsidRPr="009E253B" w:rsidRDefault="00322955" w:rsidP="00322955">
      <w:pPr>
        <w:keepNext/>
        <w:ind w:left="851" w:hanging="851"/>
        <w:rPr>
          <w:b/>
          <w:lang w:val="en-AU"/>
        </w:rPr>
      </w:pPr>
      <w:r w:rsidRPr="009E253B">
        <w:rPr>
          <w:b/>
          <w:lang w:val="en-AU"/>
        </w:rPr>
        <w:t>8.3</w:t>
      </w:r>
      <w:r w:rsidRPr="009E253B">
        <w:rPr>
          <w:b/>
          <w:lang w:val="en-AU"/>
        </w:rPr>
        <w:tab/>
      </w:r>
      <w:r w:rsidR="00112E36" w:rsidRPr="009E253B">
        <w:rPr>
          <w:b/>
          <w:lang w:val="en-AU"/>
        </w:rPr>
        <w:t>Dexamethasone</w:t>
      </w:r>
    </w:p>
    <w:p w:rsidR="00BB1224" w:rsidRDefault="00BB1224" w:rsidP="00BB1224">
      <w:pPr>
        <w:spacing w:before="120"/>
        <w:rPr>
          <w:sz w:val="22"/>
          <w:szCs w:val="22"/>
        </w:rPr>
      </w:pPr>
      <w:r w:rsidRPr="00BB1224">
        <w:rPr>
          <w:sz w:val="22"/>
          <w:szCs w:val="22"/>
        </w:rPr>
        <w:t xml:space="preserve">Co-administration of multiple doses of 4 mg </w:t>
      </w:r>
      <w:proofErr w:type="spellStart"/>
      <w:r w:rsidRPr="00BB1224">
        <w:rPr>
          <w:sz w:val="22"/>
          <w:szCs w:val="22"/>
        </w:rPr>
        <w:t>pomalidomide</w:t>
      </w:r>
      <w:proofErr w:type="spellEnd"/>
      <w:r w:rsidRPr="00BB1224">
        <w:rPr>
          <w:sz w:val="22"/>
          <w:szCs w:val="22"/>
        </w:rPr>
        <w:t xml:space="preserve"> with 20 mg to 40 mg dexamethasone (a weak to moderate inducer of several CYP enzymes including CYP3A) to patients with multiple myeloma had no effect on the pharmacokinetics of </w:t>
      </w:r>
      <w:proofErr w:type="spellStart"/>
      <w:r w:rsidRPr="00BB1224">
        <w:rPr>
          <w:sz w:val="22"/>
          <w:szCs w:val="22"/>
        </w:rPr>
        <w:t>pomalidomide</w:t>
      </w:r>
      <w:proofErr w:type="spellEnd"/>
      <w:r w:rsidRPr="00BB1224">
        <w:rPr>
          <w:sz w:val="22"/>
          <w:szCs w:val="22"/>
        </w:rPr>
        <w:t xml:space="preserve"> compared with </w:t>
      </w:r>
      <w:proofErr w:type="spellStart"/>
      <w:r w:rsidRPr="00BB1224">
        <w:rPr>
          <w:sz w:val="22"/>
          <w:szCs w:val="22"/>
        </w:rPr>
        <w:t>pomalidomide</w:t>
      </w:r>
      <w:proofErr w:type="spellEnd"/>
      <w:r w:rsidRPr="00BB1224">
        <w:rPr>
          <w:sz w:val="22"/>
          <w:szCs w:val="22"/>
        </w:rPr>
        <w:t xml:space="preserve"> administered alone.  Dexamethasone is a weak to moderate enzyme inducer and its effect on warfarin is unknown. Close monitoring of warfarin concentration is advised during treatment.</w:t>
      </w:r>
    </w:p>
    <w:p w:rsidR="00BE7837" w:rsidRPr="00BB1224" w:rsidRDefault="00BE7837" w:rsidP="00BB1224">
      <w:pPr>
        <w:spacing w:before="120"/>
        <w:rPr>
          <w:sz w:val="22"/>
          <w:szCs w:val="22"/>
        </w:rPr>
      </w:pPr>
    </w:p>
    <w:p w:rsidR="0013442D" w:rsidRPr="002568DF" w:rsidRDefault="00322955" w:rsidP="00322955">
      <w:pPr>
        <w:ind w:left="851" w:hanging="851"/>
        <w:rPr>
          <w:b/>
          <w:lang w:val="en-AU"/>
        </w:rPr>
      </w:pPr>
      <w:r w:rsidRPr="002568DF">
        <w:rPr>
          <w:b/>
          <w:lang w:val="en-AU"/>
        </w:rPr>
        <w:t>8.4</w:t>
      </w:r>
      <w:r w:rsidRPr="002568DF">
        <w:rPr>
          <w:b/>
          <w:lang w:val="en-AU"/>
        </w:rPr>
        <w:tab/>
      </w:r>
      <w:r w:rsidR="00112E36" w:rsidRPr="002568DF">
        <w:rPr>
          <w:b/>
          <w:lang w:val="en-AU"/>
        </w:rPr>
        <w:t>Other forms of interaction</w:t>
      </w:r>
    </w:p>
    <w:p w:rsidR="0013442D" w:rsidRDefault="0013442D" w:rsidP="0013442D">
      <w:pPr>
        <w:autoSpaceDE w:val="0"/>
        <w:autoSpaceDN w:val="0"/>
        <w:adjustRightInd w:val="0"/>
        <w:spacing w:before="120"/>
        <w:rPr>
          <w:sz w:val="22"/>
          <w:szCs w:val="22"/>
          <w:lang w:val="en-AU"/>
        </w:rPr>
      </w:pPr>
      <w:r>
        <w:rPr>
          <w:sz w:val="22"/>
          <w:szCs w:val="22"/>
        </w:rPr>
        <w:t>During</w:t>
      </w:r>
      <w:r w:rsidRPr="005900B8">
        <w:rPr>
          <w:sz w:val="22"/>
          <w:szCs w:val="22"/>
        </w:rPr>
        <w:t xml:space="preserve"> the pivotal clinical study CC</w:t>
      </w:r>
      <w:r>
        <w:rPr>
          <w:sz w:val="22"/>
          <w:szCs w:val="22"/>
        </w:rPr>
        <w:t xml:space="preserve">-4047-MM-003 </w:t>
      </w:r>
      <w:proofErr w:type="spellStart"/>
      <w:r>
        <w:rPr>
          <w:sz w:val="22"/>
          <w:szCs w:val="22"/>
        </w:rPr>
        <w:t>pomalidomide</w:t>
      </w:r>
      <w:proofErr w:type="spellEnd"/>
      <w:r>
        <w:rPr>
          <w:sz w:val="22"/>
          <w:szCs w:val="22"/>
        </w:rPr>
        <w:t xml:space="preserve"> was administered</w:t>
      </w:r>
      <w:r w:rsidRPr="005900B8">
        <w:rPr>
          <w:sz w:val="22"/>
          <w:szCs w:val="22"/>
        </w:rPr>
        <w:t xml:space="preserve"> without regard to food.  </w:t>
      </w:r>
      <w:r>
        <w:rPr>
          <w:sz w:val="22"/>
          <w:szCs w:val="22"/>
        </w:rPr>
        <w:t xml:space="preserve">In addition, PK data support that </w:t>
      </w:r>
      <w:r>
        <w:rPr>
          <w:sz w:val="22"/>
          <w:szCs w:val="22"/>
          <w:lang w:val="en-AU"/>
        </w:rPr>
        <w:t>c</w:t>
      </w:r>
      <w:r w:rsidRPr="00307630">
        <w:rPr>
          <w:sz w:val="22"/>
          <w:szCs w:val="22"/>
          <w:lang w:val="en-AU"/>
        </w:rPr>
        <w:t>o</w:t>
      </w:r>
      <w:r>
        <w:rPr>
          <w:sz w:val="22"/>
          <w:szCs w:val="22"/>
          <w:lang w:val="en-AU"/>
        </w:rPr>
        <w:t>-</w:t>
      </w:r>
      <w:r w:rsidRPr="00307630">
        <w:rPr>
          <w:sz w:val="22"/>
          <w:szCs w:val="22"/>
          <w:lang w:val="en-AU"/>
        </w:rPr>
        <w:t xml:space="preserve">administration </w:t>
      </w:r>
      <w:r>
        <w:rPr>
          <w:sz w:val="22"/>
          <w:szCs w:val="22"/>
          <w:lang w:val="en-AU"/>
        </w:rPr>
        <w:t xml:space="preserve">of </w:t>
      </w:r>
      <w:proofErr w:type="spellStart"/>
      <w:r>
        <w:rPr>
          <w:sz w:val="22"/>
          <w:szCs w:val="22"/>
          <w:lang w:val="en-AU"/>
        </w:rPr>
        <w:t>pomalidomide</w:t>
      </w:r>
      <w:proofErr w:type="spellEnd"/>
      <w:r>
        <w:rPr>
          <w:sz w:val="22"/>
          <w:szCs w:val="22"/>
          <w:lang w:val="en-AU"/>
        </w:rPr>
        <w:t xml:space="preserve"> </w:t>
      </w:r>
      <w:r w:rsidRPr="00307630">
        <w:rPr>
          <w:sz w:val="22"/>
          <w:szCs w:val="22"/>
          <w:lang w:val="en-AU"/>
        </w:rPr>
        <w:t xml:space="preserve">with a high-fat and high-calorie meal has </w:t>
      </w:r>
      <w:r>
        <w:rPr>
          <w:sz w:val="22"/>
          <w:szCs w:val="22"/>
          <w:lang w:val="en-AU"/>
        </w:rPr>
        <w:t xml:space="preserve">a </w:t>
      </w:r>
      <w:r w:rsidRPr="00307630">
        <w:rPr>
          <w:sz w:val="22"/>
          <w:szCs w:val="22"/>
          <w:lang w:val="en-AU"/>
        </w:rPr>
        <w:t xml:space="preserve">minimal effect on the overall extent </w:t>
      </w:r>
      <w:r>
        <w:rPr>
          <w:sz w:val="22"/>
          <w:szCs w:val="22"/>
          <w:lang w:val="en-AU"/>
        </w:rPr>
        <w:t xml:space="preserve">of absorption; see section </w:t>
      </w:r>
      <w:r w:rsidR="007138B5">
        <w:rPr>
          <w:sz w:val="22"/>
          <w:szCs w:val="22"/>
          <w:lang w:val="en-AU"/>
        </w:rPr>
        <w:t>3-</w:t>
      </w:r>
      <w:r>
        <w:rPr>
          <w:sz w:val="22"/>
          <w:szCs w:val="22"/>
          <w:lang w:val="en-AU"/>
        </w:rPr>
        <w:t>Pharmacology.</w:t>
      </w:r>
      <w:r w:rsidRPr="00307630">
        <w:rPr>
          <w:sz w:val="22"/>
          <w:szCs w:val="22"/>
          <w:lang w:val="en-AU"/>
        </w:rPr>
        <w:t xml:space="preserve"> </w:t>
      </w:r>
      <w:r>
        <w:rPr>
          <w:sz w:val="22"/>
          <w:szCs w:val="22"/>
          <w:lang w:val="en-AU"/>
        </w:rPr>
        <w:t xml:space="preserve"> </w:t>
      </w:r>
    </w:p>
    <w:p w:rsidR="0013442D" w:rsidRPr="005900B8" w:rsidRDefault="0013442D" w:rsidP="0013442D">
      <w:pPr>
        <w:spacing w:before="120"/>
        <w:rPr>
          <w:sz w:val="22"/>
          <w:szCs w:val="22"/>
          <w:lang w:val="en-AU"/>
        </w:rPr>
      </w:pPr>
      <w:r w:rsidRPr="005900B8">
        <w:rPr>
          <w:sz w:val="22"/>
          <w:szCs w:val="22"/>
        </w:rPr>
        <w:t>Therefore</w:t>
      </w:r>
      <w:r>
        <w:rPr>
          <w:sz w:val="22"/>
          <w:szCs w:val="22"/>
        </w:rPr>
        <w:t>,</w:t>
      </w:r>
      <w:r w:rsidRPr="005900B8">
        <w:rPr>
          <w:sz w:val="22"/>
          <w:szCs w:val="22"/>
        </w:rPr>
        <w:t xml:space="preserve"> </w:t>
      </w:r>
      <w:proofErr w:type="spellStart"/>
      <w:r w:rsidRPr="005900B8">
        <w:rPr>
          <w:sz w:val="22"/>
          <w:szCs w:val="22"/>
        </w:rPr>
        <w:t>pomalidomide</w:t>
      </w:r>
      <w:proofErr w:type="spellEnd"/>
      <w:r w:rsidRPr="005900B8">
        <w:rPr>
          <w:sz w:val="22"/>
          <w:szCs w:val="22"/>
        </w:rPr>
        <w:t xml:space="preserve"> can be administered without regard to food intake</w:t>
      </w:r>
      <w:r w:rsidRPr="005900B8">
        <w:rPr>
          <w:sz w:val="22"/>
          <w:szCs w:val="22"/>
          <w:lang w:val="en-AU"/>
        </w:rPr>
        <w:t xml:space="preserve">; see section </w:t>
      </w:r>
      <w:r w:rsidR="007138B5">
        <w:rPr>
          <w:sz w:val="22"/>
          <w:szCs w:val="22"/>
          <w:lang w:val="en-AU"/>
        </w:rPr>
        <w:t>10</w:t>
      </w:r>
      <w:r w:rsidRPr="005900B8">
        <w:rPr>
          <w:sz w:val="22"/>
          <w:szCs w:val="22"/>
          <w:lang w:val="en-AU"/>
        </w:rPr>
        <w:t>-Dosage and administration.</w:t>
      </w:r>
    </w:p>
    <w:p w:rsidR="00CE32D8" w:rsidRDefault="00CE32D8" w:rsidP="004475F5">
      <w:pPr>
        <w:jc w:val="both"/>
        <w:rPr>
          <w:sz w:val="22"/>
          <w:szCs w:val="22"/>
          <w:lang w:val="en-AU"/>
        </w:rPr>
      </w:pPr>
    </w:p>
    <w:p w:rsidR="00CE32D8" w:rsidRPr="005900B8" w:rsidRDefault="00CE32D8" w:rsidP="004475F5">
      <w:pPr>
        <w:jc w:val="both"/>
        <w:rPr>
          <w:sz w:val="22"/>
          <w:szCs w:val="22"/>
          <w:lang w:val="en-AU"/>
        </w:rPr>
      </w:pPr>
    </w:p>
    <w:p w:rsidR="00DD6BEB" w:rsidRDefault="00F71750" w:rsidP="009E253B">
      <w:pPr>
        <w:pStyle w:val="ListParagraph"/>
        <w:keepNext/>
        <w:numPr>
          <w:ilvl w:val="0"/>
          <w:numId w:val="46"/>
        </w:numPr>
        <w:tabs>
          <w:tab w:val="left" w:pos="1134"/>
        </w:tabs>
        <w:ind w:left="1134" w:hanging="1134"/>
        <w:jc w:val="both"/>
        <w:rPr>
          <w:b/>
          <w:sz w:val="28"/>
          <w:szCs w:val="28"/>
          <w:lang w:val="en-AU"/>
        </w:rPr>
      </w:pPr>
      <w:r w:rsidRPr="003D303D">
        <w:rPr>
          <w:b/>
          <w:sz w:val="28"/>
          <w:szCs w:val="28"/>
          <w:lang w:val="en-AU"/>
        </w:rPr>
        <w:t>Adverse effects</w:t>
      </w:r>
    </w:p>
    <w:p w:rsidR="00A67DC4" w:rsidRDefault="00A67DC4" w:rsidP="00AB7225">
      <w:pPr>
        <w:autoSpaceDE w:val="0"/>
        <w:autoSpaceDN w:val="0"/>
        <w:adjustRightInd w:val="0"/>
        <w:spacing w:before="120"/>
        <w:rPr>
          <w:color w:val="000000"/>
          <w:sz w:val="22"/>
          <w:szCs w:val="22"/>
          <w:lang w:val="en-US" w:eastAsia="zh-CN"/>
        </w:rPr>
      </w:pPr>
      <w:r w:rsidRPr="00A67DC4">
        <w:rPr>
          <w:color w:val="000000"/>
          <w:sz w:val="22"/>
          <w:szCs w:val="22"/>
          <w:lang w:val="en-US" w:eastAsia="zh-CN"/>
        </w:rPr>
        <w:t xml:space="preserve">In </w:t>
      </w:r>
      <w:r w:rsidR="008E5F61">
        <w:rPr>
          <w:color w:val="000000"/>
          <w:sz w:val="22"/>
          <w:szCs w:val="22"/>
          <w:lang w:val="en-US" w:eastAsia="zh-CN"/>
        </w:rPr>
        <w:t xml:space="preserve">the </w:t>
      </w:r>
      <w:proofErr w:type="spellStart"/>
      <w:r w:rsidRPr="00A67DC4">
        <w:rPr>
          <w:color w:val="000000"/>
          <w:sz w:val="22"/>
          <w:szCs w:val="22"/>
          <w:lang w:val="en-US" w:eastAsia="zh-CN"/>
        </w:rPr>
        <w:t>randomised</w:t>
      </w:r>
      <w:proofErr w:type="spellEnd"/>
      <w:r w:rsidRPr="00A67DC4">
        <w:rPr>
          <w:color w:val="000000"/>
          <w:sz w:val="22"/>
          <w:szCs w:val="22"/>
          <w:lang w:val="en-US" w:eastAsia="zh-CN"/>
        </w:rPr>
        <w:t xml:space="preserve"> study (CC-4047-MM-003), 302 patients with relapsed and refractory MM were exposed to</w:t>
      </w:r>
      <w:r>
        <w:rPr>
          <w:color w:val="000000"/>
          <w:sz w:val="22"/>
          <w:szCs w:val="22"/>
          <w:lang w:val="en-US" w:eastAsia="zh-CN"/>
        </w:rPr>
        <w:t xml:space="preserve"> </w:t>
      </w:r>
      <w:r w:rsidRPr="00A67DC4">
        <w:rPr>
          <w:color w:val="000000"/>
          <w:sz w:val="22"/>
          <w:szCs w:val="22"/>
          <w:lang w:val="en-US" w:eastAsia="zh-CN"/>
        </w:rPr>
        <w:t xml:space="preserve">4 mg </w:t>
      </w:r>
      <w:proofErr w:type="spellStart"/>
      <w:r w:rsidRPr="00A67DC4">
        <w:rPr>
          <w:color w:val="000000"/>
          <w:sz w:val="22"/>
          <w:szCs w:val="22"/>
          <w:lang w:val="en-US" w:eastAsia="zh-CN"/>
        </w:rPr>
        <w:t>pomalidomide</w:t>
      </w:r>
      <w:proofErr w:type="spellEnd"/>
      <w:r w:rsidR="00CE32D8">
        <w:rPr>
          <w:color w:val="000000"/>
          <w:sz w:val="22"/>
          <w:szCs w:val="22"/>
          <w:lang w:val="en-US" w:eastAsia="zh-CN"/>
        </w:rPr>
        <w:t xml:space="preserve"> administered once daily for 21 </w:t>
      </w:r>
      <w:r w:rsidRPr="00A67DC4">
        <w:rPr>
          <w:color w:val="000000"/>
          <w:sz w:val="22"/>
          <w:szCs w:val="22"/>
          <w:lang w:val="en-US" w:eastAsia="zh-CN"/>
        </w:rPr>
        <w:t>days of each 28 day cycle in combination with a weekly</w:t>
      </w:r>
      <w:r>
        <w:rPr>
          <w:color w:val="000000"/>
          <w:sz w:val="22"/>
          <w:szCs w:val="22"/>
          <w:lang w:val="en-US" w:eastAsia="zh-CN"/>
        </w:rPr>
        <w:t xml:space="preserve"> </w:t>
      </w:r>
      <w:r w:rsidRPr="00A67DC4">
        <w:rPr>
          <w:color w:val="000000"/>
          <w:sz w:val="22"/>
          <w:szCs w:val="22"/>
          <w:lang w:val="en-US" w:eastAsia="zh-CN"/>
        </w:rPr>
        <w:t>low dose of dexamethasone.</w:t>
      </w:r>
      <w:r>
        <w:rPr>
          <w:color w:val="000000"/>
          <w:sz w:val="22"/>
          <w:szCs w:val="22"/>
          <w:lang w:val="en-US" w:eastAsia="zh-CN"/>
        </w:rPr>
        <w:t xml:space="preserve">  </w:t>
      </w:r>
      <w:r w:rsidRPr="00A67DC4">
        <w:rPr>
          <w:color w:val="000000"/>
          <w:sz w:val="22"/>
          <w:szCs w:val="22"/>
          <w:lang w:val="en-US" w:eastAsia="zh-CN"/>
        </w:rPr>
        <w:t>The most commonly report</w:t>
      </w:r>
      <w:r w:rsidR="003F3CE0">
        <w:rPr>
          <w:color w:val="000000"/>
          <w:sz w:val="22"/>
          <w:szCs w:val="22"/>
          <w:lang w:val="en-US" w:eastAsia="zh-CN"/>
        </w:rPr>
        <w:t xml:space="preserve">ed adverse </w:t>
      </w:r>
      <w:r w:rsidR="00372DB6">
        <w:rPr>
          <w:color w:val="000000"/>
          <w:sz w:val="22"/>
          <w:szCs w:val="22"/>
          <w:lang w:val="en-US" w:eastAsia="zh-CN"/>
        </w:rPr>
        <w:t xml:space="preserve">events </w:t>
      </w:r>
      <w:r w:rsidR="003F3CE0">
        <w:rPr>
          <w:color w:val="000000"/>
          <w:sz w:val="22"/>
          <w:szCs w:val="22"/>
          <w:lang w:val="en-US" w:eastAsia="zh-CN"/>
        </w:rPr>
        <w:t>were</w:t>
      </w:r>
      <w:r w:rsidRPr="00A67DC4">
        <w:rPr>
          <w:color w:val="000000"/>
          <w:sz w:val="22"/>
          <w:szCs w:val="22"/>
          <w:lang w:val="en-US" w:eastAsia="zh-CN"/>
        </w:rPr>
        <w:t xml:space="preserve"> blood and lymphatic system disorders including</w:t>
      </w:r>
      <w:r>
        <w:rPr>
          <w:color w:val="000000"/>
          <w:sz w:val="22"/>
          <w:szCs w:val="22"/>
          <w:lang w:val="en-US" w:eastAsia="zh-CN"/>
        </w:rPr>
        <w:t xml:space="preserve"> </w:t>
      </w:r>
      <w:proofErr w:type="spellStart"/>
      <w:r w:rsidRPr="00A67DC4">
        <w:rPr>
          <w:color w:val="000000"/>
          <w:sz w:val="22"/>
          <w:szCs w:val="22"/>
          <w:lang w:val="en-US" w:eastAsia="zh-CN"/>
        </w:rPr>
        <w:t>anaemia</w:t>
      </w:r>
      <w:proofErr w:type="spellEnd"/>
      <w:r w:rsidRPr="00A67DC4">
        <w:rPr>
          <w:color w:val="000000"/>
          <w:sz w:val="22"/>
          <w:szCs w:val="22"/>
          <w:lang w:val="en-US" w:eastAsia="zh-CN"/>
        </w:rPr>
        <w:t xml:space="preserve"> (45.7%), neutropenia (45.3%)</w:t>
      </w:r>
      <w:r w:rsidR="003F3CE0">
        <w:rPr>
          <w:color w:val="000000"/>
          <w:sz w:val="22"/>
          <w:szCs w:val="22"/>
          <w:lang w:val="en-US" w:eastAsia="zh-CN"/>
        </w:rPr>
        <w:t xml:space="preserve"> and thrombocytopenia (27%); </w:t>
      </w:r>
      <w:r w:rsidRPr="00A67DC4">
        <w:rPr>
          <w:color w:val="000000"/>
          <w:sz w:val="22"/>
          <w:szCs w:val="22"/>
          <w:lang w:val="en-US" w:eastAsia="zh-CN"/>
        </w:rPr>
        <w:t>general disorders and administration</w:t>
      </w:r>
      <w:r>
        <w:rPr>
          <w:color w:val="000000"/>
          <w:sz w:val="22"/>
          <w:szCs w:val="22"/>
          <w:lang w:val="en-US" w:eastAsia="zh-CN"/>
        </w:rPr>
        <w:t xml:space="preserve"> </w:t>
      </w:r>
      <w:r w:rsidRPr="00A67DC4">
        <w:rPr>
          <w:color w:val="000000"/>
          <w:sz w:val="22"/>
          <w:szCs w:val="22"/>
          <w:lang w:val="en-US" w:eastAsia="zh-CN"/>
        </w:rPr>
        <w:t xml:space="preserve">site conditions including fatigue (28.3%), pyrexia (21%) and </w:t>
      </w:r>
      <w:proofErr w:type="spellStart"/>
      <w:r w:rsidR="003F3CE0">
        <w:rPr>
          <w:color w:val="000000"/>
          <w:sz w:val="22"/>
          <w:szCs w:val="22"/>
          <w:lang w:val="en-US" w:eastAsia="zh-CN"/>
        </w:rPr>
        <w:t>oedema</w:t>
      </w:r>
      <w:proofErr w:type="spellEnd"/>
      <w:r w:rsidR="003F3CE0">
        <w:rPr>
          <w:color w:val="000000"/>
          <w:sz w:val="22"/>
          <w:szCs w:val="22"/>
          <w:lang w:val="en-US" w:eastAsia="zh-CN"/>
        </w:rPr>
        <w:t xml:space="preserve"> peripheral (13%); and </w:t>
      </w:r>
      <w:r w:rsidRPr="00A67DC4">
        <w:rPr>
          <w:color w:val="000000"/>
          <w:sz w:val="22"/>
          <w:szCs w:val="22"/>
          <w:lang w:val="en-US" w:eastAsia="zh-CN"/>
        </w:rPr>
        <w:t>infections and</w:t>
      </w:r>
      <w:r>
        <w:rPr>
          <w:color w:val="000000"/>
          <w:sz w:val="22"/>
          <w:szCs w:val="22"/>
          <w:lang w:val="en-US" w:eastAsia="zh-CN"/>
        </w:rPr>
        <w:t xml:space="preserve"> </w:t>
      </w:r>
      <w:r w:rsidRPr="00A67DC4">
        <w:rPr>
          <w:color w:val="000000"/>
          <w:sz w:val="22"/>
          <w:szCs w:val="22"/>
          <w:lang w:val="en-US" w:eastAsia="zh-CN"/>
        </w:rPr>
        <w:t>infestations including pneumonia (10.7%).</w:t>
      </w:r>
      <w:r>
        <w:rPr>
          <w:color w:val="000000"/>
          <w:sz w:val="22"/>
          <w:szCs w:val="22"/>
          <w:lang w:val="en-US" w:eastAsia="zh-CN"/>
        </w:rPr>
        <w:t xml:space="preserve"> </w:t>
      </w:r>
    </w:p>
    <w:p w:rsidR="00F75D28" w:rsidRDefault="00F75D28" w:rsidP="00F75D28">
      <w:pPr>
        <w:rPr>
          <w:lang w:val="en-US" w:eastAsia="zh-CN"/>
        </w:rPr>
      </w:pPr>
    </w:p>
    <w:p w:rsidR="00A67DC4" w:rsidRPr="00F75D28" w:rsidRDefault="00A67DC4" w:rsidP="00F75D28">
      <w:pPr>
        <w:rPr>
          <w:color w:val="1F497D"/>
          <w:sz w:val="22"/>
          <w:szCs w:val="22"/>
          <w:lang w:val="en-US" w:eastAsia="zh-CN"/>
        </w:rPr>
      </w:pPr>
      <w:r w:rsidRPr="00F75D28">
        <w:rPr>
          <w:sz w:val="22"/>
          <w:szCs w:val="22"/>
          <w:lang w:val="en-US" w:eastAsia="zh-CN"/>
        </w:rPr>
        <w:t xml:space="preserve">Adverse </w:t>
      </w:r>
      <w:r w:rsidR="007567C9">
        <w:rPr>
          <w:sz w:val="22"/>
          <w:szCs w:val="22"/>
          <w:lang w:val="en-US" w:eastAsia="zh-CN"/>
        </w:rPr>
        <w:t>events</w:t>
      </w:r>
      <w:r w:rsidR="007567C9" w:rsidRPr="00F75D28">
        <w:rPr>
          <w:sz w:val="22"/>
          <w:szCs w:val="22"/>
          <w:lang w:val="en-US" w:eastAsia="zh-CN"/>
        </w:rPr>
        <w:t xml:space="preserve"> </w:t>
      </w:r>
      <w:r w:rsidRPr="00F75D28">
        <w:rPr>
          <w:sz w:val="22"/>
          <w:szCs w:val="22"/>
          <w:lang w:val="en-US" w:eastAsia="zh-CN"/>
        </w:rPr>
        <w:t xml:space="preserve">tended to occur more frequently within the first 2 cycles of treatment with </w:t>
      </w:r>
      <w:proofErr w:type="spellStart"/>
      <w:r w:rsidRPr="00F75D28">
        <w:rPr>
          <w:sz w:val="22"/>
          <w:szCs w:val="22"/>
          <w:lang w:val="en-US" w:eastAsia="zh-CN"/>
        </w:rPr>
        <w:t>pomalidomide</w:t>
      </w:r>
      <w:proofErr w:type="spellEnd"/>
      <w:r w:rsidRPr="00F75D28">
        <w:rPr>
          <w:color w:val="1F497D"/>
          <w:sz w:val="22"/>
          <w:szCs w:val="22"/>
          <w:lang w:val="en-US" w:eastAsia="zh-CN"/>
        </w:rPr>
        <w:t>.</w:t>
      </w:r>
    </w:p>
    <w:p w:rsidR="00F75D28" w:rsidRDefault="00F75D28" w:rsidP="00F75D28">
      <w:pPr>
        <w:rPr>
          <w:color w:val="1F497D"/>
          <w:lang w:val="en-US" w:eastAsia="zh-CN"/>
        </w:rPr>
      </w:pPr>
    </w:p>
    <w:p w:rsidR="005A52B5" w:rsidRPr="003F3CE0" w:rsidRDefault="003F3CE0" w:rsidP="003F3CE0">
      <w:pPr>
        <w:jc w:val="both"/>
        <w:rPr>
          <w:sz w:val="22"/>
          <w:szCs w:val="22"/>
          <w:lang w:val="en-US"/>
        </w:rPr>
      </w:pPr>
      <w:r w:rsidRPr="00F77E74">
        <w:rPr>
          <w:sz w:val="22"/>
          <w:szCs w:val="22"/>
          <w:lang w:val="en-AU"/>
        </w:rPr>
        <w:t>Table </w:t>
      </w:r>
      <w:r w:rsidR="00136419">
        <w:rPr>
          <w:sz w:val="22"/>
          <w:szCs w:val="22"/>
          <w:lang w:val="en-AU"/>
        </w:rPr>
        <w:t>3</w:t>
      </w:r>
      <w:r w:rsidRPr="00F77E74">
        <w:rPr>
          <w:sz w:val="22"/>
          <w:szCs w:val="22"/>
          <w:lang w:val="en-AU"/>
        </w:rPr>
        <w:t xml:space="preserve"> shows the adverse </w:t>
      </w:r>
      <w:r>
        <w:rPr>
          <w:sz w:val="22"/>
          <w:szCs w:val="22"/>
          <w:lang w:val="en-AU"/>
        </w:rPr>
        <w:t>events</w:t>
      </w:r>
      <w:r w:rsidRPr="00F77E74">
        <w:rPr>
          <w:sz w:val="22"/>
          <w:szCs w:val="22"/>
          <w:lang w:val="en-AU"/>
        </w:rPr>
        <w:t xml:space="preserve"> that occurred at a frequency of greater than or </w:t>
      </w:r>
      <w:r>
        <w:rPr>
          <w:sz w:val="22"/>
          <w:szCs w:val="22"/>
          <w:lang w:val="en-AU"/>
        </w:rPr>
        <w:t xml:space="preserve">equal to 10% in either of the arms in </w:t>
      </w:r>
      <w:r w:rsidRPr="003F3CE0">
        <w:rPr>
          <w:sz w:val="22"/>
          <w:szCs w:val="22"/>
          <w:lang w:val="en-AU"/>
        </w:rPr>
        <w:t xml:space="preserve">study </w:t>
      </w:r>
      <w:r w:rsidRPr="003F3CE0">
        <w:rPr>
          <w:sz w:val="22"/>
          <w:szCs w:val="22"/>
          <w:lang w:val="en-US" w:eastAsia="zh-CN"/>
        </w:rPr>
        <w:t>CC-4047-MM-003</w:t>
      </w:r>
      <w:r>
        <w:rPr>
          <w:sz w:val="22"/>
          <w:szCs w:val="22"/>
          <w:lang w:val="en-US" w:eastAsia="zh-CN"/>
        </w:rPr>
        <w:t>.</w:t>
      </w:r>
    </w:p>
    <w:p w:rsidR="00BE7837" w:rsidRDefault="00BE7837">
      <w:pPr>
        <w:rPr>
          <w:b/>
          <w:lang w:val="en-AU"/>
        </w:rPr>
      </w:pPr>
      <w:r>
        <w:rPr>
          <w:b/>
          <w:lang w:val="en-AU"/>
        </w:rPr>
        <w:br w:type="page"/>
      </w:r>
    </w:p>
    <w:p w:rsidR="0066127E" w:rsidRPr="0097537A" w:rsidRDefault="002A6415" w:rsidP="009017AB">
      <w:pPr>
        <w:keepNext/>
        <w:spacing w:after="120"/>
        <w:ind w:left="851" w:hanging="851"/>
        <w:rPr>
          <w:b/>
          <w:sz w:val="22"/>
          <w:szCs w:val="22"/>
          <w:lang w:val="en-AU"/>
        </w:rPr>
      </w:pPr>
      <w:r w:rsidRPr="0097537A">
        <w:rPr>
          <w:b/>
          <w:sz w:val="22"/>
          <w:szCs w:val="22"/>
          <w:lang w:val="en-AU"/>
        </w:rPr>
        <w:lastRenderedPageBreak/>
        <w:t xml:space="preserve">Table </w:t>
      </w:r>
      <w:r w:rsidR="00136419">
        <w:rPr>
          <w:b/>
          <w:sz w:val="22"/>
          <w:szCs w:val="22"/>
          <w:lang w:val="en-AU"/>
        </w:rPr>
        <w:t>3</w:t>
      </w:r>
      <w:r w:rsidR="009017AB">
        <w:rPr>
          <w:b/>
          <w:sz w:val="22"/>
          <w:szCs w:val="22"/>
          <w:lang w:val="en-AU"/>
        </w:rPr>
        <w:t xml:space="preserve"> - </w:t>
      </w:r>
      <w:r w:rsidR="00901662" w:rsidRPr="0097537A">
        <w:rPr>
          <w:b/>
          <w:sz w:val="22"/>
          <w:szCs w:val="22"/>
          <w:lang w:val="en-AU"/>
        </w:rPr>
        <w:t>Most F</w:t>
      </w:r>
      <w:r w:rsidR="007D0267" w:rsidRPr="0097537A">
        <w:rPr>
          <w:b/>
          <w:sz w:val="22"/>
          <w:szCs w:val="22"/>
          <w:lang w:val="en-AU"/>
        </w:rPr>
        <w:t xml:space="preserve">requently </w:t>
      </w:r>
      <w:r w:rsidR="00901662" w:rsidRPr="0097537A">
        <w:rPr>
          <w:b/>
          <w:sz w:val="22"/>
          <w:szCs w:val="22"/>
          <w:lang w:val="en-AU"/>
        </w:rPr>
        <w:t>R</w:t>
      </w:r>
      <w:r w:rsidR="007D0267" w:rsidRPr="0097537A">
        <w:rPr>
          <w:b/>
          <w:sz w:val="22"/>
          <w:szCs w:val="22"/>
          <w:lang w:val="en-AU"/>
        </w:rPr>
        <w:t>eported</w:t>
      </w:r>
      <w:r w:rsidR="00901662" w:rsidRPr="0097537A">
        <w:rPr>
          <w:b/>
          <w:sz w:val="22"/>
          <w:szCs w:val="22"/>
          <w:lang w:val="en-AU"/>
        </w:rPr>
        <w:t xml:space="preserve"> T</w:t>
      </w:r>
      <w:r w:rsidR="00345117" w:rsidRPr="0097537A">
        <w:rPr>
          <w:b/>
          <w:sz w:val="22"/>
          <w:szCs w:val="22"/>
          <w:lang w:val="en-AU"/>
        </w:rPr>
        <w:t>reatment</w:t>
      </w:r>
      <w:r w:rsidR="00F44654" w:rsidRPr="0097537A">
        <w:rPr>
          <w:b/>
          <w:sz w:val="22"/>
          <w:szCs w:val="22"/>
          <w:lang w:val="en-AU"/>
        </w:rPr>
        <w:t>-E</w:t>
      </w:r>
      <w:r w:rsidR="00345117" w:rsidRPr="0097537A">
        <w:rPr>
          <w:b/>
          <w:sz w:val="22"/>
          <w:szCs w:val="22"/>
          <w:lang w:val="en-AU"/>
        </w:rPr>
        <w:t xml:space="preserve">mergent </w:t>
      </w:r>
      <w:r w:rsidR="00901662" w:rsidRPr="0097537A">
        <w:rPr>
          <w:b/>
          <w:sz w:val="22"/>
          <w:szCs w:val="22"/>
          <w:lang w:val="en-AU"/>
        </w:rPr>
        <w:t>Adverse E</w:t>
      </w:r>
      <w:r w:rsidR="007D0267" w:rsidRPr="0097537A">
        <w:rPr>
          <w:b/>
          <w:sz w:val="22"/>
          <w:szCs w:val="22"/>
          <w:lang w:val="en-AU"/>
        </w:rPr>
        <w:t xml:space="preserve">vents in </w:t>
      </w:r>
      <w:r w:rsidR="0097537A" w:rsidRPr="0097537A">
        <w:rPr>
          <w:b/>
          <w:sz w:val="22"/>
          <w:szCs w:val="22"/>
          <w:lang w:val="en-AU"/>
        </w:rPr>
        <w:br/>
      </w:r>
      <w:r w:rsidR="0097537A" w:rsidRPr="0097537A">
        <w:rPr>
          <w:b/>
          <w:sz w:val="22"/>
          <w:szCs w:val="22"/>
          <w:lang w:val="en-US" w:eastAsia="zh-CN"/>
        </w:rPr>
        <w:t>CC-4047-MM-003</w:t>
      </w:r>
      <w:r w:rsidR="00EC1A19">
        <w:rPr>
          <w:b/>
          <w:sz w:val="22"/>
          <w:szCs w:val="22"/>
          <w:lang w:val="en-US" w:eastAsia="zh-CN"/>
        </w:rPr>
        <w:t xml:space="preserve"> </w:t>
      </w:r>
      <w:r w:rsidR="007137D8" w:rsidRPr="0097537A">
        <w:rPr>
          <w:b/>
          <w:sz w:val="22"/>
          <w:szCs w:val="22"/>
          <w:lang w:val="en-AU"/>
        </w:rPr>
        <w:t>(≥ </w:t>
      </w:r>
      <w:r w:rsidR="0097537A" w:rsidRPr="0097537A">
        <w:rPr>
          <w:b/>
          <w:sz w:val="22"/>
          <w:szCs w:val="22"/>
          <w:lang w:val="en-AU"/>
        </w:rPr>
        <w:t>1</w:t>
      </w:r>
      <w:r w:rsidR="007137D8" w:rsidRPr="0097537A">
        <w:rPr>
          <w:b/>
          <w:sz w:val="22"/>
          <w:szCs w:val="22"/>
          <w:lang w:val="en-AU"/>
        </w:rPr>
        <w:t>0.0%)</w:t>
      </w:r>
    </w:p>
    <w:tbl>
      <w:tblPr>
        <w:tblStyle w:val="TableGrid"/>
        <w:tblW w:w="0" w:type="auto"/>
        <w:tblInd w:w="108" w:type="dxa"/>
        <w:tblLook w:val="04A0" w:firstRow="1" w:lastRow="0" w:firstColumn="1" w:lastColumn="0" w:noHBand="0" w:noVBand="1"/>
      </w:tblPr>
      <w:tblGrid>
        <w:gridCol w:w="3690"/>
        <w:gridCol w:w="2745"/>
        <w:gridCol w:w="2745"/>
      </w:tblGrid>
      <w:tr w:rsidR="00810C4F" w:rsidRPr="009E253B" w:rsidTr="009762D1">
        <w:tc>
          <w:tcPr>
            <w:tcW w:w="3690" w:type="dxa"/>
          </w:tcPr>
          <w:p w:rsidR="00810C4F" w:rsidRPr="009E253B" w:rsidRDefault="001666F2" w:rsidP="00350F48">
            <w:pPr>
              <w:jc w:val="both"/>
              <w:rPr>
                <w:bCs/>
                <w:sz w:val="22"/>
                <w:szCs w:val="22"/>
                <w:lang w:val="en-AU"/>
              </w:rPr>
            </w:pPr>
            <w:r w:rsidRPr="009E253B">
              <w:rPr>
                <w:bCs/>
                <w:sz w:val="22"/>
                <w:szCs w:val="22"/>
                <w:lang w:val="en-AU"/>
              </w:rPr>
              <w:t>Adverse Events</w:t>
            </w:r>
          </w:p>
        </w:tc>
        <w:tc>
          <w:tcPr>
            <w:tcW w:w="2745" w:type="dxa"/>
          </w:tcPr>
          <w:p w:rsidR="00810C4F" w:rsidRPr="009E253B" w:rsidRDefault="001666F2" w:rsidP="001666F2">
            <w:pPr>
              <w:jc w:val="center"/>
              <w:rPr>
                <w:b/>
                <w:sz w:val="22"/>
                <w:szCs w:val="22"/>
                <w:lang w:val="en-AU"/>
              </w:rPr>
            </w:pPr>
            <w:r w:rsidRPr="009E253B">
              <w:rPr>
                <w:b/>
                <w:sz w:val="22"/>
                <w:szCs w:val="22"/>
                <w:lang w:val="en-AU"/>
              </w:rPr>
              <w:t xml:space="preserve">% occurrence in </w:t>
            </w:r>
            <w:r w:rsidRPr="009E253B">
              <w:rPr>
                <w:b/>
                <w:sz w:val="22"/>
                <w:szCs w:val="22"/>
                <w:lang w:val="en-AU"/>
              </w:rPr>
              <w:br/>
            </w:r>
            <w:r w:rsidR="00E450EB" w:rsidRPr="009E253B">
              <w:rPr>
                <w:b/>
                <w:sz w:val="22"/>
                <w:szCs w:val="22"/>
                <w:lang w:val="en-AU"/>
              </w:rPr>
              <w:t>Pom</w:t>
            </w:r>
            <w:r w:rsidR="00896389" w:rsidRPr="009E253B">
              <w:rPr>
                <w:b/>
                <w:sz w:val="22"/>
                <w:szCs w:val="22"/>
                <w:lang w:val="en-AU"/>
              </w:rPr>
              <w:t xml:space="preserve"> </w:t>
            </w:r>
            <w:r w:rsidR="00E450EB" w:rsidRPr="009E253B">
              <w:rPr>
                <w:b/>
                <w:sz w:val="22"/>
                <w:szCs w:val="22"/>
                <w:lang w:val="en-AU"/>
              </w:rPr>
              <w:t>+</w:t>
            </w:r>
            <w:r w:rsidR="00896389" w:rsidRPr="009E253B">
              <w:rPr>
                <w:b/>
                <w:sz w:val="22"/>
                <w:szCs w:val="22"/>
                <w:lang w:val="en-AU"/>
              </w:rPr>
              <w:t xml:space="preserve"> LD-</w:t>
            </w:r>
            <w:proofErr w:type="spellStart"/>
            <w:r w:rsidR="00896389" w:rsidRPr="009E253B">
              <w:rPr>
                <w:b/>
                <w:sz w:val="22"/>
                <w:szCs w:val="22"/>
                <w:lang w:val="en-AU"/>
              </w:rPr>
              <w:t>d</w:t>
            </w:r>
            <w:r w:rsidR="00E450EB" w:rsidRPr="009E253B">
              <w:rPr>
                <w:b/>
                <w:sz w:val="22"/>
                <w:szCs w:val="22"/>
                <w:lang w:val="en-AU"/>
              </w:rPr>
              <w:t>ex</w:t>
            </w:r>
            <w:proofErr w:type="spellEnd"/>
          </w:p>
          <w:p w:rsidR="0066127E" w:rsidRPr="009E253B" w:rsidRDefault="00810C4F" w:rsidP="006F239F">
            <w:pPr>
              <w:jc w:val="center"/>
              <w:rPr>
                <w:b/>
                <w:sz w:val="22"/>
                <w:szCs w:val="22"/>
                <w:lang w:val="en-AU"/>
              </w:rPr>
            </w:pPr>
            <w:r w:rsidRPr="009E253B">
              <w:rPr>
                <w:b/>
                <w:sz w:val="22"/>
                <w:szCs w:val="22"/>
                <w:lang w:val="en-AU"/>
              </w:rPr>
              <w:t>(N=300)</w:t>
            </w:r>
          </w:p>
        </w:tc>
        <w:tc>
          <w:tcPr>
            <w:tcW w:w="2745" w:type="dxa"/>
          </w:tcPr>
          <w:p w:rsidR="001666F2" w:rsidRPr="009E253B" w:rsidRDefault="001666F2" w:rsidP="009762D1">
            <w:pPr>
              <w:jc w:val="center"/>
              <w:rPr>
                <w:b/>
                <w:sz w:val="22"/>
                <w:szCs w:val="22"/>
                <w:lang w:val="en-AU"/>
              </w:rPr>
            </w:pPr>
            <w:r w:rsidRPr="009E253B">
              <w:rPr>
                <w:b/>
                <w:sz w:val="22"/>
                <w:szCs w:val="22"/>
                <w:lang w:val="en-AU"/>
              </w:rPr>
              <w:t>% occurrence in</w:t>
            </w:r>
          </w:p>
          <w:p w:rsidR="00810C4F" w:rsidRPr="009E253B" w:rsidRDefault="00896389" w:rsidP="009762D1">
            <w:pPr>
              <w:jc w:val="center"/>
              <w:rPr>
                <w:b/>
                <w:sz w:val="22"/>
                <w:szCs w:val="22"/>
                <w:lang w:val="en-AU"/>
              </w:rPr>
            </w:pPr>
            <w:r w:rsidRPr="009E253B">
              <w:rPr>
                <w:b/>
                <w:sz w:val="22"/>
                <w:szCs w:val="22"/>
                <w:lang w:val="en-AU"/>
              </w:rPr>
              <w:t>HD-</w:t>
            </w:r>
            <w:proofErr w:type="spellStart"/>
            <w:r w:rsidRPr="009E253B">
              <w:rPr>
                <w:b/>
                <w:sz w:val="22"/>
                <w:szCs w:val="22"/>
                <w:lang w:val="en-AU"/>
              </w:rPr>
              <w:t>d</w:t>
            </w:r>
            <w:r w:rsidR="00E450EB" w:rsidRPr="009E253B">
              <w:rPr>
                <w:b/>
                <w:sz w:val="22"/>
                <w:szCs w:val="22"/>
                <w:lang w:val="en-AU"/>
              </w:rPr>
              <w:t>ex</w:t>
            </w:r>
            <w:proofErr w:type="spellEnd"/>
          </w:p>
          <w:p w:rsidR="00810C4F" w:rsidRPr="009E253B" w:rsidRDefault="00810C4F" w:rsidP="009762D1">
            <w:pPr>
              <w:jc w:val="center"/>
              <w:rPr>
                <w:b/>
                <w:sz w:val="22"/>
                <w:szCs w:val="22"/>
                <w:lang w:val="en-AU"/>
              </w:rPr>
            </w:pPr>
            <w:r w:rsidRPr="009E253B">
              <w:rPr>
                <w:b/>
                <w:sz w:val="22"/>
                <w:szCs w:val="22"/>
                <w:lang w:val="en-AU"/>
              </w:rPr>
              <w:t>(N=149)</w:t>
            </w:r>
          </w:p>
        </w:tc>
      </w:tr>
      <w:tr w:rsidR="00810C4F" w:rsidRPr="009E253B" w:rsidTr="008A28D6">
        <w:tc>
          <w:tcPr>
            <w:tcW w:w="9180" w:type="dxa"/>
            <w:gridSpan w:val="3"/>
            <w:shd w:val="clear" w:color="auto" w:fill="D9D9D9" w:themeFill="background1" w:themeFillShade="D9"/>
          </w:tcPr>
          <w:p w:rsidR="00810C4F" w:rsidRPr="009E253B" w:rsidRDefault="00810C4F" w:rsidP="009762D1">
            <w:pPr>
              <w:rPr>
                <w:bCs/>
                <w:sz w:val="22"/>
                <w:szCs w:val="22"/>
                <w:lang w:val="en-AU"/>
              </w:rPr>
            </w:pPr>
            <w:r w:rsidRPr="009E253B">
              <w:rPr>
                <w:b/>
                <w:sz w:val="22"/>
                <w:szCs w:val="22"/>
                <w:lang w:val="en-AU"/>
              </w:rPr>
              <w:t>Blood and lymphatic system disorders</w:t>
            </w:r>
          </w:p>
        </w:tc>
      </w:tr>
      <w:tr w:rsidR="00810C4F" w:rsidRPr="009E253B" w:rsidTr="009762D1">
        <w:tc>
          <w:tcPr>
            <w:tcW w:w="3690" w:type="dxa"/>
          </w:tcPr>
          <w:p w:rsidR="00810C4F" w:rsidRPr="009E253B" w:rsidRDefault="00810C4F" w:rsidP="00810C4F">
            <w:pPr>
              <w:pStyle w:val="C-TableText"/>
              <w:spacing w:before="0" w:after="0"/>
              <w:rPr>
                <w:szCs w:val="22"/>
                <w:lang w:val="en-AU"/>
              </w:rPr>
            </w:pPr>
            <w:r w:rsidRPr="009E253B">
              <w:rPr>
                <w:szCs w:val="22"/>
                <w:lang w:val="en-AU"/>
              </w:rPr>
              <w:t>An</w:t>
            </w:r>
            <w:r w:rsidR="0016446D" w:rsidRPr="009E253B">
              <w:rPr>
                <w:szCs w:val="22"/>
                <w:lang w:val="en-AU"/>
              </w:rPr>
              <w:t>a</w:t>
            </w:r>
            <w:r w:rsidRPr="009E253B">
              <w:rPr>
                <w:szCs w:val="22"/>
                <w:lang w:val="en-AU"/>
              </w:rPr>
              <w:t xml:space="preserve">emia </w:t>
            </w:r>
          </w:p>
          <w:p w:rsidR="00810C4F" w:rsidRPr="009E253B" w:rsidRDefault="00810C4F" w:rsidP="00810C4F">
            <w:pPr>
              <w:pStyle w:val="C-TableText"/>
              <w:spacing w:before="0" w:after="0"/>
              <w:rPr>
                <w:szCs w:val="22"/>
                <w:lang w:val="en-AU"/>
              </w:rPr>
            </w:pPr>
            <w:r w:rsidRPr="009E253B">
              <w:rPr>
                <w:szCs w:val="22"/>
                <w:lang w:val="en-AU"/>
              </w:rPr>
              <w:t>Neutropenia</w:t>
            </w:r>
          </w:p>
          <w:p w:rsidR="00810C4F" w:rsidRPr="009E253B" w:rsidRDefault="00810C4F" w:rsidP="00810C4F">
            <w:pPr>
              <w:pStyle w:val="C-TableText"/>
              <w:spacing w:before="0" w:after="0"/>
              <w:rPr>
                <w:szCs w:val="22"/>
                <w:lang w:val="en-AU"/>
              </w:rPr>
            </w:pPr>
            <w:r w:rsidRPr="009E253B">
              <w:rPr>
                <w:szCs w:val="22"/>
                <w:lang w:val="en-AU"/>
              </w:rPr>
              <w:t>Thrombocytopenia</w:t>
            </w:r>
          </w:p>
          <w:p w:rsidR="00810C4F" w:rsidRPr="009E253B" w:rsidRDefault="00810C4F" w:rsidP="00350F48">
            <w:pPr>
              <w:rPr>
                <w:sz w:val="22"/>
                <w:szCs w:val="22"/>
                <w:lang w:val="en-AU"/>
              </w:rPr>
            </w:pPr>
            <w:r w:rsidRPr="009E253B">
              <w:rPr>
                <w:sz w:val="22"/>
                <w:szCs w:val="22"/>
                <w:lang w:val="en-AU"/>
              </w:rPr>
              <w:t>Leu</w:t>
            </w:r>
            <w:r w:rsidR="00210422" w:rsidRPr="009E253B">
              <w:rPr>
                <w:sz w:val="22"/>
                <w:szCs w:val="22"/>
                <w:lang w:val="en-AU"/>
              </w:rPr>
              <w:t>k</w:t>
            </w:r>
            <w:r w:rsidRPr="009E253B">
              <w:rPr>
                <w:sz w:val="22"/>
                <w:szCs w:val="22"/>
                <w:lang w:val="en-AU"/>
              </w:rPr>
              <w:t>openia</w:t>
            </w:r>
          </w:p>
        </w:tc>
        <w:tc>
          <w:tcPr>
            <w:tcW w:w="2745" w:type="dxa"/>
          </w:tcPr>
          <w:p w:rsidR="004A129A" w:rsidRPr="009E253B" w:rsidRDefault="001666F2">
            <w:pPr>
              <w:pStyle w:val="C-TableText"/>
              <w:spacing w:before="0" w:after="0"/>
              <w:jc w:val="center"/>
              <w:rPr>
                <w:szCs w:val="22"/>
                <w:lang w:val="en-AU"/>
              </w:rPr>
            </w:pPr>
            <w:r w:rsidRPr="009E253B">
              <w:rPr>
                <w:szCs w:val="22"/>
                <w:lang w:val="en-AU"/>
              </w:rPr>
              <w:t>45.7</w:t>
            </w:r>
          </w:p>
          <w:p w:rsidR="004A129A" w:rsidRPr="009E253B" w:rsidRDefault="001666F2">
            <w:pPr>
              <w:pStyle w:val="C-TableText"/>
              <w:spacing w:before="0" w:after="0"/>
              <w:jc w:val="center"/>
              <w:rPr>
                <w:szCs w:val="22"/>
                <w:lang w:val="en-AU"/>
              </w:rPr>
            </w:pPr>
            <w:r w:rsidRPr="009E253B">
              <w:rPr>
                <w:szCs w:val="22"/>
                <w:lang w:val="en-AU"/>
              </w:rPr>
              <w:t>45.3</w:t>
            </w:r>
          </w:p>
          <w:p w:rsidR="004A129A" w:rsidRPr="009E253B" w:rsidRDefault="001666F2">
            <w:pPr>
              <w:pStyle w:val="C-TableText"/>
              <w:spacing w:before="0" w:after="0"/>
              <w:jc w:val="center"/>
              <w:rPr>
                <w:szCs w:val="22"/>
                <w:lang w:val="en-AU"/>
              </w:rPr>
            </w:pPr>
            <w:r w:rsidRPr="009E253B">
              <w:rPr>
                <w:szCs w:val="22"/>
                <w:lang w:val="en-AU"/>
              </w:rPr>
              <w:t>27.0</w:t>
            </w:r>
          </w:p>
          <w:p w:rsidR="004A129A" w:rsidRPr="009E253B" w:rsidRDefault="001666F2">
            <w:pPr>
              <w:pStyle w:val="C-TableText"/>
              <w:spacing w:before="0" w:after="0"/>
              <w:jc w:val="center"/>
              <w:rPr>
                <w:szCs w:val="22"/>
                <w:lang w:val="en-AU"/>
              </w:rPr>
            </w:pPr>
            <w:r w:rsidRPr="009E253B">
              <w:rPr>
                <w:szCs w:val="22"/>
                <w:lang w:val="en-AU"/>
              </w:rPr>
              <w:t>12.3</w:t>
            </w:r>
          </w:p>
        </w:tc>
        <w:tc>
          <w:tcPr>
            <w:tcW w:w="2745" w:type="dxa"/>
          </w:tcPr>
          <w:p w:rsidR="00810C4F" w:rsidRPr="009E253B" w:rsidRDefault="001666F2" w:rsidP="009762D1">
            <w:pPr>
              <w:jc w:val="center"/>
              <w:rPr>
                <w:bCs/>
                <w:sz w:val="22"/>
                <w:szCs w:val="22"/>
                <w:lang w:val="en-AU"/>
              </w:rPr>
            </w:pPr>
            <w:r w:rsidRPr="009E253B">
              <w:rPr>
                <w:bCs/>
                <w:sz w:val="22"/>
                <w:szCs w:val="22"/>
                <w:lang w:val="en-AU"/>
              </w:rPr>
              <w:t>42.3</w:t>
            </w:r>
          </w:p>
          <w:p w:rsidR="001666F2" w:rsidRPr="009E253B" w:rsidRDefault="001666F2" w:rsidP="009762D1">
            <w:pPr>
              <w:jc w:val="center"/>
              <w:rPr>
                <w:bCs/>
                <w:sz w:val="22"/>
                <w:szCs w:val="22"/>
                <w:lang w:val="en-AU"/>
              </w:rPr>
            </w:pPr>
            <w:r w:rsidRPr="009E253B">
              <w:rPr>
                <w:bCs/>
                <w:sz w:val="22"/>
                <w:szCs w:val="22"/>
                <w:lang w:val="en-AU"/>
              </w:rPr>
              <w:t>19.5</w:t>
            </w:r>
          </w:p>
          <w:p w:rsidR="001666F2" w:rsidRPr="009E253B" w:rsidRDefault="001666F2" w:rsidP="009762D1">
            <w:pPr>
              <w:jc w:val="center"/>
              <w:rPr>
                <w:bCs/>
                <w:sz w:val="22"/>
                <w:szCs w:val="22"/>
                <w:lang w:val="en-AU"/>
              </w:rPr>
            </w:pPr>
            <w:r w:rsidRPr="009E253B">
              <w:rPr>
                <w:bCs/>
                <w:sz w:val="22"/>
                <w:szCs w:val="22"/>
                <w:lang w:val="en-AU"/>
              </w:rPr>
              <w:t>26.8</w:t>
            </w:r>
          </w:p>
          <w:p w:rsidR="001666F2" w:rsidRPr="009E253B" w:rsidRDefault="001666F2" w:rsidP="009762D1">
            <w:pPr>
              <w:jc w:val="center"/>
              <w:rPr>
                <w:bCs/>
                <w:sz w:val="22"/>
                <w:szCs w:val="22"/>
                <w:lang w:val="en-AU"/>
              </w:rPr>
            </w:pPr>
            <w:r w:rsidRPr="009E253B">
              <w:rPr>
                <w:bCs/>
                <w:sz w:val="22"/>
                <w:szCs w:val="22"/>
                <w:lang w:val="en-AU"/>
              </w:rPr>
              <w:t>5.4</w:t>
            </w:r>
          </w:p>
        </w:tc>
      </w:tr>
      <w:tr w:rsidR="00810C4F" w:rsidRPr="009E253B" w:rsidTr="008A28D6">
        <w:tc>
          <w:tcPr>
            <w:tcW w:w="9180" w:type="dxa"/>
            <w:gridSpan w:val="3"/>
            <w:shd w:val="clear" w:color="auto" w:fill="D9D9D9" w:themeFill="background1" w:themeFillShade="D9"/>
          </w:tcPr>
          <w:p w:rsidR="00810C4F" w:rsidRPr="009E253B" w:rsidRDefault="00810C4F" w:rsidP="009762D1">
            <w:pPr>
              <w:pStyle w:val="C-TableText"/>
              <w:spacing w:before="0" w:after="0"/>
              <w:rPr>
                <w:szCs w:val="22"/>
                <w:lang w:val="en-AU"/>
              </w:rPr>
            </w:pPr>
            <w:r w:rsidRPr="009E253B">
              <w:rPr>
                <w:b/>
                <w:bCs/>
                <w:szCs w:val="22"/>
                <w:lang w:val="en-AU"/>
              </w:rPr>
              <w:t>Gastrointestinal disorders</w:t>
            </w:r>
          </w:p>
        </w:tc>
      </w:tr>
      <w:tr w:rsidR="00810C4F" w:rsidRPr="009E253B" w:rsidTr="009762D1">
        <w:tc>
          <w:tcPr>
            <w:tcW w:w="3690" w:type="dxa"/>
          </w:tcPr>
          <w:p w:rsidR="001666F2" w:rsidRPr="009E253B" w:rsidRDefault="001666F2" w:rsidP="001666F2">
            <w:pPr>
              <w:rPr>
                <w:sz w:val="22"/>
                <w:szCs w:val="22"/>
                <w:lang w:val="en-AU"/>
              </w:rPr>
            </w:pPr>
            <w:r w:rsidRPr="009E253B">
              <w:rPr>
                <w:sz w:val="22"/>
                <w:szCs w:val="22"/>
                <w:lang w:val="en-AU"/>
              </w:rPr>
              <w:t xml:space="preserve">Constipation </w:t>
            </w:r>
          </w:p>
          <w:p w:rsidR="001666F2" w:rsidRPr="009E253B" w:rsidRDefault="001666F2" w:rsidP="001666F2">
            <w:pPr>
              <w:rPr>
                <w:sz w:val="22"/>
                <w:szCs w:val="22"/>
                <w:lang w:val="en-AU"/>
              </w:rPr>
            </w:pPr>
            <w:r w:rsidRPr="009E253B">
              <w:rPr>
                <w:sz w:val="22"/>
                <w:szCs w:val="22"/>
                <w:lang w:val="en-AU"/>
              </w:rPr>
              <w:t>Diarrhoea</w:t>
            </w:r>
          </w:p>
          <w:p w:rsidR="00810C4F" w:rsidRPr="009E253B" w:rsidRDefault="001666F2" w:rsidP="001666F2">
            <w:pPr>
              <w:rPr>
                <w:sz w:val="22"/>
                <w:szCs w:val="22"/>
                <w:lang w:val="en-AU"/>
              </w:rPr>
            </w:pPr>
            <w:r w:rsidRPr="009E253B">
              <w:rPr>
                <w:sz w:val="22"/>
                <w:szCs w:val="22"/>
                <w:lang w:val="en-AU"/>
              </w:rPr>
              <w:t>Nausea</w:t>
            </w:r>
          </w:p>
        </w:tc>
        <w:tc>
          <w:tcPr>
            <w:tcW w:w="2745" w:type="dxa"/>
          </w:tcPr>
          <w:p w:rsidR="00810C4F" w:rsidRPr="009E253B" w:rsidRDefault="001666F2" w:rsidP="000231B9">
            <w:pPr>
              <w:jc w:val="center"/>
              <w:rPr>
                <w:sz w:val="22"/>
                <w:szCs w:val="22"/>
                <w:lang w:val="en-AU"/>
              </w:rPr>
            </w:pPr>
            <w:r w:rsidRPr="009E253B">
              <w:rPr>
                <w:sz w:val="22"/>
                <w:szCs w:val="22"/>
                <w:lang w:val="en-AU"/>
              </w:rPr>
              <w:t>19.3</w:t>
            </w:r>
          </w:p>
          <w:p w:rsidR="001666F2" w:rsidRPr="009E253B" w:rsidRDefault="001666F2" w:rsidP="000231B9">
            <w:pPr>
              <w:jc w:val="center"/>
              <w:rPr>
                <w:sz w:val="22"/>
                <w:szCs w:val="22"/>
                <w:lang w:val="en-AU"/>
              </w:rPr>
            </w:pPr>
            <w:r w:rsidRPr="009E253B">
              <w:rPr>
                <w:sz w:val="22"/>
                <w:szCs w:val="22"/>
                <w:lang w:val="en-AU"/>
              </w:rPr>
              <w:t>18.3</w:t>
            </w:r>
          </w:p>
          <w:p w:rsidR="001666F2" w:rsidRPr="009E253B" w:rsidRDefault="001666F2" w:rsidP="000231B9">
            <w:pPr>
              <w:jc w:val="center"/>
              <w:rPr>
                <w:sz w:val="22"/>
                <w:szCs w:val="22"/>
                <w:lang w:val="en-AU"/>
              </w:rPr>
            </w:pPr>
            <w:r w:rsidRPr="009E253B">
              <w:rPr>
                <w:sz w:val="22"/>
                <w:szCs w:val="22"/>
                <w:lang w:val="en-AU"/>
              </w:rPr>
              <w:t>11.7</w:t>
            </w:r>
          </w:p>
        </w:tc>
        <w:tc>
          <w:tcPr>
            <w:tcW w:w="2745" w:type="dxa"/>
          </w:tcPr>
          <w:p w:rsidR="00810C4F" w:rsidRPr="009E253B" w:rsidRDefault="001666F2" w:rsidP="000231B9">
            <w:pPr>
              <w:jc w:val="center"/>
              <w:rPr>
                <w:sz w:val="22"/>
                <w:szCs w:val="22"/>
                <w:lang w:val="en-AU"/>
              </w:rPr>
            </w:pPr>
            <w:r w:rsidRPr="009E253B">
              <w:rPr>
                <w:sz w:val="22"/>
                <w:szCs w:val="22"/>
                <w:lang w:val="en-AU"/>
              </w:rPr>
              <w:t>12.1</w:t>
            </w:r>
          </w:p>
          <w:p w:rsidR="001666F2" w:rsidRPr="009E253B" w:rsidRDefault="001666F2" w:rsidP="000231B9">
            <w:pPr>
              <w:jc w:val="center"/>
              <w:rPr>
                <w:sz w:val="22"/>
                <w:szCs w:val="22"/>
                <w:lang w:val="en-AU"/>
              </w:rPr>
            </w:pPr>
            <w:r w:rsidRPr="009E253B">
              <w:rPr>
                <w:sz w:val="22"/>
                <w:szCs w:val="22"/>
                <w:lang w:val="en-AU"/>
              </w:rPr>
              <w:t>16.1</w:t>
            </w:r>
          </w:p>
          <w:p w:rsidR="001666F2" w:rsidRPr="009E253B" w:rsidRDefault="001666F2" w:rsidP="000231B9">
            <w:pPr>
              <w:jc w:val="center"/>
              <w:rPr>
                <w:sz w:val="22"/>
                <w:szCs w:val="22"/>
                <w:lang w:val="en-AU"/>
              </w:rPr>
            </w:pPr>
            <w:r w:rsidRPr="009E253B">
              <w:rPr>
                <w:sz w:val="22"/>
                <w:szCs w:val="22"/>
                <w:lang w:val="en-AU"/>
              </w:rPr>
              <w:t>8.7</w:t>
            </w:r>
          </w:p>
        </w:tc>
      </w:tr>
      <w:tr w:rsidR="00810C4F" w:rsidRPr="009E253B" w:rsidTr="008A28D6">
        <w:tc>
          <w:tcPr>
            <w:tcW w:w="9180" w:type="dxa"/>
            <w:gridSpan w:val="3"/>
            <w:shd w:val="clear" w:color="auto" w:fill="D9D9D9" w:themeFill="background1" w:themeFillShade="D9"/>
          </w:tcPr>
          <w:p w:rsidR="00810C4F" w:rsidRPr="009E253B" w:rsidRDefault="00810C4F" w:rsidP="009762D1">
            <w:pPr>
              <w:pStyle w:val="C-TableText"/>
              <w:spacing w:before="0" w:after="0"/>
              <w:rPr>
                <w:szCs w:val="22"/>
                <w:lang w:val="en-AU"/>
              </w:rPr>
            </w:pPr>
            <w:r w:rsidRPr="009E253B">
              <w:rPr>
                <w:b/>
                <w:bCs/>
                <w:szCs w:val="22"/>
                <w:lang w:val="en-AU"/>
              </w:rPr>
              <w:t>General disorders and administration site conditions</w:t>
            </w:r>
          </w:p>
        </w:tc>
      </w:tr>
      <w:tr w:rsidR="00810C4F" w:rsidRPr="009E253B" w:rsidTr="0066127E">
        <w:tc>
          <w:tcPr>
            <w:tcW w:w="3690" w:type="dxa"/>
            <w:tcBorders>
              <w:bottom w:val="single" w:sz="4" w:space="0" w:color="auto"/>
            </w:tcBorders>
          </w:tcPr>
          <w:p w:rsidR="005910A5" w:rsidRPr="009E253B" w:rsidRDefault="00837F57" w:rsidP="005910A5">
            <w:pPr>
              <w:pStyle w:val="C-TableText"/>
              <w:spacing w:before="0" w:after="0"/>
              <w:rPr>
                <w:szCs w:val="22"/>
                <w:lang w:val="es-ES"/>
              </w:rPr>
            </w:pPr>
            <w:r w:rsidRPr="009E253B">
              <w:rPr>
                <w:szCs w:val="22"/>
                <w:lang w:val="es-ES"/>
              </w:rPr>
              <w:t xml:space="preserve">Fatigue </w:t>
            </w:r>
          </w:p>
          <w:p w:rsidR="005910A5" w:rsidRPr="009E253B" w:rsidRDefault="00837F57" w:rsidP="005910A5">
            <w:pPr>
              <w:pStyle w:val="C-TableText"/>
              <w:spacing w:before="0" w:after="0"/>
              <w:rPr>
                <w:szCs w:val="22"/>
                <w:lang w:val="es-ES"/>
              </w:rPr>
            </w:pPr>
            <w:proofErr w:type="spellStart"/>
            <w:r w:rsidRPr="009E253B">
              <w:rPr>
                <w:szCs w:val="22"/>
                <w:lang w:val="es-ES"/>
              </w:rPr>
              <w:t>Pyrexia</w:t>
            </w:r>
            <w:proofErr w:type="spellEnd"/>
            <w:r w:rsidRPr="009E253B">
              <w:rPr>
                <w:szCs w:val="22"/>
                <w:lang w:val="es-ES"/>
              </w:rPr>
              <w:t xml:space="preserve"> </w:t>
            </w:r>
          </w:p>
          <w:p w:rsidR="005910A5" w:rsidRPr="009E253B" w:rsidRDefault="00837F57" w:rsidP="005910A5">
            <w:pPr>
              <w:pStyle w:val="C-TableText"/>
              <w:spacing w:before="0" w:after="0"/>
              <w:rPr>
                <w:szCs w:val="22"/>
                <w:lang w:val="es-ES"/>
              </w:rPr>
            </w:pPr>
            <w:proofErr w:type="spellStart"/>
            <w:r w:rsidRPr="009E253B">
              <w:rPr>
                <w:szCs w:val="22"/>
                <w:lang w:val="es-ES"/>
              </w:rPr>
              <w:t>Asthenia</w:t>
            </w:r>
            <w:proofErr w:type="spellEnd"/>
          </w:p>
          <w:p w:rsidR="00810C4F" w:rsidRPr="009E253B" w:rsidRDefault="00837F57" w:rsidP="005910A5">
            <w:pPr>
              <w:rPr>
                <w:sz w:val="22"/>
                <w:szCs w:val="22"/>
                <w:lang w:val="es-ES"/>
              </w:rPr>
            </w:pPr>
            <w:proofErr w:type="spellStart"/>
            <w:r w:rsidRPr="009E253B">
              <w:rPr>
                <w:sz w:val="22"/>
                <w:szCs w:val="22"/>
                <w:lang w:val="es-ES"/>
              </w:rPr>
              <w:t>Oedema</w:t>
            </w:r>
            <w:proofErr w:type="spellEnd"/>
            <w:r w:rsidRPr="009E253B">
              <w:rPr>
                <w:sz w:val="22"/>
                <w:szCs w:val="22"/>
                <w:lang w:val="es-ES"/>
              </w:rPr>
              <w:t xml:space="preserve"> </w:t>
            </w:r>
            <w:proofErr w:type="spellStart"/>
            <w:r w:rsidRPr="009E253B">
              <w:rPr>
                <w:sz w:val="22"/>
                <w:szCs w:val="22"/>
                <w:lang w:val="es-ES"/>
              </w:rPr>
              <w:t>peripheral</w:t>
            </w:r>
            <w:proofErr w:type="spellEnd"/>
          </w:p>
        </w:tc>
        <w:tc>
          <w:tcPr>
            <w:tcW w:w="2745" w:type="dxa"/>
            <w:tcBorders>
              <w:bottom w:val="single" w:sz="4" w:space="0" w:color="auto"/>
            </w:tcBorders>
          </w:tcPr>
          <w:p w:rsidR="00810C4F" w:rsidRPr="009E253B" w:rsidRDefault="005910A5" w:rsidP="000231B9">
            <w:pPr>
              <w:pStyle w:val="C-TableText"/>
              <w:spacing w:before="0" w:after="0"/>
              <w:jc w:val="center"/>
              <w:rPr>
                <w:szCs w:val="22"/>
                <w:lang w:val="en-AU"/>
              </w:rPr>
            </w:pPr>
            <w:r w:rsidRPr="009E253B">
              <w:rPr>
                <w:szCs w:val="22"/>
                <w:lang w:val="en-AU"/>
              </w:rPr>
              <w:t>28.3</w:t>
            </w:r>
          </w:p>
          <w:p w:rsidR="005910A5" w:rsidRPr="009E253B" w:rsidRDefault="005910A5" w:rsidP="000231B9">
            <w:pPr>
              <w:pStyle w:val="C-TableText"/>
              <w:spacing w:before="0" w:after="0"/>
              <w:jc w:val="center"/>
              <w:rPr>
                <w:szCs w:val="22"/>
                <w:lang w:val="en-AU"/>
              </w:rPr>
            </w:pPr>
            <w:r w:rsidRPr="009E253B">
              <w:rPr>
                <w:szCs w:val="22"/>
                <w:lang w:val="en-AU"/>
              </w:rPr>
              <w:t>21.0</w:t>
            </w:r>
          </w:p>
          <w:p w:rsidR="005910A5" w:rsidRPr="009E253B" w:rsidRDefault="005910A5" w:rsidP="000231B9">
            <w:pPr>
              <w:pStyle w:val="C-TableText"/>
              <w:spacing w:before="0" w:after="0"/>
              <w:jc w:val="center"/>
              <w:rPr>
                <w:szCs w:val="22"/>
                <w:lang w:val="en-AU"/>
              </w:rPr>
            </w:pPr>
            <w:r w:rsidRPr="009E253B">
              <w:rPr>
                <w:szCs w:val="22"/>
                <w:lang w:val="en-AU"/>
              </w:rPr>
              <w:t>13.7</w:t>
            </w:r>
          </w:p>
          <w:p w:rsidR="0066127E" w:rsidRPr="009E253B" w:rsidRDefault="005910A5" w:rsidP="0066127E">
            <w:pPr>
              <w:pStyle w:val="C-TableText"/>
              <w:spacing w:before="0" w:after="0"/>
              <w:jc w:val="center"/>
              <w:rPr>
                <w:szCs w:val="22"/>
                <w:lang w:val="en-AU"/>
              </w:rPr>
            </w:pPr>
            <w:r w:rsidRPr="009E253B">
              <w:rPr>
                <w:szCs w:val="22"/>
                <w:lang w:val="en-AU"/>
              </w:rPr>
              <w:t>13.0</w:t>
            </w:r>
          </w:p>
        </w:tc>
        <w:tc>
          <w:tcPr>
            <w:tcW w:w="2745" w:type="dxa"/>
            <w:tcBorders>
              <w:bottom w:val="single" w:sz="4" w:space="0" w:color="auto"/>
            </w:tcBorders>
          </w:tcPr>
          <w:p w:rsidR="00810C4F" w:rsidRPr="009E253B" w:rsidRDefault="005910A5" w:rsidP="000231B9">
            <w:pPr>
              <w:jc w:val="center"/>
              <w:rPr>
                <w:bCs/>
                <w:sz w:val="22"/>
                <w:szCs w:val="22"/>
                <w:lang w:val="en-AU"/>
              </w:rPr>
            </w:pPr>
            <w:r w:rsidRPr="009E253B">
              <w:rPr>
                <w:bCs/>
                <w:sz w:val="22"/>
                <w:szCs w:val="22"/>
                <w:lang w:val="en-AU"/>
              </w:rPr>
              <w:t>24.2</w:t>
            </w:r>
          </w:p>
          <w:p w:rsidR="005910A5" w:rsidRPr="009E253B" w:rsidRDefault="005910A5" w:rsidP="000231B9">
            <w:pPr>
              <w:jc w:val="center"/>
              <w:rPr>
                <w:bCs/>
                <w:sz w:val="22"/>
                <w:szCs w:val="22"/>
                <w:lang w:val="en-AU"/>
              </w:rPr>
            </w:pPr>
            <w:r w:rsidRPr="009E253B">
              <w:rPr>
                <w:bCs/>
                <w:sz w:val="22"/>
                <w:szCs w:val="22"/>
                <w:lang w:val="en-AU"/>
              </w:rPr>
              <w:t>19.5</w:t>
            </w:r>
          </w:p>
          <w:p w:rsidR="005910A5" w:rsidRPr="009E253B" w:rsidRDefault="005910A5" w:rsidP="000231B9">
            <w:pPr>
              <w:jc w:val="center"/>
              <w:rPr>
                <w:bCs/>
                <w:sz w:val="22"/>
                <w:szCs w:val="22"/>
                <w:lang w:val="en-AU"/>
              </w:rPr>
            </w:pPr>
            <w:r w:rsidRPr="009E253B">
              <w:rPr>
                <w:bCs/>
                <w:sz w:val="22"/>
                <w:szCs w:val="22"/>
                <w:lang w:val="en-AU"/>
              </w:rPr>
              <w:t>16.1</w:t>
            </w:r>
          </w:p>
          <w:p w:rsidR="005910A5" w:rsidRPr="009E253B" w:rsidRDefault="005910A5" w:rsidP="000231B9">
            <w:pPr>
              <w:jc w:val="center"/>
              <w:rPr>
                <w:bCs/>
                <w:sz w:val="22"/>
                <w:szCs w:val="22"/>
                <w:lang w:val="en-AU"/>
              </w:rPr>
            </w:pPr>
            <w:r w:rsidRPr="009E253B">
              <w:rPr>
                <w:bCs/>
                <w:sz w:val="22"/>
                <w:szCs w:val="22"/>
                <w:lang w:val="en-AU"/>
              </w:rPr>
              <w:t>10.7</w:t>
            </w:r>
          </w:p>
        </w:tc>
      </w:tr>
      <w:tr w:rsidR="00C8520E" w:rsidRPr="009E253B" w:rsidTr="004A764B">
        <w:tc>
          <w:tcPr>
            <w:tcW w:w="9180" w:type="dxa"/>
            <w:gridSpan w:val="3"/>
            <w:tcBorders>
              <w:top w:val="nil"/>
            </w:tcBorders>
            <w:shd w:val="clear" w:color="auto" w:fill="D9D9D9" w:themeFill="background1" w:themeFillShade="D9"/>
          </w:tcPr>
          <w:p w:rsidR="00C8520E" w:rsidRPr="009E253B" w:rsidRDefault="00C8520E" w:rsidP="004A764B">
            <w:pPr>
              <w:pStyle w:val="C-TableText"/>
              <w:spacing w:before="0" w:after="0"/>
              <w:rPr>
                <w:szCs w:val="22"/>
                <w:lang w:val="en-AU"/>
              </w:rPr>
            </w:pPr>
            <w:r w:rsidRPr="009E253B">
              <w:rPr>
                <w:b/>
                <w:bCs/>
                <w:szCs w:val="22"/>
                <w:lang w:val="en-AU"/>
              </w:rPr>
              <w:t>Infections and infestations</w:t>
            </w:r>
          </w:p>
        </w:tc>
      </w:tr>
      <w:tr w:rsidR="00C8520E" w:rsidRPr="009E253B" w:rsidTr="004A764B">
        <w:tc>
          <w:tcPr>
            <w:tcW w:w="3690" w:type="dxa"/>
          </w:tcPr>
          <w:p w:rsidR="00C8520E" w:rsidRPr="009E253B" w:rsidRDefault="00C8520E" w:rsidP="004A764B">
            <w:pPr>
              <w:jc w:val="both"/>
              <w:rPr>
                <w:bCs/>
                <w:sz w:val="22"/>
                <w:szCs w:val="22"/>
                <w:lang w:val="en-AU"/>
              </w:rPr>
            </w:pPr>
            <w:r w:rsidRPr="009E253B">
              <w:rPr>
                <w:sz w:val="22"/>
                <w:szCs w:val="22"/>
                <w:lang w:val="en-AU"/>
              </w:rPr>
              <w:t>Pneumonia</w:t>
            </w:r>
          </w:p>
        </w:tc>
        <w:tc>
          <w:tcPr>
            <w:tcW w:w="2745" w:type="dxa"/>
          </w:tcPr>
          <w:p w:rsidR="00C8520E" w:rsidRPr="009E253B" w:rsidRDefault="00C8520E" w:rsidP="004A764B">
            <w:pPr>
              <w:jc w:val="center"/>
              <w:rPr>
                <w:bCs/>
                <w:sz w:val="22"/>
                <w:szCs w:val="22"/>
                <w:lang w:val="en-AU"/>
              </w:rPr>
            </w:pPr>
            <w:r w:rsidRPr="009E253B">
              <w:rPr>
                <w:bCs/>
                <w:sz w:val="22"/>
                <w:szCs w:val="22"/>
                <w:lang w:val="en-AU"/>
              </w:rPr>
              <w:t>10.7</w:t>
            </w:r>
          </w:p>
        </w:tc>
        <w:tc>
          <w:tcPr>
            <w:tcW w:w="2745" w:type="dxa"/>
          </w:tcPr>
          <w:p w:rsidR="00C8520E" w:rsidRPr="009E253B" w:rsidRDefault="00C8520E" w:rsidP="004A764B">
            <w:pPr>
              <w:jc w:val="center"/>
              <w:rPr>
                <w:bCs/>
                <w:sz w:val="22"/>
                <w:szCs w:val="22"/>
                <w:lang w:val="en-AU"/>
              </w:rPr>
            </w:pPr>
            <w:r w:rsidRPr="009E253B">
              <w:rPr>
                <w:bCs/>
                <w:sz w:val="22"/>
                <w:szCs w:val="22"/>
                <w:lang w:val="en-AU"/>
              </w:rPr>
              <w:t>9.4</w:t>
            </w:r>
          </w:p>
        </w:tc>
      </w:tr>
      <w:tr w:rsidR="00810C4F" w:rsidRPr="009E253B" w:rsidTr="008A28D6">
        <w:tc>
          <w:tcPr>
            <w:tcW w:w="9180" w:type="dxa"/>
            <w:gridSpan w:val="3"/>
            <w:shd w:val="clear" w:color="auto" w:fill="D9D9D9" w:themeFill="background1" w:themeFillShade="D9"/>
          </w:tcPr>
          <w:p w:rsidR="00810C4F" w:rsidRPr="009E253B" w:rsidRDefault="00810C4F" w:rsidP="009762D1">
            <w:pPr>
              <w:rPr>
                <w:bCs/>
                <w:sz w:val="22"/>
                <w:szCs w:val="22"/>
                <w:lang w:val="en-AU"/>
              </w:rPr>
            </w:pPr>
            <w:r w:rsidRPr="009E253B">
              <w:rPr>
                <w:b/>
                <w:bCs/>
                <w:sz w:val="22"/>
                <w:szCs w:val="22"/>
                <w:lang w:val="en-AU"/>
              </w:rPr>
              <w:t>Metabolism and nutrition disorders</w:t>
            </w:r>
          </w:p>
        </w:tc>
      </w:tr>
      <w:tr w:rsidR="00810C4F" w:rsidRPr="009E253B" w:rsidTr="009762D1">
        <w:tc>
          <w:tcPr>
            <w:tcW w:w="3690" w:type="dxa"/>
          </w:tcPr>
          <w:p w:rsidR="00810C4F" w:rsidRPr="009E253B" w:rsidRDefault="00CA7064" w:rsidP="00350F48">
            <w:pPr>
              <w:jc w:val="both"/>
              <w:rPr>
                <w:sz w:val="22"/>
                <w:szCs w:val="22"/>
                <w:lang w:val="en-AU"/>
              </w:rPr>
            </w:pPr>
            <w:r w:rsidRPr="009E253B">
              <w:rPr>
                <w:sz w:val="22"/>
                <w:szCs w:val="22"/>
                <w:lang w:val="en-AU"/>
              </w:rPr>
              <w:t>Decreased appetite</w:t>
            </w:r>
          </w:p>
          <w:p w:rsidR="00CA7064" w:rsidRPr="009E253B" w:rsidRDefault="00CA7064" w:rsidP="00350F48">
            <w:pPr>
              <w:jc w:val="both"/>
              <w:rPr>
                <w:bCs/>
                <w:sz w:val="22"/>
                <w:szCs w:val="22"/>
                <w:lang w:val="en-AU"/>
              </w:rPr>
            </w:pPr>
            <w:proofErr w:type="spellStart"/>
            <w:r w:rsidRPr="009E253B">
              <w:rPr>
                <w:sz w:val="22"/>
                <w:szCs w:val="22"/>
                <w:lang w:val="en-AU"/>
              </w:rPr>
              <w:t>Hypercalcaemia</w:t>
            </w:r>
            <w:proofErr w:type="spellEnd"/>
          </w:p>
        </w:tc>
        <w:tc>
          <w:tcPr>
            <w:tcW w:w="2745" w:type="dxa"/>
          </w:tcPr>
          <w:p w:rsidR="00810C4F" w:rsidRPr="009E253B" w:rsidRDefault="00CA7064" w:rsidP="000231B9">
            <w:pPr>
              <w:jc w:val="center"/>
              <w:rPr>
                <w:bCs/>
                <w:sz w:val="22"/>
                <w:szCs w:val="22"/>
                <w:lang w:val="en-AU"/>
              </w:rPr>
            </w:pPr>
            <w:r w:rsidRPr="009E253B">
              <w:rPr>
                <w:bCs/>
                <w:sz w:val="22"/>
                <w:szCs w:val="22"/>
                <w:lang w:val="en-AU"/>
              </w:rPr>
              <w:t>10.0</w:t>
            </w:r>
          </w:p>
          <w:p w:rsidR="00CA7064" w:rsidRPr="009E253B" w:rsidRDefault="00CA7064" w:rsidP="000231B9">
            <w:pPr>
              <w:jc w:val="center"/>
              <w:rPr>
                <w:bCs/>
                <w:sz w:val="22"/>
                <w:szCs w:val="22"/>
                <w:lang w:val="en-AU"/>
              </w:rPr>
            </w:pPr>
            <w:r w:rsidRPr="009E253B">
              <w:rPr>
                <w:bCs/>
                <w:sz w:val="22"/>
                <w:szCs w:val="22"/>
                <w:lang w:val="en-AU"/>
              </w:rPr>
              <w:t>6.3</w:t>
            </w:r>
          </w:p>
        </w:tc>
        <w:tc>
          <w:tcPr>
            <w:tcW w:w="2745" w:type="dxa"/>
          </w:tcPr>
          <w:p w:rsidR="00810C4F" w:rsidRPr="009E253B" w:rsidRDefault="00CA7064" w:rsidP="000231B9">
            <w:pPr>
              <w:jc w:val="center"/>
              <w:rPr>
                <w:bCs/>
                <w:sz w:val="22"/>
                <w:szCs w:val="22"/>
                <w:lang w:val="en-AU"/>
              </w:rPr>
            </w:pPr>
            <w:r w:rsidRPr="009E253B">
              <w:rPr>
                <w:bCs/>
                <w:sz w:val="22"/>
                <w:szCs w:val="22"/>
                <w:lang w:val="en-AU"/>
              </w:rPr>
              <w:t>7.4</w:t>
            </w:r>
          </w:p>
          <w:p w:rsidR="00CA7064" w:rsidRPr="009E253B" w:rsidRDefault="00CA7064" w:rsidP="000231B9">
            <w:pPr>
              <w:jc w:val="center"/>
              <w:rPr>
                <w:bCs/>
                <w:sz w:val="22"/>
                <w:szCs w:val="22"/>
                <w:lang w:val="en-AU"/>
              </w:rPr>
            </w:pPr>
            <w:r w:rsidRPr="009E253B">
              <w:rPr>
                <w:bCs/>
                <w:sz w:val="22"/>
                <w:szCs w:val="22"/>
                <w:lang w:val="en-AU"/>
              </w:rPr>
              <w:t>10.7</w:t>
            </w:r>
          </w:p>
        </w:tc>
      </w:tr>
      <w:tr w:rsidR="00810C4F" w:rsidRPr="009E253B" w:rsidTr="008A28D6">
        <w:tc>
          <w:tcPr>
            <w:tcW w:w="9180" w:type="dxa"/>
            <w:gridSpan w:val="3"/>
            <w:shd w:val="clear" w:color="auto" w:fill="D9D9D9" w:themeFill="background1" w:themeFillShade="D9"/>
          </w:tcPr>
          <w:p w:rsidR="00810C4F" w:rsidRPr="009E253B" w:rsidRDefault="00810C4F" w:rsidP="009762D1">
            <w:pPr>
              <w:rPr>
                <w:bCs/>
                <w:sz w:val="22"/>
                <w:szCs w:val="22"/>
                <w:lang w:val="en-AU"/>
              </w:rPr>
            </w:pPr>
            <w:r w:rsidRPr="009E253B">
              <w:rPr>
                <w:b/>
                <w:bCs/>
                <w:sz w:val="22"/>
                <w:szCs w:val="22"/>
                <w:lang w:val="en-AU"/>
              </w:rPr>
              <w:t>Musculoskeletal and connective tissue disorders</w:t>
            </w:r>
          </w:p>
        </w:tc>
      </w:tr>
      <w:tr w:rsidR="00810C4F" w:rsidRPr="009E253B" w:rsidTr="009762D1">
        <w:tc>
          <w:tcPr>
            <w:tcW w:w="3690" w:type="dxa"/>
          </w:tcPr>
          <w:p w:rsidR="00B32953" w:rsidRPr="009E253B" w:rsidRDefault="00B32953" w:rsidP="00B32953">
            <w:pPr>
              <w:rPr>
                <w:sz w:val="22"/>
                <w:szCs w:val="22"/>
                <w:lang w:val="en-AU"/>
              </w:rPr>
            </w:pPr>
            <w:r w:rsidRPr="009E253B">
              <w:rPr>
                <w:sz w:val="22"/>
                <w:szCs w:val="22"/>
                <w:lang w:val="en-AU"/>
              </w:rPr>
              <w:t>Back pain</w:t>
            </w:r>
          </w:p>
          <w:p w:rsidR="00B32953" w:rsidRPr="009E253B" w:rsidRDefault="00B32953" w:rsidP="00B32953">
            <w:pPr>
              <w:rPr>
                <w:sz w:val="22"/>
                <w:szCs w:val="22"/>
                <w:lang w:val="en-AU"/>
              </w:rPr>
            </w:pPr>
            <w:r w:rsidRPr="009E253B">
              <w:rPr>
                <w:sz w:val="22"/>
                <w:szCs w:val="22"/>
                <w:lang w:val="en-AU"/>
              </w:rPr>
              <w:t xml:space="preserve">Bone pain </w:t>
            </w:r>
          </w:p>
          <w:p w:rsidR="00810C4F" w:rsidRPr="009E253B" w:rsidRDefault="00B32953" w:rsidP="00B32953">
            <w:pPr>
              <w:rPr>
                <w:sz w:val="22"/>
                <w:szCs w:val="22"/>
                <w:lang w:val="en-AU"/>
              </w:rPr>
            </w:pPr>
            <w:r w:rsidRPr="009E253B">
              <w:rPr>
                <w:sz w:val="22"/>
                <w:szCs w:val="22"/>
                <w:lang w:val="en-AU"/>
              </w:rPr>
              <w:t xml:space="preserve">Muscle spasms </w:t>
            </w:r>
          </w:p>
        </w:tc>
        <w:tc>
          <w:tcPr>
            <w:tcW w:w="2745" w:type="dxa"/>
          </w:tcPr>
          <w:p w:rsidR="00810C4F" w:rsidRPr="009E253B" w:rsidRDefault="00B32953" w:rsidP="000231B9">
            <w:pPr>
              <w:jc w:val="center"/>
              <w:rPr>
                <w:bCs/>
                <w:sz w:val="22"/>
                <w:szCs w:val="22"/>
                <w:lang w:val="en-AU"/>
              </w:rPr>
            </w:pPr>
            <w:r w:rsidRPr="009E253B">
              <w:rPr>
                <w:bCs/>
                <w:sz w:val="22"/>
                <w:szCs w:val="22"/>
                <w:lang w:val="en-AU"/>
              </w:rPr>
              <w:t>14.7</w:t>
            </w:r>
          </w:p>
          <w:p w:rsidR="00B32953" w:rsidRPr="009E253B" w:rsidRDefault="00B32953" w:rsidP="000231B9">
            <w:pPr>
              <w:jc w:val="center"/>
              <w:rPr>
                <w:bCs/>
                <w:sz w:val="22"/>
                <w:szCs w:val="22"/>
                <w:lang w:val="en-AU"/>
              </w:rPr>
            </w:pPr>
            <w:r w:rsidRPr="009E253B">
              <w:rPr>
                <w:bCs/>
                <w:sz w:val="22"/>
                <w:szCs w:val="22"/>
                <w:lang w:val="en-AU"/>
              </w:rPr>
              <w:t>14.7</w:t>
            </w:r>
          </w:p>
          <w:p w:rsidR="00B32953" w:rsidRPr="009E253B" w:rsidRDefault="00B32953" w:rsidP="000231B9">
            <w:pPr>
              <w:jc w:val="center"/>
              <w:rPr>
                <w:bCs/>
                <w:sz w:val="22"/>
                <w:szCs w:val="22"/>
                <w:lang w:val="en-AU"/>
              </w:rPr>
            </w:pPr>
            <w:r w:rsidRPr="009E253B">
              <w:rPr>
                <w:bCs/>
                <w:sz w:val="22"/>
                <w:szCs w:val="22"/>
                <w:lang w:val="en-AU"/>
              </w:rPr>
              <w:t>10.0</w:t>
            </w:r>
          </w:p>
        </w:tc>
        <w:tc>
          <w:tcPr>
            <w:tcW w:w="2745" w:type="dxa"/>
          </w:tcPr>
          <w:p w:rsidR="00810C4F" w:rsidRPr="009E253B" w:rsidRDefault="00B32953" w:rsidP="000231B9">
            <w:pPr>
              <w:jc w:val="center"/>
              <w:rPr>
                <w:bCs/>
                <w:sz w:val="22"/>
                <w:szCs w:val="22"/>
                <w:lang w:val="en-AU"/>
              </w:rPr>
            </w:pPr>
            <w:r w:rsidRPr="009E253B">
              <w:rPr>
                <w:bCs/>
                <w:sz w:val="22"/>
                <w:szCs w:val="22"/>
                <w:lang w:val="en-AU"/>
              </w:rPr>
              <w:t>13.4</w:t>
            </w:r>
          </w:p>
          <w:p w:rsidR="00B32953" w:rsidRPr="009E253B" w:rsidRDefault="00B32953" w:rsidP="000231B9">
            <w:pPr>
              <w:jc w:val="center"/>
              <w:rPr>
                <w:bCs/>
                <w:sz w:val="22"/>
                <w:szCs w:val="22"/>
                <w:lang w:val="en-AU"/>
              </w:rPr>
            </w:pPr>
            <w:r w:rsidRPr="009E253B">
              <w:rPr>
                <w:bCs/>
                <w:sz w:val="22"/>
                <w:szCs w:val="22"/>
                <w:lang w:val="en-AU"/>
              </w:rPr>
              <w:t>10.1</w:t>
            </w:r>
          </w:p>
          <w:p w:rsidR="00B32953" w:rsidRPr="009E253B" w:rsidRDefault="00B32953" w:rsidP="000231B9">
            <w:pPr>
              <w:jc w:val="center"/>
              <w:rPr>
                <w:bCs/>
                <w:sz w:val="22"/>
                <w:szCs w:val="22"/>
                <w:lang w:val="en-AU"/>
              </w:rPr>
            </w:pPr>
            <w:r w:rsidRPr="009E253B">
              <w:rPr>
                <w:bCs/>
                <w:sz w:val="22"/>
                <w:szCs w:val="22"/>
                <w:lang w:val="en-AU"/>
              </w:rPr>
              <w:t>6.0</w:t>
            </w:r>
          </w:p>
        </w:tc>
      </w:tr>
      <w:tr w:rsidR="00810C4F" w:rsidRPr="009E253B" w:rsidTr="008A28D6">
        <w:tc>
          <w:tcPr>
            <w:tcW w:w="9180" w:type="dxa"/>
            <w:gridSpan w:val="3"/>
            <w:shd w:val="clear" w:color="auto" w:fill="D9D9D9" w:themeFill="background1" w:themeFillShade="D9"/>
          </w:tcPr>
          <w:p w:rsidR="00810C4F" w:rsidRPr="009E253B" w:rsidRDefault="00810C4F" w:rsidP="009762D1">
            <w:pPr>
              <w:rPr>
                <w:sz w:val="22"/>
                <w:szCs w:val="22"/>
                <w:lang w:val="en-AU"/>
              </w:rPr>
            </w:pPr>
            <w:r w:rsidRPr="009E253B">
              <w:rPr>
                <w:b/>
                <w:bCs/>
                <w:sz w:val="22"/>
                <w:szCs w:val="22"/>
                <w:lang w:val="en-AU"/>
              </w:rPr>
              <w:t>Psychiatric disorders</w:t>
            </w:r>
          </w:p>
        </w:tc>
      </w:tr>
      <w:tr w:rsidR="00810C4F" w:rsidRPr="009E253B" w:rsidTr="009762D1">
        <w:tc>
          <w:tcPr>
            <w:tcW w:w="3690" w:type="dxa"/>
          </w:tcPr>
          <w:p w:rsidR="00810C4F" w:rsidRPr="009E253B" w:rsidRDefault="00D101AD" w:rsidP="00350F48">
            <w:pPr>
              <w:jc w:val="both"/>
              <w:rPr>
                <w:sz w:val="22"/>
                <w:szCs w:val="22"/>
                <w:lang w:val="en-AU"/>
              </w:rPr>
            </w:pPr>
            <w:r w:rsidRPr="009E253B">
              <w:rPr>
                <w:sz w:val="22"/>
                <w:szCs w:val="22"/>
                <w:lang w:val="en-AU"/>
              </w:rPr>
              <w:t>Insomnia</w:t>
            </w:r>
          </w:p>
        </w:tc>
        <w:tc>
          <w:tcPr>
            <w:tcW w:w="2745" w:type="dxa"/>
          </w:tcPr>
          <w:p w:rsidR="00810C4F" w:rsidRPr="009E253B" w:rsidRDefault="00B32953" w:rsidP="000231B9">
            <w:pPr>
              <w:jc w:val="center"/>
              <w:rPr>
                <w:bCs/>
                <w:sz w:val="22"/>
                <w:szCs w:val="22"/>
                <w:lang w:val="en-AU"/>
              </w:rPr>
            </w:pPr>
            <w:r w:rsidRPr="009E253B">
              <w:rPr>
                <w:bCs/>
                <w:sz w:val="22"/>
                <w:szCs w:val="22"/>
                <w:lang w:val="en-AU"/>
              </w:rPr>
              <w:t>8.0</w:t>
            </w:r>
          </w:p>
        </w:tc>
        <w:tc>
          <w:tcPr>
            <w:tcW w:w="2745" w:type="dxa"/>
          </w:tcPr>
          <w:p w:rsidR="00810C4F" w:rsidRPr="009E253B" w:rsidRDefault="00B32953" w:rsidP="000231B9">
            <w:pPr>
              <w:jc w:val="center"/>
              <w:rPr>
                <w:sz w:val="22"/>
                <w:szCs w:val="22"/>
                <w:lang w:val="en-AU"/>
              </w:rPr>
            </w:pPr>
            <w:r w:rsidRPr="009E253B">
              <w:rPr>
                <w:sz w:val="22"/>
                <w:szCs w:val="22"/>
                <w:lang w:val="en-AU"/>
              </w:rPr>
              <w:t>20.8</w:t>
            </w:r>
          </w:p>
        </w:tc>
      </w:tr>
      <w:tr w:rsidR="00810C4F" w:rsidRPr="009E253B" w:rsidTr="008A28D6">
        <w:tc>
          <w:tcPr>
            <w:tcW w:w="9180" w:type="dxa"/>
            <w:gridSpan w:val="3"/>
            <w:shd w:val="clear" w:color="auto" w:fill="D9D9D9" w:themeFill="background1" w:themeFillShade="D9"/>
          </w:tcPr>
          <w:p w:rsidR="00810C4F" w:rsidRPr="009E253B" w:rsidRDefault="00810C4F" w:rsidP="009762D1">
            <w:pPr>
              <w:rPr>
                <w:sz w:val="22"/>
                <w:szCs w:val="22"/>
                <w:lang w:val="en-AU"/>
              </w:rPr>
            </w:pPr>
            <w:r w:rsidRPr="009E253B">
              <w:rPr>
                <w:b/>
                <w:bCs/>
                <w:sz w:val="22"/>
                <w:szCs w:val="22"/>
                <w:lang w:val="en-AU"/>
              </w:rPr>
              <w:t xml:space="preserve">Respiratory, thoracic and </w:t>
            </w:r>
            <w:proofErr w:type="spellStart"/>
            <w:r w:rsidRPr="009E253B">
              <w:rPr>
                <w:b/>
                <w:bCs/>
                <w:sz w:val="22"/>
                <w:szCs w:val="22"/>
                <w:lang w:val="en-AU"/>
              </w:rPr>
              <w:t>mediastinal</w:t>
            </w:r>
            <w:proofErr w:type="spellEnd"/>
            <w:r w:rsidRPr="009E253B">
              <w:rPr>
                <w:b/>
                <w:bCs/>
                <w:sz w:val="22"/>
                <w:szCs w:val="22"/>
                <w:lang w:val="en-AU"/>
              </w:rPr>
              <w:t xml:space="preserve"> disorders</w:t>
            </w:r>
          </w:p>
        </w:tc>
      </w:tr>
      <w:tr w:rsidR="00810C4F" w:rsidRPr="009E253B" w:rsidTr="009762D1">
        <w:tc>
          <w:tcPr>
            <w:tcW w:w="3690" w:type="dxa"/>
          </w:tcPr>
          <w:p w:rsidR="00D80F3F" w:rsidRPr="009E253B" w:rsidRDefault="00D80F3F" w:rsidP="00D80F3F">
            <w:pPr>
              <w:rPr>
                <w:sz w:val="22"/>
                <w:szCs w:val="22"/>
                <w:lang w:val="en-AU"/>
              </w:rPr>
            </w:pPr>
            <w:r w:rsidRPr="009E253B">
              <w:rPr>
                <w:sz w:val="22"/>
                <w:szCs w:val="22"/>
                <w:lang w:val="en-AU"/>
              </w:rPr>
              <w:t xml:space="preserve">Dyspnoea </w:t>
            </w:r>
          </w:p>
          <w:p w:rsidR="00810C4F" w:rsidRPr="009E253B" w:rsidRDefault="00D80F3F" w:rsidP="00D80F3F">
            <w:pPr>
              <w:jc w:val="both"/>
              <w:rPr>
                <w:bCs/>
                <w:sz w:val="22"/>
                <w:szCs w:val="22"/>
                <w:lang w:val="en-AU"/>
              </w:rPr>
            </w:pPr>
            <w:r w:rsidRPr="009E253B">
              <w:rPr>
                <w:sz w:val="22"/>
                <w:szCs w:val="22"/>
                <w:lang w:val="en-AU"/>
              </w:rPr>
              <w:t>Cough</w:t>
            </w:r>
          </w:p>
        </w:tc>
        <w:tc>
          <w:tcPr>
            <w:tcW w:w="2745" w:type="dxa"/>
          </w:tcPr>
          <w:p w:rsidR="00810C4F" w:rsidRPr="009E253B" w:rsidRDefault="00D80F3F" w:rsidP="000231B9">
            <w:pPr>
              <w:jc w:val="center"/>
              <w:rPr>
                <w:sz w:val="22"/>
                <w:szCs w:val="22"/>
                <w:lang w:val="en-AU"/>
              </w:rPr>
            </w:pPr>
            <w:r w:rsidRPr="009E253B">
              <w:rPr>
                <w:sz w:val="22"/>
                <w:szCs w:val="22"/>
                <w:lang w:val="en-AU"/>
              </w:rPr>
              <w:t>16.7</w:t>
            </w:r>
          </w:p>
          <w:p w:rsidR="00D80F3F" w:rsidRPr="009E253B" w:rsidRDefault="00D80F3F" w:rsidP="000231B9">
            <w:pPr>
              <w:jc w:val="center"/>
              <w:rPr>
                <w:sz w:val="22"/>
                <w:szCs w:val="22"/>
                <w:lang w:val="en-AU"/>
              </w:rPr>
            </w:pPr>
            <w:r w:rsidRPr="009E253B">
              <w:rPr>
                <w:sz w:val="22"/>
                <w:szCs w:val="22"/>
                <w:lang w:val="en-AU"/>
              </w:rPr>
              <w:t>15.0</w:t>
            </w:r>
          </w:p>
        </w:tc>
        <w:tc>
          <w:tcPr>
            <w:tcW w:w="2745" w:type="dxa"/>
          </w:tcPr>
          <w:p w:rsidR="00810C4F" w:rsidRPr="009E253B" w:rsidRDefault="00D80F3F" w:rsidP="000231B9">
            <w:pPr>
              <w:jc w:val="center"/>
              <w:rPr>
                <w:sz w:val="22"/>
                <w:szCs w:val="22"/>
                <w:lang w:val="en-AU"/>
              </w:rPr>
            </w:pPr>
            <w:r w:rsidRPr="009E253B">
              <w:rPr>
                <w:sz w:val="22"/>
                <w:szCs w:val="22"/>
                <w:lang w:val="en-AU"/>
              </w:rPr>
              <w:t>11.4</w:t>
            </w:r>
          </w:p>
          <w:p w:rsidR="00D80F3F" w:rsidRPr="009E253B" w:rsidRDefault="00D80F3F" w:rsidP="000231B9">
            <w:pPr>
              <w:jc w:val="center"/>
              <w:rPr>
                <w:sz w:val="22"/>
                <w:szCs w:val="22"/>
                <w:lang w:val="en-AU"/>
              </w:rPr>
            </w:pPr>
            <w:r w:rsidRPr="009E253B">
              <w:rPr>
                <w:sz w:val="22"/>
                <w:szCs w:val="22"/>
                <w:lang w:val="en-AU"/>
              </w:rPr>
              <w:t>8.1</w:t>
            </w:r>
          </w:p>
        </w:tc>
      </w:tr>
    </w:tbl>
    <w:p w:rsidR="0008100F" w:rsidRPr="00CA41CD" w:rsidRDefault="0008100F" w:rsidP="0008100F">
      <w:pPr>
        <w:autoSpaceDE w:val="0"/>
        <w:autoSpaceDN w:val="0"/>
        <w:adjustRightInd w:val="0"/>
        <w:spacing w:before="40"/>
        <w:rPr>
          <w:rFonts w:eastAsia="TimesNewRoman"/>
          <w:sz w:val="20"/>
          <w:szCs w:val="20"/>
          <w:lang w:val="en-AU"/>
        </w:rPr>
      </w:pPr>
      <w:r w:rsidRPr="00CA41CD">
        <w:rPr>
          <w:i/>
          <w:sz w:val="20"/>
          <w:szCs w:val="20"/>
        </w:rPr>
        <w:t>Hyperglyc</w:t>
      </w:r>
      <w:r>
        <w:rPr>
          <w:i/>
          <w:sz w:val="20"/>
          <w:szCs w:val="20"/>
        </w:rPr>
        <w:t>aemia and d</w:t>
      </w:r>
      <w:r w:rsidRPr="00CA41CD">
        <w:rPr>
          <w:i/>
          <w:sz w:val="20"/>
          <w:szCs w:val="20"/>
        </w:rPr>
        <w:t>iabetes mellitus were observed in 5.0% and 0.3</w:t>
      </w:r>
      <w:r w:rsidR="004B7960" w:rsidRPr="00CA41CD">
        <w:rPr>
          <w:i/>
          <w:sz w:val="20"/>
          <w:szCs w:val="20"/>
        </w:rPr>
        <w:t>% in</w:t>
      </w:r>
      <w:r w:rsidRPr="00CA41CD">
        <w:rPr>
          <w:i/>
          <w:sz w:val="20"/>
          <w:szCs w:val="20"/>
        </w:rPr>
        <w:t xml:space="preserve"> POM + LD-</w:t>
      </w:r>
      <w:proofErr w:type="spellStart"/>
      <w:r w:rsidRPr="00CA41CD">
        <w:rPr>
          <w:i/>
          <w:sz w:val="20"/>
          <w:szCs w:val="20"/>
        </w:rPr>
        <w:t>Dex</w:t>
      </w:r>
      <w:proofErr w:type="spellEnd"/>
      <w:r w:rsidRPr="00CA41CD">
        <w:rPr>
          <w:i/>
          <w:sz w:val="20"/>
          <w:szCs w:val="20"/>
        </w:rPr>
        <w:t xml:space="preserve"> arm vs 8.1</w:t>
      </w:r>
      <w:r w:rsidR="004B7960" w:rsidRPr="00CA41CD">
        <w:rPr>
          <w:i/>
          <w:sz w:val="20"/>
          <w:szCs w:val="20"/>
        </w:rPr>
        <w:t>% and</w:t>
      </w:r>
      <w:r w:rsidRPr="00CA41CD">
        <w:rPr>
          <w:i/>
          <w:sz w:val="20"/>
          <w:szCs w:val="20"/>
        </w:rPr>
        <w:t xml:space="preserve"> 2.0% in the HD-</w:t>
      </w:r>
      <w:proofErr w:type="spellStart"/>
      <w:r w:rsidRPr="00CA41CD">
        <w:rPr>
          <w:i/>
          <w:sz w:val="20"/>
          <w:szCs w:val="20"/>
        </w:rPr>
        <w:t>dex</w:t>
      </w:r>
      <w:proofErr w:type="spellEnd"/>
      <w:r w:rsidRPr="00CA41CD">
        <w:rPr>
          <w:i/>
          <w:sz w:val="20"/>
          <w:szCs w:val="20"/>
        </w:rPr>
        <w:t xml:space="preserve"> arm respectively and are believed to be related to treatment with dexamethasone</w:t>
      </w:r>
      <w:r>
        <w:rPr>
          <w:i/>
          <w:sz w:val="20"/>
          <w:szCs w:val="20"/>
        </w:rPr>
        <w:t>.</w:t>
      </w:r>
    </w:p>
    <w:p w:rsidR="00810C4F" w:rsidRDefault="00810C4F" w:rsidP="009D29AF">
      <w:pPr>
        <w:autoSpaceDE w:val="0"/>
        <w:autoSpaceDN w:val="0"/>
        <w:adjustRightInd w:val="0"/>
        <w:rPr>
          <w:rFonts w:eastAsia="TimesNewRoman"/>
          <w:sz w:val="22"/>
          <w:szCs w:val="22"/>
          <w:lang w:val="en-AU"/>
        </w:rPr>
      </w:pPr>
    </w:p>
    <w:p w:rsidR="007746D3" w:rsidRPr="002568DF" w:rsidRDefault="00322955" w:rsidP="00322955">
      <w:pPr>
        <w:keepNext/>
        <w:autoSpaceDE w:val="0"/>
        <w:autoSpaceDN w:val="0"/>
        <w:adjustRightInd w:val="0"/>
        <w:ind w:left="851" w:hanging="851"/>
        <w:rPr>
          <w:rFonts w:eastAsia="TimesNewRoman"/>
          <w:b/>
          <w:lang w:val="en-AU"/>
        </w:rPr>
      </w:pPr>
      <w:r w:rsidRPr="002568DF">
        <w:rPr>
          <w:rFonts w:eastAsia="TimesNewRoman"/>
          <w:b/>
          <w:lang w:val="en-AU"/>
        </w:rPr>
        <w:t>9.1</w:t>
      </w:r>
      <w:r w:rsidRPr="002568DF">
        <w:rPr>
          <w:rFonts w:eastAsia="TimesNewRoman"/>
          <w:b/>
          <w:lang w:val="en-AU"/>
        </w:rPr>
        <w:tab/>
      </w:r>
      <w:r w:rsidR="007746D3" w:rsidRPr="002568DF">
        <w:rPr>
          <w:rFonts w:eastAsia="TimesNewRoman"/>
          <w:b/>
          <w:lang w:val="en-AU"/>
        </w:rPr>
        <w:t>Tabulated list of adverse reactions</w:t>
      </w:r>
    </w:p>
    <w:p w:rsidR="0097537A" w:rsidRDefault="0097537A" w:rsidP="00083514">
      <w:pPr>
        <w:autoSpaceDE w:val="0"/>
        <w:autoSpaceDN w:val="0"/>
        <w:adjustRightInd w:val="0"/>
        <w:spacing w:before="120"/>
        <w:rPr>
          <w:color w:val="000000"/>
          <w:sz w:val="22"/>
          <w:szCs w:val="22"/>
        </w:rPr>
      </w:pPr>
      <w:r w:rsidRPr="0097537A">
        <w:rPr>
          <w:rFonts w:eastAsia="TimesNewRoman"/>
          <w:color w:val="000000"/>
          <w:sz w:val="22"/>
          <w:szCs w:val="22"/>
        </w:rPr>
        <w:t xml:space="preserve">The adverse drug reactions (ADRs) observed in patients treated with </w:t>
      </w:r>
      <w:proofErr w:type="spellStart"/>
      <w:r w:rsidRPr="009E019B">
        <w:rPr>
          <w:rFonts w:eastAsia="TimesNewRoman"/>
          <w:color w:val="000000"/>
          <w:sz w:val="22"/>
          <w:szCs w:val="22"/>
        </w:rPr>
        <w:t>pomalidomide</w:t>
      </w:r>
      <w:proofErr w:type="spellEnd"/>
      <w:r w:rsidRPr="009E019B">
        <w:rPr>
          <w:rFonts w:eastAsia="TimesNewRoman"/>
          <w:color w:val="000000"/>
          <w:sz w:val="22"/>
          <w:szCs w:val="22"/>
        </w:rPr>
        <w:t>/dexamethasone are</w:t>
      </w:r>
      <w:r w:rsidRPr="0097537A">
        <w:rPr>
          <w:rFonts w:eastAsia="TimesNewRoman"/>
          <w:color w:val="000000"/>
          <w:sz w:val="22"/>
          <w:szCs w:val="22"/>
        </w:rPr>
        <w:t xml:space="preserve"> listed below by system organ cl</w:t>
      </w:r>
      <w:r>
        <w:rPr>
          <w:rFonts w:eastAsia="TimesNewRoman"/>
          <w:color w:val="000000"/>
          <w:sz w:val="22"/>
          <w:szCs w:val="22"/>
        </w:rPr>
        <w:t xml:space="preserve">ass and frequency for all ADRs and </w:t>
      </w:r>
      <w:r w:rsidR="008A28D6">
        <w:rPr>
          <w:rFonts w:eastAsia="TimesNewRoman"/>
          <w:color w:val="000000"/>
          <w:sz w:val="22"/>
          <w:szCs w:val="22"/>
        </w:rPr>
        <w:t>G</w:t>
      </w:r>
      <w:r w:rsidR="00FC1EAB">
        <w:rPr>
          <w:rFonts w:eastAsia="TimesNewRoman"/>
          <w:color w:val="000000"/>
          <w:sz w:val="22"/>
          <w:szCs w:val="22"/>
        </w:rPr>
        <w:t>rade 3/</w:t>
      </w:r>
      <w:r w:rsidRPr="0097537A">
        <w:rPr>
          <w:rFonts w:eastAsia="TimesNewRoman"/>
          <w:color w:val="000000"/>
          <w:sz w:val="22"/>
          <w:szCs w:val="22"/>
        </w:rPr>
        <w:t>4 ADRs</w:t>
      </w:r>
      <w:r>
        <w:rPr>
          <w:rFonts w:eastAsia="TimesNewRoman"/>
          <w:color w:val="000000"/>
          <w:sz w:val="22"/>
          <w:szCs w:val="22"/>
        </w:rPr>
        <w:t xml:space="preserve">.  The relatedness to treatment has been determined by: </w:t>
      </w:r>
      <w:r w:rsidRPr="0097537A">
        <w:rPr>
          <w:color w:val="000000"/>
          <w:sz w:val="22"/>
          <w:szCs w:val="22"/>
        </w:rPr>
        <w:t>biological/pharmacological plausibility for a drug-event relationship, known morbidities of target population and disease bein</w:t>
      </w:r>
      <w:r>
        <w:rPr>
          <w:color w:val="000000"/>
          <w:sz w:val="22"/>
          <w:szCs w:val="22"/>
        </w:rPr>
        <w:t>g treated,</w:t>
      </w:r>
      <w:r w:rsidRPr="0097537A">
        <w:rPr>
          <w:color w:val="000000"/>
          <w:sz w:val="22"/>
          <w:szCs w:val="22"/>
        </w:rPr>
        <w:t xml:space="preserve"> adverse reactions suspected</w:t>
      </w:r>
      <w:r w:rsidR="00884AA8">
        <w:rPr>
          <w:color w:val="000000"/>
          <w:sz w:val="22"/>
          <w:szCs w:val="22"/>
        </w:rPr>
        <w:t xml:space="preserve"> with </w:t>
      </w:r>
      <w:r w:rsidR="009D5777">
        <w:rPr>
          <w:color w:val="000000"/>
          <w:sz w:val="22"/>
          <w:szCs w:val="22"/>
        </w:rPr>
        <w:t>medicines</w:t>
      </w:r>
      <w:r w:rsidR="00884AA8">
        <w:rPr>
          <w:color w:val="000000"/>
          <w:sz w:val="22"/>
          <w:szCs w:val="22"/>
        </w:rPr>
        <w:t xml:space="preserve"> of this class, </w:t>
      </w:r>
      <w:r w:rsidRPr="0097537A">
        <w:rPr>
          <w:color w:val="000000"/>
          <w:sz w:val="22"/>
          <w:szCs w:val="22"/>
        </w:rPr>
        <w:t xml:space="preserve">weight of evidence (e.g., positive </w:t>
      </w:r>
      <w:proofErr w:type="spellStart"/>
      <w:r w:rsidRPr="0097537A">
        <w:rPr>
          <w:color w:val="000000"/>
          <w:sz w:val="22"/>
          <w:szCs w:val="22"/>
        </w:rPr>
        <w:t>rechallenge</w:t>
      </w:r>
      <w:proofErr w:type="spellEnd"/>
      <w:r w:rsidRPr="0097537A">
        <w:rPr>
          <w:color w:val="000000"/>
          <w:sz w:val="22"/>
          <w:szCs w:val="22"/>
        </w:rPr>
        <w:t xml:space="preserve">, positive </w:t>
      </w:r>
      <w:proofErr w:type="spellStart"/>
      <w:r w:rsidRPr="0097537A">
        <w:rPr>
          <w:color w:val="000000"/>
          <w:sz w:val="22"/>
          <w:szCs w:val="22"/>
        </w:rPr>
        <w:t>dechallenge</w:t>
      </w:r>
      <w:proofErr w:type="spellEnd"/>
      <w:r w:rsidRPr="0097537A">
        <w:rPr>
          <w:color w:val="000000"/>
          <w:sz w:val="22"/>
          <w:szCs w:val="22"/>
        </w:rPr>
        <w:t>, time to onse</w:t>
      </w:r>
      <w:r w:rsidR="00884AA8">
        <w:rPr>
          <w:color w:val="000000"/>
          <w:sz w:val="22"/>
          <w:szCs w:val="22"/>
        </w:rPr>
        <w:t>t, lack of confounding factors) and</w:t>
      </w:r>
      <w:r w:rsidRPr="0097537A">
        <w:rPr>
          <w:color w:val="000000"/>
          <w:sz w:val="22"/>
          <w:szCs w:val="22"/>
        </w:rPr>
        <w:t xml:space="preserve"> medical judgment.</w:t>
      </w:r>
    </w:p>
    <w:p w:rsidR="007567C9" w:rsidRDefault="007567C9" w:rsidP="00083514">
      <w:pPr>
        <w:autoSpaceDE w:val="0"/>
        <w:autoSpaceDN w:val="0"/>
        <w:adjustRightInd w:val="0"/>
        <w:spacing w:before="120"/>
        <w:rPr>
          <w:color w:val="000000"/>
          <w:sz w:val="22"/>
          <w:szCs w:val="22"/>
        </w:rPr>
      </w:pPr>
    </w:p>
    <w:p w:rsidR="007567C9" w:rsidRDefault="007567C9" w:rsidP="007567C9">
      <w:pPr>
        <w:autoSpaceDE w:val="0"/>
        <w:autoSpaceDN w:val="0"/>
        <w:adjustRightInd w:val="0"/>
        <w:rPr>
          <w:color w:val="000000"/>
          <w:sz w:val="22"/>
          <w:szCs w:val="22"/>
          <w:lang w:val="en-US" w:eastAsia="zh-CN"/>
        </w:rPr>
      </w:pPr>
      <w:r w:rsidRPr="00A67DC4">
        <w:rPr>
          <w:color w:val="000000"/>
          <w:sz w:val="22"/>
          <w:szCs w:val="22"/>
          <w:lang w:val="en-US" w:eastAsia="zh-CN"/>
        </w:rPr>
        <w:t>The most commonly reported Grade 3 or 4 adverse reactions</w:t>
      </w:r>
      <w:r>
        <w:rPr>
          <w:color w:val="000000"/>
          <w:sz w:val="22"/>
          <w:szCs w:val="22"/>
          <w:lang w:val="en-US" w:eastAsia="zh-CN"/>
        </w:rPr>
        <w:t xml:space="preserve"> were </w:t>
      </w:r>
      <w:r w:rsidRPr="00A67DC4">
        <w:rPr>
          <w:color w:val="000000"/>
          <w:sz w:val="22"/>
          <w:szCs w:val="22"/>
          <w:lang w:val="en-US" w:eastAsia="zh-CN"/>
        </w:rPr>
        <w:t xml:space="preserve">blood and lymphatic system disorders including neutropenia (41.7%), </w:t>
      </w:r>
      <w:proofErr w:type="spellStart"/>
      <w:r w:rsidRPr="00A67DC4">
        <w:rPr>
          <w:color w:val="000000"/>
          <w:sz w:val="22"/>
          <w:szCs w:val="22"/>
          <w:lang w:val="en-US" w:eastAsia="zh-CN"/>
        </w:rPr>
        <w:t>anaemia</w:t>
      </w:r>
      <w:proofErr w:type="spellEnd"/>
      <w:r w:rsidRPr="00A67DC4">
        <w:rPr>
          <w:color w:val="000000"/>
          <w:sz w:val="22"/>
          <w:szCs w:val="22"/>
          <w:lang w:val="en-US" w:eastAsia="zh-CN"/>
        </w:rPr>
        <w:t xml:space="preserve"> (27%) and</w:t>
      </w:r>
      <w:r>
        <w:rPr>
          <w:color w:val="000000"/>
          <w:sz w:val="22"/>
          <w:szCs w:val="22"/>
          <w:lang w:val="en-US" w:eastAsia="zh-CN"/>
        </w:rPr>
        <w:t xml:space="preserve"> thrombocytopenia (20.7%); </w:t>
      </w:r>
      <w:r w:rsidRPr="00A67DC4">
        <w:rPr>
          <w:color w:val="000000"/>
          <w:sz w:val="22"/>
          <w:szCs w:val="22"/>
          <w:lang w:val="en-US" w:eastAsia="zh-CN"/>
        </w:rPr>
        <w:t>infections and infestations i</w:t>
      </w:r>
      <w:r>
        <w:rPr>
          <w:color w:val="000000"/>
          <w:sz w:val="22"/>
          <w:szCs w:val="22"/>
          <w:lang w:val="en-US" w:eastAsia="zh-CN"/>
        </w:rPr>
        <w:t xml:space="preserve">ncluding pneumonia (9%); and </w:t>
      </w:r>
      <w:r w:rsidRPr="00A67DC4">
        <w:rPr>
          <w:color w:val="000000"/>
          <w:sz w:val="22"/>
          <w:szCs w:val="22"/>
          <w:lang w:val="en-US" w:eastAsia="zh-CN"/>
        </w:rPr>
        <w:t>general</w:t>
      </w:r>
      <w:r>
        <w:rPr>
          <w:color w:val="000000"/>
          <w:sz w:val="22"/>
          <w:szCs w:val="22"/>
          <w:lang w:val="en-US" w:eastAsia="zh-CN"/>
        </w:rPr>
        <w:t xml:space="preserve"> </w:t>
      </w:r>
      <w:r w:rsidRPr="00A67DC4">
        <w:rPr>
          <w:color w:val="000000"/>
          <w:sz w:val="22"/>
          <w:szCs w:val="22"/>
          <w:lang w:val="en-US" w:eastAsia="zh-CN"/>
        </w:rPr>
        <w:t xml:space="preserve">disorders and administration site conditions including fatigue (4.7%), pyrexia (3%) and </w:t>
      </w:r>
      <w:proofErr w:type="spellStart"/>
      <w:r w:rsidRPr="00A67DC4">
        <w:rPr>
          <w:color w:val="000000"/>
          <w:sz w:val="22"/>
          <w:szCs w:val="22"/>
          <w:lang w:val="en-US" w:eastAsia="zh-CN"/>
        </w:rPr>
        <w:t>oedema</w:t>
      </w:r>
      <w:proofErr w:type="spellEnd"/>
      <w:r w:rsidRPr="00A67DC4">
        <w:rPr>
          <w:color w:val="000000"/>
          <w:sz w:val="22"/>
          <w:szCs w:val="22"/>
          <w:lang w:val="en-US" w:eastAsia="zh-CN"/>
        </w:rPr>
        <w:t xml:space="preserve"> peripheral</w:t>
      </w:r>
      <w:r>
        <w:rPr>
          <w:color w:val="000000"/>
          <w:sz w:val="22"/>
          <w:szCs w:val="22"/>
          <w:lang w:val="en-US" w:eastAsia="zh-CN"/>
        </w:rPr>
        <w:t xml:space="preserve"> </w:t>
      </w:r>
      <w:r w:rsidRPr="00A67DC4">
        <w:rPr>
          <w:color w:val="000000"/>
          <w:sz w:val="22"/>
          <w:szCs w:val="22"/>
          <w:lang w:val="en-US" w:eastAsia="zh-CN"/>
        </w:rPr>
        <w:t xml:space="preserve">(1.3%). </w:t>
      </w:r>
      <w:r>
        <w:rPr>
          <w:color w:val="000000"/>
          <w:sz w:val="22"/>
          <w:szCs w:val="22"/>
          <w:lang w:val="en-US" w:eastAsia="zh-CN"/>
        </w:rPr>
        <w:t xml:space="preserve"> </w:t>
      </w:r>
      <w:r w:rsidRPr="00A67DC4">
        <w:rPr>
          <w:color w:val="000000"/>
          <w:sz w:val="22"/>
          <w:szCs w:val="22"/>
          <w:lang w:val="en-US" w:eastAsia="zh-CN"/>
        </w:rPr>
        <w:t>The most commonly reported serious adverse reaction was pneumonia (9.3%).</w:t>
      </w:r>
    </w:p>
    <w:p w:rsidR="004E7E9E" w:rsidRPr="00A67DC4" w:rsidRDefault="004E7E9E" w:rsidP="00C8520E">
      <w:pPr>
        <w:autoSpaceDE w:val="0"/>
        <w:autoSpaceDN w:val="0"/>
        <w:adjustRightInd w:val="0"/>
        <w:spacing w:before="120"/>
        <w:rPr>
          <w:color w:val="000000"/>
          <w:sz w:val="22"/>
          <w:szCs w:val="22"/>
          <w:lang w:val="en-US" w:eastAsia="zh-CN"/>
        </w:rPr>
      </w:pPr>
    </w:p>
    <w:p w:rsidR="005A52B5" w:rsidRPr="005A52B5" w:rsidRDefault="005A52B5" w:rsidP="005A52B5">
      <w:pPr>
        <w:autoSpaceDE w:val="0"/>
        <w:autoSpaceDN w:val="0"/>
        <w:adjustRightInd w:val="0"/>
        <w:rPr>
          <w:sz w:val="22"/>
          <w:szCs w:val="22"/>
          <w:lang w:val="en-US" w:eastAsia="zh-CN"/>
        </w:rPr>
      </w:pPr>
      <w:r w:rsidRPr="00F75D28">
        <w:rPr>
          <w:sz w:val="22"/>
          <w:szCs w:val="22"/>
          <w:lang w:val="en-US" w:eastAsia="zh-CN"/>
        </w:rPr>
        <w:t>Frequencies are defined in ac</w:t>
      </w:r>
      <w:r>
        <w:rPr>
          <w:sz w:val="22"/>
          <w:szCs w:val="22"/>
          <w:lang w:val="en-US" w:eastAsia="zh-CN"/>
        </w:rPr>
        <w:t xml:space="preserve">cordance with current guidance, </w:t>
      </w:r>
      <w:r w:rsidRPr="00F75D28">
        <w:rPr>
          <w:sz w:val="22"/>
          <w:szCs w:val="22"/>
          <w:lang w:val="en-US" w:eastAsia="zh-CN"/>
        </w:rPr>
        <w:t>as: very common (≥</w:t>
      </w:r>
      <w:r w:rsidR="00CE2478">
        <w:rPr>
          <w:sz w:val="22"/>
          <w:szCs w:val="22"/>
          <w:lang w:val="en-US" w:eastAsia="zh-CN"/>
        </w:rPr>
        <w:t> </w:t>
      </w:r>
      <w:r w:rsidRPr="00F75D28">
        <w:rPr>
          <w:sz w:val="22"/>
          <w:szCs w:val="22"/>
          <w:lang w:val="en-US" w:eastAsia="zh-CN"/>
        </w:rPr>
        <w:t>1/10), common (≥</w:t>
      </w:r>
      <w:r w:rsidR="00CE2478">
        <w:rPr>
          <w:sz w:val="22"/>
          <w:szCs w:val="22"/>
          <w:lang w:val="en-US" w:eastAsia="zh-CN"/>
        </w:rPr>
        <w:t> </w:t>
      </w:r>
      <w:r w:rsidRPr="00F75D28">
        <w:rPr>
          <w:sz w:val="22"/>
          <w:szCs w:val="22"/>
          <w:lang w:val="en-US" w:eastAsia="zh-CN"/>
        </w:rPr>
        <w:t>1/100 to &lt;1/10); and uncommon (≥</w:t>
      </w:r>
      <w:r w:rsidR="00CE2478">
        <w:rPr>
          <w:sz w:val="22"/>
          <w:szCs w:val="22"/>
          <w:lang w:val="en-US" w:eastAsia="zh-CN"/>
        </w:rPr>
        <w:t> </w:t>
      </w:r>
      <w:r w:rsidRPr="00F75D28">
        <w:rPr>
          <w:sz w:val="22"/>
          <w:szCs w:val="22"/>
          <w:lang w:val="en-US" w:eastAsia="zh-CN"/>
        </w:rPr>
        <w:t>1/1,000 to &lt;1/100).</w:t>
      </w:r>
    </w:p>
    <w:p w:rsidR="00C8520E" w:rsidRDefault="003B2BCD" w:rsidP="00C8520E">
      <w:pPr>
        <w:pStyle w:val="C-BodyText"/>
        <w:spacing w:before="0" w:after="0" w:line="240" w:lineRule="auto"/>
        <w:rPr>
          <w:b/>
          <w:sz w:val="22"/>
          <w:szCs w:val="22"/>
        </w:rPr>
      </w:pPr>
      <w:r w:rsidRPr="003B2BCD">
        <w:rPr>
          <w:b/>
          <w:sz w:val="22"/>
          <w:szCs w:val="22"/>
        </w:rPr>
        <w:lastRenderedPageBreak/>
        <w:t xml:space="preserve">Table </w:t>
      </w:r>
      <w:r w:rsidR="00136419">
        <w:rPr>
          <w:b/>
          <w:sz w:val="22"/>
          <w:szCs w:val="22"/>
        </w:rPr>
        <w:t>4</w:t>
      </w:r>
      <w:r w:rsidRPr="003B2BCD">
        <w:rPr>
          <w:b/>
          <w:sz w:val="22"/>
          <w:szCs w:val="22"/>
        </w:rPr>
        <w:t xml:space="preserve"> – </w:t>
      </w:r>
      <w:r w:rsidR="00884AA8">
        <w:rPr>
          <w:b/>
          <w:sz w:val="22"/>
          <w:szCs w:val="22"/>
        </w:rPr>
        <w:t xml:space="preserve">Adverse Reactions </w:t>
      </w:r>
      <w:r w:rsidR="00CC21FC">
        <w:rPr>
          <w:b/>
          <w:sz w:val="22"/>
          <w:szCs w:val="22"/>
        </w:rPr>
        <w:t>observed in the safety population</w:t>
      </w:r>
      <w:r w:rsidR="006F4D25">
        <w:rPr>
          <w:b/>
          <w:sz w:val="22"/>
          <w:szCs w:val="22"/>
        </w:rPr>
        <w:t>*</w:t>
      </w:r>
      <w:r w:rsidR="008A28D6">
        <w:rPr>
          <w:b/>
          <w:sz w:val="22"/>
          <w:szCs w:val="22"/>
        </w:rPr>
        <w:t xml:space="preserve"> of</w:t>
      </w:r>
      <w:r w:rsidR="00CC21FC">
        <w:rPr>
          <w:b/>
          <w:sz w:val="22"/>
          <w:szCs w:val="22"/>
        </w:rPr>
        <w:t xml:space="preserve"> </w:t>
      </w:r>
      <w:r w:rsidR="00CC21FC" w:rsidRPr="00E572F9">
        <w:rPr>
          <w:b/>
          <w:sz w:val="22"/>
          <w:szCs w:val="22"/>
        </w:rPr>
        <w:t xml:space="preserve">the </w:t>
      </w:r>
      <w:r w:rsidR="003F3CE0" w:rsidRPr="00E572F9">
        <w:rPr>
          <w:b/>
          <w:sz w:val="22"/>
          <w:szCs w:val="22"/>
          <w:lang w:eastAsia="zh-CN"/>
        </w:rPr>
        <w:t xml:space="preserve">CC-4047-MM-003 </w:t>
      </w:r>
      <w:r w:rsidR="00CC21FC" w:rsidRPr="00E572F9">
        <w:rPr>
          <w:b/>
          <w:sz w:val="22"/>
          <w:szCs w:val="22"/>
        </w:rPr>
        <w:t>study</w:t>
      </w:r>
      <w:r w:rsidR="00CC21FC">
        <w:rPr>
          <w:b/>
          <w:sz w:val="22"/>
          <w:szCs w:val="22"/>
        </w:rPr>
        <w:t>.</w:t>
      </w:r>
    </w:p>
    <w:p w:rsidR="00026F39" w:rsidRPr="00CC21FC" w:rsidRDefault="00026F39" w:rsidP="00C8520E">
      <w:pPr>
        <w:pStyle w:val="C-BodyText"/>
        <w:spacing w:before="0" w:after="0" w:line="240" w:lineRule="auto"/>
        <w:rPr>
          <w:b/>
          <w:sz w:val="22"/>
          <w:szCs w:val="22"/>
        </w:rPr>
      </w:pPr>
    </w:p>
    <w:tbl>
      <w:tblPr>
        <w:tblStyle w:val="TableGrid"/>
        <w:tblW w:w="0" w:type="auto"/>
        <w:tblInd w:w="108" w:type="dxa"/>
        <w:tblLook w:val="04A0" w:firstRow="1" w:lastRow="0" w:firstColumn="1" w:lastColumn="0" w:noHBand="0" w:noVBand="1"/>
      </w:tblPr>
      <w:tblGrid>
        <w:gridCol w:w="2070"/>
        <w:gridCol w:w="3420"/>
        <w:gridCol w:w="3690"/>
      </w:tblGrid>
      <w:tr w:rsidR="00C53D33" w:rsidRPr="009E253B" w:rsidTr="008264CA">
        <w:tc>
          <w:tcPr>
            <w:tcW w:w="2070" w:type="dxa"/>
          </w:tcPr>
          <w:p w:rsidR="00C53D33" w:rsidRPr="009E253B" w:rsidRDefault="00C53D33" w:rsidP="004475F5">
            <w:pPr>
              <w:jc w:val="both"/>
              <w:rPr>
                <w:bCs/>
                <w:sz w:val="22"/>
                <w:szCs w:val="22"/>
                <w:lang w:val="en-AU"/>
              </w:rPr>
            </w:pPr>
          </w:p>
        </w:tc>
        <w:tc>
          <w:tcPr>
            <w:tcW w:w="3420" w:type="dxa"/>
          </w:tcPr>
          <w:p w:rsidR="00C53D33" w:rsidRPr="009E253B" w:rsidRDefault="00C53D33" w:rsidP="0088527F">
            <w:pPr>
              <w:jc w:val="center"/>
              <w:rPr>
                <w:b/>
                <w:sz w:val="22"/>
                <w:szCs w:val="22"/>
                <w:lang w:val="en-AU"/>
              </w:rPr>
            </w:pPr>
            <w:r w:rsidRPr="009E253B">
              <w:rPr>
                <w:b/>
                <w:sz w:val="22"/>
                <w:szCs w:val="22"/>
                <w:lang w:val="en-AU"/>
              </w:rPr>
              <w:t>All ADRs</w:t>
            </w:r>
          </w:p>
        </w:tc>
        <w:tc>
          <w:tcPr>
            <w:tcW w:w="3690" w:type="dxa"/>
          </w:tcPr>
          <w:p w:rsidR="00C53D33" w:rsidRPr="009E253B" w:rsidRDefault="00C53D33" w:rsidP="0088527F">
            <w:pPr>
              <w:jc w:val="center"/>
              <w:rPr>
                <w:b/>
                <w:sz w:val="22"/>
                <w:szCs w:val="22"/>
                <w:lang w:val="en-AU"/>
              </w:rPr>
            </w:pPr>
            <w:r w:rsidRPr="009E253B">
              <w:rPr>
                <w:b/>
                <w:sz w:val="22"/>
                <w:szCs w:val="22"/>
                <w:lang w:val="en-AU"/>
              </w:rPr>
              <w:t>Grade 3/4 ADRs</w:t>
            </w:r>
          </w:p>
        </w:tc>
      </w:tr>
      <w:tr w:rsidR="00C53D33" w:rsidRPr="009E253B" w:rsidTr="008A28D6">
        <w:tc>
          <w:tcPr>
            <w:tcW w:w="9180" w:type="dxa"/>
            <w:gridSpan w:val="3"/>
            <w:shd w:val="clear" w:color="auto" w:fill="D9D9D9" w:themeFill="background1" w:themeFillShade="D9"/>
          </w:tcPr>
          <w:p w:rsidR="00C53D33" w:rsidRPr="009E253B" w:rsidRDefault="00C53D33" w:rsidP="004475F5">
            <w:pPr>
              <w:jc w:val="both"/>
              <w:rPr>
                <w:bCs/>
                <w:sz w:val="22"/>
                <w:szCs w:val="22"/>
                <w:lang w:val="en-AU"/>
              </w:rPr>
            </w:pPr>
            <w:r w:rsidRPr="009E253B">
              <w:rPr>
                <w:b/>
                <w:sz w:val="22"/>
                <w:szCs w:val="22"/>
                <w:lang w:val="en-AU"/>
              </w:rPr>
              <w:t>Blood and lymphatic system disorders</w:t>
            </w:r>
          </w:p>
        </w:tc>
      </w:tr>
      <w:tr w:rsidR="00C53D33" w:rsidRPr="009E253B" w:rsidTr="008264CA">
        <w:tc>
          <w:tcPr>
            <w:tcW w:w="2070" w:type="dxa"/>
          </w:tcPr>
          <w:p w:rsidR="00C53D33" w:rsidRPr="009E253B" w:rsidRDefault="00C53D33" w:rsidP="0088527F">
            <w:pPr>
              <w:rPr>
                <w:sz w:val="22"/>
                <w:szCs w:val="22"/>
                <w:lang w:val="en-AU"/>
              </w:rPr>
            </w:pPr>
            <w:r w:rsidRPr="009E253B">
              <w:rPr>
                <w:sz w:val="22"/>
                <w:szCs w:val="22"/>
                <w:lang w:val="en-AU"/>
              </w:rPr>
              <w:t>Very Common</w:t>
            </w:r>
          </w:p>
        </w:tc>
        <w:tc>
          <w:tcPr>
            <w:tcW w:w="3420" w:type="dxa"/>
          </w:tcPr>
          <w:p w:rsidR="00C53D33" w:rsidRPr="009E253B" w:rsidRDefault="00C53D33" w:rsidP="00C53D33">
            <w:pPr>
              <w:pStyle w:val="C-TableText"/>
              <w:spacing w:before="0" w:after="0"/>
              <w:rPr>
                <w:szCs w:val="22"/>
                <w:lang w:val="it-IT"/>
              </w:rPr>
            </w:pPr>
            <w:r w:rsidRPr="009E253B">
              <w:rPr>
                <w:szCs w:val="22"/>
                <w:lang w:val="it-IT"/>
              </w:rPr>
              <w:t>An</w:t>
            </w:r>
            <w:r w:rsidR="008A28D6" w:rsidRPr="009E253B">
              <w:rPr>
                <w:szCs w:val="22"/>
                <w:lang w:val="it-IT"/>
              </w:rPr>
              <w:t>a</w:t>
            </w:r>
            <w:r w:rsidRPr="009E253B">
              <w:rPr>
                <w:szCs w:val="22"/>
                <w:lang w:val="it-IT"/>
              </w:rPr>
              <w:t xml:space="preserve">emia </w:t>
            </w:r>
          </w:p>
          <w:p w:rsidR="00C53D33" w:rsidRPr="009E253B" w:rsidRDefault="00C53D33" w:rsidP="00C53D33">
            <w:pPr>
              <w:pStyle w:val="C-TableText"/>
              <w:spacing w:before="0" w:after="0"/>
              <w:rPr>
                <w:szCs w:val="22"/>
                <w:lang w:val="it-IT"/>
              </w:rPr>
            </w:pPr>
            <w:r w:rsidRPr="009E253B">
              <w:rPr>
                <w:szCs w:val="22"/>
                <w:lang w:val="it-IT"/>
              </w:rPr>
              <w:t>Neutropenia</w:t>
            </w:r>
          </w:p>
          <w:p w:rsidR="00C53D33" w:rsidRPr="009E253B" w:rsidRDefault="00C53D33" w:rsidP="00C53D33">
            <w:pPr>
              <w:pStyle w:val="C-TableText"/>
              <w:spacing w:before="0" w:after="0"/>
              <w:rPr>
                <w:szCs w:val="22"/>
                <w:lang w:val="it-IT"/>
              </w:rPr>
            </w:pPr>
            <w:r w:rsidRPr="009E253B">
              <w:rPr>
                <w:szCs w:val="22"/>
                <w:lang w:val="it-IT"/>
              </w:rPr>
              <w:t>Thrombocytopenia</w:t>
            </w:r>
          </w:p>
          <w:p w:rsidR="00C53D33" w:rsidRPr="009E253B" w:rsidRDefault="00C53D33" w:rsidP="00690039">
            <w:pPr>
              <w:pStyle w:val="C-TableText"/>
              <w:spacing w:before="0" w:after="0"/>
              <w:rPr>
                <w:szCs w:val="22"/>
                <w:lang w:val="it-IT"/>
              </w:rPr>
            </w:pPr>
            <w:r w:rsidRPr="009E253B">
              <w:rPr>
                <w:szCs w:val="22"/>
                <w:lang w:val="it-IT"/>
              </w:rPr>
              <w:t>Leu</w:t>
            </w:r>
            <w:r w:rsidR="00210422" w:rsidRPr="009E253B">
              <w:rPr>
                <w:szCs w:val="22"/>
                <w:lang w:val="it-IT"/>
              </w:rPr>
              <w:t>k</w:t>
            </w:r>
            <w:r w:rsidRPr="009E253B">
              <w:rPr>
                <w:szCs w:val="22"/>
                <w:lang w:val="it-IT"/>
              </w:rPr>
              <w:t>openia</w:t>
            </w:r>
          </w:p>
        </w:tc>
        <w:tc>
          <w:tcPr>
            <w:tcW w:w="3690" w:type="dxa"/>
          </w:tcPr>
          <w:p w:rsidR="00C53D33" w:rsidRPr="009E253B" w:rsidRDefault="00F8429A" w:rsidP="00C53D33">
            <w:pPr>
              <w:pStyle w:val="C-TableText"/>
              <w:spacing w:before="0" w:after="0"/>
              <w:rPr>
                <w:szCs w:val="22"/>
                <w:lang w:val="it-IT"/>
              </w:rPr>
            </w:pPr>
            <w:r w:rsidRPr="009E253B">
              <w:rPr>
                <w:szCs w:val="22"/>
                <w:lang w:val="it-IT"/>
              </w:rPr>
              <w:t>An</w:t>
            </w:r>
            <w:r w:rsidR="008A28D6" w:rsidRPr="009E253B">
              <w:rPr>
                <w:szCs w:val="22"/>
                <w:lang w:val="it-IT"/>
              </w:rPr>
              <w:t>a</w:t>
            </w:r>
            <w:r w:rsidRPr="009E253B">
              <w:rPr>
                <w:szCs w:val="22"/>
                <w:lang w:val="it-IT"/>
              </w:rPr>
              <w:t>emia</w:t>
            </w:r>
          </w:p>
          <w:p w:rsidR="00C53D33" w:rsidRPr="009E253B" w:rsidRDefault="00F8429A" w:rsidP="00C53D33">
            <w:pPr>
              <w:pStyle w:val="C-TableText"/>
              <w:spacing w:before="0" w:after="0"/>
              <w:rPr>
                <w:szCs w:val="22"/>
                <w:lang w:val="it-IT"/>
              </w:rPr>
            </w:pPr>
            <w:r w:rsidRPr="009E253B">
              <w:rPr>
                <w:szCs w:val="22"/>
                <w:lang w:val="it-IT"/>
              </w:rPr>
              <w:t xml:space="preserve">Neutropenia </w:t>
            </w:r>
          </w:p>
          <w:p w:rsidR="00C53D33" w:rsidRPr="009E253B" w:rsidRDefault="00C53D33" w:rsidP="00C53D33">
            <w:pPr>
              <w:jc w:val="both"/>
              <w:rPr>
                <w:bCs/>
                <w:sz w:val="22"/>
                <w:szCs w:val="22"/>
                <w:lang w:val="en-AU"/>
              </w:rPr>
            </w:pPr>
            <w:r w:rsidRPr="009E253B">
              <w:rPr>
                <w:sz w:val="22"/>
                <w:szCs w:val="22"/>
                <w:lang w:val="it-IT"/>
              </w:rPr>
              <w:t>Thrombocytopenia</w:t>
            </w:r>
          </w:p>
        </w:tc>
      </w:tr>
      <w:tr w:rsidR="00C53D33" w:rsidRPr="009E253B" w:rsidTr="008264CA">
        <w:tc>
          <w:tcPr>
            <w:tcW w:w="2070" w:type="dxa"/>
          </w:tcPr>
          <w:p w:rsidR="00C53D33" w:rsidRPr="009E253B" w:rsidRDefault="00C53D33" w:rsidP="0088527F">
            <w:pPr>
              <w:rPr>
                <w:sz w:val="22"/>
                <w:szCs w:val="22"/>
                <w:lang w:val="it-IT"/>
              </w:rPr>
            </w:pPr>
            <w:r w:rsidRPr="009E253B">
              <w:rPr>
                <w:sz w:val="22"/>
                <w:szCs w:val="22"/>
                <w:lang w:val="it-IT"/>
              </w:rPr>
              <w:t>Common</w:t>
            </w:r>
          </w:p>
        </w:tc>
        <w:tc>
          <w:tcPr>
            <w:tcW w:w="3420" w:type="dxa"/>
          </w:tcPr>
          <w:p w:rsidR="00C53D33" w:rsidRPr="009E253B" w:rsidRDefault="00C53D33" w:rsidP="004475F5">
            <w:pPr>
              <w:jc w:val="both"/>
              <w:rPr>
                <w:bCs/>
                <w:sz w:val="22"/>
                <w:szCs w:val="22"/>
                <w:lang w:val="en-AU"/>
              </w:rPr>
            </w:pPr>
            <w:r w:rsidRPr="009E253B">
              <w:rPr>
                <w:sz w:val="22"/>
                <w:szCs w:val="22"/>
                <w:lang w:val="it-IT"/>
              </w:rPr>
              <w:t>Febrile neutropenia</w:t>
            </w:r>
          </w:p>
        </w:tc>
        <w:tc>
          <w:tcPr>
            <w:tcW w:w="3690" w:type="dxa"/>
          </w:tcPr>
          <w:p w:rsidR="00C53D33" w:rsidRPr="009E253B" w:rsidRDefault="00F8429A" w:rsidP="00C53D33">
            <w:pPr>
              <w:rPr>
                <w:sz w:val="22"/>
                <w:szCs w:val="22"/>
                <w:lang w:val="it-IT"/>
              </w:rPr>
            </w:pPr>
            <w:r w:rsidRPr="009E253B">
              <w:rPr>
                <w:sz w:val="22"/>
                <w:szCs w:val="22"/>
                <w:lang w:val="it-IT"/>
              </w:rPr>
              <w:t>Leu</w:t>
            </w:r>
            <w:r w:rsidR="00210422" w:rsidRPr="009E253B">
              <w:rPr>
                <w:sz w:val="22"/>
                <w:szCs w:val="22"/>
                <w:lang w:val="it-IT"/>
              </w:rPr>
              <w:t>k</w:t>
            </w:r>
            <w:r w:rsidRPr="009E253B">
              <w:rPr>
                <w:sz w:val="22"/>
                <w:szCs w:val="22"/>
                <w:lang w:val="it-IT"/>
              </w:rPr>
              <w:t xml:space="preserve">openia </w:t>
            </w:r>
          </w:p>
          <w:p w:rsidR="00C53D33" w:rsidRPr="009E253B" w:rsidRDefault="00C53D33" w:rsidP="00C53D33">
            <w:pPr>
              <w:jc w:val="both"/>
              <w:rPr>
                <w:bCs/>
                <w:sz w:val="22"/>
                <w:szCs w:val="22"/>
                <w:lang w:val="en-AU"/>
              </w:rPr>
            </w:pPr>
            <w:r w:rsidRPr="009E253B">
              <w:rPr>
                <w:sz w:val="22"/>
                <w:szCs w:val="22"/>
                <w:lang w:val="it-IT"/>
              </w:rPr>
              <w:t>Febrile neutropenia</w:t>
            </w:r>
          </w:p>
        </w:tc>
      </w:tr>
      <w:tr w:rsidR="00546614" w:rsidRPr="009E253B" w:rsidTr="008A28D6">
        <w:tc>
          <w:tcPr>
            <w:tcW w:w="9180" w:type="dxa"/>
            <w:gridSpan w:val="3"/>
            <w:shd w:val="clear" w:color="auto" w:fill="D9D9D9" w:themeFill="background1" w:themeFillShade="D9"/>
          </w:tcPr>
          <w:p w:rsidR="00546614" w:rsidRPr="009E253B" w:rsidRDefault="00546614" w:rsidP="00C53D33">
            <w:pPr>
              <w:rPr>
                <w:sz w:val="22"/>
                <w:szCs w:val="22"/>
                <w:lang w:val="it-IT"/>
              </w:rPr>
            </w:pPr>
            <w:r w:rsidRPr="009E253B">
              <w:rPr>
                <w:b/>
                <w:bCs/>
                <w:sz w:val="22"/>
                <w:szCs w:val="22"/>
              </w:rPr>
              <w:t>Ear and labyrinth disorders</w:t>
            </w:r>
          </w:p>
        </w:tc>
      </w:tr>
      <w:tr w:rsidR="00546614" w:rsidRPr="009E253B" w:rsidTr="008264CA">
        <w:tc>
          <w:tcPr>
            <w:tcW w:w="2070" w:type="dxa"/>
          </w:tcPr>
          <w:p w:rsidR="00546614" w:rsidRPr="009E253B" w:rsidRDefault="00546614" w:rsidP="0088527F">
            <w:pPr>
              <w:rPr>
                <w:sz w:val="22"/>
                <w:szCs w:val="22"/>
                <w:lang w:val="it-IT"/>
              </w:rPr>
            </w:pPr>
            <w:r w:rsidRPr="009E253B">
              <w:rPr>
                <w:sz w:val="22"/>
                <w:szCs w:val="22"/>
                <w:lang w:val="it-IT"/>
              </w:rPr>
              <w:t>Common</w:t>
            </w:r>
          </w:p>
        </w:tc>
        <w:tc>
          <w:tcPr>
            <w:tcW w:w="3420" w:type="dxa"/>
          </w:tcPr>
          <w:p w:rsidR="00546614" w:rsidRPr="009E253B" w:rsidRDefault="00546614" w:rsidP="004475F5">
            <w:pPr>
              <w:jc w:val="both"/>
              <w:rPr>
                <w:sz w:val="22"/>
                <w:szCs w:val="22"/>
                <w:lang w:val="it-IT"/>
              </w:rPr>
            </w:pPr>
            <w:r w:rsidRPr="009E253B">
              <w:rPr>
                <w:sz w:val="22"/>
                <w:szCs w:val="22"/>
              </w:rPr>
              <w:t>Vertigo</w:t>
            </w:r>
          </w:p>
        </w:tc>
        <w:tc>
          <w:tcPr>
            <w:tcW w:w="3690" w:type="dxa"/>
          </w:tcPr>
          <w:p w:rsidR="00546614" w:rsidRPr="009E253B" w:rsidRDefault="00546614" w:rsidP="00C53D33">
            <w:pPr>
              <w:rPr>
                <w:sz w:val="22"/>
                <w:szCs w:val="22"/>
                <w:lang w:val="it-IT"/>
              </w:rPr>
            </w:pPr>
            <w:r w:rsidRPr="009E253B">
              <w:rPr>
                <w:sz w:val="22"/>
                <w:szCs w:val="22"/>
              </w:rPr>
              <w:t>Vertigo</w:t>
            </w:r>
          </w:p>
        </w:tc>
      </w:tr>
      <w:tr w:rsidR="00546614" w:rsidRPr="009E253B" w:rsidTr="008A28D6">
        <w:tc>
          <w:tcPr>
            <w:tcW w:w="9180" w:type="dxa"/>
            <w:gridSpan w:val="3"/>
            <w:shd w:val="clear" w:color="auto" w:fill="D9D9D9" w:themeFill="background1" w:themeFillShade="D9"/>
          </w:tcPr>
          <w:p w:rsidR="00546614" w:rsidRPr="009E253B" w:rsidRDefault="00546614" w:rsidP="00546614">
            <w:pPr>
              <w:pStyle w:val="C-TableText"/>
              <w:spacing w:before="0" w:after="0"/>
              <w:rPr>
                <w:szCs w:val="22"/>
                <w:lang w:val="en-GB"/>
              </w:rPr>
            </w:pPr>
            <w:r w:rsidRPr="009E253B">
              <w:rPr>
                <w:b/>
                <w:bCs/>
                <w:szCs w:val="22"/>
                <w:lang w:val="en-GB"/>
              </w:rPr>
              <w:t>Gastrointestinal disorders</w:t>
            </w:r>
            <w:r w:rsidRPr="009E253B">
              <w:rPr>
                <w:szCs w:val="22"/>
                <w:lang w:val="en-GB"/>
              </w:rPr>
              <w:t xml:space="preserve"> </w:t>
            </w:r>
          </w:p>
        </w:tc>
      </w:tr>
      <w:tr w:rsidR="00546614" w:rsidRPr="009E253B" w:rsidTr="008264CA">
        <w:tc>
          <w:tcPr>
            <w:tcW w:w="2070" w:type="dxa"/>
          </w:tcPr>
          <w:p w:rsidR="00546614" w:rsidRPr="009E253B" w:rsidRDefault="00546614" w:rsidP="0088527F">
            <w:pPr>
              <w:rPr>
                <w:sz w:val="22"/>
                <w:szCs w:val="22"/>
                <w:lang w:val="en-AU"/>
              </w:rPr>
            </w:pPr>
            <w:r w:rsidRPr="009E253B">
              <w:rPr>
                <w:sz w:val="22"/>
                <w:szCs w:val="22"/>
                <w:lang w:val="en-AU"/>
              </w:rPr>
              <w:t>Very Common</w:t>
            </w:r>
          </w:p>
        </w:tc>
        <w:tc>
          <w:tcPr>
            <w:tcW w:w="3420" w:type="dxa"/>
          </w:tcPr>
          <w:p w:rsidR="00546614" w:rsidRPr="009E253B" w:rsidRDefault="00F8429A" w:rsidP="00546614">
            <w:pPr>
              <w:rPr>
                <w:sz w:val="22"/>
                <w:szCs w:val="22"/>
              </w:rPr>
            </w:pPr>
            <w:r w:rsidRPr="009E253B">
              <w:rPr>
                <w:sz w:val="22"/>
                <w:szCs w:val="22"/>
              </w:rPr>
              <w:t xml:space="preserve">Constipation </w:t>
            </w:r>
          </w:p>
          <w:p w:rsidR="00546614" w:rsidRPr="009E253B" w:rsidRDefault="00F8429A" w:rsidP="00546614">
            <w:pPr>
              <w:rPr>
                <w:sz w:val="22"/>
                <w:szCs w:val="22"/>
              </w:rPr>
            </w:pPr>
            <w:r w:rsidRPr="009E253B">
              <w:rPr>
                <w:sz w:val="22"/>
                <w:szCs w:val="22"/>
              </w:rPr>
              <w:t>Diarrhoea</w:t>
            </w:r>
          </w:p>
          <w:p w:rsidR="00546614" w:rsidRPr="009E253B" w:rsidRDefault="00F8429A" w:rsidP="008264CA">
            <w:pPr>
              <w:rPr>
                <w:sz w:val="22"/>
                <w:szCs w:val="22"/>
              </w:rPr>
            </w:pPr>
            <w:r w:rsidRPr="009E253B">
              <w:rPr>
                <w:sz w:val="22"/>
                <w:szCs w:val="22"/>
              </w:rPr>
              <w:t>Nausea</w:t>
            </w:r>
          </w:p>
        </w:tc>
        <w:tc>
          <w:tcPr>
            <w:tcW w:w="3690" w:type="dxa"/>
          </w:tcPr>
          <w:p w:rsidR="00546614" w:rsidRPr="009E253B" w:rsidRDefault="00546614" w:rsidP="00546614">
            <w:pPr>
              <w:rPr>
                <w:sz w:val="22"/>
                <w:szCs w:val="22"/>
                <w:lang w:val="it-IT"/>
              </w:rPr>
            </w:pPr>
          </w:p>
        </w:tc>
      </w:tr>
      <w:tr w:rsidR="00546614" w:rsidRPr="009E253B" w:rsidTr="008264CA">
        <w:tc>
          <w:tcPr>
            <w:tcW w:w="2070" w:type="dxa"/>
          </w:tcPr>
          <w:p w:rsidR="00546614" w:rsidRPr="009E253B" w:rsidRDefault="00546614" w:rsidP="0088527F">
            <w:pPr>
              <w:rPr>
                <w:sz w:val="22"/>
                <w:szCs w:val="22"/>
                <w:lang w:val="it-IT"/>
              </w:rPr>
            </w:pPr>
            <w:r w:rsidRPr="009E253B">
              <w:rPr>
                <w:sz w:val="22"/>
                <w:szCs w:val="22"/>
                <w:lang w:val="it-IT"/>
              </w:rPr>
              <w:t>Common</w:t>
            </w:r>
          </w:p>
        </w:tc>
        <w:tc>
          <w:tcPr>
            <w:tcW w:w="3420" w:type="dxa"/>
          </w:tcPr>
          <w:p w:rsidR="00546614" w:rsidRPr="009E253B" w:rsidRDefault="00546614" w:rsidP="004475F5">
            <w:pPr>
              <w:jc w:val="both"/>
              <w:rPr>
                <w:sz w:val="22"/>
                <w:szCs w:val="22"/>
                <w:lang w:val="it-IT"/>
              </w:rPr>
            </w:pPr>
            <w:r w:rsidRPr="009E253B">
              <w:rPr>
                <w:sz w:val="22"/>
                <w:szCs w:val="22"/>
              </w:rPr>
              <w:t>Vomiting</w:t>
            </w:r>
          </w:p>
        </w:tc>
        <w:tc>
          <w:tcPr>
            <w:tcW w:w="3690" w:type="dxa"/>
          </w:tcPr>
          <w:p w:rsidR="00546614" w:rsidRPr="009E253B" w:rsidRDefault="00F8429A" w:rsidP="00546614">
            <w:pPr>
              <w:rPr>
                <w:sz w:val="22"/>
                <w:szCs w:val="22"/>
              </w:rPr>
            </w:pPr>
            <w:r w:rsidRPr="009E253B">
              <w:rPr>
                <w:sz w:val="22"/>
                <w:szCs w:val="22"/>
              </w:rPr>
              <w:t xml:space="preserve">Constipation </w:t>
            </w:r>
          </w:p>
          <w:p w:rsidR="00546614" w:rsidRPr="009E253B" w:rsidRDefault="00F8429A" w:rsidP="00546614">
            <w:pPr>
              <w:rPr>
                <w:sz w:val="22"/>
                <w:szCs w:val="22"/>
              </w:rPr>
            </w:pPr>
            <w:r w:rsidRPr="009E253B">
              <w:rPr>
                <w:sz w:val="22"/>
                <w:szCs w:val="22"/>
              </w:rPr>
              <w:t xml:space="preserve">Vomiting </w:t>
            </w:r>
          </w:p>
          <w:p w:rsidR="00546614" w:rsidRPr="009E253B" w:rsidRDefault="00546614" w:rsidP="00C53D33">
            <w:pPr>
              <w:rPr>
                <w:sz w:val="22"/>
                <w:szCs w:val="22"/>
              </w:rPr>
            </w:pPr>
            <w:r w:rsidRPr="009E253B">
              <w:rPr>
                <w:sz w:val="22"/>
                <w:szCs w:val="22"/>
              </w:rPr>
              <w:t xml:space="preserve">Diarrhoea </w:t>
            </w:r>
          </w:p>
        </w:tc>
      </w:tr>
      <w:tr w:rsidR="00546614" w:rsidRPr="009E253B" w:rsidTr="0037223F">
        <w:tc>
          <w:tcPr>
            <w:tcW w:w="2070" w:type="dxa"/>
            <w:tcBorders>
              <w:bottom w:val="single" w:sz="4" w:space="0" w:color="auto"/>
            </w:tcBorders>
          </w:tcPr>
          <w:p w:rsidR="00546614" w:rsidRPr="009E253B" w:rsidRDefault="00546614" w:rsidP="0088527F">
            <w:pPr>
              <w:rPr>
                <w:sz w:val="22"/>
                <w:szCs w:val="22"/>
                <w:lang w:val="it-IT"/>
              </w:rPr>
            </w:pPr>
            <w:r w:rsidRPr="009E253B">
              <w:rPr>
                <w:sz w:val="22"/>
                <w:szCs w:val="22"/>
                <w:lang w:val="it-IT"/>
              </w:rPr>
              <w:t>Uncommon</w:t>
            </w:r>
          </w:p>
        </w:tc>
        <w:tc>
          <w:tcPr>
            <w:tcW w:w="3420" w:type="dxa"/>
            <w:tcBorders>
              <w:bottom w:val="single" w:sz="4" w:space="0" w:color="auto"/>
            </w:tcBorders>
          </w:tcPr>
          <w:p w:rsidR="00546614" w:rsidRPr="009E253B" w:rsidRDefault="00546614" w:rsidP="004475F5">
            <w:pPr>
              <w:jc w:val="both"/>
              <w:rPr>
                <w:sz w:val="22"/>
                <w:szCs w:val="22"/>
                <w:lang w:val="it-IT"/>
              </w:rPr>
            </w:pPr>
          </w:p>
        </w:tc>
        <w:tc>
          <w:tcPr>
            <w:tcW w:w="3690" w:type="dxa"/>
            <w:tcBorders>
              <w:bottom w:val="single" w:sz="4" w:space="0" w:color="auto"/>
            </w:tcBorders>
          </w:tcPr>
          <w:p w:rsidR="00546614" w:rsidRPr="009E253B" w:rsidRDefault="00546614" w:rsidP="00C53D33">
            <w:pPr>
              <w:rPr>
                <w:sz w:val="22"/>
                <w:szCs w:val="22"/>
                <w:lang w:val="it-IT"/>
              </w:rPr>
            </w:pPr>
            <w:r w:rsidRPr="009E253B">
              <w:rPr>
                <w:sz w:val="22"/>
                <w:szCs w:val="22"/>
              </w:rPr>
              <w:t>Nausea</w:t>
            </w:r>
          </w:p>
        </w:tc>
      </w:tr>
      <w:tr w:rsidR="00C53D33" w:rsidRPr="009E253B" w:rsidTr="0037223F">
        <w:tc>
          <w:tcPr>
            <w:tcW w:w="9180" w:type="dxa"/>
            <w:gridSpan w:val="3"/>
            <w:tcBorders>
              <w:top w:val="single" w:sz="4" w:space="0" w:color="auto"/>
            </w:tcBorders>
            <w:shd w:val="clear" w:color="auto" w:fill="D9D9D9" w:themeFill="background1" w:themeFillShade="D9"/>
          </w:tcPr>
          <w:p w:rsidR="00C53D33" w:rsidRPr="009E253B" w:rsidRDefault="00C53D33" w:rsidP="00C53D33">
            <w:pPr>
              <w:pStyle w:val="C-TableText"/>
              <w:spacing w:before="0" w:after="0"/>
              <w:rPr>
                <w:szCs w:val="22"/>
                <w:lang w:val="en-GB"/>
              </w:rPr>
            </w:pPr>
            <w:r w:rsidRPr="009E253B">
              <w:rPr>
                <w:b/>
                <w:bCs/>
                <w:szCs w:val="22"/>
                <w:lang w:val="en-GB"/>
              </w:rPr>
              <w:t>General disorders and administration site conditions</w:t>
            </w:r>
            <w:r w:rsidRPr="009E253B">
              <w:rPr>
                <w:szCs w:val="22"/>
                <w:lang w:val="en-GB"/>
              </w:rPr>
              <w:t xml:space="preserve"> </w:t>
            </w:r>
          </w:p>
        </w:tc>
      </w:tr>
      <w:tr w:rsidR="00C53D33" w:rsidRPr="009E253B" w:rsidTr="008264CA">
        <w:tc>
          <w:tcPr>
            <w:tcW w:w="2070" w:type="dxa"/>
          </w:tcPr>
          <w:p w:rsidR="00C53D33" w:rsidRPr="009E253B" w:rsidRDefault="00C53D33" w:rsidP="0088527F">
            <w:pPr>
              <w:rPr>
                <w:sz w:val="22"/>
                <w:szCs w:val="22"/>
                <w:lang w:val="en-AU"/>
              </w:rPr>
            </w:pPr>
            <w:r w:rsidRPr="009E253B">
              <w:rPr>
                <w:sz w:val="22"/>
                <w:szCs w:val="22"/>
                <w:lang w:val="en-AU"/>
              </w:rPr>
              <w:t>Very Common</w:t>
            </w:r>
          </w:p>
        </w:tc>
        <w:tc>
          <w:tcPr>
            <w:tcW w:w="3420" w:type="dxa"/>
          </w:tcPr>
          <w:p w:rsidR="00C53D33" w:rsidRPr="009E253B" w:rsidRDefault="00C53D33" w:rsidP="00C53D33">
            <w:pPr>
              <w:pStyle w:val="C-TableText"/>
              <w:spacing w:before="0" w:after="0"/>
              <w:rPr>
                <w:szCs w:val="22"/>
              </w:rPr>
            </w:pPr>
            <w:r w:rsidRPr="009E253B">
              <w:rPr>
                <w:szCs w:val="22"/>
              </w:rPr>
              <w:t>F</w:t>
            </w:r>
            <w:r w:rsidR="00F8429A" w:rsidRPr="009E253B">
              <w:rPr>
                <w:szCs w:val="22"/>
              </w:rPr>
              <w:t xml:space="preserve">atigue </w:t>
            </w:r>
          </w:p>
          <w:p w:rsidR="00C53D33" w:rsidRPr="009E253B" w:rsidRDefault="00C53D33" w:rsidP="00C53D33">
            <w:pPr>
              <w:pStyle w:val="C-TableText"/>
              <w:spacing w:before="0" w:after="0"/>
              <w:rPr>
                <w:szCs w:val="22"/>
                <w:lang w:val="en-GB"/>
              </w:rPr>
            </w:pPr>
            <w:r w:rsidRPr="009E253B">
              <w:rPr>
                <w:szCs w:val="22"/>
                <w:lang w:val="en-GB"/>
              </w:rPr>
              <w:t>Pyrex</w:t>
            </w:r>
            <w:r w:rsidR="00F8429A" w:rsidRPr="009E253B">
              <w:rPr>
                <w:szCs w:val="22"/>
                <w:lang w:val="en-GB"/>
              </w:rPr>
              <w:t xml:space="preserve">ia </w:t>
            </w:r>
          </w:p>
          <w:p w:rsidR="00C53D33" w:rsidRPr="009E253B" w:rsidRDefault="00C53D33" w:rsidP="00C53D33">
            <w:pPr>
              <w:pStyle w:val="C-TableText"/>
              <w:spacing w:before="0" w:after="0"/>
              <w:rPr>
                <w:szCs w:val="22"/>
              </w:rPr>
            </w:pPr>
            <w:proofErr w:type="spellStart"/>
            <w:r w:rsidRPr="009E253B">
              <w:rPr>
                <w:szCs w:val="22"/>
              </w:rPr>
              <w:t>Oedema</w:t>
            </w:r>
            <w:proofErr w:type="spellEnd"/>
            <w:r w:rsidRPr="009E253B">
              <w:rPr>
                <w:szCs w:val="22"/>
              </w:rPr>
              <w:t xml:space="preserve"> peripheral </w:t>
            </w:r>
          </w:p>
        </w:tc>
        <w:tc>
          <w:tcPr>
            <w:tcW w:w="3690" w:type="dxa"/>
          </w:tcPr>
          <w:p w:rsidR="00C53D33" w:rsidRPr="009E253B" w:rsidRDefault="00C53D33" w:rsidP="004475F5">
            <w:pPr>
              <w:jc w:val="both"/>
              <w:rPr>
                <w:bCs/>
                <w:sz w:val="22"/>
                <w:szCs w:val="22"/>
                <w:lang w:val="en-AU"/>
              </w:rPr>
            </w:pPr>
          </w:p>
        </w:tc>
      </w:tr>
      <w:tr w:rsidR="00C53D33" w:rsidRPr="009E253B" w:rsidTr="008264CA">
        <w:tc>
          <w:tcPr>
            <w:tcW w:w="2070" w:type="dxa"/>
          </w:tcPr>
          <w:p w:rsidR="00C53D33" w:rsidRPr="009E253B" w:rsidRDefault="00C53D33" w:rsidP="0088527F">
            <w:pPr>
              <w:rPr>
                <w:sz w:val="22"/>
                <w:szCs w:val="22"/>
                <w:lang w:val="it-IT"/>
              </w:rPr>
            </w:pPr>
            <w:r w:rsidRPr="009E253B">
              <w:rPr>
                <w:sz w:val="22"/>
                <w:szCs w:val="22"/>
                <w:lang w:val="it-IT"/>
              </w:rPr>
              <w:t>Common</w:t>
            </w:r>
          </w:p>
        </w:tc>
        <w:tc>
          <w:tcPr>
            <w:tcW w:w="3420" w:type="dxa"/>
          </w:tcPr>
          <w:p w:rsidR="00C53D33" w:rsidRPr="009E253B" w:rsidRDefault="00C53D33" w:rsidP="004475F5">
            <w:pPr>
              <w:jc w:val="both"/>
              <w:rPr>
                <w:bCs/>
                <w:sz w:val="22"/>
                <w:szCs w:val="22"/>
                <w:lang w:val="en-AU"/>
              </w:rPr>
            </w:pPr>
          </w:p>
        </w:tc>
        <w:tc>
          <w:tcPr>
            <w:tcW w:w="3690" w:type="dxa"/>
          </w:tcPr>
          <w:p w:rsidR="00C53D33" w:rsidRPr="009E253B" w:rsidRDefault="00F8429A" w:rsidP="00C53D33">
            <w:pPr>
              <w:pStyle w:val="C-TableText"/>
              <w:spacing w:before="0" w:after="0"/>
              <w:rPr>
                <w:szCs w:val="22"/>
                <w:lang w:val="en-GB"/>
              </w:rPr>
            </w:pPr>
            <w:r w:rsidRPr="009E253B">
              <w:rPr>
                <w:szCs w:val="22"/>
                <w:lang w:val="en-GB"/>
              </w:rPr>
              <w:t xml:space="preserve">Pyrexia </w:t>
            </w:r>
          </w:p>
          <w:p w:rsidR="00C53D33" w:rsidRPr="009E253B" w:rsidRDefault="00F8429A" w:rsidP="00C53D33">
            <w:pPr>
              <w:pStyle w:val="C-TableText"/>
              <w:spacing w:before="0" w:after="0"/>
              <w:rPr>
                <w:szCs w:val="22"/>
              </w:rPr>
            </w:pPr>
            <w:r w:rsidRPr="009E253B">
              <w:rPr>
                <w:szCs w:val="22"/>
              </w:rPr>
              <w:t xml:space="preserve">Fatigue </w:t>
            </w:r>
          </w:p>
          <w:p w:rsidR="00C53D33" w:rsidRPr="009E253B" w:rsidRDefault="00C53D33" w:rsidP="00C53D33">
            <w:pPr>
              <w:pStyle w:val="C-TableText"/>
              <w:spacing w:before="0" w:after="0"/>
              <w:rPr>
                <w:szCs w:val="22"/>
                <w:lang w:val="en-GB"/>
              </w:rPr>
            </w:pPr>
            <w:proofErr w:type="spellStart"/>
            <w:r w:rsidRPr="009E253B">
              <w:rPr>
                <w:szCs w:val="22"/>
              </w:rPr>
              <w:t>Oedema</w:t>
            </w:r>
            <w:proofErr w:type="spellEnd"/>
            <w:r w:rsidRPr="009E253B">
              <w:rPr>
                <w:szCs w:val="22"/>
              </w:rPr>
              <w:t xml:space="preserve"> peripheral </w:t>
            </w:r>
          </w:p>
        </w:tc>
      </w:tr>
      <w:tr w:rsidR="00440401" w:rsidRPr="009E253B" w:rsidTr="008A28D6">
        <w:tc>
          <w:tcPr>
            <w:tcW w:w="9180" w:type="dxa"/>
            <w:gridSpan w:val="3"/>
            <w:shd w:val="clear" w:color="auto" w:fill="D9D9D9" w:themeFill="background1" w:themeFillShade="D9"/>
          </w:tcPr>
          <w:p w:rsidR="00440401" w:rsidRPr="009E253B" w:rsidRDefault="00440401">
            <w:pPr>
              <w:rPr>
                <w:sz w:val="22"/>
                <w:szCs w:val="22"/>
              </w:rPr>
            </w:pPr>
            <w:proofErr w:type="spellStart"/>
            <w:r w:rsidRPr="009E253B">
              <w:rPr>
                <w:b/>
                <w:bCs/>
                <w:sz w:val="22"/>
                <w:szCs w:val="22"/>
              </w:rPr>
              <w:t>Hepatobiliary</w:t>
            </w:r>
            <w:proofErr w:type="spellEnd"/>
            <w:r w:rsidRPr="009E253B">
              <w:rPr>
                <w:b/>
                <w:bCs/>
                <w:sz w:val="22"/>
                <w:szCs w:val="22"/>
              </w:rPr>
              <w:t xml:space="preserve"> disorders</w:t>
            </w:r>
            <w:r w:rsidRPr="009E253B">
              <w:rPr>
                <w:sz w:val="22"/>
                <w:szCs w:val="22"/>
              </w:rPr>
              <w:t xml:space="preserve"> </w:t>
            </w:r>
          </w:p>
        </w:tc>
      </w:tr>
      <w:tr w:rsidR="00C53D33" w:rsidRPr="009E253B" w:rsidTr="008264CA">
        <w:tc>
          <w:tcPr>
            <w:tcW w:w="2070" w:type="dxa"/>
          </w:tcPr>
          <w:p w:rsidR="00C53D33" w:rsidRPr="009E253B" w:rsidRDefault="00440401" w:rsidP="004475F5">
            <w:pPr>
              <w:jc w:val="both"/>
              <w:rPr>
                <w:bCs/>
                <w:sz w:val="22"/>
                <w:szCs w:val="22"/>
                <w:lang w:val="en-AU"/>
              </w:rPr>
            </w:pPr>
            <w:r w:rsidRPr="009E253B">
              <w:rPr>
                <w:sz w:val="22"/>
                <w:szCs w:val="22"/>
                <w:lang w:val="it-IT"/>
              </w:rPr>
              <w:t>Uncommon</w:t>
            </w:r>
          </w:p>
        </w:tc>
        <w:tc>
          <w:tcPr>
            <w:tcW w:w="3420" w:type="dxa"/>
          </w:tcPr>
          <w:p w:rsidR="00C53D33" w:rsidRPr="009E253B" w:rsidRDefault="00440401" w:rsidP="004475F5">
            <w:pPr>
              <w:jc w:val="both"/>
              <w:rPr>
                <w:bCs/>
                <w:sz w:val="22"/>
                <w:szCs w:val="22"/>
                <w:lang w:val="en-AU"/>
              </w:rPr>
            </w:pPr>
            <w:proofErr w:type="spellStart"/>
            <w:r w:rsidRPr="009E253B">
              <w:rPr>
                <w:sz w:val="22"/>
                <w:szCs w:val="22"/>
              </w:rPr>
              <w:t>Hyperbilirubinaemia</w:t>
            </w:r>
            <w:proofErr w:type="spellEnd"/>
          </w:p>
        </w:tc>
        <w:tc>
          <w:tcPr>
            <w:tcW w:w="3690" w:type="dxa"/>
          </w:tcPr>
          <w:p w:rsidR="00C53D33" w:rsidRPr="009E253B" w:rsidRDefault="00440401" w:rsidP="004475F5">
            <w:pPr>
              <w:jc w:val="both"/>
              <w:rPr>
                <w:bCs/>
                <w:sz w:val="22"/>
                <w:szCs w:val="22"/>
                <w:lang w:val="en-AU"/>
              </w:rPr>
            </w:pPr>
            <w:proofErr w:type="spellStart"/>
            <w:r w:rsidRPr="009E253B">
              <w:rPr>
                <w:sz w:val="22"/>
                <w:szCs w:val="22"/>
              </w:rPr>
              <w:t>Hyperbilirubinaemia</w:t>
            </w:r>
            <w:proofErr w:type="spellEnd"/>
          </w:p>
        </w:tc>
      </w:tr>
      <w:tr w:rsidR="00440401" w:rsidRPr="009E253B" w:rsidTr="008A28D6">
        <w:tc>
          <w:tcPr>
            <w:tcW w:w="9180" w:type="dxa"/>
            <w:gridSpan w:val="3"/>
            <w:shd w:val="clear" w:color="auto" w:fill="D9D9D9" w:themeFill="background1" w:themeFillShade="D9"/>
          </w:tcPr>
          <w:p w:rsidR="00440401" w:rsidRPr="009E253B" w:rsidRDefault="00440401" w:rsidP="00440401">
            <w:pPr>
              <w:pStyle w:val="C-TableText"/>
              <w:spacing w:before="0" w:after="0"/>
              <w:rPr>
                <w:szCs w:val="22"/>
                <w:lang w:val="en-GB"/>
              </w:rPr>
            </w:pPr>
            <w:r w:rsidRPr="009E253B">
              <w:rPr>
                <w:b/>
                <w:bCs/>
                <w:szCs w:val="22"/>
                <w:lang w:val="en-GB"/>
              </w:rPr>
              <w:t>Infections and infestations</w:t>
            </w:r>
            <w:r w:rsidRPr="009E253B">
              <w:rPr>
                <w:szCs w:val="22"/>
                <w:lang w:val="en-GB"/>
              </w:rPr>
              <w:t xml:space="preserve"> </w:t>
            </w:r>
          </w:p>
        </w:tc>
      </w:tr>
      <w:tr w:rsidR="00C53D33" w:rsidRPr="009E253B" w:rsidTr="006F239F">
        <w:tc>
          <w:tcPr>
            <w:tcW w:w="2070" w:type="dxa"/>
            <w:tcBorders>
              <w:bottom w:val="single" w:sz="4" w:space="0" w:color="auto"/>
            </w:tcBorders>
          </w:tcPr>
          <w:p w:rsidR="00C53D33" w:rsidRPr="009E253B" w:rsidRDefault="00440401" w:rsidP="004475F5">
            <w:pPr>
              <w:jc w:val="both"/>
              <w:rPr>
                <w:bCs/>
                <w:sz w:val="22"/>
                <w:szCs w:val="22"/>
                <w:lang w:val="en-AU"/>
              </w:rPr>
            </w:pPr>
            <w:r w:rsidRPr="009E253B">
              <w:rPr>
                <w:sz w:val="22"/>
                <w:szCs w:val="22"/>
                <w:lang w:val="en-AU"/>
              </w:rPr>
              <w:t>Very Common</w:t>
            </w:r>
          </w:p>
        </w:tc>
        <w:tc>
          <w:tcPr>
            <w:tcW w:w="3420" w:type="dxa"/>
            <w:tcBorders>
              <w:bottom w:val="single" w:sz="4" w:space="0" w:color="auto"/>
            </w:tcBorders>
          </w:tcPr>
          <w:p w:rsidR="00C53D33" w:rsidRPr="009E253B" w:rsidRDefault="00440401" w:rsidP="004475F5">
            <w:pPr>
              <w:jc w:val="both"/>
              <w:rPr>
                <w:bCs/>
                <w:sz w:val="22"/>
                <w:szCs w:val="22"/>
                <w:lang w:val="en-AU"/>
              </w:rPr>
            </w:pPr>
            <w:r w:rsidRPr="009E253B">
              <w:rPr>
                <w:sz w:val="22"/>
                <w:szCs w:val="22"/>
              </w:rPr>
              <w:t>Pneumonia</w:t>
            </w:r>
          </w:p>
        </w:tc>
        <w:tc>
          <w:tcPr>
            <w:tcW w:w="3690" w:type="dxa"/>
            <w:tcBorders>
              <w:bottom w:val="single" w:sz="4" w:space="0" w:color="auto"/>
            </w:tcBorders>
          </w:tcPr>
          <w:p w:rsidR="00C53D33" w:rsidRPr="009E253B" w:rsidRDefault="00C53D33" w:rsidP="004475F5">
            <w:pPr>
              <w:jc w:val="both"/>
              <w:rPr>
                <w:bCs/>
                <w:sz w:val="22"/>
                <w:szCs w:val="22"/>
                <w:lang w:val="en-AU"/>
              </w:rPr>
            </w:pPr>
          </w:p>
        </w:tc>
      </w:tr>
      <w:tr w:rsidR="00C53D33" w:rsidRPr="009E253B" w:rsidTr="006F239F">
        <w:tc>
          <w:tcPr>
            <w:tcW w:w="2070" w:type="dxa"/>
            <w:tcBorders>
              <w:top w:val="single" w:sz="4" w:space="0" w:color="auto"/>
            </w:tcBorders>
          </w:tcPr>
          <w:p w:rsidR="00C53D33" w:rsidRPr="009E253B" w:rsidRDefault="00440401" w:rsidP="004475F5">
            <w:pPr>
              <w:jc w:val="both"/>
              <w:rPr>
                <w:bCs/>
                <w:sz w:val="22"/>
                <w:szCs w:val="22"/>
                <w:lang w:val="en-AU"/>
              </w:rPr>
            </w:pPr>
            <w:r w:rsidRPr="009E253B">
              <w:rPr>
                <w:sz w:val="22"/>
                <w:szCs w:val="22"/>
                <w:lang w:val="en-US"/>
              </w:rPr>
              <w:t>Common</w:t>
            </w:r>
          </w:p>
        </w:tc>
        <w:tc>
          <w:tcPr>
            <w:tcW w:w="3420" w:type="dxa"/>
            <w:tcBorders>
              <w:top w:val="single" w:sz="4" w:space="0" w:color="auto"/>
            </w:tcBorders>
          </w:tcPr>
          <w:p w:rsidR="00440401" w:rsidRPr="009E253B" w:rsidRDefault="00440401" w:rsidP="00440401">
            <w:pPr>
              <w:rPr>
                <w:sz w:val="22"/>
                <w:szCs w:val="22"/>
              </w:rPr>
            </w:pPr>
            <w:r w:rsidRPr="009E253B">
              <w:rPr>
                <w:sz w:val="22"/>
                <w:szCs w:val="22"/>
              </w:rPr>
              <w:t>Upper resp</w:t>
            </w:r>
            <w:r w:rsidR="00F8429A" w:rsidRPr="009E253B">
              <w:rPr>
                <w:sz w:val="22"/>
                <w:szCs w:val="22"/>
              </w:rPr>
              <w:t xml:space="preserve">iratory tract infection </w:t>
            </w:r>
          </w:p>
          <w:p w:rsidR="00440401" w:rsidRPr="009E253B" w:rsidRDefault="00F8429A" w:rsidP="00440401">
            <w:pPr>
              <w:pStyle w:val="C-TableText"/>
              <w:spacing w:before="0" w:after="0"/>
              <w:rPr>
                <w:szCs w:val="22"/>
              </w:rPr>
            </w:pPr>
            <w:r w:rsidRPr="009E253B">
              <w:rPr>
                <w:szCs w:val="22"/>
              </w:rPr>
              <w:t xml:space="preserve">Bronchitis </w:t>
            </w:r>
          </w:p>
          <w:p w:rsidR="00440401" w:rsidRPr="009E253B" w:rsidRDefault="00F8429A" w:rsidP="00440401">
            <w:pPr>
              <w:pStyle w:val="C-TableText"/>
              <w:spacing w:before="0" w:after="0"/>
              <w:rPr>
                <w:szCs w:val="22"/>
              </w:rPr>
            </w:pPr>
            <w:proofErr w:type="spellStart"/>
            <w:r w:rsidRPr="009E253B">
              <w:rPr>
                <w:szCs w:val="22"/>
              </w:rPr>
              <w:t>Nasopharyngitis</w:t>
            </w:r>
            <w:proofErr w:type="spellEnd"/>
            <w:r w:rsidRPr="009E253B">
              <w:rPr>
                <w:szCs w:val="22"/>
              </w:rPr>
              <w:t xml:space="preserve"> </w:t>
            </w:r>
          </w:p>
          <w:p w:rsidR="00440401" w:rsidRPr="009E253B" w:rsidRDefault="00440401" w:rsidP="00440401">
            <w:pPr>
              <w:rPr>
                <w:sz w:val="22"/>
                <w:szCs w:val="22"/>
              </w:rPr>
            </w:pPr>
            <w:r w:rsidRPr="009E253B">
              <w:rPr>
                <w:sz w:val="22"/>
                <w:szCs w:val="22"/>
              </w:rPr>
              <w:t>R</w:t>
            </w:r>
            <w:r w:rsidR="00F8429A" w:rsidRPr="009E253B">
              <w:rPr>
                <w:sz w:val="22"/>
                <w:szCs w:val="22"/>
              </w:rPr>
              <w:t xml:space="preserve">espiratory tract infection </w:t>
            </w:r>
          </w:p>
          <w:p w:rsidR="00440401" w:rsidRPr="009E253B" w:rsidRDefault="00F8429A" w:rsidP="00440401">
            <w:pPr>
              <w:rPr>
                <w:sz w:val="22"/>
                <w:szCs w:val="22"/>
              </w:rPr>
            </w:pPr>
            <w:r w:rsidRPr="009E253B">
              <w:rPr>
                <w:sz w:val="22"/>
                <w:szCs w:val="22"/>
              </w:rPr>
              <w:t xml:space="preserve">Bronchopneumonia </w:t>
            </w:r>
          </w:p>
          <w:p w:rsidR="00C53D33" w:rsidRPr="009E253B" w:rsidRDefault="00F8429A" w:rsidP="00F8429A">
            <w:pPr>
              <w:pStyle w:val="C-TableText"/>
              <w:spacing w:before="0" w:after="0"/>
              <w:rPr>
                <w:szCs w:val="22"/>
                <w:lang w:val="en-GB"/>
              </w:rPr>
            </w:pPr>
            <w:proofErr w:type="spellStart"/>
            <w:r w:rsidRPr="009E253B">
              <w:rPr>
                <w:szCs w:val="22"/>
              </w:rPr>
              <w:t>Neutropenic</w:t>
            </w:r>
            <w:proofErr w:type="spellEnd"/>
            <w:r w:rsidRPr="009E253B">
              <w:rPr>
                <w:szCs w:val="22"/>
              </w:rPr>
              <w:t xml:space="preserve"> sepsis </w:t>
            </w:r>
          </w:p>
        </w:tc>
        <w:tc>
          <w:tcPr>
            <w:tcW w:w="3690" w:type="dxa"/>
            <w:tcBorders>
              <w:top w:val="single" w:sz="4" w:space="0" w:color="auto"/>
            </w:tcBorders>
          </w:tcPr>
          <w:p w:rsidR="00440401" w:rsidRPr="009E253B" w:rsidRDefault="00F8429A" w:rsidP="00440401">
            <w:pPr>
              <w:pStyle w:val="C-TableText"/>
              <w:spacing w:before="0" w:after="0"/>
              <w:rPr>
                <w:szCs w:val="22"/>
              </w:rPr>
            </w:pPr>
            <w:r w:rsidRPr="009E253B">
              <w:rPr>
                <w:szCs w:val="22"/>
              </w:rPr>
              <w:t xml:space="preserve">Pneumonia </w:t>
            </w:r>
          </w:p>
          <w:p w:rsidR="00440401" w:rsidRPr="009E253B" w:rsidRDefault="00440401" w:rsidP="00440401">
            <w:pPr>
              <w:pStyle w:val="C-TableText"/>
              <w:spacing w:before="0" w:after="0"/>
              <w:rPr>
                <w:szCs w:val="22"/>
              </w:rPr>
            </w:pPr>
            <w:r w:rsidRPr="009E253B">
              <w:rPr>
                <w:szCs w:val="22"/>
              </w:rPr>
              <w:t xml:space="preserve">Upper </w:t>
            </w:r>
            <w:r w:rsidR="00F8429A" w:rsidRPr="009E253B">
              <w:rPr>
                <w:szCs w:val="22"/>
              </w:rPr>
              <w:t>respiratory tract infection</w:t>
            </w:r>
          </w:p>
          <w:p w:rsidR="00440401" w:rsidRPr="009E253B" w:rsidRDefault="00440401" w:rsidP="00440401">
            <w:pPr>
              <w:rPr>
                <w:sz w:val="22"/>
                <w:szCs w:val="22"/>
              </w:rPr>
            </w:pPr>
            <w:r w:rsidRPr="009E253B">
              <w:rPr>
                <w:sz w:val="22"/>
                <w:szCs w:val="22"/>
              </w:rPr>
              <w:t>R</w:t>
            </w:r>
            <w:r w:rsidR="00F8429A" w:rsidRPr="009E253B">
              <w:rPr>
                <w:sz w:val="22"/>
                <w:szCs w:val="22"/>
              </w:rPr>
              <w:t xml:space="preserve">espiratory tract infection </w:t>
            </w:r>
          </w:p>
          <w:p w:rsidR="00440401" w:rsidRPr="009E253B" w:rsidRDefault="00440401" w:rsidP="00440401">
            <w:pPr>
              <w:pStyle w:val="C-TableText"/>
              <w:spacing w:before="0" w:after="0"/>
              <w:rPr>
                <w:szCs w:val="22"/>
              </w:rPr>
            </w:pPr>
            <w:r w:rsidRPr="009E253B">
              <w:rPr>
                <w:szCs w:val="22"/>
              </w:rPr>
              <w:t>Br</w:t>
            </w:r>
            <w:r w:rsidR="00F8429A" w:rsidRPr="009E253B">
              <w:rPr>
                <w:szCs w:val="22"/>
              </w:rPr>
              <w:t xml:space="preserve">onchopneumonia </w:t>
            </w:r>
          </w:p>
          <w:p w:rsidR="00C53D33" w:rsidRPr="009E253B" w:rsidRDefault="00F8429A" w:rsidP="00F8429A">
            <w:pPr>
              <w:pStyle w:val="C-TableText"/>
              <w:spacing w:before="0" w:after="0"/>
              <w:rPr>
                <w:szCs w:val="22"/>
              </w:rPr>
            </w:pPr>
            <w:proofErr w:type="spellStart"/>
            <w:r w:rsidRPr="009E253B">
              <w:rPr>
                <w:szCs w:val="22"/>
              </w:rPr>
              <w:t>Neutropenic</w:t>
            </w:r>
            <w:proofErr w:type="spellEnd"/>
            <w:r w:rsidRPr="009E253B">
              <w:rPr>
                <w:szCs w:val="22"/>
              </w:rPr>
              <w:t xml:space="preserve"> sepsis </w:t>
            </w:r>
          </w:p>
        </w:tc>
      </w:tr>
      <w:tr w:rsidR="00C53D33" w:rsidRPr="009E253B" w:rsidTr="008264CA">
        <w:tc>
          <w:tcPr>
            <w:tcW w:w="2070" w:type="dxa"/>
          </w:tcPr>
          <w:p w:rsidR="00C53D33" w:rsidRPr="009E253B" w:rsidRDefault="00440401" w:rsidP="004475F5">
            <w:pPr>
              <w:jc w:val="both"/>
              <w:rPr>
                <w:bCs/>
                <w:sz w:val="22"/>
                <w:szCs w:val="22"/>
                <w:lang w:val="en-AU"/>
              </w:rPr>
            </w:pPr>
            <w:r w:rsidRPr="009E253B">
              <w:rPr>
                <w:sz w:val="22"/>
                <w:szCs w:val="22"/>
                <w:lang w:val="it-IT"/>
              </w:rPr>
              <w:t>Uncommon</w:t>
            </w:r>
          </w:p>
        </w:tc>
        <w:tc>
          <w:tcPr>
            <w:tcW w:w="3420" w:type="dxa"/>
          </w:tcPr>
          <w:p w:rsidR="00C53D33" w:rsidRPr="009E253B" w:rsidRDefault="00C53D33" w:rsidP="004475F5">
            <w:pPr>
              <w:jc w:val="both"/>
              <w:rPr>
                <w:bCs/>
                <w:sz w:val="22"/>
                <w:szCs w:val="22"/>
                <w:lang w:val="en-AU"/>
              </w:rPr>
            </w:pPr>
          </w:p>
        </w:tc>
        <w:tc>
          <w:tcPr>
            <w:tcW w:w="3690" w:type="dxa"/>
          </w:tcPr>
          <w:p w:rsidR="00C53D33" w:rsidRPr="009E253B" w:rsidRDefault="00440401" w:rsidP="004475F5">
            <w:pPr>
              <w:jc w:val="both"/>
              <w:rPr>
                <w:bCs/>
                <w:sz w:val="22"/>
                <w:szCs w:val="22"/>
                <w:lang w:val="en-AU"/>
              </w:rPr>
            </w:pPr>
            <w:r w:rsidRPr="009E253B">
              <w:rPr>
                <w:sz w:val="22"/>
                <w:szCs w:val="22"/>
              </w:rPr>
              <w:t>Bronchitis</w:t>
            </w:r>
          </w:p>
        </w:tc>
      </w:tr>
      <w:tr w:rsidR="001157B7" w:rsidRPr="009E253B" w:rsidTr="008A28D6">
        <w:tc>
          <w:tcPr>
            <w:tcW w:w="9180" w:type="dxa"/>
            <w:gridSpan w:val="3"/>
            <w:shd w:val="clear" w:color="auto" w:fill="D9D9D9" w:themeFill="background1" w:themeFillShade="D9"/>
          </w:tcPr>
          <w:p w:rsidR="001157B7" w:rsidRPr="009E253B" w:rsidRDefault="001157B7" w:rsidP="004475F5">
            <w:pPr>
              <w:jc w:val="both"/>
              <w:rPr>
                <w:sz w:val="22"/>
                <w:szCs w:val="22"/>
              </w:rPr>
            </w:pPr>
            <w:r w:rsidRPr="009E253B">
              <w:rPr>
                <w:b/>
                <w:bCs/>
                <w:sz w:val="22"/>
                <w:szCs w:val="22"/>
              </w:rPr>
              <w:t>Investigations</w:t>
            </w:r>
          </w:p>
        </w:tc>
      </w:tr>
      <w:tr w:rsidR="00440401" w:rsidRPr="009E253B" w:rsidTr="008264CA">
        <w:tc>
          <w:tcPr>
            <w:tcW w:w="2070" w:type="dxa"/>
          </w:tcPr>
          <w:p w:rsidR="00440401" w:rsidRPr="009E253B" w:rsidRDefault="001157B7" w:rsidP="004475F5">
            <w:pPr>
              <w:jc w:val="both"/>
              <w:rPr>
                <w:sz w:val="22"/>
                <w:szCs w:val="22"/>
                <w:lang w:val="it-IT"/>
              </w:rPr>
            </w:pPr>
            <w:r w:rsidRPr="009E253B">
              <w:rPr>
                <w:sz w:val="22"/>
                <w:szCs w:val="22"/>
                <w:lang w:val="it-IT"/>
              </w:rPr>
              <w:t>Common</w:t>
            </w:r>
          </w:p>
        </w:tc>
        <w:tc>
          <w:tcPr>
            <w:tcW w:w="3420" w:type="dxa"/>
          </w:tcPr>
          <w:p w:rsidR="001157B7" w:rsidRPr="009E253B" w:rsidRDefault="00F8429A" w:rsidP="001157B7">
            <w:pPr>
              <w:rPr>
                <w:sz w:val="22"/>
                <w:szCs w:val="22"/>
              </w:rPr>
            </w:pPr>
            <w:r w:rsidRPr="009E253B">
              <w:rPr>
                <w:sz w:val="22"/>
                <w:szCs w:val="22"/>
              </w:rPr>
              <w:t xml:space="preserve">Neutrophil count decreased </w:t>
            </w:r>
          </w:p>
          <w:p w:rsidR="001157B7" w:rsidRPr="009E253B" w:rsidRDefault="001157B7" w:rsidP="001157B7">
            <w:pPr>
              <w:pStyle w:val="C-TableText"/>
              <w:spacing w:before="0" w:after="0"/>
              <w:rPr>
                <w:szCs w:val="22"/>
              </w:rPr>
            </w:pPr>
            <w:r w:rsidRPr="009E253B">
              <w:rPr>
                <w:szCs w:val="22"/>
              </w:rPr>
              <w:t xml:space="preserve">White </w:t>
            </w:r>
            <w:r w:rsidR="00F8429A" w:rsidRPr="009E253B">
              <w:rPr>
                <w:szCs w:val="22"/>
              </w:rPr>
              <w:t>blood cell count decreased</w:t>
            </w:r>
          </w:p>
          <w:p w:rsidR="001157B7" w:rsidRPr="009E253B" w:rsidRDefault="001157B7" w:rsidP="001157B7">
            <w:pPr>
              <w:pStyle w:val="C-TableText"/>
              <w:spacing w:before="0" w:after="0"/>
              <w:rPr>
                <w:szCs w:val="22"/>
              </w:rPr>
            </w:pPr>
            <w:r w:rsidRPr="009E253B">
              <w:rPr>
                <w:szCs w:val="22"/>
              </w:rPr>
              <w:t xml:space="preserve">Platelet count decreased </w:t>
            </w:r>
          </w:p>
          <w:p w:rsidR="00440401" w:rsidRPr="009E253B" w:rsidRDefault="001157B7" w:rsidP="00F8429A">
            <w:pPr>
              <w:jc w:val="both"/>
              <w:rPr>
                <w:bCs/>
                <w:sz w:val="22"/>
                <w:szCs w:val="22"/>
                <w:lang w:val="en-AU"/>
              </w:rPr>
            </w:pPr>
            <w:r w:rsidRPr="009E253B">
              <w:rPr>
                <w:sz w:val="22"/>
                <w:szCs w:val="22"/>
              </w:rPr>
              <w:t xml:space="preserve">Alanine aminotransferase increased </w:t>
            </w:r>
          </w:p>
        </w:tc>
        <w:tc>
          <w:tcPr>
            <w:tcW w:w="3690" w:type="dxa"/>
          </w:tcPr>
          <w:p w:rsidR="001157B7" w:rsidRPr="009E253B" w:rsidRDefault="001157B7" w:rsidP="001157B7">
            <w:pPr>
              <w:rPr>
                <w:sz w:val="22"/>
                <w:szCs w:val="22"/>
              </w:rPr>
            </w:pPr>
            <w:r w:rsidRPr="009E253B">
              <w:rPr>
                <w:sz w:val="22"/>
                <w:szCs w:val="22"/>
              </w:rPr>
              <w:t xml:space="preserve">Neutrophil count decreased </w:t>
            </w:r>
          </w:p>
          <w:p w:rsidR="001157B7" w:rsidRPr="009E253B" w:rsidRDefault="001157B7" w:rsidP="001157B7">
            <w:pPr>
              <w:rPr>
                <w:sz w:val="22"/>
                <w:szCs w:val="22"/>
              </w:rPr>
            </w:pPr>
            <w:r w:rsidRPr="009E253B">
              <w:rPr>
                <w:sz w:val="22"/>
                <w:szCs w:val="22"/>
              </w:rPr>
              <w:t xml:space="preserve">White blood cell count decreased </w:t>
            </w:r>
          </w:p>
          <w:p w:rsidR="001157B7" w:rsidRPr="009E253B" w:rsidRDefault="001157B7" w:rsidP="001157B7">
            <w:pPr>
              <w:rPr>
                <w:sz w:val="22"/>
                <w:szCs w:val="22"/>
              </w:rPr>
            </w:pPr>
            <w:r w:rsidRPr="009E253B">
              <w:rPr>
                <w:sz w:val="22"/>
                <w:szCs w:val="22"/>
              </w:rPr>
              <w:t xml:space="preserve">Platelet count decreased </w:t>
            </w:r>
          </w:p>
          <w:p w:rsidR="00440401" w:rsidRPr="009E253B" w:rsidRDefault="001157B7" w:rsidP="00F8429A">
            <w:pPr>
              <w:rPr>
                <w:sz w:val="22"/>
                <w:szCs w:val="22"/>
              </w:rPr>
            </w:pPr>
            <w:r w:rsidRPr="009E253B">
              <w:rPr>
                <w:sz w:val="22"/>
                <w:szCs w:val="22"/>
              </w:rPr>
              <w:t xml:space="preserve">Alanine aminotransferase increased </w:t>
            </w:r>
          </w:p>
        </w:tc>
      </w:tr>
      <w:tr w:rsidR="00440401" w:rsidRPr="009E253B" w:rsidTr="008A28D6">
        <w:tc>
          <w:tcPr>
            <w:tcW w:w="9180" w:type="dxa"/>
            <w:gridSpan w:val="3"/>
            <w:shd w:val="clear" w:color="auto" w:fill="D9D9D9" w:themeFill="background1" w:themeFillShade="D9"/>
          </w:tcPr>
          <w:p w:rsidR="00440401" w:rsidRPr="009E253B" w:rsidRDefault="00440401" w:rsidP="004475F5">
            <w:pPr>
              <w:jc w:val="both"/>
              <w:rPr>
                <w:bCs/>
                <w:sz w:val="22"/>
                <w:szCs w:val="22"/>
                <w:lang w:val="en-AU"/>
              </w:rPr>
            </w:pPr>
            <w:r w:rsidRPr="009E253B">
              <w:rPr>
                <w:b/>
                <w:bCs/>
                <w:sz w:val="22"/>
                <w:szCs w:val="22"/>
              </w:rPr>
              <w:t>Metabolism and nutrition disorders</w:t>
            </w:r>
            <w:r w:rsidRPr="009E253B">
              <w:rPr>
                <w:sz w:val="22"/>
                <w:szCs w:val="22"/>
              </w:rPr>
              <w:t xml:space="preserve">  </w:t>
            </w:r>
          </w:p>
        </w:tc>
      </w:tr>
      <w:tr w:rsidR="00440401" w:rsidRPr="009E253B" w:rsidTr="008264CA">
        <w:tc>
          <w:tcPr>
            <w:tcW w:w="2070" w:type="dxa"/>
          </w:tcPr>
          <w:p w:rsidR="00440401" w:rsidRPr="009E253B" w:rsidRDefault="00440401" w:rsidP="004475F5">
            <w:pPr>
              <w:jc w:val="both"/>
              <w:rPr>
                <w:bCs/>
                <w:sz w:val="22"/>
                <w:szCs w:val="22"/>
                <w:lang w:val="en-AU"/>
              </w:rPr>
            </w:pPr>
            <w:r w:rsidRPr="009E253B">
              <w:rPr>
                <w:sz w:val="22"/>
                <w:szCs w:val="22"/>
                <w:lang w:val="en-AU"/>
              </w:rPr>
              <w:t>Very Common</w:t>
            </w:r>
          </w:p>
        </w:tc>
        <w:tc>
          <w:tcPr>
            <w:tcW w:w="3420" w:type="dxa"/>
          </w:tcPr>
          <w:p w:rsidR="00440401" w:rsidRPr="009E253B" w:rsidRDefault="00440401" w:rsidP="004475F5">
            <w:pPr>
              <w:jc w:val="both"/>
              <w:rPr>
                <w:bCs/>
                <w:sz w:val="22"/>
                <w:szCs w:val="22"/>
                <w:lang w:val="en-AU"/>
              </w:rPr>
            </w:pPr>
            <w:r w:rsidRPr="009E253B">
              <w:rPr>
                <w:sz w:val="22"/>
                <w:szCs w:val="22"/>
              </w:rPr>
              <w:t>Decreased appetite</w:t>
            </w:r>
          </w:p>
        </w:tc>
        <w:tc>
          <w:tcPr>
            <w:tcW w:w="3690" w:type="dxa"/>
          </w:tcPr>
          <w:p w:rsidR="00440401" w:rsidRPr="009E253B" w:rsidRDefault="00440401" w:rsidP="004475F5">
            <w:pPr>
              <w:jc w:val="both"/>
              <w:rPr>
                <w:bCs/>
                <w:sz w:val="22"/>
                <w:szCs w:val="22"/>
                <w:lang w:val="en-AU"/>
              </w:rPr>
            </w:pPr>
          </w:p>
        </w:tc>
      </w:tr>
      <w:tr w:rsidR="00440401" w:rsidRPr="009E253B" w:rsidTr="008264CA">
        <w:tc>
          <w:tcPr>
            <w:tcW w:w="2070" w:type="dxa"/>
          </w:tcPr>
          <w:p w:rsidR="00440401" w:rsidRPr="009E253B" w:rsidRDefault="00440401" w:rsidP="004475F5">
            <w:pPr>
              <w:jc w:val="both"/>
              <w:rPr>
                <w:bCs/>
                <w:sz w:val="22"/>
                <w:szCs w:val="22"/>
                <w:lang w:val="en-AU"/>
              </w:rPr>
            </w:pPr>
            <w:r w:rsidRPr="009E253B">
              <w:rPr>
                <w:sz w:val="22"/>
                <w:szCs w:val="22"/>
                <w:lang w:val="it-IT"/>
              </w:rPr>
              <w:t>Common</w:t>
            </w:r>
          </w:p>
        </w:tc>
        <w:tc>
          <w:tcPr>
            <w:tcW w:w="3420" w:type="dxa"/>
          </w:tcPr>
          <w:p w:rsidR="00F8429A" w:rsidRPr="009E253B" w:rsidRDefault="00440401" w:rsidP="00F8429A">
            <w:pPr>
              <w:pStyle w:val="C-TableText"/>
              <w:spacing w:before="0" w:after="0"/>
              <w:rPr>
                <w:szCs w:val="22"/>
              </w:rPr>
            </w:pPr>
            <w:proofErr w:type="spellStart"/>
            <w:r w:rsidRPr="009E253B">
              <w:rPr>
                <w:szCs w:val="22"/>
              </w:rPr>
              <w:t>Hyperkalaemia</w:t>
            </w:r>
            <w:proofErr w:type="spellEnd"/>
            <w:r w:rsidRPr="009E253B">
              <w:rPr>
                <w:szCs w:val="22"/>
              </w:rPr>
              <w:t xml:space="preserve"> </w:t>
            </w:r>
          </w:p>
          <w:p w:rsidR="00440401" w:rsidRPr="009E253B" w:rsidRDefault="00440401" w:rsidP="00F8429A">
            <w:pPr>
              <w:pStyle w:val="C-TableText"/>
              <w:spacing w:before="0" w:after="0"/>
              <w:rPr>
                <w:bCs/>
                <w:szCs w:val="22"/>
                <w:lang w:val="en-AU"/>
              </w:rPr>
            </w:pPr>
            <w:proofErr w:type="spellStart"/>
            <w:r w:rsidRPr="009E253B">
              <w:rPr>
                <w:szCs w:val="22"/>
              </w:rPr>
              <w:t>Hyponatraemia</w:t>
            </w:r>
            <w:proofErr w:type="spellEnd"/>
          </w:p>
        </w:tc>
        <w:tc>
          <w:tcPr>
            <w:tcW w:w="3690" w:type="dxa"/>
          </w:tcPr>
          <w:p w:rsidR="00440401" w:rsidRPr="009E253B" w:rsidRDefault="00440401" w:rsidP="00440401">
            <w:pPr>
              <w:rPr>
                <w:sz w:val="22"/>
                <w:szCs w:val="22"/>
              </w:rPr>
            </w:pPr>
            <w:r w:rsidRPr="009E253B">
              <w:rPr>
                <w:sz w:val="22"/>
                <w:szCs w:val="22"/>
              </w:rPr>
              <w:t xml:space="preserve">Hyperkalaemia </w:t>
            </w:r>
          </w:p>
          <w:p w:rsidR="00440401" w:rsidRPr="009E253B" w:rsidRDefault="00440401" w:rsidP="00F8429A">
            <w:pPr>
              <w:jc w:val="both"/>
              <w:rPr>
                <w:bCs/>
                <w:sz w:val="22"/>
                <w:szCs w:val="22"/>
                <w:lang w:val="en-AU"/>
              </w:rPr>
            </w:pPr>
            <w:proofErr w:type="spellStart"/>
            <w:r w:rsidRPr="009E253B">
              <w:rPr>
                <w:sz w:val="22"/>
                <w:szCs w:val="22"/>
              </w:rPr>
              <w:t>Hyponatraemia</w:t>
            </w:r>
            <w:proofErr w:type="spellEnd"/>
            <w:r w:rsidRPr="009E253B">
              <w:rPr>
                <w:sz w:val="22"/>
                <w:szCs w:val="22"/>
              </w:rPr>
              <w:t xml:space="preserve"> </w:t>
            </w:r>
          </w:p>
        </w:tc>
      </w:tr>
      <w:tr w:rsidR="00440401" w:rsidRPr="009E253B" w:rsidTr="008264CA">
        <w:tc>
          <w:tcPr>
            <w:tcW w:w="2070" w:type="dxa"/>
          </w:tcPr>
          <w:p w:rsidR="00440401" w:rsidRPr="009E253B" w:rsidRDefault="00440401" w:rsidP="004475F5">
            <w:pPr>
              <w:jc w:val="both"/>
              <w:rPr>
                <w:bCs/>
                <w:sz w:val="22"/>
                <w:szCs w:val="22"/>
                <w:lang w:val="en-AU"/>
              </w:rPr>
            </w:pPr>
            <w:r w:rsidRPr="009E253B">
              <w:rPr>
                <w:sz w:val="22"/>
                <w:szCs w:val="22"/>
                <w:lang w:val="it-IT"/>
              </w:rPr>
              <w:t>Uncommon</w:t>
            </w:r>
          </w:p>
        </w:tc>
        <w:tc>
          <w:tcPr>
            <w:tcW w:w="3420" w:type="dxa"/>
          </w:tcPr>
          <w:p w:rsidR="00440401" w:rsidRPr="009E253B" w:rsidRDefault="00440401" w:rsidP="004475F5">
            <w:pPr>
              <w:jc w:val="both"/>
              <w:rPr>
                <w:bCs/>
                <w:sz w:val="22"/>
                <w:szCs w:val="22"/>
                <w:lang w:val="en-AU"/>
              </w:rPr>
            </w:pPr>
          </w:p>
        </w:tc>
        <w:tc>
          <w:tcPr>
            <w:tcW w:w="3690" w:type="dxa"/>
          </w:tcPr>
          <w:p w:rsidR="00440401" w:rsidRPr="009E253B" w:rsidRDefault="00440401" w:rsidP="004475F5">
            <w:pPr>
              <w:jc w:val="both"/>
              <w:rPr>
                <w:bCs/>
                <w:sz w:val="22"/>
                <w:szCs w:val="22"/>
                <w:lang w:val="en-AU"/>
              </w:rPr>
            </w:pPr>
            <w:r w:rsidRPr="009E253B">
              <w:rPr>
                <w:sz w:val="22"/>
                <w:szCs w:val="22"/>
              </w:rPr>
              <w:t>Decreased appetite</w:t>
            </w:r>
          </w:p>
        </w:tc>
      </w:tr>
      <w:tr w:rsidR="00440401" w:rsidRPr="009E253B" w:rsidTr="008A28D6">
        <w:tc>
          <w:tcPr>
            <w:tcW w:w="9180" w:type="dxa"/>
            <w:gridSpan w:val="3"/>
            <w:shd w:val="clear" w:color="auto" w:fill="D9D9D9" w:themeFill="background1" w:themeFillShade="D9"/>
          </w:tcPr>
          <w:p w:rsidR="00440401" w:rsidRPr="009E253B" w:rsidRDefault="00440401" w:rsidP="004475F5">
            <w:pPr>
              <w:jc w:val="both"/>
              <w:rPr>
                <w:bCs/>
                <w:sz w:val="22"/>
                <w:szCs w:val="22"/>
                <w:lang w:val="en-AU"/>
              </w:rPr>
            </w:pPr>
            <w:r w:rsidRPr="009E253B">
              <w:rPr>
                <w:b/>
                <w:bCs/>
                <w:sz w:val="22"/>
                <w:szCs w:val="22"/>
              </w:rPr>
              <w:t>Musculoskeletal and connective tissue disorders</w:t>
            </w:r>
          </w:p>
        </w:tc>
      </w:tr>
      <w:tr w:rsidR="00440401" w:rsidRPr="009E253B" w:rsidTr="008264CA">
        <w:tc>
          <w:tcPr>
            <w:tcW w:w="2070" w:type="dxa"/>
          </w:tcPr>
          <w:p w:rsidR="00440401" w:rsidRPr="009E253B" w:rsidRDefault="00440401" w:rsidP="004475F5">
            <w:pPr>
              <w:jc w:val="both"/>
              <w:rPr>
                <w:bCs/>
                <w:sz w:val="22"/>
                <w:szCs w:val="22"/>
                <w:lang w:val="en-AU"/>
              </w:rPr>
            </w:pPr>
            <w:r w:rsidRPr="009E253B">
              <w:rPr>
                <w:sz w:val="22"/>
                <w:szCs w:val="22"/>
                <w:lang w:val="en-AU"/>
              </w:rPr>
              <w:t>Very Common</w:t>
            </w:r>
          </w:p>
        </w:tc>
        <w:tc>
          <w:tcPr>
            <w:tcW w:w="3420" w:type="dxa"/>
          </w:tcPr>
          <w:p w:rsidR="00440401" w:rsidRPr="009E253B" w:rsidRDefault="00440401" w:rsidP="00440401">
            <w:pPr>
              <w:rPr>
                <w:sz w:val="22"/>
                <w:szCs w:val="22"/>
              </w:rPr>
            </w:pPr>
            <w:r w:rsidRPr="009E253B">
              <w:rPr>
                <w:sz w:val="22"/>
                <w:szCs w:val="22"/>
              </w:rPr>
              <w:t xml:space="preserve">Bone pain </w:t>
            </w:r>
          </w:p>
          <w:p w:rsidR="00440401" w:rsidRPr="009E253B" w:rsidRDefault="00440401" w:rsidP="00DF7262">
            <w:pPr>
              <w:rPr>
                <w:sz w:val="22"/>
                <w:szCs w:val="22"/>
              </w:rPr>
            </w:pPr>
            <w:r w:rsidRPr="009E253B">
              <w:rPr>
                <w:sz w:val="22"/>
                <w:szCs w:val="22"/>
              </w:rPr>
              <w:t xml:space="preserve">Muscle spasms </w:t>
            </w:r>
          </w:p>
        </w:tc>
        <w:tc>
          <w:tcPr>
            <w:tcW w:w="3690" w:type="dxa"/>
          </w:tcPr>
          <w:p w:rsidR="00440401" w:rsidRPr="009E253B" w:rsidRDefault="00440401" w:rsidP="004475F5">
            <w:pPr>
              <w:jc w:val="both"/>
              <w:rPr>
                <w:bCs/>
                <w:sz w:val="22"/>
                <w:szCs w:val="22"/>
                <w:lang w:val="en-AU"/>
              </w:rPr>
            </w:pPr>
          </w:p>
        </w:tc>
      </w:tr>
      <w:tr w:rsidR="00440401" w:rsidRPr="009E253B" w:rsidTr="008264CA">
        <w:tc>
          <w:tcPr>
            <w:tcW w:w="2070" w:type="dxa"/>
          </w:tcPr>
          <w:p w:rsidR="00440401" w:rsidRPr="009E253B" w:rsidRDefault="00440401" w:rsidP="0088527F">
            <w:pPr>
              <w:jc w:val="both"/>
              <w:rPr>
                <w:bCs/>
                <w:sz w:val="22"/>
                <w:szCs w:val="22"/>
                <w:lang w:val="en-AU"/>
              </w:rPr>
            </w:pPr>
            <w:r w:rsidRPr="009E253B">
              <w:rPr>
                <w:sz w:val="22"/>
                <w:szCs w:val="22"/>
                <w:lang w:val="it-IT"/>
              </w:rPr>
              <w:t>Common</w:t>
            </w:r>
          </w:p>
        </w:tc>
        <w:tc>
          <w:tcPr>
            <w:tcW w:w="3420" w:type="dxa"/>
          </w:tcPr>
          <w:p w:rsidR="00440401" w:rsidRPr="009E253B" w:rsidRDefault="00440401" w:rsidP="004475F5">
            <w:pPr>
              <w:jc w:val="both"/>
              <w:rPr>
                <w:bCs/>
                <w:sz w:val="22"/>
                <w:szCs w:val="22"/>
                <w:lang w:val="en-AU"/>
              </w:rPr>
            </w:pPr>
          </w:p>
        </w:tc>
        <w:tc>
          <w:tcPr>
            <w:tcW w:w="3690" w:type="dxa"/>
          </w:tcPr>
          <w:p w:rsidR="00440401" w:rsidRPr="009E253B" w:rsidRDefault="00F8429A" w:rsidP="00F8429A">
            <w:pPr>
              <w:rPr>
                <w:sz w:val="22"/>
                <w:szCs w:val="22"/>
              </w:rPr>
            </w:pPr>
            <w:r w:rsidRPr="009E253B">
              <w:rPr>
                <w:sz w:val="22"/>
                <w:szCs w:val="22"/>
              </w:rPr>
              <w:t>Bone pain</w:t>
            </w:r>
          </w:p>
        </w:tc>
      </w:tr>
      <w:tr w:rsidR="00440401" w:rsidRPr="009E253B" w:rsidTr="008264CA">
        <w:tc>
          <w:tcPr>
            <w:tcW w:w="2070" w:type="dxa"/>
          </w:tcPr>
          <w:p w:rsidR="00440401" w:rsidRPr="009E253B" w:rsidRDefault="00440401" w:rsidP="0088527F">
            <w:pPr>
              <w:jc w:val="both"/>
              <w:rPr>
                <w:bCs/>
                <w:sz w:val="22"/>
                <w:szCs w:val="22"/>
                <w:lang w:val="en-AU"/>
              </w:rPr>
            </w:pPr>
            <w:r w:rsidRPr="009E253B">
              <w:rPr>
                <w:sz w:val="22"/>
                <w:szCs w:val="22"/>
                <w:lang w:val="it-IT"/>
              </w:rPr>
              <w:t>Uncommon</w:t>
            </w:r>
          </w:p>
        </w:tc>
        <w:tc>
          <w:tcPr>
            <w:tcW w:w="3420" w:type="dxa"/>
          </w:tcPr>
          <w:p w:rsidR="00440401" w:rsidRPr="009E253B" w:rsidRDefault="00440401" w:rsidP="004475F5">
            <w:pPr>
              <w:jc w:val="both"/>
              <w:rPr>
                <w:bCs/>
                <w:sz w:val="22"/>
                <w:szCs w:val="22"/>
                <w:lang w:val="en-AU"/>
              </w:rPr>
            </w:pPr>
          </w:p>
        </w:tc>
        <w:tc>
          <w:tcPr>
            <w:tcW w:w="3690" w:type="dxa"/>
          </w:tcPr>
          <w:p w:rsidR="00440401" w:rsidRPr="009E253B" w:rsidRDefault="00440401" w:rsidP="004475F5">
            <w:pPr>
              <w:jc w:val="both"/>
              <w:rPr>
                <w:bCs/>
                <w:sz w:val="22"/>
                <w:szCs w:val="22"/>
                <w:lang w:val="en-AU"/>
              </w:rPr>
            </w:pPr>
            <w:r w:rsidRPr="009E253B">
              <w:rPr>
                <w:sz w:val="22"/>
                <w:szCs w:val="22"/>
              </w:rPr>
              <w:t>Muscle spasms</w:t>
            </w:r>
          </w:p>
        </w:tc>
      </w:tr>
      <w:tr w:rsidR="00BC12B1" w:rsidRPr="009E253B" w:rsidTr="00BC12B1">
        <w:tc>
          <w:tcPr>
            <w:tcW w:w="2070" w:type="dxa"/>
            <w:tcBorders>
              <w:top w:val="single" w:sz="4" w:space="0" w:color="auto"/>
              <w:left w:val="nil"/>
              <w:bottom w:val="nil"/>
              <w:right w:val="nil"/>
            </w:tcBorders>
          </w:tcPr>
          <w:p w:rsidR="00BC12B1" w:rsidRPr="009E253B" w:rsidRDefault="00BC12B1" w:rsidP="00496855">
            <w:pPr>
              <w:rPr>
                <w:sz w:val="22"/>
                <w:szCs w:val="22"/>
                <w:lang w:val="it-IT"/>
              </w:rPr>
            </w:pPr>
          </w:p>
        </w:tc>
        <w:tc>
          <w:tcPr>
            <w:tcW w:w="3420" w:type="dxa"/>
            <w:tcBorders>
              <w:top w:val="single" w:sz="4" w:space="0" w:color="auto"/>
              <w:left w:val="nil"/>
              <w:bottom w:val="nil"/>
              <w:right w:val="nil"/>
            </w:tcBorders>
          </w:tcPr>
          <w:p w:rsidR="00BC12B1" w:rsidRPr="009E253B" w:rsidRDefault="00BC12B1" w:rsidP="00496855">
            <w:pPr>
              <w:jc w:val="both"/>
              <w:rPr>
                <w:sz w:val="22"/>
                <w:szCs w:val="22"/>
                <w:lang w:val="it-IT"/>
              </w:rPr>
            </w:pPr>
          </w:p>
        </w:tc>
        <w:tc>
          <w:tcPr>
            <w:tcW w:w="3690" w:type="dxa"/>
            <w:tcBorders>
              <w:top w:val="single" w:sz="4" w:space="0" w:color="auto"/>
              <w:left w:val="nil"/>
              <w:bottom w:val="nil"/>
              <w:right w:val="nil"/>
            </w:tcBorders>
          </w:tcPr>
          <w:p w:rsidR="00BC12B1" w:rsidRPr="009E253B" w:rsidRDefault="00BC12B1" w:rsidP="00496855">
            <w:pPr>
              <w:jc w:val="right"/>
              <w:rPr>
                <w:bCs/>
                <w:sz w:val="20"/>
                <w:szCs w:val="20"/>
                <w:lang w:val="en-AU"/>
              </w:rPr>
            </w:pPr>
            <w:r w:rsidRPr="009E253B">
              <w:rPr>
                <w:bCs/>
                <w:sz w:val="20"/>
                <w:szCs w:val="20"/>
                <w:lang w:val="en-AU"/>
              </w:rPr>
              <w:t>(</w:t>
            </w:r>
            <w:proofErr w:type="gramStart"/>
            <w:r w:rsidRPr="009E253B">
              <w:rPr>
                <w:bCs/>
                <w:sz w:val="20"/>
                <w:szCs w:val="20"/>
                <w:lang w:val="en-AU"/>
              </w:rPr>
              <w:t>continued</w:t>
            </w:r>
            <w:proofErr w:type="gramEnd"/>
            <w:r w:rsidRPr="009E253B">
              <w:rPr>
                <w:bCs/>
                <w:sz w:val="20"/>
                <w:szCs w:val="20"/>
                <w:lang w:val="en-AU"/>
              </w:rPr>
              <w:t>....)</w:t>
            </w:r>
          </w:p>
          <w:p w:rsidR="00BC12B1" w:rsidRPr="009E253B" w:rsidRDefault="00BC12B1" w:rsidP="00496855">
            <w:pPr>
              <w:jc w:val="right"/>
              <w:rPr>
                <w:bCs/>
                <w:sz w:val="20"/>
                <w:szCs w:val="20"/>
                <w:lang w:val="en-AU"/>
              </w:rPr>
            </w:pPr>
          </w:p>
          <w:p w:rsidR="00BC12B1" w:rsidRPr="009E253B" w:rsidRDefault="00BC12B1" w:rsidP="00496855">
            <w:pPr>
              <w:jc w:val="right"/>
              <w:rPr>
                <w:bCs/>
                <w:sz w:val="20"/>
                <w:szCs w:val="20"/>
                <w:lang w:val="en-AU"/>
              </w:rPr>
            </w:pPr>
          </w:p>
        </w:tc>
      </w:tr>
      <w:tr w:rsidR="00BC12B1" w:rsidRPr="009E253B" w:rsidTr="00BC12B1">
        <w:tc>
          <w:tcPr>
            <w:tcW w:w="2070" w:type="dxa"/>
            <w:tcBorders>
              <w:top w:val="nil"/>
              <w:left w:val="nil"/>
              <w:bottom w:val="single" w:sz="4" w:space="0" w:color="auto"/>
              <w:right w:val="nil"/>
            </w:tcBorders>
          </w:tcPr>
          <w:p w:rsidR="00BC12B1" w:rsidRPr="009E253B" w:rsidRDefault="00BC12B1" w:rsidP="00496855">
            <w:pPr>
              <w:rPr>
                <w:bCs/>
                <w:sz w:val="20"/>
                <w:szCs w:val="20"/>
                <w:lang w:val="en-AU"/>
              </w:rPr>
            </w:pPr>
            <w:r w:rsidRPr="009E253B">
              <w:rPr>
                <w:bCs/>
                <w:sz w:val="20"/>
                <w:szCs w:val="20"/>
                <w:lang w:val="en-AU"/>
              </w:rPr>
              <w:t>(....continued)</w:t>
            </w:r>
          </w:p>
        </w:tc>
        <w:tc>
          <w:tcPr>
            <w:tcW w:w="3420" w:type="dxa"/>
            <w:tcBorders>
              <w:top w:val="nil"/>
              <w:left w:val="nil"/>
              <w:bottom w:val="single" w:sz="4" w:space="0" w:color="auto"/>
              <w:right w:val="nil"/>
            </w:tcBorders>
          </w:tcPr>
          <w:p w:rsidR="00BC12B1" w:rsidRPr="009E253B" w:rsidRDefault="00BC12B1" w:rsidP="00496855">
            <w:pPr>
              <w:jc w:val="both"/>
              <w:rPr>
                <w:sz w:val="22"/>
                <w:szCs w:val="22"/>
                <w:lang w:val="en-US"/>
              </w:rPr>
            </w:pPr>
          </w:p>
        </w:tc>
        <w:tc>
          <w:tcPr>
            <w:tcW w:w="3690" w:type="dxa"/>
            <w:tcBorders>
              <w:top w:val="nil"/>
              <w:left w:val="nil"/>
              <w:bottom w:val="single" w:sz="4" w:space="0" w:color="auto"/>
              <w:right w:val="nil"/>
            </w:tcBorders>
          </w:tcPr>
          <w:p w:rsidR="00BC12B1" w:rsidRPr="009E253B" w:rsidRDefault="00BC12B1" w:rsidP="00496855">
            <w:pPr>
              <w:jc w:val="right"/>
              <w:rPr>
                <w:bCs/>
                <w:sz w:val="20"/>
                <w:szCs w:val="20"/>
                <w:lang w:val="en-AU"/>
              </w:rPr>
            </w:pPr>
          </w:p>
        </w:tc>
      </w:tr>
      <w:tr w:rsidR="00440401" w:rsidRPr="009E253B" w:rsidTr="00BC12B1">
        <w:tc>
          <w:tcPr>
            <w:tcW w:w="9180" w:type="dxa"/>
            <w:gridSpan w:val="3"/>
            <w:tcBorders>
              <w:top w:val="single" w:sz="4" w:space="0" w:color="auto"/>
            </w:tcBorders>
            <w:shd w:val="clear" w:color="auto" w:fill="D9D9D9" w:themeFill="background1" w:themeFillShade="D9"/>
          </w:tcPr>
          <w:p w:rsidR="00440401" w:rsidRPr="009E253B" w:rsidRDefault="00440401" w:rsidP="00440401">
            <w:pPr>
              <w:pStyle w:val="C-TableText"/>
              <w:spacing w:before="0" w:after="0"/>
              <w:rPr>
                <w:szCs w:val="22"/>
                <w:lang w:val="en-GB"/>
              </w:rPr>
            </w:pPr>
            <w:r w:rsidRPr="009E253B">
              <w:rPr>
                <w:b/>
                <w:bCs/>
                <w:szCs w:val="22"/>
                <w:lang w:val="en-GB"/>
              </w:rPr>
              <w:t>Nervous system disorders</w:t>
            </w:r>
            <w:r w:rsidRPr="009E253B">
              <w:rPr>
                <w:szCs w:val="22"/>
                <w:lang w:val="en-GB"/>
              </w:rPr>
              <w:t xml:space="preserve"> </w:t>
            </w:r>
          </w:p>
        </w:tc>
      </w:tr>
      <w:tr w:rsidR="00C50599" w:rsidRPr="009E253B" w:rsidTr="008264CA">
        <w:tc>
          <w:tcPr>
            <w:tcW w:w="2070" w:type="dxa"/>
          </w:tcPr>
          <w:p w:rsidR="00C50599" w:rsidRPr="009E253B" w:rsidRDefault="00C50599" w:rsidP="0088527F">
            <w:pPr>
              <w:jc w:val="both"/>
              <w:rPr>
                <w:sz w:val="22"/>
                <w:szCs w:val="22"/>
                <w:lang w:val="it-IT"/>
              </w:rPr>
            </w:pPr>
          </w:p>
        </w:tc>
        <w:tc>
          <w:tcPr>
            <w:tcW w:w="3420" w:type="dxa"/>
          </w:tcPr>
          <w:p w:rsidR="00C50599" w:rsidRPr="009E253B" w:rsidRDefault="00C50599" w:rsidP="00440401">
            <w:pPr>
              <w:rPr>
                <w:sz w:val="22"/>
                <w:szCs w:val="22"/>
              </w:rPr>
            </w:pPr>
          </w:p>
        </w:tc>
        <w:tc>
          <w:tcPr>
            <w:tcW w:w="3690" w:type="dxa"/>
          </w:tcPr>
          <w:p w:rsidR="00C50599" w:rsidRPr="009E253B" w:rsidRDefault="00C50599" w:rsidP="00440401">
            <w:pPr>
              <w:rPr>
                <w:sz w:val="22"/>
                <w:szCs w:val="22"/>
              </w:rPr>
            </w:pPr>
          </w:p>
        </w:tc>
      </w:tr>
      <w:tr w:rsidR="00440401" w:rsidRPr="009E253B" w:rsidTr="008264CA">
        <w:tc>
          <w:tcPr>
            <w:tcW w:w="2070" w:type="dxa"/>
          </w:tcPr>
          <w:p w:rsidR="00440401" w:rsidRPr="009E253B" w:rsidRDefault="00440401" w:rsidP="0088527F">
            <w:pPr>
              <w:jc w:val="both"/>
              <w:rPr>
                <w:sz w:val="22"/>
                <w:szCs w:val="22"/>
                <w:lang w:val="it-IT"/>
              </w:rPr>
            </w:pPr>
            <w:r w:rsidRPr="009E253B">
              <w:rPr>
                <w:sz w:val="22"/>
                <w:szCs w:val="22"/>
                <w:lang w:val="it-IT"/>
              </w:rPr>
              <w:t>Common</w:t>
            </w:r>
          </w:p>
        </w:tc>
        <w:tc>
          <w:tcPr>
            <w:tcW w:w="3420" w:type="dxa"/>
          </w:tcPr>
          <w:p w:rsidR="00440401" w:rsidRPr="009E253B" w:rsidRDefault="00440401" w:rsidP="00440401">
            <w:pPr>
              <w:rPr>
                <w:sz w:val="22"/>
                <w:szCs w:val="22"/>
              </w:rPr>
            </w:pPr>
            <w:r w:rsidRPr="009E253B">
              <w:rPr>
                <w:sz w:val="22"/>
                <w:szCs w:val="22"/>
              </w:rPr>
              <w:t xml:space="preserve">Dizziness </w:t>
            </w:r>
          </w:p>
          <w:p w:rsidR="00440401" w:rsidRPr="009E253B" w:rsidRDefault="00440401" w:rsidP="00440401">
            <w:pPr>
              <w:rPr>
                <w:sz w:val="22"/>
                <w:szCs w:val="22"/>
              </w:rPr>
            </w:pPr>
            <w:r w:rsidRPr="009E253B">
              <w:rPr>
                <w:sz w:val="22"/>
                <w:szCs w:val="22"/>
              </w:rPr>
              <w:t xml:space="preserve">Tremor </w:t>
            </w:r>
          </w:p>
          <w:p w:rsidR="00440401" w:rsidRPr="009E253B" w:rsidRDefault="00440401" w:rsidP="00440401">
            <w:pPr>
              <w:rPr>
                <w:sz w:val="22"/>
                <w:szCs w:val="22"/>
              </w:rPr>
            </w:pPr>
            <w:r w:rsidRPr="009E253B">
              <w:rPr>
                <w:sz w:val="22"/>
                <w:szCs w:val="22"/>
              </w:rPr>
              <w:t xml:space="preserve">Peripheral sensory neuropathy </w:t>
            </w:r>
          </w:p>
          <w:p w:rsidR="00440401" w:rsidRPr="009E253B" w:rsidRDefault="00440401" w:rsidP="00F8429A">
            <w:pPr>
              <w:pStyle w:val="C-TableText"/>
              <w:spacing w:before="0" w:after="0"/>
              <w:rPr>
                <w:szCs w:val="22"/>
                <w:u w:val="single"/>
                <w:lang w:val="en-GB"/>
              </w:rPr>
            </w:pPr>
            <w:r w:rsidRPr="009E253B">
              <w:rPr>
                <w:szCs w:val="22"/>
              </w:rPr>
              <w:t xml:space="preserve">Depressed level of consciousness </w:t>
            </w:r>
          </w:p>
        </w:tc>
        <w:tc>
          <w:tcPr>
            <w:tcW w:w="3690" w:type="dxa"/>
          </w:tcPr>
          <w:p w:rsidR="00440401" w:rsidRPr="009E253B" w:rsidRDefault="00440401" w:rsidP="00440401">
            <w:pPr>
              <w:rPr>
                <w:sz w:val="22"/>
                <w:szCs w:val="22"/>
              </w:rPr>
            </w:pPr>
            <w:r w:rsidRPr="009E253B">
              <w:rPr>
                <w:sz w:val="22"/>
                <w:szCs w:val="22"/>
              </w:rPr>
              <w:t xml:space="preserve">Depressed level of consciousness </w:t>
            </w:r>
          </w:p>
          <w:p w:rsidR="00440401" w:rsidRPr="009E253B" w:rsidRDefault="00440401" w:rsidP="004475F5">
            <w:pPr>
              <w:jc w:val="both"/>
              <w:rPr>
                <w:sz w:val="22"/>
                <w:szCs w:val="22"/>
              </w:rPr>
            </w:pPr>
          </w:p>
        </w:tc>
      </w:tr>
      <w:tr w:rsidR="00440401" w:rsidRPr="009E253B" w:rsidTr="008264CA">
        <w:tc>
          <w:tcPr>
            <w:tcW w:w="2070" w:type="dxa"/>
          </w:tcPr>
          <w:p w:rsidR="00440401" w:rsidRPr="009E253B" w:rsidRDefault="00440401" w:rsidP="0088527F">
            <w:pPr>
              <w:jc w:val="both"/>
              <w:rPr>
                <w:sz w:val="22"/>
                <w:szCs w:val="22"/>
                <w:lang w:val="it-IT"/>
              </w:rPr>
            </w:pPr>
            <w:r w:rsidRPr="009E253B">
              <w:rPr>
                <w:sz w:val="22"/>
                <w:szCs w:val="22"/>
                <w:lang w:val="it-IT"/>
              </w:rPr>
              <w:t>Uncommon</w:t>
            </w:r>
          </w:p>
        </w:tc>
        <w:tc>
          <w:tcPr>
            <w:tcW w:w="3420" w:type="dxa"/>
          </w:tcPr>
          <w:p w:rsidR="00440401" w:rsidRPr="009E253B" w:rsidRDefault="00440401" w:rsidP="004475F5">
            <w:pPr>
              <w:jc w:val="both"/>
              <w:rPr>
                <w:bCs/>
                <w:sz w:val="22"/>
                <w:szCs w:val="22"/>
                <w:lang w:val="en-AU"/>
              </w:rPr>
            </w:pPr>
          </w:p>
        </w:tc>
        <w:tc>
          <w:tcPr>
            <w:tcW w:w="3690" w:type="dxa"/>
          </w:tcPr>
          <w:p w:rsidR="00440401" w:rsidRPr="009E253B" w:rsidRDefault="00440401" w:rsidP="00440401">
            <w:pPr>
              <w:rPr>
                <w:sz w:val="22"/>
                <w:szCs w:val="22"/>
              </w:rPr>
            </w:pPr>
            <w:r w:rsidRPr="009E253B">
              <w:rPr>
                <w:sz w:val="22"/>
                <w:szCs w:val="22"/>
              </w:rPr>
              <w:t xml:space="preserve">Dizziness </w:t>
            </w:r>
          </w:p>
          <w:p w:rsidR="00440401" w:rsidRPr="009E253B" w:rsidRDefault="00440401" w:rsidP="00440401">
            <w:pPr>
              <w:rPr>
                <w:sz w:val="22"/>
                <w:szCs w:val="22"/>
              </w:rPr>
            </w:pPr>
            <w:r w:rsidRPr="009E253B">
              <w:rPr>
                <w:sz w:val="22"/>
                <w:szCs w:val="22"/>
              </w:rPr>
              <w:t xml:space="preserve">Tremor </w:t>
            </w:r>
          </w:p>
          <w:p w:rsidR="00440401" w:rsidRPr="009E253B" w:rsidRDefault="00440401" w:rsidP="00440401">
            <w:pPr>
              <w:jc w:val="both"/>
              <w:rPr>
                <w:sz w:val="22"/>
                <w:szCs w:val="22"/>
              </w:rPr>
            </w:pPr>
            <w:r w:rsidRPr="009E253B">
              <w:rPr>
                <w:sz w:val="22"/>
                <w:szCs w:val="22"/>
              </w:rPr>
              <w:t>Peripheral sensory neuropathy</w:t>
            </w:r>
          </w:p>
        </w:tc>
      </w:tr>
      <w:tr w:rsidR="00440401" w:rsidRPr="009E253B" w:rsidTr="008A28D6">
        <w:tc>
          <w:tcPr>
            <w:tcW w:w="9180" w:type="dxa"/>
            <w:gridSpan w:val="3"/>
            <w:shd w:val="clear" w:color="auto" w:fill="D9D9D9" w:themeFill="background1" w:themeFillShade="D9"/>
          </w:tcPr>
          <w:p w:rsidR="00440401" w:rsidRPr="009E253B" w:rsidRDefault="00440401" w:rsidP="004475F5">
            <w:pPr>
              <w:jc w:val="both"/>
              <w:rPr>
                <w:sz w:val="22"/>
                <w:szCs w:val="22"/>
              </w:rPr>
            </w:pPr>
            <w:r w:rsidRPr="009E253B">
              <w:rPr>
                <w:b/>
                <w:bCs/>
                <w:sz w:val="22"/>
                <w:szCs w:val="22"/>
              </w:rPr>
              <w:t>Psychiatric disorders</w:t>
            </w:r>
          </w:p>
        </w:tc>
      </w:tr>
      <w:tr w:rsidR="00440401" w:rsidRPr="009E253B" w:rsidTr="008264CA">
        <w:tc>
          <w:tcPr>
            <w:tcW w:w="2070" w:type="dxa"/>
          </w:tcPr>
          <w:p w:rsidR="00440401" w:rsidRPr="009E253B" w:rsidRDefault="00440401" w:rsidP="0088527F">
            <w:pPr>
              <w:jc w:val="both"/>
              <w:rPr>
                <w:sz w:val="22"/>
                <w:szCs w:val="22"/>
                <w:lang w:val="it-IT"/>
              </w:rPr>
            </w:pPr>
            <w:r w:rsidRPr="009E253B">
              <w:rPr>
                <w:sz w:val="22"/>
                <w:szCs w:val="22"/>
                <w:lang w:val="it-IT"/>
              </w:rPr>
              <w:t>Common</w:t>
            </w:r>
          </w:p>
        </w:tc>
        <w:tc>
          <w:tcPr>
            <w:tcW w:w="3420" w:type="dxa"/>
          </w:tcPr>
          <w:p w:rsidR="00440401" w:rsidRPr="009E253B" w:rsidRDefault="00440401" w:rsidP="00F8429A">
            <w:pPr>
              <w:jc w:val="both"/>
              <w:rPr>
                <w:bCs/>
                <w:sz w:val="22"/>
                <w:szCs w:val="22"/>
                <w:lang w:val="en-AU"/>
              </w:rPr>
            </w:pPr>
            <w:proofErr w:type="spellStart"/>
            <w:r w:rsidRPr="009E253B">
              <w:rPr>
                <w:sz w:val="22"/>
                <w:szCs w:val="22"/>
              </w:rPr>
              <w:t>Confusional</w:t>
            </w:r>
            <w:proofErr w:type="spellEnd"/>
            <w:r w:rsidRPr="009E253B">
              <w:rPr>
                <w:sz w:val="22"/>
                <w:szCs w:val="22"/>
              </w:rPr>
              <w:t xml:space="preserve"> state </w:t>
            </w:r>
          </w:p>
        </w:tc>
        <w:tc>
          <w:tcPr>
            <w:tcW w:w="3690" w:type="dxa"/>
          </w:tcPr>
          <w:p w:rsidR="00440401" w:rsidRPr="009E253B" w:rsidRDefault="00440401" w:rsidP="00F8429A">
            <w:pPr>
              <w:jc w:val="both"/>
              <w:rPr>
                <w:sz w:val="22"/>
                <w:szCs w:val="22"/>
              </w:rPr>
            </w:pPr>
            <w:proofErr w:type="spellStart"/>
            <w:r w:rsidRPr="009E253B">
              <w:rPr>
                <w:sz w:val="22"/>
                <w:szCs w:val="22"/>
              </w:rPr>
              <w:t>Confusional</w:t>
            </w:r>
            <w:proofErr w:type="spellEnd"/>
            <w:r w:rsidRPr="009E253B">
              <w:rPr>
                <w:sz w:val="22"/>
                <w:szCs w:val="22"/>
              </w:rPr>
              <w:t xml:space="preserve"> state </w:t>
            </w:r>
          </w:p>
        </w:tc>
      </w:tr>
      <w:tr w:rsidR="001157B7" w:rsidRPr="009E253B" w:rsidTr="008A28D6">
        <w:tc>
          <w:tcPr>
            <w:tcW w:w="9180" w:type="dxa"/>
            <w:gridSpan w:val="3"/>
            <w:shd w:val="clear" w:color="auto" w:fill="D9D9D9" w:themeFill="background1" w:themeFillShade="D9"/>
          </w:tcPr>
          <w:p w:rsidR="001157B7" w:rsidRPr="009E253B" w:rsidRDefault="001157B7" w:rsidP="001157B7">
            <w:pPr>
              <w:pStyle w:val="C-TableText"/>
              <w:spacing w:before="0" w:after="0"/>
              <w:rPr>
                <w:szCs w:val="22"/>
                <w:lang w:val="en-GB"/>
              </w:rPr>
            </w:pPr>
            <w:r w:rsidRPr="009E253B">
              <w:rPr>
                <w:b/>
                <w:bCs/>
                <w:szCs w:val="22"/>
                <w:lang w:val="en-GB"/>
              </w:rPr>
              <w:t>Renal and urinary disorders</w:t>
            </w:r>
            <w:r w:rsidRPr="009E253B">
              <w:rPr>
                <w:szCs w:val="22"/>
                <w:lang w:val="en-GB"/>
              </w:rPr>
              <w:t xml:space="preserve"> </w:t>
            </w:r>
          </w:p>
        </w:tc>
      </w:tr>
      <w:tr w:rsidR="00440401" w:rsidRPr="009E253B" w:rsidTr="008264CA">
        <w:tc>
          <w:tcPr>
            <w:tcW w:w="2070" w:type="dxa"/>
          </w:tcPr>
          <w:p w:rsidR="00440401" w:rsidRPr="009E253B" w:rsidRDefault="001157B7" w:rsidP="0088527F">
            <w:pPr>
              <w:jc w:val="both"/>
              <w:rPr>
                <w:sz w:val="22"/>
                <w:szCs w:val="22"/>
                <w:lang w:val="it-IT"/>
              </w:rPr>
            </w:pPr>
            <w:r w:rsidRPr="009E253B">
              <w:rPr>
                <w:sz w:val="22"/>
                <w:szCs w:val="22"/>
                <w:lang w:val="it-IT"/>
              </w:rPr>
              <w:t>Common</w:t>
            </w:r>
          </w:p>
        </w:tc>
        <w:tc>
          <w:tcPr>
            <w:tcW w:w="3420" w:type="dxa"/>
          </w:tcPr>
          <w:p w:rsidR="001157B7" w:rsidRPr="009E253B" w:rsidRDefault="001157B7" w:rsidP="001157B7">
            <w:pPr>
              <w:pStyle w:val="C-TableText"/>
              <w:spacing w:before="0" w:after="0"/>
              <w:rPr>
                <w:szCs w:val="22"/>
                <w:u w:val="single"/>
                <w:lang w:val="en-GB"/>
              </w:rPr>
            </w:pPr>
            <w:r w:rsidRPr="009E253B">
              <w:rPr>
                <w:szCs w:val="22"/>
              </w:rPr>
              <w:t xml:space="preserve">Renal failure </w:t>
            </w:r>
          </w:p>
          <w:p w:rsidR="00440401" w:rsidRPr="009E253B" w:rsidRDefault="001157B7" w:rsidP="00F8429A">
            <w:pPr>
              <w:jc w:val="both"/>
              <w:rPr>
                <w:bCs/>
                <w:sz w:val="22"/>
                <w:szCs w:val="22"/>
                <w:lang w:val="en-AU"/>
              </w:rPr>
            </w:pPr>
            <w:r w:rsidRPr="009E253B">
              <w:rPr>
                <w:sz w:val="22"/>
                <w:szCs w:val="22"/>
              </w:rPr>
              <w:t xml:space="preserve">Urinary retention </w:t>
            </w:r>
          </w:p>
        </w:tc>
        <w:tc>
          <w:tcPr>
            <w:tcW w:w="3690" w:type="dxa"/>
          </w:tcPr>
          <w:p w:rsidR="001157B7" w:rsidRPr="009E253B" w:rsidRDefault="001157B7" w:rsidP="001157B7">
            <w:pPr>
              <w:rPr>
                <w:sz w:val="22"/>
                <w:szCs w:val="22"/>
              </w:rPr>
            </w:pPr>
            <w:r w:rsidRPr="009E253B">
              <w:rPr>
                <w:sz w:val="22"/>
                <w:szCs w:val="22"/>
              </w:rPr>
              <w:t xml:space="preserve">Renal failure </w:t>
            </w:r>
          </w:p>
          <w:p w:rsidR="00440401" w:rsidRPr="009E253B" w:rsidRDefault="00440401" w:rsidP="004475F5">
            <w:pPr>
              <w:jc w:val="both"/>
              <w:rPr>
                <w:sz w:val="22"/>
                <w:szCs w:val="22"/>
              </w:rPr>
            </w:pPr>
          </w:p>
        </w:tc>
      </w:tr>
      <w:tr w:rsidR="001157B7" w:rsidRPr="009E253B" w:rsidTr="008264CA">
        <w:tc>
          <w:tcPr>
            <w:tcW w:w="2070" w:type="dxa"/>
          </w:tcPr>
          <w:p w:rsidR="001157B7" w:rsidRPr="009E253B" w:rsidRDefault="001157B7" w:rsidP="0088527F">
            <w:pPr>
              <w:jc w:val="both"/>
              <w:rPr>
                <w:sz w:val="22"/>
                <w:szCs w:val="22"/>
                <w:lang w:val="it-IT"/>
              </w:rPr>
            </w:pPr>
            <w:r w:rsidRPr="009E253B">
              <w:rPr>
                <w:sz w:val="22"/>
                <w:szCs w:val="22"/>
                <w:lang w:val="it-IT"/>
              </w:rPr>
              <w:t>Uncommon</w:t>
            </w:r>
          </w:p>
        </w:tc>
        <w:tc>
          <w:tcPr>
            <w:tcW w:w="3420" w:type="dxa"/>
          </w:tcPr>
          <w:p w:rsidR="001157B7" w:rsidRPr="009E253B" w:rsidRDefault="001157B7" w:rsidP="004475F5">
            <w:pPr>
              <w:jc w:val="both"/>
              <w:rPr>
                <w:bCs/>
                <w:sz w:val="22"/>
                <w:szCs w:val="22"/>
                <w:lang w:val="en-AU"/>
              </w:rPr>
            </w:pPr>
          </w:p>
        </w:tc>
        <w:tc>
          <w:tcPr>
            <w:tcW w:w="3690" w:type="dxa"/>
          </w:tcPr>
          <w:p w:rsidR="001157B7" w:rsidRPr="009E253B" w:rsidRDefault="001157B7" w:rsidP="004475F5">
            <w:pPr>
              <w:jc w:val="both"/>
              <w:rPr>
                <w:sz w:val="22"/>
                <w:szCs w:val="22"/>
              </w:rPr>
            </w:pPr>
            <w:r w:rsidRPr="009E253B">
              <w:rPr>
                <w:sz w:val="22"/>
                <w:szCs w:val="22"/>
              </w:rPr>
              <w:t>Urinary retention</w:t>
            </w:r>
          </w:p>
        </w:tc>
      </w:tr>
      <w:tr w:rsidR="001157B7" w:rsidRPr="009E253B" w:rsidTr="008A28D6">
        <w:tc>
          <w:tcPr>
            <w:tcW w:w="9180" w:type="dxa"/>
            <w:gridSpan w:val="3"/>
            <w:shd w:val="clear" w:color="auto" w:fill="D9D9D9" w:themeFill="background1" w:themeFillShade="D9"/>
          </w:tcPr>
          <w:p w:rsidR="001157B7" w:rsidRPr="009E253B" w:rsidRDefault="001157B7" w:rsidP="004475F5">
            <w:pPr>
              <w:jc w:val="both"/>
              <w:rPr>
                <w:sz w:val="22"/>
                <w:szCs w:val="22"/>
              </w:rPr>
            </w:pPr>
            <w:r w:rsidRPr="009E253B">
              <w:rPr>
                <w:b/>
                <w:bCs/>
                <w:sz w:val="22"/>
                <w:szCs w:val="22"/>
              </w:rPr>
              <w:t>Reproductive system and breast disorders</w:t>
            </w:r>
          </w:p>
        </w:tc>
      </w:tr>
      <w:tr w:rsidR="001157B7" w:rsidRPr="009E253B" w:rsidTr="008264CA">
        <w:tc>
          <w:tcPr>
            <w:tcW w:w="2070" w:type="dxa"/>
          </w:tcPr>
          <w:p w:rsidR="001157B7" w:rsidRPr="009E253B" w:rsidRDefault="001157B7" w:rsidP="0088527F">
            <w:pPr>
              <w:jc w:val="both"/>
              <w:rPr>
                <w:sz w:val="22"/>
                <w:szCs w:val="22"/>
                <w:lang w:val="en-US"/>
              </w:rPr>
            </w:pPr>
            <w:r w:rsidRPr="009E253B">
              <w:rPr>
                <w:sz w:val="22"/>
                <w:szCs w:val="22"/>
                <w:lang w:val="it-IT"/>
              </w:rPr>
              <w:t>Common</w:t>
            </w:r>
          </w:p>
        </w:tc>
        <w:tc>
          <w:tcPr>
            <w:tcW w:w="3420" w:type="dxa"/>
          </w:tcPr>
          <w:p w:rsidR="001157B7" w:rsidRPr="009E253B" w:rsidRDefault="001157B7" w:rsidP="004475F5">
            <w:pPr>
              <w:jc w:val="both"/>
              <w:rPr>
                <w:bCs/>
                <w:sz w:val="22"/>
                <w:szCs w:val="22"/>
                <w:lang w:val="en-AU"/>
              </w:rPr>
            </w:pPr>
            <w:r w:rsidRPr="009E253B">
              <w:rPr>
                <w:sz w:val="22"/>
                <w:szCs w:val="22"/>
              </w:rPr>
              <w:t>Pelvic pain</w:t>
            </w:r>
          </w:p>
        </w:tc>
        <w:tc>
          <w:tcPr>
            <w:tcW w:w="3690" w:type="dxa"/>
          </w:tcPr>
          <w:p w:rsidR="001157B7" w:rsidRPr="009E253B" w:rsidRDefault="001157B7" w:rsidP="004475F5">
            <w:pPr>
              <w:jc w:val="both"/>
              <w:rPr>
                <w:sz w:val="22"/>
                <w:szCs w:val="22"/>
              </w:rPr>
            </w:pPr>
            <w:r w:rsidRPr="009E253B">
              <w:rPr>
                <w:sz w:val="22"/>
                <w:szCs w:val="22"/>
              </w:rPr>
              <w:t>Pelvic pain</w:t>
            </w:r>
          </w:p>
        </w:tc>
      </w:tr>
      <w:tr w:rsidR="001157B7" w:rsidRPr="009E253B" w:rsidTr="008A28D6">
        <w:tc>
          <w:tcPr>
            <w:tcW w:w="9180" w:type="dxa"/>
            <w:gridSpan w:val="3"/>
            <w:shd w:val="clear" w:color="auto" w:fill="D9D9D9" w:themeFill="background1" w:themeFillShade="D9"/>
          </w:tcPr>
          <w:p w:rsidR="001157B7" w:rsidRPr="009E253B" w:rsidRDefault="001157B7" w:rsidP="004475F5">
            <w:pPr>
              <w:jc w:val="both"/>
              <w:rPr>
                <w:sz w:val="22"/>
                <w:szCs w:val="22"/>
              </w:rPr>
            </w:pPr>
            <w:r w:rsidRPr="009E253B">
              <w:rPr>
                <w:b/>
                <w:bCs/>
                <w:sz w:val="22"/>
                <w:szCs w:val="22"/>
              </w:rPr>
              <w:t xml:space="preserve">Respiratory, thoracic and </w:t>
            </w:r>
            <w:proofErr w:type="spellStart"/>
            <w:r w:rsidRPr="009E253B">
              <w:rPr>
                <w:b/>
                <w:bCs/>
                <w:sz w:val="22"/>
                <w:szCs w:val="22"/>
              </w:rPr>
              <w:t>mediastinal</w:t>
            </w:r>
            <w:proofErr w:type="spellEnd"/>
            <w:r w:rsidRPr="009E253B">
              <w:rPr>
                <w:b/>
                <w:bCs/>
                <w:sz w:val="22"/>
                <w:szCs w:val="22"/>
              </w:rPr>
              <w:t xml:space="preserve"> disorders</w:t>
            </w:r>
          </w:p>
        </w:tc>
      </w:tr>
      <w:tr w:rsidR="001157B7" w:rsidRPr="009E253B" w:rsidTr="008264CA">
        <w:tc>
          <w:tcPr>
            <w:tcW w:w="2070" w:type="dxa"/>
          </w:tcPr>
          <w:p w:rsidR="001157B7" w:rsidRPr="009E253B" w:rsidRDefault="001157B7" w:rsidP="0088527F">
            <w:pPr>
              <w:jc w:val="both"/>
              <w:rPr>
                <w:bCs/>
                <w:sz w:val="22"/>
                <w:szCs w:val="22"/>
                <w:lang w:val="en-AU"/>
              </w:rPr>
            </w:pPr>
            <w:r w:rsidRPr="009E253B">
              <w:rPr>
                <w:sz w:val="22"/>
                <w:szCs w:val="22"/>
                <w:lang w:val="en-AU"/>
              </w:rPr>
              <w:t>Very Common</w:t>
            </w:r>
          </w:p>
        </w:tc>
        <w:tc>
          <w:tcPr>
            <w:tcW w:w="3420" w:type="dxa"/>
          </w:tcPr>
          <w:p w:rsidR="001157B7" w:rsidRPr="009E253B" w:rsidRDefault="001157B7" w:rsidP="001157B7">
            <w:pPr>
              <w:rPr>
                <w:sz w:val="22"/>
                <w:szCs w:val="22"/>
              </w:rPr>
            </w:pPr>
            <w:r w:rsidRPr="009E253B">
              <w:rPr>
                <w:sz w:val="22"/>
                <w:szCs w:val="22"/>
              </w:rPr>
              <w:t xml:space="preserve">Dyspnoea </w:t>
            </w:r>
          </w:p>
          <w:p w:rsidR="001157B7" w:rsidRPr="009E253B" w:rsidRDefault="001157B7" w:rsidP="00F8429A">
            <w:pPr>
              <w:rPr>
                <w:sz w:val="22"/>
                <w:szCs w:val="22"/>
              </w:rPr>
            </w:pPr>
            <w:r w:rsidRPr="009E253B">
              <w:rPr>
                <w:sz w:val="22"/>
                <w:szCs w:val="22"/>
              </w:rPr>
              <w:t xml:space="preserve">Cough </w:t>
            </w:r>
          </w:p>
        </w:tc>
        <w:tc>
          <w:tcPr>
            <w:tcW w:w="3690" w:type="dxa"/>
          </w:tcPr>
          <w:p w:rsidR="001157B7" w:rsidRPr="009E253B" w:rsidRDefault="001157B7" w:rsidP="004475F5">
            <w:pPr>
              <w:jc w:val="both"/>
              <w:rPr>
                <w:sz w:val="22"/>
                <w:szCs w:val="22"/>
              </w:rPr>
            </w:pPr>
          </w:p>
        </w:tc>
      </w:tr>
      <w:tr w:rsidR="001157B7" w:rsidRPr="009E253B" w:rsidTr="0037223F">
        <w:tc>
          <w:tcPr>
            <w:tcW w:w="2070" w:type="dxa"/>
            <w:tcBorders>
              <w:bottom w:val="single" w:sz="4" w:space="0" w:color="auto"/>
            </w:tcBorders>
          </w:tcPr>
          <w:p w:rsidR="001157B7" w:rsidRPr="009E253B" w:rsidRDefault="001157B7" w:rsidP="0088527F">
            <w:pPr>
              <w:jc w:val="both"/>
              <w:rPr>
                <w:bCs/>
                <w:sz w:val="22"/>
                <w:szCs w:val="22"/>
                <w:lang w:val="en-AU"/>
              </w:rPr>
            </w:pPr>
            <w:r w:rsidRPr="009E253B">
              <w:rPr>
                <w:sz w:val="22"/>
                <w:szCs w:val="22"/>
                <w:lang w:val="it-IT"/>
              </w:rPr>
              <w:t>Common</w:t>
            </w:r>
          </w:p>
        </w:tc>
        <w:tc>
          <w:tcPr>
            <w:tcW w:w="3420" w:type="dxa"/>
            <w:tcBorders>
              <w:bottom w:val="single" w:sz="4" w:space="0" w:color="auto"/>
            </w:tcBorders>
          </w:tcPr>
          <w:p w:rsidR="001157B7" w:rsidRPr="009E253B" w:rsidRDefault="001157B7" w:rsidP="004475F5">
            <w:pPr>
              <w:jc w:val="both"/>
              <w:rPr>
                <w:bCs/>
                <w:sz w:val="22"/>
                <w:szCs w:val="22"/>
                <w:lang w:val="en-AU"/>
              </w:rPr>
            </w:pPr>
            <w:r w:rsidRPr="009E253B">
              <w:rPr>
                <w:sz w:val="22"/>
                <w:szCs w:val="22"/>
              </w:rPr>
              <w:t>Pulmonary embolism</w:t>
            </w:r>
          </w:p>
        </w:tc>
        <w:tc>
          <w:tcPr>
            <w:tcW w:w="3690" w:type="dxa"/>
            <w:tcBorders>
              <w:bottom w:val="single" w:sz="4" w:space="0" w:color="auto"/>
            </w:tcBorders>
          </w:tcPr>
          <w:p w:rsidR="001157B7" w:rsidRPr="009E253B" w:rsidRDefault="001157B7" w:rsidP="004475F5">
            <w:pPr>
              <w:jc w:val="both"/>
              <w:rPr>
                <w:sz w:val="22"/>
                <w:szCs w:val="22"/>
              </w:rPr>
            </w:pPr>
            <w:r w:rsidRPr="009E253B">
              <w:rPr>
                <w:sz w:val="22"/>
                <w:szCs w:val="22"/>
              </w:rPr>
              <w:t xml:space="preserve">Dyspnoea </w:t>
            </w:r>
          </w:p>
        </w:tc>
      </w:tr>
      <w:tr w:rsidR="001157B7" w:rsidRPr="009E253B" w:rsidTr="0037223F">
        <w:tc>
          <w:tcPr>
            <w:tcW w:w="2070" w:type="dxa"/>
            <w:tcBorders>
              <w:top w:val="single" w:sz="4" w:space="0" w:color="auto"/>
            </w:tcBorders>
          </w:tcPr>
          <w:p w:rsidR="001157B7" w:rsidRPr="009E253B" w:rsidRDefault="001157B7" w:rsidP="0088527F">
            <w:pPr>
              <w:jc w:val="both"/>
              <w:rPr>
                <w:bCs/>
                <w:sz w:val="22"/>
                <w:szCs w:val="22"/>
                <w:lang w:val="en-AU"/>
              </w:rPr>
            </w:pPr>
            <w:r w:rsidRPr="009E253B">
              <w:rPr>
                <w:sz w:val="22"/>
                <w:szCs w:val="22"/>
                <w:lang w:val="it-IT"/>
              </w:rPr>
              <w:t>Uncommon</w:t>
            </w:r>
          </w:p>
        </w:tc>
        <w:tc>
          <w:tcPr>
            <w:tcW w:w="3420" w:type="dxa"/>
            <w:tcBorders>
              <w:top w:val="single" w:sz="4" w:space="0" w:color="auto"/>
            </w:tcBorders>
          </w:tcPr>
          <w:p w:rsidR="001157B7" w:rsidRPr="009E253B" w:rsidRDefault="001157B7" w:rsidP="004475F5">
            <w:pPr>
              <w:jc w:val="both"/>
              <w:rPr>
                <w:bCs/>
                <w:sz w:val="22"/>
                <w:szCs w:val="22"/>
                <w:lang w:val="en-AU"/>
              </w:rPr>
            </w:pPr>
          </w:p>
        </w:tc>
        <w:tc>
          <w:tcPr>
            <w:tcW w:w="3690" w:type="dxa"/>
            <w:tcBorders>
              <w:top w:val="single" w:sz="4" w:space="0" w:color="auto"/>
            </w:tcBorders>
          </w:tcPr>
          <w:p w:rsidR="001157B7" w:rsidRPr="009E253B" w:rsidRDefault="001157B7" w:rsidP="001157B7">
            <w:pPr>
              <w:pStyle w:val="C-TableText"/>
              <w:spacing w:before="0" w:after="0"/>
              <w:rPr>
                <w:szCs w:val="22"/>
              </w:rPr>
            </w:pPr>
            <w:r w:rsidRPr="009E253B">
              <w:rPr>
                <w:szCs w:val="22"/>
              </w:rPr>
              <w:t xml:space="preserve">Pulmonary embolism </w:t>
            </w:r>
          </w:p>
          <w:p w:rsidR="001157B7" w:rsidRPr="009E253B" w:rsidRDefault="001157B7" w:rsidP="001157B7">
            <w:pPr>
              <w:jc w:val="both"/>
              <w:rPr>
                <w:sz w:val="22"/>
                <w:szCs w:val="22"/>
              </w:rPr>
            </w:pPr>
            <w:r w:rsidRPr="009E253B">
              <w:rPr>
                <w:sz w:val="22"/>
                <w:szCs w:val="22"/>
              </w:rPr>
              <w:t>Cough</w:t>
            </w:r>
          </w:p>
        </w:tc>
      </w:tr>
      <w:tr w:rsidR="00667F6C" w:rsidRPr="009E253B" w:rsidTr="008A28D6">
        <w:tc>
          <w:tcPr>
            <w:tcW w:w="9180" w:type="dxa"/>
            <w:gridSpan w:val="3"/>
            <w:shd w:val="clear" w:color="auto" w:fill="D9D9D9" w:themeFill="background1" w:themeFillShade="D9"/>
          </w:tcPr>
          <w:p w:rsidR="00667F6C" w:rsidRPr="009E253B" w:rsidRDefault="00667F6C" w:rsidP="004475F5">
            <w:pPr>
              <w:jc w:val="both"/>
              <w:rPr>
                <w:sz w:val="22"/>
                <w:szCs w:val="22"/>
              </w:rPr>
            </w:pPr>
            <w:r w:rsidRPr="009E253B">
              <w:rPr>
                <w:b/>
                <w:bCs/>
                <w:sz w:val="22"/>
                <w:szCs w:val="22"/>
              </w:rPr>
              <w:t>Skin and subcutaneous tissue disorders</w:t>
            </w:r>
          </w:p>
        </w:tc>
      </w:tr>
      <w:tr w:rsidR="001157B7" w:rsidRPr="009E253B" w:rsidTr="008264CA">
        <w:tc>
          <w:tcPr>
            <w:tcW w:w="2070" w:type="dxa"/>
          </w:tcPr>
          <w:p w:rsidR="001157B7" w:rsidRPr="009E253B" w:rsidRDefault="00667F6C" w:rsidP="0088527F">
            <w:pPr>
              <w:jc w:val="both"/>
              <w:rPr>
                <w:sz w:val="22"/>
                <w:szCs w:val="22"/>
                <w:lang w:val="en-US"/>
              </w:rPr>
            </w:pPr>
            <w:r w:rsidRPr="009E253B">
              <w:rPr>
                <w:sz w:val="22"/>
                <w:szCs w:val="22"/>
                <w:lang w:val="it-IT"/>
              </w:rPr>
              <w:t>Common</w:t>
            </w:r>
          </w:p>
        </w:tc>
        <w:tc>
          <w:tcPr>
            <w:tcW w:w="3420" w:type="dxa"/>
          </w:tcPr>
          <w:p w:rsidR="00667F6C" w:rsidRPr="009E253B" w:rsidRDefault="00667F6C" w:rsidP="00667F6C">
            <w:pPr>
              <w:rPr>
                <w:sz w:val="22"/>
                <w:szCs w:val="22"/>
              </w:rPr>
            </w:pPr>
            <w:r w:rsidRPr="009E253B">
              <w:rPr>
                <w:sz w:val="22"/>
                <w:szCs w:val="22"/>
              </w:rPr>
              <w:t xml:space="preserve">Pruritus </w:t>
            </w:r>
          </w:p>
          <w:p w:rsidR="001157B7" w:rsidRPr="009E253B" w:rsidRDefault="00667F6C" w:rsidP="00667F6C">
            <w:pPr>
              <w:jc w:val="both"/>
              <w:rPr>
                <w:bCs/>
                <w:sz w:val="22"/>
                <w:szCs w:val="22"/>
                <w:lang w:val="en-AU"/>
              </w:rPr>
            </w:pPr>
            <w:r w:rsidRPr="009E253B">
              <w:rPr>
                <w:sz w:val="22"/>
                <w:szCs w:val="22"/>
              </w:rPr>
              <w:t>Rash</w:t>
            </w:r>
          </w:p>
        </w:tc>
        <w:tc>
          <w:tcPr>
            <w:tcW w:w="3690" w:type="dxa"/>
          </w:tcPr>
          <w:p w:rsidR="001157B7" w:rsidRPr="009E253B" w:rsidRDefault="00667F6C" w:rsidP="004475F5">
            <w:pPr>
              <w:jc w:val="both"/>
              <w:rPr>
                <w:sz w:val="22"/>
                <w:szCs w:val="22"/>
              </w:rPr>
            </w:pPr>
            <w:r w:rsidRPr="009E253B">
              <w:rPr>
                <w:sz w:val="22"/>
                <w:szCs w:val="22"/>
              </w:rPr>
              <w:t>Rash</w:t>
            </w:r>
          </w:p>
        </w:tc>
      </w:tr>
      <w:tr w:rsidR="00667F6C" w:rsidRPr="009E253B" w:rsidTr="008A28D6">
        <w:tc>
          <w:tcPr>
            <w:tcW w:w="9180" w:type="dxa"/>
            <w:gridSpan w:val="3"/>
            <w:shd w:val="clear" w:color="auto" w:fill="D9D9D9" w:themeFill="background1" w:themeFillShade="D9"/>
          </w:tcPr>
          <w:p w:rsidR="00667F6C" w:rsidRPr="009E253B" w:rsidRDefault="00667F6C" w:rsidP="004475F5">
            <w:pPr>
              <w:jc w:val="both"/>
              <w:rPr>
                <w:sz w:val="22"/>
                <w:szCs w:val="22"/>
              </w:rPr>
            </w:pPr>
            <w:r w:rsidRPr="009E253B">
              <w:rPr>
                <w:b/>
                <w:bCs/>
                <w:sz w:val="22"/>
                <w:szCs w:val="22"/>
              </w:rPr>
              <w:t>Vascular disorders</w:t>
            </w:r>
          </w:p>
        </w:tc>
      </w:tr>
      <w:tr w:rsidR="00667F6C" w:rsidRPr="009E253B" w:rsidTr="008264CA">
        <w:tc>
          <w:tcPr>
            <w:tcW w:w="2070" w:type="dxa"/>
          </w:tcPr>
          <w:p w:rsidR="00667F6C" w:rsidRPr="009E253B" w:rsidRDefault="00667F6C" w:rsidP="0088527F">
            <w:pPr>
              <w:jc w:val="both"/>
              <w:rPr>
                <w:bCs/>
                <w:sz w:val="22"/>
                <w:szCs w:val="22"/>
                <w:lang w:val="en-AU"/>
              </w:rPr>
            </w:pPr>
            <w:r w:rsidRPr="009E253B">
              <w:rPr>
                <w:sz w:val="22"/>
                <w:szCs w:val="22"/>
                <w:lang w:val="it-IT"/>
              </w:rPr>
              <w:t>Common</w:t>
            </w:r>
          </w:p>
        </w:tc>
        <w:tc>
          <w:tcPr>
            <w:tcW w:w="3420" w:type="dxa"/>
          </w:tcPr>
          <w:p w:rsidR="00667F6C" w:rsidRPr="009E253B" w:rsidRDefault="00667F6C" w:rsidP="004475F5">
            <w:pPr>
              <w:jc w:val="both"/>
              <w:rPr>
                <w:bCs/>
                <w:sz w:val="22"/>
                <w:szCs w:val="22"/>
                <w:lang w:val="en-AU"/>
              </w:rPr>
            </w:pPr>
            <w:r w:rsidRPr="009E253B">
              <w:rPr>
                <w:sz w:val="22"/>
                <w:szCs w:val="22"/>
              </w:rPr>
              <w:t>Deep vein thrombosis</w:t>
            </w:r>
          </w:p>
        </w:tc>
        <w:tc>
          <w:tcPr>
            <w:tcW w:w="3690" w:type="dxa"/>
          </w:tcPr>
          <w:p w:rsidR="00667F6C" w:rsidRPr="009E253B" w:rsidRDefault="00667F6C" w:rsidP="004475F5">
            <w:pPr>
              <w:jc w:val="both"/>
              <w:rPr>
                <w:sz w:val="22"/>
                <w:szCs w:val="22"/>
              </w:rPr>
            </w:pPr>
          </w:p>
        </w:tc>
      </w:tr>
      <w:tr w:rsidR="00667F6C" w:rsidRPr="009E253B" w:rsidTr="008264CA">
        <w:tc>
          <w:tcPr>
            <w:tcW w:w="2070" w:type="dxa"/>
          </w:tcPr>
          <w:p w:rsidR="00667F6C" w:rsidRPr="009E253B" w:rsidRDefault="00667F6C" w:rsidP="0088527F">
            <w:pPr>
              <w:jc w:val="both"/>
              <w:rPr>
                <w:bCs/>
                <w:sz w:val="22"/>
                <w:szCs w:val="22"/>
                <w:lang w:val="en-AU"/>
              </w:rPr>
            </w:pPr>
            <w:r w:rsidRPr="009E253B">
              <w:rPr>
                <w:sz w:val="22"/>
                <w:szCs w:val="22"/>
                <w:lang w:val="it-IT"/>
              </w:rPr>
              <w:t>Uncommon</w:t>
            </w:r>
          </w:p>
        </w:tc>
        <w:tc>
          <w:tcPr>
            <w:tcW w:w="3420" w:type="dxa"/>
          </w:tcPr>
          <w:p w:rsidR="00667F6C" w:rsidRPr="009E253B" w:rsidRDefault="00667F6C" w:rsidP="004475F5">
            <w:pPr>
              <w:jc w:val="both"/>
              <w:rPr>
                <w:bCs/>
                <w:sz w:val="22"/>
                <w:szCs w:val="22"/>
                <w:lang w:val="en-AU"/>
              </w:rPr>
            </w:pPr>
          </w:p>
        </w:tc>
        <w:tc>
          <w:tcPr>
            <w:tcW w:w="3690" w:type="dxa"/>
          </w:tcPr>
          <w:p w:rsidR="00667F6C" w:rsidRPr="009E253B" w:rsidRDefault="00667F6C" w:rsidP="004475F5">
            <w:pPr>
              <w:jc w:val="both"/>
              <w:rPr>
                <w:sz w:val="22"/>
                <w:szCs w:val="22"/>
              </w:rPr>
            </w:pPr>
            <w:r w:rsidRPr="009E253B">
              <w:rPr>
                <w:sz w:val="22"/>
                <w:szCs w:val="22"/>
              </w:rPr>
              <w:t>Deep vein thrombosis</w:t>
            </w:r>
          </w:p>
        </w:tc>
      </w:tr>
    </w:tbl>
    <w:p w:rsidR="00200F4D" w:rsidRPr="006F4D25" w:rsidRDefault="006F4D25" w:rsidP="006F4D25">
      <w:pPr>
        <w:autoSpaceDE w:val="0"/>
        <w:autoSpaceDN w:val="0"/>
        <w:adjustRightInd w:val="0"/>
        <w:rPr>
          <w:rFonts w:eastAsia="TimesNewRoman"/>
          <w:sz w:val="18"/>
          <w:szCs w:val="18"/>
          <w:lang w:val="en-US" w:eastAsia="zh-CN"/>
        </w:rPr>
      </w:pPr>
      <w:r>
        <w:rPr>
          <w:sz w:val="18"/>
          <w:szCs w:val="18"/>
        </w:rPr>
        <w:t>*S</w:t>
      </w:r>
      <w:r w:rsidRPr="006F4D25">
        <w:rPr>
          <w:sz w:val="18"/>
          <w:szCs w:val="18"/>
        </w:rPr>
        <w:t xml:space="preserve">afety </w:t>
      </w:r>
      <w:r>
        <w:rPr>
          <w:rFonts w:eastAsia="TimesNewRoman"/>
          <w:sz w:val="18"/>
          <w:szCs w:val="18"/>
          <w:lang w:val="en-US" w:eastAsia="zh-CN"/>
        </w:rPr>
        <w:t>population consists of all</w:t>
      </w:r>
      <w:r w:rsidRPr="006F4D25">
        <w:rPr>
          <w:rFonts w:eastAsia="TimesNewRoman"/>
          <w:sz w:val="18"/>
          <w:szCs w:val="18"/>
          <w:lang w:val="en-US" w:eastAsia="zh-CN"/>
        </w:rPr>
        <w:t xml:space="preserve"> subjects who took at least one dose of study treatment</w:t>
      </w:r>
    </w:p>
    <w:p w:rsidR="00C50599" w:rsidRDefault="00C50599" w:rsidP="00CC2327">
      <w:pPr>
        <w:keepNext/>
        <w:rPr>
          <w:bCs/>
          <w:sz w:val="22"/>
          <w:szCs w:val="22"/>
          <w:u w:val="single"/>
          <w:lang w:val="en-AU"/>
        </w:rPr>
      </w:pPr>
    </w:p>
    <w:p w:rsidR="00455CFC" w:rsidRPr="002568DF" w:rsidRDefault="00322955" w:rsidP="00322955">
      <w:pPr>
        <w:keepNext/>
        <w:ind w:left="851" w:hanging="851"/>
        <w:rPr>
          <w:b/>
          <w:bCs/>
          <w:lang w:val="en-AU"/>
        </w:rPr>
      </w:pPr>
      <w:r w:rsidRPr="002568DF">
        <w:rPr>
          <w:b/>
          <w:bCs/>
          <w:lang w:val="en-AU"/>
        </w:rPr>
        <w:t>9.2</w:t>
      </w:r>
      <w:r w:rsidRPr="002568DF">
        <w:rPr>
          <w:b/>
          <w:bCs/>
          <w:lang w:val="en-AU"/>
        </w:rPr>
        <w:tab/>
      </w:r>
      <w:r w:rsidR="00455CFC" w:rsidRPr="002568DF">
        <w:rPr>
          <w:b/>
          <w:bCs/>
          <w:lang w:val="en-AU"/>
        </w:rPr>
        <w:t>Description of selected adverse reactions</w:t>
      </w:r>
    </w:p>
    <w:p w:rsidR="0088527F" w:rsidRPr="0088527F" w:rsidRDefault="0088527F" w:rsidP="0088527F">
      <w:pPr>
        <w:autoSpaceDE w:val="0"/>
        <w:autoSpaceDN w:val="0"/>
        <w:adjustRightInd w:val="0"/>
        <w:rPr>
          <w:sz w:val="22"/>
          <w:szCs w:val="22"/>
          <w:lang w:val="en-US" w:eastAsia="zh-CN"/>
        </w:rPr>
      </w:pPr>
    </w:p>
    <w:p w:rsidR="00455CFC" w:rsidRPr="009017AB" w:rsidRDefault="00212DF8" w:rsidP="00F23B9B">
      <w:pPr>
        <w:keepNext/>
        <w:ind w:left="567" w:hanging="567"/>
        <w:rPr>
          <w:b/>
          <w:bCs/>
          <w:sz w:val="22"/>
          <w:szCs w:val="22"/>
          <w:lang w:val="en-AU"/>
        </w:rPr>
      </w:pPr>
      <w:r w:rsidRPr="009017AB">
        <w:rPr>
          <w:b/>
          <w:bCs/>
          <w:sz w:val="22"/>
          <w:szCs w:val="22"/>
          <w:lang w:val="en-AU"/>
        </w:rPr>
        <w:t>9.2.1</w:t>
      </w:r>
      <w:r w:rsidRPr="009017AB">
        <w:rPr>
          <w:b/>
          <w:bCs/>
          <w:sz w:val="22"/>
          <w:szCs w:val="22"/>
          <w:lang w:val="en-AU"/>
        </w:rPr>
        <w:tab/>
      </w:r>
      <w:r w:rsidR="00455CFC" w:rsidRPr="009017AB">
        <w:rPr>
          <w:b/>
          <w:bCs/>
          <w:sz w:val="22"/>
          <w:szCs w:val="22"/>
          <w:lang w:val="en-AU"/>
        </w:rPr>
        <w:t>Infection</w:t>
      </w:r>
    </w:p>
    <w:p w:rsidR="00A76F30" w:rsidRPr="00A76F30" w:rsidRDefault="00A76F30" w:rsidP="0000497D">
      <w:pPr>
        <w:autoSpaceDE w:val="0"/>
        <w:autoSpaceDN w:val="0"/>
        <w:adjustRightInd w:val="0"/>
        <w:spacing w:before="120"/>
        <w:rPr>
          <w:sz w:val="22"/>
          <w:szCs w:val="22"/>
          <w:lang w:val="en-US" w:eastAsia="zh-CN"/>
        </w:rPr>
      </w:pPr>
      <w:r w:rsidRPr="00A76F30">
        <w:rPr>
          <w:sz w:val="22"/>
          <w:szCs w:val="22"/>
          <w:lang w:val="en-US" w:eastAsia="zh-CN"/>
        </w:rPr>
        <w:t>Infection was the most common non</w:t>
      </w:r>
      <w:r w:rsidR="00EF2506">
        <w:rPr>
          <w:sz w:val="22"/>
          <w:szCs w:val="22"/>
          <w:lang w:val="en-US" w:eastAsia="zh-CN"/>
        </w:rPr>
        <w:t>-</w:t>
      </w:r>
      <w:proofErr w:type="spellStart"/>
      <w:r w:rsidR="002C0078">
        <w:rPr>
          <w:sz w:val="22"/>
          <w:szCs w:val="22"/>
          <w:lang w:val="en-US" w:eastAsia="zh-CN"/>
        </w:rPr>
        <w:t>haematological</w:t>
      </w:r>
      <w:proofErr w:type="spellEnd"/>
      <w:r w:rsidR="002C0078">
        <w:rPr>
          <w:sz w:val="22"/>
          <w:szCs w:val="22"/>
          <w:lang w:val="en-US" w:eastAsia="zh-CN"/>
        </w:rPr>
        <w:t xml:space="preserve"> toxicity; </w:t>
      </w:r>
      <w:r w:rsidRPr="00A76F30">
        <w:rPr>
          <w:sz w:val="22"/>
          <w:szCs w:val="22"/>
          <w:lang w:val="en-US" w:eastAsia="zh-CN"/>
        </w:rPr>
        <w:t>it occurred in</w:t>
      </w:r>
      <w:r w:rsidR="0088527F">
        <w:rPr>
          <w:sz w:val="22"/>
          <w:szCs w:val="22"/>
          <w:lang w:val="en-US" w:eastAsia="zh-CN"/>
        </w:rPr>
        <w:t xml:space="preserve"> </w:t>
      </w:r>
      <w:r w:rsidR="00E450EB">
        <w:rPr>
          <w:sz w:val="22"/>
          <w:szCs w:val="22"/>
          <w:lang w:val="en-US" w:eastAsia="zh-CN"/>
        </w:rPr>
        <w:t xml:space="preserve">55.0% of patients in the </w:t>
      </w:r>
      <w:proofErr w:type="spellStart"/>
      <w:r w:rsidR="00E450EB">
        <w:rPr>
          <w:sz w:val="22"/>
          <w:szCs w:val="22"/>
          <w:lang w:val="en-US" w:eastAsia="zh-CN"/>
        </w:rPr>
        <w:t>Pom</w:t>
      </w:r>
      <w:proofErr w:type="spellEnd"/>
      <w:r w:rsidR="004F54EF">
        <w:rPr>
          <w:sz w:val="22"/>
          <w:szCs w:val="22"/>
          <w:lang w:val="en-US" w:eastAsia="zh-CN"/>
        </w:rPr>
        <w:t> </w:t>
      </w:r>
      <w:r w:rsidR="00E450EB">
        <w:rPr>
          <w:sz w:val="22"/>
          <w:szCs w:val="22"/>
          <w:lang w:val="en-US" w:eastAsia="zh-CN"/>
        </w:rPr>
        <w:t>+</w:t>
      </w:r>
      <w:r w:rsidR="004F54EF">
        <w:rPr>
          <w:sz w:val="22"/>
          <w:szCs w:val="22"/>
          <w:lang w:val="en-US" w:eastAsia="zh-CN"/>
        </w:rPr>
        <w:t> </w:t>
      </w:r>
      <w:r w:rsidR="00E450EB">
        <w:rPr>
          <w:sz w:val="22"/>
          <w:szCs w:val="22"/>
          <w:lang w:val="en-US" w:eastAsia="zh-CN"/>
        </w:rPr>
        <w:t>LD-</w:t>
      </w:r>
      <w:proofErr w:type="spellStart"/>
      <w:r w:rsidR="00896389">
        <w:rPr>
          <w:sz w:val="22"/>
          <w:szCs w:val="22"/>
          <w:lang w:val="en-US" w:eastAsia="zh-CN"/>
        </w:rPr>
        <w:t>d</w:t>
      </w:r>
      <w:r w:rsidRPr="00A76F30">
        <w:rPr>
          <w:sz w:val="22"/>
          <w:szCs w:val="22"/>
          <w:lang w:val="en-US" w:eastAsia="zh-CN"/>
        </w:rPr>
        <w:t>ex</w:t>
      </w:r>
      <w:proofErr w:type="spellEnd"/>
      <w:r w:rsidRPr="00A76F30">
        <w:rPr>
          <w:sz w:val="22"/>
          <w:szCs w:val="22"/>
          <w:lang w:val="en-US" w:eastAsia="zh-CN"/>
        </w:rPr>
        <w:t xml:space="preserve"> arm, and 48.3% of</w:t>
      </w:r>
      <w:r w:rsidR="002C0078">
        <w:rPr>
          <w:sz w:val="22"/>
          <w:szCs w:val="22"/>
          <w:lang w:val="en-US" w:eastAsia="zh-CN"/>
        </w:rPr>
        <w:t xml:space="preserve"> patients in the comparative </w:t>
      </w:r>
      <w:r w:rsidR="00E450EB">
        <w:rPr>
          <w:sz w:val="22"/>
          <w:szCs w:val="22"/>
          <w:lang w:val="en-US" w:eastAsia="zh-CN"/>
        </w:rPr>
        <w:t>HD-</w:t>
      </w:r>
      <w:proofErr w:type="spellStart"/>
      <w:r w:rsidR="00896389">
        <w:rPr>
          <w:sz w:val="22"/>
          <w:szCs w:val="22"/>
          <w:lang w:val="en-US" w:eastAsia="zh-CN"/>
        </w:rPr>
        <w:t>d</w:t>
      </w:r>
      <w:r w:rsidRPr="00A76F30">
        <w:rPr>
          <w:sz w:val="22"/>
          <w:szCs w:val="22"/>
          <w:lang w:val="en-US" w:eastAsia="zh-CN"/>
        </w:rPr>
        <w:t>ex</w:t>
      </w:r>
      <w:proofErr w:type="spellEnd"/>
      <w:r w:rsidRPr="00A76F30">
        <w:rPr>
          <w:sz w:val="22"/>
          <w:szCs w:val="22"/>
          <w:lang w:val="en-US" w:eastAsia="zh-CN"/>
        </w:rPr>
        <w:t xml:space="preserve"> arm.</w:t>
      </w:r>
      <w:r w:rsidR="00C92F8C">
        <w:rPr>
          <w:sz w:val="22"/>
          <w:szCs w:val="22"/>
          <w:lang w:val="en-US" w:eastAsia="zh-CN"/>
        </w:rPr>
        <w:t xml:space="preserve"> </w:t>
      </w:r>
      <w:r w:rsidRPr="00A76F30">
        <w:rPr>
          <w:sz w:val="22"/>
          <w:szCs w:val="22"/>
          <w:lang w:val="en-US" w:eastAsia="zh-CN"/>
        </w:rPr>
        <w:t>Approximately half of those infections were G</w:t>
      </w:r>
      <w:r w:rsidR="00E450EB">
        <w:rPr>
          <w:sz w:val="22"/>
          <w:szCs w:val="22"/>
          <w:lang w:val="en-US" w:eastAsia="zh-CN"/>
        </w:rPr>
        <w:t xml:space="preserve">rade 3 or 4; 24.0% in the </w:t>
      </w:r>
      <w:proofErr w:type="spellStart"/>
      <w:r w:rsidR="00E450EB">
        <w:rPr>
          <w:sz w:val="22"/>
          <w:szCs w:val="22"/>
          <w:lang w:val="en-US" w:eastAsia="zh-CN"/>
        </w:rPr>
        <w:t>Pom</w:t>
      </w:r>
      <w:proofErr w:type="spellEnd"/>
      <w:r w:rsidR="00CE32D8">
        <w:rPr>
          <w:sz w:val="22"/>
          <w:szCs w:val="22"/>
          <w:lang w:val="en-US" w:eastAsia="zh-CN"/>
        </w:rPr>
        <w:t> </w:t>
      </w:r>
      <w:r w:rsidR="00E450EB">
        <w:rPr>
          <w:sz w:val="22"/>
          <w:szCs w:val="22"/>
          <w:lang w:val="en-US" w:eastAsia="zh-CN"/>
        </w:rPr>
        <w:t>+</w:t>
      </w:r>
      <w:r w:rsidR="00CE32D8">
        <w:rPr>
          <w:sz w:val="22"/>
          <w:szCs w:val="22"/>
          <w:lang w:val="en-US" w:eastAsia="zh-CN"/>
        </w:rPr>
        <w:t> </w:t>
      </w:r>
      <w:r w:rsidR="00E450EB">
        <w:rPr>
          <w:sz w:val="22"/>
          <w:szCs w:val="22"/>
          <w:lang w:val="en-US" w:eastAsia="zh-CN"/>
        </w:rPr>
        <w:t>LD-</w:t>
      </w:r>
      <w:proofErr w:type="spellStart"/>
      <w:r w:rsidR="00896389">
        <w:rPr>
          <w:sz w:val="22"/>
          <w:szCs w:val="22"/>
          <w:lang w:val="en-US" w:eastAsia="zh-CN"/>
        </w:rPr>
        <w:t>d</w:t>
      </w:r>
      <w:r w:rsidRPr="00A76F30">
        <w:rPr>
          <w:sz w:val="22"/>
          <w:szCs w:val="22"/>
          <w:lang w:val="en-US" w:eastAsia="zh-CN"/>
        </w:rPr>
        <w:t>ex</w:t>
      </w:r>
      <w:proofErr w:type="spellEnd"/>
      <w:r w:rsidRPr="00A76F30">
        <w:rPr>
          <w:sz w:val="22"/>
          <w:szCs w:val="22"/>
          <w:lang w:val="en-US" w:eastAsia="zh-CN"/>
        </w:rPr>
        <w:t xml:space="preserve"> arm and 22.8% in</w:t>
      </w:r>
      <w:r w:rsidR="0088527F">
        <w:rPr>
          <w:sz w:val="22"/>
          <w:szCs w:val="22"/>
          <w:lang w:val="en-US" w:eastAsia="zh-CN"/>
        </w:rPr>
        <w:t xml:space="preserve"> </w:t>
      </w:r>
      <w:r w:rsidR="00E450EB">
        <w:rPr>
          <w:sz w:val="22"/>
          <w:szCs w:val="22"/>
          <w:lang w:val="en-US" w:eastAsia="zh-CN"/>
        </w:rPr>
        <w:t>the HD-</w:t>
      </w:r>
      <w:proofErr w:type="spellStart"/>
      <w:r w:rsidR="00896389">
        <w:rPr>
          <w:sz w:val="22"/>
          <w:szCs w:val="22"/>
          <w:lang w:val="en-US" w:eastAsia="zh-CN"/>
        </w:rPr>
        <w:t>d</w:t>
      </w:r>
      <w:r w:rsidRPr="00A76F30">
        <w:rPr>
          <w:sz w:val="22"/>
          <w:szCs w:val="22"/>
          <w:lang w:val="en-US" w:eastAsia="zh-CN"/>
        </w:rPr>
        <w:t>ex</w:t>
      </w:r>
      <w:proofErr w:type="spellEnd"/>
      <w:r w:rsidRPr="00A76F30">
        <w:rPr>
          <w:sz w:val="22"/>
          <w:szCs w:val="22"/>
          <w:lang w:val="en-US" w:eastAsia="zh-CN"/>
        </w:rPr>
        <w:t xml:space="preserve"> arm.</w:t>
      </w:r>
    </w:p>
    <w:p w:rsidR="0088527F" w:rsidRDefault="0088527F" w:rsidP="00A76F30">
      <w:pPr>
        <w:autoSpaceDE w:val="0"/>
        <w:autoSpaceDN w:val="0"/>
        <w:adjustRightInd w:val="0"/>
        <w:rPr>
          <w:sz w:val="22"/>
          <w:szCs w:val="22"/>
          <w:lang w:val="en-US" w:eastAsia="zh-CN"/>
        </w:rPr>
      </w:pPr>
    </w:p>
    <w:p w:rsidR="00CC2327" w:rsidRDefault="00E450EB" w:rsidP="0088527F">
      <w:pPr>
        <w:autoSpaceDE w:val="0"/>
        <w:autoSpaceDN w:val="0"/>
        <w:adjustRightInd w:val="0"/>
        <w:rPr>
          <w:sz w:val="22"/>
          <w:szCs w:val="22"/>
          <w:lang w:val="en-US" w:eastAsia="zh-CN"/>
        </w:rPr>
      </w:pPr>
      <w:r>
        <w:rPr>
          <w:sz w:val="22"/>
          <w:szCs w:val="22"/>
          <w:lang w:val="en-US" w:eastAsia="zh-CN"/>
        </w:rPr>
        <w:t xml:space="preserve">In </w:t>
      </w:r>
      <w:proofErr w:type="spellStart"/>
      <w:r>
        <w:rPr>
          <w:sz w:val="22"/>
          <w:szCs w:val="22"/>
          <w:lang w:val="en-US" w:eastAsia="zh-CN"/>
        </w:rPr>
        <w:t>Pom</w:t>
      </w:r>
      <w:proofErr w:type="spellEnd"/>
      <w:r w:rsidR="00826E56">
        <w:rPr>
          <w:sz w:val="22"/>
          <w:szCs w:val="22"/>
          <w:lang w:val="en-US" w:eastAsia="zh-CN"/>
        </w:rPr>
        <w:t> </w:t>
      </w:r>
      <w:r>
        <w:rPr>
          <w:sz w:val="22"/>
          <w:szCs w:val="22"/>
          <w:lang w:val="en-US" w:eastAsia="zh-CN"/>
        </w:rPr>
        <w:t>+</w:t>
      </w:r>
      <w:r w:rsidR="00826E56">
        <w:rPr>
          <w:sz w:val="22"/>
          <w:szCs w:val="22"/>
          <w:lang w:val="en-US" w:eastAsia="zh-CN"/>
        </w:rPr>
        <w:t> </w:t>
      </w:r>
      <w:r>
        <w:rPr>
          <w:sz w:val="22"/>
          <w:szCs w:val="22"/>
          <w:lang w:val="en-US" w:eastAsia="zh-CN"/>
        </w:rPr>
        <w:t>LD-</w:t>
      </w:r>
      <w:proofErr w:type="spellStart"/>
      <w:r w:rsidR="00896389">
        <w:rPr>
          <w:sz w:val="22"/>
          <w:szCs w:val="22"/>
          <w:lang w:val="en-US" w:eastAsia="zh-CN"/>
        </w:rPr>
        <w:t>d</w:t>
      </w:r>
      <w:r w:rsidR="00A76F30" w:rsidRPr="00A76F30">
        <w:rPr>
          <w:sz w:val="22"/>
          <w:szCs w:val="22"/>
          <w:lang w:val="en-US" w:eastAsia="zh-CN"/>
        </w:rPr>
        <w:t>ex</w:t>
      </w:r>
      <w:proofErr w:type="spellEnd"/>
      <w:r w:rsidR="00A76F30" w:rsidRPr="00A76F30">
        <w:rPr>
          <w:sz w:val="22"/>
          <w:szCs w:val="22"/>
          <w:lang w:val="en-US" w:eastAsia="zh-CN"/>
        </w:rPr>
        <w:t xml:space="preserve"> treated patients pneumonia and upper respiratory tract infections were the most</w:t>
      </w:r>
      <w:r w:rsidR="0088527F">
        <w:rPr>
          <w:sz w:val="22"/>
          <w:szCs w:val="22"/>
          <w:lang w:val="en-US" w:eastAsia="zh-CN"/>
        </w:rPr>
        <w:t xml:space="preserve"> </w:t>
      </w:r>
      <w:r w:rsidR="00A76F30" w:rsidRPr="00A76F30">
        <w:rPr>
          <w:sz w:val="22"/>
          <w:szCs w:val="22"/>
          <w:lang w:val="en-US" w:eastAsia="zh-CN"/>
        </w:rPr>
        <w:t>commonly reported infections (in 10.7% and 9.3% of patients, respectively);</w:t>
      </w:r>
      <w:r w:rsidR="00EF2506">
        <w:rPr>
          <w:sz w:val="22"/>
          <w:szCs w:val="22"/>
          <w:lang w:val="en-US" w:eastAsia="zh-CN"/>
        </w:rPr>
        <w:t xml:space="preserve"> </w:t>
      </w:r>
      <w:r w:rsidR="00A76F30" w:rsidRPr="00A76F30">
        <w:rPr>
          <w:sz w:val="22"/>
          <w:szCs w:val="22"/>
          <w:lang w:val="en-US" w:eastAsia="zh-CN"/>
        </w:rPr>
        <w:t>with 24.3% of reported</w:t>
      </w:r>
      <w:r w:rsidR="0088527F">
        <w:rPr>
          <w:sz w:val="22"/>
          <w:szCs w:val="22"/>
          <w:lang w:val="en-US" w:eastAsia="zh-CN"/>
        </w:rPr>
        <w:t xml:space="preserve"> </w:t>
      </w:r>
      <w:r w:rsidR="00A76F30" w:rsidRPr="00A76F30">
        <w:rPr>
          <w:sz w:val="22"/>
          <w:szCs w:val="22"/>
          <w:lang w:val="en-US" w:eastAsia="zh-CN"/>
        </w:rPr>
        <w:t>infections being serious</w:t>
      </w:r>
      <w:r w:rsidR="00C92F8C">
        <w:rPr>
          <w:sz w:val="22"/>
          <w:szCs w:val="22"/>
          <w:lang w:val="en-US" w:eastAsia="zh-CN"/>
        </w:rPr>
        <w:t>,</w:t>
      </w:r>
      <w:r w:rsidR="00A76F30" w:rsidRPr="00A76F30">
        <w:rPr>
          <w:sz w:val="22"/>
          <w:szCs w:val="22"/>
          <w:lang w:val="en-US" w:eastAsia="zh-CN"/>
        </w:rPr>
        <w:t xml:space="preserve"> </w:t>
      </w:r>
      <w:r w:rsidR="00334777">
        <w:rPr>
          <w:sz w:val="22"/>
          <w:szCs w:val="22"/>
          <w:lang w:val="en-US" w:eastAsia="zh-CN"/>
        </w:rPr>
        <w:t xml:space="preserve">with </w:t>
      </w:r>
      <w:r w:rsidR="00A76F30" w:rsidRPr="00A76F30">
        <w:rPr>
          <w:sz w:val="22"/>
          <w:szCs w:val="22"/>
          <w:lang w:val="en-US" w:eastAsia="zh-CN"/>
        </w:rPr>
        <w:t xml:space="preserve">fatal infections (Grade 5) occurring in </w:t>
      </w:r>
      <w:r>
        <w:rPr>
          <w:sz w:val="22"/>
          <w:szCs w:val="22"/>
          <w:lang w:val="en-US" w:eastAsia="zh-CN"/>
        </w:rPr>
        <w:t xml:space="preserve">2.7% of treated patients. In </w:t>
      </w:r>
      <w:proofErr w:type="spellStart"/>
      <w:r>
        <w:rPr>
          <w:sz w:val="22"/>
          <w:szCs w:val="22"/>
          <w:lang w:val="en-US" w:eastAsia="zh-CN"/>
        </w:rPr>
        <w:t>Pom</w:t>
      </w:r>
      <w:proofErr w:type="spellEnd"/>
      <w:r w:rsidR="00826E56">
        <w:rPr>
          <w:sz w:val="22"/>
          <w:szCs w:val="22"/>
          <w:lang w:val="en-US" w:eastAsia="zh-CN"/>
        </w:rPr>
        <w:t> </w:t>
      </w:r>
      <w:r>
        <w:rPr>
          <w:sz w:val="22"/>
          <w:szCs w:val="22"/>
          <w:lang w:val="en-US" w:eastAsia="zh-CN"/>
        </w:rPr>
        <w:t>+</w:t>
      </w:r>
      <w:r w:rsidR="00826E56">
        <w:rPr>
          <w:sz w:val="22"/>
          <w:szCs w:val="22"/>
          <w:lang w:val="en-US" w:eastAsia="zh-CN"/>
        </w:rPr>
        <w:t> </w:t>
      </w:r>
      <w:r w:rsidR="00A76F30" w:rsidRPr="00A76F30">
        <w:rPr>
          <w:sz w:val="22"/>
          <w:szCs w:val="22"/>
          <w:lang w:val="en-US" w:eastAsia="zh-CN"/>
        </w:rPr>
        <w:t>LD</w:t>
      </w:r>
      <w:r>
        <w:rPr>
          <w:sz w:val="22"/>
          <w:szCs w:val="22"/>
          <w:lang w:val="en-US" w:eastAsia="zh-CN"/>
        </w:rPr>
        <w:t>-</w:t>
      </w:r>
      <w:proofErr w:type="spellStart"/>
      <w:r w:rsidR="00896389">
        <w:rPr>
          <w:sz w:val="22"/>
          <w:szCs w:val="22"/>
          <w:lang w:val="en-US" w:eastAsia="zh-CN"/>
        </w:rPr>
        <w:t>d</w:t>
      </w:r>
      <w:r w:rsidR="00A76F30" w:rsidRPr="00A76F30">
        <w:rPr>
          <w:sz w:val="22"/>
          <w:szCs w:val="22"/>
          <w:lang w:val="en-US" w:eastAsia="zh-CN"/>
        </w:rPr>
        <w:t>ex</w:t>
      </w:r>
      <w:proofErr w:type="spellEnd"/>
      <w:r w:rsidR="00A76F30" w:rsidRPr="00A76F30">
        <w:rPr>
          <w:sz w:val="22"/>
          <w:szCs w:val="22"/>
          <w:lang w:val="en-US" w:eastAsia="zh-CN"/>
        </w:rPr>
        <w:t xml:space="preserve"> treated patients infections led to dose discontinuation in 2.0% of patients, to treatment interruption in</w:t>
      </w:r>
      <w:r w:rsidR="0088527F">
        <w:rPr>
          <w:sz w:val="22"/>
          <w:szCs w:val="22"/>
          <w:lang w:val="en-US" w:eastAsia="zh-CN"/>
        </w:rPr>
        <w:t xml:space="preserve"> </w:t>
      </w:r>
      <w:r w:rsidR="00A76F30" w:rsidRPr="00A76F30">
        <w:rPr>
          <w:sz w:val="22"/>
          <w:szCs w:val="22"/>
          <w:lang w:val="en-US" w:eastAsia="zh-CN"/>
        </w:rPr>
        <w:t>14.3% of patients, and to a dose reduction in 1.3% of patients.</w:t>
      </w:r>
    </w:p>
    <w:p w:rsidR="0088527F" w:rsidRPr="0088527F" w:rsidRDefault="0088527F" w:rsidP="0088527F">
      <w:pPr>
        <w:autoSpaceDE w:val="0"/>
        <w:autoSpaceDN w:val="0"/>
        <w:adjustRightInd w:val="0"/>
        <w:rPr>
          <w:sz w:val="22"/>
          <w:szCs w:val="22"/>
          <w:lang w:val="en-US" w:eastAsia="zh-CN"/>
        </w:rPr>
      </w:pPr>
    </w:p>
    <w:p w:rsidR="00455CFC" w:rsidRPr="009017AB" w:rsidRDefault="00212DF8" w:rsidP="00F23B9B">
      <w:pPr>
        <w:keepNext/>
        <w:ind w:left="567" w:hanging="567"/>
        <w:rPr>
          <w:b/>
          <w:bCs/>
          <w:sz w:val="22"/>
          <w:szCs w:val="22"/>
          <w:lang w:val="en-AU"/>
        </w:rPr>
      </w:pPr>
      <w:r w:rsidRPr="009017AB">
        <w:rPr>
          <w:b/>
          <w:bCs/>
          <w:sz w:val="22"/>
          <w:szCs w:val="22"/>
          <w:lang w:val="en-AU"/>
        </w:rPr>
        <w:t>9.2.2</w:t>
      </w:r>
      <w:r w:rsidRPr="009017AB">
        <w:rPr>
          <w:b/>
          <w:bCs/>
          <w:sz w:val="22"/>
          <w:szCs w:val="22"/>
          <w:lang w:val="en-AU"/>
        </w:rPr>
        <w:tab/>
      </w:r>
      <w:r w:rsidR="00455CFC" w:rsidRPr="009017AB">
        <w:rPr>
          <w:b/>
          <w:bCs/>
          <w:sz w:val="22"/>
          <w:szCs w:val="22"/>
          <w:lang w:val="en-AU"/>
        </w:rPr>
        <w:t>Thromboembolic events</w:t>
      </w:r>
    </w:p>
    <w:p w:rsidR="00A76F30" w:rsidRPr="00AF573D" w:rsidRDefault="00416DB7" w:rsidP="00AF573D">
      <w:pPr>
        <w:autoSpaceDE w:val="0"/>
        <w:autoSpaceDN w:val="0"/>
        <w:adjustRightInd w:val="0"/>
        <w:spacing w:before="120"/>
        <w:rPr>
          <w:color w:val="1F497D"/>
          <w:sz w:val="22"/>
          <w:szCs w:val="22"/>
        </w:rPr>
      </w:pPr>
      <w:r w:rsidRPr="00416DB7">
        <w:rPr>
          <w:sz w:val="22"/>
          <w:szCs w:val="22"/>
        </w:rPr>
        <w:t xml:space="preserve">Patients receiving </w:t>
      </w:r>
      <w:proofErr w:type="spellStart"/>
      <w:r w:rsidRPr="00416DB7">
        <w:rPr>
          <w:sz w:val="22"/>
          <w:szCs w:val="22"/>
        </w:rPr>
        <w:t>pomalidomide</w:t>
      </w:r>
      <w:proofErr w:type="spellEnd"/>
      <w:r w:rsidRPr="00416DB7">
        <w:rPr>
          <w:sz w:val="22"/>
          <w:szCs w:val="22"/>
        </w:rPr>
        <w:t xml:space="preserve"> in combination with dexamethasone have developed venous thromboembolic events (predominantly deep vein thrombosis and pulmonary e</w:t>
      </w:r>
      <w:r w:rsidR="004D5156">
        <w:rPr>
          <w:sz w:val="22"/>
          <w:szCs w:val="22"/>
        </w:rPr>
        <w:t>mbolism) and arterial thromboembolic</w:t>
      </w:r>
      <w:r w:rsidRPr="00416DB7">
        <w:rPr>
          <w:sz w:val="22"/>
          <w:szCs w:val="22"/>
        </w:rPr>
        <w:t xml:space="preserve"> events.</w:t>
      </w:r>
      <w:r w:rsidR="00AF573D">
        <w:rPr>
          <w:color w:val="1F497D"/>
          <w:sz w:val="22"/>
          <w:szCs w:val="22"/>
        </w:rPr>
        <w:t xml:space="preserve"> </w:t>
      </w:r>
      <w:r w:rsidR="00AF573D" w:rsidRPr="00B704C9">
        <w:rPr>
          <w:sz w:val="22"/>
          <w:szCs w:val="22"/>
          <w:lang w:val="en-US" w:eastAsia="zh-CN"/>
        </w:rPr>
        <w:t xml:space="preserve"> </w:t>
      </w:r>
      <w:r w:rsidR="002C0078" w:rsidRPr="00B704C9">
        <w:rPr>
          <w:sz w:val="22"/>
          <w:szCs w:val="22"/>
          <w:lang w:val="en-US" w:eastAsia="zh-CN"/>
        </w:rPr>
        <w:t>Venous embolic or thrombotic events (VTE) occurred in 3.3% of</w:t>
      </w:r>
      <w:r w:rsidR="00E450EB" w:rsidRPr="00B704C9">
        <w:rPr>
          <w:sz w:val="22"/>
          <w:szCs w:val="22"/>
          <w:lang w:val="en-US" w:eastAsia="zh-CN"/>
        </w:rPr>
        <w:t xml:space="preserve"> patients in</w:t>
      </w:r>
      <w:r w:rsidR="00E450EB">
        <w:rPr>
          <w:sz w:val="22"/>
          <w:szCs w:val="22"/>
          <w:lang w:val="en-US" w:eastAsia="zh-CN"/>
        </w:rPr>
        <w:t xml:space="preserve"> the </w:t>
      </w:r>
      <w:proofErr w:type="spellStart"/>
      <w:r w:rsidR="00E450EB">
        <w:rPr>
          <w:sz w:val="22"/>
          <w:szCs w:val="22"/>
          <w:lang w:val="en-US" w:eastAsia="zh-CN"/>
        </w:rPr>
        <w:t>Pom</w:t>
      </w:r>
      <w:proofErr w:type="spellEnd"/>
      <w:r w:rsidR="00826E56">
        <w:rPr>
          <w:sz w:val="22"/>
          <w:szCs w:val="22"/>
          <w:lang w:val="en-US" w:eastAsia="zh-CN"/>
        </w:rPr>
        <w:t> </w:t>
      </w:r>
      <w:r w:rsidR="00E450EB">
        <w:rPr>
          <w:sz w:val="22"/>
          <w:szCs w:val="22"/>
          <w:lang w:val="en-US" w:eastAsia="zh-CN"/>
        </w:rPr>
        <w:t>+</w:t>
      </w:r>
      <w:r w:rsidR="00826E56">
        <w:rPr>
          <w:sz w:val="22"/>
          <w:szCs w:val="22"/>
          <w:lang w:val="en-US" w:eastAsia="zh-CN"/>
        </w:rPr>
        <w:t> </w:t>
      </w:r>
      <w:r w:rsidR="00E450EB">
        <w:rPr>
          <w:sz w:val="22"/>
          <w:szCs w:val="22"/>
          <w:lang w:val="en-US" w:eastAsia="zh-CN"/>
        </w:rPr>
        <w:t>LD-</w:t>
      </w:r>
      <w:proofErr w:type="spellStart"/>
      <w:r w:rsidR="00896389">
        <w:rPr>
          <w:sz w:val="22"/>
          <w:szCs w:val="22"/>
          <w:lang w:val="en-US" w:eastAsia="zh-CN"/>
        </w:rPr>
        <w:t>d</w:t>
      </w:r>
      <w:r w:rsidR="00A76F30" w:rsidRPr="00A76F30">
        <w:rPr>
          <w:sz w:val="22"/>
          <w:szCs w:val="22"/>
          <w:lang w:val="en-US" w:eastAsia="zh-CN"/>
        </w:rPr>
        <w:t>ex</w:t>
      </w:r>
      <w:proofErr w:type="spellEnd"/>
      <w:r w:rsidR="00A76F30" w:rsidRPr="00A76F30">
        <w:rPr>
          <w:sz w:val="22"/>
          <w:szCs w:val="22"/>
          <w:lang w:val="en-US" w:eastAsia="zh-CN"/>
        </w:rPr>
        <w:t xml:space="preserve"> arm, and 2.0% of patients in the</w:t>
      </w:r>
      <w:r w:rsidR="0088527F">
        <w:rPr>
          <w:sz w:val="22"/>
          <w:szCs w:val="22"/>
          <w:lang w:val="en-US" w:eastAsia="zh-CN"/>
        </w:rPr>
        <w:t xml:space="preserve"> </w:t>
      </w:r>
      <w:r w:rsidR="00E450EB">
        <w:rPr>
          <w:sz w:val="22"/>
          <w:szCs w:val="22"/>
          <w:lang w:val="en-US" w:eastAsia="zh-CN"/>
        </w:rPr>
        <w:t>comparative HD-</w:t>
      </w:r>
      <w:proofErr w:type="spellStart"/>
      <w:r w:rsidR="00896389">
        <w:rPr>
          <w:sz w:val="22"/>
          <w:szCs w:val="22"/>
          <w:lang w:val="en-US" w:eastAsia="zh-CN"/>
        </w:rPr>
        <w:t>d</w:t>
      </w:r>
      <w:r w:rsidR="002C0078">
        <w:rPr>
          <w:sz w:val="22"/>
          <w:szCs w:val="22"/>
          <w:lang w:val="en-US" w:eastAsia="zh-CN"/>
        </w:rPr>
        <w:t>ex</w:t>
      </w:r>
      <w:proofErr w:type="spellEnd"/>
      <w:r w:rsidR="002C0078">
        <w:rPr>
          <w:sz w:val="22"/>
          <w:szCs w:val="22"/>
          <w:lang w:val="en-US" w:eastAsia="zh-CN"/>
        </w:rPr>
        <w:t xml:space="preserve"> arm.  </w:t>
      </w:r>
      <w:r w:rsidR="00A76F30" w:rsidRPr="00A76F30">
        <w:rPr>
          <w:sz w:val="22"/>
          <w:szCs w:val="22"/>
          <w:lang w:val="en-US" w:eastAsia="zh-CN"/>
        </w:rPr>
        <w:t>Grade 3 or 4</w:t>
      </w:r>
      <w:r w:rsidR="00AF573D">
        <w:rPr>
          <w:sz w:val="22"/>
          <w:szCs w:val="22"/>
          <w:lang w:val="en-US" w:eastAsia="zh-CN"/>
        </w:rPr>
        <w:t xml:space="preserve"> VTE</w:t>
      </w:r>
      <w:r w:rsidR="00A76F30" w:rsidRPr="00A76F30">
        <w:rPr>
          <w:sz w:val="22"/>
          <w:szCs w:val="22"/>
          <w:lang w:val="en-US" w:eastAsia="zh-CN"/>
        </w:rPr>
        <w:t xml:space="preserve"> </w:t>
      </w:r>
      <w:r w:rsidR="00A76F30" w:rsidRPr="00A76F30">
        <w:rPr>
          <w:sz w:val="22"/>
          <w:szCs w:val="22"/>
          <w:lang w:val="en-US" w:eastAsia="zh-CN"/>
        </w:rPr>
        <w:lastRenderedPageBreak/>
        <w:t>reactions occurred</w:t>
      </w:r>
      <w:r w:rsidR="0088527F">
        <w:rPr>
          <w:sz w:val="22"/>
          <w:szCs w:val="22"/>
          <w:lang w:val="en-US" w:eastAsia="zh-CN"/>
        </w:rPr>
        <w:t xml:space="preserve"> </w:t>
      </w:r>
      <w:r w:rsidR="00E450EB">
        <w:rPr>
          <w:sz w:val="22"/>
          <w:szCs w:val="22"/>
          <w:lang w:val="en-US" w:eastAsia="zh-CN"/>
        </w:rPr>
        <w:t xml:space="preserve">in 1.3 % of patients in the </w:t>
      </w:r>
      <w:proofErr w:type="spellStart"/>
      <w:r w:rsidR="00E450EB">
        <w:rPr>
          <w:sz w:val="22"/>
          <w:szCs w:val="22"/>
          <w:lang w:val="en-US" w:eastAsia="zh-CN"/>
        </w:rPr>
        <w:t>Pom</w:t>
      </w:r>
      <w:proofErr w:type="spellEnd"/>
      <w:r w:rsidR="00826E56">
        <w:rPr>
          <w:sz w:val="22"/>
          <w:szCs w:val="22"/>
          <w:lang w:val="en-US" w:eastAsia="zh-CN"/>
        </w:rPr>
        <w:t> </w:t>
      </w:r>
      <w:r w:rsidR="00E450EB">
        <w:rPr>
          <w:sz w:val="22"/>
          <w:szCs w:val="22"/>
          <w:lang w:val="en-US" w:eastAsia="zh-CN"/>
        </w:rPr>
        <w:t>+</w:t>
      </w:r>
      <w:r w:rsidR="00826E56">
        <w:rPr>
          <w:sz w:val="22"/>
          <w:szCs w:val="22"/>
          <w:lang w:val="en-US" w:eastAsia="zh-CN"/>
        </w:rPr>
        <w:t> </w:t>
      </w:r>
      <w:r w:rsidR="00E450EB">
        <w:rPr>
          <w:sz w:val="22"/>
          <w:szCs w:val="22"/>
          <w:lang w:val="en-US" w:eastAsia="zh-CN"/>
        </w:rPr>
        <w:t>LD-</w:t>
      </w:r>
      <w:proofErr w:type="spellStart"/>
      <w:r w:rsidR="00896389">
        <w:rPr>
          <w:sz w:val="22"/>
          <w:szCs w:val="22"/>
          <w:lang w:val="en-US" w:eastAsia="zh-CN"/>
        </w:rPr>
        <w:t>d</w:t>
      </w:r>
      <w:r w:rsidR="00A76F30" w:rsidRPr="00A76F30">
        <w:rPr>
          <w:sz w:val="22"/>
          <w:szCs w:val="22"/>
          <w:lang w:val="en-US" w:eastAsia="zh-CN"/>
        </w:rPr>
        <w:t>ex</w:t>
      </w:r>
      <w:proofErr w:type="spellEnd"/>
      <w:r w:rsidR="00A76F30" w:rsidRPr="00A76F30">
        <w:rPr>
          <w:sz w:val="22"/>
          <w:szCs w:val="22"/>
          <w:lang w:val="en-US" w:eastAsia="zh-CN"/>
        </w:rPr>
        <w:t xml:space="preserve"> arm, and no</w:t>
      </w:r>
      <w:r w:rsidR="00E450EB">
        <w:rPr>
          <w:sz w:val="22"/>
          <w:szCs w:val="22"/>
          <w:lang w:val="en-US" w:eastAsia="zh-CN"/>
        </w:rPr>
        <w:t xml:space="preserve"> </w:t>
      </w:r>
      <w:r w:rsidR="00896389">
        <w:rPr>
          <w:sz w:val="22"/>
          <w:szCs w:val="22"/>
          <w:lang w:val="en-US" w:eastAsia="zh-CN"/>
        </w:rPr>
        <w:t>patients in the comparative HD-</w:t>
      </w:r>
      <w:proofErr w:type="spellStart"/>
      <w:r w:rsidR="00896389">
        <w:rPr>
          <w:sz w:val="22"/>
          <w:szCs w:val="22"/>
          <w:lang w:val="en-US" w:eastAsia="zh-CN"/>
        </w:rPr>
        <w:t>d</w:t>
      </w:r>
      <w:r w:rsidR="00E450EB">
        <w:rPr>
          <w:sz w:val="22"/>
          <w:szCs w:val="22"/>
          <w:lang w:val="en-US" w:eastAsia="zh-CN"/>
        </w:rPr>
        <w:t>ex</w:t>
      </w:r>
      <w:proofErr w:type="spellEnd"/>
      <w:r w:rsidR="00E450EB">
        <w:rPr>
          <w:sz w:val="22"/>
          <w:szCs w:val="22"/>
          <w:lang w:val="en-US" w:eastAsia="zh-CN"/>
        </w:rPr>
        <w:t xml:space="preserve"> arm.</w:t>
      </w:r>
      <w:r w:rsidR="00CE32D8">
        <w:rPr>
          <w:sz w:val="22"/>
          <w:szCs w:val="22"/>
          <w:lang w:val="en-US" w:eastAsia="zh-CN"/>
        </w:rPr>
        <w:t xml:space="preserve"> </w:t>
      </w:r>
      <w:r w:rsidR="00E450EB">
        <w:rPr>
          <w:sz w:val="22"/>
          <w:szCs w:val="22"/>
          <w:lang w:val="en-US" w:eastAsia="zh-CN"/>
        </w:rPr>
        <w:t xml:space="preserve"> In </w:t>
      </w:r>
      <w:proofErr w:type="spellStart"/>
      <w:r w:rsidR="00E450EB">
        <w:rPr>
          <w:sz w:val="22"/>
          <w:szCs w:val="22"/>
          <w:lang w:val="en-US" w:eastAsia="zh-CN"/>
        </w:rPr>
        <w:t>Pom</w:t>
      </w:r>
      <w:proofErr w:type="spellEnd"/>
      <w:r w:rsidR="00826E56">
        <w:rPr>
          <w:sz w:val="22"/>
          <w:szCs w:val="22"/>
          <w:lang w:val="en-US" w:eastAsia="zh-CN"/>
        </w:rPr>
        <w:t> </w:t>
      </w:r>
      <w:r w:rsidR="00A76F30" w:rsidRPr="00A76F30">
        <w:rPr>
          <w:sz w:val="22"/>
          <w:szCs w:val="22"/>
          <w:lang w:val="en-US" w:eastAsia="zh-CN"/>
        </w:rPr>
        <w:t>+</w:t>
      </w:r>
      <w:r w:rsidR="00826E56">
        <w:rPr>
          <w:sz w:val="22"/>
          <w:szCs w:val="22"/>
          <w:lang w:val="en-US" w:eastAsia="zh-CN"/>
        </w:rPr>
        <w:t> </w:t>
      </w:r>
      <w:r w:rsidR="00E450EB">
        <w:rPr>
          <w:sz w:val="22"/>
          <w:szCs w:val="22"/>
          <w:lang w:val="en-US" w:eastAsia="zh-CN"/>
        </w:rPr>
        <w:t>LD-</w:t>
      </w:r>
      <w:proofErr w:type="spellStart"/>
      <w:r w:rsidR="00896389">
        <w:rPr>
          <w:sz w:val="22"/>
          <w:szCs w:val="22"/>
          <w:lang w:val="en-US" w:eastAsia="zh-CN"/>
        </w:rPr>
        <w:t>d</w:t>
      </w:r>
      <w:r w:rsidR="00A76F30" w:rsidRPr="00A76F30">
        <w:rPr>
          <w:sz w:val="22"/>
          <w:szCs w:val="22"/>
          <w:lang w:val="en-US" w:eastAsia="zh-CN"/>
        </w:rPr>
        <w:t>ex</w:t>
      </w:r>
      <w:proofErr w:type="spellEnd"/>
      <w:r w:rsidR="00A76F30" w:rsidRPr="00A76F30">
        <w:rPr>
          <w:sz w:val="22"/>
          <w:szCs w:val="22"/>
          <w:lang w:val="en-US" w:eastAsia="zh-CN"/>
        </w:rPr>
        <w:t xml:space="preserve"> treated patients, VTE was reported as serious in 1.7% of patients, no fatal reactions were reported,</w:t>
      </w:r>
      <w:r w:rsidR="0088527F">
        <w:rPr>
          <w:sz w:val="22"/>
          <w:szCs w:val="22"/>
          <w:lang w:val="en-US" w:eastAsia="zh-CN"/>
        </w:rPr>
        <w:t xml:space="preserve"> </w:t>
      </w:r>
      <w:r w:rsidR="00A76F30" w:rsidRPr="00A76F30">
        <w:rPr>
          <w:sz w:val="22"/>
          <w:szCs w:val="22"/>
          <w:lang w:val="en-US" w:eastAsia="zh-CN"/>
        </w:rPr>
        <w:t>and VTE was not associated with dose discontinuation.</w:t>
      </w:r>
    </w:p>
    <w:p w:rsidR="0088527F" w:rsidRDefault="0088527F" w:rsidP="00A76F30">
      <w:pPr>
        <w:autoSpaceDE w:val="0"/>
        <w:autoSpaceDN w:val="0"/>
        <w:adjustRightInd w:val="0"/>
        <w:rPr>
          <w:sz w:val="22"/>
          <w:szCs w:val="22"/>
          <w:lang w:val="en-US" w:eastAsia="zh-CN"/>
        </w:rPr>
      </w:pPr>
    </w:p>
    <w:p w:rsidR="009B523D" w:rsidRDefault="00A76F30" w:rsidP="0088527F">
      <w:pPr>
        <w:autoSpaceDE w:val="0"/>
        <w:autoSpaceDN w:val="0"/>
        <w:adjustRightInd w:val="0"/>
        <w:rPr>
          <w:sz w:val="22"/>
          <w:szCs w:val="22"/>
          <w:lang w:val="en-US" w:eastAsia="zh-CN"/>
        </w:rPr>
      </w:pPr>
      <w:r w:rsidRPr="00A76F30">
        <w:rPr>
          <w:sz w:val="22"/>
          <w:szCs w:val="22"/>
          <w:lang w:val="en-US" w:eastAsia="zh-CN"/>
        </w:rPr>
        <w:t xml:space="preserve">Prophylaxis </w:t>
      </w:r>
      <w:r w:rsidRPr="00B704C9">
        <w:rPr>
          <w:sz w:val="22"/>
          <w:szCs w:val="22"/>
          <w:lang w:val="en-US" w:eastAsia="zh-CN"/>
        </w:rPr>
        <w:t xml:space="preserve">with </w:t>
      </w:r>
      <w:r w:rsidR="002C0078" w:rsidRPr="00B704C9">
        <w:rPr>
          <w:sz w:val="22"/>
          <w:szCs w:val="22"/>
          <w:lang w:val="en-US" w:eastAsia="zh-CN"/>
        </w:rPr>
        <w:t>acetylsalicylic acid</w:t>
      </w:r>
      <w:r w:rsidRPr="00B704C9">
        <w:rPr>
          <w:sz w:val="22"/>
          <w:szCs w:val="22"/>
          <w:lang w:val="en-US" w:eastAsia="zh-CN"/>
        </w:rPr>
        <w:t xml:space="preserve"> (</w:t>
      </w:r>
      <w:r w:rsidRPr="00A76F30">
        <w:rPr>
          <w:sz w:val="22"/>
          <w:szCs w:val="22"/>
          <w:lang w:val="en-US" w:eastAsia="zh-CN"/>
        </w:rPr>
        <w:t>and other anticoagulants in high risk subjects) was mandatory for all patients in</w:t>
      </w:r>
      <w:r w:rsidR="0088527F">
        <w:rPr>
          <w:sz w:val="22"/>
          <w:szCs w:val="22"/>
          <w:lang w:val="en-US" w:eastAsia="zh-CN"/>
        </w:rPr>
        <w:t xml:space="preserve"> </w:t>
      </w:r>
      <w:r w:rsidRPr="00A76F30">
        <w:rPr>
          <w:sz w:val="22"/>
          <w:szCs w:val="22"/>
          <w:lang w:val="en-US" w:eastAsia="zh-CN"/>
        </w:rPr>
        <w:t>clinical studies.</w:t>
      </w:r>
      <w:r w:rsidR="0088527F">
        <w:rPr>
          <w:sz w:val="22"/>
          <w:szCs w:val="22"/>
          <w:lang w:val="en-US" w:eastAsia="zh-CN"/>
        </w:rPr>
        <w:t xml:space="preserve"> </w:t>
      </w:r>
      <w:r w:rsidRPr="00A76F30">
        <w:rPr>
          <w:sz w:val="22"/>
          <w:szCs w:val="22"/>
          <w:lang w:val="en-US" w:eastAsia="zh-CN"/>
        </w:rPr>
        <w:t xml:space="preserve"> Anticoagulation therapy (unless </w:t>
      </w:r>
      <w:r w:rsidR="00FC1EAB">
        <w:rPr>
          <w:sz w:val="22"/>
          <w:szCs w:val="22"/>
          <w:lang w:val="en-US" w:eastAsia="zh-CN"/>
        </w:rPr>
        <w:t>contraindicated) is recommended.</w:t>
      </w:r>
    </w:p>
    <w:p w:rsidR="0088527F" w:rsidRPr="00817FA2" w:rsidRDefault="0088527F" w:rsidP="00A76F30">
      <w:pPr>
        <w:autoSpaceDE w:val="0"/>
        <w:autoSpaceDN w:val="0"/>
        <w:adjustRightInd w:val="0"/>
        <w:rPr>
          <w:iCs/>
          <w:sz w:val="22"/>
          <w:szCs w:val="22"/>
          <w:u w:val="single"/>
          <w:lang w:val="en-US" w:eastAsia="zh-CN"/>
        </w:rPr>
      </w:pPr>
    </w:p>
    <w:p w:rsidR="00A76F30" w:rsidRPr="009017AB" w:rsidRDefault="00212DF8" w:rsidP="00F23B9B">
      <w:pPr>
        <w:keepNext/>
        <w:ind w:left="567" w:hanging="567"/>
        <w:rPr>
          <w:b/>
          <w:bCs/>
          <w:sz w:val="22"/>
          <w:szCs w:val="22"/>
          <w:lang w:val="en-AU"/>
        </w:rPr>
      </w:pPr>
      <w:r w:rsidRPr="009017AB">
        <w:rPr>
          <w:b/>
          <w:iCs/>
          <w:sz w:val="22"/>
          <w:szCs w:val="22"/>
          <w:lang w:val="en-US" w:eastAsia="zh-CN"/>
        </w:rPr>
        <w:t>9.2.3</w:t>
      </w:r>
      <w:r w:rsidRPr="009017AB">
        <w:rPr>
          <w:b/>
          <w:iCs/>
          <w:sz w:val="22"/>
          <w:szCs w:val="22"/>
          <w:lang w:val="en-US" w:eastAsia="zh-CN"/>
        </w:rPr>
        <w:tab/>
      </w:r>
      <w:r w:rsidR="00A76F30" w:rsidRPr="009017AB">
        <w:rPr>
          <w:b/>
          <w:iCs/>
          <w:sz w:val="22"/>
          <w:szCs w:val="22"/>
          <w:lang w:val="en-US" w:eastAsia="zh-CN"/>
        </w:rPr>
        <w:t>Peripheral neuropathy</w:t>
      </w:r>
    </w:p>
    <w:p w:rsidR="00A76F30" w:rsidRPr="00A76F30" w:rsidRDefault="00A76F30" w:rsidP="0000497D">
      <w:pPr>
        <w:autoSpaceDE w:val="0"/>
        <w:autoSpaceDN w:val="0"/>
        <w:adjustRightInd w:val="0"/>
        <w:spacing w:before="120"/>
        <w:rPr>
          <w:sz w:val="22"/>
          <w:szCs w:val="22"/>
          <w:lang w:val="en-US" w:eastAsia="zh-CN"/>
        </w:rPr>
      </w:pPr>
      <w:r w:rsidRPr="00A76F30">
        <w:rPr>
          <w:sz w:val="22"/>
          <w:szCs w:val="22"/>
          <w:lang w:val="en-US" w:eastAsia="zh-CN"/>
        </w:rPr>
        <w:t>Patients with ongoing peripheral neuropathy ≥Grade 2 were excluded from clinical studies</w:t>
      </w:r>
      <w:r w:rsidRPr="00B704C9">
        <w:rPr>
          <w:sz w:val="22"/>
          <w:szCs w:val="22"/>
          <w:lang w:val="en-US" w:eastAsia="zh-CN"/>
        </w:rPr>
        <w:t xml:space="preserve">. </w:t>
      </w:r>
      <w:r w:rsidR="00B704C9" w:rsidRPr="00B704C9">
        <w:rPr>
          <w:sz w:val="22"/>
          <w:szCs w:val="22"/>
          <w:lang w:val="en-US" w:eastAsia="zh-CN"/>
        </w:rPr>
        <w:t xml:space="preserve"> Peripheral</w:t>
      </w:r>
      <w:r w:rsidR="00B704C9">
        <w:rPr>
          <w:color w:val="FF0101"/>
          <w:sz w:val="22"/>
          <w:szCs w:val="22"/>
          <w:lang w:val="en-US" w:eastAsia="zh-CN"/>
        </w:rPr>
        <w:t xml:space="preserve"> </w:t>
      </w:r>
      <w:r w:rsidRPr="00A76F30">
        <w:rPr>
          <w:sz w:val="22"/>
          <w:szCs w:val="22"/>
          <w:lang w:val="en-US" w:eastAsia="zh-CN"/>
        </w:rPr>
        <w:t xml:space="preserve">neuropathy, mostly Grade 1 or 2 occurred in 12.3% patients in the </w:t>
      </w:r>
      <w:proofErr w:type="spellStart"/>
      <w:r w:rsidR="00E450EB">
        <w:rPr>
          <w:sz w:val="22"/>
          <w:szCs w:val="22"/>
          <w:lang w:val="en-US" w:eastAsia="zh-CN"/>
        </w:rPr>
        <w:t>Pom</w:t>
      </w:r>
      <w:proofErr w:type="spellEnd"/>
      <w:r w:rsidR="00826E56">
        <w:rPr>
          <w:sz w:val="22"/>
          <w:szCs w:val="22"/>
          <w:lang w:val="en-US" w:eastAsia="zh-CN"/>
        </w:rPr>
        <w:t> </w:t>
      </w:r>
      <w:r w:rsidR="00E450EB">
        <w:rPr>
          <w:sz w:val="22"/>
          <w:szCs w:val="22"/>
          <w:lang w:val="en-US" w:eastAsia="zh-CN"/>
        </w:rPr>
        <w:t>+</w:t>
      </w:r>
      <w:r w:rsidR="00826E56">
        <w:rPr>
          <w:sz w:val="22"/>
          <w:szCs w:val="22"/>
          <w:lang w:val="en-US" w:eastAsia="zh-CN"/>
        </w:rPr>
        <w:t> </w:t>
      </w:r>
      <w:r w:rsidRPr="00A76F30">
        <w:rPr>
          <w:sz w:val="22"/>
          <w:szCs w:val="22"/>
          <w:lang w:val="en-US" w:eastAsia="zh-CN"/>
        </w:rPr>
        <w:t>LD</w:t>
      </w:r>
      <w:r w:rsidR="00E450EB">
        <w:rPr>
          <w:sz w:val="22"/>
          <w:szCs w:val="22"/>
          <w:lang w:val="en-US" w:eastAsia="zh-CN"/>
        </w:rPr>
        <w:t>-</w:t>
      </w:r>
      <w:proofErr w:type="spellStart"/>
      <w:r w:rsidR="00896389">
        <w:rPr>
          <w:sz w:val="22"/>
          <w:szCs w:val="22"/>
          <w:lang w:val="en-US" w:eastAsia="zh-CN"/>
        </w:rPr>
        <w:t>d</w:t>
      </w:r>
      <w:r w:rsidRPr="00A76F30">
        <w:rPr>
          <w:sz w:val="22"/>
          <w:szCs w:val="22"/>
          <w:lang w:val="en-US" w:eastAsia="zh-CN"/>
        </w:rPr>
        <w:t>ex</w:t>
      </w:r>
      <w:proofErr w:type="spellEnd"/>
      <w:r w:rsidRPr="00A76F30">
        <w:rPr>
          <w:sz w:val="22"/>
          <w:szCs w:val="22"/>
          <w:lang w:val="en-US" w:eastAsia="zh-CN"/>
        </w:rPr>
        <w:t xml:space="preserve"> arm, and 10.7% of</w:t>
      </w:r>
      <w:r w:rsidR="00E450EB">
        <w:rPr>
          <w:sz w:val="22"/>
          <w:szCs w:val="22"/>
          <w:lang w:val="en-US" w:eastAsia="zh-CN"/>
        </w:rPr>
        <w:t xml:space="preserve"> patients in the comparative HD-</w:t>
      </w:r>
      <w:proofErr w:type="spellStart"/>
      <w:r w:rsidR="00896389">
        <w:rPr>
          <w:sz w:val="22"/>
          <w:szCs w:val="22"/>
          <w:lang w:val="en-US" w:eastAsia="zh-CN"/>
        </w:rPr>
        <w:t>d</w:t>
      </w:r>
      <w:r w:rsidRPr="00A76F30">
        <w:rPr>
          <w:sz w:val="22"/>
          <w:szCs w:val="22"/>
          <w:lang w:val="en-US" w:eastAsia="zh-CN"/>
        </w:rPr>
        <w:t>ex</w:t>
      </w:r>
      <w:proofErr w:type="spellEnd"/>
      <w:r w:rsidRPr="00A76F30">
        <w:rPr>
          <w:sz w:val="22"/>
          <w:szCs w:val="22"/>
          <w:lang w:val="en-US" w:eastAsia="zh-CN"/>
        </w:rPr>
        <w:t xml:space="preserve"> arm. Grade 3 or 4 reactions occurred in 1.0 %</w:t>
      </w:r>
      <w:r w:rsidR="0088527F">
        <w:rPr>
          <w:sz w:val="22"/>
          <w:szCs w:val="22"/>
          <w:lang w:val="en-US" w:eastAsia="zh-CN"/>
        </w:rPr>
        <w:t xml:space="preserve"> </w:t>
      </w:r>
      <w:r w:rsidR="00E450EB">
        <w:rPr>
          <w:sz w:val="22"/>
          <w:szCs w:val="22"/>
          <w:lang w:val="en-US" w:eastAsia="zh-CN"/>
        </w:rPr>
        <w:t xml:space="preserve">of patients in the </w:t>
      </w:r>
      <w:proofErr w:type="spellStart"/>
      <w:r w:rsidR="00E450EB">
        <w:rPr>
          <w:sz w:val="22"/>
          <w:szCs w:val="22"/>
          <w:lang w:val="en-US" w:eastAsia="zh-CN"/>
        </w:rPr>
        <w:t>Pom</w:t>
      </w:r>
      <w:proofErr w:type="spellEnd"/>
      <w:r w:rsidR="00826E56">
        <w:rPr>
          <w:sz w:val="22"/>
          <w:szCs w:val="22"/>
          <w:lang w:val="en-US" w:eastAsia="zh-CN"/>
        </w:rPr>
        <w:t> </w:t>
      </w:r>
      <w:r w:rsidR="00E450EB">
        <w:rPr>
          <w:sz w:val="22"/>
          <w:szCs w:val="22"/>
          <w:lang w:val="en-US" w:eastAsia="zh-CN"/>
        </w:rPr>
        <w:t>+</w:t>
      </w:r>
      <w:r w:rsidR="00826E56">
        <w:rPr>
          <w:sz w:val="22"/>
          <w:szCs w:val="22"/>
          <w:lang w:val="en-US" w:eastAsia="zh-CN"/>
        </w:rPr>
        <w:t> </w:t>
      </w:r>
      <w:r w:rsidR="00E450EB">
        <w:rPr>
          <w:sz w:val="22"/>
          <w:szCs w:val="22"/>
          <w:lang w:val="en-US" w:eastAsia="zh-CN"/>
        </w:rPr>
        <w:t>LD-</w:t>
      </w:r>
      <w:proofErr w:type="spellStart"/>
      <w:r w:rsidR="00896389">
        <w:rPr>
          <w:sz w:val="22"/>
          <w:szCs w:val="22"/>
          <w:lang w:val="en-US" w:eastAsia="zh-CN"/>
        </w:rPr>
        <w:t>d</w:t>
      </w:r>
      <w:r w:rsidRPr="00A76F30">
        <w:rPr>
          <w:sz w:val="22"/>
          <w:szCs w:val="22"/>
          <w:lang w:val="en-US" w:eastAsia="zh-CN"/>
        </w:rPr>
        <w:t>ex</w:t>
      </w:r>
      <w:proofErr w:type="spellEnd"/>
      <w:r w:rsidRPr="00A76F30">
        <w:rPr>
          <w:sz w:val="22"/>
          <w:szCs w:val="22"/>
          <w:lang w:val="en-US" w:eastAsia="zh-CN"/>
        </w:rPr>
        <w:t xml:space="preserve"> arm an</w:t>
      </w:r>
      <w:r w:rsidR="00E450EB">
        <w:rPr>
          <w:sz w:val="22"/>
          <w:szCs w:val="22"/>
          <w:lang w:val="en-US" w:eastAsia="zh-CN"/>
        </w:rPr>
        <w:t>d in 1.3% of patients in the HD-</w:t>
      </w:r>
      <w:proofErr w:type="spellStart"/>
      <w:r w:rsidR="00896389">
        <w:rPr>
          <w:sz w:val="22"/>
          <w:szCs w:val="22"/>
          <w:lang w:val="en-US" w:eastAsia="zh-CN"/>
        </w:rPr>
        <w:t>d</w:t>
      </w:r>
      <w:r w:rsidRPr="00A76F30">
        <w:rPr>
          <w:sz w:val="22"/>
          <w:szCs w:val="22"/>
          <w:lang w:val="en-US" w:eastAsia="zh-CN"/>
        </w:rPr>
        <w:t>ex</w:t>
      </w:r>
      <w:proofErr w:type="spellEnd"/>
      <w:r w:rsidRPr="00A76F30">
        <w:rPr>
          <w:sz w:val="22"/>
          <w:szCs w:val="22"/>
          <w:lang w:val="en-US" w:eastAsia="zh-CN"/>
        </w:rPr>
        <w:t xml:space="preserve"> arm. </w:t>
      </w:r>
      <w:r w:rsidR="0088527F">
        <w:rPr>
          <w:sz w:val="22"/>
          <w:szCs w:val="22"/>
          <w:lang w:val="en-US" w:eastAsia="zh-CN"/>
        </w:rPr>
        <w:t xml:space="preserve"> </w:t>
      </w:r>
      <w:r w:rsidRPr="00A76F30">
        <w:rPr>
          <w:sz w:val="22"/>
          <w:szCs w:val="22"/>
          <w:lang w:val="en-US" w:eastAsia="zh-CN"/>
        </w:rPr>
        <w:t>In patients treated with</w:t>
      </w:r>
      <w:r w:rsidR="0088527F">
        <w:rPr>
          <w:sz w:val="22"/>
          <w:szCs w:val="22"/>
          <w:lang w:val="en-US" w:eastAsia="zh-CN"/>
        </w:rPr>
        <w:t xml:space="preserve"> </w:t>
      </w:r>
      <w:proofErr w:type="spellStart"/>
      <w:r w:rsidR="00E450EB">
        <w:rPr>
          <w:sz w:val="22"/>
          <w:szCs w:val="22"/>
          <w:lang w:val="en-US" w:eastAsia="zh-CN"/>
        </w:rPr>
        <w:t>Pom</w:t>
      </w:r>
      <w:proofErr w:type="spellEnd"/>
      <w:r w:rsidR="00826E56">
        <w:rPr>
          <w:sz w:val="22"/>
          <w:szCs w:val="22"/>
          <w:lang w:val="en-US" w:eastAsia="zh-CN"/>
        </w:rPr>
        <w:t> </w:t>
      </w:r>
      <w:r w:rsidR="00E450EB">
        <w:rPr>
          <w:sz w:val="22"/>
          <w:szCs w:val="22"/>
          <w:lang w:val="en-US" w:eastAsia="zh-CN"/>
        </w:rPr>
        <w:t>+</w:t>
      </w:r>
      <w:r w:rsidR="00826E56">
        <w:rPr>
          <w:sz w:val="22"/>
          <w:szCs w:val="22"/>
          <w:lang w:val="en-US" w:eastAsia="zh-CN"/>
        </w:rPr>
        <w:t> </w:t>
      </w:r>
      <w:r w:rsidR="00E450EB">
        <w:rPr>
          <w:sz w:val="22"/>
          <w:szCs w:val="22"/>
          <w:lang w:val="en-US" w:eastAsia="zh-CN"/>
        </w:rPr>
        <w:t>LD-</w:t>
      </w:r>
      <w:proofErr w:type="spellStart"/>
      <w:r w:rsidR="00896389">
        <w:rPr>
          <w:sz w:val="22"/>
          <w:szCs w:val="22"/>
          <w:lang w:val="en-US" w:eastAsia="zh-CN"/>
        </w:rPr>
        <w:t>d</w:t>
      </w:r>
      <w:r w:rsidRPr="00A76F30">
        <w:rPr>
          <w:sz w:val="22"/>
          <w:szCs w:val="22"/>
          <w:lang w:val="en-US" w:eastAsia="zh-CN"/>
        </w:rPr>
        <w:t>ex</w:t>
      </w:r>
      <w:proofErr w:type="spellEnd"/>
      <w:r w:rsidRPr="00A76F30">
        <w:rPr>
          <w:sz w:val="22"/>
          <w:szCs w:val="22"/>
          <w:lang w:val="en-US" w:eastAsia="zh-CN"/>
        </w:rPr>
        <w:t>, no peripheral neuropathy reactions were reported as being serious and peripheral neuropathy</w:t>
      </w:r>
      <w:r w:rsidR="0088527F">
        <w:rPr>
          <w:sz w:val="22"/>
          <w:szCs w:val="22"/>
          <w:lang w:val="en-US" w:eastAsia="zh-CN"/>
        </w:rPr>
        <w:t xml:space="preserve"> </w:t>
      </w:r>
      <w:r w:rsidRPr="00A76F30">
        <w:rPr>
          <w:sz w:val="22"/>
          <w:szCs w:val="22"/>
          <w:lang w:val="en-US" w:eastAsia="zh-CN"/>
        </w:rPr>
        <w:t>led to dose discontinuation in 0.3% of patients.</w:t>
      </w:r>
    </w:p>
    <w:p w:rsidR="00A76F30" w:rsidRDefault="00A76F30" w:rsidP="00A76F30">
      <w:pPr>
        <w:jc w:val="both"/>
        <w:rPr>
          <w:bCs/>
          <w:sz w:val="22"/>
          <w:szCs w:val="22"/>
          <w:lang w:val="en-AU"/>
        </w:rPr>
      </w:pPr>
    </w:p>
    <w:p w:rsidR="00FD0148" w:rsidRPr="002568DF" w:rsidRDefault="00FD0148" w:rsidP="009E253B">
      <w:pPr>
        <w:ind w:left="851" w:hanging="851"/>
        <w:jc w:val="both"/>
        <w:rPr>
          <w:b/>
          <w:bCs/>
          <w:lang w:val="en-AU"/>
        </w:rPr>
      </w:pPr>
      <w:r w:rsidRPr="002568DF">
        <w:rPr>
          <w:b/>
          <w:bCs/>
          <w:lang w:val="en-AU"/>
        </w:rPr>
        <w:t>9.3</w:t>
      </w:r>
      <w:r w:rsidRPr="002568DF">
        <w:rPr>
          <w:b/>
          <w:bCs/>
          <w:lang w:val="en-AU"/>
        </w:rPr>
        <w:tab/>
        <w:t>Post Marketing data</w:t>
      </w:r>
    </w:p>
    <w:p w:rsidR="009E019B" w:rsidRPr="00FD0148" w:rsidRDefault="00FD0148" w:rsidP="00743168">
      <w:pPr>
        <w:autoSpaceDE w:val="0"/>
        <w:autoSpaceDN w:val="0"/>
        <w:adjustRightInd w:val="0"/>
        <w:spacing w:before="120"/>
        <w:rPr>
          <w:color w:val="000000"/>
          <w:sz w:val="22"/>
          <w:szCs w:val="22"/>
          <w:lang w:val="en-AU" w:eastAsia="zh-CN"/>
        </w:rPr>
      </w:pPr>
      <w:r w:rsidRPr="00FD0148">
        <w:rPr>
          <w:color w:val="000000"/>
          <w:sz w:val="22"/>
          <w:szCs w:val="22"/>
          <w:lang w:val="en-AU" w:eastAsia="zh-CN"/>
        </w:rPr>
        <w:t>The following adverse drug reactions have been identified from the worldwide post-marketing</w:t>
      </w:r>
      <w:r>
        <w:rPr>
          <w:color w:val="000000"/>
          <w:sz w:val="22"/>
          <w:szCs w:val="22"/>
          <w:lang w:val="en-AU" w:eastAsia="zh-CN"/>
        </w:rPr>
        <w:t xml:space="preserve"> experience with </w:t>
      </w:r>
      <w:proofErr w:type="spellStart"/>
      <w:r>
        <w:rPr>
          <w:color w:val="000000"/>
          <w:sz w:val="22"/>
          <w:szCs w:val="22"/>
          <w:lang w:val="en-AU" w:eastAsia="zh-CN"/>
        </w:rPr>
        <w:t>pomalidomide</w:t>
      </w:r>
      <w:proofErr w:type="spellEnd"/>
      <w:r>
        <w:rPr>
          <w:color w:val="000000"/>
          <w:sz w:val="22"/>
          <w:szCs w:val="22"/>
          <w:lang w:val="en-AU" w:eastAsia="zh-CN"/>
        </w:rPr>
        <w:t>: p</w:t>
      </w:r>
      <w:r w:rsidRPr="00FD0148">
        <w:rPr>
          <w:color w:val="000000"/>
          <w:sz w:val="22"/>
          <w:szCs w:val="22"/>
          <w:lang w:val="en-AU" w:eastAsia="zh-CN"/>
        </w:rPr>
        <w:t>ancytopenia, tumo</w:t>
      </w:r>
      <w:r w:rsidR="004D5156">
        <w:rPr>
          <w:color w:val="000000"/>
          <w:sz w:val="22"/>
          <w:szCs w:val="22"/>
          <w:lang w:val="en-AU" w:eastAsia="zh-CN"/>
        </w:rPr>
        <w:t>u</w:t>
      </w:r>
      <w:r w:rsidRPr="00FD0148">
        <w:rPr>
          <w:color w:val="000000"/>
          <w:sz w:val="22"/>
          <w:szCs w:val="22"/>
          <w:lang w:val="en-AU" w:eastAsia="zh-CN"/>
        </w:rPr>
        <w:t xml:space="preserve">r </w:t>
      </w:r>
      <w:proofErr w:type="spellStart"/>
      <w:r w:rsidRPr="00FD0148">
        <w:rPr>
          <w:color w:val="000000"/>
          <w:sz w:val="22"/>
          <w:szCs w:val="22"/>
          <w:lang w:val="en-AU" w:eastAsia="zh-CN"/>
        </w:rPr>
        <w:t>lysis</w:t>
      </w:r>
      <w:proofErr w:type="spellEnd"/>
      <w:r w:rsidRPr="00FD0148">
        <w:rPr>
          <w:color w:val="000000"/>
          <w:sz w:val="22"/>
          <w:szCs w:val="22"/>
          <w:lang w:val="en-AU" w:eastAsia="zh-CN"/>
        </w:rPr>
        <w:t xml:space="preserve"> syndrome. </w:t>
      </w:r>
      <w:r>
        <w:rPr>
          <w:color w:val="000000"/>
          <w:sz w:val="22"/>
          <w:szCs w:val="22"/>
          <w:lang w:val="en-AU" w:eastAsia="zh-CN"/>
        </w:rPr>
        <w:t xml:space="preserve"> </w:t>
      </w:r>
      <w:r w:rsidRPr="00FD0148">
        <w:rPr>
          <w:color w:val="000000"/>
          <w:sz w:val="22"/>
          <w:szCs w:val="22"/>
          <w:lang w:val="en-AU" w:eastAsia="zh-CN"/>
        </w:rPr>
        <w:t xml:space="preserve">Because these reactions are reported voluntarily from a population of uncertain size, it is not always possible to reliably estimate their frequency or establish a causal relationship to drug exposure. </w:t>
      </w:r>
    </w:p>
    <w:p w:rsidR="00FD0148" w:rsidRDefault="00FD0148" w:rsidP="00A76F30">
      <w:pPr>
        <w:jc w:val="both"/>
        <w:rPr>
          <w:bCs/>
          <w:sz w:val="22"/>
          <w:szCs w:val="22"/>
          <w:lang w:val="en-AU"/>
        </w:rPr>
      </w:pPr>
    </w:p>
    <w:p w:rsidR="00FD0148" w:rsidRPr="00A76F30" w:rsidRDefault="00FD0148" w:rsidP="00A76F30">
      <w:pPr>
        <w:jc w:val="both"/>
        <w:rPr>
          <w:bCs/>
          <w:sz w:val="22"/>
          <w:szCs w:val="22"/>
          <w:lang w:val="en-AU"/>
        </w:rPr>
      </w:pPr>
    </w:p>
    <w:p w:rsidR="00AD0B7E" w:rsidRPr="006736E8" w:rsidRDefault="00990B0F" w:rsidP="006736E8">
      <w:pPr>
        <w:keepNext/>
        <w:tabs>
          <w:tab w:val="left" w:pos="1134"/>
        </w:tabs>
        <w:jc w:val="both"/>
        <w:rPr>
          <w:b/>
          <w:sz w:val="28"/>
          <w:szCs w:val="28"/>
          <w:lang w:val="en-AU"/>
        </w:rPr>
      </w:pPr>
      <w:r w:rsidRPr="00990B0F">
        <w:rPr>
          <w:b/>
          <w:sz w:val="28"/>
          <w:szCs w:val="28"/>
          <w:lang w:val="en-AU"/>
        </w:rPr>
        <w:t>10.</w:t>
      </w:r>
      <w:r w:rsidR="006736E8">
        <w:rPr>
          <w:b/>
          <w:sz w:val="28"/>
          <w:szCs w:val="28"/>
          <w:lang w:val="en-AU"/>
        </w:rPr>
        <w:tab/>
      </w:r>
      <w:r w:rsidR="00DC6B9C" w:rsidRPr="006736E8">
        <w:rPr>
          <w:b/>
          <w:sz w:val="28"/>
          <w:szCs w:val="28"/>
          <w:lang w:val="en-AU"/>
        </w:rPr>
        <w:t xml:space="preserve">Dosage and </w:t>
      </w:r>
      <w:r w:rsidR="008C121C" w:rsidRPr="006736E8">
        <w:rPr>
          <w:b/>
          <w:sz w:val="28"/>
          <w:szCs w:val="28"/>
          <w:lang w:val="en-AU"/>
        </w:rPr>
        <w:t>A</w:t>
      </w:r>
      <w:r w:rsidR="00DC6B9C" w:rsidRPr="006736E8">
        <w:rPr>
          <w:b/>
          <w:sz w:val="28"/>
          <w:szCs w:val="28"/>
          <w:lang w:val="en-AU"/>
        </w:rPr>
        <w:t>dministration</w:t>
      </w:r>
    </w:p>
    <w:p w:rsidR="00DD67D7" w:rsidRDefault="00DD67D7" w:rsidP="009D29AF">
      <w:pPr>
        <w:spacing w:before="120"/>
        <w:rPr>
          <w:sz w:val="22"/>
          <w:szCs w:val="22"/>
          <w:lang w:val="en-AU"/>
        </w:rPr>
      </w:pPr>
      <w:r w:rsidRPr="00A44908">
        <w:rPr>
          <w:sz w:val="22"/>
          <w:szCs w:val="22"/>
          <w:lang w:val="en-AU"/>
        </w:rPr>
        <w:t xml:space="preserve">Treatment must be initiated and monitored under the supervision of </w:t>
      </w:r>
      <w:r w:rsidR="007C198A" w:rsidRPr="00A44908">
        <w:rPr>
          <w:sz w:val="22"/>
          <w:szCs w:val="22"/>
          <w:lang w:val="en-AU"/>
        </w:rPr>
        <w:t xml:space="preserve">a registered </w:t>
      </w:r>
      <w:r w:rsidRPr="00A44908">
        <w:rPr>
          <w:sz w:val="22"/>
          <w:szCs w:val="22"/>
          <w:lang w:val="en-AU"/>
        </w:rPr>
        <w:t xml:space="preserve">Specialist Physician experienced in the management of </w:t>
      </w:r>
      <w:r w:rsidR="00B86916" w:rsidRPr="00A44908">
        <w:rPr>
          <w:sz w:val="22"/>
          <w:szCs w:val="22"/>
          <w:lang w:val="en-AU"/>
        </w:rPr>
        <w:t>h</w:t>
      </w:r>
      <w:r w:rsidR="00DD13E9" w:rsidRPr="00A44908">
        <w:rPr>
          <w:sz w:val="22"/>
          <w:szCs w:val="22"/>
          <w:lang w:val="en-AU"/>
        </w:rPr>
        <w:t xml:space="preserve">aematological </w:t>
      </w:r>
      <w:r w:rsidR="00CE3ED5" w:rsidRPr="00A44908">
        <w:rPr>
          <w:sz w:val="22"/>
          <w:szCs w:val="22"/>
          <w:lang w:val="en-AU"/>
        </w:rPr>
        <w:t xml:space="preserve">and </w:t>
      </w:r>
      <w:r w:rsidR="00B86916" w:rsidRPr="00A44908">
        <w:rPr>
          <w:sz w:val="22"/>
          <w:szCs w:val="22"/>
          <w:lang w:val="en-AU"/>
        </w:rPr>
        <w:t>oncological malignancies</w:t>
      </w:r>
      <w:r w:rsidR="00CE3ED5" w:rsidRPr="00A44908">
        <w:rPr>
          <w:sz w:val="22"/>
          <w:szCs w:val="22"/>
          <w:lang w:val="en-AU"/>
        </w:rPr>
        <w:t>.</w:t>
      </w:r>
    </w:p>
    <w:p w:rsidR="0088527F" w:rsidRPr="0088527F" w:rsidRDefault="0088527F" w:rsidP="0088527F">
      <w:pPr>
        <w:rPr>
          <w:sz w:val="22"/>
          <w:szCs w:val="22"/>
          <w:lang w:val="en-AU"/>
        </w:rPr>
      </w:pPr>
    </w:p>
    <w:p w:rsidR="008737A7" w:rsidRDefault="0088527F" w:rsidP="00743168">
      <w:pPr>
        <w:pStyle w:val="C-BodyText"/>
        <w:tabs>
          <w:tab w:val="left" w:pos="117"/>
        </w:tabs>
        <w:spacing w:before="0" w:after="0"/>
        <w:rPr>
          <w:sz w:val="22"/>
          <w:szCs w:val="22"/>
        </w:rPr>
      </w:pPr>
      <w:proofErr w:type="spellStart"/>
      <w:r w:rsidRPr="008737A7">
        <w:rPr>
          <w:sz w:val="22"/>
          <w:szCs w:val="22"/>
        </w:rPr>
        <w:t>Pomalidomide</w:t>
      </w:r>
      <w:proofErr w:type="spellEnd"/>
      <w:r w:rsidRPr="008737A7">
        <w:rPr>
          <w:sz w:val="22"/>
          <w:szCs w:val="22"/>
        </w:rPr>
        <w:t xml:space="preserve"> should be taken orally about the same time each day.  The capsules </w:t>
      </w:r>
      <w:r w:rsidR="008737A7" w:rsidRPr="008737A7">
        <w:rPr>
          <w:sz w:val="22"/>
          <w:szCs w:val="22"/>
        </w:rPr>
        <w:t xml:space="preserve">should not be opened, broken, </w:t>
      </w:r>
      <w:r w:rsidRPr="008737A7">
        <w:rPr>
          <w:sz w:val="22"/>
          <w:szCs w:val="22"/>
        </w:rPr>
        <w:t>chewed</w:t>
      </w:r>
      <w:r w:rsidR="008737A7" w:rsidRPr="008737A7">
        <w:rPr>
          <w:sz w:val="22"/>
          <w:szCs w:val="22"/>
        </w:rPr>
        <w:t xml:space="preserve"> or crushed</w:t>
      </w:r>
      <w:r w:rsidRPr="008737A7">
        <w:rPr>
          <w:sz w:val="22"/>
          <w:szCs w:val="22"/>
        </w:rPr>
        <w:t xml:space="preserve">.  </w:t>
      </w:r>
      <w:r w:rsidR="008737A7" w:rsidRPr="008737A7">
        <w:rPr>
          <w:sz w:val="22"/>
          <w:szCs w:val="22"/>
        </w:rPr>
        <w:t xml:space="preserve">If powder from </w:t>
      </w:r>
      <w:proofErr w:type="spellStart"/>
      <w:r w:rsidR="008737A7" w:rsidRPr="008737A7">
        <w:rPr>
          <w:sz w:val="22"/>
          <w:szCs w:val="22"/>
        </w:rPr>
        <w:t>pomalidomide</w:t>
      </w:r>
      <w:proofErr w:type="spellEnd"/>
      <w:r w:rsidR="008737A7" w:rsidRPr="008737A7">
        <w:rPr>
          <w:sz w:val="22"/>
          <w:szCs w:val="22"/>
        </w:rPr>
        <w:t xml:space="preserve"> contacts the skin, wash the skin immediately and thoroughly with soap and water.   If </w:t>
      </w:r>
      <w:proofErr w:type="spellStart"/>
      <w:r w:rsidR="008737A7" w:rsidRPr="008737A7">
        <w:rPr>
          <w:sz w:val="22"/>
          <w:szCs w:val="22"/>
        </w:rPr>
        <w:t>pomalidomide</w:t>
      </w:r>
      <w:proofErr w:type="spellEnd"/>
      <w:r w:rsidR="008737A7" w:rsidRPr="008737A7">
        <w:rPr>
          <w:sz w:val="22"/>
          <w:szCs w:val="22"/>
        </w:rPr>
        <w:t xml:space="preserve"> contact the mucous membranes, flush thoroughly with water</w:t>
      </w:r>
      <w:r w:rsidR="008737A7" w:rsidRPr="0088527F">
        <w:rPr>
          <w:sz w:val="22"/>
          <w:szCs w:val="22"/>
        </w:rPr>
        <w:t xml:space="preserve"> </w:t>
      </w:r>
    </w:p>
    <w:p w:rsidR="008737A7" w:rsidRDefault="008737A7" w:rsidP="0088527F">
      <w:pPr>
        <w:pStyle w:val="C-BodyText"/>
        <w:tabs>
          <w:tab w:val="left" w:pos="117"/>
        </w:tabs>
        <w:spacing w:before="0" w:after="0"/>
        <w:rPr>
          <w:sz w:val="22"/>
          <w:szCs w:val="22"/>
        </w:rPr>
      </w:pPr>
    </w:p>
    <w:p w:rsidR="0088527F" w:rsidRDefault="0088527F" w:rsidP="0088527F">
      <w:pPr>
        <w:pStyle w:val="C-BodyText"/>
        <w:tabs>
          <w:tab w:val="left" w:pos="117"/>
        </w:tabs>
        <w:spacing w:before="0" w:after="0"/>
        <w:rPr>
          <w:sz w:val="22"/>
          <w:szCs w:val="22"/>
        </w:rPr>
      </w:pPr>
      <w:proofErr w:type="spellStart"/>
      <w:r w:rsidRPr="0088527F">
        <w:rPr>
          <w:sz w:val="22"/>
          <w:szCs w:val="22"/>
        </w:rPr>
        <w:t>Pomalidomide</w:t>
      </w:r>
      <w:proofErr w:type="spellEnd"/>
      <w:r w:rsidRPr="0088527F">
        <w:rPr>
          <w:sz w:val="22"/>
          <w:szCs w:val="22"/>
        </w:rPr>
        <w:t xml:space="preserve"> capsules should be swallowed whole, preferably with water, either with or without food.</w:t>
      </w:r>
    </w:p>
    <w:p w:rsidR="00E81F48" w:rsidRDefault="00E81F48" w:rsidP="0088527F">
      <w:pPr>
        <w:pStyle w:val="C-BodyText"/>
        <w:tabs>
          <w:tab w:val="left" w:pos="117"/>
        </w:tabs>
        <w:spacing w:before="0" w:after="0"/>
        <w:rPr>
          <w:sz w:val="22"/>
          <w:szCs w:val="22"/>
        </w:rPr>
      </w:pPr>
    </w:p>
    <w:p w:rsidR="00E81F48" w:rsidRPr="00E81F48" w:rsidRDefault="00E81F48" w:rsidP="00E81F48">
      <w:pPr>
        <w:autoSpaceDE w:val="0"/>
        <w:autoSpaceDN w:val="0"/>
        <w:adjustRightInd w:val="0"/>
        <w:rPr>
          <w:rFonts w:eastAsia="TimesNewRoman"/>
          <w:sz w:val="22"/>
          <w:szCs w:val="22"/>
          <w:lang w:eastAsia="zh-CN"/>
        </w:rPr>
      </w:pPr>
      <w:r w:rsidRPr="00E81F48">
        <w:rPr>
          <w:rFonts w:eastAsia="TimesNewRoman"/>
          <w:sz w:val="22"/>
          <w:szCs w:val="22"/>
          <w:lang w:eastAsia="zh-CN"/>
        </w:rPr>
        <w:t>In the event of a missed dose, if less than 12 hours has elapsed since missing a dose, the patient can take the dose.  If more than 12 hours has elapsed since missing a dose, the patient should not take the dose, but take the next dose at the normal time on the following day.</w:t>
      </w:r>
    </w:p>
    <w:p w:rsidR="00DD67D7" w:rsidRPr="00A44908" w:rsidRDefault="00DD67D7" w:rsidP="009D29AF">
      <w:pPr>
        <w:pStyle w:val="C-TableText"/>
        <w:tabs>
          <w:tab w:val="left" w:pos="567"/>
        </w:tabs>
        <w:spacing w:before="0" w:after="0" w:line="260" w:lineRule="exact"/>
        <w:rPr>
          <w:szCs w:val="22"/>
          <w:u w:val="single"/>
          <w:lang w:val="en-AU"/>
        </w:rPr>
      </w:pPr>
    </w:p>
    <w:p w:rsidR="00DD67D7" w:rsidRPr="002568DF" w:rsidRDefault="00322955" w:rsidP="009E253B">
      <w:pPr>
        <w:ind w:left="851" w:hanging="851"/>
        <w:rPr>
          <w:b/>
          <w:lang w:val="en-AU"/>
        </w:rPr>
      </w:pPr>
      <w:r w:rsidRPr="002568DF">
        <w:rPr>
          <w:b/>
          <w:lang w:val="en-AU"/>
        </w:rPr>
        <w:t>10.1</w:t>
      </w:r>
      <w:r w:rsidRPr="002568DF">
        <w:rPr>
          <w:b/>
          <w:lang w:val="en-AU"/>
        </w:rPr>
        <w:tab/>
      </w:r>
      <w:r w:rsidR="00DD67D7" w:rsidRPr="002568DF">
        <w:rPr>
          <w:b/>
          <w:lang w:val="en-AU"/>
        </w:rPr>
        <w:t>Administration</w:t>
      </w:r>
    </w:p>
    <w:p w:rsidR="006263C5" w:rsidRPr="006263C5" w:rsidRDefault="006263C5" w:rsidP="0088527F">
      <w:pPr>
        <w:spacing w:before="120"/>
        <w:rPr>
          <w:sz w:val="22"/>
          <w:szCs w:val="22"/>
          <w:lang w:val="en-AU"/>
        </w:rPr>
      </w:pPr>
      <w:r w:rsidRPr="006263C5">
        <w:rPr>
          <w:sz w:val="22"/>
          <w:szCs w:val="22"/>
          <w:lang w:val="en-AU"/>
        </w:rPr>
        <w:t>The recommended start</w:t>
      </w:r>
      <w:r w:rsidR="0000497D">
        <w:rPr>
          <w:sz w:val="22"/>
          <w:szCs w:val="22"/>
          <w:lang w:val="en-AU"/>
        </w:rPr>
        <w:t xml:space="preserve">ing dose of </w:t>
      </w:r>
      <w:proofErr w:type="spellStart"/>
      <w:r w:rsidR="0000497D">
        <w:rPr>
          <w:sz w:val="22"/>
          <w:szCs w:val="22"/>
          <w:lang w:val="en-AU"/>
        </w:rPr>
        <w:t>Pomalidomide</w:t>
      </w:r>
      <w:proofErr w:type="spellEnd"/>
      <w:r w:rsidRPr="006263C5">
        <w:rPr>
          <w:sz w:val="22"/>
          <w:szCs w:val="22"/>
          <w:lang w:val="en-AU"/>
        </w:rPr>
        <w:t xml:space="preserve"> is 4 mg/day take</w:t>
      </w:r>
      <w:r>
        <w:rPr>
          <w:sz w:val="22"/>
          <w:szCs w:val="22"/>
          <w:lang w:val="en-AU"/>
        </w:rPr>
        <w:t>n orally on Days </w:t>
      </w:r>
      <w:r w:rsidRPr="006263C5">
        <w:rPr>
          <w:sz w:val="22"/>
          <w:szCs w:val="22"/>
          <w:lang w:val="en-AU"/>
        </w:rPr>
        <w:t>1-21 of repeated</w:t>
      </w:r>
      <w:r>
        <w:rPr>
          <w:sz w:val="22"/>
          <w:szCs w:val="22"/>
          <w:lang w:val="en-AU"/>
        </w:rPr>
        <w:t xml:space="preserve"> 28-day cycles (21/28 </w:t>
      </w:r>
      <w:r w:rsidRPr="006263C5">
        <w:rPr>
          <w:sz w:val="22"/>
          <w:szCs w:val="22"/>
          <w:lang w:val="en-AU"/>
        </w:rPr>
        <w:t>days)</w:t>
      </w:r>
      <w:r w:rsidR="00696AB1">
        <w:rPr>
          <w:sz w:val="22"/>
          <w:szCs w:val="22"/>
          <w:lang w:val="en-AU"/>
        </w:rPr>
        <w:t xml:space="preserve"> until disease progression</w:t>
      </w:r>
      <w:r w:rsidRPr="006263C5">
        <w:rPr>
          <w:sz w:val="22"/>
          <w:szCs w:val="22"/>
          <w:lang w:val="en-AU"/>
        </w:rPr>
        <w:t>.</w:t>
      </w:r>
      <w:r w:rsidR="00741148">
        <w:rPr>
          <w:sz w:val="22"/>
          <w:szCs w:val="22"/>
          <w:lang w:val="en-AU"/>
        </w:rPr>
        <w:t xml:space="preserve">  </w:t>
      </w:r>
      <w:r w:rsidRPr="006263C5">
        <w:rPr>
          <w:sz w:val="22"/>
          <w:szCs w:val="22"/>
          <w:lang w:val="en-AU"/>
        </w:rPr>
        <w:t>The recommen</w:t>
      </w:r>
      <w:r>
        <w:rPr>
          <w:sz w:val="22"/>
          <w:szCs w:val="22"/>
          <w:lang w:val="en-AU"/>
        </w:rPr>
        <w:t>ded dose of dexamethasone is 40 mg/day on Days </w:t>
      </w:r>
      <w:r w:rsidRPr="006263C5">
        <w:rPr>
          <w:sz w:val="22"/>
          <w:szCs w:val="22"/>
          <w:lang w:val="en-AU"/>
        </w:rPr>
        <w:t>1, 8, 15 and 22</w:t>
      </w:r>
      <w:r>
        <w:rPr>
          <w:sz w:val="22"/>
          <w:szCs w:val="22"/>
          <w:lang w:val="en-AU"/>
        </w:rPr>
        <w:t xml:space="preserve"> </w:t>
      </w:r>
      <w:r w:rsidRPr="006263C5">
        <w:rPr>
          <w:sz w:val="22"/>
          <w:szCs w:val="22"/>
          <w:lang w:val="en-AU"/>
        </w:rPr>
        <w:t>of each 28-day treatment cycle.</w:t>
      </w:r>
    </w:p>
    <w:p w:rsidR="006263C5" w:rsidRDefault="006263C5" w:rsidP="0088527F">
      <w:pPr>
        <w:rPr>
          <w:sz w:val="22"/>
          <w:szCs w:val="22"/>
          <w:lang w:val="en-AU"/>
        </w:rPr>
      </w:pPr>
    </w:p>
    <w:p w:rsidR="006263C5" w:rsidRDefault="006263C5" w:rsidP="006263C5">
      <w:pPr>
        <w:jc w:val="both"/>
        <w:rPr>
          <w:sz w:val="22"/>
          <w:szCs w:val="22"/>
          <w:lang w:val="en-AU"/>
        </w:rPr>
      </w:pPr>
      <w:r w:rsidRPr="006263C5">
        <w:rPr>
          <w:sz w:val="22"/>
          <w:szCs w:val="22"/>
          <w:lang w:val="en-AU"/>
        </w:rPr>
        <w:t>Dosing is continued or modified based upon clinical and laboratory findings.</w:t>
      </w:r>
      <w:r w:rsidR="00E1311C">
        <w:rPr>
          <w:sz w:val="22"/>
          <w:szCs w:val="22"/>
          <w:lang w:val="en-AU"/>
        </w:rPr>
        <w:t xml:space="preserve"> </w:t>
      </w:r>
    </w:p>
    <w:p w:rsidR="00E450EB" w:rsidRDefault="00E450EB" w:rsidP="006263C5">
      <w:pPr>
        <w:jc w:val="both"/>
        <w:rPr>
          <w:sz w:val="22"/>
          <w:szCs w:val="22"/>
          <w:lang w:val="en-AU"/>
        </w:rPr>
      </w:pPr>
    </w:p>
    <w:p w:rsidR="00AC6251" w:rsidRPr="006263C5" w:rsidRDefault="00AC6251" w:rsidP="00AC6251">
      <w:pPr>
        <w:rPr>
          <w:sz w:val="22"/>
          <w:szCs w:val="22"/>
          <w:lang w:val="en-AU"/>
        </w:rPr>
      </w:pPr>
      <w:r w:rsidRPr="00B92004">
        <w:rPr>
          <w:sz w:val="22"/>
          <w:szCs w:val="22"/>
        </w:rPr>
        <w:t xml:space="preserve">For </w:t>
      </w:r>
      <w:proofErr w:type="gramStart"/>
      <w:r w:rsidRPr="00B92004">
        <w:rPr>
          <w:sz w:val="22"/>
          <w:szCs w:val="22"/>
        </w:rPr>
        <w:t>patients  ≥</w:t>
      </w:r>
      <w:proofErr w:type="gramEnd"/>
      <w:r>
        <w:rPr>
          <w:sz w:val="22"/>
          <w:szCs w:val="22"/>
        </w:rPr>
        <w:t> </w:t>
      </w:r>
      <w:r w:rsidRPr="00B92004">
        <w:rPr>
          <w:sz w:val="22"/>
          <w:szCs w:val="22"/>
        </w:rPr>
        <w:t>75 years of age, the dose of dexamethasone is 20 mg/day on Days 1, 8, 15 and 22 of each 28-day treatment cycle</w:t>
      </w:r>
      <w:r>
        <w:rPr>
          <w:sz w:val="22"/>
          <w:szCs w:val="22"/>
        </w:rPr>
        <w:t xml:space="preserve">.  </w:t>
      </w:r>
      <w:r>
        <w:rPr>
          <w:sz w:val="22"/>
          <w:szCs w:val="22"/>
          <w:lang w:val="en-AU"/>
        </w:rPr>
        <w:t xml:space="preserve">For these patients a dose adjustment in </w:t>
      </w:r>
      <w:proofErr w:type="spellStart"/>
      <w:r>
        <w:rPr>
          <w:sz w:val="22"/>
          <w:szCs w:val="22"/>
          <w:lang w:val="en-AU"/>
        </w:rPr>
        <w:t>Pomalyst</w:t>
      </w:r>
      <w:proofErr w:type="spellEnd"/>
      <w:r>
        <w:rPr>
          <w:sz w:val="22"/>
          <w:szCs w:val="22"/>
          <w:lang w:val="en-AU"/>
        </w:rPr>
        <w:t xml:space="preserve"> is not required.</w:t>
      </w:r>
    </w:p>
    <w:p w:rsidR="00AC6251" w:rsidRDefault="00AC6251" w:rsidP="006263C5">
      <w:pPr>
        <w:jc w:val="both"/>
        <w:rPr>
          <w:sz w:val="22"/>
          <w:szCs w:val="22"/>
          <w:lang w:val="en-AU"/>
        </w:rPr>
      </w:pPr>
    </w:p>
    <w:p w:rsidR="004A2E61" w:rsidRPr="002568DF" w:rsidRDefault="00322955" w:rsidP="00F23B9B">
      <w:pPr>
        <w:ind w:left="851" w:hanging="851"/>
        <w:jc w:val="both"/>
        <w:rPr>
          <w:b/>
          <w:lang w:val="en-AU"/>
        </w:rPr>
      </w:pPr>
      <w:r w:rsidRPr="002568DF">
        <w:rPr>
          <w:b/>
          <w:lang w:val="en-AU"/>
        </w:rPr>
        <w:t>10.2</w:t>
      </w:r>
      <w:r w:rsidRPr="002568DF">
        <w:rPr>
          <w:b/>
          <w:lang w:val="en-AU"/>
        </w:rPr>
        <w:tab/>
      </w:r>
      <w:r w:rsidR="004A2E61" w:rsidRPr="002568DF">
        <w:rPr>
          <w:b/>
          <w:lang w:val="en-AU"/>
        </w:rPr>
        <w:t>Renal impairment</w:t>
      </w:r>
    </w:p>
    <w:p w:rsidR="004A2E61" w:rsidRDefault="004A2E61" w:rsidP="00C50599">
      <w:pPr>
        <w:spacing w:before="120"/>
        <w:rPr>
          <w:sz w:val="22"/>
          <w:szCs w:val="22"/>
          <w:lang w:val="en-AU"/>
        </w:rPr>
      </w:pPr>
      <w:r>
        <w:rPr>
          <w:sz w:val="22"/>
          <w:szCs w:val="22"/>
          <w:lang w:val="en-AU"/>
        </w:rPr>
        <w:t xml:space="preserve">The limited </w:t>
      </w:r>
      <w:r w:rsidR="00180077">
        <w:rPr>
          <w:sz w:val="22"/>
          <w:szCs w:val="22"/>
          <w:lang w:val="en-AU"/>
        </w:rPr>
        <w:t xml:space="preserve">efficacy and safety </w:t>
      </w:r>
      <w:r>
        <w:rPr>
          <w:sz w:val="22"/>
          <w:szCs w:val="22"/>
          <w:lang w:val="en-AU"/>
        </w:rPr>
        <w:t xml:space="preserve">data available on </w:t>
      </w:r>
      <w:proofErr w:type="spellStart"/>
      <w:r>
        <w:rPr>
          <w:sz w:val="22"/>
          <w:szCs w:val="22"/>
          <w:lang w:val="en-AU"/>
        </w:rPr>
        <w:t>pomalidomide</w:t>
      </w:r>
      <w:proofErr w:type="spellEnd"/>
      <w:r>
        <w:rPr>
          <w:sz w:val="22"/>
          <w:szCs w:val="22"/>
          <w:lang w:val="en-AU"/>
        </w:rPr>
        <w:t xml:space="preserve"> treatment in subjects with renal impairment is inconclusive.  Therefore the benefit of using </w:t>
      </w:r>
      <w:proofErr w:type="spellStart"/>
      <w:r>
        <w:rPr>
          <w:sz w:val="22"/>
          <w:szCs w:val="22"/>
          <w:lang w:val="en-AU"/>
        </w:rPr>
        <w:t>pomalidom</w:t>
      </w:r>
      <w:r w:rsidR="004E54F5">
        <w:rPr>
          <w:sz w:val="22"/>
          <w:szCs w:val="22"/>
          <w:lang w:val="en-AU"/>
        </w:rPr>
        <w:t>id</w:t>
      </w:r>
      <w:r>
        <w:rPr>
          <w:sz w:val="22"/>
          <w:szCs w:val="22"/>
          <w:lang w:val="en-AU"/>
        </w:rPr>
        <w:t>e</w:t>
      </w:r>
      <w:proofErr w:type="spellEnd"/>
      <w:r>
        <w:rPr>
          <w:sz w:val="22"/>
          <w:szCs w:val="22"/>
          <w:lang w:val="en-AU"/>
        </w:rPr>
        <w:t xml:space="preserve"> in this population is uncertain.  If treated, the patients should be carefully monitored for adverse reactions.</w:t>
      </w:r>
    </w:p>
    <w:p w:rsidR="00C8470B" w:rsidRDefault="00C8470B" w:rsidP="006263C5">
      <w:pPr>
        <w:jc w:val="both"/>
        <w:rPr>
          <w:sz w:val="22"/>
          <w:szCs w:val="22"/>
          <w:lang w:val="en-AU"/>
        </w:rPr>
      </w:pPr>
    </w:p>
    <w:p w:rsidR="00C8470B" w:rsidRPr="002568DF" w:rsidRDefault="00322955" w:rsidP="00F23B9B">
      <w:pPr>
        <w:autoSpaceDE w:val="0"/>
        <w:autoSpaceDN w:val="0"/>
        <w:adjustRightInd w:val="0"/>
        <w:ind w:left="851" w:hanging="851"/>
        <w:rPr>
          <w:rFonts w:eastAsia="TimesNewRoman"/>
          <w:b/>
          <w:lang w:eastAsia="zh-CN"/>
        </w:rPr>
      </w:pPr>
      <w:r w:rsidRPr="002568DF">
        <w:rPr>
          <w:rFonts w:eastAsia="TimesNewRoman"/>
          <w:b/>
          <w:lang w:eastAsia="zh-CN"/>
        </w:rPr>
        <w:t>10.3</w:t>
      </w:r>
      <w:r w:rsidRPr="002568DF">
        <w:rPr>
          <w:rFonts w:eastAsia="TimesNewRoman"/>
          <w:b/>
          <w:lang w:eastAsia="zh-CN"/>
        </w:rPr>
        <w:tab/>
      </w:r>
      <w:r w:rsidR="00C8470B" w:rsidRPr="002568DF">
        <w:rPr>
          <w:rFonts w:eastAsia="TimesNewRoman"/>
          <w:b/>
          <w:lang w:eastAsia="zh-CN"/>
        </w:rPr>
        <w:t>Hepatic impairment</w:t>
      </w:r>
    </w:p>
    <w:p w:rsidR="00C8470B" w:rsidRPr="00C8470B" w:rsidRDefault="00C8470B" w:rsidP="00C50599">
      <w:pPr>
        <w:autoSpaceDE w:val="0"/>
        <w:autoSpaceDN w:val="0"/>
        <w:adjustRightInd w:val="0"/>
        <w:spacing w:before="120"/>
        <w:rPr>
          <w:rFonts w:eastAsia="TimesNewRoman"/>
          <w:sz w:val="22"/>
          <w:szCs w:val="22"/>
          <w:lang w:eastAsia="zh-CN"/>
        </w:rPr>
      </w:pPr>
      <w:r w:rsidRPr="00C8470B">
        <w:rPr>
          <w:rFonts w:eastAsia="TimesNewRoman"/>
          <w:sz w:val="22"/>
          <w:szCs w:val="22"/>
          <w:lang w:eastAsia="zh-CN"/>
        </w:rPr>
        <w:t xml:space="preserve">Limited data is available on </w:t>
      </w:r>
      <w:proofErr w:type="spellStart"/>
      <w:r w:rsidRPr="00C8470B">
        <w:rPr>
          <w:rFonts w:eastAsia="TimesNewRoman"/>
          <w:sz w:val="22"/>
          <w:szCs w:val="22"/>
          <w:lang w:eastAsia="zh-CN"/>
        </w:rPr>
        <w:t>pomalidomide</w:t>
      </w:r>
      <w:proofErr w:type="spellEnd"/>
      <w:r w:rsidRPr="00C8470B">
        <w:rPr>
          <w:rFonts w:eastAsia="TimesNewRoman"/>
          <w:sz w:val="22"/>
          <w:szCs w:val="22"/>
          <w:lang w:eastAsia="zh-CN"/>
        </w:rPr>
        <w:t xml:space="preserve"> treatment in subjects with hepatic impairment.  Patients w</w:t>
      </w:r>
      <w:r w:rsidR="007138B5">
        <w:rPr>
          <w:rFonts w:eastAsia="TimesNewRoman"/>
          <w:sz w:val="22"/>
          <w:szCs w:val="22"/>
          <w:lang w:eastAsia="zh-CN"/>
        </w:rPr>
        <w:t>ith serum total bilirubin &gt; 34.2 µ</w:t>
      </w:r>
      <w:proofErr w:type="spellStart"/>
      <w:r w:rsidR="007138B5">
        <w:rPr>
          <w:rFonts w:eastAsia="TimesNewRoman"/>
          <w:sz w:val="22"/>
          <w:szCs w:val="22"/>
          <w:lang w:eastAsia="zh-CN"/>
        </w:rPr>
        <w:t>mol</w:t>
      </w:r>
      <w:proofErr w:type="spellEnd"/>
      <w:r w:rsidR="007138B5">
        <w:rPr>
          <w:rFonts w:eastAsia="TimesNewRoman"/>
          <w:sz w:val="22"/>
          <w:szCs w:val="22"/>
          <w:lang w:eastAsia="zh-CN"/>
        </w:rPr>
        <w:t xml:space="preserve">/L </w:t>
      </w:r>
      <w:proofErr w:type="gramStart"/>
      <w:r w:rsidRPr="00C8470B">
        <w:rPr>
          <w:rFonts w:eastAsia="TimesNewRoman"/>
          <w:sz w:val="22"/>
          <w:szCs w:val="22"/>
          <w:lang w:eastAsia="zh-CN"/>
        </w:rPr>
        <w:t>were</w:t>
      </w:r>
      <w:proofErr w:type="gramEnd"/>
      <w:r w:rsidRPr="00C8470B">
        <w:rPr>
          <w:rFonts w:eastAsia="TimesNewRoman"/>
          <w:sz w:val="22"/>
          <w:szCs w:val="22"/>
          <w:lang w:eastAsia="zh-CN"/>
        </w:rPr>
        <w:t xml:space="preserve"> excluded from clinical studies.  Patients with hepatic impairment should be carefully monitored for adverse reactions.</w:t>
      </w:r>
    </w:p>
    <w:p w:rsidR="004A2E61" w:rsidRDefault="004A2E61" w:rsidP="006263C5">
      <w:pPr>
        <w:jc w:val="both"/>
        <w:rPr>
          <w:sz w:val="22"/>
          <w:szCs w:val="22"/>
          <w:lang w:val="en-AU"/>
        </w:rPr>
      </w:pPr>
    </w:p>
    <w:p w:rsidR="006263C5" w:rsidRPr="002568DF" w:rsidRDefault="00322955" w:rsidP="009E253B">
      <w:pPr>
        <w:ind w:left="851" w:hanging="851"/>
        <w:rPr>
          <w:b/>
        </w:rPr>
      </w:pPr>
      <w:r w:rsidRPr="002568DF">
        <w:rPr>
          <w:b/>
        </w:rPr>
        <w:t>10.4</w:t>
      </w:r>
      <w:r w:rsidRPr="002568DF">
        <w:rPr>
          <w:b/>
        </w:rPr>
        <w:tab/>
      </w:r>
      <w:r w:rsidR="006263C5" w:rsidRPr="002568DF">
        <w:rPr>
          <w:b/>
        </w:rPr>
        <w:t>Dosage modification or interruption</w:t>
      </w:r>
    </w:p>
    <w:p w:rsidR="00E1311C" w:rsidRDefault="00E1311C" w:rsidP="00817FA2">
      <w:pPr>
        <w:spacing w:before="120"/>
        <w:jc w:val="both"/>
        <w:rPr>
          <w:sz w:val="22"/>
          <w:szCs w:val="22"/>
          <w:lang w:val="en-AU"/>
        </w:rPr>
      </w:pPr>
      <w:r w:rsidRPr="006263C5">
        <w:rPr>
          <w:sz w:val="22"/>
          <w:szCs w:val="22"/>
          <w:lang w:val="en-AU"/>
        </w:rPr>
        <w:t xml:space="preserve">To initiate a new cycle of </w:t>
      </w:r>
      <w:proofErr w:type="spellStart"/>
      <w:r w:rsidRPr="006263C5">
        <w:rPr>
          <w:sz w:val="22"/>
          <w:szCs w:val="22"/>
          <w:lang w:val="en-AU"/>
        </w:rPr>
        <w:t>pomalidomide</w:t>
      </w:r>
      <w:proofErr w:type="spellEnd"/>
      <w:r w:rsidRPr="006263C5">
        <w:rPr>
          <w:sz w:val="22"/>
          <w:szCs w:val="22"/>
          <w:lang w:val="en-AU"/>
        </w:rPr>
        <w:t xml:space="preserve">, </w:t>
      </w:r>
      <w:r w:rsidR="00817FA2" w:rsidRPr="006263C5">
        <w:rPr>
          <w:sz w:val="22"/>
          <w:szCs w:val="22"/>
          <w:lang w:val="en-AU"/>
        </w:rPr>
        <w:t>the platelet count must be</w:t>
      </w:r>
      <w:r w:rsidR="00817FA2">
        <w:rPr>
          <w:sz w:val="22"/>
          <w:szCs w:val="22"/>
          <w:lang w:val="en-AU"/>
        </w:rPr>
        <w:t xml:space="preserve"> </w:t>
      </w:r>
      <w:r w:rsidR="00817FA2" w:rsidRPr="006F2096">
        <w:rPr>
          <w:sz w:val="22"/>
          <w:szCs w:val="22"/>
          <w:lang w:val="en-AU"/>
        </w:rPr>
        <w:t>≥ </w:t>
      </w:r>
      <w:r w:rsidR="00817FA2">
        <w:rPr>
          <w:sz w:val="22"/>
          <w:szCs w:val="22"/>
          <w:lang w:val="en-AU"/>
        </w:rPr>
        <w:t>50</w:t>
      </w:r>
      <w:r w:rsidR="00817FA2" w:rsidRPr="006F2096">
        <w:rPr>
          <w:sz w:val="22"/>
          <w:szCs w:val="22"/>
          <w:lang w:val="en-AU"/>
        </w:rPr>
        <w:t> x 10</w:t>
      </w:r>
      <w:r w:rsidR="00817FA2" w:rsidRPr="006F2096">
        <w:rPr>
          <w:sz w:val="22"/>
          <w:szCs w:val="22"/>
          <w:vertAlign w:val="superscript"/>
          <w:lang w:val="en-AU"/>
        </w:rPr>
        <w:t>9</w:t>
      </w:r>
      <w:r w:rsidR="00817FA2" w:rsidRPr="006F2096">
        <w:rPr>
          <w:sz w:val="22"/>
          <w:szCs w:val="22"/>
          <w:lang w:val="en-AU"/>
        </w:rPr>
        <w:t>/L</w:t>
      </w:r>
      <w:r w:rsidR="00817FA2">
        <w:rPr>
          <w:sz w:val="22"/>
          <w:szCs w:val="22"/>
          <w:lang w:val="en-AU"/>
        </w:rPr>
        <w:t xml:space="preserve"> and </w:t>
      </w:r>
      <w:r w:rsidRPr="006263C5">
        <w:rPr>
          <w:sz w:val="22"/>
          <w:szCs w:val="22"/>
          <w:lang w:val="en-AU"/>
        </w:rPr>
        <w:t xml:space="preserve">the neutrophil count must be </w:t>
      </w:r>
      <w:r w:rsidRPr="006F2096">
        <w:rPr>
          <w:sz w:val="22"/>
          <w:szCs w:val="22"/>
          <w:lang w:val="en-AU"/>
        </w:rPr>
        <w:t>≥ 0.5 x 10</w:t>
      </w:r>
      <w:r w:rsidRPr="006F2096">
        <w:rPr>
          <w:sz w:val="22"/>
          <w:szCs w:val="22"/>
          <w:vertAlign w:val="superscript"/>
          <w:lang w:val="en-AU"/>
        </w:rPr>
        <w:t>9</w:t>
      </w:r>
      <w:r w:rsidRPr="006F2096">
        <w:rPr>
          <w:sz w:val="22"/>
          <w:szCs w:val="22"/>
          <w:lang w:val="en-AU"/>
        </w:rPr>
        <w:t>/L</w:t>
      </w:r>
      <w:r w:rsidR="00817FA2">
        <w:rPr>
          <w:sz w:val="22"/>
          <w:szCs w:val="22"/>
          <w:lang w:val="en-AU"/>
        </w:rPr>
        <w:t>.</w:t>
      </w:r>
    </w:p>
    <w:p w:rsidR="006263C5" w:rsidRDefault="006263C5" w:rsidP="006263C5">
      <w:pPr>
        <w:spacing w:before="120"/>
        <w:jc w:val="both"/>
        <w:rPr>
          <w:sz w:val="22"/>
          <w:szCs w:val="22"/>
          <w:lang w:val="en-AU"/>
        </w:rPr>
      </w:pPr>
      <w:r w:rsidRPr="006263C5">
        <w:rPr>
          <w:sz w:val="22"/>
          <w:szCs w:val="22"/>
          <w:lang w:val="en-AU"/>
        </w:rPr>
        <w:t xml:space="preserve">Instructions for dose interruptions and reductions for </w:t>
      </w:r>
      <w:proofErr w:type="spellStart"/>
      <w:r w:rsidRPr="006263C5">
        <w:rPr>
          <w:sz w:val="22"/>
          <w:szCs w:val="22"/>
          <w:lang w:val="en-AU"/>
        </w:rPr>
        <w:t>pomalidomide</w:t>
      </w:r>
      <w:proofErr w:type="spellEnd"/>
      <w:r w:rsidRPr="006263C5">
        <w:rPr>
          <w:sz w:val="22"/>
          <w:szCs w:val="22"/>
          <w:lang w:val="en-AU"/>
        </w:rPr>
        <w:t xml:space="preserve"> related to </w:t>
      </w:r>
      <w:proofErr w:type="spellStart"/>
      <w:r w:rsidRPr="006263C5">
        <w:rPr>
          <w:sz w:val="22"/>
          <w:szCs w:val="22"/>
          <w:lang w:val="en-AU"/>
        </w:rPr>
        <w:t>haematologic</w:t>
      </w:r>
      <w:proofErr w:type="spellEnd"/>
      <w:r w:rsidRPr="006263C5">
        <w:rPr>
          <w:sz w:val="22"/>
          <w:szCs w:val="22"/>
          <w:lang w:val="en-AU"/>
        </w:rPr>
        <w:t xml:space="preserve"> adverse</w:t>
      </w:r>
      <w:r>
        <w:rPr>
          <w:sz w:val="22"/>
          <w:szCs w:val="22"/>
          <w:lang w:val="en-AU"/>
        </w:rPr>
        <w:t xml:space="preserve"> </w:t>
      </w:r>
      <w:r w:rsidR="00136419">
        <w:rPr>
          <w:sz w:val="22"/>
          <w:szCs w:val="22"/>
          <w:lang w:val="en-AU"/>
        </w:rPr>
        <w:t>reactions are outlined in T</w:t>
      </w:r>
      <w:r w:rsidRPr="006263C5">
        <w:rPr>
          <w:sz w:val="22"/>
          <w:szCs w:val="22"/>
          <w:lang w:val="en-AU"/>
        </w:rPr>
        <w:t xml:space="preserve">able </w:t>
      </w:r>
      <w:r w:rsidR="00136419">
        <w:rPr>
          <w:sz w:val="22"/>
          <w:szCs w:val="22"/>
          <w:lang w:val="en-AU"/>
        </w:rPr>
        <w:t xml:space="preserve">5 </w:t>
      </w:r>
      <w:r w:rsidRPr="006263C5">
        <w:rPr>
          <w:sz w:val="22"/>
          <w:szCs w:val="22"/>
          <w:lang w:val="en-AU"/>
        </w:rPr>
        <w:t>below:</w:t>
      </w:r>
    </w:p>
    <w:p w:rsidR="006263C5" w:rsidRDefault="006263C5" w:rsidP="006263C5">
      <w:pPr>
        <w:jc w:val="both"/>
        <w:rPr>
          <w:sz w:val="22"/>
          <w:szCs w:val="22"/>
          <w:lang w:val="en-AU"/>
        </w:rPr>
      </w:pPr>
    </w:p>
    <w:p w:rsidR="009E019B" w:rsidRPr="00136419" w:rsidRDefault="00136419" w:rsidP="006263C5">
      <w:pPr>
        <w:jc w:val="both"/>
        <w:rPr>
          <w:b/>
          <w:sz w:val="22"/>
          <w:szCs w:val="22"/>
          <w:lang w:val="en-AU"/>
        </w:rPr>
      </w:pPr>
      <w:r w:rsidRPr="00136419">
        <w:rPr>
          <w:b/>
          <w:sz w:val="22"/>
          <w:szCs w:val="22"/>
          <w:lang w:val="en-AU"/>
        </w:rPr>
        <w:t>Table 5 – Dose modification instructions for ha</w:t>
      </w:r>
      <w:r w:rsidR="00104338">
        <w:rPr>
          <w:b/>
          <w:sz w:val="22"/>
          <w:szCs w:val="22"/>
          <w:lang w:val="en-AU"/>
        </w:rPr>
        <w:t>e</w:t>
      </w:r>
      <w:r w:rsidRPr="00136419">
        <w:rPr>
          <w:b/>
          <w:sz w:val="22"/>
          <w:szCs w:val="22"/>
          <w:lang w:val="en-AU"/>
        </w:rPr>
        <w:t>matologic</w:t>
      </w:r>
      <w:r w:rsidR="00104338">
        <w:rPr>
          <w:b/>
          <w:sz w:val="22"/>
          <w:szCs w:val="22"/>
          <w:lang w:val="en-AU"/>
        </w:rPr>
        <w:t>al</w:t>
      </w:r>
      <w:r w:rsidRPr="00136419">
        <w:rPr>
          <w:b/>
          <w:sz w:val="22"/>
          <w:szCs w:val="22"/>
          <w:lang w:val="en-AU"/>
        </w:rPr>
        <w:t xml:space="preserve"> toxicities</w:t>
      </w:r>
    </w:p>
    <w:p w:rsidR="00136419" w:rsidRDefault="00136419" w:rsidP="006263C5">
      <w:pPr>
        <w:jc w:val="both"/>
        <w:rPr>
          <w:sz w:val="22"/>
          <w:szCs w:val="22"/>
          <w:lang w:val="en-A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5074"/>
      </w:tblGrid>
      <w:tr w:rsidR="00EF66C5" w:rsidRPr="00F77E74" w:rsidTr="00061B30">
        <w:tc>
          <w:tcPr>
            <w:tcW w:w="9214" w:type="dxa"/>
            <w:gridSpan w:val="2"/>
            <w:tcBorders>
              <w:left w:val="single" w:sz="4" w:space="0" w:color="auto"/>
              <w:bottom w:val="single" w:sz="4" w:space="0" w:color="auto"/>
              <w:right w:val="single" w:sz="4" w:space="0" w:color="auto"/>
            </w:tcBorders>
            <w:shd w:val="clear" w:color="auto" w:fill="D9D9D9" w:themeFill="background1" w:themeFillShade="D9"/>
          </w:tcPr>
          <w:p w:rsidR="00EF66C5" w:rsidRPr="00095FCB" w:rsidRDefault="00B6352A" w:rsidP="00EF66C5">
            <w:pPr>
              <w:spacing w:before="40" w:after="40"/>
              <w:jc w:val="center"/>
              <w:rPr>
                <w:b/>
                <w:sz w:val="22"/>
                <w:szCs w:val="22"/>
                <w:lang w:val="en-AU"/>
              </w:rPr>
            </w:pPr>
            <w:r>
              <w:rPr>
                <w:b/>
                <w:sz w:val="22"/>
                <w:szCs w:val="22"/>
                <w:lang w:val="en-AU"/>
              </w:rPr>
              <w:t>Thrombocytopenia (</w:t>
            </w:r>
            <w:r w:rsidR="00EF66C5" w:rsidRPr="00095FCB">
              <w:rPr>
                <w:b/>
                <w:sz w:val="22"/>
                <w:szCs w:val="22"/>
                <w:lang w:val="en-AU"/>
              </w:rPr>
              <w:t>Platelet counts</w:t>
            </w:r>
            <w:r>
              <w:rPr>
                <w:b/>
                <w:sz w:val="22"/>
                <w:szCs w:val="22"/>
                <w:lang w:val="en-AU"/>
              </w:rPr>
              <w:t>)</w:t>
            </w:r>
          </w:p>
        </w:tc>
      </w:tr>
      <w:tr w:rsidR="00EF66C5" w:rsidRPr="00F77E74" w:rsidTr="00EF66C5">
        <w:tc>
          <w:tcPr>
            <w:tcW w:w="4140" w:type="dxa"/>
            <w:tcBorders>
              <w:left w:val="single" w:sz="4" w:space="0" w:color="auto"/>
              <w:bottom w:val="single" w:sz="4" w:space="0" w:color="auto"/>
              <w:right w:val="single" w:sz="4" w:space="0" w:color="auto"/>
            </w:tcBorders>
          </w:tcPr>
          <w:p w:rsidR="00EF66C5" w:rsidRPr="006F2096" w:rsidRDefault="00EF66C5" w:rsidP="00EF66C5">
            <w:pPr>
              <w:spacing w:before="40" w:after="40"/>
              <w:rPr>
                <w:b/>
                <w:sz w:val="22"/>
                <w:szCs w:val="22"/>
                <w:lang w:val="en-AU"/>
              </w:rPr>
            </w:pPr>
            <w:r w:rsidRPr="006F2096">
              <w:rPr>
                <w:b/>
                <w:sz w:val="22"/>
                <w:szCs w:val="22"/>
                <w:lang w:val="en-AU"/>
              </w:rPr>
              <w:t>When platelets</w:t>
            </w:r>
          </w:p>
        </w:tc>
        <w:tc>
          <w:tcPr>
            <w:tcW w:w="5074" w:type="dxa"/>
            <w:tcBorders>
              <w:left w:val="single" w:sz="4" w:space="0" w:color="auto"/>
              <w:bottom w:val="single" w:sz="4" w:space="0" w:color="auto"/>
              <w:right w:val="single" w:sz="4" w:space="0" w:color="auto"/>
            </w:tcBorders>
          </w:tcPr>
          <w:p w:rsidR="00EF66C5" w:rsidRPr="00F77E74" w:rsidRDefault="00EF66C5" w:rsidP="00B031B8">
            <w:pPr>
              <w:keepNext/>
              <w:spacing w:before="40" w:after="40"/>
              <w:rPr>
                <w:b/>
                <w:sz w:val="22"/>
                <w:szCs w:val="22"/>
                <w:lang w:val="en-AU"/>
              </w:rPr>
            </w:pPr>
            <w:r w:rsidRPr="00F77E74">
              <w:rPr>
                <w:b/>
                <w:sz w:val="22"/>
                <w:szCs w:val="22"/>
                <w:lang w:val="en-AU"/>
              </w:rPr>
              <w:t xml:space="preserve">Recommended </w:t>
            </w:r>
            <w:r w:rsidR="00B031B8">
              <w:rPr>
                <w:b/>
                <w:sz w:val="22"/>
                <w:szCs w:val="22"/>
                <w:lang w:val="en-AU"/>
              </w:rPr>
              <w:t xml:space="preserve">treatment with </w:t>
            </w:r>
            <w:proofErr w:type="spellStart"/>
            <w:r w:rsidR="00B031B8">
              <w:rPr>
                <w:b/>
                <w:sz w:val="22"/>
                <w:szCs w:val="22"/>
                <w:lang w:val="en-AU"/>
              </w:rPr>
              <w:t>pomalidomide</w:t>
            </w:r>
            <w:proofErr w:type="spellEnd"/>
          </w:p>
        </w:tc>
      </w:tr>
      <w:tr w:rsidR="00EF66C5" w:rsidRPr="00F77E74" w:rsidTr="00273DED">
        <w:tc>
          <w:tcPr>
            <w:tcW w:w="4140" w:type="dxa"/>
            <w:tcBorders>
              <w:left w:val="single" w:sz="4" w:space="0" w:color="auto"/>
              <w:bottom w:val="nil"/>
              <w:right w:val="single" w:sz="4" w:space="0" w:color="auto"/>
            </w:tcBorders>
          </w:tcPr>
          <w:p w:rsidR="00EF66C5" w:rsidRPr="00273DED" w:rsidRDefault="00EF66C5" w:rsidP="00273DED">
            <w:pPr>
              <w:pStyle w:val="ListParagraph"/>
              <w:numPr>
                <w:ilvl w:val="0"/>
                <w:numId w:val="43"/>
              </w:numPr>
              <w:spacing w:before="40" w:after="40"/>
              <w:ind w:left="342" w:hanging="342"/>
              <w:rPr>
                <w:sz w:val="22"/>
                <w:szCs w:val="22"/>
                <w:lang w:val="en-AU"/>
              </w:rPr>
            </w:pPr>
            <w:r w:rsidRPr="00273DED">
              <w:rPr>
                <w:sz w:val="22"/>
                <w:szCs w:val="22"/>
                <w:lang w:val="en-AU"/>
              </w:rPr>
              <w:t>First fall to &lt; </w:t>
            </w:r>
            <w:r w:rsidR="006263C5" w:rsidRPr="00273DED">
              <w:rPr>
                <w:sz w:val="22"/>
                <w:szCs w:val="22"/>
                <w:lang w:val="en-AU"/>
              </w:rPr>
              <w:t>25</w:t>
            </w:r>
            <w:r w:rsidRPr="00273DED">
              <w:rPr>
                <w:sz w:val="22"/>
                <w:szCs w:val="22"/>
                <w:lang w:val="en-AU"/>
              </w:rPr>
              <w:t> x 10</w:t>
            </w:r>
            <w:r w:rsidRPr="00273DED">
              <w:rPr>
                <w:sz w:val="22"/>
                <w:szCs w:val="22"/>
                <w:vertAlign w:val="superscript"/>
                <w:lang w:val="en-AU"/>
              </w:rPr>
              <w:t>9</w:t>
            </w:r>
            <w:r w:rsidRPr="00273DED">
              <w:rPr>
                <w:sz w:val="22"/>
                <w:szCs w:val="22"/>
                <w:lang w:val="en-AU"/>
              </w:rPr>
              <w:t>/L</w:t>
            </w:r>
          </w:p>
        </w:tc>
        <w:tc>
          <w:tcPr>
            <w:tcW w:w="5074" w:type="dxa"/>
            <w:tcBorders>
              <w:left w:val="single" w:sz="4" w:space="0" w:color="auto"/>
              <w:bottom w:val="nil"/>
              <w:right w:val="single" w:sz="4" w:space="0" w:color="auto"/>
            </w:tcBorders>
          </w:tcPr>
          <w:p w:rsidR="00EF66C5" w:rsidRPr="00F77E74" w:rsidRDefault="00EF66C5" w:rsidP="00EF66C5">
            <w:pPr>
              <w:keepLines/>
              <w:spacing w:before="40" w:after="40"/>
              <w:rPr>
                <w:sz w:val="22"/>
                <w:szCs w:val="22"/>
                <w:lang w:val="en-AU"/>
              </w:rPr>
            </w:pPr>
            <w:r w:rsidRPr="00F77E74">
              <w:rPr>
                <w:sz w:val="22"/>
                <w:szCs w:val="22"/>
                <w:lang w:val="en-AU"/>
              </w:rPr>
              <w:t>Interrupt treatment</w:t>
            </w:r>
            <w:r w:rsidR="006263C5">
              <w:rPr>
                <w:sz w:val="22"/>
                <w:szCs w:val="22"/>
                <w:lang w:val="en-AU"/>
              </w:rPr>
              <w:t>, follow CBC weekly</w:t>
            </w:r>
          </w:p>
        </w:tc>
      </w:tr>
      <w:tr w:rsidR="00EF66C5" w:rsidRPr="00F77E74" w:rsidTr="00273DED">
        <w:tc>
          <w:tcPr>
            <w:tcW w:w="4140" w:type="dxa"/>
            <w:tcBorders>
              <w:top w:val="nil"/>
              <w:left w:val="single" w:sz="4" w:space="0" w:color="auto"/>
              <w:bottom w:val="single" w:sz="4" w:space="0" w:color="auto"/>
              <w:right w:val="single" w:sz="4" w:space="0" w:color="auto"/>
            </w:tcBorders>
          </w:tcPr>
          <w:p w:rsidR="00EF66C5" w:rsidRPr="00273DED" w:rsidRDefault="00EF66C5" w:rsidP="00273DED">
            <w:pPr>
              <w:pStyle w:val="ListParagraph"/>
              <w:numPr>
                <w:ilvl w:val="0"/>
                <w:numId w:val="43"/>
              </w:numPr>
              <w:spacing w:before="40" w:after="40"/>
              <w:ind w:left="342" w:hanging="342"/>
              <w:rPr>
                <w:sz w:val="22"/>
                <w:szCs w:val="22"/>
                <w:lang w:val="en-AU"/>
              </w:rPr>
            </w:pPr>
            <w:r w:rsidRPr="00273DED">
              <w:rPr>
                <w:sz w:val="22"/>
                <w:szCs w:val="22"/>
                <w:lang w:val="en-AU"/>
              </w:rPr>
              <w:t>Return to ≥ </w:t>
            </w:r>
            <w:r w:rsidR="006263C5" w:rsidRPr="00273DED">
              <w:rPr>
                <w:sz w:val="22"/>
                <w:szCs w:val="22"/>
                <w:lang w:val="en-AU"/>
              </w:rPr>
              <w:t>50</w:t>
            </w:r>
            <w:r w:rsidRPr="00273DED">
              <w:rPr>
                <w:sz w:val="22"/>
                <w:szCs w:val="22"/>
                <w:lang w:val="en-AU"/>
              </w:rPr>
              <w:t> x 10</w:t>
            </w:r>
            <w:r w:rsidRPr="00273DED">
              <w:rPr>
                <w:sz w:val="22"/>
                <w:szCs w:val="22"/>
                <w:vertAlign w:val="superscript"/>
                <w:lang w:val="en-AU"/>
              </w:rPr>
              <w:t>9</w:t>
            </w:r>
            <w:r w:rsidRPr="00273DED">
              <w:rPr>
                <w:sz w:val="22"/>
                <w:szCs w:val="22"/>
                <w:lang w:val="en-AU"/>
              </w:rPr>
              <w:t>/L</w:t>
            </w:r>
          </w:p>
        </w:tc>
        <w:tc>
          <w:tcPr>
            <w:tcW w:w="5074" w:type="dxa"/>
            <w:tcBorders>
              <w:top w:val="nil"/>
              <w:left w:val="single" w:sz="4" w:space="0" w:color="auto"/>
              <w:bottom w:val="single" w:sz="4" w:space="0" w:color="auto"/>
              <w:right w:val="single" w:sz="4" w:space="0" w:color="auto"/>
            </w:tcBorders>
          </w:tcPr>
          <w:p w:rsidR="00EF66C5" w:rsidRPr="00F77E74" w:rsidRDefault="00EF66C5" w:rsidP="006263C5">
            <w:pPr>
              <w:keepLines/>
              <w:spacing w:before="40" w:after="40"/>
              <w:rPr>
                <w:sz w:val="22"/>
                <w:szCs w:val="22"/>
                <w:lang w:val="en-AU"/>
              </w:rPr>
            </w:pPr>
            <w:r w:rsidRPr="00F77E74">
              <w:rPr>
                <w:sz w:val="22"/>
                <w:szCs w:val="22"/>
                <w:lang w:val="en-AU"/>
              </w:rPr>
              <w:t xml:space="preserve">Resume </w:t>
            </w:r>
            <w:r w:rsidR="006263C5">
              <w:rPr>
                <w:sz w:val="22"/>
                <w:szCs w:val="22"/>
                <w:lang w:val="en-AU"/>
              </w:rPr>
              <w:t>treatment at 3 mg daily</w:t>
            </w:r>
          </w:p>
        </w:tc>
      </w:tr>
      <w:tr w:rsidR="00EF66C5" w:rsidRPr="00F77E74" w:rsidTr="00273DED">
        <w:tc>
          <w:tcPr>
            <w:tcW w:w="4140" w:type="dxa"/>
            <w:tcBorders>
              <w:left w:val="single" w:sz="4" w:space="0" w:color="auto"/>
              <w:bottom w:val="nil"/>
              <w:right w:val="single" w:sz="4" w:space="0" w:color="auto"/>
            </w:tcBorders>
          </w:tcPr>
          <w:p w:rsidR="00EF66C5" w:rsidRPr="00273DED" w:rsidRDefault="00EF66C5" w:rsidP="00273DED">
            <w:pPr>
              <w:pStyle w:val="ListParagraph"/>
              <w:numPr>
                <w:ilvl w:val="0"/>
                <w:numId w:val="43"/>
              </w:numPr>
              <w:spacing w:before="40" w:after="40"/>
              <w:ind w:left="342" w:hanging="342"/>
              <w:rPr>
                <w:sz w:val="22"/>
                <w:szCs w:val="22"/>
                <w:lang w:val="en-AU"/>
              </w:rPr>
            </w:pPr>
            <w:r w:rsidRPr="00273DED">
              <w:rPr>
                <w:sz w:val="22"/>
                <w:szCs w:val="22"/>
                <w:lang w:val="en-AU"/>
              </w:rPr>
              <w:t xml:space="preserve">For each subsequent drop below </w:t>
            </w:r>
            <w:r w:rsidR="006263C5" w:rsidRPr="00273DED">
              <w:rPr>
                <w:sz w:val="22"/>
                <w:szCs w:val="22"/>
                <w:lang w:val="en-AU"/>
              </w:rPr>
              <w:t>25</w:t>
            </w:r>
            <w:r w:rsidRPr="00273DED">
              <w:rPr>
                <w:sz w:val="22"/>
                <w:szCs w:val="22"/>
                <w:lang w:val="en-AU"/>
              </w:rPr>
              <w:t> x 10</w:t>
            </w:r>
            <w:r w:rsidRPr="00273DED">
              <w:rPr>
                <w:sz w:val="22"/>
                <w:szCs w:val="22"/>
                <w:vertAlign w:val="superscript"/>
                <w:lang w:val="en-AU"/>
              </w:rPr>
              <w:t>9</w:t>
            </w:r>
            <w:r w:rsidRPr="00273DED">
              <w:rPr>
                <w:sz w:val="22"/>
                <w:szCs w:val="22"/>
                <w:lang w:val="en-AU"/>
              </w:rPr>
              <w:t>/L</w:t>
            </w:r>
          </w:p>
        </w:tc>
        <w:tc>
          <w:tcPr>
            <w:tcW w:w="5074" w:type="dxa"/>
            <w:tcBorders>
              <w:left w:val="single" w:sz="4" w:space="0" w:color="auto"/>
              <w:bottom w:val="nil"/>
              <w:right w:val="single" w:sz="4" w:space="0" w:color="auto"/>
            </w:tcBorders>
          </w:tcPr>
          <w:p w:rsidR="00EF66C5" w:rsidRPr="00F77E74" w:rsidRDefault="00EF66C5" w:rsidP="006263C5">
            <w:pPr>
              <w:keepLines/>
              <w:spacing w:before="40" w:after="40"/>
              <w:rPr>
                <w:sz w:val="22"/>
                <w:szCs w:val="22"/>
                <w:lang w:val="en-AU"/>
              </w:rPr>
            </w:pPr>
            <w:r w:rsidRPr="00F77E74">
              <w:rPr>
                <w:sz w:val="22"/>
                <w:szCs w:val="22"/>
                <w:lang w:val="en-AU"/>
              </w:rPr>
              <w:t>Interrupt treatment</w:t>
            </w:r>
          </w:p>
        </w:tc>
      </w:tr>
      <w:tr w:rsidR="00B6352A" w:rsidRPr="00F77E74" w:rsidTr="00273DED">
        <w:tc>
          <w:tcPr>
            <w:tcW w:w="4140" w:type="dxa"/>
            <w:tcBorders>
              <w:top w:val="nil"/>
              <w:left w:val="single" w:sz="4" w:space="0" w:color="auto"/>
              <w:bottom w:val="single" w:sz="4" w:space="0" w:color="auto"/>
              <w:right w:val="single" w:sz="4" w:space="0" w:color="auto"/>
            </w:tcBorders>
          </w:tcPr>
          <w:p w:rsidR="00B6352A" w:rsidRPr="00273DED" w:rsidRDefault="00B6352A" w:rsidP="00273DED">
            <w:pPr>
              <w:pStyle w:val="ListParagraph"/>
              <w:numPr>
                <w:ilvl w:val="0"/>
                <w:numId w:val="43"/>
              </w:numPr>
              <w:spacing w:before="40" w:after="40"/>
              <w:ind w:left="342" w:hanging="342"/>
              <w:rPr>
                <w:sz w:val="22"/>
                <w:szCs w:val="22"/>
                <w:lang w:val="en-AU"/>
              </w:rPr>
            </w:pPr>
            <w:r w:rsidRPr="00273DED">
              <w:rPr>
                <w:sz w:val="22"/>
                <w:szCs w:val="22"/>
                <w:lang w:val="en-AU"/>
              </w:rPr>
              <w:t>Return to ≥ 50 x 10</w:t>
            </w:r>
            <w:r w:rsidRPr="00273DED">
              <w:rPr>
                <w:sz w:val="22"/>
                <w:szCs w:val="22"/>
                <w:vertAlign w:val="superscript"/>
                <w:lang w:val="en-AU"/>
              </w:rPr>
              <w:t>9</w:t>
            </w:r>
            <w:r w:rsidRPr="00273DED">
              <w:rPr>
                <w:sz w:val="22"/>
                <w:szCs w:val="22"/>
                <w:lang w:val="en-AU"/>
              </w:rPr>
              <w:t>/L</w:t>
            </w:r>
          </w:p>
        </w:tc>
        <w:tc>
          <w:tcPr>
            <w:tcW w:w="5074" w:type="dxa"/>
            <w:tcBorders>
              <w:top w:val="nil"/>
              <w:left w:val="single" w:sz="4" w:space="0" w:color="auto"/>
              <w:bottom w:val="single" w:sz="4" w:space="0" w:color="auto"/>
              <w:right w:val="single" w:sz="4" w:space="0" w:color="auto"/>
            </w:tcBorders>
          </w:tcPr>
          <w:p w:rsidR="00B6352A" w:rsidRPr="00F77E74" w:rsidRDefault="00B6352A" w:rsidP="00EF66C5">
            <w:pPr>
              <w:keepLines/>
              <w:spacing w:before="40" w:after="40"/>
              <w:rPr>
                <w:sz w:val="22"/>
                <w:szCs w:val="22"/>
                <w:lang w:val="en-AU"/>
              </w:rPr>
            </w:pPr>
            <w:r w:rsidRPr="00F77E74">
              <w:rPr>
                <w:sz w:val="22"/>
                <w:szCs w:val="22"/>
                <w:lang w:val="en-AU"/>
              </w:rPr>
              <w:t xml:space="preserve">Resume </w:t>
            </w:r>
            <w:r>
              <w:rPr>
                <w:sz w:val="22"/>
                <w:szCs w:val="22"/>
                <w:lang w:val="en-AU"/>
              </w:rPr>
              <w:t>treatment at 1 mg less than previous dose</w:t>
            </w:r>
            <w:r w:rsidRPr="00F77E74">
              <w:rPr>
                <w:sz w:val="22"/>
                <w:szCs w:val="22"/>
                <w:lang w:val="en-AU"/>
              </w:rPr>
              <w:t>.</w:t>
            </w:r>
          </w:p>
        </w:tc>
      </w:tr>
      <w:tr w:rsidR="00EF66C5" w:rsidRPr="00F77E74" w:rsidTr="00061B30">
        <w:tc>
          <w:tcPr>
            <w:tcW w:w="4140" w:type="dxa"/>
            <w:tcBorders>
              <w:left w:val="nil"/>
              <w:bottom w:val="single" w:sz="4" w:space="0" w:color="auto"/>
              <w:right w:val="nil"/>
            </w:tcBorders>
          </w:tcPr>
          <w:p w:rsidR="00EF66C5" w:rsidRPr="006F2096" w:rsidRDefault="00EF66C5" w:rsidP="00EF66C5">
            <w:pPr>
              <w:rPr>
                <w:sz w:val="22"/>
                <w:szCs w:val="22"/>
                <w:lang w:val="en-AU"/>
              </w:rPr>
            </w:pPr>
          </w:p>
        </w:tc>
        <w:tc>
          <w:tcPr>
            <w:tcW w:w="5074" w:type="dxa"/>
            <w:tcBorders>
              <w:left w:val="nil"/>
              <w:bottom w:val="single" w:sz="4" w:space="0" w:color="auto"/>
              <w:right w:val="nil"/>
            </w:tcBorders>
          </w:tcPr>
          <w:p w:rsidR="00EF66C5" w:rsidRPr="00F77E74" w:rsidRDefault="00EF66C5" w:rsidP="00EF66C5">
            <w:pPr>
              <w:keepLines/>
              <w:rPr>
                <w:sz w:val="22"/>
                <w:szCs w:val="22"/>
                <w:lang w:val="en-AU"/>
              </w:rPr>
            </w:pPr>
          </w:p>
        </w:tc>
      </w:tr>
      <w:tr w:rsidR="00EF66C5" w:rsidRPr="00F77E74" w:rsidTr="00061B30">
        <w:trPr>
          <w:tblHeader/>
        </w:trPr>
        <w:tc>
          <w:tcPr>
            <w:tcW w:w="9214" w:type="dxa"/>
            <w:gridSpan w:val="2"/>
            <w:tcBorders>
              <w:left w:val="single" w:sz="4" w:space="0" w:color="auto"/>
              <w:bottom w:val="single" w:sz="4" w:space="0" w:color="auto"/>
              <w:right w:val="single" w:sz="4" w:space="0" w:color="auto"/>
            </w:tcBorders>
            <w:shd w:val="clear" w:color="auto" w:fill="D9D9D9" w:themeFill="background1" w:themeFillShade="D9"/>
          </w:tcPr>
          <w:p w:rsidR="00EF66C5" w:rsidRPr="00095FCB" w:rsidRDefault="00B6352A" w:rsidP="00EF66C5">
            <w:pPr>
              <w:spacing w:before="40" w:after="40"/>
              <w:ind w:left="-108"/>
              <w:jc w:val="center"/>
              <w:rPr>
                <w:b/>
                <w:sz w:val="22"/>
                <w:szCs w:val="22"/>
                <w:lang w:val="en-AU"/>
              </w:rPr>
            </w:pPr>
            <w:r>
              <w:rPr>
                <w:b/>
                <w:sz w:val="22"/>
                <w:szCs w:val="22"/>
                <w:lang w:val="en-AU"/>
              </w:rPr>
              <w:t>Neutropenia [</w:t>
            </w:r>
            <w:r w:rsidR="00EF66C5" w:rsidRPr="00095FCB">
              <w:rPr>
                <w:b/>
                <w:sz w:val="22"/>
                <w:szCs w:val="22"/>
                <w:lang w:val="en-AU"/>
              </w:rPr>
              <w:t>Absolute Neutrophil counts (ANC)</w:t>
            </w:r>
            <w:r>
              <w:rPr>
                <w:b/>
                <w:sz w:val="22"/>
                <w:szCs w:val="22"/>
                <w:lang w:val="en-AU"/>
              </w:rPr>
              <w:t>]</w:t>
            </w:r>
          </w:p>
        </w:tc>
      </w:tr>
      <w:tr w:rsidR="00EF66C5" w:rsidRPr="00F77E74" w:rsidTr="00EF66C5">
        <w:trPr>
          <w:tblHeader/>
        </w:trPr>
        <w:tc>
          <w:tcPr>
            <w:tcW w:w="4140" w:type="dxa"/>
            <w:tcBorders>
              <w:left w:val="single" w:sz="4" w:space="0" w:color="auto"/>
              <w:bottom w:val="single" w:sz="4" w:space="0" w:color="auto"/>
              <w:right w:val="single" w:sz="4" w:space="0" w:color="auto"/>
            </w:tcBorders>
          </w:tcPr>
          <w:p w:rsidR="00EF66C5" w:rsidRPr="00095FCB" w:rsidRDefault="00EF66C5" w:rsidP="00B6352A">
            <w:pPr>
              <w:spacing w:before="40" w:after="40"/>
              <w:rPr>
                <w:b/>
                <w:sz w:val="22"/>
                <w:szCs w:val="22"/>
                <w:lang w:val="en-AU"/>
              </w:rPr>
            </w:pPr>
            <w:r w:rsidRPr="00095FCB">
              <w:rPr>
                <w:b/>
                <w:sz w:val="22"/>
                <w:szCs w:val="22"/>
                <w:lang w:val="en-AU"/>
              </w:rPr>
              <w:t xml:space="preserve">When </w:t>
            </w:r>
            <w:r w:rsidR="00B6352A">
              <w:rPr>
                <w:b/>
                <w:sz w:val="22"/>
                <w:szCs w:val="22"/>
                <w:lang w:val="en-AU"/>
              </w:rPr>
              <w:t>ANC</w:t>
            </w:r>
            <w:r w:rsidRPr="00095FCB">
              <w:rPr>
                <w:b/>
                <w:sz w:val="22"/>
                <w:szCs w:val="22"/>
                <w:lang w:val="en-AU"/>
              </w:rPr>
              <w:t>:</w:t>
            </w:r>
          </w:p>
        </w:tc>
        <w:tc>
          <w:tcPr>
            <w:tcW w:w="5074" w:type="dxa"/>
            <w:tcBorders>
              <w:left w:val="single" w:sz="4" w:space="0" w:color="auto"/>
              <w:bottom w:val="single" w:sz="4" w:space="0" w:color="auto"/>
              <w:right w:val="single" w:sz="4" w:space="0" w:color="auto"/>
            </w:tcBorders>
          </w:tcPr>
          <w:p w:rsidR="00EF66C5" w:rsidRPr="00F77E74" w:rsidRDefault="00EF66C5" w:rsidP="00B031B8">
            <w:pPr>
              <w:spacing w:before="40" w:after="40"/>
              <w:rPr>
                <w:b/>
                <w:sz w:val="22"/>
                <w:szCs w:val="22"/>
                <w:lang w:val="en-AU"/>
              </w:rPr>
            </w:pPr>
            <w:r w:rsidRPr="00F77E74">
              <w:rPr>
                <w:b/>
                <w:sz w:val="22"/>
                <w:szCs w:val="22"/>
                <w:lang w:val="en-AU"/>
              </w:rPr>
              <w:t xml:space="preserve">Recommended </w:t>
            </w:r>
            <w:r w:rsidR="00B031B8">
              <w:rPr>
                <w:b/>
                <w:sz w:val="22"/>
                <w:szCs w:val="22"/>
                <w:lang w:val="en-AU"/>
              </w:rPr>
              <w:t xml:space="preserve">treatment with </w:t>
            </w:r>
            <w:proofErr w:type="spellStart"/>
            <w:r w:rsidR="00B031B8">
              <w:rPr>
                <w:b/>
                <w:sz w:val="22"/>
                <w:szCs w:val="22"/>
                <w:lang w:val="en-AU"/>
              </w:rPr>
              <w:t>pomalidomide</w:t>
            </w:r>
            <w:proofErr w:type="spellEnd"/>
          </w:p>
        </w:tc>
      </w:tr>
      <w:tr w:rsidR="00EF66C5" w:rsidRPr="00F77E74" w:rsidTr="00273DED">
        <w:tc>
          <w:tcPr>
            <w:tcW w:w="4140" w:type="dxa"/>
            <w:tcBorders>
              <w:left w:val="single" w:sz="4" w:space="0" w:color="auto"/>
              <w:bottom w:val="nil"/>
              <w:right w:val="single" w:sz="4" w:space="0" w:color="auto"/>
            </w:tcBorders>
          </w:tcPr>
          <w:p w:rsidR="00EF66C5" w:rsidRPr="00273DED" w:rsidRDefault="00EF66C5" w:rsidP="00273DED">
            <w:pPr>
              <w:pStyle w:val="ListParagraph"/>
              <w:numPr>
                <w:ilvl w:val="0"/>
                <w:numId w:val="43"/>
              </w:numPr>
              <w:spacing w:before="40" w:after="40"/>
              <w:ind w:left="342" w:hanging="342"/>
              <w:rPr>
                <w:sz w:val="22"/>
                <w:szCs w:val="22"/>
                <w:lang w:val="en-AU"/>
              </w:rPr>
            </w:pPr>
            <w:r w:rsidRPr="00273DED">
              <w:rPr>
                <w:sz w:val="22"/>
                <w:szCs w:val="22"/>
                <w:lang w:val="en-AU"/>
              </w:rPr>
              <w:t>First fall to &lt; 0.5 x 10</w:t>
            </w:r>
            <w:r w:rsidRPr="00273DED">
              <w:rPr>
                <w:sz w:val="22"/>
                <w:szCs w:val="22"/>
                <w:vertAlign w:val="superscript"/>
                <w:lang w:val="en-AU"/>
              </w:rPr>
              <w:t>9</w:t>
            </w:r>
            <w:r w:rsidRPr="00273DED">
              <w:rPr>
                <w:sz w:val="22"/>
                <w:szCs w:val="22"/>
                <w:lang w:val="en-AU"/>
              </w:rPr>
              <w:t>/L</w:t>
            </w:r>
            <w:r w:rsidR="006263C5" w:rsidRPr="00273DED">
              <w:rPr>
                <w:sz w:val="22"/>
                <w:szCs w:val="22"/>
                <w:lang w:val="en-AU"/>
              </w:rPr>
              <w:t>, or febrile neutropenia is observed (fever ≥</w:t>
            </w:r>
            <w:r w:rsidR="00273DED" w:rsidRPr="00273DED">
              <w:rPr>
                <w:sz w:val="22"/>
                <w:szCs w:val="22"/>
                <w:lang w:val="en-AU"/>
              </w:rPr>
              <w:t xml:space="preserve"> </w:t>
            </w:r>
            <w:r w:rsidR="006263C5" w:rsidRPr="00273DED">
              <w:rPr>
                <w:sz w:val="22"/>
                <w:szCs w:val="22"/>
                <w:lang w:val="en-AU"/>
              </w:rPr>
              <w:t>38.5</w:t>
            </w:r>
            <w:r w:rsidR="006263C5">
              <w:t xml:space="preserve"> </w:t>
            </w:r>
            <w:r w:rsidR="006263C5" w:rsidRPr="00273DED">
              <w:rPr>
                <w:sz w:val="22"/>
                <w:szCs w:val="22"/>
                <w:lang w:val="en-AU"/>
              </w:rPr>
              <w:t>°C and ANC &lt; 1 x 10</w:t>
            </w:r>
            <w:r w:rsidR="006263C5" w:rsidRPr="00273DED">
              <w:rPr>
                <w:sz w:val="22"/>
                <w:szCs w:val="22"/>
                <w:vertAlign w:val="superscript"/>
                <w:lang w:val="en-AU"/>
              </w:rPr>
              <w:t>9</w:t>
            </w:r>
            <w:r w:rsidR="006263C5" w:rsidRPr="00273DED">
              <w:rPr>
                <w:sz w:val="22"/>
                <w:szCs w:val="22"/>
                <w:lang w:val="en-AU"/>
              </w:rPr>
              <w:t>/L)</w:t>
            </w:r>
          </w:p>
        </w:tc>
        <w:tc>
          <w:tcPr>
            <w:tcW w:w="5074" w:type="dxa"/>
            <w:tcBorders>
              <w:left w:val="single" w:sz="4" w:space="0" w:color="auto"/>
              <w:bottom w:val="nil"/>
              <w:right w:val="single" w:sz="4" w:space="0" w:color="auto"/>
            </w:tcBorders>
          </w:tcPr>
          <w:p w:rsidR="00EF66C5" w:rsidRPr="00F77E74" w:rsidRDefault="00EF66C5" w:rsidP="00E1311C">
            <w:pPr>
              <w:keepLines/>
              <w:spacing w:before="40" w:after="40"/>
              <w:rPr>
                <w:sz w:val="22"/>
                <w:szCs w:val="22"/>
                <w:lang w:val="en-AU"/>
              </w:rPr>
            </w:pPr>
            <w:r w:rsidRPr="00F77E74">
              <w:rPr>
                <w:sz w:val="22"/>
                <w:szCs w:val="22"/>
                <w:lang w:val="en-AU"/>
              </w:rPr>
              <w:t>Interrupt treatment</w:t>
            </w:r>
            <w:r w:rsidR="006263C5">
              <w:rPr>
                <w:sz w:val="22"/>
                <w:szCs w:val="22"/>
                <w:lang w:val="en-AU"/>
              </w:rPr>
              <w:t>, follow</w:t>
            </w:r>
            <w:r w:rsidR="00221B39">
              <w:rPr>
                <w:sz w:val="22"/>
                <w:szCs w:val="22"/>
                <w:lang w:val="en-AU"/>
              </w:rPr>
              <w:t xml:space="preserve"> up with</w:t>
            </w:r>
            <w:r w:rsidR="006263C5">
              <w:rPr>
                <w:sz w:val="22"/>
                <w:szCs w:val="22"/>
                <w:lang w:val="en-AU"/>
              </w:rPr>
              <w:t xml:space="preserve"> CBC weekly. Consider treatment with G-</w:t>
            </w:r>
            <w:r w:rsidR="006263C5" w:rsidRPr="00B6352A">
              <w:rPr>
                <w:sz w:val="22"/>
                <w:szCs w:val="22"/>
                <w:lang w:val="en-AU"/>
              </w:rPr>
              <w:t xml:space="preserve">CSF </w:t>
            </w:r>
          </w:p>
        </w:tc>
      </w:tr>
      <w:tr w:rsidR="00EF66C5" w:rsidRPr="00F77E74" w:rsidTr="00273DED">
        <w:tc>
          <w:tcPr>
            <w:tcW w:w="4140" w:type="dxa"/>
            <w:tcBorders>
              <w:top w:val="nil"/>
              <w:left w:val="single" w:sz="4" w:space="0" w:color="auto"/>
              <w:bottom w:val="single" w:sz="4" w:space="0" w:color="auto"/>
              <w:right w:val="single" w:sz="4" w:space="0" w:color="auto"/>
            </w:tcBorders>
          </w:tcPr>
          <w:p w:rsidR="00EF66C5" w:rsidRPr="00273DED" w:rsidRDefault="00EF66C5" w:rsidP="00273DED">
            <w:pPr>
              <w:pStyle w:val="ListParagraph"/>
              <w:numPr>
                <w:ilvl w:val="0"/>
                <w:numId w:val="43"/>
              </w:numPr>
              <w:spacing w:before="40" w:after="40"/>
              <w:ind w:left="342" w:hanging="342"/>
              <w:rPr>
                <w:sz w:val="22"/>
                <w:szCs w:val="22"/>
                <w:lang w:val="en-AU"/>
              </w:rPr>
            </w:pPr>
            <w:r w:rsidRPr="00273DED">
              <w:rPr>
                <w:sz w:val="22"/>
                <w:szCs w:val="22"/>
                <w:lang w:val="en-AU"/>
              </w:rPr>
              <w:t>Return to ≥ </w:t>
            </w:r>
            <w:r w:rsidR="00A973DC">
              <w:rPr>
                <w:sz w:val="22"/>
                <w:szCs w:val="22"/>
                <w:lang w:val="en-AU"/>
              </w:rPr>
              <w:t>1</w:t>
            </w:r>
            <w:r w:rsidRPr="00273DED">
              <w:rPr>
                <w:sz w:val="22"/>
                <w:szCs w:val="22"/>
                <w:lang w:val="en-AU"/>
              </w:rPr>
              <w:t> x 10</w:t>
            </w:r>
            <w:r w:rsidRPr="00273DED">
              <w:rPr>
                <w:sz w:val="22"/>
                <w:szCs w:val="22"/>
                <w:vertAlign w:val="superscript"/>
                <w:lang w:val="en-AU"/>
              </w:rPr>
              <w:t>9</w:t>
            </w:r>
            <w:r w:rsidRPr="00273DED">
              <w:rPr>
                <w:sz w:val="22"/>
                <w:szCs w:val="22"/>
                <w:lang w:val="en-AU"/>
              </w:rPr>
              <w:t>/L</w:t>
            </w:r>
          </w:p>
        </w:tc>
        <w:tc>
          <w:tcPr>
            <w:tcW w:w="5074" w:type="dxa"/>
            <w:tcBorders>
              <w:top w:val="nil"/>
              <w:left w:val="single" w:sz="4" w:space="0" w:color="auto"/>
              <w:bottom w:val="single" w:sz="4" w:space="0" w:color="auto"/>
              <w:right w:val="single" w:sz="4" w:space="0" w:color="auto"/>
            </w:tcBorders>
          </w:tcPr>
          <w:p w:rsidR="00EF66C5" w:rsidRPr="00F77E74" w:rsidRDefault="00EF66C5" w:rsidP="006263C5">
            <w:pPr>
              <w:keepLines/>
              <w:spacing w:before="40" w:after="40"/>
              <w:rPr>
                <w:sz w:val="22"/>
                <w:szCs w:val="22"/>
                <w:lang w:val="en-AU"/>
              </w:rPr>
            </w:pPr>
            <w:r w:rsidRPr="00F77E74">
              <w:rPr>
                <w:sz w:val="22"/>
                <w:szCs w:val="22"/>
                <w:lang w:val="en-AU"/>
              </w:rPr>
              <w:t xml:space="preserve">Resume </w:t>
            </w:r>
            <w:r w:rsidR="006263C5">
              <w:rPr>
                <w:sz w:val="22"/>
                <w:szCs w:val="22"/>
                <w:lang w:val="en-AU"/>
              </w:rPr>
              <w:t>treatment at 3 mg daily</w:t>
            </w:r>
          </w:p>
        </w:tc>
      </w:tr>
      <w:tr w:rsidR="00EF66C5" w:rsidRPr="00F77E74" w:rsidTr="00273DED">
        <w:tc>
          <w:tcPr>
            <w:tcW w:w="4140" w:type="dxa"/>
            <w:tcBorders>
              <w:left w:val="single" w:sz="4" w:space="0" w:color="auto"/>
              <w:bottom w:val="nil"/>
              <w:right w:val="single" w:sz="4" w:space="0" w:color="auto"/>
            </w:tcBorders>
          </w:tcPr>
          <w:p w:rsidR="00EF66C5" w:rsidRPr="00273DED" w:rsidRDefault="00EF66C5" w:rsidP="00273DED">
            <w:pPr>
              <w:pStyle w:val="ListParagraph"/>
              <w:numPr>
                <w:ilvl w:val="0"/>
                <w:numId w:val="43"/>
              </w:numPr>
              <w:spacing w:before="40" w:after="40"/>
              <w:ind w:left="342" w:hanging="342"/>
              <w:rPr>
                <w:sz w:val="22"/>
                <w:szCs w:val="22"/>
                <w:lang w:val="en-AU"/>
              </w:rPr>
            </w:pPr>
            <w:r w:rsidRPr="00273DED">
              <w:rPr>
                <w:sz w:val="22"/>
                <w:szCs w:val="22"/>
                <w:lang w:val="en-AU"/>
              </w:rPr>
              <w:t>For each subsequent drop below &lt; 0.5 x 10</w:t>
            </w:r>
            <w:r w:rsidRPr="00273DED">
              <w:rPr>
                <w:sz w:val="22"/>
                <w:szCs w:val="22"/>
                <w:vertAlign w:val="superscript"/>
                <w:lang w:val="en-AU"/>
              </w:rPr>
              <w:t>9</w:t>
            </w:r>
            <w:r w:rsidRPr="00273DED">
              <w:rPr>
                <w:sz w:val="22"/>
                <w:szCs w:val="22"/>
                <w:lang w:val="en-AU"/>
              </w:rPr>
              <w:t>/L</w:t>
            </w:r>
          </w:p>
        </w:tc>
        <w:tc>
          <w:tcPr>
            <w:tcW w:w="5074" w:type="dxa"/>
            <w:tcBorders>
              <w:left w:val="single" w:sz="4" w:space="0" w:color="auto"/>
              <w:bottom w:val="nil"/>
              <w:right w:val="single" w:sz="4" w:space="0" w:color="auto"/>
            </w:tcBorders>
          </w:tcPr>
          <w:p w:rsidR="00EF66C5" w:rsidRPr="00F77E74" w:rsidRDefault="00EF66C5" w:rsidP="006263C5">
            <w:pPr>
              <w:keepLines/>
              <w:spacing w:before="40" w:after="40"/>
              <w:ind w:left="-108" w:firstLine="108"/>
              <w:rPr>
                <w:sz w:val="22"/>
                <w:szCs w:val="22"/>
                <w:lang w:val="en-AU"/>
              </w:rPr>
            </w:pPr>
            <w:r w:rsidRPr="00F77E74">
              <w:rPr>
                <w:sz w:val="22"/>
                <w:szCs w:val="22"/>
                <w:lang w:val="en-AU"/>
              </w:rPr>
              <w:t>Interrupt treatment</w:t>
            </w:r>
          </w:p>
        </w:tc>
      </w:tr>
      <w:tr w:rsidR="006263C5" w:rsidRPr="00F77E74" w:rsidTr="00273DED">
        <w:tc>
          <w:tcPr>
            <w:tcW w:w="4140" w:type="dxa"/>
            <w:tcBorders>
              <w:top w:val="nil"/>
              <w:left w:val="single" w:sz="4" w:space="0" w:color="auto"/>
              <w:bottom w:val="single" w:sz="4" w:space="0" w:color="auto"/>
              <w:right w:val="single" w:sz="4" w:space="0" w:color="auto"/>
            </w:tcBorders>
          </w:tcPr>
          <w:p w:rsidR="006263C5" w:rsidRPr="00273DED" w:rsidRDefault="006263C5" w:rsidP="00273DED">
            <w:pPr>
              <w:pStyle w:val="ListParagraph"/>
              <w:numPr>
                <w:ilvl w:val="0"/>
                <w:numId w:val="43"/>
              </w:numPr>
              <w:spacing w:before="40" w:after="40"/>
              <w:ind w:left="342" w:hanging="342"/>
              <w:rPr>
                <w:sz w:val="22"/>
                <w:szCs w:val="22"/>
                <w:lang w:val="en-AU"/>
              </w:rPr>
            </w:pPr>
            <w:r w:rsidRPr="00273DED">
              <w:rPr>
                <w:sz w:val="22"/>
                <w:szCs w:val="22"/>
                <w:lang w:val="en-AU"/>
              </w:rPr>
              <w:t>Return to ≥ </w:t>
            </w:r>
            <w:r w:rsidR="00A973DC">
              <w:rPr>
                <w:sz w:val="22"/>
                <w:szCs w:val="22"/>
                <w:lang w:val="en-AU"/>
              </w:rPr>
              <w:t>1</w:t>
            </w:r>
            <w:r w:rsidRPr="00273DED">
              <w:rPr>
                <w:sz w:val="22"/>
                <w:szCs w:val="22"/>
                <w:lang w:val="en-AU"/>
              </w:rPr>
              <w:t> x 10</w:t>
            </w:r>
            <w:r w:rsidRPr="00273DED">
              <w:rPr>
                <w:sz w:val="22"/>
                <w:szCs w:val="22"/>
                <w:vertAlign w:val="superscript"/>
                <w:lang w:val="en-AU"/>
              </w:rPr>
              <w:t>9</w:t>
            </w:r>
            <w:r w:rsidRPr="00273DED">
              <w:rPr>
                <w:sz w:val="22"/>
                <w:szCs w:val="22"/>
                <w:lang w:val="en-AU"/>
              </w:rPr>
              <w:t>/L</w:t>
            </w:r>
          </w:p>
        </w:tc>
        <w:tc>
          <w:tcPr>
            <w:tcW w:w="5074" w:type="dxa"/>
            <w:tcBorders>
              <w:top w:val="nil"/>
              <w:left w:val="single" w:sz="4" w:space="0" w:color="auto"/>
              <w:bottom w:val="single" w:sz="4" w:space="0" w:color="auto"/>
              <w:right w:val="single" w:sz="4" w:space="0" w:color="auto"/>
            </w:tcBorders>
          </w:tcPr>
          <w:p w:rsidR="006263C5" w:rsidRPr="00F77E74" w:rsidRDefault="006263C5" w:rsidP="002C2807">
            <w:pPr>
              <w:keepLines/>
              <w:spacing w:before="40" w:after="40"/>
              <w:ind w:left="5"/>
              <w:rPr>
                <w:sz w:val="22"/>
                <w:szCs w:val="22"/>
                <w:lang w:val="en-AU"/>
              </w:rPr>
            </w:pPr>
            <w:r w:rsidRPr="00F77E74">
              <w:rPr>
                <w:sz w:val="22"/>
                <w:szCs w:val="22"/>
                <w:lang w:val="en-AU"/>
              </w:rPr>
              <w:t>Resume</w:t>
            </w:r>
            <w:r>
              <w:rPr>
                <w:sz w:val="22"/>
                <w:szCs w:val="22"/>
                <w:lang w:val="en-AU"/>
              </w:rPr>
              <w:t xml:space="preserve"> treatment at 1 mg less than previous dose</w:t>
            </w:r>
          </w:p>
        </w:tc>
      </w:tr>
    </w:tbl>
    <w:p w:rsidR="00EF66C5" w:rsidRPr="006263C5" w:rsidRDefault="006263C5" w:rsidP="0093560D">
      <w:pPr>
        <w:rPr>
          <w:sz w:val="16"/>
          <w:szCs w:val="16"/>
        </w:rPr>
      </w:pPr>
      <w:r w:rsidRPr="006263C5">
        <w:rPr>
          <w:sz w:val="16"/>
          <w:szCs w:val="16"/>
        </w:rPr>
        <w:t>ANC – Absolute Neutrophil Count; CBC – Complete Blood Count; G-CSF – Granulocyte- Colony Stimulating Factor</w:t>
      </w:r>
    </w:p>
    <w:p w:rsidR="004B2322" w:rsidRPr="006263C5" w:rsidRDefault="004B2322" w:rsidP="006263C5">
      <w:pPr>
        <w:jc w:val="both"/>
        <w:rPr>
          <w:sz w:val="22"/>
          <w:szCs w:val="22"/>
          <w:lang w:val="en-AU"/>
        </w:rPr>
      </w:pPr>
    </w:p>
    <w:p w:rsidR="00FC1E4F" w:rsidRDefault="006263C5" w:rsidP="006805CB">
      <w:pPr>
        <w:rPr>
          <w:sz w:val="22"/>
          <w:szCs w:val="22"/>
          <w:lang w:val="en-AU"/>
        </w:rPr>
      </w:pPr>
      <w:r w:rsidRPr="006263C5">
        <w:rPr>
          <w:sz w:val="22"/>
          <w:szCs w:val="22"/>
          <w:lang w:val="en-AU"/>
        </w:rPr>
        <w:t xml:space="preserve">For other Grade 3/4 adverse reactions judged to be related to </w:t>
      </w:r>
      <w:proofErr w:type="spellStart"/>
      <w:r w:rsidRPr="006263C5">
        <w:rPr>
          <w:sz w:val="22"/>
          <w:szCs w:val="22"/>
          <w:lang w:val="en-AU"/>
        </w:rPr>
        <w:t>pomalidomide</w:t>
      </w:r>
      <w:proofErr w:type="spellEnd"/>
      <w:r w:rsidRPr="006263C5">
        <w:rPr>
          <w:sz w:val="22"/>
          <w:szCs w:val="22"/>
          <w:lang w:val="en-AU"/>
        </w:rPr>
        <w:t>, stop treatment and restart</w:t>
      </w:r>
      <w:r w:rsidR="004B2322">
        <w:rPr>
          <w:sz w:val="22"/>
          <w:szCs w:val="22"/>
          <w:lang w:val="en-AU"/>
        </w:rPr>
        <w:t xml:space="preserve"> treatment at 1 </w:t>
      </w:r>
      <w:r w:rsidRPr="006263C5">
        <w:rPr>
          <w:sz w:val="22"/>
          <w:szCs w:val="22"/>
          <w:lang w:val="en-AU"/>
        </w:rPr>
        <w:t>mg less than the previous dose when an adv</w:t>
      </w:r>
      <w:r w:rsidR="004B2322">
        <w:rPr>
          <w:sz w:val="22"/>
          <w:szCs w:val="22"/>
          <w:lang w:val="en-AU"/>
        </w:rPr>
        <w:t>erse reaction has resolved to ≤ </w:t>
      </w:r>
      <w:r w:rsidRPr="006263C5">
        <w:rPr>
          <w:sz w:val="22"/>
          <w:szCs w:val="22"/>
          <w:lang w:val="en-AU"/>
        </w:rPr>
        <w:t>Grade 2 at the</w:t>
      </w:r>
      <w:r w:rsidR="004B2322">
        <w:rPr>
          <w:sz w:val="22"/>
          <w:szCs w:val="22"/>
          <w:lang w:val="en-AU"/>
        </w:rPr>
        <w:t xml:space="preserve"> </w:t>
      </w:r>
      <w:r w:rsidRPr="006263C5">
        <w:rPr>
          <w:sz w:val="22"/>
          <w:szCs w:val="22"/>
          <w:lang w:val="en-AU"/>
        </w:rPr>
        <w:t xml:space="preserve">physician’s discretion. </w:t>
      </w:r>
    </w:p>
    <w:p w:rsidR="00FC1E4F" w:rsidRDefault="00FC1E4F" w:rsidP="006805CB">
      <w:pPr>
        <w:rPr>
          <w:sz w:val="22"/>
          <w:szCs w:val="22"/>
          <w:lang w:val="en-AU"/>
        </w:rPr>
      </w:pPr>
    </w:p>
    <w:p w:rsidR="00B92004" w:rsidRPr="00B92004" w:rsidRDefault="006263C5" w:rsidP="00BE7837">
      <w:pPr>
        <w:rPr>
          <w:sz w:val="22"/>
          <w:szCs w:val="22"/>
          <w:lang w:val="en-AU"/>
        </w:rPr>
      </w:pPr>
      <w:r w:rsidRPr="006263C5">
        <w:rPr>
          <w:sz w:val="22"/>
          <w:szCs w:val="22"/>
          <w:lang w:val="en-AU"/>
        </w:rPr>
        <w:t xml:space="preserve">If </w:t>
      </w:r>
      <w:r w:rsidR="000C627B">
        <w:rPr>
          <w:sz w:val="22"/>
          <w:szCs w:val="22"/>
          <w:lang w:val="en-AU"/>
        </w:rPr>
        <w:t>toxicities</w:t>
      </w:r>
      <w:r w:rsidRPr="006263C5">
        <w:rPr>
          <w:sz w:val="22"/>
          <w:szCs w:val="22"/>
          <w:lang w:val="en-AU"/>
        </w:rPr>
        <w:t xml:space="preserve"> occur after dose reductions to 1 mg, then </w:t>
      </w:r>
      <w:r w:rsidR="00457972">
        <w:rPr>
          <w:sz w:val="22"/>
          <w:szCs w:val="22"/>
          <w:lang w:val="en-AU"/>
        </w:rPr>
        <w:t xml:space="preserve">the </w:t>
      </w:r>
      <w:r w:rsidR="00FC1E4F">
        <w:rPr>
          <w:sz w:val="22"/>
          <w:szCs w:val="22"/>
          <w:lang w:val="en-AU"/>
        </w:rPr>
        <w:t>medicine</w:t>
      </w:r>
      <w:r w:rsidRPr="006263C5">
        <w:rPr>
          <w:sz w:val="22"/>
          <w:szCs w:val="22"/>
          <w:lang w:val="en-AU"/>
        </w:rPr>
        <w:t xml:space="preserve"> should be</w:t>
      </w:r>
      <w:r w:rsidR="004B2322">
        <w:rPr>
          <w:sz w:val="22"/>
          <w:szCs w:val="22"/>
          <w:lang w:val="en-AU"/>
        </w:rPr>
        <w:t xml:space="preserve"> </w:t>
      </w:r>
      <w:r w:rsidRPr="006263C5">
        <w:rPr>
          <w:sz w:val="22"/>
          <w:szCs w:val="22"/>
          <w:lang w:val="en-AU"/>
        </w:rPr>
        <w:t>discontinued.</w:t>
      </w:r>
    </w:p>
    <w:p w:rsidR="006805CB" w:rsidRDefault="006805CB" w:rsidP="006805CB">
      <w:pPr>
        <w:rPr>
          <w:sz w:val="22"/>
          <w:szCs w:val="22"/>
          <w:lang w:val="en-AU"/>
        </w:rPr>
      </w:pPr>
    </w:p>
    <w:p w:rsidR="00B92004" w:rsidRPr="00F77E74" w:rsidRDefault="00B92004" w:rsidP="006805CB">
      <w:pPr>
        <w:rPr>
          <w:sz w:val="22"/>
          <w:szCs w:val="22"/>
          <w:lang w:val="en-AU"/>
        </w:rPr>
      </w:pPr>
    </w:p>
    <w:p w:rsidR="00F71750" w:rsidRPr="005C77FC" w:rsidRDefault="00322955" w:rsidP="004E54F5">
      <w:pPr>
        <w:keepNext/>
        <w:tabs>
          <w:tab w:val="left" w:pos="1134"/>
        </w:tabs>
        <w:ind w:left="1134" w:hanging="1134"/>
        <w:jc w:val="both"/>
        <w:rPr>
          <w:sz w:val="28"/>
          <w:szCs w:val="28"/>
          <w:lang w:val="en-AU"/>
        </w:rPr>
      </w:pPr>
      <w:r>
        <w:rPr>
          <w:b/>
          <w:sz w:val="28"/>
          <w:szCs w:val="28"/>
          <w:lang w:val="en-AU"/>
        </w:rPr>
        <w:t>11</w:t>
      </w:r>
      <w:r w:rsidR="00F3058E">
        <w:rPr>
          <w:b/>
          <w:sz w:val="28"/>
          <w:szCs w:val="28"/>
          <w:lang w:val="en-AU"/>
        </w:rPr>
        <w:t>.</w:t>
      </w:r>
      <w:r>
        <w:rPr>
          <w:b/>
          <w:sz w:val="28"/>
          <w:szCs w:val="28"/>
          <w:lang w:val="en-AU"/>
        </w:rPr>
        <w:tab/>
      </w:r>
      <w:proofErr w:type="spellStart"/>
      <w:r w:rsidR="00F71750" w:rsidRPr="005C77FC">
        <w:rPr>
          <w:b/>
          <w:sz w:val="28"/>
          <w:szCs w:val="28"/>
          <w:lang w:val="en-AU"/>
        </w:rPr>
        <w:t>Overdosage</w:t>
      </w:r>
      <w:proofErr w:type="spellEnd"/>
    </w:p>
    <w:p w:rsidR="00457972" w:rsidRDefault="00457972" w:rsidP="00AD2839">
      <w:pPr>
        <w:autoSpaceDE w:val="0"/>
        <w:autoSpaceDN w:val="0"/>
        <w:adjustRightInd w:val="0"/>
        <w:spacing w:before="120"/>
        <w:rPr>
          <w:sz w:val="22"/>
          <w:szCs w:val="22"/>
        </w:rPr>
      </w:pPr>
      <w:proofErr w:type="spellStart"/>
      <w:r w:rsidRPr="00457972">
        <w:rPr>
          <w:sz w:val="22"/>
          <w:szCs w:val="22"/>
        </w:rPr>
        <w:t>Pomalidomide</w:t>
      </w:r>
      <w:proofErr w:type="spellEnd"/>
      <w:r w:rsidRPr="00457972">
        <w:rPr>
          <w:sz w:val="22"/>
          <w:szCs w:val="22"/>
        </w:rPr>
        <w:t xml:space="preserve"> doses as high as 50 mg as a single do</w:t>
      </w:r>
      <w:r w:rsidR="00CE32D8">
        <w:rPr>
          <w:sz w:val="22"/>
          <w:szCs w:val="22"/>
        </w:rPr>
        <w:t>se in healthy volunteers and 10 </w:t>
      </w:r>
      <w:r w:rsidRPr="00457972">
        <w:rPr>
          <w:sz w:val="22"/>
          <w:szCs w:val="22"/>
        </w:rPr>
        <w:t xml:space="preserve">mg as once-daily multiple doses in multiple myeloma patients have been studied without reported serious adverse events related to overdose.  No specific information is available on the treatment of overdose with </w:t>
      </w:r>
      <w:proofErr w:type="spellStart"/>
      <w:r w:rsidRPr="00457972">
        <w:rPr>
          <w:sz w:val="22"/>
          <w:szCs w:val="22"/>
        </w:rPr>
        <w:t>pomalidomide</w:t>
      </w:r>
      <w:proofErr w:type="spellEnd"/>
      <w:r w:rsidRPr="00457972">
        <w:rPr>
          <w:sz w:val="22"/>
          <w:szCs w:val="22"/>
        </w:rPr>
        <w:t xml:space="preserve">, and it is unknown whether </w:t>
      </w:r>
      <w:proofErr w:type="spellStart"/>
      <w:r w:rsidRPr="00457972">
        <w:rPr>
          <w:sz w:val="22"/>
          <w:szCs w:val="22"/>
        </w:rPr>
        <w:t>pomalidomide</w:t>
      </w:r>
      <w:proofErr w:type="spellEnd"/>
      <w:r w:rsidRPr="00457972">
        <w:rPr>
          <w:sz w:val="22"/>
          <w:szCs w:val="22"/>
        </w:rPr>
        <w:t xml:space="preserve"> or its metabolites are dialyzable.</w:t>
      </w:r>
    </w:p>
    <w:p w:rsidR="00457972" w:rsidRPr="00457972" w:rsidRDefault="00457972" w:rsidP="000905E5">
      <w:pPr>
        <w:autoSpaceDE w:val="0"/>
        <w:autoSpaceDN w:val="0"/>
        <w:adjustRightInd w:val="0"/>
        <w:rPr>
          <w:sz w:val="22"/>
          <w:szCs w:val="22"/>
          <w:lang w:val="en-AU"/>
        </w:rPr>
      </w:pPr>
    </w:p>
    <w:p w:rsidR="002B072F" w:rsidRDefault="00DD67D7" w:rsidP="00457972">
      <w:pPr>
        <w:autoSpaceDE w:val="0"/>
        <w:autoSpaceDN w:val="0"/>
        <w:adjustRightInd w:val="0"/>
        <w:rPr>
          <w:sz w:val="22"/>
          <w:szCs w:val="22"/>
          <w:lang w:val="en-AU" w:eastAsia="zh-CN"/>
        </w:rPr>
      </w:pPr>
      <w:r w:rsidRPr="00F77E74">
        <w:rPr>
          <w:sz w:val="22"/>
          <w:szCs w:val="22"/>
          <w:lang w:val="en-AU"/>
        </w:rPr>
        <w:lastRenderedPageBreak/>
        <w:t>In the event of overdose, supportive care is advised.</w:t>
      </w:r>
      <w:r w:rsidR="002B072F" w:rsidRPr="00F77E74">
        <w:rPr>
          <w:sz w:val="22"/>
          <w:szCs w:val="22"/>
          <w:lang w:val="en-AU"/>
        </w:rPr>
        <w:t xml:space="preserve"> </w:t>
      </w:r>
      <w:r w:rsidR="002B072F" w:rsidRPr="009278EF">
        <w:rPr>
          <w:sz w:val="22"/>
          <w:szCs w:val="22"/>
          <w:lang w:val="en-AU"/>
        </w:rPr>
        <w:t xml:space="preserve">In Australia, contact the Poisons Advisory Centre on 13 11 26 for advice on management. </w:t>
      </w:r>
      <w:r w:rsidR="002B072F" w:rsidRPr="009278EF">
        <w:rPr>
          <w:sz w:val="22"/>
          <w:szCs w:val="22"/>
          <w:lang w:val="en-AU" w:eastAsia="zh-CN"/>
        </w:rPr>
        <w:t>In New Zealand, contact the National Poison Centre on 0800 POISON or 0800 764 766 for advice on management.</w:t>
      </w:r>
    </w:p>
    <w:p w:rsidR="00574206" w:rsidRDefault="00574206" w:rsidP="00457972">
      <w:pPr>
        <w:autoSpaceDE w:val="0"/>
        <w:autoSpaceDN w:val="0"/>
        <w:adjustRightInd w:val="0"/>
        <w:rPr>
          <w:sz w:val="22"/>
          <w:szCs w:val="22"/>
          <w:lang w:val="en-AU" w:eastAsia="zh-CN"/>
        </w:rPr>
      </w:pPr>
    </w:p>
    <w:p w:rsidR="00BE7837" w:rsidRDefault="00BE7837">
      <w:pPr>
        <w:rPr>
          <w:sz w:val="22"/>
          <w:szCs w:val="22"/>
          <w:lang w:val="en-AU" w:eastAsia="zh-CN"/>
        </w:rPr>
      </w:pPr>
    </w:p>
    <w:p w:rsidR="00F71750" w:rsidRPr="005C77FC" w:rsidRDefault="00322955" w:rsidP="009E253B">
      <w:pPr>
        <w:keepNext/>
        <w:tabs>
          <w:tab w:val="left" w:pos="1134"/>
        </w:tabs>
        <w:ind w:left="1134" w:hanging="1134"/>
        <w:jc w:val="both"/>
        <w:rPr>
          <w:b/>
          <w:sz w:val="28"/>
          <w:szCs w:val="28"/>
          <w:lang w:val="en-AU"/>
        </w:rPr>
      </w:pPr>
      <w:r>
        <w:rPr>
          <w:b/>
          <w:sz w:val="28"/>
          <w:szCs w:val="28"/>
          <w:lang w:val="en-AU"/>
        </w:rPr>
        <w:t>12</w:t>
      </w:r>
      <w:r w:rsidR="00F3058E">
        <w:rPr>
          <w:b/>
          <w:sz w:val="28"/>
          <w:szCs w:val="28"/>
          <w:lang w:val="en-AU"/>
        </w:rPr>
        <w:t>.</w:t>
      </w:r>
      <w:r>
        <w:rPr>
          <w:b/>
          <w:sz w:val="28"/>
          <w:szCs w:val="28"/>
          <w:lang w:val="en-AU"/>
        </w:rPr>
        <w:tab/>
      </w:r>
      <w:r w:rsidR="00F71750" w:rsidRPr="005C77FC">
        <w:rPr>
          <w:b/>
          <w:sz w:val="28"/>
          <w:szCs w:val="28"/>
          <w:lang w:val="en-AU"/>
        </w:rPr>
        <w:t>Presentation and storage conditions</w:t>
      </w:r>
    </w:p>
    <w:p w:rsidR="0082131F" w:rsidRPr="002568DF" w:rsidRDefault="00322955" w:rsidP="00322955">
      <w:pPr>
        <w:keepNext/>
        <w:spacing w:before="120"/>
        <w:ind w:left="851" w:hanging="851"/>
        <w:jc w:val="both"/>
        <w:rPr>
          <w:b/>
          <w:lang w:val="en-AU"/>
        </w:rPr>
      </w:pPr>
      <w:r w:rsidRPr="002568DF">
        <w:rPr>
          <w:b/>
          <w:lang w:val="en-AU"/>
        </w:rPr>
        <w:t>12.1</w:t>
      </w:r>
      <w:r w:rsidRPr="002568DF">
        <w:rPr>
          <w:b/>
          <w:lang w:val="en-AU"/>
        </w:rPr>
        <w:tab/>
      </w:r>
      <w:r w:rsidR="0069697C" w:rsidRPr="002568DF">
        <w:rPr>
          <w:b/>
          <w:lang w:val="en-AU"/>
        </w:rPr>
        <w:t>Presentation</w:t>
      </w:r>
    </w:p>
    <w:p w:rsidR="007F12E9" w:rsidRPr="007F12E9" w:rsidRDefault="007F12E9" w:rsidP="007F12E9">
      <w:pPr>
        <w:spacing w:before="120"/>
        <w:rPr>
          <w:sz w:val="22"/>
          <w:szCs w:val="22"/>
          <w:lang w:val="en-AU"/>
        </w:rPr>
      </w:pPr>
      <w:proofErr w:type="spellStart"/>
      <w:r w:rsidRPr="007F12E9">
        <w:rPr>
          <w:sz w:val="22"/>
          <w:szCs w:val="22"/>
          <w:lang w:val="en-AU"/>
        </w:rPr>
        <w:t>Pomalyst</w:t>
      </w:r>
      <w:proofErr w:type="spellEnd"/>
      <w:r w:rsidRPr="007F12E9">
        <w:rPr>
          <w:sz w:val="22"/>
          <w:szCs w:val="22"/>
          <w:lang w:val="en-AU"/>
        </w:rPr>
        <w:t xml:space="preserve"> is available as 1 mg, 2 mg, 3 mg and 4 mg capsules in blister packs containing 21 capsules each. </w:t>
      </w:r>
    </w:p>
    <w:p w:rsidR="007F12E9" w:rsidRDefault="007F12E9" w:rsidP="0082131F">
      <w:pPr>
        <w:pStyle w:val="C-BodyText"/>
        <w:spacing w:before="0" w:after="0"/>
        <w:rPr>
          <w:sz w:val="22"/>
          <w:szCs w:val="22"/>
        </w:rPr>
      </w:pPr>
    </w:p>
    <w:p w:rsidR="003018FF" w:rsidRDefault="003018FF" w:rsidP="0082131F">
      <w:pPr>
        <w:pStyle w:val="C-BodyText"/>
        <w:spacing w:before="0" w:after="0"/>
        <w:rPr>
          <w:sz w:val="22"/>
          <w:szCs w:val="22"/>
        </w:rPr>
      </w:pPr>
      <w:proofErr w:type="spellStart"/>
      <w:r>
        <w:rPr>
          <w:sz w:val="22"/>
          <w:szCs w:val="22"/>
        </w:rPr>
        <w:t>Pomalyst</w:t>
      </w:r>
      <w:proofErr w:type="spellEnd"/>
      <w:r>
        <w:rPr>
          <w:sz w:val="22"/>
          <w:szCs w:val="22"/>
        </w:rPr>
        <w:t xml:space="preserve"> 1 mg capsules: dark blue/yellow size 4 gelatin capsules </w:t>
      </w:r>
      <w:r w:rsidR="0082131F">
        <w:rPr>
          <w:sz w:val="22"/>
          <w:szCs w:val="22"/>
        </w:rPr>
        <w:t>marked</w:t>
      </w:r>
      <w:r>
        <w:rPr>
          <w:sz w:val="22"/>
          <w:szCs w:val="22"/>
        </w:rPr>
        <w:t xml:space="preserve"> </w:t>
      </w:r>
      <w:r w:rsidR="0082131F" w:rsidRPr="00AE3D0E">
        <w:rPr>
          <w:sz w:val="22"/>
          <w:szCs w:val="22"/>
        </w:rPr>
        <w:t xml:space="preserve">“POML” </w:t>
      </w:r>
      <w:r w:rsidR="0082131F">
        <w:rPr>
          <w:sz w:val="22"/>
          <w:szCs w:val="22"/>
        </w:rPr>
        <w:t>in white ink and “1 </w:t>
      </w:r>
      <w:r w:rsidR="0082131F" w:rsidRPr="00AE3D0E">
        <w:rPr>
          <w:sz w:val="22"/>
          <w:szCs w:val="22"/>
        </w:rPr>
        <w:t>mg” in black ink</w:t>
      </w:r>
      <w:r w:rsidR="0082131F">
        <w:rPr>
          <w:sz w:val="22"/>
          <w:szCs w:val="22"/>
        </w:rPr>
        <w:t xml:space="preserve">.  Each 1 mg capsule contains 1 mg of </w:t>
      </w:r>
      <w:proofErr w:type="spellStart"/>
      <w:r w:rsidR="0082131F">
        <w:rPr>
          <w:sz w:val="22"/>
          <w:szCs w:val="22"/>
        </w:rPr>
        <w:t>pomalidomide</w:t>
      </w:r>
      <w:proofErr w:type="spellEnd"/>
      <w:r w:rsidR="0082131F">
        <w:rPr>
          <w:sz w:val="22"/>
          <w:szCs w:val="22"/>
        </w:rPr>
        <w:t xml:space="preserve">.  </w:t>
      </w:r>
    </w:p>
    <w:p w:rsidR="0082131F" w:rsidRDefault="0082131F" w:rsidP="0082131F">
      <w:pPr>
        <w:pStyle w:val="C-BodyText"/>
        <w:spacing w:before="0" w:after="0"/>
        <w:rPr>
          <w:sz w:val="22"/>
          <w:szCs w:val="22"/>
        </w:rPr>
      </w:pPr>
    </w:p>
    <w:p w:rsidR="0082131F" w:rsidRDefault="0082131F" w:rsidP="0082131F">
      <w:pPr>
        <w:pStyle w:val="C-BodyText"/>
        <w:spacing w:before="0" w:after="0"/>
        <w:rPr>
          <w:sz w:val="22"/>
          <w:szCs w:val="22"/>
        </w:rPr>
      </w:pPr>
      <w:proofErr w:type="spellStart"/>
      <w:r>
        <w:rPr>
          <w:sz w:val="22"/>
          <w:szCs w:val="22"/>
        </w:rPr>
        <w:t>Pomalyst</w:t>
      </w:r>
      <w:proofErr w:type="spellEnd"/>
      <w:r>
        <w:rPr>
          <w:sz w:val="22"/>
          <w:szCs w:val="22"/>
        </w:rPr>
        <w:t xml:space="preserve"> 2 mg capsules: dark blue/orange size 2 gelatin capsules </w:t>
      </w:r>
      <w:r w:rsidR="00F8356A">
        <w:rPr>
          <w:sz w:val="22"/>
          <w:szCs w:val="22"/>
        </w:rPr>
        <w:t>marked</w:t>
      </w:r>
      <w:r w:rsidR="00F8356A" w:rsidRPr="00AE3D0E">
        <w:rPr>
          <w:sz w:val="22"/>
          <w:szCs w:val="22"/>
        </w:rPr>
        <w:t xml:space="preserve"> </w:t>
      </w:r>
      <w:r w:rsidRPr="00AE3D0E">
        <w:rPr>
          <w:sz w:val="22"/>
          <w:szCs w:val="22"/>
        </w:rPr>
        <w:t>“POML 2 mg” in white ink</w:t>
      </w:r>
      <w:r>
        <w:rPr>
          <w:sz w:val="22"/>
          <w:szCs w:val="22"/>
        </w:rPr>
        <w:t xml:space="preserve">.  Each 2 mg capsule contains 2 mg of </w:t>
      </w:r>
      <w:proofErr w:type="spellStart"/>
      <w:r>
        <w:rPr>
          <w:sz w:val="22"/>
          <w:szCs w:val="22"/>
        </w:rPr>
        <w:t>pomalidomide</w:t>
      </w:r>
      <w:proofErr w:type="spellEnd"/>
      <w:r>
        <w:rPr>
          <w:sz w:val="22"/>
          <w:szCs w:val="22"/>
        </w:rPr>
        <w:t xml:space="preserve">.  </w:t>
      </w:r>
    </w:p>
    <w:p w:rsidR="0082131F" w:rsidRDefault="0082131F" w:rsidP="0082131F">
      <w:pPr>
        <w:pStyle w:val="C-BodyText"/>
        <w:spacing w:before="0" w:after="0"/>
        <w:rPr>
          <w:sz w:val="22"/>
          <w:szCs w:val="22"/>
        </w:rPr>
      </w:pPr>
    </w:p>
    <w:p w:rsidR="0082131F" w:rsidRDefault="0082131F" w:rsidP="0082131F">
      <w:pPr>
        <w:pStyle w:val="C-BodyText"/>
        <w:spacing w:before="0" w:after="0"/>
        <w:rPr>
          <w:sz w:val="22"/>
          <w:szCs w:val="22"/>
        </w:rPr>
      </w:pPr>
      <w:proofErr w:type="spellStart"/>
      <w:r>
        <w:rPr>
          <w:sz w:val="22"/>
          <w:szCs w:val="22"/>
        </w:rPr>
        <w:t>Pomalyst</w:t>
      </w:r>
      <w:proofErr w:type="spellEnd"/>
      <w:r>
        <w:rPr>
          <w:sz w:val="22"/>
          <w:szCs w:val="22"/>
        </w:rPr>
        <w:t xml:space="preserve"> 3 mg capsules: dark blue/green size 2 gelatin capsules</w:t>
      </w:r>
      <w:r w:rsidR="00F8356A">
        <w:rPr>
          <w:sz w:val="22"/>
          <w:szCs w:val="22"/>
        </w:rPr>
        <w:t xml:space="preserve"> marked</w:t>
      </w:r>
      <w:r>
        <w:rPr>
          <w:sz w:val="22"/>
          <w:szCs w:val="22"/>
        </w:rPr>
        <w:t xml:space="preserve"> </w:t>
      </w:r>
      <w:r w:rsidRPr="00AE3D0E">
        <w:rPr>
          <w:sz w:val="22"/>
          <w:szCs w:val="22"/>
        </w:rPr>
        <w:t>“P</w:t>
      </w:r>
      <w:r>
        <w:rPr>
          <w:sz w:val="22"/>
          <w:szCs w:val="22"/>
        </w:rPr>
        <w:t>OML 3</w:t>
      </w:r>
      <w:r w:rsidRPr="00AE3D0E">
        <w:rPr>
          <w:sz w:val="22"/>
          <w:szCs w:val="22"/>
        </w:rPr>
        <w:t xml:space="preserve"> mg” in white ink</w:t>
      </w:r>
      <w:r>
        <w:rPr>
          <w:sz w:val="22"/>
          <w:szCs w:val="22"/>
        </w:rPr>
        <w:t xml:space="preserve">.  Each 3 mg capsule contains 3 mg of </w:t>
      </w:r>
      <w:proofErr w:type="spellStart"/>
      <w:r>
        <w:rPr>
          <w:sz w:val="22"/>
          <w:szCs w:val="22"/>
        </w:rPr>
        <w:t>pomalidomide</w:t>
      </w:r>
      <w:proofErr w:type="spellEnd"/>
      <w:r>
        <w:rPr>
          <w:sz w:val="22"/>
          <w:szCs w:val="22"/>
        </w:rPr>
        <w:t xml:space="preserve">.  </w:t>
      </w:r>
    </w:p>
    <w:p w:rsidR="0082131F" w:rsidRDefault="0082131F" w:rsidP="0082131F">
      <w:pPr>
        <w:pStyle w:val="C-BodyText"/>
        <w:spacing w:before="0" w:after="0"/>
        <w:rPr>
          <w:sz w:val="22"/>
          <w:szCs w:val="22"/>
        </w:rPr>
      </w:pPr>
    </w:p>
    <w:p w:rsidR="0082131F" w:rsidRDefault="0082131F" w:rsidP="0082131F">
      <w:pPr>
        <w:pStyle w:val="C-BodyText"/>
        <w:spacing w:before="0" w:after="0"/>
        <w:rPr>
          <w:sz w:val="22"/>
          <w:szCs w:val="22"/>
        </w:rPr>
      </w:pPr>
      <w:proofErr w:type="spellStart"/>
      <w:r>
        <w:rPr>
          <w:sz w:val="22"/>
          <w:szCs w:val="22"/>
        </w:rPr>
        <w:t>Pomalyst</w:t>
      </w:r>
      <w:proofErr w:type="spellEnd"/>
      <w:r>
        <w:rPr>
          <w:sz w:val="22"/>
          <w:szCs w:val="22"/>
        </w:rPr>
        <w:t xml:space="preserve"> 4 mg capsules: dark blue/blue size 2 gelatin capsules </w:t>
      </w:r>
      <w:r w:rsidR="00F8356A">
        <w:rPr>
          <w:sz w:val="22"/>
          <w:szCs w:val="22"/>
        </w:rPr>
        <w:t>marked</w:t>
      </w:r>
      <w:r w:rsidR="00F8356A" w:rsidRPr="00AE3D0E">
        <w:rPr>
          <w:sz w:val="22"/>
          <w:szCs w:val="22"/>
        </w:rPr>
        <w:t xml:space="preserve"> </w:t>
      </w:r>
      <w:r w:rsidRPr="00AE3D0E">
        <w:rPr>
          <w:sz w:val="22"/>
          <w:szCs w:val="22"/>
        </w:rPr>
        <w:t>“P</w:t>
      </w:r>
      <w:r>
        <w:rPr>
          <w:sz w:val="22"/>
          <w:szCs w:val="22"/>
        </w:rPr>
        <w:t>OML 4</w:t>
      </w:r>
      <w:r w:rsidRPr="00AE3D0E">
        <w:rPr>
          <w:sz w:val="22"/>
          <w:szCs w:val="22"/>
        </w:rPr>
        <w:t xml:space="preserve"> mg” in white ink</w:t>
      </w:r>
      <w:r>
        <w:rPr>
          <w:sz w:val="22"/>
          <w:szCs w:val="22"/>
        </w:rPr>
        <w:t xml:space="preserve">.  Each 4 mg capsule contains 4 mg of </w:t>
      </w:r>
      <w:proofErr w:type="spellStart"/>
      <w:r>
        <w:rPr>
          <w:sz w:val="22"/>
          <w:szCs w:val="22"/>
        </w:rPr>
        <w:t>pomalidomide</w:t>
      </w:r>
      <w:proofErr w:type="spellEnd"/>
      <w:r>
        <w:rPr>
          <w:sz w:val="22"/>
          <w:szCs w:val="22"/>
        </w:rPr>
        <w:t xml:space="preserve">.  </w:t>
      </w:r>
    </w:p>
    <w:p w:rsidR="0082131F" w:rsidRDefault="0082131F" w:rsidP="0082131F">
      <w:pPr>
        <w:pStyle w:val="C-BodyText"/>
        <w:spacing w:before="0" w:after="0"/>
        <w:rPr>
          <w:sz w:val="22"/>
          <w:szCs w:val="22"/>
        </w:rPr>
      </w:pPr>
    </w:p>
    <w:p w:rsidR="00AE3D0E" w:rsidRPr="00F77E74" w:rsidRDefault="00AE3D0E" w:rsidP="00AE3D0E">
      <w:pPr>
        <w:jc w:val="both"/>
        <w:rPr>
          <w:sz w:val="22"/>
          <w:szCs w:val="22"/>
          <w:lang w:val="en-AU"/>
        </w:rPr>
      </w:pPr>
    </w:p>
    <w:p w:rsidR="00750B75" w:rsidRPr="002568DF" w:rsidRDefault="00322955" w:rsidP="00322955">
      <w:pPr>
        <w:keepNext/>
        <w:ind w:left="851" w:hanging="851"/>
        <w:jc w:val="both"/>
        <w:rPr>
          <w:b/>
          <w:lang w:val="en-AU"/>
        </w:rPr>
      </w:pPr>
      <w:r w:rsidRPr="002568DF">
        <w:rPr>
          <w:b/>
          <w:lang w:val="en-AU"/>
        </w:rPr>
        <w:t>12.2</w:t>
      </w:r>
      <w:r w:rsidRPr="002568DF">
        <w:rPr>
          <w:b/>
          <w:lang w:val="en-AU"/>
        </w:rPr>
        <w:tab/>
      </w:r>
      <w:r w:rsidR="0069697C" w:rsidRPr="002568DF">
        <w:rPr>
          <w:b/>
          <w:lang w:val="en-AU"/>
        </w:rPr>
        <w:t>Composition</w:t>
      </w:r>
    </w:p>
    <w:p w:rsidR="0069697C" w:rsidRPr="001941E0" w:rsidRDefault="0069697C" w:rsidP="00843904">
      <w:pPr>
        <w:keepNext/>
        <w:spacing w:before="120"/>
        <w:jc w:val="both"/>
        <w:rPr>
          <w:sz w:val="22"/>
          <w:szCs w:val="22"/>
          <w:u w:val="single"/>
          <w:lang w:val="en-AU"/>
        </w:rPr>
      </w:pPr>
      <w:r w:rsidRPr="001941E0">
        <w:rPr>
          <w:sz w:val="22"/>
          <w:szCs w:val="22"/>
          <w:u w:val="single"/>
          <w:lang w:val="en-AU"/>
        </w:rPr>
        <w:t>Active</w:t>
      </w:r>
    </w:p>
    <w:p w:rsidR="001941E0" w:rsidRPr="001941E0" w:rsidRDefault="001941E0" w:rsidP="001941E0">
      <w:pPr>
        <w:spacing w:before="120"/>
        <w:jc w:val="both"/>
        <w:rPr>
          <w:sz w:val="22"/>
          <w:szCs w:val="22"/>
          <w:lang w:val="en-AU"/>
        </w:rPr>
      </w:pPr>
      <w:proofErr w:type="spellStart"/>
      <w:r>
        <w:rPr>
          <w:sz w:val="22"/>
          <w:szCs w:val="22"/>
          <w:lang w:val="en-AU"/>
        </w:rPr>
        <w:t>Pomalidomide</w:t>
      </w:r>
      <w:proofErr w:type="spellEnd"/>
    </w:p>
    <w:p w:rsidR="001941E0" w:rsidRPr="001941E0" w:rsidRDefault="001941E0" w:rsidP="00843904">
      <w:pPr>
        <w:keepNext/>
        <w:spacing w:before="120"/>
        <w:jc w:val="both"/>
        <w:rPr>
          <w:sz w:val="22"/>
          <w:szCs w:val="22"/>
          <w:u w:val="single"/>
          <w:lang w:val="en-AU"/>
        </w:rPr>
      </w:pPr>
      <w:r w:rsidRPr="001941E0">
        <w:rPr>
          <w:sz w:val="22"/>
          <w:szCs w:val="22"/>
          <w:u w:val="single"/>
          <w:lang w:val="en-AU"/>
        </w:rPr>
        <w:t>Excipients</w:t>
      </w:r>
    </w:p>
    <w:p w:rsidR="001941E0" w:rsidRPr="00F77E74" w:rsidRDefault="001941E0" w:rsidP="00843904">
      <w:pPr>
        <w:spacing w:before="120"/>
        <w:jc w:val="both"/>
        <w:rPr>
          <w:sz w:val="22"/>
          <w:szCs w:val="22"/>
          <w:lang w:val="en-AU"/>
        </w:rPr>
      </w:pPr>
      <w:r>
        <w:rPr>
          <w:sz w:val="22"/>
          <w:szCs w:val="22"/>
          <w:lang w:val="en-AU"/>
        </w:rPr>
        <w:t xml:space="preserve">See section </w:t>
      </w:r>
      <w:r w:rsidR="007138B5">
        <w:rPr>
          <w:sz w:val="22"/>
          <w:szCs w:val="22"/>
          <w:lang w:val="en-AU"/>
        </w:rPr>
        <w:t>2</w:t>
      </w:r>
      <w:r>
        <w:rPr>
          <w:sz w:val="22"/>
          <w:szCs w:val="22"/>
          <w:lang w:val="en-AU"/>
        </w:rPr>
        <w:t>-Description, for a list of the excipients.</w:t>
      </w:r>
    </w:p>
    <w:p w:rsidR="00DD67D7" w:rsidRDefault="00DD67D7" w:rsidP="004475F5">
      <w:pPr>
        <w:jc w:val="both"/>
        <w:rPr>
          <w:sz w:val="22"/>
          <w:szCs w:val="22"/>
          <w:lang w:val="en-AU"/>
        </w:rPr>
      </w:pPr>
    </w:p>
    <w:p w:rsidR="006736E8" w:rsidRPr="00F77E74" w:rsidRDefault="006736E8" w:rsidP="004475F5">
      <w:pPr>
        <w:jc w:val="both"/>
        <w:rPr>
          <w:sz w:val="22"/>
          <w:szCs w:val="22"/>
          <w:lang w:val="en-AU"/>
        </w:rPr>
      </w:pPr>
    </w:p>
    <w:p w:rsidR="00DD67D7" w:rsidRPr="002568DF" w:rsidRDefault="00322955" w:rsidP="009E253B">
      <w:pPr>
        <w:keepNext/>
        <w:ind w:left="851" w:hanging="851"/>
        <w:jc w:val="both"/>
        <w:rPr>
          <w:lang w:val="en-AU"/>
        </w:rPr>
      </w:pPr>
      <w:r w:rsidRPr="002568DF">
        <w:rPr>
          <w:b/>
          <w:lang w:val="en-AU"/>
        </w:rPr>
        <w:t>12.3</w:t>
      </w:r>
      <w:r w:rsidRPr="002568DF">
        <w:rPr>
          <w:b/>
          <w:lang w:val="en-AU"/>
        </w:rPr>
        <w:tab/>
      </w:r>
      <w:r w:rsidR="00DD67D7" w:rsidRPr="002568DF">
        <w:rPr>
          <w:b/>
          <w:lang w:val="en-AU"/>
        </w:rPr>
        <w:t>Storage conditions</w:t>
      </w:r>
    </w:p>
    <w:p w:rsidR="00DD67D7" w:rsidRPr="00F77E74" w:rsidRDefault="00DD67D7" w:rsidP="00843904">
      <w:pPr>
        <w:spacing w:before="120"/>
        <w:jc w:val="both"/>
        <w:rPr>
          <w:iCs/>
          <w:sz w:val="22"/>
          <w:szCs w:val="22"/>
          <w:lang w:val="en-AU"/>
        </w:rPr>
      </w:pPr>
      <w:proofErr w:type="gramStart"/>
      <w:r w:rsidRPr="00F77E74">
        <w:rPr>
          <w:iCs/>
          <w:sz w:val="22"/>
          <w:szCs w:val="22"/>
          <w:lang w:val="en-AU"/>
        </w:rPr>
        <w:t>Store below 25</w:t>
      </w:r>
      <w:r w:rsidRPr="00F77E74">
        <w:rPr>
          <w:iCs/>
          <w:sz w:val="22"/>
          <w:szCs w:val="22"/>
          <w:lang w:val="en-AU"/>
        </w:rPr>
        <w:sym w:font="Symbol" w:char="F0B0"/>
      </w:r>
      <w:r w:rsidRPr="00F77E74">
        <w:rPr>
          <w:iCs/>
          <w:sz w:val="22"/>
          <w:szCs w:val="22"/>
          <w:lang w:val="en-AU"/>
        </w:rPr>
        <w:t>C.</w:t>
      </w:r>
      <w:r w:rsidR="00D3363B" w:rsidRPr="00F77E74">
        <w:rPr>
          <w:iCs/>
          <w:sz w:val="22"/>
          <w:szCs w:val="22"/>
          <w:lang w:val="en-AU"/>
        </w:rPr>
        <w:t xml:space="preserve"> </w:t>
      </w:r>
      <w:r w:rsidR="00750B75" w:rsidRPr="00F77E74">
        <w:rPr>
          <w:iCs/>
          <w:sz w:val="22"/>
          <w:szCs w:val="22"/>
          <w:lang w:val="en-AU"/>
        </w:rPr>
        <w:t>St</w:t>
      </w:r>
      <w:r w:rsidRPr="00F77E74">
        <w:rPr>
          <w:iCs/>
          <w:sz w:val="22"/>
          <w:szCs w:val="22"/>
          <w:lang w:val="en-AU"/>
        </w:rPr>
        <w:t>ore in the original package.</w:t>
      </w:r>
      <w:proofErr w:type="gramEnd"/>
    </w:p>
    <w:p w:rsidR="00750B75" w:rsidRDefault="00750B75" w:rsidP="004475F5">
      <w:pPr>
        <w:jc w:val="both"/>
        <w:rPr>
          <w:sz w:val="22"/>
          <w:szCs w:val="22"/>
          <w:lang w:val="en-AU"/>
        </w:rPr>
      </w:pPr>
    </w:p>
    <w:p w:rsidR="006736E8" w:rsidRPr="00F77E74" w:rsidRDefault="006736E8" w:rsidP="004475F5">
      <w:pPr>
        <w:jc w:val="both"/>
        <w:rPr>
          <w:sz w:val="22"/>
          <w:szCs w:val="22"/>
          <w:lang w:val="en-AU"/>
        </w:rPr>
      </w:pPr>
    </w:p>
    <w:p w:rsidR="00DD67D7" w:rsidRPr="009017AB" w:rsidRDefault="00322955" w:rsidP="009E253B">
      <w:pPr>
        <w:keepNext/>
        <w:ind w:left="851" w:hanging="851"/>
        <w:jc w:val="both"/>
        <w:rPr>
          <w:lang w:val="en-AU"/>
        </w:rPr>
      </w:pPr>
      <w:r w:rsidRPr="009017AB">
        <w:rPr>
          <w:b/>
          <w:lang w:val="en-AU"/>
        </w:rPr>
        <w:t>12.4</w:t>
      </w:r>
      <w:r w:rsidRPr="009017AB">
        <w:rPr>
          <w:b/>
          <w:lang w:val="en-AU"/>
        </w:rPr>
        <w:tab/>
      </w:r>
      <w:r w:rsidR="00DD67D7" w:rsidRPr="009017AB">
        <w:rPr>
          <w:b/>
          <w:lang w:val="en-AU"/>
        </w:rPr>
        <w:t>Container type</w:t>
      </w:r>
    </w:p>
    <w:p w:rsidR="00DD67D7" w:rsidRPr="00F77E74" w:rsidRDefault="00DD67D7" w:rsidP="00843904">
      <w:pPr>
        <w:spacing w:before="120"/>
        <w:jc w:val="both"/>
        <w:rPr>
          <w:sz w:val="22"/>
          <w:szCs w:val="22"/>
          <w:lang w:val="en-AU"/>
        </w:rPr>
      </w:pPr>
      <w:proofErr w:type="spellStart"/>
      <w:r w:rsidRPr="00F77E74">
        <w:rPr>
          <w:sz w:val="22"/>
          <w:szCs w:val="22"/>
          <w:lang w:val="en-AU"/>
        </w:rPr>
        <w:t>Polychlorotrifluoroethylene</w:t>
      </w:r>
      <w:proofErr w:type="spellEnd"/>
      <w:r w:rsidRPr="00F77E74">
        <w:rPr>
          <w:sz w:val="22"/>
          <w:szCs w:val="22"/>
          <w:lang w:val="en-AU"/>
        </w:rPr>
        <w:t xml:space="preserve"> (PCT</w:t>
      </w:r>
      <w:r w:rsidR="00AE3D0E">
        <w:rPr>
          <w:sz w:val="22"/>
          <w:szCs w:val="22"/>
          <w:lang w:val="en-AU"/>
        </w:rPr>
        <w:t xml:space="preserve">FE) / polyvinylchloride (PVC) blisters with </w:t>
      </w:r>
      <w:r w:rsidR="00E338AC">
        <w:rPr>
          <w:sz w:val="22"/>
          <w:szCs w:val="22"/>
          <w:lang w:val="en-AU"/>
        </w:rPr>
        <w:t xml:space="preserve">aluminium </w:t>
      </w:r>
      <w:r w:rsidR="00AE3D0E">
        <w:rPr>
          <w:sz w:val="22"/>
          <w:szCs w:val="22"/>
          <w:lang w:val="en-AU"/>
        </w:rPr>
        <w:t>push through foil.</w:t>
      </w:r>
    </w:p>
    <w:p w:rsidR="00DD67D7" w:rsidRPr="00F77E74" w:rsidRDefault="00DD67D7" w:rsidP="004475F5">
      <w:pPr>
        <w:jc w:val="both"/>
        <w:rPr>
          <w:sz w:val="22"/>
          <w:szCs w:val="22"/>
          <w:lang w:val="en-AU"/>
        </w:rPr>
      </w:pPr>
    </w:p>
    <w:p w:rsidR="00DD67D7" w:rsidRPr="000905E5" w:rsidRDefault="00DD67D7" w:rsidP="004475F5">
      <w:pPr>
        <w:jc w:val="both"/>
        <w:rPr>
          <w:sz w:val="22"/>
          <w:szCs w:val="22"/>
          <w:lang w:val="en-AU"/>
        </w:rPr>
      </w:pPr>
    </w:p>
    <w:p w:rsidR="00DD6BEB" w:rsidRDefault="00DD67D7" w:rsidP="00DD6BEB">
      <w:pPr>
        <w:pStyle w:val="ListParagraph"/>
        <w:keepNext/>
        <w:numPr>
          <w:ilvl w:val="0"/>
          <w:numId w:val="49"/>
        </w:numPr>
        <w:ind w:left="1134" w:hanging="1134"/>
        <w:jc w:val="both"/>
        <w:rPr>
          <w:sz w:val="28"/>
          <w:szCs w:val="28"/>
          <w:lang w:val="en-AU"/>
        </w:rPr>
      </w:pPr>
      <w:r w:rsidRPr="00322955">
        <w:rPr>
          <w:b/>
          <w:sz w:val="28"/>
          <w:szCs w:val="28"/>
          <w:lang w:val="en-AU"/>
        </w:rPr>
        <w:t xml:space="preserve">Name and </w:t>
      </w:r>
      <w:r w:rsidR="00215DC0" w:rsidRPr="00322955">
        <w:rPr>
          <w:b/>
          <w:sz w:val="28"/>
          <w:szCs w:val="28"/>
          <w:lang w:val="en-AU"/>
        </w:rPr>
        <w:t>a</w:t>
      </w:r>
      <w:r w:rsidRPr="00322955">
        <w:rPr>
          <w:b/>
          <w:sz w:val="28"/>
          <w:szCs w:val="28"/>
          <w:lang w:val="en-AU"/>
        </w:rPr>
        <w:t>ddress of the sponso</w:t>
      </w:r>
      <w:r w:rsidR="00F71750" w:rsidRPr="00322955">
        <w:rPr>
          <w:b/>
          <w:sz w:val="28"/>
          <w:szCs w:val="28"/>
          <w:lang w:val="en-AU"/>
        </w:rPr>
        <w:t>r</w:t>
      </w:r>
    </w:p>
    <w:p w:rsidR="001225AD" w:rsidRDefault="001225AD" w:rsidP="000905E5">
      <w:pPr>
        <w:spacing w:before="120"/>
        <w:jc w:val="both"/>
        <w:rPr>
          <w:sz w:val="22"/>
          <w:szCs w:val="22"/>
          <w:lang w:val="en-AU"/>
        </w:rPr>
      </w:pPr>
    </w:p>
    <w:p w:rsidR="001225AD" w:rsidRPr="00C8520E" w:rsidRDefault="001225AD" w:rsidP="001225AD">
      <w:pPr>
        <w:keepNext/>
        <w:jc w:val="both"/>
        <w:rPr>
          <w:sz w:val="22"/>
          <w:szCs w:val="22"/>
        </w:rPr>
      </w:pPr>
      <w:r w:rsidRPr="00C8520E">
        <w:rPr>
          <w:sz w:val="22"/>
          <w:szCs w:val="22"/>
        </w:rPr>
        <w:t>Sponsored in Australia by:</w:t>
      </w:r>
    </w:p>
    <w:p w:rsidR="00DD67D7" w:rsidRPr="00C8520E" w:rsidRDefault="00DD67D7" w:rsidP="000905E5">
      <w:pPr>
        <w:spacing w:before="120"/>
        <w:jc w:val="both"/>
        <w:rPr>
          <w:sz w:val="22"/>
          <w:szCs w:val="22"/>
          <w:lang w:val="en-AU"/>
        </w:rPr>
      </w:pPr>
      <w:proofErr w:type="spellStart"/>
      <w:r w:rsidRPr="00C8520E">
        <w:rPr>
          <w:sz w:val="22"/>
          <w:szCs w:val="22"/>
          <w:lang w:val="en-AU"/>
        </w:rPr>
        <w:t>Celgene</w:t>
      </w:r>
      <w:proofErr w:type="spellEnd"/>
      <w:r w:rsidRPr="00C8520E">
        <w:rPr>
          <w:sz w:val="22"/>
          <w:szCs w:val="22"/>
          <w:lang w:val="en-AU"/>
        </w:rPr>
        <w:t xml:space="preserve"> Pty Limited</w:t>
      </w:r>
    </w:p>
    <w:p w:rsidR="00750B75" w:rsidRPr="00C8520E" w:rsidRDefault="00750B75" w:rsidP="004475F5">
      <w:pPr>
        <w:rPr>
          <w:sz w:val="22"/>
          <w:szCs w:val="22"/>
          <w:lang w:val="en-AU"/>
        </w:rPr>
      </w:pPr>
      <w:r w:rsidRPr="00C8520E">
        <w:rPr>
          <w:sz w:val="22"/>
          <w:szCs w:val="22"/>
          <w:lang w:val="en-AU"/>
        </w:rPr>
        <w:t>Level 7, 607 St Kilda Road,</w:t>
      </w:r>
    </w:p>
    <w:p w:rsidR="002B072F" w:rsidRPr="00C8520E" w:rsidRDefault="00750B75" w:rsidP="004475F5">
      <w:pPr>
        <w:rPr>
          <w:sz w:val="22"/>
          <w:szCs w:val="22"/>
          <w:lang w:val="en-AU"/>
        </w:rPr>
      </w:pPr>
      <w:r w:rsidRPr="00C8520E">
        <w:rPr>
          <w:sz w:val="22"/>
          <w:szCs w:val="22"/>
          <w:lang w:val="en-AU"/>
        </w:rPr>
        <w:t>Melbourne</w:t>
      </w:r>
      <w:r w:rsidR="002B072F" w:rsidRPr="00C8520E">
        <w:rPr>
          <w:sz w:val="22"/>
          <w:szCs w:val="22"/>
          <w:lang w:val="en-AU"/>
        </w:rPr>
        <w:t>,</w:t>
      </w:r>
      <w:r w:rsidRPr="00C8520E">
        <w:rPr>
          <w:sz w:val="22"/>
          <w:szCs w:val="22"/>
          <w:lang w:val="en-AU"/>
        </w:rPr>
        <w:t xml:space="preserve"> V</w:t>
      </w:r>
      <w:r w:rsidR="002B072F" w:rsidRPr="00C8520E">
        <w:rPr>
          <w:sz w:val="22"/>
          <w:szCs w:val="22"/>
          <w:lang w:val="en-AU"/>
        </w:rPr>
        <w:t>IC</w:t>
      </w:r>
      <w:r w:rsidRPr="00C8520E">
        <w:rPr>
          <w:sz w:val="22"/>
          <w:szCs w:val="22"/>
          <w:lang w:val="en-AU"/>
        </w:rPr>
        <w:t xml:space="preserve"> 3004</w:t>
      </w:r>
      <w:r w:rsidR="002B072F" w:rsidRPr="00C8520E">
        <w:rPr>
          <w:sz w:val="22"/>
          <w:szCs w:val="22"/>
          <w:lang w:val="en-AU"/>
        </w:rPr>
        <w:t>,</w:t>
      </w:r>
    </w:p>
    <w:p w:rsidR="00DD67D7" w:rsidRPr="00C8520E" w:rsidRDefault="00750B75" w:rsidP="004475F5">
      <w:pPr>
        <w:rPr>
          <w:bCs/>
          <w:sz w:val="22"/>
          <w:szCs w:val="22"/>
          <w:lang w:val="en-AU"/>
        </w:rPr>
      </w:pPr>
      <w:r w:rsidRPr="00C8520E">
        <w:rPr>
          <w:sz w:val="22"/>
          <w:szCs w:val="22"/>
          <w:lang w:val="en-AU"/>
        </w:rPr>
        <w:t>Australia</w:t>
      </w:r>
      <w:r w:rsidR="00DD67D7" w:rsidRPr="00C8520E">
        <w:rPr>
          <w:bCs/>
          <w:sz w:val="22"/>
          <w:szCs w:val="22"/>
          <w:lang w:val="en-AU"/>
        </w:rPr>
        <w:t>.</w:t>
      </w:r>
    </w:p>
    <w:p w:rsidR="001225AD" w:rsidRPr="00C8520E" w:rsidRDefault="001225AD" w:rsidP="001225AD">
      <w:pPr>
        <w:rPr>
          <w:sz w:val="22"/>
          <w:szCs w:val="22"/>
          <w:lang w:val="en-US"/>
        </w:rPr>
      </w:pPr>
      <w:r w:rsidRPr="00C8520E">
        <w:rPr>
          <w:sz w:val="22"/>
          <w:szCs w:val="22"/>
          <w:lang w:val="en-US"/>
        </w:rPr>
        <w:t>Telephone: 1800 CELGENE (1800 235 4363)</w:t>
      </w:r>
    </w:p>
    <w:p w:rsidR="00B70274" w:rsidRPr="00C8520E" w:rsidRDefault="00B70274" w:rsidP="00B70274">
      <w:pPr>
        <w:jc w:val="both"/>
        <w:rPr>
          <w:sz w:val="22"/>
          <w:szCs w:val="22"/>
        </w:rPr>
      </w:pPr>
    </w:p>
    <w:p w:rsidR="001225AD" w:rsidRPr="00C8520E" w:rsidRDefault="001225AD" w:rsidP="001225AD">
      <w:pPr>
        <w:jc w:val="both"/>
        <w:rPr>
          <w:sz w:val="22"/>
          <w:szCs w:val="22"/>
        </w:rPr>
      </w:pPr>
      <w:r w:rsidRPr="00C8520E">
        <w:rPr>
          <w:sz w:val="22"/>
          <w:szCs w:val="22"/>
        </w:rPr>
        <w:t>Sponsored in New Zealand by:</w:t>
      </w:r>
    </w:p>
    <w:p w:rsidR="001225AD" w:rsidRPr="00C8520E" w:rsidRDefault="001225AD" w:rsidP="001225AD">
      <w:pPr>
        <w:jc w:val="both"/>
        <w:rPr>
          <w:sz w:val="22"/>
          <w:szCs w:val="22"/>
        </w:rPr>
      </w:pPr>
    </w:p>
    <w:p w:rsidR="001225AD" w:rsidRPr="00C8520E" w:rsidRDefault="001225AD" w:rsidP="001225AD">
      <w:pPr>
        <w:jc w:val="both"/>
        <w:rPr>
          <w:sz w:val="22"/>
          <w:szCs w:val="22"/>
        </w:rPr>
      </w:pPr>
      <w:proofErr w:type="spellStart"/>
      <w:r w:rsidRPr="00C8520E">
        <w:rPr>
          <w:sz w:val="22"/>
          <w:szCs w:val="22"/>
        </w:rPr>
        <w:t>Celgene</w:t>
      </w:r>
      <w:proofErr w:type="spellEnd"/>
      <w:r w:rsidRPr="00C8520E">
        <w:rPr>
          <w:sz w:val="22"/>
          <w:szCs w:val="22"/>
        </w:rPr>
        <w:t xml:space="preserve"> Limited</w:t>
      </w:r>
    </w:p>
    <w:p w:rsidR="001225AD" w:rsidRPr="00C8520E" w:rsidRDefault="00C04E1F" w:rsidP="001225AD">
      <w:pPr>
        <w:jc w:val="both"/>
        <w:rPr>
          <w:sz w:val="22"/>
          <w:szCs w:val="22"/>
        </w:rPr>
      </w:pPr>
      <w:r>
        <w:rPr>
          <w:sz w:val="22"/>
          <w:szCs w:val="22"/>
        </w:rPr>
        <w:t>PO Box 3035</w:t>
      </w:r>
    </w:p>
    <w:p w:rsidR="001225AD" w:rsidRPr="00C8520E" w:rsidRDefault="001225AD" w:rsidP="001225AD">
      <w:pPr>
        <w:jc w:val="both"/>
        <w:rPr>
          <w:sz w:val="22"/>
          <w:szCs w:val="22"/>
        </w:rPr>
      </w:pPr>
      <w:r w:rsidRPr="00C8520E">
        <w:rPr>
          <w:sz w:val="22"/>
          <w:szCs w:val="22"/>
        </w:rPr>
        <w:t>Wellington</w:t>
      </w:r>
    </w:p>
    <w:p w:rsidR="001225AD" w:rsidRPr="00C8520E" w:rsidRDefault="001225AD" w:rsidP="001225AD">
      <w:pPr>
        <w:jc w:val="both"/>
        <w:rPr>
          <w:sz w:val="22"/>
          <w:szCs w:val="22"/>
        </w:rPr>
      </w:pPr>
      <w:r w:rsidRPr="00C8520E">
        <w:rPr>
          <w:sz w:val="22"/>
          <w:szCs w:val="22"/>
        </w:rPr>
        <w:t>New Zealand.</w:t>
      </w:r>
    </w:p>
    <w:p w:rsidR="001225AD" w:rsidRDefault="001225AD" w:rsidP="004475F5">
      <w:pPr>
        <w:rPr>
          <w:sz w:val="22"/>
          <w:szCs w:val="22"/>
          <w:lang w:val="en-AU"/>
        </w:rPr>
      </w:pPr>
    </w:p>
    <w:p w:rsidR="001225AD" w:rsidRPr="00F77E74" w:rsidRDefault="001225AD" w:rsidP="004475F5">
      <w:pPr>
        <w:rPr>
          <w:sz w:val="22"/>
          <w:szCs w:val="22"/>
          <w:lang w:val="en-AU"/>
        </w:rPr>
      </w:pPr>
    </w:p>
    <w:p w:rsidR="00DD6BEB" w:rsidRPr="00DD6BEB" w:rsidRDefault="00F71750" w:rsidP="00DD6BEB">
      <w:pPr>
        <w:pStyle w:val="ListParagraph"/>
        <w:keepNext/>
        <w:numPr>
          <w:ilvl w:val="0"/>
          <w:numId w:val="49"/>
        </w:numPr>
        <w:tabs>
          <w:tab w:val="left" w:pos="1134"/>
        </w:tabs>
        <w:ind w:left="1134" w:hanging="1134"/>
        <w:jc w:val="both"/>
        <w:rPr>
          <w:sz w:val="28"/>
          <w:szCs w:val="28"/>
          <w:lang w:val="en-AU"/>
        </w:rPr>
      </w:pPr>
      <w:r w:rsidRPr="00F3058E">
        <w:rPr>
          <w:b/>
          <w:bCs/>
          <w:sz w:val="28"/>
          <w:szCs w:val="28"/>
          <w:lang w:val="en-AU"/>
        </w:rPr>
        <w:t>Poison Schedule of the medicine</w:t>
      </w:r>
    </w:p>
    <w:p w:rsidR="00DD67D7" w:rsidRPr="00F77E74" w:rsidRDefault="00DD67D7" w:rsidP="00843904">
      <w:pPr>
        <w:spacing w:before="120"/>
        <w:jc w:val="both"/>
        <w:rPr>
          <w:sz w:val="22"/>
          <w:szCs w:val="22"/>
          <w:lang w:val="en-AU"/>
        </w:rPr>
      </w:pPr>
      <w:r w:rsidRPr="00F77E74">
        <w:rPr>
          <w:sz w:val="22"/>
          <w:szCs w:val="22"/>
          <w:lang w:val="en-AU"/>
        </w:rPr>
        <w:t>Schedule 4</w:t>
      </w:r>
      <w:r w:rsidR="002B072F" w:rsidRPr="00F77E74">
        <w:rPr>
          <w:sz w:val="22"/>
          <w:szCs w:val="22"/>
          <w:lang w:val="en-AU"/>
        </w:rPr>
        <w:t xml:space="preserve"> (Prescription Only Medicine)</w:t>
      </w:r>
    </w:p>
    <w:p w:rsidR="00446564" w:rsidRPr="00F77E74" w:rsidRDefault="00446564" w:rsidP="004475F5">
      <w:pPr>
        <w:jc w:val="both"/>
        <w:rPr>
          <w:sz w:val="22"/>
          <w:szCs w:val="22"/>
          <w:lang w:val="en-AU"/>
        </w:rPr>
      </w:pPr>
    </w:p>
    <w:p w:rsidR="00446564" w:rsidRPr="00F77E74" w:rsidRDefault="00446564" w:rsidP="004475F5">
      <w:pPr>
        <w:jc w:val="both"/>
        <w:rPr>
          <w:sz w:val="22"/>
          <w:szCs w:val="22"/>
          <w:lang w:val="en-AU"/>
        </w:rPr>
      </w:pPr>
    </w:p>
    <w:p w:rsidR="00DD6BEB" w:rsidRDefault="00DD67D7" w:rsidP="00C516A3">
      <w:pPr>
        <w:pStyle w:val="ListParagraph"/>
        <w:keepNext/>
        <w:numPr>
          <w:ilvl w:val="0"/>
          <w:numId w:val="49"/>
        </w:numPr>
        <w:tabs>
          <w:tab w:val="left" w:pos="1134"/>
        </w:tabs>
        <w:ind w:left="1134" w:hanging="1134"/>
        <w:rPr>
          <w:b/>
          <w:sz w:val="28"/>
          <w:szCs w:val="28"/>
          <w:lang w:val="en-AU"/>
        </w:rPr>
      </w:pPr>
      <w:r w:rsidRPr="003D303D">
        <w:rPr>
          <w:b/>
          <w:sz w:val="28"/>
          <w:szCs w:val="28"/>
          <w:lang w:val="en-AU"/>
        </w:rPr>
        <w:t xml:space="preserve">Date of </w:t>
      </w:r>
      <w:r w:rsidR="00215DC0" w:rsidRPr="003D303D">
        <w:rPr>
          <w:b/>
          <w:sz w:val="28"/>
          <w:szCs w:val="28"/>
          <w:lang w:val="en-AU"/>
        </w:rPr>
        <w:t>first inclusion in the Australian Register of Therapeutic Goods (the ARTG)</w:t>
      </w:r>
    </w:p>
    <w:p w:rsidR="00BD387F" w:rsidRPr="00F77E74" w:rsidRDefault="00C516A3" w:rsidP="000905E5">
      <w:pPr>
        <w:spacing w:before="120"/>
        <w:jc w:val="both"/>
        <w:rPr>
          <w:bCs/>
          <w:sz w:val="22"/>
          <w:szCs w:val="22"/>
          <w:lang w:val="en-AU"/>
        </w:rPr>
      </w:pPr>
      <w:r>
        <w:rPr>
          <w:bCs/>
          <w:sz w:val="22"/>
          <w:szCs w:val="22"/>
          <w:lang w:val="en-AU"/>
        </w:rPr>
        <w:t>01 July 2014</w:t>
      </w:r>
    </w:p>
    <w:sectPr w:rsidR="00BD387F" w:rsidRPr="00F77E74" w:rsidSect="00A23435">
      <w:headerReference w:type="default" r:id="rId12"/>
      <w:footerReference w:type="even" r:id="rId13"/>
      <w:footerReference w:type="default" r:id="rId14"/>
      <w:pgSz w:w="11906" w:h="16838" w:code="9"/>
      <w:pgMar w:top="1080" w:right="1281" w:bottom="1276" w:left="1440" w:header="578" w:footer="5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FF6" w:rsidRDefault="00205FF6">
      <w:r>
        <w:separator/>
      </w:r>
    </w:p>
    <w:p w:rsidR="00205FF6" w:rsidRDefault="00205FF6"/>
  </w:endnote>
  <w:endnote w:type="continuationSeparator" w:id="0">
    <w:p w:rsidR="00205FF6" w:rsidRDefault="00205FF6">
      <w:r>
        <w:continuationSeparator/>
      </w:r>
    </w:p>
    <w:p w:rsidR="00205FF6" w:rsidRDefault="00205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
    <w:altName w:val="MS Mincho"/>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FF6" w:rsidRDefault="00D46D4A" w:rsidP="00706930">
    <w:pPr>
      <w:pStyle w:val="Footer"/>
      <w:framePr w:wrap="around" w:vAnchor="text" w:hAnchor="margin" w:xAlign="right" w:y="1"/>
      <w:rPr>
        <w:rStyle w:val="PageNumber"/>
      </w:rPr>
    </w:pPr>
    <w:r>
      <w:rPr>
        <w:rStyle w:val="PageNumber"/>
      </w:rPr>
      <w:fldChar w:fldCharType="begin"/>
    </w:r>
    <w:r w:rsidR="00205FF6">
      <w:rPr>
        <w:rStyle w:val="PageNumber"/>
      </w:rPr>
      <w:instrText xml:space="preserve">PAGE  </w:instrText>
    </w:r>
    <w:r>
      <w:rPr>
        <w:rStyle w:val="PageNumber"/>
      </w:rPr>
      <w:fldChar w:fldCharType="separate"/>
    </w:r>
    <w:r w:rsidR="00205FF6">
      <w:rPr>
        <w:rStyle w:val="PageNumber"/>
        <w:noProof/>
      </w:rPr>
      <w:t>16</w:t>
    </w:r>
    <w:r>
      <w:rPr>
        <w:rStyle w:val="PageNumber"/>
      </w:rPr>
      <w:fldChar w:fldCharType="end"/>
    </w:r>
  </w:p>
  <w:p w:rsidR="00205FF6" w:rsidRDefault="00205FF6" w:rsidP="00706930">
    <w:pPr>
      <w:pStyle w:val="Footer"/>
      <w:ind w:right="360"/>
    </w:pPr>
  </w:p>
  <w:p w:rsidR="00205FF6" w:rsidRDefault="00205F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FF6" w:rsidRPr="00706930" w:rsidRDefault="00D46D4A" w:rsidP="00706930">
    <w:pPr>
      <w:pStyle w:val="Footer"/>
      <w:framePr w:wrap="around" w:vAnchor="text" w:hAnchor="margin" w:xAlign="right" w:y="1"/>
      <w:rPr>
        <w:rStyle w:val="PageNumber"/>
        <w:sz w:val="20"/>
        <w:szCs w:val="20"/>
      </w:rPr>
    </w:pPr>
    <w:r w:rsidRPr="00706930">
      <w:rPr>
        <w:rStyle w:val="PageNumber"/>
        <w:sz w:val="20"/>
        <w:szCs w:val="20"/>
      </w:rPr>
      <w:fldChar w:fldCharType="begin"/>
    </w:r>
    <w:r w:rsidR="00205FF6" w:rsidRPr="00706930">
      <w:rPr>
        <w:rStyle w:val="PageNumber"/>
        <w:sz w:val="20"/>
        <w:szCs w:val="20"/>
      </w:rPr>
      <w:instrText xml:space="preserve">PAGE  </w:instrText>
    </w:r>
    <w:r w:rsidRPr="00706930">
      <w:rPr>
        <w:rStyle w:val="PageNumber"/>
        <w:sz w:val="20"/>
        <w:szCs w:val="20"/>
      </w:rPr>
      <w:fldChar w:fldCharType="separate"/>
    </w:r>
    <w:r w:rsidR="00BF765C">
      <w:rPr>
        <w:rStyle w:val="PageNumber"/>
        <w:noProof/>
        <w:sz w:val="20"/>
        <w:szCs w:val="20"/>
      </w:rPr>
      <w:t>1</w:t>
    </w:r>
    <w:r w:rsidRPr="00706930">
      <w:rPr>
        <w:rStyle w:val="PageNumber"/>
        <w:sz w:val="20"/>
        <w:szCs w:val="20"/>
      </w:rPr>
      <w:fldChar w:fldCharType="end"/>
    </w:r>
  </w:p>
  <w:p w:rsidR="00205FF6" w:rsidRPr="00B52337" w:rsidRDefault="00205FF6" w:rsidP="00957B30">
    <w:pPr>
      <w:rPr>
        <w:sz w:val="18"/>
        <w:szCs w:val="18"/>
        <w:lang w:val="fr-FR"/>
      </w:rPr>
    </w:pPr>
    <w:r w:rsidRPr="00B52337">
      <w:rPr>
        <w:sz w:val="18"/>
        <w:szCs w:val="18"/>
        <w:lang w:val="fr-FR"/>
      </w:rPr>
      <w:t>POMALYST</w:t>
    </w:r>
    <w:r w:rsidRPr="00B52337">
      <w:rPr>
        <w:sz w:val="18"/>
        <w:szCs w:val="18"/>
        <w:vertAlign w:val="superscript"/>
        <w:lang w:val="fr-FR"/>
      </w:rPr>
      <w:t>®</w:t>
    </w:r>
    <w:r w:rsidRPr="00B52337">
      <w:rPr>
        <w:sz w:val="18"/>
        <w:szCs w:val="18"/>
        <w:lang w:val="fr-FR"/>
      </w:rPr>
      <w:t xml:space="preserve"> (</w:t>
    </w:r>
    <w:proofErr w:type="spellStart"/>
    <w:r w:rsidRPr="00B52337">
      <w:rPr>
        <w:sz w:val="18"/>
        <w:szCs w:val="18"/>
        <w:lang w:val="fr-FR"/>
      </w:rPr>
      <w:t>pomalidomide</w:t>
    </w:r>
    <w:proofErr w:type="spellEnd"/>
    <w:r w:rsidRPr="00B52337">
      <w:rPr>
        <w:sz w:val="18"/>
        <w:szCs w:val="18"/>
        <w:lang w:val="fr-FR"/>
      </w:rPr>
      <w:t>) capsules – Product Information</w:t>
    </w:r>
  </w:p>
  <w:p w:rsidR="00205FF6" w:rsidRPr="004D0425" w:rsidRDefault="00205FF6">
    <w:pPr>
      <w:rPr>
        <w:sz w:val="8"/>
        <w:szCs w:val="8"/>
        <w:lang w:val="fr-FR"/>
      </w:rPr>
    </w:pPr>
    <w:proofErr w:type="spellStart"/>
    <w:r>
      <w:rPr>
        <w:sz w:val="8"/>
        <w:szCs w:val="8"/>
        <w:lang w:val="fr-FR"/>
      </w:rPr>
      <w:t>Celgene</w:t>
    </w:r>
    <w:proofErr w:type="spellEnd"/>
    <w:r>
      <w:rPr>
        <w:sz w:val="8"/>
        <w:szCs w:val="8"/>
        <w:lang w:val="fr-FR"/>
      </w:rPr>
      <w:t xml:space="preserve"> V1.0 – July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FF6" w:rsidRDefault="00205FF6">
      <w:r>
        <w:separator/>
      </w:r>
    </w:p>
    <w:p w:rsidR="00205FF6" w:rsidRDefault="00205FF6"/>
  </w:footnote>
  <w:footnote w:type="continuationSeparator" w:id="0">
    <w:p w:rsidR="00205FF6" w:rsidRDefault="00205FF6">
      <w:r>
        <w:continuationSeparator/>
      </w:r>
    </w:p>
    <w:p w:rsidR="00205FF6" w:rsidRDefault="00205F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695690" w:rsidRPr="00695690" w:rsidTr="00C8527A">
      <w:tc>
        <w:tcPr>
          <w:tcW w:w="8720" w:type="dxa"/>
          <w:shd w:val="clear" w:color="auto" w:fill="E4F2E0"/>
        </w:tcPr>
        <w:p w:rsidR="00695690" w:rsidRPr="00695690" w:rsidRDefault="00695690" w:rsidP="00C8527A">
          <w:pPr>
            <w:spacing w:before="40" w:after="40"/>
            <w:rPr>
              <w:rFonts w:ascii="Cambria" w:hAnsi="Cambria"/>
              <w:b/>
              <w:sz w:val="22"/>
              <w:szCs w:val="22"/>
            </w:rPr>
          </w:pPr>
          <w:r w:rsidRPr="00695690">
            <w:rPr>
              <w:rFonts w:ascii="Cambria" w:hAnsi="Cambria"/>
              <w:b/>
              <w:sz w:val="22"/>
              <w:szCs w:val="22"/>
            </w:rPr>
            <w:t xml:space="preserve">Attachment 1: Product information for </w:t>
          </w:r>
          <w:proofErr w:type="spellStart"/>
          <w:r w:rsidRPr="00695690">
            <w:rPr>
              <w:rFonts w:ascii="Cambria" w:hAnsi="Cambria"/>
              <w:b/>
              <w:sz w:val="22"/>
              <w:szCs w:val="22"/>
            </w:rPr>
            <w:t>AusPAR</w:t>
          </w:r>
          <w:proofErr w:type="spellEnd"/>
          <w:r w:rsidRPr="00695690">
            <w:rPr>
              <w:rFonts w:ascii="Cambria" w:hAnsi="Cambria"/>
              <w:b/>
              <w:sz w:val="22"/>
              <w:szCs w:val="22"/>
            </w:rPr>
            <w:t xml:space="preserve"> </w:t>
          </w:r>
          <w:proofErr w:type="spellStart"/>
          <w:r w:rsidR="00456853">
            <w:rPr>
              <w:rFonts w:ascii="Cambria" w:hAnsi="Cambria"/>
              <w:b/>
              <w:sz w:val="22"/>
              <w:szCs w:val="22"/>
            </w:rPr>
            <w:t>Pomalidomide</w:t>
          </w:r>
          <w:proofErr w:type="spellEnd"/>
          <w:r w:rsidR="00456853">
            <w:rPr>
              <w:rFonts w:ascii="Cambria" w:hAnsi="Cambria"/>
              <w:b/>
              <w:sz w:val="22"/>
              <w:szCs w:val="22"/>
            </w:rPr>
            <w:t xml:space="preserve"> </w:t>
          </w:r>
          <w:proofErr w:type="spellStart"/>
          <w:r w:rsidRPr="00695690">
            <w:rPr>
              <w:rFonts w:ascii="Cambria" w:hAnsi="Cambria"/>
              <w:b/>
              <w:sz w:val="22"/>
              <w:szCs w:val="22"/>
            </w:rPr>
            <w:t>Pomalyst</w:t>
          </w:r>
          <w:proofErr w:type="spellEnd"/>
          <w:r w:rsidRPr="00695690">
            <w:rPr>
              <w:rFonts w:ascii="Cambria" w:hAnsi="Cambria"/>
              <w:b/>
              <w:sz w:val="22"/>
              <w:szCs w:val="22"/>
            </w:rPr>
            <w:t xml:space="preserve"> </w:t>
          </w:r>
          <w:proofErr w:type="spellStart"/>
          <w:r w:rsidRPr="00695690">
            <w:rPr>
              <w:rFonts w:ascii="Cambria" w:hAnsi="Cambria"/>
              <w:b/>
              <w:sz w:val="22"/>
              <w:szCs w:val="22"/>
            </w:rPr>
            <w:t>Celgene</w:t>
          </w:r>
          <w:proofErr w:type="spellEnd"/>
          <w:r w:rsidRPr="00695690">
            <w:rPr>
              <w:rFonts w:ascii="Cambria" w:hAnsi="Cambria"/>
              <w:b/>
              <w:sz w:val="22"/>
              <w:szCs w:val="22"/>
            </w:rPr>
            <w:t xml:space="preserve"> Australia Pty Ltd PM-2013-02037-1-4 Final 13 October 2014. This Product Information was approved at the time this </w:t>
          </w:r>
          <w:proofErr w:type="spellStart"/>
          <w:r w:rsidRPr="00695690">
            <w:rPr>
              <w:rFonts w:ascii="Cambria" w:hAnsi="Cambria"/>
              <w:b/>
              <w:sz w:val="22"/>
              <w:szCs w:val="22"/>
            </w:rPr>
            <w:t>AusPAR</w:t>
          </w:r>
          <w:proofErr w:type="spellEnd"/>
          <w:r w:rsidRPr="00695690">
            <w:rPr>
              <w:rFonts w:ascii="Cambria" w:hAnsi="Cambria"/>
              <w:b/>
              <w:sz w:val="22"/>
              <w:szCs w:val="22"/>
            </w:rPr>
            <w:t xml:space="preserve"> was published.</w:t>
          </w:r>
        </w:p>
      </w:tc>
    </w:tr>
  </w:tbl>
  <w:p w:rsidR="00695690" w:rsidRDefault="006956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864"/>
    <w:multiLevelType w:val="hybridMultilevel"/>
    <w:tmpl w:val="0F3231F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02A62"/>
    <w:multiLevelType w:val="hybridMultilevel"/>
    <w:tmpl w:val="491C12E6"/>
    <w:lvl w:ilvl="0" w:tplc="0C09000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67161F"/>
    <w:multiLevelType w:val="hybridMultilevel"/>
    <w:tmpl w:val="342E5790"/>
    <w:lvl w:ilvl="0" w:tplc="4D647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6A45BE"/>
    <w:multiLevelType w:val="hybridMultilevel"/>
    <w:tmpl w:val="90DA7EA4"/>
    <w:lvl w:ilvl="0" w:tplc="9E00E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F728A2"/>
    <w:multiLevelType w:val="hybridMultilevel"/>
    <w:tmpl w:val="6150AB8E"/>
    <w:lvl w:ilvl="0" w:tplc="DFEE5D0E">
      <w:start w:val="1"/>
      <w:numFmt w:val="decimal"/>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C7810D1"/>
    <w:multiLevelType w:val="hybridMultilevel"/>
    <w:tmpl w:val="2F2AEB9C"/>
    <w:lvl w:ilvl="0" w:tplc="6A001E54">
      <w:start w:val="1"/>
      <w:numFmt w:val="decimal"/>
      <w:lvlText w:val="%1."/>
      <w:lvlJc w:val="left"/>
      <w:pPr>
        <w:ind w:left="360" w:hanging="360"/>
      </w:pPr>
      <w:rPr>
        <w:rFonts w:hint="default"/>
        <w:b/>
        <w:cap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4B2544"/>
    <w:multiLevelType w:val="hybridMultilevel"/>
    <w:tmpl w:val="D846A3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4D55EF8"/>
    <w:multiLevelType w:val="hybridMultilevel"/>
    <w:tmpl w:val="ED60FAD8"/>
    <w:lvl w:ilvl="0" w:tplc="0356693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847159"/>
    <w:multiLevelType w:val="hybridMultilevel"/>
    <w:tmpl w:val="0AC0C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683B91"/>
    <w:multiLevelType w:val="hybridMultilevel"/>
    <w:tmpl w:val="483A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117F5A"/>
    <w:multiLevelType w:val="hybridMultilevel"/>
    <w:tmpl w:val="035053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1114BE2"/>
    <w:multiLevelType w:val="hybridMultilevel"/>
    <w:tmpl w:val="99327B5E"/>
    <w:lvl w:ilvl="0" w:tplc="54F473EE">
      <w:start w:val="1"/>
      <w:numFmt w:val="lowerRoman"/>
      <w:lvlText w:val="%1)"/>
      <w:lvlJc w:val="left"/>
      <w:pPr>
        <w:ind w:left="360" w:hanging="360"/>
      </w:pPr>
      <w:rPr>
        <w:rFonts w:hint="default"/>
        <w:b/>
        <w:cap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1E6B4B"/>
    <w:multiLevelType w:val="hybridMultilevel"/>
    <w:tmpl w:val="648A8252"/>
    <w:lvl w:ilvl="0" w:tplc="50F63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CE3BEC"/>
    <w:multiLevelType w:val="hybridMultilevel"/>
    <w:tmpl w:val="BE9841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86E4351"/>
    <w:multiLevelType w:val="multilevel"/>
    <w:tmpl w:val="B4C210DC"/>
    <w:lvl w:ilvl="0">
      <w:start w:val="7"/>
      <w:numFmt w:val="decimal"/>
      <w:lvlText w:val="%1"/>
      <w:lvlJc w:val="left"/>
      <w:pPr>
        <w:ind w:left="360" w:hanging="360"/>
      </w:pPr>
      <w:rPr>
        <w:rFonts w:hint="default"/>
        <w:b/>
      </w:rPr>
    </w:lvl>
    <w:lvl w:ilvl="1">
      <w:start w:val="9"/>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nsid w:val="288C4668"/>
    <w:multiLevelType w:val="hybridMultilevel"/>
    <w:tmpl w:val="A830CB72"/>
    <w:lvl w:ilvl="0" w:tplc="13F284A4">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2AC5111B"/>
    <w:multiLevelType w:val="hybridMultilevel"/>
    <w:tmpl w:val="EB1AD2E6"/>
    <w:lvl w:ilvl="0" w:tplc="D5FA88F8">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2B093092"/>
    <w:multiLevelType w:val="hybridMultilevel"/>
    <w:tmpl w:val="F948031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8">
    <w:nsid w:val="2BB85BA8"/>
    <w:multiLevelType w:val="hybridMultilevel"/>
    <w:tmpl w:val="6C00C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9F5041"/>
    <w:multiLevelType w:val="hybridMultilevel"/>
    <w:tmpl w:val="D78E0F8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FFD4658"/>
    <w:multiLevelType w:val="hybridMultilevel"/>
    <w:tmpl w:val="1A08E4F6"/>
    <w:lvl w:ilvl="0" w:tplc="78E4380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991975"/>
    <w:multiLevelType w:val="hybridMultilevel"/>
    <w:tmpl w:val="C5B8C9C4"/>
    <w:lvl w:ilvl="0" w:tplc="49C0B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4486DCB"/>
    <w:multiLevelType w:val="hybridMultilevel"/>
    <w:tmpl w:val="EBE8E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5E552FA"/>
    <w:multiLevelType w:val="hybridMultilevel"/>
    <w:tmpl w:val="00C03D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3B8E042D"/>
    <w:multiLevelType w:val="hybridMultilevel"/>
    <w:tmpl w:val="B41411D2"/>
    <w:lvl w:ilvl="0" w:tplc="0C090001">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F7641A9"/>
    <w:multiLevelType w:val="multilevel"/>
    <w:tmpl w:val="6AD02EFE"/>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320"/>
        </w:tabs>
        <w:ind w:left="1320" w:hanging="1080"/>
      </w:pPr>
      <w:rPr>
        <w:rFonts w:hint="default"/>
      </w:rPr>
    </w:lvl>
    <w:lvl w:ilvl="2">
      <w:start w:val="1"/>
      <w:numFmt w:val="decimal"/>
      <w:pStyle w:val="C-Heading3"/>
      <w:lvlText w:val="%1.%2.%3."/>
      <w:lvlJc w:val="left"/>
      <w:pPr>
        <w:tabs>
          <w:tab w:val="num" w:pos="1080"/>
        </w:tabs>
        <w:ind w:left="1080" w:hanging="1080"/>
      </w:pPr>
      <w:rPr>
        <w:rFonts w:ascii="Times New Roman" w:hAnsi="Times New Roman" w:cs="Times New Roman" w:hint="default"/>
      </w:rPr>
    </w:lvl>
    <w:lvl w:ilvl="3">
      <w:start w:val="1"/>
      <w:numFmt w:val="decimal"/>
      <w:pStyle w:val="C-Heading4"/>
      <w:lvlText w:val="%1.%2.%3.%4."/>
      <w:lvlJc w:val="left"/>
      <w:pPr>
        <w:tabs>
          <w:tab w:val="num" w:pos="1080"/>
        </w:tabs>
        <w:ind w:left="1080" w:hanging="1080"/>
      </w:pPr>
      <w:rPr>
        <w:rFonts w:ascii="Times New Roman" w:hAnsi="Times New Roman" w:cs="Times New Roman"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6">
    <w:nsid w:val="40165A09"/>
    <w:multiLevelType w:val="hybridMultilevel"/>
    <w:tmpl w:val="5CF0D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EA458D"/>
    <w:multiLevelType w:val="hybridMultilevel"/>
    <w:tmpl w:val="6C00C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5402C2"/>
    <w:multiLevelType w:val="hybridMultilevel"/>
    <w:tmpl w:val="0506F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4A41CF9"/>
    <w:multiLevelType w:val="hybridMultilevel"/>
    <w:tmpl w:val="48B25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46C54756"/>
    <w:multiLevelType w:val="hybridMultilevel"/>
    <w:tmpl w:val="A3603D2E"/>
    <w:lvl w:ilvl="0" w:tplc="F4B66E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E100951"/>
    <w:multiLevelType w:val="multilevel"/>
    <w:tmpl w:val="1B90D49C"/>
    <w:lvl w:ilvl="0">
      <w:start w:val="1"/>
      <w:numFmt w:val="decimal"/>
      <w:lvlText w:val="%1."/>
      <w:lvlJc w:val="left"/>
      <w:pPr>
        <w:ind w:left="1068" w:hanging="360"/>
      </w:pPr>
      <w:rPr>
        <w:rFonts w:hint="default"/>
        <w:b/>
        <w:sz w:val="28"/>
        <w:szCs w:val="28"/>
      </w:rPr>
    </w:lvl>
    <w:lvl w:ilvl="1">
      <w:start w:val="1"/>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32">
    <w:nsid w:val="4EE609CA"/>
    <w:multiLevelType w:val="hybridMultilevel"/>
    <w:tmpl w:val="93EC3AB6"/>
    <w:lvl w:ilvl="0" w:tplc="8B304580">
      <w:start w:val="13"/>
      <w:numFmt w:val="lowerRoman"/>
      <w:lvlText w:val="%1)"/>
      <w:lvlJc w:val="left"/>
      <w:pPr>
        <w:ind w:left="1530" w:hanging="72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nsid w:val="517C437A"/>
    <w:multiLevelType w:val="hybridMultilevel"/>
    <w:tmpl w:val="C7A0E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4F50BFC"/>
    <w:multiLevelType w:val="hybridMultilevel"/>
    <w:tmpl w:val="D5B07B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59457BA6"/>
    <w:multiLevelType w:val="hybridMultilevel"/>
    <w:tmpl w:val="36D4AB68"/>
    <w:lvl w:ilvl="0" w:tplc="1514F20C">
      <w:start w:val="13"/>
      <w:numFmt w:val="decimal"/>
      <w:lvlText w:val="%1."/>
      <w:lvlJc w:val="left"/>
      <w:pPr>
        <w:ind w:left="1806" w:hanging="360"/>
      </w:pPr>
      <w:rPr>
        <w:rFonts w:hint="default"/>
        <w:b/>
      </w:rPr>
    </w:lvl>
    <w:lvl w:ilvl="1" w:tplc="0C090019" w:tentative="1">
      <w:start w:val="1"/>
      <w:numFmt w:val="lowerLetter"/>
      <w:lvlText w:val="%2."/>
      <w:lvlJc w:val="left"/>
      <w:pPr>
        <w:ind w:left="2526" w:hanging="360"/>
      </w:pPr>
    </w:lvl>
    <w:lvl w:ilvl="2" w:tplc="0C09001B" w:tentative="1">
      <w:start w:val="1"/>
      <w:numFmt w:val="lowerRoman"/>
      <w:lvlText w:val="%3."/>
      <w:lvlJc w:val="right"/>
      <w:pPr>
        <w:ind w:left="3246" w:hanging="180"/>
      </w:pPr>
    </w:lvl>
    <w:lvl w:ilvl="3" w:tplc="0C09000F" w:tentative="1">
      <w:start w:val="1"/>
      <w:numFmt w:val="decimal"/>
      <w:lvlText w:val="%4."/>
      <w:lvlJc w:val="left"/>
      <w:pPr>
        <w:ind w:left="3966" w:hanging="360"/>
      </w:pPr>
    </w:lvl>
    <w:lvl w:ilvl="4" w:tplc="0C090019" w:tentative="1">
      <w:start w:val="1"/>
      <w:numFmt w:val="lowerLetter"/>
      <w:lvlText w:val="%5."/>
      <w:lvlJc w:val="left"/>
      <w:pPr>
        <w:ind w:left="4686" w:hanging="360"/>
      </w:pPr>
    </w:lvl>
    <w:lvl w:ilvl="5" w:tplc="0C09001B" w:tentative="1">
      <w:start w:val="1"/>
      <w:numFmt w:val="lowerRoman"/>
      <w:lvlText w:val="%6."/>
      <w:lvlJc w:val="right"/>
      <w:pPr>
        <w:ind w:left="5406" w:hanging="180"/>
      </w:pPr>
    </w:lvl>
    <w:lvl w:ilvl="6" w:tplc="0C09000F" w:tentative="1">
      <w:start w:val="1"/>
      <w:numFmt w:val="decimal"/>
      <w:lvlText w:val="%7."/>
      <w:lvlJc w:val="left"/>
      <w:pPr>
        <w:ind w:left="6126" w:hanging="360"/>
      </w:pPr>
    </w:lvl>
    <w:lvl w:ilvl="7" w:tplc="0C090019" w:tentative="1">
      <w:start w:val="1"/>
      <w:numFmt w:val="lowerLetter"/>
      <w:lvlText w:val="%8."/>
      <w:lvlJc w:val="left"/>
      <w:pPr>
        <w:ind w:left="6846" w:hanging="360"/>
      </w:pPr>
    </w:lvl>
    <w:lvl w:ilvl="8" w:tplc="0C09001B" w:tentative="1">
      <w:start w:val="1"/>
      <w:numFmt w:val="lowerRoman"/>
      <w:lvlText w:val="%9."/>
      <w:lvlJc w:val="right"/>
      <w:pPr>
        <w:ind w:left="7566" w:hanging="180"/>
      </w:pPr>
    </w:lvl>
  </w:abstractNum>
  <w:abstractNum w:abstractNumId="36">
    <w:nsid w:val="5DD90C65"/>
    <w:multiLevelType w:val="hybridMultilevel"/>
    <w:tmpl w:val="C622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8D20A2"/>
    <w:multiLevelType w:val="hybridMultilevel"/>
    <w:tmpl w:val="92C2CA08"/>
    <w:lvl w:ilvl="0" w:tplc="AB4AE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2540217"/>
    <w:multiLevelType w:val="hybridMultilevel"/>
    <w:tmpl w:val="B6D813F8"/>
    <w:lvl w:ilvl="0" w:tplc="6DC22D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2F47C7B"/>
    <w:multiLevelType w:val="hybridMultilevel"/>
    <w:tmpl w:val="932C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411E7D"/>
    <w:multiLevelType w:val="hybridMultilevel"/>
    <w:tmpl w:val="C2E2E3EA"/>
    <w:lvl w:ilvl="0" w:tplc="6DC22D0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A6908DC"/>
    <w:multiLevelType w:val="hybridMultilevel"/>
    <w:tmpl w:val="2436AD7A"/>
    <w:lvl w:ilvl="0" w:tplc="6DC22D0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A8F2DF4"/>
    <w:multiLevelType w:val="hybridMultilevel"/>
    <w:tmpl w:val="CC125368"/>
    <w:lvl w:ilvl="0" w:tplc="78E4380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E81D20"/>
    <w:multiLevelType w:val="hybridMultilevel"/>
    <w:tmpl w:val="2758E0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927E0F"/>
    <w:multiLevelType w:val="hybridMultilevel"/>
    <w:tmpl w:val="188C0188"/>
    <w:lvl w:ilvl="0" w:tplc="2F5A1FE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AA20FF"/>
    <w:multiLevelType w:val="hybridMultilevel"/>
    <w:tmpl w:val="D9B0CA3A"/>
    <w:lvl w:ilvl="0" w:tplc="8B1AC8CE">
      <w:start w:val="1"/>
      <w:numFmt w:val="decimal"/>
      <w:lvlText w:val="%1."/>
      <w:lvlJc w:val="lef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A8507BB"/>
    <w:multiLevelType w:val="hybridMultilevel"/>
    <w:tmpl w:val="2C52C578"/>
    <w:lvl w:ilvl="0" w:tplc="38EC35C4">
      <w:start w:val="13"/>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nsid w:val="7CFE64CC"/>
    <w:multiLevelType w:val="hybridMultilevel"/>
    <w:tmpl w:val="3FB433FE"/>
    <w:lvl w:ilvl="0" w:tplc="0C090001">
      <w:start w:val="1"/>
      <w:numFmt w:val="decimal"/>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48">
    <w:nsid w:val="7EA31167"/>
    <w:multiLevelType w:val="hybridMultilevel"/>
    <w:tmpl w:val="C6461A94"/>
    <w:lvl w:ilvl="0" w:tplc="0AAE316E">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41"/>
  </w:num>
  <w:num w:numId="4">
    <w:abstractNumId w:val="40"/>
  </w:num>
  <w:num w:numId="5">
    <w:abstractNumId w:val="13"/>
  </w:num>
  <w:num w:numId="6">
    <w:abstractNumId w:val="15"/>
  </w:num>
  <w:num w:numId="7">
    <w:abstractNumId w:val="34"/>
  </w:num>
  <w:num w:numId="8">
    <w:abstractNumId w:val="17"/>
  </w:num>
  <w:num w:numId="9">
    <w:abstractNumId w:val="29"/>
  </w:num>
  <w:num w:numId="10">
    <w:abstractNumId w:val="38"/>
  </w:num>
  <w:num w:numId="11">
    <w:abstractNumId w:val="10"/>
  </w:num>
  <w:num w:numId="12">
    <w:abstractNumId w:val="11"/>
  </w:num>
  <w:num w:numId="13">
    <w:abstractNumId w:val="5"/>
  </w:num>
  <w:num w:numId="14">
    <w:abstractNumId w:val="4"/>
  </w:num>
  <w:num w:numId="15">
    <w:abstractNumId w:val="47"/>
  </w:num>
  <w:num w:numId="16">
    <w:abstractNumId w:val="26"/>
  </w:num>
  <w:num w:numId="17">
    <w:abstractNumId w:val="19"/>
  </w:num>
  <w:num w:numId="18">
    <w:abstractNumId w:val="12"/>
  </w:num>
  <w:num w:numId="19">
    <w:abstractNumId w:val="30"/>
  </w:num>
  <w:num w:numId="20">
    <w:abstractNumId w:val="21"/>
  </w:num>
  <w:num w:numId="21">
    <w:abstractNumId w:val="8"/>
  </w:num>
  <w:num w:numId="22">
    <w:abstractNumId w:val="9"/>
  </w:num>
  <w:num w:numId="23">
    <w:abstractNumId w:val="6"/>
  </w:num>
  <w:num w:numId="24">
    <w:abstractNumId w:val="3"/>
  </w:num>
  <w:num w:numId="25">
    <w:abstractNumId w:val="37"/>
  </w:num>
  <w:num w:numId="26">
    <w:abstractNumId w:val="2"/>
  </w:num>
  <w:num w:numId="27">
    <w:abstractNumId w:val="45"/>
  </w:num>
  <w:num w:numId="28">
    <w:abstractNumId w:val="32"/>
  </w:num>
  <w:num w:numId="29">
    <w:abstractNumId w:val="7"/>
  </w:num>
  <w:num w:numId="30">
    <w:abstractNumId w:val="48"/>
  </w:num>
  <w:num w:numId="31">
    <w:abstractNumId w:val="44"/>
  </w:num>
  <w:num w:numId="32">
    <w:abstractNumId w:val="24"/>
  </w:num>
  <w:num w:numId="33">
    <w:abstractNumId w:val="1"/>
  </w:num>
  <w:num w:numId="34">
    <w:abstractNumId w:val="0"/>
  </w:num>
  <w:num w:numId="35">
    <w:abstractNumId w:val="25"/>
  </w:num>
  <w:num w:numId="36">
    <w:abstractNumId w:val="23"/>
  </w:num>
  <w:num w:numId="37">
    <w:abstractNumId w:val="27"/>
  </w:num>
  <w:num w:numId="38">
    <w:abstractNumId w:val="42"/>
  </w:num>
  <w:num w:numId="39">
    <w:abstractNumId w:val="20"/>
  </w:num>
  <w:num w:numId="40">
    <w:abstractNumId w:val="33"/>
  </w:num>
  <w:num w:numId="41">
    <w:abstractNumId w:val="39"/>
  </w:num>
  <w:num w:numId="42">
    <w:abstractNumId w:val="18"/>
  </w:num>
  <w:num w:numId="43">
    <w:abstractNumId w:val="36"/>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31"/>
  </w:num>
  <w:num w:numId="47">
    <w:abstractNumId w:val="14"/>
  </w:num>
  <w:num w:numId="48">
    <w:abstractNumId w:val="46"/>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2"/>
  </w:compat>
  <w:rsids>
    <w:rsidRoot w:val="00184223"/>
    <w:rsid w:val="00000519"/>
    <w:rsid w:val="00002FF1"/>
    <w:rsid w:val="00004341"/>
    <w:rsid w:val="0000497D"/>
    <w:rsid w:val="00007084"/>
    <w:rsid w:val="000105F4"/>
    <w:rsid w:val="000108D9"/>
    <w:rsid w:val="00010A2A"/>
    <w:rsid w:val="00011626"/>
    <w:rsid w:val="00011732"/>
    <w:rsid w:val="0001234D"/>
    <w:rsid w:val="00012B7B"/>
    <w:rsid w:val="00012FB1"/>
    <w:rsid w:val="00013D3C"/>
    <w:rsid w:val="0001430E"/>
    <w:rsid w:val="00015622"/>
    <w:rsid w:val="00015A81"/>
    <w:rsid w:val="000160F8"/>
    <w:rsid w:val="00017DFC"/>
    <w:rsid w:val="0002183B"/>
    <w:rsid w:val="0002246C"/>
    <w:rsid w:val="000231B9"/>
    <w:rsid w:val="000236CE"/>
    <w:rsid w:val="00026F39"/>
    <w:rsid w:val="000275E4"/>
    <w:rsid w:val="00030940"/>
    <w:rsid w:val="00030BEC"/>
    <w:rsid w:val="000333FE"/>
    <w:rsid w:val="00033646"/>
    <w:rsid w:val="00033949"/>
    <w:rsid w:val="000342AF"/>
    <w:rsid w:val="00034733"/>
    <w:rsid w:val="000347C1"/>
    <w:rsid w:val="00034806"/>
    <w:rsid w:val="00036E93"/>
    <w:rsid w:val="00036F04"/>
    <w:rsid w:val="00036F25"/>
    <w:rsid w:val="00040806"/>
    <w:rsid w:val="00040859"/>
    <w:rsid w:val="00042E78"/>
    <w:rsid w:val="00047F6B"/>
    <w:rsid w:val="000504B9"/>
    <w:rsid w:val="0005090C"/>
    <w:rsid w:val="00052445"/>
    <w:rsid w:val="0005410E"/>
    <w:rsid w:val="000547F1"/>
    <w:rsid w:val="000554EE"/>
    <w:rsid w:val="0005552C"/>
    <w:rsid w:val="000578F3"/>
    <w:rsid w:val="00060164"/>
    <w:rsid w:val="00061B30"/>
    <w:rsid w:val="00061F58"/>
    <w:rsid w:val="00063689"/>
    <w:rsid w:val="00063921"/>
    <w:rsid w:val="00064FBE"/>
    <w:rsid w:val="00065318"/>
    <w:rsid w:val="00065FAF"/>
    <w:rsid w:val="00067C9B"/>
    <w:rsid w:val="00071A6B"/>
    <w:rsid w:val="00072316"/>
    <w:rsid w:val="000738A6"/>
    <w:rsid w:val="00075CCA"/>
    <w:rsid w:val="00080511"/>
    <w:rsid w:val="00080A83"/>
    <w:rsid w:val="0008100F"/>
    <w:rsid w:val="00083514"/>
    <w:rsid w:val="000835AA"/>
    <w:rsid w:val="000837E3"/>
    <w:rsid w:val="00083977"/>
    <w:rsid w:val="00083EED"/>
    <w:rsid w:val="000843CA"/>
    <w:rsid w:val="00087838"/>
    <w:rsid w:val="000905E5"/>
    <w:rsid w:val="00093E0A"/>
    <w:rsid w:val="000943B3"/>
    <w:rsid w:val="0009476E"/>
    <w:rsid w:val="00094D4D"/>
    <w:rsid w:val="000A0872"/>
    <w:rsid w:val="000A2487"/>
    <w:rsid w:val="000A3196"/>
    <w:rsid w:val="000A52E3"/>
    <w:rsid w:val="000A620D"/>
    <w:rsid w:val="000A7A97"/>
    <w:rsid w:val="000B0D23"/>
    <w:rsid w:val="000B2BCA"/>
    <w:rsid w:val="000B2EEF"/>
    <w:rsid w:val="000B6871"/>
    <w:rsid w:val="000B6DBE"/>
    <w:rsid w:val="000B7603"/>
    <w:rsid w:val="000C01C3"/>
    <w:rsid w:val="000C1CE5"/>
    <w:rsid w:val="000C627B"/>
    <w:rsid w:val="000C7003"/>
    <w:rsid w:val="000D0D2A"/>
    <w:rsid w:val="000D2581"/>
    <w:rsid w:val="000D26E3"/>
    <w:rsid w:val="000D3B7E"/>
    <w:rsid w:val="000D4E5B"/>
    <w:rsid w:val="000D4EB1"/>
    <w:rsid w:val="000D51FF"/>
    <w:rsid w:val="000D5F35"/>
    <w:rsid w:val="000D5F67"/>
    <w:rsid w:val="000D691C"/>
    <w:rsid w:val="000E1ACF"/>
    <w:rsid w:val="000E249A"/>
    <w:rsid w:val="000E35BB"/>
    <w:rsid w:val="000E379E"/>
    <w:rsid w:val="000E64F1"/>
    <w:rsid w:val="000E6961"/>
    <w:rsid w:val="000F2AA5"/>
    <w:rsid w:val="000F4D40"/>
    <w:rsid w:val="000F76EB"/>
    <w:rsid w:val="000F7CB2"/>
    <w:rsid w:val="000F7DCD"/>
    <w:rsid w:val="00100A62"/>
    <w:rsid w:val="001014AE"/>
    <w:rsid w:val="00102418"/>
    <w:rsid w:val="001028B0"/>
    <w:rsid w:val="00102A15"/>
    <w:rsid w:val="00102F1E"/>
    <w:rsid w:val="00103DCD"/>
    <w:rsid w:val="00104338"/>
    <w:rsid w:val="001044F6"/>
    <w:rsid w:val="00104546"/>
    <w:rsid w:val="00105245"/>
    <w:rsid w:val="00106078"/>
    <w:rsid w:val="001062EC"/>
    <w:rsid w:val="001076B4"/>
    <w:rsid w:val="00110D66"/>
    <w:rsid w:val="00112309"/>
    <w:rsid w:val="00112E36"/>
    <w:rsid w:val="001157B7"/>
    <w:rsid w:val="00115966"/>
    <w:rsid w:val="00116A89"/>
    <w:rsid w:val="0012026F"/>
    <w:rsid w:val="001204CB"/>
    <w:rsid w:val="001225AD"/>
    <w:rsid w:val="00123195"/>
    <w:rsid w:val="0012324E"/>
    <w:rsid w:val="001238C6"/>
    <w:rsid w:val="001250C3"/>
    <w:rsid w:val="0012565E"/>
    <w:rsid w:val="001260A8"/>
    <w:rsid w:val="00126BF1"/>
    <w:rsid w:val="00126CBC"/>
    <w:rsid w:val="001314E1"/>
    <w:rsid w:val="00132B59"/>
    <w:rsid w:val="0013442D"/>
    <w:rsid w:val="001350C8"/>
    <w:rsid w:val="00136419"/>
    <w:rsid w:val="00140565"/>
    <w:rsid w:val="00140901"/>
    <w:rsid w:val="00140D99"/>
    <w:rsid w:val="00142AF8"/>
    <w:rsid w:val="001442A7"/>
    <w:rsid w:val="00144932"/>
    <w:rsid w:val="001452CF"/>
    <w:rsid w:val="0014577F"/>
    <w:rsid w:val="00145D29"/>
    <w:rsid w:val="0014665A"/>
    <w:rsid w:val="00150577"/>
    <w:rsid w:val="00150C42"/>
    <w:rsid w:val="001519B3"/>
    <w:rsid w:val="0015212B"/>
    <w:rsid w:val="0015266B"/>
    <w:rsid w:val="00153882"/>
    <w:rsid w:val="00153E5D"/>
    <w:rsid w:val="00154957"/>
    <w:rsid w:val="0015496D"/>
    <w:rsid w:val="00154D3D"/>
    <w:rsid w:val="001577B6"/>
    <w:rsid w:val="00157D42"/>
    <w:rsid w:val="00160601"/>
    <w:rsid w:val="0016090C"/>
    <w:rsid w:val="00160E55"/>
    <w:rsid w:val="0016151C"/>
    <w:rsid w:val="00162FA9"/>
    <w:rsid w:val="0016446D"/>
    <w:rsid w:val="00164473"/>
    <w:rsid w:val="001666F2"/>
    <w:rsid w:val="001706BE"/>
    <w:rsid w:val="00170C95"/>
    <w:rsid w:val="00171048"/>
    <w:rsid w:val="00171B28"/>
    <w:rsid w:val="00173B1E"/>
    <w:rsid w:val="00173CCB"/>
    <w:rsid w:val="00174BE4"/>
    <w:rsid w:val="001754D8"/>
    <w:rsid w:val="00176F56"/>
    <w:rsid w:val="00177F9A"/>
    <w:rsid w:val="00180077"/>
    <w:rsid w:val="001800BC"/>
    <w:rsid w:val="00181B84"/>
    <w:rsid w:val="00182480"/>
    <w:rsid w:val="00184223"/>
    <w:rsid w:val="00185B76"/>
    <w:rsid w:val="00186257"/>
    <w:rsid w:val="00190631"/>
    <w:rsid w:val="00190AED"/>
    <w:rsid w:val="001910F0"/>
    <w:rsid w:val="0019169C"/>
    <w:rsid w:val="00192F47"/>
    <w:rsid w:val="001931C3"/>
    <w:rsid w:val="001941E0"/>
    <w:rsid w:val="00197568"/>
    <w:rsid w:val="00197924"/>
    <w:rsid w:val="00197DF1"/>
    <w:rsid w:val="001A1AA7"/>
    <w:rsid w:val="001A1EBC"/>
    <w:rsid w:val="001A2746"/>
    <w:rsid w:val="001A45B0"/>
    <w:rsid w:val="001A4B75"/>
    <w:rsid w:val="001A5B7F"/>
    <w:rsid w:val="001A66E0"/>
    <w:rsid w:val="001A6F07"/>
    <w:rsid w:val="001B0B31"/>
    <w:rsid w:val="001B1D96"/>
    <w:rsid w:val="001B3340"/>
    <w:rsid w:val="001B37B7"/>
    <w:rsid w:val="001B4540"/>
    <w:rsid w:val="001B4CDA"/>
    <w:rsid w:val="001B55E6"/>
    <w:rsid w:val="001C0E25"/>
    <w:rsid w:val="001C238B"/>
    <w:rsid w:val="001C28DF"/>
    <w:rsid w:val="001C3077"/>
    <w:rsid w:val="001C30C1"/>
    <w:rsid w:val="001C3221"/>
    <w:rsid w:val="001C334A"/>
    <w:rsid w:val="001C3499"/>
    <w:rsid w:val="001C6202"/>
    <w:rsid w:val="001D10C4"/>
    <w:rsid w:val="001D36DC"/>
    <w:rsid w:val="001D601A"/>
    <w:rsid w:val="001D6A6C"/>
    <w:rsid w:val="001D7C1C"/>
    <w:rsid w:val="001E209E"/>
    <w:rsid w:val="001E264E"/>
    <w:rsid w:val="001E36C6"/>
    <w:rsid w:val="001E520A"/>
    <w:rsid w:val="001E685E"/>
    <w:rsid w:val="001F074A"/>
    <w:rsid w:val="001F1142"/>
    <w:rsid w:val="001F13A5"/>
    <w:rsid w:val="001F36F9"/>
    <w:rsid w:val="001F3DB6"/>
    <w:rsid w:val="001F3FA3"/>
    <w:rsid w:val="001F78FE"/>
    <w:rsid w:val="00200F4D"/>
    <w:rsid w:val="002019C5"/>
    <w:rsid w:val="00205FF6"/>
    <w:rsid w:val="00206B5B"/>
    <w:rsid w:val="00207267"/>
    <w:rsid w:val="00210422"/>
    <w:rsid w:val="00212DE6"/>
    <w:rsid w:val="00212DF8"/>
    <w:rsid w:val="00213CBF"/>
    <w:rsid w:val="00214D98"/>
    <w:rsid w:val="002159E8"/>
    <w:rsid w:val="00215AC2"/>
    <w:rsid w:val="00215DC0"/>
    <w:rsid w:val="0021690A"/>
    <w:rsid w:val="00220DBE"/>
    <w:rsid w:val="00221B39"/>
    <w:rsid w:val="00222B20"/>
    <w:rsid w:val="002237A6"/>
    <w:rsid w:val="00223CFA"/>
    <w:rsid w:val="00225B29"/>
    <w:rsid w:val="00225FC1"/>
    <w:rsid w:val="00232425"/>
    <w:rsid w:val="0023620A"/>
    <w:rsid w:val="002375AF"/>
    <w:rsid w:val="00240397"/>
    <w:rsid w:val="0024190F"/>
    <w:rsid w:val="0024209B"/>
    <w:rsid w:val="00243256"/>
    <w:rsid w:val="00243C3C"/>
    <w:rsid w:val="00243F2A"/>
    <w:rsid w:val="0024429D"/>
    <w:rsid w:val="00244A68"/>
    <w:rsid w:val="002453B2"/>
    <w:rsid w:val="0024661B"/>
    <w:rsid w:val="00250AE8"/>
    <w:rsid w:val="0025107D"/>
    <w:rsid w:val="002528F3"/>
    <w:rsid w:val="00252917"/>
    <w:rsid w:val="002568DF"/>
    <w:rsid w:val="00256962"/>
    <w:rsid w:val="00261076"/>
    <w:rsid w:val="00264288"/>
    <w:rsid w:val="00264C97"/>
    <w:rsid w:val="002678BD"/>
    <w:rsid w:val="00272553"/>
    <w:rsid w:val="002731CB"/>
    <w:rsid w:val="00273740"/>
    <w:rsid w:val="002739F6"/>
    <w:rsid w:val="00273DED"/>
    <w:rsid w:val="00273F5C"/>
    <w:rsid w:val="00274685"/>
    <w:rsid w:val="00274A15"/>
    <w:rsid w:val="0027585E"/>
    <w:rsid w:val="00280242"/>
    <w:rsid w:val="00280607"/>
    <w:rsid w:val="00280BD7"/>
    <w:rsid w:val="002817DA"/>
    <w:rsid w:val="0028202F"/>
    <w:rsid w:val="00282F6A"/>
    <w:rsid w:val="002840E3"/>
    <w:rsid w:val="0028636D"/>
    <w:rsid w:val="00286D7C"/>
    <w:rsid w:val="0028727A"/>
    <w:rsid w:val="002901E3"/>
    <w:rsid w:val="00292E33"/>
    <w:rsid w:val="00293D3B"/>
    <w:rsid w:val="00293EE0"/>
    <w:rsid w:val="00293F83"/>
    <w:rsid w:val="00294249"/>
    <w:rsid w:val="00294F35"/>
    <w:rsid w:val="0029588E"/>
    <w:rsid w:val="0029790E"/>
    <w:rsid w:val="002A063A"/>
    <w:rsid w:val="002A1197"/>
    <w:rsid w:val="002A2594"/>
    <w:rsid w:val="002A2C67"/>
    <w:rsid w:val="002A4D10"/>
    <w:rsid w:val="002A6415"/>
    <w:rsid w:val="002A65E6"/>
    <w:rsid w:val="002A6A11"/>
    <w:rsid w:val="002A6E8A"/>
    <w:rsid w:val="002B072F"/>
    <w:rsid w:val="002B1215"/>
    <w:rsid w:val="002B1A8C"/>
    <w:rsid w:val="002B25E2"/>
    <w:rsid w:val="002B27F1"/>
    <w:rsid w:val="002B45BC"/>
    <w:rsid w:val="002B470B"/>
    <w:rsid w:val="002B61C4"/>
    <w:rsid w:val="002B70FC"/>
    <w:rsid w:val="002C000D"/>
    <w:rsid w:val="002C0078"/>
    <w:rsid w:val="002C0803"/>
    <w:rsid w:val="002C2777"/>
    <w:rsid w:val="002C2807"/>
    <w:rsid w:val="002C3D88"/>
    <w:rsid w:val="002C4B94"/>
    <w:rsid w:val="002C4F8A"/>
    <w:rsid w:val="002C6928"/>
    <w:rsid w:val="002C7786"/>
    <w:rsid w:val="002C7A45"/>
    <w:rsid w:val="002D0326"/>
    <w:rsid w:val="002D1C3F"/>
    <w:rsid w:val="002D37CC"/>
    <w:rsid w:val="002D3BB7"/>
    <w:rsid w:val="002D5FFA"/>
    <w:rsid w:val="002E1960"/>
    <w:rsid w:val="002E1C20"/>
    <w:rsid w:val="002E1F7B"/>
    <w:rsid w:val="002E35B5"/>
    <w:rsid w:val="002E4AC9"/>
    <w:rsid w:val="002E628D"/>
    <w:rsid w:val="002E6E6E"/>
    <w:rsid w:val="002E71F2"/>
    <w:rsid w:val="002F25A4"/>
    <w:rsid w:val="002F2773"/>
    <w:rsid w:val="002F32EE"/>
    <w:rsid w:val="002F3ED1"/>
    <w:rsid w:val="002F451C"/>
    <w:rsid w:val="002F46A4"/>
    <w:rsid w:val="002F7C57"/>
    <w:rsid w:val="003018FF"/>
    <w:rsid w:val="00302A30"/>
    <w:rsid w:val="00304152"/>
    <w:rsid w:val="0030549F"/>
    <w:rsid w:val="00305A76"/>
    <w:rsid w:val="003067D8"/>
    <w:rsid w:val="00306A6E"/>
    <w:rsid w:val="003075C0"/>
    <w:rsid w:val="00307630"/>
    <w:rsid w:val="00312F9C"/>
    <w:rsid w:val="003161EE"/>
    <w:rsid w:val="003168FE"/>
    <w:rsid w:val="003174D1"/>
    <w:rsid w:val="0032134C"/>
    <w:rsid w:val="003227A8"/>
    <w:rsid w:val="003227E4"/>
    <w:rsid w:val="00322955"/>
    <w:rsid w:val="003243CA"/>
    <w:rsid w:val="00325935"/>
    <w:rsid w:val="00326CFF"/>
    <w:rsid w:val="003345A5"/>
    <w:rsid w:val="00334777"/>
    <w:rsid w:val="00334934"/>
    <w:rsid w:val="00336C61"/>
    <w:rsid w:val="0033727B"/>
    <w:rsid w:val="00337CF8"/>
    <w:rsid w:val="0034128A"/>
    <w:rsid w:val="003416F4"/>
    <w:rsid w:val="0034189E"/>
    <w:rsid w:val="00341AEE"/>
    <w:rsid w:val="00341D88"/>
    <w:rsid w:val="00344325"/>
    <w:rsid w:val="00345117"/>
    <w:rsid w:val="00346E31"/>
    <w:rsid w:val="00347035"/>
    <w:rsid w:val="00350651"/>
    <w:rsid w:val="00350F48"/>
    <w:rsid w:val="00352FE3"/>
    <w:rsid w:val="003540CB"/>
    <w:rsid w:val="00356297"/>
    <w:rsid w:val="0036208E"/>
    <w:rsid w:val="003626AA"/>
    <w:rsid w:val="00362F77"/>
    <w:rsid w:val="00363649"/>
    <w:rsid w:val="00363EF0"/>
    <w:rsid w:val="00364074"/>
    <w:rsid w:val="00364D37"/>
    <w:rsid w:val="00366665"/>
    <w:rsid w:val="0036735B"/>
    <w:rsid w:val="00371157"/>
    <w:rsid w:val="00371598"/>
    <w:rsid w:val="0037223F"/>
    <w:rsid w:val="0037228C"/>
    <w:rsid w:val="00372DB6"/>
    <w:rsid w:val="00372E92"/>
    <w:rsid w:val="003735ED"/>
    <w:rsid w:val="00373E5A"/>
    <w:rsid w:val="003804AC"/>
    <w:rsid w:val="00380BFF"/>
    <w:rsid w:val="00380C78"/>
    <w:rsid w:val="00381CB9"/>
    <w:rsid w:val="00381E0C"/>
    <w:rsid w:val="0038203F"/>
    <w:rsid w:val="0038271B"/>
    <w:rsid w:val="00383ED8"/>
    <w:rsid w:val="00386190"/>
    <w:rsid w:val="003863D2"/>
    <w:rsid w:val="00392643"/>
    <w:rsid w:val="00393851"/>
    <w:rsid w:val="00393EED"/>
    <w:rsid w:val="00394918"/>
    <w:rsid w:val="003976F1"/>
    <w:rsid w:val="003A0247"/>
    <w:rsid w:val="003A1370"/>
    <w:rsid w:val="003A3543"/>
    <w:rsid w:val="003A75DF"/>
    <w:rsid w:val="003B1A82"/>
    <w:rsid w:val="003B21B9"/>
    <w:rsid w:val="003B2BCD"/>
    <w:rsid w:val="003B4649"/>
    <w:rsid w:val="003B48D7"/>
    <w:rsid w:val="003B4C8A"/>
    <w:rsid w:val="003B4DD6"/>
    <w:rsid w:val="003B76FA"/>
    <w:rsid w:val="003C03D7"/>
    <w:rsid w:val="003C18C8"/>
    <w:rsid w:val="003C3736"/>
    <w:rsid w:val="003C4F5F"/>
    <w:rsid w:val="003D05BA"/>
    <w:rsid w:val="003D253F"/>
    <w:rsid w:val="003D2790"/>
    <w:rsid w:val="003D29EC"/>
    <w:rsid w:val="003D303D"/>
    <w:rsid w:val="003D445C"/>
    <w:rsid w:val="003D5209"/>
    <w:rsid w:val="003D527C"/>
    <w:rsid w:val="003D5C79"/>
    <w:rsid w:val="003D736E"/>
    <w:rsid w:val="003E0B1D"/>
    <w:rsid w:val="003E4EA9"/>
    <w:rsid w:val="003E7AE2"/>
    <w:rsid w:val="003F181B"/>
    <w:rsid w:val="003F35AA"/>
    <w:rsid w:val="003F3CE0"/>
    <w:rsid w:val="003F46C6"/>
    <w:rsid w:val="004001EE"/>
    <w:rsid w:val="0040022D"/>
    <w:rsid w:val="00400CA4"/>
    <w:rsid w:val="00402CE2"/>
    <w:rsid w:val="00403EA6"/>
    <w:rsid w:val="00405775"/>
    <w:rsid w:val="00407FED"/>
    <w:rsid w:val="00411F30"/>
    <w:rsid w:val="00414ABB"/>
    <w:rsid w:val="00416DB7"/>
    <w:rsid w:val="004178BA"/>
    <w:rsid w:val="004204A3"/>
    <w:rsid w:val="004207DB"/>
    <w:rsid w:val="00420F46"/>
    <w:rsid w:val="00422614"/>
    <w:rsid w:val="00423044"/>
    <w:rsid w:val="00424447"/>
    <w:rsid w:val="00425C58"/>
    <w:rsid w:val="0042653C"/>
    <w:rsid w:val="004271FF"/>
    <w:rsid w:val="00430765"/>
    <w:rsid w:val="00430A9E"/>
    <w:rsid w:val="00431F40"/>
    <w:rsid w:val="004327C0"/>
    <w:rsid w:val="00434A64"/>
    <w:rsid w:val="00435C72"/>
    <w:rsid w:val="00435C96"/>
    <w:rsid w:val="00437A93"/>
    <w:rsid w:val="00440401"/>
    <w:rsid w:val="00440BC7"/>
    <w:rsid w:val="0044193C"/>
    <w:rsid w:val="00441A40"/>
    <w:rsid w:val="00443C45"/>
    <w:rsid w:val="00444358"/>
    <w:rsid w:val="004450FE"/>
    <w:rsid w:val="00446564"/>
    <w:rsid w:val="004475F5"/>
    <w:rsid w:val="00450028"/>
    <w:rsid w:val="0045173B"/>
    <w:rsid w:val="00452034"/>
    <w:rsid w:val="00453405"/>
    <w:rsid w:val="00455CFC"/>
    <w:rsid w:val="00456853"/>
    <w:rsid w:val="004568EE"/>
    <w:rsid w:val="00457972"/>
    <w:rsid w:val="0046080E"/>
    <w:rsid w:val="00460E3B"/>
    <w:rsid w:val="004618B7"/>
    <w:rsid w:val="0046194B"/>
    <w:rsid w:val="00463E9D"/>
    <w:rsid w:val="004704F1"/>
    <w:rsid w:val="00471EFB"/>
    <w:rsid w:val="0047510E"/>
    <w:rsid w:val="00476CA6"/>
    <w:rsid w:val="004804A1"/>
    <w:rsid w:val="00481373"/>
    <w:rsid w:val="00481542"/>
    <w:rsid w:val="00481F88"/>
    <w:rsid w:val="00482215"/>
    <w:rsid w:val="004824F2"/>
    <w:rsid w:val="00484E7C"/>
    <w:rsid w:val="00485B1E"/>
    <w:rsid w:val="0048622F"/>
    <w:rsid w:val="00486EC5"/>
    <w:rsid w:val="0048735C"/>
    <w:rsid w:val="00491322"/>
    <w:rsid w:val="00492688"/>
    <w:rsid w:val="004930A2"/>
    <w:rsid w:val="0049446B"/>
    <w:rsid w:val="004948B6"/>
    <w:rsid w:val="00496855"/>
    <w:rsid w:val="004A08A9"/>
    <w:rsid w:val="004A129A"/>
    <w:rsid w:val="004A1FFC"/>
    <w:rsid w:val="004A2E61"/>
    <w:rsid w:val="004A355E"/>
    <w:rsid w:val="004A4056"/>
    <w:rsid w:val="004A4B55"/>
    <w:rsid w:val="004A4B75"/>
    <w:rsid w:val="004A4D17"/>
    <w:rsid w:val="004A4E03"/>
    <w:rsid w:val="004A6418"/>
    <w:rsid w:val="004A6498"/>
    <w:rsid w:val="004A64F0"/>
    <w:rsid w:val="004A764B"/>
    <w:rsid w:val="004B1168"/>
    <w:rsid w:val="004B2322"/>
    <w:rsid w:val="004B71E7"/>
    <w:rsid w:val="004B7960"/>
    <w:rsid w:val="004B7E2E"/>
    <w:rsid w:val="004C1AB8"/>
    <w:rsid w:val="004C3FBB"/>
    <w:rsid w:val="004C6AD7"/>
    <w:rsid w:val="004C76A0"/>
    <w:rsid w:val="004D0425"/>
    <w:rsid w:val="004D2A06"/>
    <w:rsid w:val="004D4E37"/>
    <w:rsid w:val="004D5156"/>
    <w:rsid w:val="004D598E"/>
    <w:rsid w:val="004D6903"/>
    <w:rsid w:val="004D7895"/>
    <w:rsid w:val="004E0E94"/>
    <w:rsid w:val="004E1E4E"/>
    <w:rsid w:val="004E28A1"/>
    <w:rsid w:val="004E2B94"/>
    <w:rsid w:val="004E2E2A"/>
    <w:rsid w:val="004E4339"/>
    <w:rsid w:val="004E54F5"/>
    <w:rsid w:val="004E669E"/>
    <w:rsid w:val="004E6D90"/>
    <w:rsid w:val="004E7E9E"/>
    <w:rsid w:val="004F038A"/>
    <w:rsid w:val="004F084C"/>
    <w:rsid w:val="004F18F3"/>
    <w:rsid w:val="004F3824"/>
    <w:rsid w:val="004F39BC"/>
    <w:rsid w:val="004F3F2E"/>
    <w:rsid w:val="004F5370"/>
    <w:rsid w:val="004F53D0"/>
    <w:rsid w:val="004F54EF"/>
    <w:rsid w:val="004F6E1C"/>
    <w:rsid w:val="004F6FC1"/>
    <w:rsid w:val="004F7A0A"/>
    <w:rsid w:val="00501F41"/>
    <w:rsid w:val="005026F0"/>
    <w:rsid w:val="005027CE"/>
    <w:rsid w:val="005041F3"/>
    <w:rsid w:val="00504772"/>
    <w:rsid w:val="00505747"/>
    <w:rsid w:val="00510179"/>
    <w:rsid w:val="00513D3B"/>
    <w:rsid w:val="00516941"/>
    <w:rsid w:val="00516F19"/>
    <w:rsid w:val="00517217"/>
    <w:rsid w:val="00517AB3"/>
    <w:rsid w:val="00521343"/>
    <w:rsid w:val="00521DAC"/>
    <w:rsid w:val="00521F3F"/>
    <w:rsid w:val="00525303"/>
    <w:rsid w:val="005313F2"/>
    <w:rsid w:val="005330FF"/>
    <w:rsid w:val="005347CF"/>
    <w:rsid w:val="005352C5"/>
    <w:rsid w:val="005360C4"/>
    <w:rsid w:val="00536106"/>
    <w:rsid w:val="005407AD"/>
    <w:rsid w:val="005410FD"/>
    <w:rsid w:val="005414AC"/>
    <w:rsid w:val="00542B11"/>
    <w:rsid w:val="005442DE"/>
    <w:rsid w:val="00546614"/>
    <w:rsid w:val="00547B5F"/>
    <w:rsid w:val="005513E4"/>
    <w:rsid w:val="0055186A"/>
    <w:rsid w:val="00551F25"/>
    <w:rsid w:val="005527D4"/>
    <w:rsid w:val="00553D48"/>
    <w:rsid w:val="005545D1"/>
    <w:rsid w:val="00557A47"/>
    <w:rsid w:val="0056156E"/>
    <w:rsid w:val="00563F66"/>
    <w:rsid w:val="0056485B"/>
    <w:rsid w:val="00567A8B"/>
    <w:rsid w:val="00571670"/>
    <w:rsid w:val="005717FC"/>
    <w:rsid w:val="005734FB"/>
    <w:rsid w:val="00574115"/>
    <w:rsid w:val="00574206"/>
    <w:rsid w:val="00575C06"/>
    <w:rsid w:val="00577BA2"/>
    <w:rsid w:val="00580183"/>
    <w:rsid w:val="005809E1"/>
    <w:rsid w:val="00581927"/>
    <w:rsid w:val="00582589"/>
    <w:rsid w:val="00582679"/>
    <w:rsid w:val="00582997"/>
    <w:rsid w:val="00584502"/>
    <w:rsid w:val="005863D0"/>
    <w:rsid w:val="00587918"/>
    <w:rsid w:val="005900B8"/>
    <w:rsid w:val="00590B98"/>
    <w:rsid w:val="005910A5"/>
    <w:rsid w:val="0059241D"/>
    <w:rsid w:val="005928FF"/>
    <w:rsid w:val="0059389D"/>
    <w:rsid w:val="00594830"/>
    <w:rsid w:val="005A0882"/>
    <w:rsid w:val="005A3053"/>
    <w:rsid w:val="005A3D03"/>
    <w:rsid w:val="005A52B5"/>
    <w:rsid w:val="005A5B5C"/>
    <w:rsid w:val="005A73DE"/>
    <w:rsid w:val="005A7B0C"/>
    <w:rsid w:val="005B0CE3"/>
    <w:rsid w:val="005B16FD"/>
    <w:rsid w:val="005B26AE"/>
    <w:rsid w:val="005B27A0"/>
    <w:rsid w:val="005B27F4"/>
    <w:rsid w:val="005B2D41"/>
    <w:rsid w:val="005B362A"/>
    <w:rsid w:val="005B4141"/>
    <w:rsid w:val="005B438D"/>
    <w:rsid w:val="005B5482"/>
    <w:rsid w:val="005B69C3"/>
    <w:rsid w:val="005B6BDB"/>
    <w:rsid w:val="005B7320"/>
    <w:rsid w:val="005B7533"/>
    <w:rsid w:val="005B7DF3"/>
    <w:rsid w:val="005C159D"/>
    <w:rsid w:val="005C4287"/>
    <w:rsid w:val="005C48F8"/>
    <w:rsid w:val="005C57A3"/>
    <w:rsid w:val="005C6716"/>
    <w:rsid w:val="005C73B6"/>
    <w:rsid w:val="005C77FC"/>
    <w:rsid w:val="005C7FEA"/>
    <w:rsid w:val="005D1D23"/>
    <w:rsid w:val="005D220C"/>
    <w:rsid w:val="005D2764"/>
    <w:rsid w:val="005D3324"/>
    <w:rsid w:val="005D5B6C"/>
    <w:rsid w:val="005D7FBB"/>
    <w:rsid w:val="005E010D"/>
    <w:rsid w:val="005E28E6"/>
    <w:rsid w:val="005E5758"/>
    <w:rsid w:val="005E5BF5"/>
    <w:rsid w:val="005E631C"/>
    <w:rsid w:val="005E6E19"/>
    <w:rsid w:val="005E7563"/>
    <w:rsid w:val="005E767F"/>
    <w:rsid w:val="005F0EEB"/>
    <w:rsid w:val="005F1AA8"/>
    <w:rsid w:val="005F2ACD"/>
    <w:rsid w:val="005F3EAB"/>
    <w:rsid w:val="005F437F"/>
    <w:rsid w:val="005F487D"/>
    <w:rsid w:val="005F4EAB"/>
    <w:rsid w:val="006001B9"/>
    <w:rsid w:val="0060077A"/>
    <w:rsid w:val="0060180D"/>
    <w:rsid w:val="006032E6"/>
    <w:rsid w:val="00604F1C"/>
    <w:rsid w:val="00610A73"/>
    <w:rsid w:val="00613D83"/>
    <w:rsid w:val="0061722F"/>
    <w:rsid w:val="00620E74"/>
    <w:rsid w:val="00621091"/>
    <w:rsid w:val="00621405"/>
    <w:rsid w:val="0062606F"/>
    <w:rsid w:val="006263C5"/>
    <w:rsid w:val="0063038A"/>
    <w:rsid w:val="00630499"/>
    <w:rsid w:val="00630C88"/>
    <w:rsid w:val="00632312"/>
    <w:rsid w:val="00632C74"/>
    <w:rsid w:val="00633528"/>
    <w:rsid w:val="006354C5"/>
    <w:rsid w:val="00636125"/>
    <w:rsid w:val="00637413"/>
    <w:rsid w:val="00637AD0"/>
    <w:rsid w:val="00642162"/>
    <w:rsid w:val="0064283C"/>
    <w:rsid w:val="00643878"/>
    <w:rsid w:val="00644481"/>
    <w:rsid w:val="00644E20"/>
    <w:rsid w:val="00645151"/>
    <w:rsid w:val="00645AA1"/>
    <w:rsid w:val="006469A5"/>
    <w:rsid w:val="00646D90"/>
    <w:rsid w:val="0065142E"/>
    <w:rsid w:val="00653327"/>
    <w:rsid w:val="0065423A"/>
    <w:rsid w:val="00655179"/>
    <w:rsid w:val="00655DD0"/>
    <w:rsid w:val="00655E4D"/>
    <w:rsid w:val="00655EF3"/>
    <w:rsid w:val="0066127E"/>
    <w:rsid w:val="006615C0"/>
    <w:rsid w:val="00662C35"/>
    <w:rsid w:val="00663F09"/>
    <w:rsid w:val="00665EC4"/>
    <w:rsid w:val="006670FF"/>
    <w:rsid w:val="006676DB"/>
    <w:rsid w:val="006679B4"/>
    <w:rsid w:val="00667F6C"/>
    <w:rsid w:val="006725C5"/>
    <w:rsid w:val="006728C7"/>
    <w:rsid w:val="00672ED0"/>
    <w:rsid w:val="0067333A"/>
    <w:rsid w:val="006736E8"/>
    <w:rsid w:val="006737D9"/>
    <w:rsid w:val="00673AC7"/>
    <w:rsid w:val="00674ED8"/>
    <w:rsid w:val="00675AC8"/>
    <w:rsid w:val="0067616B"/>
    <w:rsid w:val="00676490"/>
    <w:rsid w:val="006805CB"/>
    <w:rsid w:val="00680E76"/>
    <w:rsid w:val="00681D76"/>
    <w:rsid w:val="006856BE"/>
    <w:rsid w:val="006876F3"/>
    <w:rsid w:val="00690039"/>
    <w:rsid w:val="0069055A"/>
    <w:rsid w:val="006914EB"/>
    <w:rsid w:val="00691B61"/>
    <w:rsid w:val="00693E1C"/>
    <w:rsid w:val="00694E69"/>
    <w:rsid w:val="00695690"/>
    <w:rsid w:val="00695FF3"/>
    <w:rsid w:val="0069697C"/>
    <w:rsid w:val="00696AB1"/>
    <w:rsid w:val="006A0183"/>
    <w:rsid w:val="006A48DE"/>
    <w:rsid w:val="006A7DFE"/>
    <w:rsid w:val="006A7EF6"/>
    <w:rsid w:val="006B1112"/>
    <w:rsid w:val="006B1D59"/>
    <w:rsid w:val="006B2040"/>
    <w:rsid w:val="006B2651"/>
    <w:rsid w:val="006B3180"/>
    <w:rsid w:val="006B40FB"/>
    <w:rsid w:val="006B4E3E"/>
    <w:rsid w:val="006B6D2B"/>
    <w:rsid w:val="006C002A"/>
    <w:rsid w:val="006C2983"/>
    <w:rsid w:val="006C3388"/>
    <w:rsid w:val="006C3A8F"/>
    <w:rsid w:val="006C3EE9"/>
    <w:rsid w:val="006C46C2"/>
    <w:rsid w:val="006C4FD0"/>
    <w:rsid w:val="006C5065"/>
    <w:rsid w:val="006C5499"/>
    <w:rsid w:val="006C6CFE"/>
    <w:rsid w:val="006C71F0"/>
    <w:rsid w:val="006D3683"/>
    <w:rsid w:val="006D44C1"/>
    <w:rsid w:val="006E0564"/>
    <w:rsid w:val="006E111E"/>
    <w:rsid w:val="006E21E7"/>
    <w:rsid w:val="006E25BB"/>
    <w:rsid w:val="006E2B17"/>
    <w:rsid w:val="006E3613"/>
    <w:rsid w:val="006E3834"/>
    <w:rsid w:val="006E4EEA"/>
    <w:rsid w:val="006E5DD4"/>
    <w:rsid w:val="006E6695"/>
    <w:rsid w:val="006F0BE9"/>
    <w:rsid w:val="006F2071"/>
    <w:rsid w:val="006F239F"/>
    <w:rsid w:val="006F33E3"/>
    <w:rsid w:val="006F3CA6"/>
    <w:rsid w:val="006F42D4"/>
    <w:rsid w:val="006F4599"/>
    <w:rsid w:val="006F473B"/>
    <w:rsid w:val="006F4D25"/>
    <w:rsid w:val="006F5D66"/>
    <w:rsid w:val="007020A7"/>
    <w:rsid w:val="007038C6"/>
    <w:rsid w:val="007047B4"/>
    <w:rsid w:val="00706622"/>
    <w:rsid w:val="00706930"/>
    <w:rsid w:val="00710D11"/>
    <w:rsid w:val="00710E26"/>
    <w:rsid w:val="00711517"/>
    <w:rsid w:val="00713015"/>
    <w:rsid w:val="007137D8"/>
    <w:rsid w:val="007138B5"/>
    <w:rsid w:val="00714023"/>
    <w:rsid w:val="00714E4B"/>
    <w:rsid w:val="007159F0"/>
    <w:rsid w:val="0071692F"/>
    <w:rsid w:val="00721587"/>
    <w:rsid w:val="007224A8"/>
    <w:rsid w:val="00722B6F"/>
    <w:rsid w:val="00727CDD"/>
    <w:rsid w:val="00731485"/>
    <w:rsid w:val="007318DC"/>
    <w:rsid w:val="007329BA"/>
    <w:rsid w:val="00733C33"/>
    <w:rsid w:val="00736FA3"/>
    <w:rsid w:val="007371ED"/>
    <w:rsid w:val="00737453"/>
    <w:rsid w:val="00737A1D"/>
    <w:rsid w:val="007402A1"/>
    <w:rsid w:val="00740456"/>
    <w:rsid w:val="00740A96"/>
    <w:rsid w:val="00741148"/>
    <w:rsid w:val="00741A62"/>
    <w:rsid w:val="007424D1"/>
    <w:rsid w:val="00742D88"/>
    <w:rsid w:val="00743168"/>
    <w:rsid w:val="00743A7F"/>
    <w:rsid w:val="007445EF"/>
    <w:rsid w:val="0074509A"/>
    <w:rsid w:val="0074746A"/>
    <w:rsid w:val="007501B3"/>
    <w:rsid w:val="00750B75"/>
    <w:rsid w:val="007525C3"/>
    <w:rsid w:val="00752E82"/>
    <w:rsid w:val="0075344A"/>
    <w:rsid w:val="007540B7"/>
    <w:rsid w:val="00755236"/>
    <w:rsid w:val="007567C9"/>
    <w:rsid w:val="0075693A"/>
    <w:rsid w:val="00757CC7"/>
    <w:rsid w:val="00760046"/>
    <w:rsid w:val="007600E0"/>
    <w:rsid w:val="00760A7E"/>
    <w:rsid w:val="007614A0"/>
    <w:rsid w:val="00764B2B"/>
    <w:rsid w:val="00766CD9"/>
    <w:rsid w:val="007677C6"/>
    <w:rsid w:val="0077070C"/>
    <w:rsid w:val="00770A5A"/>
    <w:rsid w:val="0077242B"/>
    <w:rsid w:val="0077326C"/>
    <w:rsid w:val="007733DC"/>
    <w:rsid w:val="007746D3"/>
    <w:rsid w:val="0077496E"/>
    <w:rsid w:val="00775A85"/>
    <w:rsid w:val="00776A9A"/>
    <w:rsid w:val="00776B12"/>
    <w:rsid w:val="00776F1F"/>
    <w:rsid w:val="0078001D"/>
    <w:rsid w:val="00781D49"/>
    <w:rsid w:val="00781FBD"/>
    <w:rsid w:val="00783911"/>
    <w:rsid w:val="0078408F"/>
    <w:rsid w:val="0078470D"/>
    <w:rsid w:val="00784D65"/>
    <w:rsid w:val="0079088C"/>
    <w:rsid w:val="007911AC"/>
    <w:rsid w:val="00791BDC"/>
    <w:rsid w:val="00791C89"/>
    <w:rsid w:val="00792CDD"/>
    <w:rsid w:val="007931CD"/>
    <w:rsid w:val="00794221"/>
    <w:rsid w:val="00794442"/>
    <w:rsid w:val="00796C3D"/>
    <w:rsid w:val="007976CF"/>
    <w:rsid w:val="007A0D50"/>
    <w:rsid w:val="007A3AC8"/>
    <w:rsid w:val="007A3D85"/>
    <w:rsid w:val="007A57CB"/>
    <w:rsid w:val="007A5E63"/>
    <w:rsid w:val="007A6E7A"/>
    <w:rsid w:val="007A7655"/>
    <w:rsid w:val="007B0862"/>
    <w:rsid w:val="007B2A40"/>
    <w:rsid w:val="007B2D1C"/>
    <w:rsid w:val="007B5C00"/>
    <w:rsid w:val="007B67D5"/>
    <w:rsid w:val="007B6F15"/>
    <w:rsid w:val="007B75B7"/>
    <w:rsid w:val="007B7660"/>
    <w:rsid w:val="007C198A"/>
    <w:rsid w:val="007C27F4"/>
    <w:rsid w:val="007C44EA"/>
    <w:rsid w:val="007C5BFD"/>
    <w:rsid w:val="007C67C7"/>
    <w:rsid w:val="007C69A9"/>
    <w:rsid w:val="007D0267"/>
    <w:rsid w:val="007D0B42"/>
    <w:rsid w:val="007D0FB5"/>
    <w:rsid w:val="007D1818"/>
    <w:rsid w:val="007D20CF"/>
    <w:rsid w:val="007D36CE"/>
    <w:rsid w:val="007D3F28"/>
    <w:rsid w:val="007D6498"/>
    <w:rsid w:val="007D6524"/>
    <w:rsid w:val="007D6BF2"/>
    <w:rsid w:val="007D713D"/>
    <w:rsid w:val="007D77D1"/>
    <w:rsid w:val="007E1E23"/>
    <w:rsid w:val="007E2E83"/>
    <w:rsid w:val="007E307E"/>
    <w:rsid w:val="007E3AC7"/>
    <w:rsid w:val="007E46F9"/>
    <w:rsid w:val="007E5433"/>
    <w:rsid w:val="007E6749"/>
    <w:rsid w:val="007E68E8"/>
    <w:rsid w:val="007E762C"/>
    <w:rsid w:val="007E7696"/>
    <w:rsid w:val="007F0615"/>
    <w:rsid w:val="007F0C77"/>
    <w:rsid w:val="007F0D11"/>
    <w:rsid w:val="007F12E9"/>
    <w:rsid w:val="007F17A5"/>
    <w:rsid w:val="007F1A92"/>
    <w:rsid w:val="007F23A8"/>
    <w:rsid w:val="007F2562"/>
    <w:rsid w:val="007F5BB1"/>
    <w:rsid w:val="007F79CB"/>
    <w:rsid w:val="00800E8F"/>
    <w:rsid w:val="00800F55"/>
    <w:rsid w:val="00801A4A"/>
    <w:rsid w:val="00802835"/>
    <w:rsid w:val="00802ADD"/>
    <w:rsid w:val="00803246"/>
    <w:rsid w:val="00803934"/>
    <w:rsid w:val="00804412"/>
    <w:rsid w:val="00810B96"/>
    <w:rsid w:val="00810BAE"/>
    <w:rsid w:val="00810BDF"/>
    <w:rsid w:val="00810C4F"/>
    <w:rsid w:val="0081122A"/>
    <w:rsid w:val="008169AE"/>
    <w:rsid w:val="00817905"/>
    <w:rsid w:val="00817FA2"/>
    <w:rsid w:val="008203E0"/>
    <w:rsid w:val="008210B4"/>
    <w:rsid w:val="0082131F"/>
    <w:rsid w:val="00822FE2"/>
    <w:rsid w:val="00823EDE"/>
    <w:rsid w:val="008264CA"/>
    <w:rsid w:val="00826E56"/>
    <w:rsid w:val="0083080A"/>
    <w:rsid w:val="00830D06"/>
    <w:rsid w:val="00831EDB"/>
    <w:rsid w:val="00833549"/>
    <w:rsid w:val="00834DDE"/>
    <w:rsid w:val="0083521A"/>
    <w:rsid w:val="0083639D"/>
    <w:rsid w:val="008370D4"/>
    <w:rsid w:val="00837DB6"/>
    <w:rsid w:val="00837F57"/>
    <w:rsid w:val="00841F8E"/>
    <w:rsid w:val="00842C37"/>
    <w:rsid w:val="00843837"/>
    <w:rsid w:val="00843904"/>
    <w:rsid w:val="0084516A"/>
    <w:rsid w:val="008456D2"/>
    <w:rsid w:val="00845C50"/>
    <w:rsid w:val="00846D88"/>
    <w:rsid w:val="00847C46"/>
    <w:rsid w:val="00850BD8"/>
    <w:rsid w:val="00851BBD"/>
    <w:rsid w:val="00852D07"/>
    <w:rsid w:val="00853817"/>
    <w:rsid w:val="00853A59"/>
    <w:rsid w:val="0085418B"/>
    <w:rsid w:val="00854B0E"/>
    <w:rsid w:val="00855458"/>
    <w:rsid w:val="008554DC"/>
    <w:rsid w:val="00856451"/>
    <w:rsid w:val="008564B3"/>
    <w:rsid w:val="008621DF"/>
    <w:rsid w:val="00862838"/>
    <w:rsid w:val="00865D5E"/>
    <w:rsid w:val="00865D7B"/>
    <w:rsid w:val="008713E9"/>
    <w:rsid w:val="008737A7"/>
    <w:rsid w:val="00876F06"/>
    <w:rsid w:val="00877775"/>
    <w:rsid w:val="00877851"/>
    <w:rsid w:val="00881019"/>
    <w:rsid w:val="00882BF7"/>
    <w:rsid w:val="00882F24"/>
    <w:rsid w:val="0088411B"/>
    <w:rsid w:val="00884AA8"/>
    <w:rsid w:val="0088527F"/>
    <w:rsid w:val="00886FBE"/>
    <w:rsid w:val="008936D7"/>
    <w:rsid w:val="00893FCC"/>
    <w:rsid w:val="00894416"/>
    <w:rsid w:val="00894B6D"/>
    <w:rsid w:val="008954B6"/>
    <w:rsid w:val="00895ACB"/>
    <w:rsid w:val="00896389"/>
    <w:rsid w:val="008A01FF"/>
    <w:rsid w:val="008A239D"/>
    <w:rsid w:val="008A28D6"/>
    <w:rsid w:val="008A30D2"/>
    <w:rsid w:val="008A50C5"/>
    <w:rsid w:val="008A5C22"/>
    <w:rsid w:val="008A759D"/>
    <w:rsid w:val="008A77FE"/>
    <w:rsid w:val="008A7D1C"/>
    <w:rsid w:val="008B2E76"/>
    <w:rsid w:val="008B3776"/>
    <w:rsid w:val="008B3ACD"/>
    <w:rsid w:val="008B3EF0"/>
    <w:rsid w:val="008B4AD6"/>
    <w:rsid w:val="008B4E7D"/>
    <w:rsid w:val="008B5721"/>
    <w:rsid w:val="008B62B4"/>
    <w:rsid w:val="008B6FDC"/>
    <w:rsid w:val="008C0261"/>
    <w:rsid w:val="008C121C"/>
    <w:rsid w:val="008C1466"/>
    <w:rsid w:val="008C2D6C"/>
    <w:rsid w:val="008C6246"/>
    <w:rsid w:val="008C6C92"/>
    <w:rsid w:val="008D05C4"/>
    <w:rsid w:val="008D34F2"/>
    <w:rsid w:val="008D3BC0"/>
    <w:rsid w:val="008D572B"/>
    <w:rsid w:val="008D5AA4"/>
    <w:rsid w:val="008E0559"/>
    <w:rsid w:val="008E0630"/>
    <w:rsid w:val="008E21DF"/>
    <w:rsid w:val="008E3BAA"/>
    <w:rsid w:val="008E5F61"/>
    <w:rsid w:val="008E5F85"/>
    <w:rsid w:val="008E5FE7"/>
    <w:rsid w:val="008E62A8"/>
    <w:rsid w:val="008F0051"/>
    <w:rsid w:val="008F0C03"/>
    <w:rsid w:val="008F20FA"/>
    <w:rsid w:val="008F234C"/>
    <w:rsid w:val="008F2A37"/>
    <w:rsid w:val="008F3DBB"/>
    <w:rsid w:val="008F4D4A"/>
    <w:rsid w:val="008F5261"/>
    <w:rsid w:val="008F52B7"/>
    <w:rsid w:val="008F543E"/>
    <w:rsid w:val="00900824"/>
    <w:rsid w:val="00901662"/>
    <w:rsid w:val="009017AB"/>
    <w:rsid w:val="00901DE2"/>
    <w:rsid w:val="00902114"/>
    <w:rsid w:val="00902487"/>
    <w:rsid w:val="00903A4A"/>
    <w:rsid w:val="009045D6"/>
    <w:rsid w:val="0090627D"/>
    <w:rsid w:val="00907044"/>
    <w:rsid w:val="00912109"/>
    <w:rsid w:val="009122C0"/>
    <w:rsid w:val="00916188"/>
    <w:rsid w:val="00920608"/>
    <w:rsid w:val="00920DC1"/>
    <w:rsid w:val="0092409C"/>
    <w:rsid w:val="00925633"/>
    <w:rsid w:val="009278EF"/>
    <w:rsid w:val="00927C08"/>
    <w:rsid w:val="00930C8F"/>
    <w:rsid w:val="00933231"/>
    <w:rsid w:val="0093560D"/>
    <w:rsid w:val="00935686"/>
    <w:rsid w:val="009362AE"/>
    <w:rsid w:val="009414F0"/>
    <w:rsid w:val="009414F8"/>
    <w:rsid w:val="009419C7"/>
    <w:rsid w:val="00943247"/>
    <w:rsid w:val="00943C78"/>
    <w:rsid w:val="00953DC3"/>
    <w:rsid w:val="00955C77"/>
    <w:rsid w:val="00957B30"/>
    <w:rsid w:val="009616F7"/>
    <w:rsid w:val="00961D7D"/>
    <w:rsid w:val="00963047"/>
    <w:rsid w:val="00964727"/>
    <w:rsid w:val="009651A0"/>
    <w:rsid w:val="0096672C"/>
    <w:rsid w:val="00970B5A"/>
    <w:rsid w:val="00971BD1"/>
    <w:rsid w:val="00973BD0"/>
    <w:rsid w:val="00973D13"/>
    <w:rsid w:val="00974F35"/>
    <w:rsid w:val="0097537A"/>
    <w:rsid w:val="009762D1"/>
    <w:rsid w:val="00976BF9"/>
    <w:rsid w:val="009772CA"/>
    <w:rsid w:val="00977920"/>
    <w:rsid w:val="00982016"/>
    <w:rsid w:val="0098248D"/>
    <w:rsid w:val="00984F70"/>
    <w:rsid w:val="009854D2"/>
    <w:rsid w:val="009861F8"/>
    <w:rsid w:val="00986466"/>
    <w:rsid w:val="00987EA9"/>
    <w:rsid w:val="00990128"/>
    <w:rsid w:val="00990B0F"/>
    <w:rsid w:val="00992CEF"/>
    <w:rsid w:val="00996CDB"/>
    <w:rsid w:val="00997056"/>
    <w:rsid w:val="00997D2A"/>
    <w:rsid w:val="009A06F2"/>
    <w:rsid w:val="009A2723"/>
    <w:rsid w:val="009B0400"/>
    <w:rsid w:val="009B0451"/>
    <w:rsid w:val="009B0CE8"/>
    <w:rsid w:val="009B0E11"/>
    <w:rsid w:val="009B1C28"/>
    <w:rsid w:val="009B1FEF"/>
    <w:rsid w:val="009B200E"/>
    <w:rsid w:val="009B2579"/>
    <w:rsid w:val="009B3155"/>
    <w:rsid w:val="009B3997"/>
    <w:rsid w:val="009B4139"/>
    <w:rsid w:val="009B523D"/>
    <w:rsid w:val="009B571E"/>
    <w:rsid w:val="009B5B95"/>
    <w:rsid w:val="009B6258"/>
    <w:rsid w:val="009B6950"/>
    <w:rsid w:val="009B6FEC"/>
    <w:rsid w:val="009B7097"/>
    <w:rsid w:val="009B72A4"/>
    <w:rsid w:val="009C02B2"/>
    <w:rsid w:val="009C0DFA"/>
    <w:rsid w:val="009C0F60"/>
    <w:rsid w:val="009C22E8"/>
    <w:rsid w:val="009C2EEA"/>
    <w:rsid w:val="009C30D9"/>
    <w:rsid w:val="009C4690"/>
    <w:rsid w:val="009C5AED"/>
    <w:rsid w:val="009C7C6C"/>
    <w:rsid w:val="009D02BF"/>
    <w:rsid w:val="009D09D0"/>
    <w:rsid w:val="009D1860"/>
    <w:rsid w:val="009D29AF"/>
    <w:rsid w:val="009D2FA2"/>
    <w:rsid w:val="009D4651"/>
    <w:rsid w:val="009D5777"/>
    <w:rsid w:val="009D59A1"/>
    <w:rsid w:val="009D6FEE"/>
    <w:rsid w:val="009E019B"/>
    <w:rsid w:val="009E0C5A"/>
    <w:rsid w:val="009E12DC"/>
    <w:rsid w:val="009E253B"/>
    <w:rsid w:val="009E38C8"/>
    <w:rsid w:val="009E7322"/>
    <w:rsid w:val="009F1393"/>
    <w:rsid w:val="009F2A85"/>
    <w:rsid w:val="009F3772"/>
    <w:rsid w:val="009F7FFB"/>
    <w:rsid w:val="00A00A1A"/>
    <w:rsid w:val="00A0142B"/>
    <w:rsid w:val="00A0243D"/>
    <w:rsid w:val="00A032AA"/>
    <w:rsid w:val="00A0682C"/>
    <w:rsid w:val="00A06ECD"/>
    <w:rsid w:val="00A112D9"/>
    <w:rsid w:val="00A12040"/>
    <w:rsid w:val="00A1386F"/>
    <w:rsid w:val="00A151B8"/>
    <w:rsid w:val="00A20973"/>
    <w:rsid w:val="00A23435"/>
    <w:rsid w:val="00A24689"/>
    <w:rsid w:val="00A325A1"/>
    <w:rsid w:val="00A33BC0"/>
    <w:rsid w:val="00A40B8B"/>
    <w:rsid w:val="00A41091"/>
    <w:rsid w:val="00A44908"/>
    <w:rsid w:val="00A454E2"/>
    <w:rsid w:val="00A456E3"/>
    <w:rsid w:val="00A45FF6"/>
    <w:rsid w:val="00A52C91"/>
    <w:rsid w:val="00A537FA"/>
    <w:rsid w:val="00A60048"/>
    <w:rsid w:val="00A64997"/>
    <w:rsid w:val="00A64D53"/>
    <w:rsid w:val="00A65CFF"/>
    <w:rsid w:val="00A66467"/>
    <w:rsid w:val="00A66DDD"/>
    <w:rsid w:val="00A67DC4"/>
    <w:rsid w:val="00A707D6"/>
    <w:rsid w:val="00A74B31"/>
    <w:rsid w:val="00A76F30"/>
    <w:rsid w:val="00A8345C"/>
    <w:rsid w:val="00A85C9C"/>
    <w:rsid w:val="00A85E02"/>
    <w:rsid w:val="00A9013E"/>
    <w:rsid w:val="00A902EB"/>
    <w:rsid w:val="00A91047"/>
    <w:rsid w:val="00A93460"/>
    <w:rsid w:val="00A944FE"/>
    <w:rsid w:val="00A96A16"/>
    <w:rsid w:val="00A973DC"/>
    <w:rsid w:val="00AA04E0"/>
    <w:rsid w:val="00AA06A1"/>
    <w:rsid w:val="00AA18E5"/>
    <w:rsid w:val="00AA192D"/>
    <w:rsid w:val="00AA2C64"/>
    <w:rsid w:val="00AA4B82"/>
    <w:rsid w:val="00AA5D69"/>
    <w:rsid w:val="00AA64B1"/>
    <w:rsid w:val="00AA74F2"/>
    <w:rsid w:val="00AB0DD1"/>
    <w:rsid w:val="00AB106F"/>
    <w:rsid w:val="00AB1118"/>
    <w:rsid w:val="00AB2D8E"/>
    <w:rsid w:val="00AB2F45"/>
    <w:rsid w:val="00AB3283"/>
    <w:rsid w:val="00AB3C21"/>
    <w:rsid w:val="00AB4CF2"/>
    <w:rsid w:val="00AB4F77"/>
    <w:rsid w:val="00AB6094"/>
    <w:rsid w:val="00AB66CF"/>
    <w:rsid w:val="00AB7189"/>
    <w:rsid w:val="00AB7225"/>
    <w:rsid w:val="00AB78F7"/>
    <w:rsid w:val="00AB7E0C"/>
    <w:rsid w:val="00AC0C0A"/>
    <w:rsid w:val="00AC317B"/>
    <w:rsid w:val="00AC57EB"/>
    <w:rsid w:val="00AC6251"/>
    <w:rsid w:val="00AC6EC1"/>
    <w:rsid w:val="00AC7DAD"/>
    <w:rsid w:val="00AD05AE"/>
    <w:rsid w:val="00AD0B7E"/>
    <w:rsid w:val="00AD0E60"/>
    <w:rsid w:val="00AD1346"/>
    <w:rsid w:val="00AD19F1"/>
    <w:rsid w:val="00AD2839"/>
    <w:rsid w:val="00AD3E28"/>
    <w:rsid w:val="00AD5527"/>
    <w:rsid w:val="00AD7804"/>
    <w:rsid w:val="00AE1398"/>
    <w:rsid w:val="00AE16AE"/>
    <w:rsid w:val="00AE1E13"/>
    <w:rsid w:val="00AE22C2"/>
    <w:rsid w:val="00AE3D0E"/>
    <w:rsid w:val="00AF1466"/>
    <w:rsid w:val="00AF14C7"/>
    <w:rsid w:val="00AF1BAD"/>
    <w:rsid w:val="00AF2817"/>
    <w:rsid w:val="00AF3AC7"/>
    <w:rsid w:val="00AF4091"/>
    <w:rsid w:val="00AF573D"/>
    <w:rsid w:val="00AF5F25"/>
    <w:rsid w:val="00AF62F9"/>
    <w:rsid w:val="00B00348"/>
    <w:rsid w:val="00B031B8"/>
    <w:rsid w:val="00B036C9"/>
    <w:rsid w:val="00B0538E"/>
    <w:rsid w:val="00B053B8"/>
    <w:rsid w:val="00B05490"/>
    <w:rsid w:val="00B07BC6"/>
    <w:rsid w:val="00B10238"/>
    <w:rsid w:val="00B102CE"/>
    <w:rsid w:val="00B159AD"/>
    <w:rsid w:val="00B21AA0"/>
    <w:rsid w:val="00B2395D"/>
    <w:rsid w:val="00B24C49"/>
    <w:rsid w:val="00B254F2"/>
    <w:rsid w:val="00B302C0"/>
    <w:rsid w:val="00B304F3"/>
    <w:rsid w:val="00B311F1"/>
    <w:rsid w:val="00B32953"/>
    <w:rsid w:val="00B33653"/>
    <w:rsid w:val="00B35DD7"/>
    <w:rsid w:val="00B3653A"/>
    <w:rsid w:val="00B36693"/>
    <w:rsid w:val="00B369D3"/>
    <w:rsid w:val="00B36D3D"/>
    <w:rsid w:val="00B37003"/>
    <w:rsid w:val="00B37692"/>
    <w:rsid w:val="00B40ABE"/>
    <w:rsid w:val="00B40EC7"/>
    <w:rsid w:val="00B47500"/>
    <w:rsid w:val="00B47752"/>
    <w:rsid w:val="00B47C14"/>
    <w:rsid w:val="00B47D1F"/>
    <w:rsid w:val="00B50B1B"/>
    <w:rsid w:val="00B514BC"/>
    <w:rsid w:val="00B52337"/>
    <w:rsid w:val="00B52874"/>
    <w:rsid w:val="00B5306D"/>
    <w:rsid w:val="00B53A53"/>
    <w:rsid w:val="00B54548"/>
    <w:rsid w:val="00B54C62"/>
    <w:rsid w:val="00B54D87"/>
    <w:rsid w:val="00B61009"/>
    <w:rsid w:val="00B6352A"/>
    <w:rsid w:val="00B64838"/>
    <w:rsid w:val="00B70274"/>
    <w:rsid w:val="00B704C9"/>
    <w:rsid w:val="00B70D1B"/>
    <w:rsid w:val="00B753F0"/>
    <w:rsid w:val="00B76115"/>
    <w:rsid w:val="00B80219"/>
    <w:rsid w:val="00B80760"/>
    <w:rsid w:val="00B80B5C"/>
    <w:rsid w:val="00B81C9E"/>
    <w:rsid w:val="00B81D90"/>
    <w:rsid w:val="00B8282C"/>
    <w:rsid w:val="00B85093"/>
    <w:rsid w:val="00B85984"/>
    <w:rsid w:val="00B8633C"/>
    <w:rsid w:val="00B86916"/>
    <w:rsid w:val="00B90F6B"/>
    <w:rsid w:val="00B92004"/>
    <w:rsid w:val="00B923EF"/>
    <w:rsid w:val="00B929BD"/>
    <w:rsid w:val="00B93850"/>
    <w:rsid w:val="00B95118"/>
    <w:rsid w:val="00BA13AB"/>
    <w:rsid w:val="00BA241C"/>
    <w:rsid w:val="00BA248B"/>
    <w:rsid w:val="00BA2490"/>
    <w:rsid w:val="00BA2B9E"/>
    <w:rsid w:val="00BA414C"/>
    <w:rsid w:val="00BA4B99"/>
    <w:rsid w:val="00BA6242"/>
    <w:rsid w:val="00BA7E51"/>
    <w:rsid w:val="00BB1224"/>
    <w:rsid w:val="00BB28B7"/>
    <w:rsid w:val="00BB37D7"/>
    <w:rsid w:val="00BB49BB"/>
    <w:rsid w:val="00BB699B"/>
    <w:rsid w:val="00BC00D0"/>
    <w:rsid w:val="00BC0571"/>
    <w:rsid w:val="00BC12B1"/>
    <w:rsid w:val="00BC2B37"/>
    <w:rsid w:val="00BC35DD"/>
    <w:rsid w:val="00BC4A60"/>
    <w:rsid w:val="00BC69C1"/>
    <w:rsid w:val="00BD0A00"/>
    <w:rsid w:val="00BD1059"/>
    <w:rsid w:val="00BD1AFE"/>
    <w:rsid w:val="00BD29F7"/>
    <w:rsid w:val="00BD2F59"/>
    <w:rsid w:val="00BD387F"/>
    <w:rsid w:val="00BD3C16"/>
    <w:rsid w:val="00BD3FC0"/>
    <w:rsid w:val="00BD6C9B"/>
    <w:rsid w:val="00BD7C95"/>
    <w:rsid w:val="00BE186B"/>
    <w:rsid w:val="00BE1E1A"/>
    <w:rsid w:val="00BE2100"/>
    <w:rsid w:val="00BE2BB0"/>
    <w:rsid w:val="00BE40B8"/>
    <w:rsid w:val="00BE424B"/>
    <w:rsid w:val="00BE48B2"/>
    <w:rsid w:val="00BE6C7F"/>
    <w:rsid w:val="00BE7837"/>
    <w:rsid w:val="00BF5252"/>
    <w:rsid w:val="00BF67BC"/>
    <w:rsid w:val="00BF765C"/>
    <w:rsid w:val="00C01E2C"/>
    <w:rsid w:val="00C039AF"/>
    <w:rsid w:val="00C04956"/>
    <w:rsid w:val="00C04E1F"/>
    <w:rsid w:val="00C06776"/>
    <w:rsid w:val="00C07999"/>
    <w:rsid w:val="00C100B5"/>
    <w:rsid w:val="00C102A9"/>
    <w:rsid w:val="00C1063E"/>
    <w:rsid w:val="00C1151F"/>
    <w:rsid w:val="00C12919"/>
    <w:rsid w:val="00C160B3"/>
    <w:rsid w:val="00C1781B"/>
    <w:rsid w:val="00C22205"/>
    <w:rsid w:val="00C22942"/>
    <w:rsid w:val="00C23968"/>
    <w:rsid w:val="00C249E0"/>
    <w:rsid w:val="00C26044"/>
    <w:rsid w:val="00C27E0C"/>
    <w:rsid w:val="00C30950"/>
    <w:rsid w:val="00C329B2"/>
    <w:rsid w:val="00C34EF6"/>
    <w:rsid w:val="00C350CC"/>
    <w:rsid w:val="00C359A2"/>
    <w:rsid w:val="00C37A24"/>
    <w:rsid w:val="00C40387"/>
    <w:rsid w:val="00C41DE1"/>
    <w:rsid w:val="00C44C2C"/>
    <w:rsid w:val="00C44FAC"/>
    <w:rsid w:val="00C453B2"/>
    <w:rsid w:val="00C46989"/>
    <w:rsid w:val="00C50599"/>
    <w:rsid w:val="00C516A3"/>
    <w:rsid w:val="00C51B32"/>
    <w:rsid w:val="00C53D33"/>
    <w:rsid w:val="00C5414F"/>
    <w:rsid w:val="00C5567F"/>
    <w:rsid w:val="00C56E63"/>
    <w:rsid w:val="00C57DFE"/>
    <w:rsid w:val="00C606DD"/>
    <w:rsid w:val="00C6142D"/>
    <w:rsid w:val="00C62058"/>
    <w:rsid w:val="00C626FD"/>
    <w:rsid w:val="00C6587A"/>
    <w:rsid w:val="00C658CF"/>
    <w:rsid w:val="00C66634"/>
    <w:rsid w:val="00C66831"/>
    <w:rsid w:val="00C76D8D"/>
    <w:rsid w:val="00C808D8"/>
    <w:rsid w:val="00C80A5F"/>
    <w:rsid w:val="00C82498"/>
    <w:rsid w:val="00C82649"/>
    <w:rsid w:val="00C8470B"/>
    <w:rsid w:val="00C84718"/>
    <w:rsid w:val="00C8520E"/>
    <w:rsid w:val="00C876C4"/>
    <w:rsid w:val="00C92F8C"/>
    <w:rsid w:val="00C94647"/>
    <w:rsid w:val="00C96553"/>
    <w:rsid w:val="00C96F5C"/>
    <w:rsid w:val="00C9767D"/>
    <w:rsid w:val="00CA0924"/>
    <w:rsid w:val="00CA3257"/>
    <w:rsid w:val="00CA3B98"/>
    <w:rsid w:val="00CA4303"/>
    <w:rsid w:val="00CA7064"/>
    <w:rsid w:val="00CB06B4"/>
    <w:rsid w:val="00CB14D7"/>
    <w:rsid w:val="00CB2618"/>
    <w:rsid w:val="00CB3BAF"/>
    <w:rsid w:val="00CB4513"/>
    <w:rsid w:val="00CB5DF2"/>
    <w:rsid w:val="00CC16EB"/>
    <w:rsid w:val="00CC18FA"/>
    <w:rsid w:val="00CC21FC"/>
    <w:rsid w:val="00CC2327"/>
    <w:rsid w:val="00CC2708"/>
    <w:rsid w:val="00CC5553"/>
    <w:rsid w:val="00CC7C7E"/>
    <w:rsid w:val="00CD5213"/>
    <w:rsid w:val="00CD5AF4"/>
    <w:rsid w:val="00CD6762"/>
    <w:rsid w:val="00CD7A62"/>
    <w:rsid w:val="00CE050E"/>
    <w:rsid w:val="00CE0CC1"/>
    <w:rsid w:val="00CE10C6"/>
    <w:rsid w:val="00CE1147"/>
    <w:rsid w:val="00CE197C"/>
    <w:rsid w:val="00CE2478"/>
    <w:rsid w:val="00CE32D8"/>
    <w:rsid w:val="00CE3ED5"/>
    <w:rsid w:val="00CE49F5"/>
    <w:rsid w:val="00CE58A2"/>
    <w:rsid w:val="00CE5D87"/>
    <w:rsid w:val="00CE607C"/>
    <w:rsid w:val="00CE7823"/>
    <w:rsid w:val="00CE7AC0"/>
    <w:rsid w:val="00CF032A"/>
    <w:rsid w:val="00CF1990"/>
    <w:rsid w:val="00CF2273"/>
    <w:rsid w:val="00CF2A3E"/>
    <w:rsid w:val="00CF2E19"/>
    <w:rsid w:val="00CF3307"/>
    <w:rsid w:val="00D025FF"/>
    <w:rsid w:val="00D04BB0"/>
    <w:rsid w:val="00D10049"/>
    <w:rsid w:val="00D101AD"/>
    <w:rsid w:val="00D10214"/>
    <w:rsid w:val="00D111CA"/>
    <w:rsid w:val="00D120E9"/>
    <w:rsid w:val="00D1222A"/>
    <w:rsid w:val="00D1282E"/>
    <w:rsid w:val="00D137E4"/>
    <w:rsid w:val="00D137FA"/>
    <w:rsid w:val="00D14291"/>
    <w:rsid w:val="00D156CC"/>
    <w:rsid w:val="00D15798"/>
    <w:rsid w:val="00D20F0C"/>
    <w:rsid w:val="00D212A1"/>
    <w:rsid w:val="00D225E6"/>
    <w:rsid w:val="00D235BE"/>
    <w:rsid w:val="00D26138"/>
    <w:rsid w:val="00D262BE"/>
    <w:rsid w:val="00D27A31"/>
    <w:rsid w:val="00D309FD"/>
    <w:rsid w:val="00D30B4E"/>
    <w:rsid w:val="00D318F7"/>
    <w:rsid w:val="00D323C7"/>
    <w:rsid w:val="00D32C7C"/>
    <w:rsid w:val="00D3363B"/>
    <w:rsid w:val="00D35D8F"/>
    <w:rsid w:val="00D423EA"/>
    <w:rsid w:val="00D43416"/>
    <w:rsid w:val="00D4400E"/>
    <w:rsid w:val="00D44060"/>
    <w:rsid w:val="00D44722"/>
    <w:rsid w:val="00D452D8"/>
    <w:rsid w:val="00D45F36"/>
    <w:rsid w:val="00D46D4A"/>
    <w:rsid w:val="00D47F2C"/>
    <w:rsid w:val="00D50634"/>
    <w:rsid w:val="00D533E0"/>
    <w:rsid w:val="00D57039"/>
    <w:rsid w:val="00D6343A"/>
    <w:rsid w:val="00D63B9E"/>
    <w:rsid w:val="00D64317"/>
    <w:rsid w:val="00D65820"/>
    <w:rsid w:val="00D65DD5"/>
    <w:rsid w:val="00D662D7"/>
    <w:rsid w:val="00D67512"/>
    <w:rsid w:val="00D67FE8"/>
    <w:rsid w:val="00D70000"/>
    <w:rsid w:val="00D72A1E"/>
    <w:rsid w:val="00D7363D"/>
    <w:rsid w:val="00D772CA"/>
    <w:rsid w:val="00D77B8F"/>
    <w:rsid w:val="00D77FC6"/>
    <w:rsid w:val="00D80B37"/>
    <w:rsid w:val="00D80F3F"/>
    <w:rsid w:val="00D82621"/>
    <w:rsid w:val="00D83755"/>
    <w:rsid w:val="00D83EEC"/>
    <w:rsid w:val="00D85906"/>
    <w:rsid w:val="00D865F9"/>
    <w:rsid w:val="00D90075"/>
    <w:rsid w:val="00D936DA"/>
    <w:rsid w:val="00D93E40"/>
    <w:rsid w:val="00D945CA"/>
    <w:rsid w:val="00D94DD2"/>
    <w:rsid w:val="00D9594A"/>
    <w:rsid w:val="00D96703"/>
    <w:rsid w:val="00DA24E5"/>
    <w:rsid w:val="00DA345A"/>
    <w:rsid w:val="00DA4D60"/>
    <w:rsid w:val="00DA5CFD"/>
    <w:rsid w:val="00DA7776"/>
    <w:rsid w:val="00DB05CF"/>
    <w:rsid w:val="00DB0E39"/>
    <w:rsid w:val="00DB1420"/>
    <w:rsid w:val="00DB23B7"/>
    <w:rsid w:val="00DB48AF"/>
    <w:rsid w:val="00DB5328"/>
    <w:rsid w:val="00DB5E63"/>
    <w:rsid w:val="00DB6415"/>
    <w:rsid w:val="00DC09FF"/>
    <w:rsid w:val="00DC0BDF"/>
    <w:rsid w:val="00DC1349"/>
    <w:rsid w:val="00DC1D48"/>
    <w:rsid w:val="00DC22A8"/>
    <w:rsid w:val="00DC3B91"/>
    <w:rsid w:val="00DC5C77"/>
    <w:rsid w:val="00DC6B9C"/>
    <w:rsid w:val="00DC6CC3"/>
    <w:rsid w:val="00DD13E9"/>
    <w:rsid w:val="00DD275E"/>
    <w:rsid w:val="00DD3F11"/>
    <w:rsid w:val="00DD4546"/>
    <w:rsid w:val="00DD498B"/>
    <w:rsid w:val="00DD67D7"/>
    <w:rsid w:val="00DD6BEB"/>
    <w:rsid w:val="00DD7667"/>
    <w:rsid w:val="00DE01A8"/>
    <w:rsid w:val="00DE1840"/>
    <w:rsid w:val="00DE1ED3"/>
    <w:rsid w:val="00DE2BC8"/>
    <w:rsid w:val="00DE6714"/>
    <w:rsid w:val="00DE6F3B"/>
    <w:rsid w:val="00DE7E6E"/>
    <w:rsid w:val="00DF1938"/>
    <w:rsid w:val="00DF1C2C"/>
    <w:rsid w:val="00DF225F"/>
    <w:rsid w:val="00DF26F7"/>
    <w:rsid w:val="00DF3CB6"/>
    <w:rsid w:val="00DF4FF3"/>
    <w:rsid w:val="00DF5389"/>
    <w:rsid w:val="00DF57BE"/>
    <w:rsid w:val="00DF6CAE"/>
    <w:rsid w:val="00DF7262"/>
    <w:rsid w:val="00E00E8C"/>
    <w:rsid w:val="00E0117F"/>
    <w:rsid w:val="00E07A6A"/>
    <w:rsid w:val="00E11C17"/>
    <w:rsid w:val="00E1311C"/>
    <w:rsid w:val="00E13416"/>
    <w:rsid w:val="00E15C45"/>
    <w:rsid w:val="00E166CC"/>
    <w:rsid w:val="00E16927"/>
    <w:rsid w:val="00E21935"/>
    <w:rsid w:val="00E22F9A"/>
    <w:rsid w:val="00E2344F"/>
    <w:rsid w:val="00E2546C"/>
    <w:rsid w:val="00E2560B"/>
    <w:rsid w:val="00E2569C"/>
    <w:rsid w:val="00E259CA"/>
    <w:rsid w:val="00E270A6"/>
    <w:rsid w:val="00E27136"/>
    <w:rsid w:val="00E27162"/>
    <w:rsid w:val="00E30B9E"/>
    <w:rsid w:val="00E32751"/>
    <w:rsid w:val="00E330F3"/>
    <w:rsid w:val="00E33242"/>
    <w:rsid w:val="00E33469"/>
    <w:rsid w:val="00E338AC"/>
    <w:rsid w:val="00E33C9F"/>
    <w:rsid w:val="00E35498"/>
    <w:rsid w:val="00E35759"/>
    <w:rsid w:val="00E35E71"/>
    <w:rsid w:val="00E35EC2"/>
    <w:rsid w:val="00E3729B"/>
    <w:rsid w:val="00E37809"/>
    <w:rsid w:val="00E41790"/>
    <w:rsid w:val="00E4239F"/>
    <w:rsid w:val="00E437ED"/>
    <w:rsid w:val="00E4488C"/>
    <w:rsid w:val="00E44C5F"/>
    <w:rsid w:val="00E450EB"/>
    <w:rsid w:val="00E47C8D"/>
    <w:rsid w:val="00E52B64"/>
    <w:rsid w:val="00E54B3B"/>
    <w:rsid w:val="00E54BF4"/>
    <w:rsid w:val="00E54FB6"/>
    <w:rsid w:val="00E557CE"/>
    <w:rsid w:val="00E55D62"/>
    <w:rsid w:val="00E572F9"/>
    <w:rsid w:val="00E638EE"/>
    <w:rsid w:val="00E63CF2"/>
    <w:rsid w:val="00E6769E"/>
    <w:rsid w:val="00E731BA"/>
    <w:rsid w:val="00E742BA"/>
    <w:rsid w:val="00E75447"/>
    <w:rsid w:val="00E76471"/>
    <w:rsid w:val="00E76642"/>
    <w:rsid w:val="00E77A42"/>
    <w:rsid w:val="00E77B16"/>
    <w:rsid w:val="00E80BFB"/>
    <w:rsid w:val="00E80F7F"/>
    <w:rsid w:val="00E8142C"/>
    <w:rsid w:val="00E816EE"/>
    <w:rsid w:val="00E81F48"/>
    <w:rsid w:val="00E8328B"/>
    <w:rsid w:val="00E85552"/>
    <w:rsid w:val="00E875E5"/>
    <w:rsid w:val="00E8779E"/>
    <w:rsid w:val="00E87D8D"/>
    <w:rsid w:val="00E9035D"/>
    <w:rsid w:val="00E9100D"/>
    <w:rsid w:val="00E91146"/>
    <w:rsid w:val="00E9204E"/>
    <w:rsid w:val="00E9351C"/>
    <w:rsid w:val="00E93857"/>
    <w:rsid w:val="00E93C71"/>
    <w:rsid w:val="00E9546D"/>
    <w:rsid w:val="00E9746F"/>
    <w:rsid w:val="00EA1EEA"/>
    <w:rsid w:val="00EA24E1"/>
    <w:rsid w:val="00EA32DE"/>
    <w:rsid w:val="00EA3990"/>
    <w:rsid w:val="00EB03F4"/>
    <w:rsid w:val="00EB1671"/>
    <w:rsid w:val="00EB2081"/>
    <w:rsid w:val="00EB4F4A"/>
    <w:rsid w:val="00EB51A1"/>
    <w:rsid w:val="00EB51FF"/>
    <w:rsid w:val="00EB566E"/>
    <w:rsid w:val="00EB7243"/>
    <w:rsid w:val="00EC0F74"/>
    <w:rsid w:val="00EC1A19"/>
    <w:rsid w:val="00EC1D53"/>
    <w:rsid w:val="00EC279E"/>
    <w:rsid w:val="00EC3D47"/>
    <w:rsid w:val="00EC5AB6"/>
    <w:rsid w:val="00EC640E"/>
    <w:rsid w:val="00ED3122"/>
    <w:rsid w:val="00ED6002"/>
    <w:rsid w:val="00ED7DC7"/>
    <w:rsid w:val="00EE1A4F"/>
    <w:rsid w:val="00EE3193"/>
    <w:rsid w:val="00EE58CF"/>
    <w:rsid w:val="00EE6DAA"/>
    <w:rsid w:val="00EE6DDF"/>
    <w:rsid w:val="00EE75CB"/>
    <w:rsid w:val="00EE7837"/>
    <w:rsid w:val="00EE78BD"/>
    <w:rsid w:val="00EF00A1"/>
    <w:rsid w:val="00EF2506"/>
    <w:rsid w:val="00EF2C37"/>
    <w:rsid w:val="00EF4EAF"/>
    <w:rsid w:val="00EF66C5"/>
    <w:rsid w:val="00F0084F"/>
    <w:rsid w:val="00F01636"/>
    <w:rsid w:val="00F03501"/>
    <w:rsid w:val="00F03F97"/>
    <w:rsid w:val="00F109A2"/>
    <w:rsid w:val="00F12580"/>
    <w:rsid w:val="00F12960"/>
    <w:rsid w:val="00F135FC"/>
    <w:rsid w:val="00F14246"/>
    <w:rsid w:val="00F1505A"/>
    <w:rsid w:val="00F236C7"/>
    <w:rsid w:val="00F23B9B"/>
    <w:rsid w:val="00F2405B"/>
    <w:rsid w:val="00F254D2"/>
    <w:rsid w:val="00F25655"/>
    <w:rsid w:val="00F260E8"/>
    <w:rsid w:val="00F279C0"/>
    <w:rsid w:val="00F3058E"/>
    <w:rsid w:val="00F30743"/>
    <w:rsid w:val="00F34B4A"/>
    <w:rsid w:val="00F3607B"/>
    <w:rsid w:val="00F366BA"/>
    <w:rsid w:val="00F36FC7"/>
    <w:rsid w:val="00F37172"/>
    <w:rsid w:val="00F41425"/>
    <w:rsid w:val="00F43DDD"/>
    <w:rsid w:val="00F44654"/>
    <w:rsid w:val="00F45A0D"/>
    <w:rsid w:val="00F46AB1"/>
    <w:rsid w:val="00F55A15"/>
    <w:rsid w:val="00F562ED"/>
    <w:rsid w:val="00F6055C"/>
    <w:rsid w:val="00F6066F"/>
    <w:rsid w:val="00F62BCD"/>
    <w:rsid w:val="00F63AD3"/>
    <w:rsid w:val="00F65F81"/>
    <w:rsid w:val="00F66452"/>
    <w:rsid w:val="00F71750"/>
    <w:rsid w:val="00F73408"/>
    <w:rsid w:val="00F7398C"/>
    <w:rsid w:val="00F7532B"/>
    <w:rsid w:val="00F75D28"/>
    <w:rsid w:val="00F770ED"/>
    <w:rsid w:val="00F77C2C"/>
    <w:rsid w:val="00F77E74"/>
    <w:rsid w:val="00F82EE0"/>
    <w:rsid w:val="00F8356A"/>
    <w:rsid w:val="00F83D6F"/>
    <w:rsid w:val="00F8429A"/>
    <w:rsid w:val="00F8694B"/>
    <w:rsid w:val="00F871BD"/>
    <w:rsid w:val="00F87BCE"/>
    <w:rsid w:val="00F9094A"/>
    <w:rsid w:val="00F913CB"/>
    <w:rsid w:val="00F92481"/>
    <w:rsid w:val="00F93F52"/>
    <w:rsid w:val="00F948F6"/>
    <w:rsid w:val="00F94C11"/>
    <w:rsid w:val="00F97215"/>
    <w:rsid w:val="00F97245"/>
    <w:rsid w:val="00F977A4"/>
    <w:rsid w:val="00FA069F"/>
    <w:rsid w:val="00FA0DF8"/>
    <w:rsid w:val="00FA1A57"/>
    <w:rsid w:val="00FA1BC8"/>
    <w:rsid w:val="00FA32A7"/>
    <w:rsid w:val="00FA4343"/>
    <w:rsid w:val="00FA4979"/>
    <w:rsid w:val="00FA54F8"/>
    <w:rsid w:val="00FA69A6"/>
    <w:rsid w:val="00FA6B38"/>
    <w:rsid w:val="00FA6B4C"/>
    <w:rsid w:val="00FA762A"/>
    <w:rsid w:val="00FA78A3"/>
    <w:rsid w:val="00FB135B"/>
    <w:rsid w:val="00FB2498"/>
    <w:rsid w:val="00FB35C7"/>
    <w:rsid w:val="00FB36FC"/>
    <w:rsid w:val="00FB41CD"/>
    <w:rsid w:val="00FB5A8D"/>
    <w:rsid w:val="00FC1E4F"/>
    <w:rsid w:val="00FC1EAB"/>
    <w:rsid w:val="00FC2428"/>
    <w:rsid w:val="00FC2A9D"/>
    <w:rsid w:val="00FC3CDC"/>
    <w:rsid w:val="00FC4575"/>
    <w:rsid w:val="00FD0148"/>
    <w:rsid w:val="00FD324B"/>
    <w:rsid w:val="00FD42F0"/>
    <w:rsid w:val="00FD527B"/>
    <w:rsid w:val="00FD5B63"/>
    <w:rsid w:val="00FE136E"/>
    <w:rsid w:val="00FE2F98"/>
    <w:rsid w:val="00FE31BA"/>
    <w:rsid w:val="00FE3711"/>
    <w:rsid w:val="00FE3EAD"/>
    <w:rsid w:val="00FE4870"/>
    <w:rsid w:val="00FE5252"/>
    <w:rsid w:val="00FE60EC"/>
    <w:rsid w:val="00FF0988"/>
    <w:rsid w:val="00FF486A"/>
    <w:rsid w:val="00FF4D7E"/>
    <w:rsid w:val="00FF6832"/>
    <w:rsid w:val="00FF74FA"/>
    <w:rsid w:val="00FF79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6B"/>
    <w:rPr>
      <w:sz w:val="24"/>
      <w:szCs w:val="24"/>
      <w:lang w:val="en-GB" w:eastAsia="en-US"/>
    </w:rPr>
  </w:style>
  <w:style w:type="paragraph" w:styleId="Heading2">
    <w:name w:val="heading 2"/>
    <w:basedOn w:val="Normal"/>
    <w:next w:val="Normal"/>
    <w:qFormat/>
    <w:rsid w:val="00DD67D7"/>
    <w:pPr>
      <w:keepNext/>
      <w:tabs>
        <w:tab w:val="left" w:pos="567"/>
      </w:tabs>
      <w:spacing w:before="240" w:after="60" w:line="260" w:lineRule="exact"/>
      <w:outlineLvl w:val="1"/>
    </w:pPr>
    <w:rPr>
      <w:rFonts w:ascii="Helvetica" w:hAnsi="Helvetica"/>
      <w:b/>
      <w:i/>
      <w:szCs w:val="20"/>
    </w:rPr>
  </w:style>
  <w:style w:type="paragraph" w:styleId="Heading3">
    <w:name w:val="heading 3"/>
    <w:basedOn w:val="Normal"/>
    <w:next w:val="Normal"/>
    <w:link w:val="Heading3Char"/>
    <w:qFormat/>
    <w:rsid w:val="00FE31BA"/>
    <w:pPr>
      <w:keepNext/>
      <w:spacing w:before="240" w:after="60"/>
      <w:outlineLvl w:val="2"/>
    </w:pPr>
    <w:rPr>
      <w:rFonts w:ascii="Arial" w:hAnsi="Arial" w:cs="Arial"/>
      <w:b/>
      <w:bCs/>
      <w:sz w:val="26"/>
      <w:szCs w:val="26"/>
    </w:rPr>
  </w:style>
  <w:style w:type="paragraph" w:styleId="Heading6">
    <w:name w:val="heading 6"/>
    <w:basedOn w:val="Normal"/>
    <w:next w:val="Normal"/>
    <w:qFormat/>
    <w:rsid w:val="00DD67D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DD67D7"/>
    <w:pPr>
      <w:jc w:val="center"/>
    </w:pPr>
    <w:rPr>
      <w:i/>
      <w:iCs/>
      <w:sz w:val="48"/>
      <w:szCs w:val="20"/>
    </w:rPr>
  </w:style>
  <w:style w:type="paragraph" w:customStyle="1" w:styleId="C-TableHeader">
    <w:name w:val="C-Table Header"/>
    <w:next w:val="C-TableText"/>
    <w:link w:val="C-TableHeaderChar"/>
    <w:rsid w:val="00DD67D7"/>
    <w:pPr>
      <w:keepNext/>
      <w:spacing w:before="60" w:after="60"/>
    </w:pPr>
    <w:rPr>
      <w:b/>
      <w:sz w:val="22"/>
      <w:lang w:eastAsia="en-US"/>
    </w:rPr>
  </w:style>
  <w:style w:type="paragraph" w:customStyle="1" w:styleId="C-TableText">
    <w:name w:val="C-Table Text"/>
    <w:link w:val="C-TableTextChar"/>
    <w:rsid w:val="00DD67D7"/>
    <w:pPr>
      <w:spacing w:before="60" w:after="60"/>
    </w:pPr>
    <w:rPr>
      <w:sz w:val="22"/>
      <w:lang w:eastAsia="en-US"/>
    </w:rPr>
  </w:style>
  <w:style w:type="character" w:customStyle="1" w:styleId="C-BodyTextChar">
    <w:name w:val="C-Body Text Char"/>
    <w:basedOn w:val="DefaultParagraphFont"/>
    <w:link w:val="C-BodyText"/>
    <w:rsid w:val="00DD67D7"/>
    <w:rPr>
      <w:sz w:val="24"/>
      <w:lang w:val="en-US" w:eastAsia="en-US" w:bidi="ar-SA"/>
    </w:rPr>
  </w:style>
  <w:style w:type="paragraph" w:styleId="BodyText2">
    <w:name w:val="Body Text 2"/>
    <w:basedOn w:val="Normal"/>
    <w:rsid w:val="00DD67D7"/>
    <w:pPr>
      <w:tabs>
        <w:tab w:val="left" w:pos="567"/>
      </w:tabs>
      <w:spacing w:line="260" w:lineRule="exact"/>
    </w:pPr>
    <w:rPr>
      <w:b/>
      <w:bCs/>
      <w:sz w:val="22"/>
      <w:szCs w:val="20"/>
    </w:rPr>
  </w:style>
  <w:style w:type="paragraph" w:styleId="Title">
    <w:name w:val="Title"/>
    <w:basedOn w:val="Normal"/>
    <w:qFormat/>
    <w:rsid w:val="00DD67D7"/>
    <w:pPr>
      <w:autoSpaceDE w:val="0"/>
      <w:autoSpaceDN w:val="0"/>
      <w:adjustRightInd w:val="0"/>
      <w:jc w:val="center"/>
    </w:pPr>
    <w:rPr>
      <w:b/>
      <w:bCs/>
      <w:i/>
      <w:iCs/>
      <w:sz w:val="20"/>
      <w:szCs w:val="20"/>
      <w:lang w:val="en-US"/>
    </w:rPr>
  </w:style>
  <w:style w:type="paragraph" w:styleId="Header">
    <w:name w:val="header"/>
    <w:basedOn w:val="Normal"/>
    <w:rsid w:val="00DD67D7"/>
    <w:pPr>
      <w:tabs>
        <w:tab w:val="left" w:pos="567"/>
        <w:tab w:val="center" w:pos="4153"/>
        <w:tab w:val="right" w:pos="8306"/>
      </w:tabs>
    </w:pPr>
    <w:rPr>
      <w:rFonts w:ascii="Helvetica" w:hAnsi="Helvetica"/>
      <w:sz w:val="20"/>
      <w:szCs w:val="20"/>
    </w:rPr>
  </w:style>
  <w:style w:type="paragraph" w:styleId="Caption">
    <w:name w:val="caption"/>
    <w:aliases w:val="Char1, Char1"/>
    <w:basedOn w:val="Normal"/>
    <w:next w:val="Normal"/>
    <w:link w:val="CaptionChar"/>
    <w:qFormat/>
    <w:rsid w:val="00DD67D7"/>
    <w:pPr>
      <w:suppressAutoHyphens/>
      <w:spacing w:before="120" w:after="120"/>
    </w:pPr>
    <w:rPr>
      <w:rFonts w:ascii="Arial" w:hAnsi="Arial"/>
      <w:b/>
      <w:bCs/>
      <w:sz w:val="20"/>
      <w:szCs w:val="20"/>
      <w:lang w:val="en-US"/>
    </w:rPr>
  </w:style>
  <w:style w:type="paragraph" w:customStyle="1" w:styleId="C-Bullet">
    <w:name w:val="C-Bullet"/>
    <w:rsid w:val="00DD67D7"/>
    <w:pPr>
      <w:tabs>
        <w:tab w:val="num" w:pos="720"/>
      </w:tabs>
      <w:spacing w:before="120" w:after="120" w:line="280" w:lineRule="atLeast"/>
      <w:ind w:left="720" w:hanging="360"/>
    </w:pPr>
    <w:rPr>
      <w:sz w:val="24"/>
      <w:lang w:eastAsia="en-US"/>
    </w:rPr>
  </w:style>
  <w:style w:type="paragraph" w:styleId="BodyText">
    <w:name w:val="Body Text"/>
    <w:basedOn w:val="Normal"/>
    <w:rsid w:val="00DD67D7"/>
    <w:pPr>
      <w:spacing w:after="120"/>
    </w:pPr>
  </w:style>
  <w:style w:type="paragraph" w:customStyle="1" w:styleId="C-TableFootnote">
    <w:name w:val="C-Table Footnote"/>
    <w:next w:val="Normal"/>
    <w:link w:val="C-TableFootnoteChar"/>
    <w:rsid w:val="00DD67D7"/>
    <w:pPr>
      <w:tabs>
        <w:tab w:val="left" w:pos="432"/>
      </w:tabs>
      <w:ind w:left="432" w:hanging="432"/>
    </w:pPr>
    <w:rPr>
      <w:rFonts w:cs="Arial"/>
      <w:lang w:eastAsia="en-US"/>
    </w:rPr>
  </w:style>
  <w:style w:type="paragraph" w:styleId="BalloonText">
    <w:name w:val="Balloon Text"/>
    <w:basedOn w:val="Normal"/>
    <w:semiHidden/>
    <w:rsid w:val="00DD67D7"/>
    <w:rPr>
      <w:rFonts w:ascii="Tahoma" w:hAnsi="Tahoma" w:cs="Tahoma"/>
      <w:sz w:val="16"/>
      <w:szCs w:val="16"/>
    </w:rPr>
  </w:style>
  <w:style w:type="paragraph" w:styleId="Footer">
    <w:name w:val="footer"/>
    <w:basedOn w:val="Normal"/>
    <w:link w:val="FooterChar"/>
    <w:uiPriority w:val="99"/>
    <w:rsid w:val="00F94C11"/>
    <w:pPr>
      <w:tabs>
        <w:tab w:val="center" w:pos="4153"/>
        <w:tab w:val="right" w:pos="8306"/>
      </w:tabs>
    </w:pPr>
  </w:style>
  <w:style w:type="paragraph" w:customStyle="1" w:styleId="text">
    <w:name w:val="text"/>
    <w:basedOn w:val="Normal"/>
    <w:rsid w:val="00F94C11"/>
    <w:rPr>
      <w:szCs w:val="20"/>
      <w:lang w:eastAsia="de-DE"/>
    </w:rPr>
  </w:style>
  <w:style w:type="character" w:styleId="PageNumber">
    <w:name w:val="page number"/>
    <w:basedOn w:val="DefaultParagraphFont"/>
    <w:rsid w:val="00706930"/>
  </w:style>
  <w:style w:type="table" w:styleId="TableGrid">
    <w:name w:val="Table Grid"/>
    <w:basedOn w:val="TableNormal"/>
    <w:uiPriority w:val="59"/>
    <w:rsid w:val="00E25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91322"/>
    <w:pPr>
      <w:autoSpaceDE w:val="0"/>
      <w:autoSpaceDN w:val="0"/>
      <w:adjustRightInd w:val="0"/>
    </w:pPr>
    <w:rPr>
      <w:rFonts w:eastAsia="SimSun"/>
      <w:color w:val="000000"/>
      <w:sz w:val="24"/>
      <w:szCs w:val="24"/>
      <w:lang w:val="en-AU"/>
    </w:rPr>
  </w:style>
  <w:style w:type="paragraph" w:styleId="NormalWeb">
    <w:name w:val="Normal (Web)"/>
    <w:basedOn w:val="Normal"/>
    <w:uiPriority w:val="99"/>
    <w:semiHidden/>
    <w:unhideWhenUsed/>
    <w:rsid w:val="00363EF0"/>
    <w:pPr>
      <w:spacing w:before="100" w:beforeAutospacing="1" w:after="100" w:afterAutospacing="1"/>
    </w:pPr>
    <w:rPr>
      <w:rFonts w:eastAsia="Calibri"/>
      <w:lang w:val="en-AU" w:eastAsia="en-AU"/>
    </w:rPr>
  </w:style>
  <w:style w:type="character" w:styleId="CommentReference">
    <w:name w:val="annotation reference"/>
    <w:basedOn w:val="DefaultParagraphFont"/>
    <w:uiPriority w:val="99"/>
    <w:semiHidden/>
    <w:rsid w:val="00034806"/>
    <w:rPr>
      <w:sz w:val="16"/>
      <w:szCs w:val="16"/>
    </w:rPr>
  </w:style>
  <w:style w:type="paragraph" w:styleId="CommentText">
    <w:name w:val="annotation text"/>
    <w:basedOn w:val="Normal"/>
    <w:link w:val="CommentTextChar"/>
    <w:uiPriority w:val="99"/>
    <w:semiHidden/>
    <w:rsid w:val="00034806"/>
    <w:rPr>
      <w:sz w:val="20"/>
      <w:szCs w:val="20"/>
    </w:rPr>
  </w:style>
  <w:style w:type="paragraph" w:styleId="CommentSubject">
    <w:name w:val="annotation subject"/>
    <w:basedOn w:val="CommentText"/>
    <w:next w:val="CommentText"/>
    <w:semiHidden/>
    <w:rsid w:val="00034806"/>
    <w:rPr>
      <w:b/>
      <w:bCs/>
    </w:rPr>
  </w:style>
  <w:style w:type="paragraph" w:styleId="PlainText">
    <w:name w:val="Plain Text"/>
    <w:basedOn w:val="Normal"/>
    <w:rsid w:val="00B514BC"/>
    <w:rPr>
      <w:rFonts w:ascii="Arial" w:hAnsi="Arial" w:cs="Arial"/>
      <w:sz w:val="20"/>
      <w:szCs w:val="20"/>
      <w:lang w:val="en-AU" w:eastAsia="en-AU"/>
    </w:rPr>
  </w:style>
  <w:style w:type="paragraph" w:customStyle="1" w:styleId="C-BodyText">
    <w:name w:val="C-Body Text"/>
    <w:link w:val="C-BodyTextChar"/>
    <w:rsid w:val="00164473"/>
    <w:pPr>
      <w:spacing w:before="120" w:after="120" w:line="280" w:lineRule="atLeast"/>
    </w:pPr>
    <w:rPr>
      <w:sz w:val="24"/>
      <w:lang w:eastAsia="en-US"/>
    </w:rPr>
  </w:style>
  <w:style w:type="character" w:customStyle="1" w:styleId="C-TableTextChar">
    <w:name w:val="C-Table Text Char"/>
    <w:basedOn w:val="DefaultParagraphFont"/>
    <w:link w:val="C-TableText"/>
    <w:locked/>
    <w:rsid w:val="006C3A8F"/>
    <w:rPr>
      <w:sz w:val="22"/>
      <w:lang w:val="en-US" w:eastAsia="en-US" w:bidi="ar-SA"/>
    </w:rPr>
  </w:style>
  <w:style w:type="character" w:customStyle="1" w:styleId="C-TableHeaderChar">
    <w:name w:val="C-Table Header Char"/>
    <w:basedOn w:val="DefaultParagraphFont"/>
    <w:link w:val="C-TableHeader"/>
    <w:rsid w:val="006C3A8F"/>
    <w:rPr>
      <w:b/>
      <w:sz w:val="22"/>
      <w:lang w:val="en-US" w:eastAsia="en-US" w:bidi="ar-SA"/>
    </w:rPr>
  </w:style>
  <w:style w:type="character" w:customStyle="1" w:styleId="Heading3Char">
    <w:name w:val="Heading 3 Char"/>
    <w:basedOn w:val="DefaultParagraphFont"/>
    <w:link w:val="Heading3"/>
    <w:rsid w:val="00FE31BA"/>
    <w:rPr>
      <w:rFonts w:ascii="Arial" w:hAnsi="Arial" w:cs="Arial"/>
      <w:b/>
      <w:bCs/>
      <w:sz w:val="26"/>
      <w:szCs w:val="26"/>
      <w:lang w:val="en-GB" w:eastAsia="en-US" w:bidi="ar-SA"/>
    </w:rPr>
  </w:style>
  <w:style w:type="paragraph" w:styleId="ListParagraph">
    <w:name w:val="List Paragraph"/>
    <w:basedOn w:val="Normal"/>
    <w:uiPriority w:val="34"/>
    <w:qFormat/>
    <w:rsid w:val="00215DC0"/>
    <w:pPr>
      <w:ind w:left="720"/>
      <w:contextualSpacing/>
    </w:pPr>
  </w:style>
  <w:style w:type="paragraph" w:styleId="Revision">
    <w:name w:val="Revision"/>
    <w:hidden/>
    <w:uiPriority w:val="99"/>
    <w:semiHidden/>
    <w:rsid w:val="00920DC1"/>
    <w:rPr>
      <w:sz w:val="24"/>
      <w:szCs w:val="24"/>
      <w:lang w:val="en-GB" w:eastAsia="en-US"/>
    </w:rPr>
  </w:style>
  <w:style w:type="character" w:customStyle="1" w:styleId="CaptionChar">
    <w:name w:val="Caption Char"/>
    <w:aliases w:val="Char1 Char, Char1 Char"/>
    <w:basedOn w:val="DefaultParagraphFont"/>
    <w:link w:val="Caption"/>
    <w:rsid w:val="004F3824"/>
    <w:rPr>
      <w:rFonts w:ascii="Arial" w:hAnsi="Arial"/>
      <w:b/>
      <w:bCs/>
      <w:lang w:eastAsia="en-US"/>
    </w:rPr>
  </w:style>
  <w:style w:type="character" w:customStyle="1" w:styleId="C-TableFootnoteChar">
    <w:name w:val="C-Table Footnote Char"/>
    <w:basedOn w:val="DefaultParagraphFont"/>
    <w:link w:val="C-TableFootnote"/>
    <w:rsid w:val="004F3824"/>
    <w:rPr>
      <w:rFonts w:cs="Arial"/>
      <w:lang w:eastAsia="en-US"/>
    </w:rPr>
  </w:style>
  <w:style w:type="character" w:customStyle="1" w:styleId="CommentTextChar">
    <w:name w:val="Comment Text Char"/>
    <w:basedOn w:val="DefaultParagraphFont"/>
    <w:link w:val="CommentText"/>
    <w:uiPriority w:val="99"/>
    <w:rsid w:val="003174D1"/>
    <w:rPr>
      <w:lang w:val="en-GB" w:eastAsia="en-US"/>
    </w:rPr>
  </w:style>
  <w:style w:type="paragraph" w:customStyle="1" w:styleId="C-Heading1">
    <w:name w:val="C-Heading 1"/>
    <w:next w:val="C-BodyText"/>
    <w:rsid w:val="001B37B7"/>
    <w:pPr>
      <w:keepNext/>
      <w:pageBreakBefore/>
      <w:numPr>
        <w:numId w:val="35"/>
      </w:numPr>
      <w:spacing w:before="480" w:after="120"/>
      <w:outlineLvl w:val="0"/>
    </w:pPr>
    <w:rPr>
      <w:b/>
      <w:bCs/>
      <w:caps/>
      <w:sz w:val="28"/>
      <w:szCs w:val="28"/>
      <w:lang w:eastAsia="en-US"/>
    </w:rPr>
  </w:style>
  <w:style w:type="paragraph" w:customStyle="1" w:styleId="C-Heading2">
    <w:name w:val="C-Heading 2"/>
    <w:next w:val="C-BodyText"/>
    <w:rsid w:val="001B37B7"/>
    <w:pPr>
      <w:keepNext/>
      <w:numPr>
        <w:ilvl w:val="1"/>
        <w:numId w:val="35"/>
      </w:numPr>
      <w:tabs>
        <w:tab w:val="num" w:pos="1080"/>
      </w:tabs>
      <w:spacing w:before="240"/>
      <w:ind w:left="1080"/>
      <w:outlineLvl w:val="1"/>
    </w:pPr>
    <w:rPr>
      <w:b/>
      <w:bCs/>
      <w:sz w:val="28"/>
      <w:szCs w:val="28"/>
      <w:lang w:eastAsia="en-US"/>
    </w:rPr>
  </w:style>
  <w:style w:type="paragraph" w:customStyle="1" w:styleId="C-Heading3">
    <w:name w:val="C-Heading 3"/>
    <w:next w:val="C-BodyText"/>
    <w:uiPriority w:val="99"/>
    <w:rsid w:val="001B37B7"/>
    <w:pPr>
      <w:keepNext/>
      <w:numPr>
        <w:ilvl w:val="2"/>
        <w:numId w:val="35"/>
      </w:numPr>
      <w:spacing w:before="240"/>
      <w:outlineLvl w:val="2"/>
    </w:pPr>
    <w:rPr>
      <w:b/>
      <w:bCs/>
      <w:sz w:val="24"/>
      <w:szCs w:val="24"/>
      <w:lang w:eastAsia="en-US"/>
    </w:rPr>
  </w:style>
  <w:style w:type="paragraph" w:customStyle="1" w:styleId="C-Heading4">
    <w:name w:val="C-Heading 4"/>
    <w:next w:val="C-BodyText"/>
    <w:rsid w:val="001B37B7"/>
    <w:pPr>
      <w:keepNext/>
      <w:numPr>
        <w:ilvl w:val="3"/>
        <w:numId w:val="35"/>
      </w:numPr>
      <w:spacing w:before="240"/>
      <w:outlineLvl w:val="3"/>
    </w:pPr>
    <w:rPr>
      <w:b/>
      <w:bCs/>
      <w:sz w:val="24"/>
      <w:szCs w:val="24"/>
      <w:lang w:eastAsia="en-US"/>
    </w:rPr>
  </w:style>
  <w:style w:type="paragraph" w:customStyle="1" w:styleId="C-Heading5">
    <w:name w:val="C-Heading 5"/>
    <w:next w:val="C-BodyText"/>
    <w:rsid w:val="001B37B7"/>
    <w:pPr>
      <w:keepNext/>
      <w:numPr>
        <w:ilvl w:val="4"/>
        <w:numId w:val="35"/>
      </w:numPr>
      <w:spacing w:before="240"/>
      <w:outlineLvl w:val="4"/>
    </w:pPr>
    <w:rPr>
      <w:b/>
      <w:bCs/>
      <w:sz w:val="24"/>
      <w:szCs w:val="24"/>
      <w:lang w:eastAsia="en-US"/>
    </w:rPr>
  </w:style>
  <w:style w:type="paragraph" w:customStyle="1" w:styleId="C-Heading6">
    <w:name w:val="C-Heading 6"/>
    <w:next w:val="C-BodyText"/>
    <w:rsid w:val="001B37B7"/>
    <w:pPr>
      <w:keepNext/>
      <w:numPr>
        <w:ilvl w:val="5"/>
        <w:numId w:val="35"/>
      </w:numPr>
      <w:tabs>
        <w:tab w:val="num" w:pos="1224"/>
        <w:tab w:val="num" w:pos="1309"/>
      </w:tabs>
      <w:spacing w:before="240"/>
      <w:ind w:left="1224" w:hanging="1224"/>
      <w:outlineLvl w:val="5"/>
    </w:pPr>
    <w:rPr>
      <w:b/>
      <w:bCs/>
      <w:sz w:val="24"/>
      <w:szCs w:val="24"/>
      <w:lang w:eastAsia="en-US"/>
    </w:rPr>
  </w:style>
  <w:style w:type="character" w:styleId="Hyperlink">
    <w:name w:val="Hyperlink"/>
    <w:basedOn w:val="DefaultParagraphFont"/>
    <w:rsid w:val="00974F35"/>
    <w:rPr>
      <w:color w:val="0000FF"/>
      <w:u w:val="single"/>
    </w:rPr>
  </w:style>
  <w:style w:type="character" w:customStyle="1" w:styleId="FooterChar">
    <w:name w:val="Footer Char"/>
    <w:basedOn w:val="DefaultParagraphFont"/>
    <w:link w:val="Footer"/>
    <w:uiPriority w:val="99"/>
    <w:rsid w:val="0046080E"/>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6804">
      <w:bodyDiv w:val="1"/>
      <w:marLeft w:val="0"/>
      <w:marRight w:val="0"/>
      <w:marTop w:val="0"/>
      <w:marBottom w:val="0"/>
      <w:divBdr>
        <w:top w:val="none" w:sz="0" w:space="0" w:color="auto"/>
        <w:left w:val="none" w:sz="0" w:space="0" w:color="auto"/>
        <w:bottom w:val="none" w:sz="0" w:space="0" w:color="auto"/>
        <w:right w:val="none" w:sz="0" w:space="0" w:color="auto"/>
      </w:divBdr>
    </w:div>
    <w:div w:id="427652609">
      <w:bodyDiv w:val="1"/>
      <w:marLeft w:val="0"/>
      <w:marRight w:val="0"/>
      <w:marTop w:val="0"/>
      <w:marBottom w:val="0"/>
      <w:divBdr>
        <w:top w:val="none" w:sz="0" w:space="0" w:color="auto"/>
        <w:left w:val="none" w:sz="0" w:space="0" w:color="auto"/>
        <w:bottom w:val="none" w:sz="0" w:space="0" w:color="auto"/>
        <w:right w:val="none" w:sz="0" w:space="0" w:color="auto"/>
      </w:divBdr>
      <w:divsChild>
        <w:div w:id="50078059">
          <w:marLeft w:val="0"/>
          <w:marRight w:val="0"/>
          <w:marTop w:val="0"/>
          <w:marBottom w:val="0"/>
          <w:divBdr>
            <w:top w:val="none" w:sz="0" w:space="0" w:color="auto"/>
            <w:left w:val="none" w:sz="0" w:space="0" w:color="auto"/>
            <w:bottom w:val="none" w:sz="0" w:space="0" w:color="auto"/>
            <w:right w:val="none" w:sz="0" w:space="0" w:color="auto"/>
          </w:divBdr>
        </w:div>
      </w:divsChild>
    </w:div>
    <w:div w:id="496729851">
      <w:bodyDiv w:val="1"/>
      <w:marLeft w:val="0"/>
      <w:marRight w:val="0"/>
      <w:marTop w:val="0"/>
      <w:marBottom w:val="0"/>
      <w:divBdr>
        <w:top w:val="none" w:sz="0" w:space="0" w:color="auto"/>
        <w:left w:val="none" w:sz="0" w:space="0" w:color="auto"/>
        <w:bottom w:val="none" w:sz="0" w:space="0" w:color="auto"/>
        <w:right w:val="none" w:sz="0" w:space="0" w:color="auto"/>
      </w:divBdr>
    </w:div>
    <w:div w:id="1036733257">
      <w:bodyDiv w:val="1"/>
      <w:marLeft w:val="0"/>
      <w:marRight w:val="0"/>
      <w:marTop w:val="0"/>
      <w:marBottom w:val="0"/>
      <w:divBdr>
        <w:top w:val="none" w:sz="0" w:space="0" w:color="auto"/>
        <w:left w:val="none" w:sz="0" w:space="0" w:color="auto"/>
        <w:bottom w:val="none" w:sz="0" w:space="0" w:color="auto"/>
        <w:right w:val="none" w:sz="0" w:space="0" w:color="auto"/>
      </w:divBdr>
    </w:div>
    <w:div w:id="1265655071">
      <w:bodyDiv w:val="1"/>
      <w:marLeft w:val="0"/>
      <w:marRight w:val="0"/>
      <w:marTop w:val="0"/>
      <w:marBottom w:val="0"/>
      <w:divBdr>
        <w:top w:val="none" w:sz="0" w:space="0" w:color="auto"/>
        <w:left w:val="none" w:sz="0" w:space="0" w:color="auto"/>
        <w:bottom w:val="none" w:sz="0" w:space="0" w:color="auto"/>
        <w:right w:val="none" w:sz="0" w:space="0" w:color="auto"/>
      </w:divBdr>
    </w:div>
    <w:div w:id="1776559104">
      <w:bodyDiv w:val="1"/>
      <w:marLeft w:val="0"/>
      <w:marRight w:val="0"/>
      <w:marTop w:val="0"/>
      <w:marBottom w:val="0"/>
      <w:divBdr>
        <w:top w:val="none" w:sz="0" w:space="0" w:color="auto"/>
        <w:left w:val="none" w:sz="0" w:space="0" w:color="auto"/>
        <w:bottom w:val="none" w:sz="0" w:space="0" w:color="auto"/>
        <w:right w:val="none" w:sz="0" w:space="0" w:color="auto"/>
      </w:divBdr>
    </w:div>
    <w:div w:id="1950158019">
      <w:bodyDiv w:val="1"/>
      <w:marLeft w:val="0"/>
      <w:marRight w:val="0"/>
      <w:marTop w:val="0"/>
      <w:marBottom w:val="0"/>
      <w:divBdr>
        <w:top w:val="none" w:sz="0" w:space="0" w:color="auto"/>
        <w:left w:val="none" w:sz="0" w:space="0" w:color="auto"/>
        <w:bottom w:val="none" w:sz="0" w:space="0" w:color="auto"/>
        <w:right w:val="none" w:sz="0" w:space="0" w:color="auto"/>
      </w:divBdr>
    </w:div>
    <w:div w:id="2031714194">
      <w:bodyDiv w:val="1"/>
      <w:marLeft w:val="0"/>
      <w:marRight w:val="0"/>
      <w:marTop w:val="0"/>
      <w:marBottom w:val="0"/>
      <w:divBdr>
        <w:top w:val="none" w:sz="0" w:space="0" w:color="auto"/>
        <w:left w:val="none" w:sz="0" w:space="0" w:color="auto"/>
        <w:bottom w:val="none" w:sz="0" w:space="0" w:color="auto"/>
        <w:right w:val="none" w:sz="0" w:space="0" w:color="auto"/>
      </w:divBdr>
    </w:div>
    <w:div w:id="2103644661">
      <w:bodyDiv w:val="1"/>
      <w:marLeft w:val="0"/>
      <w:marRight w:val="0"/>
      <w:marTop w:val="0"/>
      <w:marBottom w:val="0"/>
      <w:divBdr>
        <w:top w:val="none" w:sz="0" w:space="0" w:color="auto"/>
        <w:left w:val="none" w:sz="0" w:space="0" w:color="auto"/>
        <w:bottom w:val="none" w:sz="0" w:space="0" w:color="auto"/>
        <w:right w:val="none" w:sz="0" w:space="0" w:color="auto"/>
      </w:divBdr>
    </w:div>
    <w:div w:id="213170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B7E62-8723-4B49-835F-D2035F90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6104</Words>
  <Characters>35882</Characters>
  <Application>Microsoft Office Word</Application>
  <DocSecurity>0</DocSecurity>
  <Lines>996</Lines>
  <Paragraphs>591</Paragraphs>
  <ScaleCrop>false</ScaleCrop>
  <HeadingPairs>
    <vt:vector size="2" baseType="variant">
      <vt:variant>
        <vt:lpstr>Title</vt:lpstr>
      </vt:variant>
      <vt:variant>
        <vt:i4>1</vt:i4>
      </vt:variant>
    </vt:vector>
  </HeadingPairs>
  <TitlesOfParts>
    <vt:vector size="1" baseType="lpstr">
      <vt:lpstr>AusPAR Attachment 1: Product Information for Pomalyst (pomalidomide)</vt:lpstr>
    </vt:vector>
  </TitlesOfParts>
  <Company>Celgene Australia Pty Ltd</Company>
  <LinksUpToDate>false</LinksUpToDate>
  <CharactersWithSpaces>41395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Pomalyst (pomalidomide)</dc:title>
  <dc:subject>prescription medicine regulation</dc:subject>
  <dc:creator>Celgene Australia Pty Ltd</dc:creator>
  <cp:keywords>product, information, prescription, medicine, regulation, pomalyst, pomalidomide, celgene</cp:keywords>
  <cp:lastModifiedBy>Sheppard, Fran</cp:lastModifiedBy>
  <cp:revision>8</cp:revision>
  <cp:lastPrinted>2013-03-26T02:28:00Z</cp:lastPrinted>
  <dcterms:created xsi:type="dcterms:W3CDTF">2014-10-07T00:36:00Z</dcterms:created>
  <dcterms:modified xsi:type="dcterms:W3CDTF">2014-11-20T01:01:00Z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