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B25D26" w:rsidP="00096AA7">
            <w:pPr>
              <w:rPr>
                <w:rFonts w:ascii="Arial" w:hAnsi="Arial" w:cs="Arial"/>
                <w:b/>
                <w:color w:val="002C47"/>
                <w:sz w:val="36"/>
                <w:szCs w:val="36"/>
              </w:rPr>
            </w:pPr>
            <w:r>
              <w:rPr>
                <w:rFonts w:ascii="Arial" w:hAnsi="Arial" w:cs="Arial"/>
                <w:b/>
                <w:color w:val="002C47"/>
                <w:sz w:val="36"/>
                <w:szCs w:val="36"/>
              </w:rPr>
              <w:t>October</w:t>
            </w:r>
            <w:r w:rsidR="000F4227">
              <w:rPr>
                <w:rFonts w:ascii="Arial" w:hAnsi="Arial" w:cs="Arial"/>
                <w:b/>
                <w:color w:val="002C47"/>
                <w:sz w:val="36"/>
                <w:szCs w:val="36"/>
              </w:rPr>
              <w:t xml:space="preserve"> 2014</w:t>
            </w:r>
          </w:p>
        </w:tc>
      </w:tr>
    </w:tbl>
    <w:p w:rsidR="00AC305C" w:rsidRPr="00AC305C" w:rsidRDefault="00AC305C" w:rsidP="00AC305C">
      <w:pPr>
        <w:spacing w:before="0" w:after="0"/>
        <w:rPr>
          <w:vanish/>
        </w:rPr>
      </w:pPr>
    </w:p>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C305C" w:rsidRDefault="0032583B" w:rsidP="00A964D1">
            <w:pPr>
              <w:pStyle w:val="Title"/>
              <w:rPr>
                <w:color w:val="FFFFFF"/>
                <w:lang w:eastAsia="en-US"/>
              </w:rPr>
            </w:pPr>
            <w:r w:rsidRPr="00AC305C">
              <w:rPr>
                <w:color w:val="FFFFFF"/>
                <w:lang w:eastAsia="en-US"/>
              </w:rPr>
              <w:t>Australian Pu</w:t>
            </w:r>
            <w:r w:rsidR="009D6EB4">
              <w:rPr>
                <w:color w:val="FFFFFF"/>
                <w:lang w:eastAsia="en-US"/>
              </w:rPr>
              <w:t>blic Assessment Report for p</w:t>
            </w:r>
            <w:r w:rsidR="009D6EB4" w:rsidRPr="009D6EB4">
              <w:rPr>
                <w:color w:val="FFFFFF"/>
                <w:lang w:eastAsia="en-US"/>
              </w:rPr>
              <w:t>omalidomide</w:t>
            </w:r>
          </w:p>
        </w:tc>
      </w:tr>
      <w:tr w:rsidR="0032583B" w:rsidRPr="00B64760" w:rsidTr="0032583B">
        <w:tc>
          <w:tcPr>
            <w:tcW w:w="9079" w:type="dxa"/>
          </w:tcPr>
          <w:p w:rsidR="0032583B" w:rsidRPr="005E2616" w:rsidRDefault="00825CFB" w:rsidP="0032583B">
            <w:pPr>
              <w:pStyle w:val="Subtitle"/>
              <w:rPr>
                <w:color w:val="FFFFFF"/>
                <w:lang w:val="en-AU" w:eastAsia="en-US"/>
              </w:rPr>
            </w:pPr>
            <w:r w:rsidRPr="005E2616">
              <w:rPr>
                <w:color w:val="FFFFFF"/>
                <w:lang w:val="en-AU" w:eastAsia="en-US"/>
              </w:rPr>
              <w:t>Proprietary Product Name: Pomalyst</w:t>
            </w:r>
          </w:p>
        </w:tc>
      </w:tr>
      <w:tr w:rsidR="0032583B" w:rsidRPr="0095151B" w:rsidTr="0032583B">
        <w:trPr>
          <w:trHeight w:val="486"/>
        </w:trPr>
        <w:tc>
          <w:tcPr>
            <w:tcW w:w="9079" w:type="dxa"/>
          </w:tcPr>
          <w:p w:rsidR="0032583B" w:rsidRPr="0095151B" w:rsidRDefault="00825CFB" w:rsidP="0032583B">
            <w:pPr>
              <w:pStyle w:val="Subtitle"/>
              <w:rPr>
                <w:color w:val="FFFFFF"/>
                <w:lang w:val="en-AU" w:eastAsia="en-US"/>
              </w:rPr>
            </w:pPr>
            <w:r w:rsidRPr="0095151B">
              <w:rPr>
                <w:color w:val="FFFFFF"/>
                <w:lang w:val="en-AU" w:eastAsia="en-US"/>
              </w:rPr>
              <w:t>Sponsor: Celgen</w:t>
            </w:r>
            <w:r w:rsidR="0085288A" w:rsidRPr="0095151B">
              <w:rPr>
                <w:color w:val="FFFFFF"/>
                <w:lang w:val="en-AU" w:eastAsia="en-US"/>
              </w:rPr>
              <w:t>e</w:t>
            </w:r>
            <w:r w:rsidRPr="0095151B">
              <w:rPr>
                <w:color w:val="FFFFFF"/>
                <w:lang w:val="en-AU" w:eastAsia="en-US"/>
              </w:rPr>
              <w:t xml:space="preserve"> Australia Pty Ltd</w:t>
            </w:r>
          </w:p>
        </w:tc>
      </w:tr>
    </w:tbl>
    <w:p w:rsidR="008E7846" w:rsidRPr="001F6CBA" w:rsidRDefault="008E7846" w:rsidP="008E7846">
      <w:pPr>
        <w:pStyle w:val="NonTOCHeading2"/>
      </w:pPr>
      <w:r w:rsidRPr="00ED1354">
        <w:br w:type="page"/>
      </w: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An Australian Public Assessment Record (AusPAR) provides information about the evaluation of a prescription medicine and the considerations that led the TGA to approve or not approve a pr</w:t>
      </w:r>
      <w:r w:rsidR="00A24A6C">
        <w:t>escription medicine submission.</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247691501"/>
      <w:bookmarkStart w:id="1" w:name="_Toc196046425"/>
      <w:r w:rsidRPr="0010788A">
        <w:lastRenderedPageBreak/>
        <w:t>Contents</w:t>
      </w:r>
    </w:p>
    <w:bookmarkStart w:id="2" w:name="_GoBack"/>
    <w:bookmarkEnd w:id="2"/>
    <w:p w:rsidR="00D27A29"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04176164" w:history="1">
        <w:r w:rsidR="00D27A29" w:rsidRPr="00A94391">
          <w:rPr>
            <w:rStyle w:val="Hyperlink"/>
            <w:noProof/>
          </w:rPr>
          <w:t>List of commonly used abbreviations</w:t>
        </w:r>
        <w:r w:rsidR="00D27A29">
          <w:rPr>
            <w:noProof/>
            <w:webHidden/>
          </w:rPr>
          <w:tab/>
        </w:r>
        <w:r w:rsidR="00D27A29">
          <w:rPr>
            <w:noProof/>
            <w:webHidden/>
          </w:rPr>
          <w:fldChar w:fldCharType="begin"/>
        </w:r>
        <w:r w:rsidR="00D27A29">
          <w:rPr>
            <w:noProof/>
            <w:webHidden/>
          </w:rPr>
          <w:instrText xml:space="preserve"> PAGEREF _Toc404176164 \h </w:instrText>
        </w:r>
        <w:r w:rsidR="00D27A29">
          <w:rPr>
            <w:noProof/>
            <w:webHidden/>
          </w:rPr>
        </w:r>
        <w:r w:rsidR="00D27A29">
          <w:rPr>
            <w:noProof/>
            <w:webHidden/>
          </w:rPr>
          <w:fldChar w:fldCharType="separate"/>
        </w:r>
        <w:r w:rsidR="00D27A29">
          <w:rPr>
            <w:noProof/>
            <w:webHidden/>
          </w:rPr>
          <w:t>5</w:t>
        </w:r>
        <w:r w:rsidR="00D27A29">
          <w:rPr>
            <w:noProof/>
            <w:webHidden/>
          </w:rPr>
          <w:fldChar w:fldCharType="end"/>
        </w:r>
      </w:hyperlink>
    </w:p>
    <w:p w:rsidR="00D27A29" w:rsidRDefault="00D27A29">
      <w:pPr>
        <w:pStyle w:val="TOC2"/>
        <w:rPr>
          <w:rFonts w:asciiTheme="minorHAnsi" w:eastAsiaTheme="minorEastAsia" w:hAnsiTheme="minorHAnsi" w:cstheme="minorBidi"/>
          <w:b w:val="0"/>
          <w:noProof/>
          <w:sz w:val="22"/>
          <w:lang w:eastAsia="en-AU"/>
        </w:rPr>
      </w:pPr>
      <w:hyperlink w:anchor="_Toc404176165" w:history="1">
        <w:r w:rsidRPr="00A94391">
          <w:rPr>
            <w:rStyle w:val="Hyperlink"/>
            <w:noProof/>
          </w:rPr>
          <w:t>I. Introduction to product submission</w:t>
        </w:r>
        <w:r>
          <w:rPr>
            <w:noProof/>
            <w:webHidden/>
          </w:rPr>
          <w:tab/>
        </w:r>
        <w:r>
          <w:rPr>
            <w:noProof/>
            <w:webHidden/>
          </w:rPr>
          <w:fldChar w:fldCharType="begin"/>
        </w:r>
        <w:r>
          <w:rPr>
            <w:noProof/>
            <w:webHidden/>
          </w:rPr>
          <w:instrText xml:space="preserve"> PAGEREF _Toc404176165 \h </w:instrText>
        </w:r>
        <w:r>
          <w:rPr>
            <w:noProof/>
            <w:webHidden/>
          </w:rPr>
        </w:r>
        <w:r>
          <w:rPr>
            <w:noProof/>
            <w:webHidden/>
          </w:rPr>
          <w:fldChar w:fldCharType="separate"/>
        </w:r>
        <w:r>
          <w:rPr>
            <w:noProof/>
            <w:webHidden/>
          </w:rPr>
          <w:t>9</w:t>
        </w:r>
        <w:r>
          <w:rPr>
            <w:noProof/>
            <w:webHidden/>
          </w:rPr>
          <w:fldChar w:fldCharType="end"/>
        </w:r>
      </w:hyperlink>
    </w:p>
    <w:p w:rsidR="00D27A29" w:rsidRDefault="00D27A29">
      <w:pPr>
        <w:pStyle w:val="TOC3"/>
        <w:rPr>
          <w:rFonts w:asciiTheme="minorHAnsi" w:eastAsiaTheme="minorEastAsia" w:hAnsiTheme="minorHAnsi" w:cstheme="minorBidi"/>
          <w:noProof/>
          <w:lang w:eastAsia="en-AU"/>
        </w:rPr>
      </w:pPr>
      <w:hyperlink w:anchor="_Toc404176166" w:history="1">
        <w:r w:rsidRPr="00A94391">
          <w:rPr>
            <w:rStyle w:val="Hyperlink"/>
            <w:noProof/>
            <w:lang w:eastAsia="en-AU"/>
          </w:rPr>
          <w:t>Submission details</w:t>
        </w:r>
        <w:r>
          <w:rPr>
            <w:noProof/>
            <w:webHidden/>
          </w:rPr>
          <w:tab/>
        </w:r>
        <w:r>
          <w:rPr>
            <w:noProof/>
            <w:webHidden/>
          </w:rPr>
          <w:fldChar w:fldCharType="begin"/>
        </w:r>
        <w:r>
          <w:rPr>
            <w:noProof/>
            <w:webHidden/>
          </w:rPr>
          <w:instrText xml:space="preserve"> PAGEREF _Toc404176166 \h </w:instrText>
        </w:r>
        <w:r>
          <w:rPr>
            <w:noProof/>
            <w:webHidden/>
          </w:rPr>
        </w:r>
        <w:r>
          <w:rPr>
            <w:noProof/>
            <w:webHidden/>
          </w:rPr>
          <w:fldChar w:fldCharType="separate"/>
        </w:r>
        <w:r>
          <w:rPr>
            <w:noProof/>
            <w:webHidden/>
          </w:rPr>
          <w:t>9</w:t>
        </w:r>
        <w:r>
          <w:rPr>
            <w:noProof/>
            <w:webHidden/>
          </w:rPr>
          <w:fldChar w:fldCharType="end"/>
        </w:r>
      </w:hyperlink>
    </w:p>
    <w:p w:rsidR="00D27A29" w:rsidRDefault="00D27A29">
      <w:pPr>
        <w:pStyle w:val="TOC3"/>
        <w:rPr>
          <w:rFonts w:asciiTheme="minorHAnsi" w:eastAsiaTheme="minorEastAsia" w:hAnsiTheme="minorHAnsi" w:cstheme="minorBidi"/>
          <w:noProof/>
          <w:lang w:eastAsia="en-AU"/>
        </w:rPr>
      </w:pPr>
      <w:hyperlink w:anchor="_Toc404176167" w:history="1">
        <w:r w:rsidRPr="00A94391">
          <w:rPr>
            <w:rStyle w:val="Hyperlink"/>
            <w:noProof/>
          </w:rPr>
          <w:t>Product background</w:t>
        </w:r>
        <w:r>
          <w:rPr>
            <w:noProof/>
            <w:webHidden/>
          </w:rPr>
          <w:tab/>
        </w:r>
        <w:r>
          <w:rPr>
            <w:noProof/>
            <w:webHidden/>
          </w:rPr>
          <w:fldChar w:fldCharType="begin"/>
        </w:r>
        <w:r>
          <w:rPr>
            <w:noProof/>
            <w:webHidden/>
          </w:rPr>
          <w:instrText xml:space="preserve"> PAGEREF _Toc404176167 \h </w:instrText>
        </w:r>
        <w:r>
          <w:rPr>
            <w:noProof/>
            <w:webHidden/>
          </w:rPr>
        </w:r>
        <w:r>
          <w:rPr>
            <w:noProof/>
            <w:webHidden/>
          </w:rPr>
          <w:fldChar w:fldCharType="separate"/>
        </w:r>
        <w:r>
          <w:rPr>
            <w:noProof/>
            <w:webHidden/>
          </w:rPr>
          <w:t>9</w:t>
        </w:r>
        <w:r>
          <w:rPr>
            <w:noProof/>
            <w:webHidden/>
          </w:rPr>
          <w:fldChar w:fldCharType="end"/>
        </w:r>
      </w:hyperlink>
    </w:p>
    <w:p w:rsidR="00D27A29" w:rsidRDefault="00D27A29">
      <w:pPr>
        <w:pStyle w:val="TOC3"/>
        <w:rPr>
          <w:rFonts w:asciiTheme="minorHAnsi" w:eastAsiaTheme="minorEastAsia" w:hAnsiTheme="minorHAnsi" w:cstheme="minorBidi"/>
          <w:noProof/>
          <w:lang w:eastAsia="en-AU"/>
        </w:rPr>
      </w:pPr>
      <w:hyperlink w:anchor="_Toc404176168" w:history="1">
        <w:r w:rsidRPr="00A94391">
          <w:rPr>
            <w:rStyle w:val="Hyperlink"/>
            <w:noProof/>
          </w:rPr>
          <w:t>Regulatory status</w:t>
        </w:r>
        <w:r>
          <w:rPr>
            <w:noProof/>
            <w:webHidden/>
          </w:rPr>
          <w:tab/>
        </w:r>
        <w:r>
          <w:rPr>
            <w:noProof/>
            <w:webHidden/>
          </w:rPr>
          <w:fldChar w:fldCharType="begin"/>
        </w:r>
        <w:r>
          <w:rPr>
            <w:noProof/>
            <w:webHidden/>
          </w:rPr>
          <w:instrText xml:space="preserve"> PAGEREF _Toc404176168 \h </w:instrText>
        </w:r>
        <w:r>
          <w:rPr>
            <w:noProof/>
            <w:webHidden/>
          </w:rPr>
        </w:r>
        <w:r>
          <w:rPr>
            <w:noProof/>
            <w:webHidden/>
          </w:rPr>
          <w:fldChar w:fldCharType="separate"/>
        </w:r>
        <w:r>
          <w:rPr>
            <w:noProof/>
            <w:webHidden/>
          </w:rPr>
          <w:t>11</w:t>
        </w:r>
        <w:r>
          <w:rPr>
            <w:noProof/>
            <w:webHidden/>
          </w:rPr>
          <w:fldChar w:fldCharType="end"/>
        </w:r>
      </w:hyperlink>
    </w:p>
    <w:p w:rsidR="00D27A29" w:rsidRDefault="00D27A29">
      <w:pPr>
        <w:pStyle w:val="TOC3"/>
        <w:rPr>
          <w:rFonts w:asciiTheme="minorHAnsi" w:eastAsiaTheme="minorEastAsia" w:hAnsiTheme="minorHAnsi" w:cstheme="minorBidi"/>
          <w:noProof/>
          <w:lang w:eastAsia="en-AU"/>
        </w:rPr>
      </w:pPr>
      <w:hyperlink w:anchor="_Toc404176169" w:history="1">
        <w:r w:rsidRPr="00A94391">
          <w:rPr>
            <w:rStyle w:val="Hyperlink"/>
            <w:noProof/>
          </w:rPr>
          <w:t>Product Information</w:t>
        </w:r>
        <w:r>
          <w:rPr>
            <w:noProof/>
            <w:webHidden/>
          </w:rPr>
          <w:tab/>
        </w:r>
        <w:r>
          <w:rPr>
            <w:noProof/>
            <w:webHidden/>
          </w:rPr>
          <w:fldChar w:fldCharType="begin"/>
        </w:r>
        <w:r>
          <w:rPr>
            <w:noProof/>
            <w:webHidden/>
          </w:rPr>
          <w:instrText xml:space="preserve"> PAGEREF _Toc404176169 \h </w:instrText>
        </w:r>
        <w:r>
          <w:rPr>
            <w:noProof/>
            <w:webHidden/>
          </w:rPr>
        </w:r>
        <w:r>
          <w:rPr>
            <w:noProof/>
            <w:webHidden/>
          </w:rPr>
          <w:fldChar w:fldCharType="separate"/>
        </w:r>
        <w:r>
          <w:rPr>
            <w:noProof/>
            <w:webHidden/>
          </w:rPr>
          <w:t>12</w:t>
        </w:r>
        <w:r>
          <w:rPr>
            <w:noProof/>
            <w:webHidden/>
          </w:rPr>
          <w:fldChar w:fldCharType="end"/>
        </w:r>
      </w:hyperlink>
    </w:p>
    <w:p w:rsidR="00D27A29" w:rsidRDefault="00D27A29">
      <w:pPr>
        <w:pStyle w:val="TOC2"/>
        <w:rPr>
          <w:rFonts w:asciiTheme="minorHAnsi" w:eastAsiaTheme="minorEastAsia" w:hAnsiTheme="minorHAnsi" w:cstheme="minorBidi"/>
          <w:b w:val="0"/>
          <w:noProof/>
          <w:sz w:val="22"/>
          <w:lang w:eastAsia="en-AU"/>
        </w:rPr>
      </w:pPr>
      <w:hyperlink w:anchor="_Toc404176170" w:history="1">
        <w:r w:rsidRPr="00A94391">
          <w:rPr>
            <w:rStyle w:val="Hyperlink"/>
            <w:noProof/>
          </w:rPr>
          <w:t>II. Quality findings</w:t>
        </w:r>
        <w:r>
          <w:rPr>
            <w:noProof/>
            <w:webHidden/>
          </w:rPr>
          <w:tab/>
        </w:r>
        <w:r>
          <w:rPr>
            <w:noProof/>
            <w:webHidden/>
          </w:rPr>
          <w:fldChar w:fldCharType="begin"/>
        </w:r>
        <w:r>
          <w:rPr>
            <w:noProof/>
            <w:webHidden/>
          </w:rPr>
          <w:instrText xml:space="preserve"> PAGEREF _Toc404176170 \h </w:instrText>
        </w:r>
        <w:r>
          <w:rPr>
            <w:noProof/>
            <w:webHidden/>
          </w:rPr>
        </w:r>
        <w:r>
          <w:rPr>
            <w:noProof/>
            <w:webHidden/>
          </w:rPr>
          <w:fldChar w:fldCharType="separate"/>
        </w:r>
        <w:r>
          <w:rPr>
            <w:noProof/>
            <w:webHidden/>
          </w:rPr>
          <w:t>12</w:t>
        </w:r>
        <w:r>
          <w:rPr>
            <w:noProof/>
            <w:webHidden/>
          </w:rPr>
          <w:fldChar w:fldCharType="end"/>
        </w:r>
      </w:hyperlink>
    </w:p>
    <w:p w:rsidR="00D27A29" w:rsidRDefault="00D27A29">
      <w:pPr>
        <w:pStyle w:val="TOC3"/>
        <w:rPr>
          <w:rFonts w:asciiTheme="minorHAnsi" w:eastAsiaTheme="minorEastAsia" w:hAnsiTheme="minorHAnsi" w:cstheme="minorBidi"/>
          <w:noProof/>
          <w:lang w:eastAsia="en-AU"/>
        </w:rPr>
      </w:pPr>
      <w:hyperlink w:anchor="_Toc404176171" w:history="1">
        <w:r w:rsidRPr="00A94391">
          <w:rPr>
            <w:rStyle w:val="Hyperlink"/>
            <w:noProof/>
          </w:rPr>
          <w:t>Introduction</w:t>
        </w:r>
        <w:r>
          <w:rPr>
            <w:noProof/>
            <w:webHidden/>
          </w:rPr>
          <w:tab/>
        </w:r>
        <w:r>
          <w:rPr>
            <w:noProof/>
            <w:webHidden/>
          </w:rPr>
          <w:fldChar w:fldCharType="begin"/>
        </w:r>
        <w:r>
          <w:rPr>
            <w:noProof/>
            <w:webHidden/>
          </w:rPr>
          <w:instrText xml:space="preserve"> PAGEREF _Toc404176171 \h </w:instrText>
        </w:r>
        <w:r>
          <w:rPr>
            <w:noProof/>
            <w:webHidden/>
          </w:rPr>
        </w:r>
        <w:r>
          <w:rPr>
            <w:noProof/>
            <w:webHidden/>
          </w:rPr>
          <w:fldChar w:fldCharType="separate"/>
        </w:r>
        <w:r>
          <w:rPr>
            <w:noProof/>
            <w:webHidden/>
          </w:rPr>
          <w:t>12</w:t>
        </w:r>
        <w:r>
          <w:rPr>
            <w:noProof/>
            <w:webHidden/>
          </w:rPr>
          <w:fldChar w:fldCharType="end"/>
        </w:r>
      </w:hyperlink>
    </w:p>
    <w:p w:rsidR="00D27A29" w:rsidRDefault="00D27A29">
      <w:pPr>
        <w:pStyle w:val="TOC3"/>
        <w:rPr>
          <w:rFonts w:asciiTheme="minorHAnsi" w:eastAsiaTheme="minorEastAsia" w:hAnsiTheme="minorHAnsi" w:cstheme="minorBidi"/>
          <w:noProof/>
          <w:lang w:eastAsia="en-AU"/>
        </w:rPr>
      </w:pPr>
      <w:hyperlink w:anchor="_Toc404176172" w:history="1">
        <w:r w:rsidRPr="00A94391">
          <w:rPr>
            <w:rStyle w:val="Hyperlink"/>
            <w:noProof/>
          </w:rPr>
          <w:t>Drug substance (active ingredient)</w:t>
        </w:r>
        <w:r>
          <w:rPr>
            <w:noProof/>
            <w:webHidden/>
          </w:rPr>
          <w:tab/>
        </w:r>
        <w:r>
          <w:rPr>
            <w:noProof/>
            <w:webHidden/>
          </w:rPr>
          <w:fldChar w:fldCharType="begin"/>
        </w:r>
        <w:r>
          <w:rPr>
            <w:noProof/>
            <w:webHidden/>
          </w:rPr>
          <w:instrText xml:space="preserve"> PAGEREF _Toc404176172 \h </w:instrText>
        </w:r>
        <w:r>
          <w:rPr>
            <w:noProof/>
            <w:webHidden/>
          </w:rPr>
        </w:r>
        <w:r>
          <w:rPr>
            <w:noProof/>
            <w:webHidden/>
          </w:rPr>
          <w:fldChar w:fldCharType="separate"/>
        </w:r>
        <w:r>
          <w:rPr>
            <w:noProof/>
            <w:webHidden/>
          </w:rPr>
          <w:t>12</w:t>
        </w:r>
        <w:r>
          <w:rPr>
            <w:noProof/>
            <w:webHidden/>
          </w:rPr>
          <w:fldChar w:fldCharType="end"/>
        </w:r>
      </w:hyperlink>
    </w:p>
    <w:p w:rsidR="00D27A29" w:rsidRDefault="00D27A29">
      <w:pPr>
        <w:pStyle w:val="TOC3"/>
        <w:rPr>
          <w:rFonts w:asciiTheme="minorHAnsi" w:eastAsiaTheme="minorEastAsia" w:hAnsiTheme="minorHAnsi" w:cstheme="minorBidi"/>
          <w:noProof/>
          <w:lang w:eastAsia="en-AU"/>
        </w:rPr>
      </w:pPr>
      <w:hyperlink w:anchor="_Toc404176173" w:history="1">
        <w:r w:rsidRPr="00A94391">
          <w:rPr>
            <w:rStyle w:val="Hyperlink"/>
            <w:noProof/>
          </w:rPr>
          <w:t>Drug product</w:t>
        </w:r>
        <w:r>
          <w:rPr>
            <w:noProof/>
            <w:webHidden/>
          </w:rPr>
          <w:tab/>
        </w:r>
        <w:r>
          <w:rPr>
            <w:noProof/>
            <w:webHidden/>
          </w:rPr>
          <w:fldChar w:fldCharType="begin"/>
        </w:r>
        <w:r>
          <w:rPr>
            <w:noProof/>
            <w:webHidden/>
          </w:rPr>
          <w:instrText xml:space="preserve"> PAGEREF _Toc404176173 \h </w:instrText>
        </w:r>
        <w:r>
          <w:rPr>
            <w:noProof/>
            <w:webHidden/>
          </w:rPr>
        </w:r>
        <w:r>
          <w:rPr>
            <w:noProof/>
            <w:webHidden/>
          </w:rPr>
          <w:fldChar w:fldCharType="separate"/>
        </w:r>
        <w:r>
          <w:rPr>
            <w:noProof/>
            <w:webHidden/>
          </w:rPr>
          <w:t>13</w:t>
        </w:r>
        <w:r>
          <w:rPr>
            <w:noProof/>
            <w:webHidden/>
          </w:rPr>
          <w:fldChar w:fldCharType="end"/>
        </w:r>
      </w:hyperlink>
    </w:p>
    <w:p w:rsidR="00D27A29" w:rsidRDefault="00D27A29">
      <w:pPr>
        <w:pStyle w:val="TOC3"/>
        <w:rPr>
          <w:rFonts w:asciiTheme="minorHAnsi" w:eastAsiaTheme="minorEastAsia" w:hAnsiTheme="minorHAnsi" w:cstheme="minorBidi"/>
          <w:noProof/>
          <w:lang w:eastAsia="en-AU"/>
        </w:rPr>
      </w:pPr>
      <w:hyperlink w:anchor="_Toc404176174" w:history="1">
        <w:r w:rsidRPr="00A94391">
          <w:rPr>
            <w:rStyle w:val="Hyperlink"/>
            <w:noProof/>
          </w:rPr>
          <w:t>Biopharmaceutics</w:t>
        </w:r>
        <w:r>
          <w:rPr>
            <w:noProof/>
            <w:webHidden/>
          </w:rPr>
          <w:tab/>
        </w:r>
        <w:r>
          <w:rPr>
            <w:noProof/>
            <w:webHidden/>
          </w:rPr>
          <w:fldChar w:fldCharType="begin"/>
        </w:r>
        <w:r>
          <w:rPr>
            <w:noProof/>
            <w:webHidden/>
          </w:rPr>
          <w:instrText xml:space="preserve"> PAGEREF _Toc404176174 \h </w:instrText>
        </w:r>
        <w:r>
          <w:rPr>
            <w:noProof/>
            <w:webHidden/>
          </w:rPr>
        </w:r>
        <w:r>
          <w:rPr>
            <w:noProof/>
            <w:webHidden/>
          </w:rPr>
          <w:fldChar w:fldCharType="separate"/>
        </w:r>
        <w:r>
          <w:rPr>
            <w:noProof/>
            <w:webHidden/>
          </w:rPr>
          <w:t>13</w:t>
        </w:r>
        <w:r>
          <w:rPr>
            <w:noProof/>
            <w:webHidden/>
          </w:rPr>
          <w:fldChar w:fldCharType="end"/>
        </w:r>
      </w:hyperlink>
    </w:p>
    <w:p w:rsidR="00D27A29" w:rsidRDefault="00D27A29">
      <w:pPr>
        <w:pStyle w:val="TOC3"/>
        <w:rPr>
          <w:rFonts w:asciiTheme="minorHAnsi" w:eastAsiaTheme="minorEastAsia" w:hAnsiTheme="minorHAnsi" w:cstheme="minorBidi"/>
          <w:noProof/>
          <w:lang w:eastAsia="en-AU"/>
        </w:rPr>
      </w:pPr>
      <w:hyperlink w:anchor="_Toc404176175" w:history="1">
        <w:r w:rsidRPr="00A94391">
          <w:rPr>
            <w:rStyle w:val="Hyperlink"/>
            <w:noProof/>
          </w:rPr>
          <w:t>Quality summary and conclusions</w:t>
        </w:r>
        <w:r>
          <w:rPr>
            <w:noProof/>
            <w:webHidden/>
          </w:rPr>
          <w:tab/>
        </w:r>
        <w:r>
          <w:rPr>
            <w:noProof/>
            <w:webHidden/>
          </w:rPr>
          <w:fldChar w:fldCharType="begin"/>
        </w:r>
        <w:r>
          <w:rPr>
            <w:noProof/>
            <w:webHidden/>
          </w:rPr>
          <w:instrText xml:space="preserve"> PAGEREF _Toc404176175 \h </w:instrText>
        </w:r>
        <w:r>
          <w:rPr>
            <w:noProof/>
            <w:webHidden/>
          </w:rPr>
        </w:r>
        <w:r>
          <w:rPr>
            <w:noProof/>
            <w:webHidden/>
          </w:rPr>
          <w:fldChar w:fldCharType="separate"/>
        </w:r>
        <w:r>
          <w:rPr>
            <w:noProof/>
            <w:webHidden/>
          </w:rPr>
          <w:t>14</w:t>
        </w:r>
        <w:r>
          <w:rPr>
            <w:noProof/>
            <w:webHidden/>
          </w:rPr>
          <w:fldChar w:fldCharType="end"/>
        </w:r>
      </w:hyperlink>
    </w:p>
    <w:p w:rsidR="00D27A29" w:rsidRDefault="00D27A29">
      <w:pPr>
        <w:pStyle w:val="TOC2"/>
        <w:rPr>
          <w:rFonts w:asciiTheme="minorHAnsi" w:eastAsiaTheme="minorEastAsia" w:hAnsiTheme="minorHAnsi" w:cstheme="minorBidi"/>
          <w:b w:val="0"/>
          <w:noProof/>
          <w:sz w:val="22"/>
          <w:lang w:eastAsia="en-AU"/>
        </w:rPr>
      </w:pPr>
      <w:hyperlink w:anchor="_Toc404176176" w:history="1">
        <w:r w:rsidRPr="00A94391">
          <w:rPr>
            <w:rStyle w:val="Hyperlink"/>
            <w:noProof/>
          </w:rPr>
          <w:t>III. Nonclinical findings</w:t>
        </w:r>
        <w:r>
          <w:rPr>
            <w:noProof/>
            <w:webHidden/>
          </w:rPr>
          <w:tab/>
        </w:r>
        <w:r>
          <w:rPr>
            <w:noProof/>
            <w:webHidden/>
          </w:rPr>
          <w:fldChar w:fldCharType="begin"/>
        </w:r>
        <w:r>
          <w:rPr>
            <w:noProof/>
            <w:webHidden/>
          </w:rPr>
          <w:instrText xml:space="preserve"> PAGEREF _Toc404176176 \h </w:instrText>
        </w:r>
        <w:r>
          <w:rPr>
            <w:noProof/>
            <w:webHidden/>
          </w:rPr>
        </w:r>
        <w:r>
          <w:rPr>
            <w:noProof/>
            <w:webHidden/>
          </w:rPr>
          <w:fldChar w:fldCharType="separate"/>
        </w:r>
        <w:r>
          <w:rPr>
            <w:noProof/>
            <w:webHidden/>
          </w:rPr>
          <w:t>14</w:t>
        </w:r>
        <w:r>
          <w:rPr>
            <w:noProof/>
            <w:webHidden/>
          </w:rPr>
          <w:fldChar w:fldCharType="end"/>
        </w:r>
      </w:hyperlink>
    </w:p>
    <w:p w:rsidR="00D27A29" w:rsidRDefault="00D27A29">
      <w:pPr>
        <w:pStyle w:val="TOC3"/>
        <w:rPr>
          <w:rFonts w:asciiTheme="minorHAnsi" w:eastAsiaTheme="minorEastAsia" w:hAnsiTheme="minorHAnsi" w:cstheme="minorBidi"/>
          <w:noProof/>
          <w:lang w:eastAsia="en-AU"/>
        </w:rPr>
      </w:pPr>
      <w:hyperlink w:anchor="_Toc404176177" w:history="1">
        <w:r w:rsidRPr="00A94391">
          <w:rPr>
            <w:rStyle w:val="Hyperlink"/>
            <w:noProof/>
          </w:rPr>
          <w:t>Introduction</w:t>
        </w:r>
        <w:r>
          <w:rPr>
            <w:noProof/>
            <w:webHidden/>
          </w:rPr>
          <w:tab/>
        </w:r>
        <w:r>
          <w:rPr>
            <w:noProof/>
            <w:webHidden/>
          </w:rPr>
          <w:fldChar w:fldCharType="begin"/>
        </w:r>
        <w:r>
          <w:rPr>
            <w:noProof/>
            <w:webHidden/>
          </w:rPr>
          <w:instrText xml:space="preserve"> PAGEREF _Toc404176177 \h </w:instrText>
        </w:r>
        <w:r>
          <w:rPr>
            <w:noProof/>
            <w:webHidden/>
          </w:rPr>
        </w:r>
        <w:r>
          <w:rPr>
            <w:noProof/>
            <w:webHidden/>
          </w:rPr>
          <w:fldChar w:fldCharType="separate"/>
        </w:r>
        <w:r>
          <w:rPr>
            <w:noProof/>
            <w:webHidden/>
          </w:rPr>
          <w:t>14</w:t>
        </w:r>
        <w:r>
          <w:rPr>
            <w:noProof/>
            <w:webHidden/>
          </w:rPr>
          <w:fldChar w:fldCharType="end"/>
        </w:r>
      </w:hyperlink>
    </w:p>
    <w:p w:rsidR="00D27A29" w:rsidRDefault="00D27A29">
      <w:pPr>
        <w:pStyle w:val="TOC3"/>
        <w:rPr>
          <w:rFonts w:asciiTheme="minorHAnsi" w:eastAsiaTheme="minorEastAsia" w:hAnsiTheme="minorHAnsi" w:cstheme="minorBidi"/>
          <w:noProof/>
          <w:lang w:eastAsia="en-AU"/>
        </w:rPr>
      </w:pPr>
      <w:hyperlink w:anchor="_Toc404176178" w:history="1">
        <w:r w:rsidRPr="00A94391">
          <w:rPr>
            <w:rStyle w:val="Hyperlink"/>
            <w:noProof/>
          </w:rPr>
          <w:t>Pharmacology</w:t>
        </w:r>
        <w:r>
          <w:rPr>
            <w:noProof/>
            <w:webHidden/>
          </w:rPr>
          <w:tab/>
        </w:r>
        <w:r>
          <w:rPr>
            <w:noProof/>
            <w:webHidden/>
          </w:rPr>
          <w:fldChar w:fldCharType="begin"/>
        </w:r>
        <w:r>
          <w:rPr>
            <w:noProof/>
            <w:webHidden/>
          </w:rPr>
          <w:instrText xml:space="preserve"> PAGEREF _Toc404176178 \h </w:instrText>
        </w:r>
        <w:r>
          <w:rPr>
            <w:noProof/>
            <w:webHidden/>
          </w:rPr>
        </w:r>
        <w:r>
          <w:rPr>
            <w:noProof/>
            <w:webHidden/>
          </w:rPr>
          <w:fldChar w:fldCharType="separate"/>
        </w:r>
        <w:r>
          <w:rPr>
            <w:noProof/>
            <w:webHidden/>
          </w:rPr>
          <w:t>14</w:t>
        </w:r>
        <w:r>
          <w:rPr>
            <w:noProof/>
            <w:webHidden/>
          </w:rPr>
          <w:fldChar w:fldCharType="end"/>
        </w:r>
      </w:hyperlink>
    </w:p>
    <w:p w:rsidR="00D27A29" w:rsidRDefault="00D27A29">
      <w:pPr>
        <w:pStyle w:val="TOC3"/>
        <w:rPr>
          <w:rFonts w:asciiTheme="minorHAnsi" w:eastAsiaTheme="minorEastAsia" w:hAnsiTheme="minorHAnsi" w:cstheme="minorBidi"/>
          <w:noProof/>
          <w:lang w:eastAsia="en-AU"/>
        </w:rPr>
      </w:pPr>
      <w:hyperlink w:anchor="_Toc404176179" w:history="1">
        <w:r w:rsidRPr="00A94391">
          <w:rPr>
            <w:rStyle w:val="Hyperlink"/>
            <w:noProof/>
          </w:rPr>
          <w:t>Pharmacokinetics</w:t>
        </w:r>
        <w:r>
          <w:rPr>
            <w:noProof/>
            <w:webHidden/>
          </w:rPr>
          <w:tab/>
        </w:r>
        <w:r>
          <w:rPr>
            <w:noProof/>
            <w:webHidden/>
          </w:rPr>
          <w:fldChar w:fldCharType="begin"/>
        </w:r>
        <w:r>
          <w:rPr>
            <w:noProof/>
            <w:webHidden/>
          </w:rPr>
          <w:instrText xml:space="preserve"> PAGEREF _Toc404176179 \h </w:instrText>
        </w:r>
        <w:r>
          <w:rPr>
            <w:noProof/>
            <w:webHidden/>
          </w:rPr>
        </w:r>
        <w:r>
          <w:rPr>
            <w:noProof/>
            <w:webHidden/>
          </w:rPr>
          <w:fldChar w:fldCharType="separate"/>
        </w:r>
        <w:r>
          <w:rPr>
            <w:noProof/>
            <w:webHidden/>
          </w:rPr>
          <w:t>16</w:t>
        </w:r>
        <w:r>
          <w:rPr>
            <w:noProof/>
            <w:webHidden/>
          </w:rPr>
          <w:fldChar w:fldCharType="end"/>
        </w:r>
      </w:hyperlink>
    </w:p>
    <w:p w:rsidR="00D27A29" w:rsidRDefault="00D27A29">
      <w:pPr>
        <w:pStyle w:val="TOC3"/>
        <w:rPr>
          <w:rFonts w:asciiTheme="minorHAnsi" w:eastAsiaTheme="minorEastAsia" w:hAnsiTheme="minorHAnsi" w:cstheme="minorBidi"/>
          <w:noProof/>
          <w:lang w:eastAsia="en-AU"/>
        </w:rPr>
      </w:pPr>
      <w:hyperlink w:anchor="_Toc404176180" w:history="1">
        <w:r w:rsidRPr="00A94391">
          <w:rPr>
            <w:rStyle w:val="Hyperlink"/>
            <w:noProof/>
          </w:rPr>
          <w:t>Toxicology</w:t>
        </w:r>
        <w:r>
          <w:rPr>
            <w:noProof/>
            <w:webHidden/>
          </w:rPr>
          <w:tab/>
        </w:r>
        <w:r>
          <w:rPr>
            <w:noProof/>
            <w:webHidden/>
          </w:rPr>
          <w:fldChar w:fldCharType="begin"/>
        </w:r>
        <w:r>
          <w:rPr>
            <w:noProof/>
            <w:webHidden/>
          </w:rPr>
          <w:instrText xml:space="preserve"> PAGEREF _Toc404176180 \h </w:instrText>
        </w:r>
        <w:r>
          <w:rPr>
            <w:noProof/>
            <w:webHidden/>
          </w:rPr>
        </w:r>
        <w:r>
          <w:rPr>
            <w:noProof/>
            <w:webHidden/>
          </w:rPr>
          <w:fldChar w:fldCharType="separate"/>
        </w:r>
        <w:r>
          <w:rPr>
            <w:noProof/>
            <w:webHidden/>
          </w:rPr>
          <w:t>18</w:t>
        </w:r>
        <w:r>
          <w:rPr>
            <w:noProof/>
            <w:webHidden/>
          </w:rPr>
          <w:fldChar w:fldCharType="end"/>
        </w:r>
      </w:hyperlink>
    </w:p>
    <w:p w:rsidR="00D27A29" w:rsidRDefault="00D27A29">
      <w:pPr>
        <w:pStyle w:val="TOC3"/>
        <w:rPr>
          <w:rFonts w:asciiTheme="minorHAnsi" w:eastAsiaTheme="minorEastAsia" w:hAnsiTheme="minorHAnsi" w:cstheme="minorBidi"/>
          <w:noProof/>
          <w:lang w:eastAsia="en-AU"/>
        </w:rPr>
      </w:pPr>
      <w:hyperlink w:anchor="_Toc404176181" w:history="1">
        <w:r w:rsidRPr="00A94391">
          <w:rPr>
            <w:rStyle w:val="Hyperlink"/>
            <w:noProof/>
          </w:rPr>
          <w:t>Nonclinical summary</w:t>
        </w:r>
        <w:r>
          <w:rPr>
            <w:noProof/>
            <w:webHidden/>
          </w:rPr>
          <w:tab/>
        </w:r>
        <w:r>
          <w:rPr>
            <w:noProof/>
            <w:webHidden/>
          </w:rPr>
          <w:fldChar w:fldCharType="begin"/>
        </w:r>
        <w:r>
          <w:rPr>
            <w:noProof/>
            <w:webHidden/>
          </w:rPr>
          <w:instrText xml:space="preserve"> PAGEREF _Toc404176181 \h </w:instrText>
        </w:r>
        <w:r>
          <w:rPr>
            <w:noProof/>
            <w:webHidden/>
          </w:rPr>
        </w:r>
        <w:r>
          <w:rPr>
            <w:noProof/>
            <w:webHidden/>
          </w:rPr>
          <w:fldChar w:fldCharType="separate"/>
        </w:r>
        <w:r>
          <w:rPr>
            <w:noProof/>
            <w:webHidden/>
          </w:rPr>
          <w:t>23</w:t>
        </w:r>
        <w:r>
          <w:rPr>
            <w:noProof/>
            <w:webHidden/>
          </w:rPr>
          <w:fldChar w:fldCharType="end"/>
        </w:r>
      </w:hyperlink>
    </w:p>
    <w:p w:rsidR="00D27A29" w:rsidRDefault="00D27A29">
      <w:pPr>
        <w:pStyle w:val="TOC3"/>
        <w:rPr>
          <w:rFonts w:asciiTheme="minorHAnsi" w:eastAsiaTheme="minorEastAsia" w:hAnsiTheme="minorHAnsi" w:cstheme="minorBidi"/>
          <w:noProof/>
          <w:lang w:eastAsia="en-AU"/>
        </w:rPr>
      </w:pPr>
      <w:hyperlink w:anchor="_Toc404176182" w:history="1">
        <w:r w:rsidRPr="00A94391">
          <w:rPr>
            <w:rStyle w:val="Hyperlink"/>
            <w:noProof/>
          </w:rPr>
          <w:t>Nonclinical conclusions and recommendation</w:t>
        </w:r>
        <w:r>
          <w:rPr>
            <w:noProof/>
            <w:webHidden/>
          </w:rPr>
          <w:tab/>
        </w:r>
        <w:r>
          <w:rPr>
            <w:noProof/>
            <w:webHidden/>
          </w:rPr>
          <w:fldChar w:fldCharType="begin"/>
        </w:r>
        <w:r>
          <w:rPr>
            <w:noProof/>
            <w:webHidden/>
          </w:rPr>
          <w:instrText xml:space="preserve"> PAGEREF _Toc404176182 \h </w:instrText>
        </w:r>
        <w:r>
          <w:rPr>
            <w:noProof/>
            <w:webHidden/>
          </w:rPr>
        </w:r>
        <w:r>
          <w:rPr>
            <w:noProof/>
            <w:webHidden/>
          </w:rPr>
          <w:fldChar w:fldCharType="separate"/>
        </w:r>
        <w:r>
          <w:rPr>
            <w:noProof/>
            <w:webHidden/>
          </w:rPr>
          <w:t>24</w:t>
        </w:r>
        <w:r>
          <w:rPr>
            <w:noProof/>
            <w:webHidden/>
          </w:rPr>
          <w:fldChar w:fldCharType="end"/>
        </w:r>
      </w:hyperlink>
    </w:p>
    <w:p w:rsidR="00D27A29" w:rsidRDefault="00D27A29">
      <w:pPr>
        <w:pStyle w:val="TOC2"/>
        <w:rPr>
          <w:rFonts w:asciiTheme="minorHAnsi" w:eastAsiaTheme="minorEastAsia" w:hAnsiTheme="minorHAnsi" w:cstheme="minorBidi"/>
          <w:b w:val="0"/>
          <w:noProof/>
          <w:sz w:val="22"/>
          <w:lang w:eastAsia="en-AU"/>
        </w:rPr>
      </w:pPr>
      <w:hyperlink w:anchor="_Toc404176183" w:history="1">
        <w:r w:rsidRPr="00A94391">
          <w:rPr>
            <w:rStyle w:val="Hyperlink"/>
            <w:noProof/>
          </w:rPr>
          <w:t>IV. Clinical findings</w:t>
        </w:r>
        <w:r>
          <w:rPr>
            <w:noProof/>
            <w:webHidden/>
          </w:rPr>
          <w:tab/>
        </w:r>
        <w:r>
          <w:rPr>
            <w:noProof/>
            <w:webHidden/>
          </w:rPr>
          <w:fldChar w:fldCharType="begin"/>
        </w:r>
        <w:r>
          <w:rPr>
            <w:noProof/>
            <w:webHidden/>
          </w:rPr>
          <w:instrText xml:space="preserve"> PAGEREF _Toc404176183 \h </w:instrText>
        </w:r>
        <w:r>
          <w:rPr>
            <w:noProof/>
            <w:webHidden/>
          </w:rPr>
        </w:r>
        <w:r>
          <w:rPr>
            <w:noProof/>
            <w:webHidden/>
          </w:rPr>
          <w:fldChar w:fldCharType="separate"/>
        </w:r>
        <w:r>
          <w:rPr>
            <w:noProof/>
            <w:webHidden/>
          </w:rPr>
          <w:t>25</w:t>
        </w:r>
        <w:r>
          <w:rPr>
            <w:noProof/>
            <w:webHidden/>
          </w:rPr>
          <w:fldChar w:fldCharType="end"/>
        </w:r>
      </w:hyperlink>
    </w:p>
    <w:p w:rsidR="00D27A29" w:rsidRDefault="00D27A29">
      <w:pPr>
        <w:pStyle w:val="TOC3"/>
        <w:rPr>
          <w:rFonts w:asciiTheme="minorHAnsi" w:eastAsiaTheme="minorEastAsia" w:hAnsiTheme="minorHAnsi" w:cstheme="minorBidi"/>
          <w:noProof/>
          <w:lang w:eastAsia="en-AU"/>
        </w:rPr>
      </w:pPr>
      <w:hyperlink w:anchor="_Toc404176184" w:history="1">
        <w:r w:rsidRPr="00A94391">
          <w:rPr>
            <w:rStyle w:val="Hyperlink"/>
            <w:noProof/>
          </w:rPr>
          <w:t>Introduction</w:t>
        </w:r>
        <w:r>
          <w:rPr>
            <w:noProof/>
            <w:webHidden/>
          </w:rPr>
          <w:tab/>
        </w:r>
        <w:r>
          <w:rPr>
            <w:noProof/>
            <w:webHidden/>
          </w:rPr>
          <w:fldChar w:fldCharType="begin"/>
        </w:r>
        <w:r>
          <w:rPr>
            <w:noProof/>
            <w:webHidden/>
          </w:rPr>
          <w:instrText xml:space="preserve"> PAGEREF _Toc404176184 \h </w:instrText>
        </w:r>
        <w:r>
          <w:rPr>
            <w:noProof/>
            <w:webHidden/>
          </w:rPr>
        </w:r>
        <w:r>
          <w:rPr>
            <w:noProof/>
            <w:webHidden/>
          </w:rPr>
          <w:fldChar w:fldCharType="separate"/>
        </w:r>
        <w:r>
          <w:rPr>
            <w:noProof/>
            <w:webHidden/>
          </w:rPr>
          <w:t>25</w:t>
        </w:r>
        <w:r>
          <w:rPr>
            <w:noProof/>
            <w:webHidden/>
          </w:rPr>
          <w:fldChar w:fldCharType="end"/>
        </w:r>
      </w:hyperlink>
    </w:p>
    <w:p w:rsidR="00D27A29" w:rsidRDefault="00D27A29">
      <w:pPr>
        <w:pStyle w:val="TOC3"/>
        <w:rPr>
          <w:rFonts w:asciiTheme="minorHAnsi" w:eastAsiaTheme="minorEastAsia" w:hAnsiTheme="minorHAnsi" w:cstheme="minorBidi"/>
          <w:noProof/>
          <w:lang w:eastAsia="en-AU"/>
        </w:rPr>
      </w:pPr>
      <w:hyperlink w:anchor="_Toc404176185" w:history="1">
        <w:r w:rsidRPr="00A94391">
          <w:rPr>
            <w:rStyle w:val="Hyperlink"/>
            <w:noProof/>
          </w:rPr>
          <w:t>Pharmacokinetics</w:t>
        </w:r>
        <w:r>
          <w:rPr>
            <w:noProof/>
            <w:webHidden/>
          </w:rPr>
          <w:tab/>
        </w:r>
        <w:r>
          <w:rPr>
            <w:noProof/>
            <w:webHidden/>
          </w:rPr>
          <w:fldChar w:fldCharType="begin"/>
        </w:r>
        <w:r>
          <w:rPr>
            <w:noProof/>
            <w:webHidden/>
          </w:rPr>
          <w:instrText xml:space="preserve"> PAGEREF _Toc404176185 \h </w:instrText>
        </w:r>
        <w:r>
          <w:rPr>
            <w:noProof/>
            <w:webHidden/>
          </w:rPr>
        </w:r>
        <w:r>
          <w:rPr>
            <w:noProof/>
            <w:webHidden/>
          </w:rPr>
          <w:fldChar w:fldCharType="separate"/>
        </w:r>
        <w:r>
          <w:rPr>
            <w:noProof/>
            <w:webHidden/>
          </w:rPr>
          <w:t>30</w:t>
        </w:r>
        <w:r>
          <w:rPr>
            <w:noProof/>
            <w:webHidden/>
          </w:rPr>
          <w:fldChar w:fldCharType="end"/>
        </w:r>
      </w:hyperlink>
    </w:p>
    <w:p w:rsidR="00D27A29" w:rsidRDefault="00D27A29">
      <w:pPr>
        <w:pStyle w:val="TOC3"/>
        <w:rPr>
          <w:rFonts w:asciiTheme="minorHAnsi" w:eastAsiaTheme="minorEastAsia" w:hAnsiTheme="minorHAnsi" w:cstheme="minorBidi"/>
          <w:noProof/>
          <w:lang w:eastAsia="en-AU"/>
        </w:rPr>
      </w:pPr>
      <w:hyperlink w:anchor="_Toc404176186" w:history="1">
        <w:r w:rsidRPr="00A94391">
          <w:rPr>
            <w:rStyle w:val="Hyperlink"/>
            <w:noProof/>
          </w:rPr>
          <w:t>Pharmacodynamics</w:t>
        </w:r>
        <w:r>
          <w:rPr>
            <w:noProof/>
            <w:webHidden/>
          </w:rPr>
          <w:tab/>
        </w:r>
        <w:r>
          <w:rPr>
            <w:noProof/>
            <w:webHidden/>
          </w:rPr>
          <w:fldChar w:fldCharType="begin"/>
        </w:r>
        <w:r>
          <w:rPr>
            <w:noProof/>
            <w:webHidden/>
          </w:rPr>
          <w:instrText xml:space="preserve"> PAGEREF _Toc404176186 \h </w:instrText>
        </w:r>
        <w:r>
          <w:rPr>
            <w:noProof/>
            <w:webHidden/>
          </w:rPr>
        </w:r>
        <w:r>
          <w:rPr>
            <w:noProof/>
            <w:webHidden/>
          </w:rPr>
          <w:fldChar w:fldCharType="separate"/>
        </w:r>
        <w:r>
          <w:rPr>
            <w:noProof/>
            <w:webHidden/>
          </w:rPr>
          <w:t>32</w:t>
        </w:r>
        <w:r>
          <w:rPr>
            <w:noProof/>
            <w:webHidden/>
          </w:rPr>
          <w:fldChar w:fldCharType="end"/>
        </w:r>
      </w:hyperlink>
    </w:p>
    <w:p w:rsidR="00D27A29" w:rsidRDefault="00D27A29">
      <w:pPr>
        <w:pStyle w:val="TOC3"/>
        <w:rPr>
          <w:rFonts w:asciiTheme="minorHAnsi" w:eastAsiaTheme="minorEastAsia" w:hAnsiTheme="minorHAnsi" w:cstheme="minorBidi"/>
          <w:noProof/>
          <w:lang w:eastAsia="en-AU"/>
        </w:rPr>
      </w:pPr>
      <w:hyperlink w:anchor="_Toc404176187" w:history="1">
        <w:r w:rsidRPr="00A94391">
          <w:rPr>
            <w:rStyle w:val="Hyperlink"/>
            <w:noProof/>
          </w:rPr>
          <w:t>Dosage selection for the pivotal studies</w:t>
        </w:r>
        <w:r>
          <w:rPr>
            <w:noProof/>
            <w:webHidden/>
          </w:rPr>
          <w:tab/>
        </w:r>
        <w:r>
          <w:rPr>
            <w:noProof/>
            <w:webHidden/>
          </w:rPr>
          <w:fldChar w:fldCharType="begin"/>
        </w:r>
        <w:r>
          <w:rPr>
            <w:noProof/>
            <w:webHidden/>
          </w:rPr>
          <w:instrText xml:space="preserve"> PAGEREF _Toc404176187 \h </w:instrText>
        </w:r>
        <w:r>
          <w:rPr>
            <w:noProof/>
            <w:webHidden/>
          </w:rPr>
        </w:r>
        <w:r>
          <w:rPr>
            <w:noProof/>
            <w:webHidden/>
          </w:rPr>
          <w:fldChar w:fldCharType="separate"/>
        </w:r>
        <w:r>
          <w:rPr>
            <w:noProof/>
            <w:webHidden/>
          </w:rPr>
          <w:t>33</w:t>
        </w:r>
        <w:r>
          <w:rPr>
            <w:noProof/>
            <w:webHidden/>
          </w:rPr>
          <w:fldChar w:fldCharType="end"/>
        </w:r>
      </w:hyperlink>
    </w:p>
    <w:p w:rsidR="00D27A29" w:rsidRDefault="00D27A29">
      <w:pPr>
        <w:pStyle w:val="TOC3"/>
        <w:rPr>
          <w:rFonts w:asciiTheme="minorHAnsi" w:eastAsiaTheme="minorEastAsia" w:hAnsiTheme="minorHAnsi" w:cstheme="minorBidi"/>
          <w:noProof/>
          <w:lang w:eastAsia="en-AU"/>
        </w:rPr>
      </w:pPr>
      <w:hyperlink w:anchor="_Toc404176188" w:history="1">
        <w:r w:rsidRPr="00A94391">
          <w:rPr>
            <w:rStyle w:val="Hyperlink"/>
            <w:noProof/>
          </w:rPr>
          <w:t>Efficacy</w:t>
        </w:r>
        <w:r>
          <w:rPr>
            <w:noProof/>
            <w:webHidden/>
          </w:rPr>
          <w:tab/>
        </w:r>
        <w:r>
          <w:rPr>
            <w:noProof/>
            <w:webHidden/>
          </w:rPr>
          <w:fldChar w:fldCharType="begin"/>
        </w:r>
        <w:r>
          <w:rPr>
            <w:noProof/>
            <w:webHidden/>
          </w:rPr>
          <w:instrText xml:space="preserve"> PAGEREF _Toc404176188 \h </w:instrText>
        </w:r>
        <w:r>
          <w:rPr>
            <w:noProof/>
            <w:webHidden/>
          </w:rPr>
        </w:r>
        <w:r>
          <w:rPr>
            <w:noProof/>
            <w:webHidden/>
          </w:rPr>
          <w:fldChar w:fldCharType="separate"/>
        </w:r>
        <w:r>
          <w:rPr>
            <w:noProof/>
            <w:webHidden/>
          </w:rPr>
          <w:t>34</w:t>
        </w:r>
        <w:r>
          <w:rPr>
            <w:noProof/>
            <w:webHidden/>
          </w:rPr>
          <w:fldChar w:fldCharType="end"/>
        </w:r>
      </w:hyperlink>
    </w:p>
    <w:p w:rsidR="00D27A29" w:rsidRDefault="00D27A29">
      <w:pPr>
        <w:pStyle w:val="TOC3"/>
        <w:rPr>
          <w:rFonts w:asciiTheme="minorHAnsi" w:eastAsiaTheme="minorEastAsia" w:hAnsiTheme="minorHAnsi" w:cstheme="minorBidi"/>
          <w:noProof/>
          <w:lang w:eastAsia="en-AU"/>
        </w:rPr>
      </w:pPr>
      <w:hyperlink w:anchor="_Toc404176189" w:history="1">
        <w:r w:rsidRPr="00A94391">
          <w:rPr>
            <w:rStyle w:val="Hyperlink"/>
            <w:noProof/>
          </w:rPr>
          <w:t>Safety</w:t>
        </w:r>
        <w:r>
          <w:rPr>
            <w:noProof/>
            <w:webHidden/>
          </w:rPr>
          <w:tab/>
        </w:r>
        <w:r>
          <w:rPr>
            <w:noProof/>
            <w:webHidden/>
          </w:rPr>
          <w:fldChar w:fldCharType="begin"/>
        </w:r>
        <w:r>
          <w:rPr>
            <w:noProof/>
            <w:webHidden/>
          </w:rPr>
          <w:instrText xml:space="preserve"> PAGEREF _Toc404176189 \h </w:instrText>
        </w:r>
        <w:r>
          <w:rPr>
            <w:noProof/>
            <w:webHidden/>
          </w:rPr>
        </w:r>
        <w:r>
          <w:rPr>
            <w:noProof/>
            <w:webHidden/>
          </w:rPr>
          <w:fldChar w:fldCharType="separate"/>
        </w:r>
        <w:r>
          <w:rPr>
            <w:noProof/>
            <w:webHidden/>
          </w:rPr>
          <w:t>35</w:t>
        </w:r>
        <w:r>
          <w:rPr>
            <w:noProof/>
            <w:webHidden/>
          </w:rPr>
          <w:fldChar w:fldCharType="end"/>
        </w:r>
      </w:hyperlink>
    </w:p>
    <w:p w:rsidR="00D27A29" w:rsidRDefault="00D27A29">
      <w:pPr>
        <w:pStyle w:val="TOC3"/>
        <w:rPr>
          <w:rFonts w:asciiTheme="minorHAnsi" w:eastAsiaTheme="minorEastAsia" w:hAnsiTheme="minorHAnsi" w:cstheme="minorBidi"/>
          <w:noProof/>
          <w:lang w:eastAsia="en-AU"/>
        </w:rPr>
      </w:pPr>
      <w:hyperlink w:anchor="_Toc404176190" w:history="1">
        <w:r w:rsidRPr="00A94391">
          <w:rPr>
            <w:rStyle w:val="Hyperlink"/>
            <w:noProof/>
          </w:rPr>
          <w:t>First round benefit-risk assessment</w:t>
        </w:r>
        <w:r>
          <w:rPr>
            <w:noProof/>
            <w:webHidden/>
          </w:rPr>
          <w:tab/>
        </w:r>
        <w:r>
          <w:rPr>
            <w:noProof/>
            <w:webHidden/>
          </w:rPr>
          <w:fldChar w:fldCharType="begin"/>
        </w:r>
        <w:r>
          <w:rPr>
            <w:noProof/>
            <w:webHidden/>
          </w:rPr>
          <w:instrText xml:space="preserve"> PAGEREF _Toc404176190 \h </w:instrText>
        </w:r>
        <w:r>
          <w:rPr>
            <w:noProof/>
            <w:webHidden/>
          </w:rPr>
        </w:r>
        <w:r>
          <w:rPr>
            <w:noProof/>
            <w:webHidden/>
          </w:rPr>
          <w:fldChar w:fldCharType="separate"/>
        </w:r>
        <w:r>
          <w:rPr>
            <w:noProof/>
            <w:webHidden/>
          </w:rPr>
          <w:t>39</w:t>
        </w:r>
        <w:r>
          <w:rPr>
            <w:noProof/>
            <w:webHidden/>
          </w:rPr>
          <w:fldChar w:fldCharType="end"/>
        </w:r>
      </w:hyperlink>
    </w:p>
    <w:p w:rsidR="00D27A29" w:rsidRDefault="00D27A29">
      <w:pPr>
        <w:pStyle w:val="TOC3"/>
        <w:rPr>
          <w:rFonts w:asciiTheme="minorHAnsi" w:eastAsiaTheme="minorEastAsia" w:hAnsiTheme="minorHAnsi" w:cstheme="minorBidi"/>
          <w:noProof/>
          <w:lang w:eastAsia="en-AU"/>
        </w:rPr>
      </w:pPr>
      <w:hyperlink w:anchor="_Toc404176191" w:history="1">
        <w:r w:rsidRPr="00A94391">
          <w:rPr>
            <w:rStyle w:val="Hyperlink"/>
            <w:noProof/>
          </w:rPr>
          <w:t>First round recommendation regarding authorisation</w:t>
        </w:r>
        <w:r>
          <w:rPr>
            <w:noProof/>
            <w:webHidden/>
          </w:rPr>
          <w:tab/>
        </w:r>
        <w:r>
          <w:rPr>
            <w:noProof/>
            <w:webHidden/>
          </w:rPr>
          <w:fldChar w:fldCharType="begin"/>
        </w:r>
        <w:r>
          <w:rPr>
            <w:noProof/>
            <w:webHidden/>
          </w:rPr>
          <w:instrText xml:space="preserve"> PAGEREF _Toc404176191 \h </w:instrText>
        </w:r>
        <w:r>
          <w:rPr>
            <w:noProof/>
            <w:webHidden/>
          </w:rPr>
        </w:r>
        <w:r>
          <w:rPr>
            <w:noProof/>
            <w:webHidden/>
          </w:rPr>
          <w:fldChar w:fldCharType="separate"/>
        </w:r>
        <w:r>
          <w:rPr>
            <w:noProof/>
            <w:webHidden/>
          </w:rPr>
          <w:t>41</w:t>
        </w:r>
        <w:r>
          <w:rPr>
            <w:noProof/>
            <w:webHidden/>
          </w:rPr>
          <w:fldChar w:fldCharType="end"/>
        </w:r>
      </w:hyperlink>
    </w:p>
    <w:p w:rsidR="00D27A29" w:rsidRDefault="00D27A29">
      <w:pPr>
        <w:pStyle w:val="TOC3"/>
        <w:rPr>
          <w:rFonts w:asciiTheme="minorHAnsi" w:eastAsiaTheme="minorEastAsia" w:hAnsiTheme="minorHAnsi" w:cstheme="minorBidi"/>
          <w:noProof/>
          <w:lang w:eastAsia="en-AU"/>
        </w:rPr>
      </w:pPr>
      <w:hyperlink w:anchor="_Toc404176192" w:history="1">
        <w:r w:rsidRPr="00A94391">
          <w:rPr>
            <w:rStyle w:val="Hyperlink"/>
            <w:noProof/>
          </w:rPr>
          <w:t>Clinical questions</w:t>
        </w:r>
        <w:r>
          <w:rPr>
            <w:noProof/>
            <w:webHidden/>
          </w:rPr>
          <w:tab/>
        </w:r>
        <w:r>
          <w:rPr>
            <w:noProof/>
            <w:webHidden/>
          </w:rPr>
          <w:fldChar w:fldCharType="begin"/>
        </w:r>
        <w:r>
          <w:rPr>
            <w:noProof/>
            <w:webHidden/>
          </w:rPr>
          <w:instrText xml:space="preserve"> PAGEREF _Toc404176192 \h </w:instrText>
        </w:r>
        <w:r>
          <w:rPr>
            <w:noProof/>
            <w:webHidden/>
          </w:rPr>
        </w:r>
        <w:r>
          <w:rPr>
            <w:noProof/>
            <w:webHidden/>
          </w:rPr>
          <w:fldChar w:fldCharType="separate"/>
        </w:r>
        <w:r>
          <w:rPr>
            <w:noProof/>
            <w:webHidden/>
          </w:rPr>
          <w:t>41</w:t>
        </w:r>
        <w:r>
          <w:rPr>
            <w:noProof/>
            <w:webHidden/>
          </w:rPr>
          <w:fldChar w:fldCharType="end"/>
        </w:r>
      </w:hyperlink>
    </w:p>
    <w:p w:rsidR="00D27A29" w:rsidRDefault="00D27A29">
      <w:pPr>
        <w:pStyle w:val="TOC2"/>
        <w:rPr>
          <w:rFonts w:asciiTheme="minorHAnsi" w:eastAsiaTheme="minorEastAsia" w:hAnsiTheme="minorHAnsi" w:cstheme="minorBidi"/>
          <w:b w:val="0"/>
          <w:noProof/>
          <w:sz w:val="22"/>
          <w:lang w:eastAsia="en-AU"/>
        </w:rPr>
      </w:pPr>
      <w:hyperlink w:anchor="_Toc404176193" w:history="1">
        <w:r w:rsidRPr="00A94391">
          <w:rPr>
            <w:rStyle w:val="Hyperlink"/>
            <w:noProof/>
          </w:rPr>
          <w:t>V. Pharmacovigilance findings</w:t>
        </w:r>
        <w:r>
          <w:rPr>
            <w:noProof/>
            <w:webHidden/>
          </w:rPr>
          <w:tab/>
        </w:r>
        <w:r>
          <w:rPr>
            <w:noProof/>
            <w:webHidden/>
          </w:rPr>
          <w:fldChar w:fldCharType="begin"/>
        </w:r>
        <w:r>
          <w:rPr>
            <w:noProof/>
            <w:webHidden/>
          </w:rPr>
          <w:instrText xml:space="preserve"> PAGEREF _Toc404176193 \h </w:instrText>
        </w:r>
        <w:r>
          <w:rPr>
            <w:noProof/>
            <w:webHidden/>
          </w:rPr>
        </w:r>
        <w:r>
          <w:rPr>
            <w:noProof/>
            <w:webHidden/>
          </w:rPr>
          <w:fldChar w:fldCharType="separate"/>
        </w:r>
        <w:r>
          <w:rPr>
            <w:noProof/>
            <w:webHidden/>
          </w:rPr>
          <w:t>41</w:t>
        </w:r>
        <w:r>
          <w:rPr>
            <w:noProof/>
            <w:webHidden/>
          </w:rPr>
          <w:fldChar w:fldCharType="end"/>
        </w:r>
      </w:hyperlink>
    </w:p>
    <w:p w:rsidR="00D27A29" w:rsidRDefault="00D27A29">
      <w:pPr>
        <w:pStyle w:val="TOC3"/>
        <w:rPr>
          <w:rFonts w:asciiTheme="minorHAnsi" w:eastAsiaTheme="minorEastAsia" w:hAnsiTheme="minorHAnsi" w:cstheme="minorBidi"/>
          <w:noProof/>
          <w:lang w:eastAsia="en-AU"/>
        </w:rPr>
      </w:pPr>
      <w:hyperlink w:anchor="_Toc404176194" w:history="1">
        <w:r w:rsidRPr="00A94391">
          <w:rPr>
            <w:rStyle w:val="Hyperlink"/>
            <w:noProof/>
            <w:lang w:eastAsia="en-AU"/>
          </w:rPr>
          <w:t xml:space="preserve">Risk </w:t>
        </w:r>
        <w:r w:rsidRPr="00A94391">
          <w:rPr>
            <w:rStyle w:val="Hyperlink"/>
            <w:noProof/>
          </w:rPr>
          <w:t>management</w:t>
        </w:r>
        <w:r w:rsidRPr="00A94391">
          <w:rPr>
            <w:rStyle w:val="Hyperlink"/>
            <w:noProof/>
            <w:lang w:eastAsia="en-AU"/>
          </w:rPr>
          <w:t xml:space="preserve"> plan</w:t>
        </w:r>
        <w:r>
          <w:rPr>
            <w:noProof/>
            <w:webHidden/>
          </w:rPr>
          <w:tab/>
        </w:r>
        <w:r>
          <w:rPr>
            <w:noProof/>
            <w:webHidden/>
          </w:rPr>
          <w:fldChar w:fldCharType="begin"/>
        </w:r>
        <w:r>
          <w:rPr>
            <w:noProof/>
            <w:webHidden/>
          </w:rPr>
          <w:instrText xml:space="preserve"> PAGEREF _Toc404176194 \h </w:instrText>
        </w:r>
        <w:r>
          <w:rPr>
            <w:noProof/>
            <w:webHidden/>
          </w:rPr>
        </w:r>
        <w:r>
          <w:rPr>
            <w:noProof/>
            <w:webHidden/>
          </w:rPr>
          <w:fldChar w:fldCharType="separate"/>
        </w:r>
        <w:r>
          <w:rPr>
            <w:noProof/>
            <w:webHidden/>
          </w:rPr>
          <w:t>41</w:t>
        </w:r>
        <w:r>
          <w:rPr>
            <w:noProof/>
            <w:webHidden/>
          </w:rPr>
          <w:fldChar w:fldCharType="end"/>
        </w:r>
      </w:hyperlink>
    </w:p>
    <w:p w:rsidR="00D27A29" w:rsidRDefault="00D27A29">
      <w:pPr>
        <w:pStyle w:val="TOC2"/>
        <w:rPr>
          <w:rFonts w:asciiTheme="minorHAnsi" w:eastAsiaTheme="minorEastAsia" w:hAnsiTheme="minorHAnsi" w:cstheme="minorBidi"/>
          <w:b w:val="0"/>
          <w:noProof/>
          <w:sz w:val="22"/>
          <w:lang w:eastAsia="en-AU"/>
        </w:rPr>
      </w:pPr>
      <w:hyperlink w:anchor="_Toc404176195" w:history="1">
        <w:r w:rsidRPr="00A94391">
          <w:rPr>
            <w:rStyle w:val="Hyperlink"/>
            <w:noProof/>
          </w:rPr>
          <w:t>VI. Overall conclusion and risk/benefit assessment</w:t>
        </w:r>
        <w:r>
          <w:rPr>
            <w:noProof/>
            <w:webHidden/>
          </w:rPr>
          <w:tab/>
        </w:r>
        <w:r>
          <w:rPr>
            <w:noProof/>
            <w:webHidden/>
          </w:rPr>
          <w:fldChar w:fldCharType="begin"/>
        </w:r>
        <w:r>
          <w:rPr>
            <w:noProof/>
            <w:webHidden/>
          </w:rPr>
          <w:instrText xml:space="preserve"> PAGEREF _Toc404176195 \h </w:instrText>
        </w:r>
        <w:r>
          <w:rPr>
            <w:noProof/>
            <w:webHidden/>
          </w:rPr>
        </w:r>
        <w:r>
          <w:rPr>
            <w:noProof/>
            <w:webHidden/>
          </w:rPr>
          <w:fldChar w:fldCharType="separate"/>
        </w:r>
        <w:r>
          <w:rPr>
            <w:noProof/>
            <w:webHidden/>
          </w:rPr>
          <w:t>51</w:t>
        </w:r>
        <w:r>
          <w:rPr>
            <w:noProof/>
            <w:webHidden/>
          </w:rPr>
          <w:fldChar w:fldCharType="end"/>
        </w:r>
      </w:hyperlink>
    </w:p>
    <w:p w:rsidR="00D27A29" w:rsidRDefault="00D27A29">
      <w:pPr>
        <w:pStyle w:val="TOC3"/>
        <w:rPr>
          <w:rFonts w:asciiTheme="minorHAnsi" w:eastAsiaTheme="minorEastAsia" w:hAnsiTheme="minorHAnsi" w:cstheme="minorBidi"/>
          <w:noProof/>
          <w:lang w:eastAsia="en-AU"/>
        </w:rPr>
      </w:pPr>
      <w:hyperlink w:anchor="_Toc404176196" w:history="1">
        <w:r w:rsidRPr="00A94391">
          <w:rPr>
            <w:rStyle w:val="Hyperlink"/>
            <w:noProof/>
          </w:rPr>
          <w:t>Quality</w:t>
        </w:r>
        <w:r>
          <w:rPr>
            <w:noProof/>
            <w:webHidden/>
          </w:rPr>
          <w:tab/>
        </w:r>
        <w:r>
          <w:rPr>
            <w:noProof/>
            <w:webHidden/>
          </w:rPr>
          <w:fldChar w:fldCharType="begin"/>
        </w:r>
        <w:r>
          <w:rPr>
            <w:noProof/>
            <w:webHidden/>
          </w:rPr>
          <w:instrText xml:space="preserve"> PAGEREF _Toc404176196 \h </w:instrText>
        </w:r>
        <w:r>
          <w:rPr>
            <w:noProof/>
            <w:webHidden/>
          </w:rPr>
        </w:r>
        <w:r>
          <w:rPr>
            <w:noProof/>
            <w:webHidden/>
          </w:rPr>
          <w:fldChar w:fldCharType="separate"/>
        </w:r>
        <w:r>
          <w:rPr>
            <w:noProof/>
            <w:webHidden/>
          </w:rPr>
          <w:t>51</w:t>
        </w:r>
        <w:r>
          <w:rPr>
            <w:noProof/>
            <w:webHidden/>
          </w:rPr>
          <w:fldChar w:fldCharType="end"/>
        </w:r>
      </w:hyperlink>
    </w:p>
    <w:p w:rsidR="00D27A29" w:rsidRDefault="00D27A29">
      <w:pPr>
        <w:pStyle w:val="TOC3"/>
        <w:rPr>
          <w:rFonts w:asciiTheme="minorHAnsi" w:eastAsiaTheme="minorEastAsia" w:hAnsiTheme="minorHAnsi" w:cstheme="minorBidi"/>
          <w:noProof/>
          <w:lang w:eastAsia="en-AU"/>
        </w:rPr>
      </w:pPr>
      <w:hyperlink w:anchor="_Toc404176197" w:history="1">
        <w:r w:rsidRPr="00A94391">
          <w:rPr>
            <w:rStyle w:val="Hyperlink"/>
            <w:noProof/>
          </w:rPr>
          <w:t>Nonclinical</w:t>
        </w:r>
        <w:r>
          <w:rPr>
            <w:noProof/>
            <w:webHidden/>
          </w:rPr>
          <w:tab/>
        </w:r>
        <w:r>
          <w:rPr>
            <w:noProof/>
            <w:webHidden/>
          </w:rPr>
          <w:fldChar w:fldCharType="begin"/>
        </w:r>
        <w:r>
          <w:rPr>
            <w:noProof/>
            <w:webHidden/>
          </w:rPr>
          <w:instrText xml:space="preserve"> PAGEREF _Toc404176197 \h </w:instrText>
        </w:r>
        <w:r>
          <w:rPr>
            <w:noProof/>
            <w:webHidden/>
          </w:rPr>
        </w:r>
        <w:r>
          <w:rPr>
            <w:noProof/>
            <w:webHidden/>
          </w:rPr>
          <w:fldChar w:fldCharType="separate"/>
        </w:r>
        <w:r>
          <w:rPr>
            <w:noProof/>
            <w:webHidden/>
          </w:rPr>
          <w:t>51</w:t>
        </w:r>
        <w:r>
          <w:rPr>
            <w:noProof/>
            <w:webHidden/>
          </w:rPr>
          <w:fldChar w:fldCharType="end"/>
        </w:r>
      </w:hyperlink>
    </w:p>
    <w:p w:rsidR="00D27A29" w:rsidRDefault="00D27A29">
      <w:pPr>
        <w:pStyle w:val="TOC3"/>
        <w:rPr>
          <w:rFonts w:asciiTheme="minorHAnsi" w:eastAsiaTheme="minorEastAsia" w:hAnsiTheme="minorHAnsi" w:cstheme="minorBidi"/>
          <w:noProof/>
          <w:lang w:eastAsia="en-AU"/>
        </w:rPr>
      </w:pPr>
      <w:hyperlink w:anchor="_Toc404176198" w:history="1">
        <w:r w:rsidRPr="00A94391">
          <w:rPr>
            <w:rStyle w:val="Hyperlink"/>
            <w:noProof/>
          </w:rPr>
          <w:t>Clinical</w:t>
        </w:r>
        <w:r>
          <w:rPr>
            <w:noProof/>
            <w:webHidden/>
          </w:rPr>
          <w:tab/>
        </w:r>
        <w:r>
          <w:rPr>
            <w:noProof/>
            <w:webHidden/>
          </w:rPr>
          <w:fldChar w:fldCharType="begin"/>
        </w:r>
        <w:r>
          <w:rPr>
            <w:noProof/>
            <w:webHidden/>
          </w:rPr>
          <w:instrText xml:space="preserve"> PAGEREF _Toc404176198 \h </w:instrText>
        </w:r>
        <w:r>
          <w:rPr>
            <w:noProof/>
            <w:webHidden/>
          </w:rPr>
        </w:r>
        <w:r>
          <w:rPr>
            <w:noProof/>
            <w:webHidden/>
          </w:rPr>
          <w:fldChar w:fldCharType="separate"/>
        </w:r>
        <w:r>
          <w:rPr>
            <w:noProof/>
            <w:webHidden/>
          </w:rPr>
          <w:t>52</w:t>
        </w:r>
        <w:r>
          <w:rPr>
            <w:noProof/>
            <w:webHidden/>
          </w:rPr>
          <w:fldChar w:fldCharType="end"/>
        </w:r>
      </w:hyperlink>
    </w:p>
    <w:p w:rsidR="00D27A29" w:rsidRDefault="00D27A29">
      <w:pPr>
        <w:pStyle w:val="TOC3"/>
        <w:rPr>
          <w:rFonts w:asciiTheme="minorHAnsi" w:eastAsiaTheme="minorEastAsia" w:hAnsiTheme="minorHAnsi" w:cstheme="minorBidi"/>
          <w:noProof/>
          <w:lang w:eastAsia="en-AU"/>
        </w:rPr>
      </w:pPr>
      <w:hyperlink w:anchor="_Toc404176199" w:history="1">
        <w:r w:rsidRPr="00A94391">
          <w:rPr>
            <w:rStyle w:val="Hyperlink"/>
            <w:noProof/>
            <w:lang w:eastAsia="en-AU"/>
          </w:rPr>
          <w:t>Risk management plan</w:t>
        </w:r>
        <w:r>
          <w:rPr>
            <w:noProof/>
            <w:webHidden/>
          </w:rPr>
          <w:tab/>
        </w:r>
        <w:r>
          <w:rPr>
            <w:noProof/>
            <w:webHidden/>
          </w:rPr>
          <w:fldChar w:fldCharType="begin"/>
        </w:r>
        <w:r>
          <w:rPr>
            <w:noProof/>
            <w:webHidden/>
          </w:rPr>
          <w:instrText xml:space="preserve"> PAGEREF _Toc404176199 \h </w:instrText>
        </w:r>
        <w:r>
          <w:rPr>
            <w:noProof/>
            <w:webHidden/>
          </w:rPr>
        </w:r>
        <w:r>
          <w:rPr>
            <w:noProof/>
            <w:webHidden/>
          </w:rPr>
          <w:fldChar w:fldCharType="separate"/>
        </w:r>
        <w:r>
          <w:rPr>
            <w:noProof/>
            <w:webHidden/>
          </w:rPr>
          <w:t>71</w:t>
        </w:r>
        <w:r>
          <w:rPr>
            <w:noProof/>
            <w:webHidden/>
          </w:rPr>
          <w:fldChar w:fldCharType="end"/>
        </w:r>
      </w:hyperlink>
    </w:p>
    <w:p w:rsidR="00D27A29" w:rsidRDefault="00D27A29">
      <w:pPr>
        <w:pStyle w:val="TOC3"/>
        <w:rPr>
          <w:rFonts w:asciiTheme="minorHAnsi" w:eastAsiaTheme="minorEastAsia" w:hAnsiTheme="minorHAnsi" w:cstheme="minorBidi"/>
          <w:noProof/>
          <w:lang w:eastAsia="en-AU"/>
        </w:rPr>
      </w:pPr>
      <w:hyperlink w:anchor="_Toc404176200" w:history="1">
        <w:r w:rsidRPr="00A94391">
          <w:rPr>
            <w:rStyle w:val="Hyperlink"/>
            <w:noProof/>
          </w:rPr>
          <w:t>Risk-benefit analysis</w:t>
        </w:r>
        <w:r>
          <w:rPr>
            <w:noProof/>
            <w:webHidden/>
          </w:rPr>
          <w:tab/>
        </w:r>
        <w:r>
          <w:rPr>
            <w:noProof/>
            <w:webHidden/>
          </w:rPr>
          <w:fldChar w:fldCharType="begin"/>
        </w:r>
        <w:r>
          <w:rPr>
            <w:noProof/>
            <w:webHidden/>
          </w:rPr>
          <w:instrText xml:space="preserve"> PAGEREF _Toc404176200 \h </w:instrText>
        </w:r>
        <w:r>
          <w:rPr>
            <w:noProof/>
            <w:webHidden/>
          </w:rPr>
        </w:r>
        <w:r>
          <w:rPr>
            <w:noProof/>
            <w:webHidden/>
          </w:rPr>
          <w:fldChar w:fldCharType="separate"/>
        </w:r>
        <w:r>
          <w:rPr>
            <w:noProof/>
            <w:webHidden/>
          </w:rPr>
          <w:t>72</w:t>
        </w:r>
        <w:r>
          <w:rPr>
            <w:noProof/>
            <w:webHidden/>
          </w:rPr>
          <w:fldChar w:fldCharType="end"/>
        </w:r>
      </w:hyperlink>
    </w:p>
    <w:p w:rsidR="00D27A29" w:rsidRDefault="00D27A29">
      <w:pPr>
        <w:pStyle w:val="TOC3"/>
        <w:rPr>
          <w:rFonts w:asciiTheme="minorHAnsi" w:eastAsiaTheme="minorEastAsia" w:hAnsiTheme="minorHAnsi" w:cstheme="minorBidi"/>
          <w:noProof/>
          <w:lang w:eastAsia="en-AU"/>
        </w:rPr>
      </w:pPr>
      <w:hyperlink w:anchor="_Toc404176201" w:history="1">
        <w:r w:rsidRPr="00A94391">
          <w:rPr>
            <w:rStyle w:val="Hyperlink"/>
            <w:noProof/>
          </w:rPr>
          <w:t>Outcome</w:t>
        </w:r>
        <w:r>
          <w:rPr>
            <w:noProof/>
            <w:webHidden/>
          </w:rPr>
          <w:tab/>
        </w:r>
        <w:r>
          <w:rPr>
            <w:noProof/>
            <w:webHidden/>
          </w:rPr>
          <w:fldChar w:fldCharType="begin"/>
        </w:r>
        <w:r>
          <w:rPr>
            <w:noProof/>
            <w:webHidden/>
          </w:rPr>
          <w:instrText xml:space="preserve"> PAGEREF _Toc404176201 \h </w:instrText>
        </w:r>
        <w:r>
          <w:rPr>
            <w:noProof/>
            <w:webHidden/>
          </w:rPr>
        </w:r>
        <w:r>
          <w:rPr>
            <w:noProof/>
            <w:webHidden/>
          </w:rPr>
          <w:fldChar w:fldCharType="separate"/>
        </w:r>
        <w:r>
          <w:rPr>
            <w:noProof/>
            <w:webHidden/>
          </w:rPr>
          <w:t>80</w:t>
        </w:r>
        <w:r>
          <w:rPr>
            <w:noProof/>
            <w:webHidden/>
          </w:rPr>
          <w:fldChar w:fldCharType="end"/>
        </w:r>
      </w:hyperlink>
    </w:p>
    <w:p w:rsidR="00D27A29" w:rsidRDefault="00D27A29">
      <w:pPr>
        <w:pStyle w:val="TOC2"/>
        <w:tabs>
          <w:tab w:val="left" w:pos="2448"/>
        </w:tabs>
        <w:rPr>
          <w:rFonts w:asciiTheme="minorHAnsi" w:eastAsiaTheme="minorEastAsia" w:hAnsiTheme="minorHAnsi" w:cstheme="minorBidi"/>
          <w:b w:val="0"/>
          <w:noProof/>
          <w:sz w:val="22"/>
          <w:lang w:eastAsia="en-AU"/>
        </w:rPr>
      </w:pPr>
      <w:hyperlink w:anchor="_Toc404176202" w:history="1">
        <w:r w:rsidRPr="00A94391">
          <w:rPr>
            <w:rStyle w:val="Hyperlink"/>
            <w:noProof/>
          </w:rPr>
          <w:t>Attachment 1.</w:t>
        </w:r>
        <w:r>
          <w:rPr>
            <w:rFonts w:asciiTheme="minorHAnsi" w:eastAsiaTheme="minorEastAsia" w:hAnsiTheme="minorHAnsi" w:cstheme="minorBidi"/>
            <w:b w:val="0"/>
            <w:noProof/>
            <w:sz w:val="22"/>
            <w:lang w:eastAsia="en-AU"/>
          </w:rPr>
          <w:tab/>
        </w:r>
        <w:r w:rsidRPr="00A94391">
          <w:rPr>
            <w:rStyle w:val="Hyperlink"/>
            <w:noProof/>
          </w:rPr>
          <w:t>Product Information</w:t>
        </w:r>
        <w:r>
          <w:rPr>
            <w:noProof/>
            <w:webHidden/>
          </w:rPr>
          <w:tab/>
        </w:r>
        <w:r>
          <w:rPr>
            <w:noProof/>
            <w:webHidden/>
          </w:rPr>
          <w:fldChar w:fldCharType="begin"/>
        </w:r>
        <w:r>
          <w:rPr>
            <w:noProof/>
            <w:webHidden/>
          </w:rPr>
          <w:instrText xml:space="preserve"> PAGEREF _Toc404176202 \h </w:instrText>
        </w:r>
        <w:r>
          <w:rPr>
            <w:noProof/>
            <w:webHidden/>
          </w:rPr>
        </w:r>
        <w:r>
          <w:rPr>
            <w:noProof/>
            <w:webHidden/>
          </w:rPr>
          <w:fldChar w:fldCharType="separate"/>
        </w:r>
        <w:r>
          <w:rPr>
            <w:noProof/>
            <w:webHidden/>
          </w:rPr>
          <w:t>81</w:t>
        </w:r>
        <w:r>
          <w:rPr>
            <w:noProof/>
            <w:webHidden/>
          </w:rPr>
          <w:fldChar w:fldCharType="end"/>
        </w:r>
      </w:hyperlink>
    </w:p>
    <w:p w:rsidR="00D27A29" w:rsidRDefault="00D27A29">
      <w:pPr>
        <w:pStyle w:val="TOC2"/>
        <w:rPr>
          <w:rFonts w:asciiTheme="minorHAnsi" w:eastAsiaTheme="minorEastAsia" w:hAnsiTheme="minorHAnsi" w:cstheme="minorBidi"/>
          <w:b w:val="0"/>
          <w:noProof/>
          <w:sz w:val="22"/>
          <w:lang w:eastAsia="en-AU"/>
        </w:rPr>
      </w:pPr>
      <w:hyperlink w:anchor="_Toc404176203" w:history="1">
        <w:r w:rsidRPr="00A94391">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_Toc404176203 \h </w:instrText>
        </w:r>
        <w:r>
          <w:rPr>
            <w:noProof/>
            <w:webHidden/>
          </w:rPr>
        </w:r>
        <w:r>
          <w:rPr>
            <w:noProof/>
            <w:webHidden/>
          </w:rPr>
          <w:fldChar w:fldCharType="separate"/>
        </w:r>
        <w:r>
          <w:rPr>
            <w:noProof/>
            <w:webHidden/>
          </w:rPr>
          <w:t>81</w:t>
        </w:r>
        <w:r>
          <w:rPr>
            <w:noProof/>
            <w:webHidden/>
          </w:rPr>
          <w:fldChar w:fldCharType="end"/>
        </w:r>
      </w:hyperlink>
    </w:p>
    <w:p w:rsidR="003A7F6C" w:rsidRPr="00B811C6" w:rsidRDefault="00DB6124" w:rsidP="00B811C6">
      <w:pPr>
        <w:pStyle w:val="TOC2"/>
      </w:pPr>
      <w:r>
        <w:fldChar w:fldCharType="end"/>
      </w:r>
      <w:bookmarkStart w:id="3" w:name="_Toc314842482"/>
    </w:p>
    <w:p w:rsidR="00FD119B" w:rsidRDefault="00FD119B">
      <w:pPr>
        <w:spacing w:before="0" w:after="200" w:line="0" w:lineRule="auto"/>
      </w:pPr>
      <w:r>
        <w:br w:type="page"/>
      </w:r>
    </w:p>
    <w:p w:rsidR="00FD119B" w:rsidRPr="00FD119B" w:rsidRDefault="00FD119B" w:rsidP="00B17B53">
      <w:pPr>
        <w:pStyle w:val="Heading2"/>
      </w:pPr>
      <w:bookmarkStart w:id="4" w:name="_Toc351716269"/>
      <w:bookmarkStart w:id="5" w:name="_Toc351718881"/>
      <w:bookmarkStart w:id="6" w:name="_Toc355338616"/>
      <w:bookmarkStart w:id="7" w:name="_Toc356306144"/>
      <w:bookmarkStart w:id="8" w:name="_Toc404176164"/>
      <w:r w:rsidRPr="00FD119B">
        <w:lastRenderedPageBreak/>
        <w:t xml:space="preserve">List of </w:t>
      </w:r>
      <w:r w:rsidR="00252B8D" w:rsidRPr="00B17B53">
        <w:t>commonly</w:t>
      </w:r>
      <w:r w:rsidR="00252B8D">
        <w:rPr>
          <w:lang w:val="en-AU"/>
        </w:rPr>
        <w:t xml:space="preserve"> used </w:t>
      </w:r>
      <w:r w:rsidRPr="00FD119B">
        <w:t>abbreviations</w:t>
      </w:r>
      <w:bookmarkEnd w:id="4"/>
      <w:bookmarkEnd w:id="5"/>
      <w:bookmarkEnd w:id="6"/>
      <w:bookmarkEnd w:id="7"/>
      <w:bookmarkEnd w:id="8"/>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809"/>
        <w:gridCol w:w="6911"/>
      </w:tblGrid>
      <w:tr w:rsidR="00FD119B" w:rsidRPr="00FD119B" w:rsidTr="00AC305C">
        <w:trPr>
          <w:tblHeader/>
        </w:trPr>
        <w:tc>
          <w:tcPr>
            <w:tcW w:w="1809" w:type="dxa"/>
            <w:tcBorders>
              <w:top w:val="single" w:sz="8" w:space="0" w:color="000000"/>
              <w:left w:val="single" w:sz="8" w:space="0" w:color="000000"/>
              <w:bottom w:val="single" w:sz="8" w:space="0" w:color="000000"/>
              <w:right w:val="nil"/>
              <w:tl2br w:val="nil"/>
              <w:tr2bl w:val="nil"/>
            </w:tcBorders>
            <w:shd w:val="clear" w:color="auto" w:fill="006DA7"/>
          </w:tcPr>
          <w:p w:rsidR="00FD119B" w:rsidRPr="00B17B53" w:rsidRDefault="00FD119B" w:rsidP="00FD119B">
            <w:pPr>
              <w:rPr>
                <w:b/>
                <w:color w:val="FFFFFF"/>
              </w:rPr>
            </w:pPr>
            <w:r w:rsidRPr="00B17B53">
              <w:rPr>
                <w:b/>
                <w:color w:val="FFFFFF"/>
              </w:rPr>
              <w:t>Abbreviation</w:t>
            </w:r>
          </w:p>
        </w:tc>
        <w:tc>
          <w:tcPr>
            <w:tcW w:w="6911" w:type="dxa"/>
            <w:tcBorders>
              <w:top w:val="single" w:sz="8" w:space="0" w:color="000000"/>
              <w:left w:val="nil"/>
              <w:bottom w:val="single" w:sz="8" w:space="0" w:color="000000"/>
              <w:right w:val="single" w:sz="8" w:space="0" w:color="000000"/>
              <w:tl2br w:val="nil"/>
              <w:tr2bl w:val="nil"/>
            </w:tcBorders>
            <w:shd w:val="clear" w:color="auto" w:fill="006DA7"/>
          </w:tcPr>
          <w:p w:rsidR="00FD119B" w:rsidRPr="00B17B53" w:rsidRDefault="00FD119B" w:rsidP="00FD119B">
            <w:pPr>
              <w:rPr>
                <w:b/>
                <w:color w:val="FFFFFF"/>
              </w:rPr>
            </w:pPr>
            <w:r w:rsidRPr="00B17B53">
              <w:rPr>
                <w:b/>
                <w:color w:val="FFFFFF"/>
              </w:rPr>
              <w:t>Meaning</w:t>
            </w:r>
          </w:p>
        </w:tc>
      </w:tr>
      <w:tr w:rsidR="003F4728" w:rsidRPr="00FD119B" w:rsidTr="00423C39">
        <w:tc>
          <w:tcPr>
            <w:tcW w:w="1809" w:type="dxa"/>
            <w:shd w:val="clear" w:color="auto" w:fill="auto"/>
          </w:tcPr>
          <w:p w:rsidR="003F4728" w:rsidRPr="00B17B53" w:rsidRDefault="003F4728" w:rsidP="00423C39">
            <w:pPr>
              <w:ind w:left="142"/>
            </w:pPr>
            <w:r w:rsidRPr="00B17B53">
              <w:t>ADME</w:t>
            </w:r>
          </w:p>
        </w:tc>
        <w:tc>
          <w:tcPr>
            <w:tcW w:w="6911" w:type="dxa"/>
            <w:shd w:val="clear" w:color="auto" w:fill="auto"/>
          </w:tcPr>
          <w:p w:rsidR="003F4728" w:rsidRPr="00B17B53" w:rsidRDefault="003F4728" w:rsidP="00423C39">
            <w:pPr>
              <w:ind w:left="176"/>
            </w:pPr>
            <w:r w:rsidRPr="00B17B53">
              <w:rPr>
                <w:lang w:eastAsia="en-AU"/>
              </w:rPr>
              <w:t>absorption, distribution, metabolism, and excretion</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AE</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adverse event</w:t>
            </w:r>
          </w:p>
        </w:tc>
      </w:tr>
      <w:tr w:rsidR="00E778CB" w:rsidRPr="00FD119B" w:rsidTr="00423C39">
        <w:tc>
          <w:tcPr>
            <w:tcW w:w="1809" w:type="dxa"/>
            <w:shd w:val="clear" w:color="auto" w:fill="auto"/>
          </w:tcPr>
          <w:p w:rsidR="00E778CB" w:rsidRPr="00B17B53" w:rsidRDefault="00E778CB" w:rsidP="00423C39">
            <w:pPr>
              <w:ind w:left="142"/>
            </w:pPr>
            <w:r w:rsidRPr="00B17B53">
              <w:t>AML</w:t>
            </w:r>
          </w:p>
        </w:tc>
        <w:tc>
          <w:tcPr>
            <w:tcW w:w="6911" w:type="dxa"/>
            <w:shd w:val="clear" w:color="auto" w:fill="auto"/>
          </w:tcPr>
          <w:p w:rsidR="00E778CB" w:rsidRPr="00B17B53" w:rsidRDefault="00E778CB" w:rsidP="00423C39">
            <w:pPr>
              <w:ind w:left="176"/>
            </w:pPr>
            <w:r w:rsidRPr="00B17B53">
              <w:t>acute myeloid leukaemia</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ANC</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absolute neutrophil count</w:t>
            </w:r>
          </w:p>
        </w:tc>
      </w:tr>
      <w:tr w:rsidR="003F4728" w:rsidRPr="00FD119B" w:rsidTr="00423C39">
        <w:tc>
          <w:tcPr>
            <w:tcW w:w="1809" w:type="dxa"/>
            <w:shd w:val="clear" w:color="auto" w:fill="auto"/>
          </w:tcPr>
          <w:p w:rsidR="003F4728" w:rsidRPr="00B17B53" w:rsidRDefault="003F4728" w:rsidP="00423C39">
            <w:pPr>
              <w:ind w:left="142"/>
            </w:pPr>
            <w:r w:rsidRPr="00B17B53">
              <w:t>API</w:t>
            </w:r>
          </w:p>
        </w:tc>
        <w:tc>
          <w:tcPr>
            <w:tcW w:w="6911" w:type="dxa"/>
            <w:shd w:val="clear" w:color="auto" w:fill="auto"/>
          </w:tcPr>
          <w:p w:rsidR="003F4728" w:rsidRPr="00B17B53" w:rsidRDefault="003F4728" w:rsidP="00423C39">
            <w:pPr>
              <w:ind w:left="176"/>
            </w:pPr>
            <w:r w:rsidRPr="00B17B53">
              <w:t>active pharmaceutical ingredient</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ASA</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Australian Specific Annex</w:t>
            </w:r>
          </w:p>
        </w:tc>
      </w:tr>
      <w:tr w:rsidR="00E778CB"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E778CB" w:rsidRPr="00B17B53" w:rsidRDefault="00E778CB" w:rsidP="00423C39">
            <w:pPr>
              <w:ind w:left="142"/>
            </w:pPr>
            <w:r w:rsidRPr="00B17B53">
              <w:t>ASCT</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E778CB" w:rsidRPr="00B17B53" w:rsidRDefault="00E778CB" w:rsidP="00423C39">
            <w:pPr>
              <w:ind w:left="176"/>
            </w:pPr>
            <w:r w:rsidRPr="00B17B53">
              <w:rPr>
                <w:rFonts w:eastAsia="TimesNewRoman"/>
                <w:lang w:val="en-US"/>
              </w:rPr>
              <w:t>autologous stem cell transplantation</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ATE</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arterial thrombotic event</w:t>
            </w:r>
          </w:p>
        </w:tc>
      </w:tr>
      <w:tr w:rsidR="003F4728" w:rsidRPr="00FD119B" w:rsidTr="00423C39">
        <w:tc>
          <w:tcPr>
            <w:tcW w:w="1809" w:type="dxa"/>
            <w:shd w:val="clear" w:color="auto" w:fill="auto"/>
          </w:tcPr>
          <w:p w:rsidR="003F4728" w:rsidRPr="00B17B53" w:rsidRDefault="003F4728" w:rsidP="00423C39">
            <w:pPr>
              <w:ind w:left="142"/>
            </w:pPr>
            <w:r w:rsidRPr="00B17B53">
              <w:t>AUC</w:t>
            </w:r>
          </w:p>
        </w:tc>
        <w:tc>
          <w:tcPr>
            <w:tcW w:w="6911" w:type="dxa"/>
            <w:shd w:val="clear" w:color="auto" w:fill="auto"/>
          </w:tcPr>
          <w:p w:rsidR="003F4728" w:rsidRPr="00B17B53" w:rsidRDefault="003F4728" w:rsidP="00423C39">
            <w:pPr>
              <w:ind w:left="176"/>
            </w:pPr>
            <w:r w:rsidRPr="00B17B53">
              <w:t>area under the plasma concentration-time curve</w:t>
            </w:r>
          </w:p>
        </w:tc>
      </w:tr>
      <w:tr w:rsidR="007A7EB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7A7EB1" w:rsidRPr="00B17B53" w:rsidRDefault="007A7EB1" w:rsidP="00423C39">
            <w:pPr>
              <w:ind w:left="142"/>
            </w:pPr>
            <w:r w:rsidRPr="00B17B53">
              <w:t>AUC</w:t>
            </w:r>
            <w:r w:rsidRPr="00B17B53">
              <w:rPr>
                <w:vertAlign w:val="subscript"/>
              </w:rPr>
              <w:t>t1-t2</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7A7EB1" w:rsidRPr="00B17B53" w:rsidRDefault="007A7EB1" w:rsidP="007A7EB1">
            <w:pPr>
              <w:ind w:left="176"/>
            </w:pPr>
            <w:r w:rsidRPr="00B17B53">
              <w:t>area under the plasma concentration-time curve within time span t1 to t2</w:t>
            </w:r>
          </w:p>
        </w:tc>
      </w:tr>
      <w:tr w:rsidR="003F4728" w:rsidRPr="00FD119B" w:rsidTr="00423C39">
        <w:tc>
          <w:tcPr>
            <w:tcW w:w="1809" w:type="dxa"/>
            <w:shd w:val="clear" w:color="auto" w:fill="auto"/>
          </w:tcPr>
          <w:p w:rsidR="003F4728" w:rsidRPr="00B17B53" w:rsidRDefault="003F4728" w:rsidP="00423C39">
            <w:pPr>
              <w:ind w:left="142"/>
            </w:pPr>
            <w:r w:rsidRPr="00B17B53">
              <w:t>bFGF</w:t>
            </w:r>
          </w:p>
        </w:tc>
        <w:tc>
          <w:tcPr>
            <w:tcW w:w="6911" w:type="dxa"/>
            <w:shd w:val="clear" w:color="auto" w:fill="auto"/>
          </w:tcPr>
          <w:p w:rsidR="003F4728" w:rsidRPr="00B17B53" w:rsidRDefault="003F4728" w:rsidP="00423C39">
            <w:pPr>
              <w:ind w:left="176"/>
            </w:pPr>
            <w:r w:rsidRPr="00B17B53">
              <w:t>basic fibroblast growth factor</w:t>
            </w:r>
          </w:p>
        </w:tc>
      </w:tr>
      <w:tr w:rsidR="003F4728" w:rsidRPr="00FD119B" w:rsidTr="00423C39">
        <w:tc>
          <w:tcPr>
            <w:tcW w:w="1809" w:type="dxa"/>
            <w:shd w:val="clear" w:color="auto" w:fill="auto"/>
          </w:tcPr>
          <w:p w:rsidR="003F4728" w:rsidRPr="00B17B53" w:rsidRDefault="003F4728" w:rsidP="00423C39">
            <w:pPr>
              <w:ind w:left="142"/>
            </w:pPr>
            <w:r w:rsidRPr="00B17B53">
              <w:t>BMSC</w:t>
            </w:r>
          </w:p>
        </w:tc>
        <w:tc>
          <w:tcPr>
            <w:tcW w:w="6911" w:type="dxa"/>
            <w:shd w:val="clear" w:color="auto" w:fill="auto"/>
          </w:tcPr>
          <w:p w:rsidR="003F4728" w:rsidRPr="00B17B53" w:rsidRDefault="003F4728" w:rsidP="00423C39">
            <w:pPr>
              <w:ind w:left="176"/>
            </w:pPr>
            <w:r w:rsidRPr="00B17B53">
              <w:t>bone marrow stromal cell</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CI</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confidence interval</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CL/F</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apparent total clearance of the drug from plasma after oral administration</w:t>
            </w:r>
          </w:p>
        </w:tc>
      </w:tr>
      <w:tr w:rsidR="00B54901" w:rsidRPr="00FD119B" w:rsidTr="00423C39">
        <w:tc>
          <w:tcPr>
            <w:tcW w:w="1809" w:type="dxa"/>
            <w:shd w:val="clear" w:color="auto" w:fill="auto"/>
          </w:tcPr>
          <w:p w:rsidR="00B54901" w:rsidRPr="00B17B53" w:rsidRDefault="00B54901" w:rsidP="00423C39">
            <w:pPr>
              <w:ind w:left="142"/>
            </w:pPr>
            <w:r w:rsidRPr="00B17B53">
              <w:t>Cmax</w:t>
            </w:r>
          </w:p>
        </w:tc>
        <w:tc>
          <w:tcPr>
            <w:tcW w:w="6911" w:type="dxa"/>
            <w:shd w:val="clear" w:color="auto" w:fill="auto"/>
          </w:tcPr>
          <w:p w:rsidR="00B54901" w:rsidRPr="00B17B53" w:rsidRDefault="00B54901" w:rsidP="00423C39">
            <w:pPr>
              <w:ind w:left="176"/>
            </w:pPr>
            <w:r w:rsidRPr="00B17B53">
              <w:t>maximum plasma drug concentration</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CMI</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tabs>
                <w:tab w:val="left" w:pos="1334"/>
              </w:tabs>
              <w:ind w:left="176"/>
            </w:pPr>
            <w:r w:rsidRPr="00B17B53">
              <w:t>Consumer Medicine Information</w:t>
            </w:r>
          </w:p>
        </w:tc>
      </w:tr>
      <w:tr w:rsidR="003F4728" w:rsidRPr="00FD119B" w:rsidTr="00423C39">
        <w:tc>
          <w:tcPr>
            <w:tcW w:w="1809" w:type="dxa"/>
            <w:shd w:val="clear" w:color="auto" w:fill="auto"/>
          </w:tcPr>
          <w:p w:rsidR="003F4728" w:rsidRPr="00B17B53" w:rsidRDefault="003F4728" w:rsidP="00423C39">
            <w:pPr>
              <w:ind w:left="142"/>
            </w:pPr>
            <w:r w:rsidRPr="00B17B53">
              <w:t>CNS</w:t>
            </w:r>
          </w:p>
        </w:tc>
        <w:tc>
          <w:tcPr>
            <w:tcW w:w="6911" w:type="dxa"/>
            <w:shd w:val="clear" w:color="auto" w:fill="auto"/>
          </w:tcPr>
          <w:p w:rsidR="003F4728" w:rsidRPr="00B17B53" w:rsidRDefault="003F4728" w:rsidP="00423C39">
            <w:pPr>
              <w:ind w:left="176"/>
            </w:pPr>
            <w:r w:rsidRPr="00B17B53">
              <w:t>central nervous system</w:t>
            </w:r>
          </w:p>
        </w:tc>
      </w:tr>
      <w:tr w:rsidR="003F4728" w:rsidRPr="00FD119B" w:rsidTr="00423C39">
        <w:tc>
          <w:tcPr>
            <w:tcW w:w="1809" w:type="dxa"/>
            <w:shd w:val="clear" w:color="auto" w:fill="auto"/>
          </w:tcPr>
          <w:p w:rsidR="003F4728" w:rsidRPr="00B17B53" w:rsidRDefault="003F4728" w:rsidP="00423C39">
            <w:pPr>
              <w:ind w:left="142"/>
            </w:pPr>
            <w:r w:rsidRPr="00B17B53">
              <w:t>COX</w:t>
            </w:r>
          </w:p>
        </w:tc>
        <w:tc>
          <w:tcPr>
            <w:tcW w:w="6911" w:type="dxa"/>
            <w:shd w:val="clear" w:color="auto" w:fill="auto"/>
          </w:tcPr>
          <w:p w:rsidR="003F4728" w:rsidRPr="00B17B53" w:rsidRDefault="003F4728" w:rsidP="00423C39">
            <w:pPr>
              <w:ind w:left="176"/>
            </w:pPr>
            <w:r w:rsidRPr="00B17B53">
              <w:t>cyclooxygenase</w:t>
            </w:r>
          </w:p>
        </w:tc>
      </w:tr>
      <w:tr w:rsidR="007A7EB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7A7EB1" w:rsidRPr="00B17B53" w:rsidRDefault="007A7EB1" w:rsidP="00423C39">
            <w:pPr>
              <w:ind w:left="142"/>
            </w:pPr>
            <w:r w:rsidRPr="00B17B53">
              <w:t>CR</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7A7EB1" w:rsidRPr="00B17B53" w:rsidRDefault="007A7EB1" w:rsidP="00423C39">
            <w:pPr>
              <w:ind w:left="176"/>
            </w:pPr>
            <w:r w:rsidRPr="00B17B53">
              <w:t>complete response</w:t>
            </w:r>
          </w:p>
        </w:tc>
      </w:tr>
      <w:tr w:rsidR="003F4728" w:rsidRPr="00FD119B" w:rsidTr="00423C39">
        <w:tc>
          <w:tcPr>
            <w:tcW w:w="1809" w:type="dxa"/>
            <w:shd w:val="clear" w:color="auto" w:fill="auto"/>
          </w:tcPr>
          <w:p w:rsidR="003F4728" w:rsidRPr="00B17B53" w:rsidRDefault="003F4728" w:rsidP="00423C39">
            <w:pPr>
              <w:ind w:left="142"/>
            </w:pPr>
            <w:r w:rsidRPr="00B17B53">
              <w:t>CRBN</w:t>
            </w:r>
          </w:p>
        </w:tc>
        <w:tc>
          <w:tcPr>
            <w:tcW w:w="6911" w:type="dxa"/>
            <w:shd w:val="clear" w:color="auto" w:fill="auto"/>
          </w:tcPr>
          <w:p w:rsidR="003F4728" w:rsidRPr="00B17B53" w:rsidRDefault="003F4728" w:rsidP="00423C39">
            <w:pPr>
              <w:ind w:left="176"/>
            </w:pPr>
            <w:r w:rsidRPr="00B17B53">
              <w:t>cereblon</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CrCl</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creatinine clearance</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CTCAE</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Common Terminology Criteria for Adverse Events</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DLT</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dose limiting toxicity</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DLP</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Data Lock Point</w:t>
            </w:r>
          </w:p>
        </w:tc>
      </w:tr>
      <w:tr w:rsidR="007A7EB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7A7EB1" w:rsidRPr="00B17B53" w:rsidRDefault="007A7EB1" w:rsidP="00423C39">
            <w:pPr>
              <w:ind w:left="142"/>
            </w:pPr>
            <w:r w:rsidRPr="00B17B53">
              <w:lastRenderedPageBreak/>
              <w:t>DVT</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7A7EB1" w:rsidRPr="00B17B53" w:rsidRDefault="007A7EB1" w:rsidP="00423C39">
            <w:pPr>
              <w:ind w:left="176"/>
            </w:pPr>
            <w:r w:rsidRPr="00B17B53">
              <w:rPr>
                <w:rFonts w:eastAsia="TimesNewRoman"/>
                <w:lang w:val="en-US"/>
              </w:rPr>
              <w:t>deep vein thrombosis</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ECOG</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Eastern Cooperative Oncology Group</w:t>
            </w:r>
          </w:p>
        </w:tc>
      </w:tr>
      <w:tr w:rsidR="003F4728" w:rsidRPr="00FD119B" w:rsidTr="00423C39">
        <w:tc>
          <w:tcPr>
            <w:tcW w:w="1809" w:type="dxa"/>
            <w:shd w:val="clear" w:color="auto" w:fill="auto"/>
          </w:tcPr>
          <w:p w:rsidR="003F4728" w:rsidRPr="00B17B53" w:rsidRDefault="003F4728" w:rsidP="00423C39">
            <w:pPr>
              <w:ind w:left="142"/>
            </w:pPr>
            <w:r w:rsidRPr="00B17B53">
              <w:t>EMA</w:t>
            </w:r>
          </w:p>
        </w:tc>
        <w:tc>
          <w:tcPr>
            <w:tcW w:w="6911" w:type="dxa"/>
            <w:shd w:val="clear" w:color="auto" w:fill="auto"/>
          </w:tcPr>
          <w:p w:rsidR="003F4728" w:rsidRPr="00B17B53" w:rsidRDefault="003F4728" w:rsidP="00423C39">
            <w:pPr>
              <w:ind w:left="176"/>
            </w:pPr>
            <w:r w:rsidRPr="00B17B53">
              <w:t>European Medicines Agency</w:t>
            </w:r>
          </w:p>
        </w:tc>
      </w:tr>
      <w:tr w:rsidR="00E778CB" w:rsidRPr="00FD119B" w:rsidTr="00423C39">
        <w:tc>
          <w:tcPr>
            <w:tcW w:w="1809" w:type="dxa"/>
            <w:shd w:val="clear" w:color="auto" w:fill="auto"/>
          </w:tcPr>
          <w:p w:rsidR="00E778CB" w:rsidRPr="00B17B53" w:rsidRDefault="00E778CB" w:rsidP="00423C39">
            <w:pPr>
              <w:ind w:left="142"/>
            </w:pPr>
            <w:r w:rsidRPr="00B17B53">
              <w:t>ERAUC</w:t>
            </w:r>
          </w:p>
        </w:tc>
        <w:tc>
          <w:tcPr>
            <w:tcW w:w="6911" w:type="dxa"/>
            <w:shd w:val="clear" w:color="auto" w:fill="auto"/>
          </w:tcPr>
          <w:p w:rsidR="00E778CB" w:rsidRPr="00B17B53" w:rsidRDefault="00E778CB" w:rsidP="00423C39">
            <w:pPr>
              <w:ind w:left="176"/>
            </w:pPr>
            <w:r w:rsidRPr="00B17B53">
              <w:t>exposure ratio based on AUC</w:t>
            </w:r>
          </w:p>
        </w:tc>
      </w:tr>
      <w:tr w:rsidR="003F4728" w:rsidRPr="00FD119B" w:rsidTr="00423C39">
        <w:tc>
          <w:tcPr>
            <w:tcW w:w="1809" w:type="dxa"/>
            <w:shd w:val="clear" w:color="auto" w:fill="auto"/>
          </w:tcPr>
          <w:p w:rsidR="003F4728" w:rsidRPr="00B17B53" w:rsidRDefault="003F4728" w:rsidP="00423C39">
            <w:pPr>
              <w:ind w:left="142"/>
            </w:pPr>
            <w:r w:rsidRPr="00B17B53">
              <w:t>ERCmax</w:t>
            </w:r>
          </w:p>
        </w:tc>
        <w:tc>
          <w:tcPr>
            <w:tcW w:w="6911" w:type="dxa"/>
            <w:shd w:val="clear" w:color="auto" w:fill="auto"/>
          </w:tcPr>
          <w:p w:rsidR="003F4728" w:rsidRPr="00B17B53" w:rsidRDefault="003F4728" w:rsidP="00423C39">
            <w:pPr>
              <w:ind w:left="176"/>
            </w:pPr>
            <w:r w:rsidRPr="00B17B53">
              <w:t>exposure ratio based on Cmax</w:t>
            </w:r>
          </w:p>
        </w:tc>
      </w:tr>
      <w:tr w:rsidR="003F4728" w:rsidRPr="00FD119B" w:rsidTr="00423C39">
        <w:tc>
          <w:tcPr>
            <w:tcW w:w="1809" w:type="dxa"/>
            <w:shd w:val="clear" w:color="auto" w:fill="auto"/>
          </w:tcPr>
          <w:p w:rsidR="003F4728" w:rsidRPr="00B17B53" w:rsidRDefault="003F4728" w:rsidP="00423C39">
            <w:pPr>
              <w:ind w:left="142"/>
            </w:pPr>
            <w:r w:rsidRPr="00B17B53">
              <w:t>FDA</w:t>
            </w:r>
          </w:p>
        </w:tc>
        <w:tc>
          <w:tcPr>
            <w:tcW w:w="6911" w:type="dxa"/>
            <w:shd w:val="clear" w:color="auto" w:fill="auto"/>
          </w:tcPr>
          <w:p w:rsidR="003F4728" w:rsidRPr="00B17B53" w:rsidRDefault="003F4728" w:rsidP="00423C39">
            <w:pPr>
              <w:ind w:left="176"/>
            </w:pPr>
            <w:r w:rsidRPr="00B17B53">
              <w:t>US Food and Drug Administration</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GCSF</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granulocyte colony stimulating factor</w:t>
            </w:r>
          </w:p>
        </w:tc>
      </w:tr>
      <w:tr w:rsidR="007A7EB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7A7EB1" w:rsidRPr="00B17B53" w:rsidRDefault="007A7EB1" w:rsidP="00423C39">
            <w:pPr>
              <w:ind w:left="142"/>
            </w:pPr>
            <w:r w:rsidRPr="00B17B53">
              <w:t>GCP</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7A7EB1" w:rsidRPr="00B17B53" w:rsidRDefault="007A7EB1" w:rsidP="00423C39">
            <w:pPr>
              <w:ind w:left="176"/>
            </w:pPr>
            <w:r w:rsidRPr="00B17B53">
              <w:rPr>
                <w:rFonts w:eastAsia="TimesNewRoman"/>
                <w:lang w:val="en-US"/>
              </w:rPr>
              <w:t>Good Clinical Practice</w:t>
            </w:r>
          </w:p>
        </w:tc>
      </w:tr>
      <w:tr w:rsidR="003F4728" w:rsidRPr="00FD119B" w:rsidTr="00423C39">
        <w:tc>
          <w:tcPr>
            <w:tcW w:w="1809" w:type="dxa"/>
            <w:shd w:val="clear" w:color="auto" w:fill="auto"/>
          </w:tcPr>
          <w:p w:rsidR="003F4728" w:rsidRPr="00B17B53" w:rsidRDefault="003F4728" w:rsidP="00423C39">
            <w:pPr>
              <w:ind w:left="142"/>
            </w:pPr>
            <w:r w:rsidRPr="00B17B53">
              <w:t>GI</w:t>
            </w:r>
          </w:p>
        </w:tc>
        <w:tc>
          <w:tcPr>
            <w:tcW w:w="6911" w:type="dxa"/>
            <w:shd w:val="clear" w:color="auto" w:fill="auto"/>
          </w:tcPr>
          <w:p w:rsidR="003F4728" w:rsidRPr="00B17B53" w:rsidRDefault="003F4728" w:rsidP="00423C39">
            <w:pPr>
              <w:ind w:left="176"/>
            </w:pPr>
            <w:r w:rsidRPr="00B17B53">
              <w:t>gastrointestinal</w:t>
            </w:r>
          </w:p>
        </w:tc>
      </w:tr>
      <w:tr w:rsidR="003F4728" w:rsidRPr="00FD119B" w:rsidTr="00423C39">
        <w:tc>
          <w:tcPr>
            <w:tcW w:w="1809" w:type="dxa"/>
            <w:shd w:val="clear" w:color="auto" w:fill="auto"/>
          </w:tcPr>
          <w:p w:rsidR="003F4728" w:rsidRPr="00B17B53" w:rsidRDefault="003F4728" w:rsidP="00423C39">
            <w:pPr>
              <w:ind w:left="142"/>
            </w:pPr>
            <w:r w:rsidRPr="00B17B53">
              <w:t>GLP</w:t>
            </w:r>
          </w:p>
        </w:tc>
        <w:tc>
          <w:tcPr>
            <w:tcW w:w="6911" w:type="dxa"/>
            <w:shd w:val="clear" w:color="auto" w:fill="auto"/>
          </w:tcPr>
          <w:p w:rsidR="003F4728" w:rsidRPr="00B17B53" w:rsidRDefault="003F4728" w:rsidP="00423C39">
            <w:pPr>
              <w:ind w:left="176"/>
            </w:pPr>
            <w:r w:rsidRPr="00B17B53">
              <w:t>Good Laboratory Practice</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HCG</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Human Chorionic Gonadotropin</w:t>
            </w:r>
          </w:p>
        </w:tc>
      </w:tr>
      <w:tr w:rsidR="003F4728" w:rsidRPr="00FD119B" w:rsidTr="00423C39">
        <w:tc>
          <w:tcPr>
            <w:tcW w:w="1809" w:type="dxa"/>
            <w:shd w:val="clear" w:color="auto" w:fill="auto"/>
          </w:tcPr>
          <w:p w:rsidR="003F4728" w:rsidRPr="00B17B53" w:rsidRDefault="003F4728" w:rsidP="00423C39">
            <w:pPr>
              <w:ind w:left="142"/>
            </w:pPr>
            <w:r w:rsidRPr="00B17B53">
              <w:t>HCT</w:t>
            </w:r>
          </w:p>
        </w:tc>
        <w:tc>
          <w:tcPr>
            <w:tcW w:w="6911" w:type="dxa"/>
            <w:shd w:val="clear" w:color="auto" w:fill="auto"/>
          </w:tcPr>
          <w:p w:rsidR="003F4728" w:rsidRPr="00B17B53" w:rsidRDefault="003F4728" w:rsidP="00423C39">
            <w:pPr>
              <w:ind w:left="176"/>
            </w:pPr>
            <w:r w:rsidRPr="00B17B53">
              <w:t>hematopoietic cell transplantation</w:t>
            </w:r>
          </w:p>
        </w:tc>
      </w:tr>
      <w:tr w:rsidR="007A7EB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7A7EB1" w:rsidRPr="00B17B53" w:rsidRDefault="007A7EB1" w:rsidP="00423C39">
            <w:pPr>
              <w:ind w:left="142"/>
            </w:pPr>
            <w:r w:rsidRPr="00B17B53">
              <w:t>HD</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7A7EB1" w:rsidRPr="00B17B53" w:rsidRDefault="007A7EB1" w:rsidP="00423C39">
            <w:pPr>
              <w:ind w:left="176"/>
            </w:pPr>
            <w:r w:rsidRPr="00B17B53">
              <w:t>high dose</w:t>
            </w:r>
          </w:p>
        </w:tc>
      </w:tr>
      <w:tr w:rsidR="003F4728" w:rsidRPr="00FD119B" w:rsidTr="00423C39">
        <w:tc>
          <w:tcPr>
            <w:tcW w:w="1809" w:type="dxa"/>
            <w:shd w:val="clear" w:color="auto" w:fill="auto"/>
          </w:tcPr>
          <w:p w:rsidR="003F4728" w:rsidRPr="00B17B53" w:rsidRDefault="003F4728" w:rsidP="00423C39">
            <w:pPr>
              <w:ind w:left="142"/>
            </w:pPr>
            <w:r w:rsidRPr="00B17B53">
              <w:t>hERG</w:t>
            </w:r>
          </w:p>
        </w:tc>
        <w:tc>
          <w:tcPr>
            <w:tcW w:w="6911" w:type="dxa"/>
            <w:shd w:val="clear" w:color="auto" w:fill="auto"/>
          </w:tcPr>
          <w:p w:rsidR="003F4728" w:rsidRPr="00B17B53" w:rsidRDefault="003F4728" w:rsidP="00423C39">
            <w:pPr>
              <w:ind w:left="176"/>
            </w:pPr>
            <w:r w:rsidRPr="00B17B53">
              <w:t>human Ether-à-go-go-Related Gene</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HR</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hazard ratio</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HRQoL</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health related quality of life</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HSR</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Haematology Specialist Representative</w:t>
            </w:r>
          </w:p>
        </w:tc>
      </w:tr>
      <w:tr w:rsidR="003F4728" w:rsidRPr="00FD119B" w:rsidTr="00423C39">
        <w:tc>
          <w:tcPr>
            <w:tcW w:w="1809" w:type="dxa"/>
            <w:shd w:val="clear" w:color="auto" w:fill="auto"/>
          </w:tcPr>
          <w:p w:rsidR="003F4728" w:rsidRPr="00B17B53" w:rsidRDefault="003F4728" w:rsidP="00423C39">
            <w:pPr>
              <w:ind w:left="142"/>
            </w:pPr>
            <w:r w:rsidRPr="00B17B53">
              <w:t>IC50</w:t>
            </w:r>
          </w:p>
        </w:tc>
        <w:tc>
          <w:tcPr>
            <w:tcW w:w="6911" w:type="dxa"/>
            <w:shd w:val="clear" w:color="auto" w:fill="auto"/>
          </w:tcPr>
          <w:p w:rsidR="003F4728" w:rsidRPr="00B17B53" w:rsidRDefault="003F4728" w:rsidP="00423C39">
            <w:pPr>
              <w:ind w:left="176"/>
            </w:pPr>
            <w:r w:rsidRPr="00B17B53">
              <w:t>half maximal effective concentration</w:t>
            </w:r>
          </w:p>
        </w:tc>
      </w:tr>
      <w:tr w:rsidR="007A7EB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7A7EB1" w:rsidRPr="00B17B53" w:rsidRDefault="007A7EB1" w:rsidP="00423C39">
            <w:pPr>
              <w:ind w:left="142"/>
            </w:pPr>
            <w:r w:rsidRPr="00B17B53">
              <w:t>ICF</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7A7EB1" w:rsidRPr="00B17B53" w:rsidRDefault="007A7EB1" w:rsidP="00423C39">
            <w:pPr>
              <w:ind w:left="176"/>
            </w:pPr>
            <w:r w:rsidRPr="00B17B53">
              <w:rPr>
                <w:rFonts w:eastAsia="TimesNewRoman"/>
                <w:lang w:val="en-US"/>
              </w:rPr>
              <w:t>informed consent form</w:t>
            </w:r>
          </w:p>
        </w:tc>
      </w:tr>
      <w:tr w:rsidR="003F4728" w:rsidRPr="00FD119B" w:rsidTr="00423C39">
        <w:tc>
          <w:tcPr>
            <w:tcW w:w="1809" w:type="dxa"/>
            <w:shd w:val="clear" w:color="auto" w:fill="auto"/>
          </w:tcPr>
          <w:p w:rsidR="003F4728" w:rsidRPr="00B17B53" w:rsidRDefault="003F4728" w:rsidP="00423C39">
            <w:pPr>
              <w:ind w:left="142"/>
            </w:pPr>
            <w:r w:rsidRPr="00B17B53">
              <w:t>ICH</w:t>
            </w:r>
          </w:p>
        </w:tc>
        <w:tc>
          <w:tcPr>
            <w:tcW w:w="6911" w:type="dxa"/>
            <w:shd w:val="clear" w:color="auto" w:fill="auto"/>
          </w:tcPr>
          <w:p w:rsidR="003F4728" w:rsidRPr="00B17B53" w:rsidRDefault="003F4728" w:rsidP="00423C39">
            <w:pPr>
              <w:ind w:left="176"/>
            </w:pPr>
            <w:r w:rsidRPr="00B17B53">
              <w:t>International Conference on Harmonisation</w:t>
            </w:r>
          </w:p>
        </w:tc>
      </w:tr>
      <w:tr w:rsidR="007A7EB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7A7EB1" w:rsidRPr="00B17B53" w:rsidRDefault="007A7EB1" w:rsidP="00423C39">
            <w:pPr>
              <w:ind w:left="142"/>
            </w:pPr>
            <w:r w:rsidRPr="00B17B53">
              <w:t>IEC</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7A7EB1" w:rsidRPr="00B17B53" w:rsidRDefault="007A7EB1" w:rsidP="00423C39">
            <w:pPr>
              <w:ind w:left="176"/>
            </w:pPr>
            <w:r w:rsidRPr="00B17B53">
              <w:rPr>
                <w:rFonts w:eastAsia="TimesNewRoman"/>
                <w:lang w:val="en-US"/>
              </w:rPr>
              <w:t>Independent Ethics Committee</w:t>
            </w:r>
          </w:p>
        </w:tc>
      </w:tr>
      <w:tr w:rsidR="007A7EB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7A7EB1" w:rsidRPr="00B17B53" w:rsidRDefault="007A7EB1" w:rsidP="00423C39">
            <w:pPr>
              <w:ind w:left="142"/>
            </w:pPr>
            <w:r w:rsidRPr="00B17B53">
              <w:t>IGF</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7A7EB1" w:rsidRPr="00B17B53" w:rsidRDefault="007A7EB1" w:rsidP="00423C39">
            <w:pPr>
              <w:ind w:left="176"/>
            </w:pPr>
            <w:r w:rsidRPr="00B17B53">
              <w:rPr>
                <w:rFonts w:eastAsia="TimesNewRoman"/>
                <w:lang w:val="en-US"/>
              </w:rPr>
              <w:t>insulin growth factor</w:t>
            </w:r>
          </w:p>
        </w:tc>
      </w:tr>
      <w:tr w:rsidR="003F4728" w:rsidRPr="00FD119B" w:rsidTr="00423C39">
        <w:tc>
          <w:tcPr>
            <w:tcW w:w="1809" w:type="dxa"/>
            <w:shd w:val="clear" w:color="auto" w:fill="auto"/>
          </w:tcPr>
          <w:p w:rsidR="003F4728" w:rsidRPr="00B17B53" w:rsidRDefault="003F4728" w:rsidP="00423C39">
            <w:pPr>
              <w:ind w:left="142"/>
            </w:pPr>
            <w:r w:rsidRPr="00B17B53">
              <w:t>IL</w:t>
            </w:r>
          </w:p>
        </w:tc>
        <w:tc>
          <w:tcPr>
            <w:tcW w:w="6911" w:type="dxa"/>
            <w:shd w:val="clear" w:color="auto" w:fill="auto"/>
          </w:tcPr>
          <w:p w:rsidR="003F4728" w:rsidRPr="00B17B53" w:rsidRDefault="003F4728" w:rsidP="00423C39">
            <w:pPr>
              <w:ind w:left="176"/>
            </w:pPr>
            <w:r w:rsidRPr="00B17B53">
              <w:t>interleukin</w:t>
            </w:r>
          </w:p>
        </w:tc>
      </w:tr>
      <w:tr w:rsidR="003F4728" w:rsidRPr="00FD119B" w:rsidTr="00423C39">
        <w:tc>
          <w:tcPr>
            <w:tcW w:w="1809" w:type="dxa"/>
            <w:shd w:val="clear" w:color="auto" w:fill="auto"/>
          </w:tcPr>
          <w:p w:rsidR="003F4728" w:rsidRPr="00B17B53" w:rsidRDefault="003F4728" w:rsidP="00423C39">
            <w:pPr>
              <w:ind w:left="142"/>
            </w:pPr>
            <w:r w:rsidRPr="00B17B53">
              <w:t>IMiD</w:t>
            </w:r>
          </w:p>
        </w:tc>
        <w:tc>
          <w:tcPr>
            <w:tcW w:w="6911" w:type="dxa"/>
            <w:shd w:val="clear" w:color="auto" w:fill="auto"/>
          </w:tcPr>
          <w:p w:rsidR="003F4728" w:rsidRPr="00B17B53" w:rsidRDefault="003F4728" w:rsidP="00423C39">
            <w:pPr>
              <w:ind w:left="176"/>
            </w:pPr>
            <w:r w:rsidRPr="00B17B53">
              <w:t>immunomodulatory drug</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IMWG</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International Myeloma Working Group</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IRAC</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Independent Response Adjudication Committee</w:t>
            </w:r>
          </w:p>
        </w:tc>
      </w:tr>
      <w:tr w:rsidR="007A7EB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7A7EB1" w:rsidRPr="00B17B53" w:rsidRDefault="007A7EB1" w:rsidP="00423C39">
            <w:pPr>
              <w:ind w:left="142"/>
            </w:pPr>
            <w:r w:rsidRPr="00B17B53">
              <w:lastRenderedPageBreak/>
              <w:t>IRB</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7A7EB1" w:rsidRPr="00B17B53" w:rsidRDefault="007A7EB1" w:rsidP="00423C39">
            <w:pPr>
              <w:ind w:left="176"/>
            </w:pPr>
            <w:r w:rsidRPr="00B17B53">
              <w:rPr>
                <w:rFonts w:eastAsia="TimesNewRoman"/>
                <w:lang w:val="en-US"/>
              </w:rPr>
              <w:t>Institutional Review Board</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ITT</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intent to treat</w:t>
            </w:r>
          </w:p>
        </w:tc>
      </w:tr>
      <w:tr w:rsidR="003F4728" w:rsidRPr="00FD119B" w:rsidTr="00423C39">
        <w:tc>
          <w:tcPr>
            <w:tcW w:w="1809" w:type="dxa"/>
            <w:shd w:val="clear" w:color="auto" w:fill="auto"/>
          </w:tcPr>
          <w:p w:rsidR="003F4728" w:rsidRPr="00B17B53" w:rsidRDefault="003F4728" w:rsidP="00423C39">
            <w:pPr>
              <w:ind w:left="142"/>
            </w:pPr>
            <w:r w:rsidRPr="00B17B53">
              <w:t>IV</w:t>
            </w:r>
          </w:p>
        </w:tc>
        <w:tc>
          <w:tcPr>
            <w:tcW w:w="6911" w:type="dxa"/>
            <w:shd w:val="clear" w:color="auto" w:fill="auto"/>
          </w:tcPr>
          <w:p w:rsidR="003F4728" w:rsidRPr="00B17B53" w:rsidRDefault="003F4728" w:rsidP="00423C39">
            <w:pPr>
              <w:ind w:left="176"/>
            </w:pPr>
            <w:r w:rsidRPr="00B17B53">
              <w:t>intravenous</w:t>
            </w:r>
          </w:p>
        </w:tc>
      </w:tr>
      <w:tr w:rsidR="00E778CB" w:rsidRPr="00FD119B" w:rsidTr="00423C39">
        <w:tc>
          <w:tcPr>
            <w:tcW w:w="1809" w:type="dxa"/>
            <w:shd w:val="clear" w:color="auto" w:fill="auto"/>
          </w:tcPr>
          <w:p w:rsidR="00E778CB" w:rsidRPr="00B17B53" w:rsidRDefault="00E778CB" w:rsidP="00423C39">
            <w:pPr>
              <w:ind w:left="142"/>
            </w:pPr>
            <w:r w:rsidRPr="00B17B53">
              <w:t>KLH</w:t>
            </w:r>
          </w:p>
        </w:tc>
        <w:tc>
          <w:tcPr>
            <w:tcW w:w="6911" w:type="dxa"/>
            <w:shd w:val="clear" w:color="auto" w:fill="auto"/>
          </w:tcPr>
          <w:p w:rsidR="00E778CB" w:rsidRPr="00B17B53" w:rsidRDefault="00E778CB" w:rsidP="00423C39">
            <w:pPr>
              <w:ind w:left="176"/>
            </w:pPr>
            <w:r w:rsidRPr="00B17B53">
              <w:t>Keyhole Limpet Hemocyanin</w:t>
            </w:r>
          </w:p>
        </w:tc>
      </w:tr>
      <w:tr w:rsidR="007A7EB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7A7EB1" w:rsidRPr="00B17B53" w:rsidRDefault="007A7EB1" w:rsidP="00423C39">
            <w:pPr>
              <w:ind w:left="142"/>
            </w:pPr>
            <w:r w:rsidRPr="00B17B53">
              <w:t>LD</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7A7EB1" w:rsidRPr="00B17B53" w:rsidRDefault="007A7EB1" w:rsidP="00423C39">
            <w:pPr>
              <w:ind w:left="176"/>
            </w:pPr>
            <w:r w:rsidRPr="00B17B53">
              <w:t>low dose</w:t>
            </w:r>
          </w:p>
        </w:tc>
      </w:tr>
      <w:tr w:rsidR="00E778CB" w:rsidRPr="00FD119B" w:rsidTr="00423C39">
        <w:tc>
          <w:tcPr>
            <w:tcW w:w="1809" w:type="dxa"/>
            <w:shd w:val="clear" w:color="auto" w:fill="auto"/>
          </w:tcPr>
          <w:p w:rsidR="00E778CB" w:rsidRPr="00B17B53" w:rsidRDefault="00E778CB" w:rsidP="00423C39">
            <w:pPr>
              <w:ind w:left="142"/>
            </w:pPr>
            <w:r w:rsidRPr="00B17B53">
              <w:t>LOEL</w:t>
            </w:r>
          </w:p>
        </w:tc>
        <w:tc>
          <w:tcPr>
            <w:tcW w:w="6911" w:type="dxa"/>
            <w:shd w:val="clear" w:color="auto" w:fill="auto"/>
          </w:tcPr>
          <w:p w:rsidR="00E778CB" w:rsidRPr="00B17B53" w:rsidRDefault="00E778CB" w:rsidP="00423C39">
            <w:pPr>
              <w:ind w:left="176"/>
            </w:pPr>
            <w:r w:rsidRPr="00B17B53">
              <w:t>Lowest Observed Effect Level</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MF</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rPr>
                <w:rFonts w:eastAsia="TimesNewRoman"/>
                <w:lang w:val="en-US"/>
              </w:rPr>
              <w:t>myelofibrosis</w:t>
            </w:r>
          </w:p>
        </w:tc>
      </w:tr>
      <w:tr w:rsidR="007E604B" w:rsidRPr="00FD119B" w:rsidTr="009541B7">
        <w:tc>
          <w:tcPr>
            <w:tcW w:w="1809" w:type="dxa"/>
            <w:shd w:val="clear" w:color="auto" w:fill="auto"/>
          </w:tcPr>
          <w:p w:rsidR="007E604B" w:rsidRPr="00B17B53" w:rsidRDefault="00B639BE" w:rsidP="00B639BE">
            <w:pPr>
              <w:ind w:left="142"/>
            </w:pPr>
            <w:r w:rsidRPr="00B17B53">
              <w:t>MM</w:t>
            </w:r>
          </w:p>
        </w:tc>
        <w:tc>
          <w:tcPr>
            <w:tcW w:w="6911" w:type="dxa"/>
            <w:shd w:val="clear" w:color="auto" w:fill="auto"/>
          </w:tcPr>
          <w:p w:rsidR="007E604B" w:rsidRPr="00B17B53" w:rsidRDefault="004B04E3" w:rsidP="009541B7">
            <w:pPr>
              <w:ind w:left="176"/>
            </w:pPr>
            <w:r w:rsidRPr="00B17B53">
              <w:t>m</w:t>
            </w:r>
            <w:r w:rsidR="00B639BE" w:rsidRPr="00B17B53">
              <w:t>ultiple myeloma</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MPN</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rPr>
                <w:rFonts w:eastAsia="TimesNewRoman"/>
                <w:lang w:val="en-US"/>
              </w:rPr>
              <w:t>myeloproliferative neoplasm</w:t>
            </w:r>
          </w:p>
        </w:tc>
      </w:tr>
      <w:tr w:rsidR="003F4728" w:rsidRPr="00FD119B" w:rsidTr="00423C39">
        <w:tc>
          <w:tcPr>
            <w:tcW w:w="1809" w:type="dxa"/>
            <w:shd w:val="clear" w:color="auto" w:fill="auto"/>
          </w:tcPr>
          <w:p w:rsidR="003F4728" w:rsidRPr="00B17B53" w:rsidRDefault="003F4728" w:rsidP="00423C39">
            <w:pPr>
              <w:ind w:left="142"/>
            </w:pPr>
            <w:r w:rsidRPr="00B17B53">
              <w:t>MR</w:t>
            </w:r>
          </w:p>
        </w:tc>
        <w:tc>
          <w:tcPr>
            <w:tcW w:w="6911" w:type="dxa"/>
            <w:shd w:val="clear" w:color="auto" w:fill="auto"/>
          </w:tcPr>
          <w:p w:rsidR="003F4728" w:rsidRPr="00B17B53" w:rsidRDefault="003F4728" w:rsidP="00423C39">
            <w:pPr>
              <w:ind w:left="176"/>
            </w:pPr>
            <w:r w:rsidRPr="00B17B53">
              <w:t>minimal response</w:t>
            </w:r>
          </w:p>
        </w:tc>
      </w:tr>
      <w:tr w:rsidR="007A7EB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7A7EB1" w:rsidRPr="00B17B53" w:rsidRDefault="007A7EB1" w:rsidP="00423C39">
            <w:pPr>
              <w:ind w:left="142"/>
            </w:pPr>
            <w:r w:rsidRPr="00B17B53">
              <w:t>MTD</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7A7EB1" w:rsidRPr="00B17B53" w:rsidRDefault="007A7EB1" w:rsidP="00423C39">
            <w:pPr>
              <w:ind w:left="176"/>
            </w:pPr>
            <w:r w:rsidRPr="00B17B53">
              <w:t>maximum tolerated dose</w:t>
            </w:r>
          </w:p>
        </w:tc>
      </w:tr>
      <w:tr w:rsidR="00E778CB"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E778CB" w:rsidRPr="00B17B53" w:rsidRDefault="00E778CB" w:rsidP="00423C39">
            <w:pPr>
              <w:ind w:left="142"/>
            </w:pPr>
            <w:r w:rsidRPr="00B17B53">
              <w:t>NK</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E778CB" w:rsidRPr="00B17B53" w:rsidRDefault="00E778CB" w:rsidP="00423C39">
            <w:pPr>
              <w:ind w:left="176"/>
            </w:pPr>
            <w:r w:rsidRPr="00B17B53">
              <w:t>natural killer</w:t>
            </w:r>
          </w:p>
        </w:tc>
      </w:tr>
      <w:tr w:rsidR="003F4728" w:rsidRPr="00FD119B" w:rsidTr="00423C39">
        <w:tc>
          <w:tcPr>
            <w:tcW w:w="1809" w:type="dxa"/>
            <w:shd w:val="clear" w:color="auto" w:fill="auto"/>
          </w:tcPr>
          <w:p w:rsidR="003F4728" w:rsidRPr="00B17B53" w:rsidRDefault="003F4728" w:rsidP="00423C39">
            <w:pPr>
              <w:ind w:left="142"/>
            </w:pPr>
            <w:r w:rsidRPr="00B17B53">
              <w:t>NMT</w:t>
            </w:r>
          </w:p>
        </w:tc>
        <w:tc>
          <w:tcPr>
            <w:tcW w:w="6911" w:type="dxa"/>
            <w:shd w:val="clear" w:color="auto" w:fill="auto"/>
          </w:tcPr>
          <w:p w:rsidR="003F4728" w:rsidRPr="00B17B53" w:rsidRDefault="003F4728" w:rsidP="00423C39">
            <w:pPr>
              <w:ind w:left="176"/>
            </w:pPr>
            <w:r w:rsidRPr="00B17B53">
              <w:t>Not More Than</w:t>
            </w:r>
          </w:p>
        </w:tc>
      </w:tr>
      <w:tr w:rsidR="003F4728" w:rsidRPr="00FD119B" w:rsidTr="00423C39">
        <w:tc>
          <w:tcPr>
            <w:tcW w:w="1809" w:type="dxa"/>
            <w:shd w:val="clear" w:color="auto" w:fill="auto"/>
          </w:tcPr>
          <w:p w:rsidR="003F4728" w:rsidRPr="00B17B53" w:rsidRDefault="003F4728" w:rsidP="00423C39">
            <w:pPr>
              <w:ind w:left="142"/>
            </w:pPr>
            <w:r w:rsidRPr="00B17B53">
              <w:t>NOAEL</w:t>
            </w:r>
          </w:p>
        </w:tc>
        <w:tc>
          <w:tcPr>
            <w:tcW w:w="6911" w:type="dxa"/>
            <w:shd w:val="clear" w:color="auto" w:fill="auto"/>
          </w:tcPr>
          <w:p w:rsidR="003F4728" w:rsidRPr="00B17B53" w:rsidRDefault="003F4728" w:rsidP="00423C39">
            <w:pPr>
              <w:tabs>
                <w:tab w:val="left" w:pos="1387"/>
              </w:tabs>
              <w:ind w:left="176"/>
            </w:pPr>
            <w:r w:rsidRPr="00B17B53">
              <w:t>No Observed Adverse Effect Level</w:t>
            </w:r>
          </w:p>
        </w:tc>
      </w:tr>
      <w:tr w:rsidR="007A7EB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7A7EB1" w:rsidRPr="00B17B53" w:rsidRDefault="007A7EB1" w:rsidP="00423C39">
            <w:pPr>
              <w:ind w:left="142"/>
            </w:pPr>
            <w:r w:rsidRPr="00B17B53">
              <w:t>ORR</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7A7EB1" w:rsidRPr="00B17B53" w:rsidRDefault="007A7EB1" w:rsidP="00423C39">
            <w:pPr>
              <w:ind w:left="176"/>
            </w:pPr>
            <w:r w:rsidRPr="00B17B53">
              <w:rPr>
                <w:rFonts w:eastAsia="TimesNewRoman"/>
                <w:lang w:val="en-US"/>
              </w:rPr>
              <w:t>overall response rate</w:t>
            </w:r>
          </w:p>
        </w:tc>
      </w:tr>
      <w:tr w:rsidR="00E93354" w:rsidRPr="00FD119B" w:rsidTr="00C052A1">
        <w:tc>
          <w:tcPr>
            <w:tcW w:w="1809" w:type="dxa"/>
            <w:shd w:val="clear" w:color="auto" w:fill="auto"/>
          </w:tcPr>
          <w:p w:rsidR="00E93354" w:rsidRPr="00B17B53" w:rsidRDefault="003A5139" w:rsidP="00C052A1">
            <w:pPr>
              <w:ind w:left="142"/>
            </w:pPr>
            <w:r w:rsidRPr="00B17B53">
              <w:t>OS</w:t>
            </w:r>
          </w:p>
        </w:tc>
        <w:tc>
          <w:tcPr>
            <w:tcW w:w="6911" w:type="dxa"/>
            <w:shd w:val="clear" w:color="auto" w:fill="auto"/>
          </w:tcPr>
          <w:p w:rsidR="00E93354" w:rsidRPr="00B17B53" w:rsidRDefault="003A5139" w:rsidP="00C052A1">
            <w:pPr>
              <w:ind w:left="176"/>
            </w:pPr>
            <w:r w:rsidRPr="00B17B53">
              <w:t>overall survival</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PAR</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Provisional ARTG Record</w:t>
            </w:r>
          </w:p>
        </w:tc>
      </w:tr>
      <w:tr w:rsidR="003F4728" w:rsidRPr="00FD119B" w:rsidTr="00423C39">
        <w:tc>
          <w:tcPr>
            <w:tcW w:w="1809" w:type="dxa"/>
            <w:shd w:val="clear" w:color="auto" w:fill="auto"/>
          </w:tcPr>
          <w:p w:rsidR="003F4728" w:rsidRPr="00B17B53" w:rsidRDefault="003F4728" w:rsidP="00423C39">
            <w:pPr>
              <w:ind w:left="142"/>
            </w:pPr>
            <w:r w:rsidRPr="00B17B53">
              <w:t>PBS</w:t>
            </w:r>
          </w:p>
        </w:tc>
        <w:tc>
          <w:tcPr>
            <w:tcW w:w="6911" w:type="dxa"/>
            <w:shd w:val="clear" w:color="auto" w:fill="auto"/>
          </w:tcPr>
          <w:p w:rsidR="003F4728" w:rsidRPr="00B17B53" w:rsidRDefault="003F4728" w:rsidP="00423C39">
            <w:pPr>
              <w:ind w:left="176"/>
            </w:pPr>
            <w:r w:rsidRPr="00B17B53">
              <w:t>phosphate buffered saline</w:t>
            </w:r>
          </w:p>
        </w:tc>
      </w:tr>
      <w:tr w:rsidR="00B54901" w:rsidRPr="00FD119B" w:rsidTr="00423C39">
        <w:tc>
          <w:tcPr>
            <w:tcW w:w="1809" w:type="dxa"/>
            <w:shd w:val="clear" w:color="auto" w:fill="auto"/>
          </w:tcPr>
          <w:p w:rsidR="00B54901" w:rsidRPr="00B17B53" w:rsidRDefault="00B54901" w:rsidP="00423C39">
            <w:pPr>
              <w:ind w:left="142"/>
            </w:pPr>
            <w:r w:rsidRPr="00B17B53">
              <w:t>PD</w:t>
            </w:r>
          </w:p>
        </w:tc>
        <w:tc>
          <w:tcPr>
            <w:tcW w:w="6911" w:type="dxa"/>
            <w:shd w:val="clear" w:color="auto" w:fill="auto"/>
          </w:tcPr>
          <w:p w:rsidR="00B54901" w:rsidRPr="00B17B53" w:rsidRDefault="00B54901" w:rsidP="00423C39">
            <w:pPr>
              <w:ind w:left="176"/>
            </w:pPr>
            <w:r w:rsidRPr="00B17B53">
              <w:t>progressive disease</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PE</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pulmonary embolism</w:t>
            </w:r>
          </w:p>
        </w:tc>
      </w:tr>
      <w:tr w:rsidR="00E778CB"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E778CB" w:rsidRPr="00B17B53" w:rsidRDefault="00E778CB" w:rsidP="00423C39">
            <w:pPr>
              <w:ind w:left="142"/>
            </w:pPr>
            <w:r w:rsidRPr="00B17B53">
              <w:t>PFS</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E778CB" w:rsidRPr="00B17B53" w:rsidRDefault="00E778CB" w:rsidP="00423C39">
            <w:pPr>
              <w:ind w:left="176"/>
            </w:pPr>
            <w:r w:rsidRPr="00B17B53">
              <w:rPr>
                <w:rFonts w:eastAsia="TimesNewRoman"/>
                <w:lang w:val="en-US"/>
              </w:rPr>
              <w:t>progression free survival</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PI</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Product Information</w:t>
            </w:r>
          </w:p>
        </w:tc>
      </w:tr>
      <w:tr w:rsidR="003F4728" w:rsidRPr="00FD119B" w:rsidTr="00423C39">
        <w:tc>
          <w:tcPr>
            <w:tcW w:w="1809" w:type="dxa"/>
            <w:shd w:val="clear" w:color="auto" w:fill="auto"/>
          </w:tcPr>
          <w:p w:rsidR="003F4728" w:rsidRPr="00B17B53" w:rsidRDefault="003F4728" w:rsidP="00423C39">
            <w:pPr>
              <w:ind w:left="142"/>
            </w:pPr>
            <w:r w:rsidRPr="00B17B53">
              <w:t>PO</w:t>
            </w:r>
          </w:p>
        </w:tc>
        <w:tc>
          <w:tcPr>
            <w:tcW w:w="6911" w:type="dxa"/>
            <w:shd w:val="clear" w:color="auto" w:fill="auto"/>
          </w:tcPr>
          <w:p w:rsidR="003F4728" w:rsidRPr="00B17B53" w:rsidRDefault="003F4728" w:rsidP="00423C39">
            <w:pPr>
              <w:ind w:left="176"/>
            </w:pPr>
            <w:r w:rsidRPr="00B17B53">
              <w:t>per os</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PPP</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pregnancy prevention plan</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PSUR</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Periodic Safety Update Report</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QD</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once daily</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lastRenderedPageBreak/>
              <w:t>QOD</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every other day</w:t>
            </w:r>
          </w:p>
        </w:tc>
      </w:tr>
      <w:tr w:rsidR="00E778CB" w:rsidRPr="00FD119B" w:rsidTr="00423C39">
        <w:tc>
          <w:tcPr>
            <w:tcW w:w="1809" w:type="dxa"/>
            <w:shd w:val="clear" w:color="auto" w:fill="auto"/>
          </w:tcPr>
          <w:p w:rsidR="00E778CB" w:rsidRPr="00B17B53" w:rsidRDefault="00E778CB" w:rsidP="00423C39">
            <w:pPr>
              <w:ind w:left="142"/>
            </w:pPr>
            <w:r w:rsidRPr="00B17B53">
              <w:t>RRMM</w:t>
            </w:r>
          </w:p>
        </w:tc>
        <w:tc>
          <w:tcPr>
            <w:tcW w:w="6911" w:type="dxa"/>
            <w:shd w:val="clear" w:color="auto" w:fill="auto"/>
          </w:tcPr>
          <w:p w:rsidR="00E778CB" w:rsidRPr="00B17B53" w:rsidRDefault="00E778CB" w:rsidP="00423C39">
            <w:pPr>
              <w:ind w:left="176"/>
            </w:pPr>
            <w:r w:rsidRPr="00B17B53">
              <w:t>relapsed and/or refractory MM</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SAE</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serious adverse event</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SCLC</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rPr>
                <w:rFonts w:eastAsia="TimesNewRoman"/>
                <w:lang w:val="en-US"/>
              </w:rPr>
              <w:t>small cell lung cancer</w:t>
            </w:r>
          </w:p>
        </w:tc>
      </w:tr>
      <w:tr w:rsidR="007A7EB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7A7EB1" w:rsidRPr="00B17B53" w:rsidRDefault="007A7EB1" w:rsidP="00423C39">
            <w:pPr>
              <w:ind w:left="142"/>
            </w:pPr>
            <w:r w:rsidRPr="00B17B53">
              <w:t>SD</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7A7EB1" w:rsidRPr="00B17B53" w:rsidRDefault="007A7EB1" w:rsidP="00423C39">
            <w:pPr>
              <w:ind w:left="176"/>
            </w:pPr>
            <w:r w:rsidRPr="00B17B53">
              <w:rPr>
                <w:rFonts w:eastAsia="TimesNewRoman"/>
                <w:lang w:val="en-US"/>
              </w:rPr>
              <w:t>stable disease</w:t>
            </w:r>
          </w:p>
        </w:tc>
      </w:tr>
      <w:tr w:rsidR="007A7EB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7A7EB1" w:rsidRPr="00B17B53" w:rsidRDefault="007A7EB1" w:rsidP="00423C39">
            <w:pPr>
              <w:ind w:left="142"/>
            </w:pPr>
            <w:r w:rsidRPr="00B17B53">
              <w:t>SOP</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7A7EB1" w:rsidRPr="00B17B53" w:rsidRDefault="007A7EB1" w:rsidP="00423C39">
            <w:pPr>
              <w:ind w:left="176"/>
            </w:pPr>
            <w:r w:rsidRPr="00B17B53">
              <w:rPr>
                <w:rFonts w:eastAsia="TimesNewRoman"/>
                <w:lang w:val="en-US"/>
              </w:rPr>
              <w:t>standard operating procedure</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SPM</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second primary malignancy</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STS</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rPr>
                <w:rFonts w:eastAsia="TimesNewRoman"/>
                <w:lang w:val="en-US"/>
              </w:rPr>
              <w:t>soft tissue sarcoma</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TEAE</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treatment emergent adverse event</w:t>
            </w:r>
          </w:p>
        </w:tc>
      </w:tr>
      <w:tr w:rsidR="00086710" w:rsidRPr="00FD119B" w:rsidTr="00DF0311">
        <w:tc>
          <w:tcPr>
            <w:tcW w:w="1809" w:type="dxa"/>
            <w:shd w:val="clear" w:color="auto" w:fill="auto"/>
          </w:tcPr>
          <w:p w:rsidR="00086710" w:rsidRPr="00B17B53" w:rsidRDefault="00086710" w:rsidP="00DF0311">
            <w:pPr>
              <w:ind w:left="142"/>
            </w:pPr>
            <w:r w:rsidRPr="00B17B53">
              <w:t>Tmax</w:t>
            </w:r>
          </w:p>
        </w:tc>
        <w:tc>
          <w:tcPr>
            <w:tcW w:w="6911" w:type="dxa"/>
            <w:shd w:val="clear" w:color="auto" w:fill="auto"/>
          </w:tcPr>
          <w:p w:rsidR="00086710" w:rsidRPr="00B17B53" w:rsidRDefault="00BD6C65" w:rsidP="00DF0311">
            <w:pPr>
              <w:ind w:left="176"/>
            </w:pPr>
            <w:r w:rsidRPr="00B17B53">
              <w:t>time to reach maximum plasma concentration following drug administration</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TTP</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time to progression</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ULN</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Upper Limit of Normal</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Vd</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apparent volume of distribution</w:t>
            </w:r>
          </w:p>
        </w:tc>
      </w:tr>
      <w:tr w:rsidR="00086710" w:rsidRPr="00FD119B" w:rsidTr="00DF0311">
        <w:tc>
          <w:tcPr>
            <w:tcW w:w="1809" w:type="dxa"/>
            <w:shd w:val="clear" w:color="auto" w:fill="auto"/>
          </w:tcPr>
          <w:p w:rsidR="00086710" w:rsidRPr="00B17B53" w:rsidRDefault="0040655D" w:rsidP="00DF0311">
            <w:pPr>
              <w:ind w:left="142"/>
            </w:pPr>
            <w:r w:rsidRPr="00B17B53">
              <w:t>VEGF</w:t>
            </w:r>
          </w:p>
        </w:tc>
        <w:tc>
          <w:tcPr>
            <w:tcW w:w="6911" w:type="dxa"/>
            <w:shd w:val="clear" w:color="auto" w:fill="auto"/>
          </w:tcPr>
          <w:p w:rsidR="00086710" w:rsidRPr="00B17B53" w:rsidRDefault="0040655D" w:rsidP="00DF0311">
            <w:pPr>
              <w:ind w:left="176"/>
            </w:pPr>
            <w:r w:rsidRPr="00B17B53">
              <w:t>vascular endothelial growth factor</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VTE</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venous thrombotic event</w:t>
            </w:r>
          </w:p>
        </w:tc>
      </w:tr>
      <w:tr w:rsidR="00B54901" w:rsidRPr="00FD119B" w:rsidTr="00423C39">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42"/>
            </w:pPr>
            <w:r w:rsidRPr="00B17B53">
              <w:t>Vz/F</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B54901" w:rsidRPr="00B17B53" w:rsidRDefault="00B54901" w:rsidP="00423C39">
            <w:pPr>
              <w:ind w:left="176"/>
            </w:pPr>
            <w:r w:rsidRPr="00B17B53">
              <w:t>apparent volume of distribution during terminal phase after non intravenous administration</w:t>
            </w:r>
          </w:p>
        </w:tc>
      </w:tr>
      <w:tr w:rsidR="007A1FD2" w:rsidRPr="00FD119B" w:rsidTr="000B6322">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7A1FD2" w:rsidRPr="00B17B53" w:rsidRDefault="002A3763" w:rsidP="000B6322">
            <w:pPr>
              <w:ind w:left="142"/>
            </w:pPr>
            <w:r w:rsidRPr="00B17B53">
              <w:t>WP</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7A1FD2" w:rsidRPr="00B17B53" w:rsidRDefault="002A3763" w:rsidP="000B6322">
            <w:pPr>
              <w:ind w:left="176"/>
            </w:pPr>
            <w:r w:rsidRPr="00B17B53">
              <w:rPr>
                <w:rFonts w:eastAsia="TimesNewRoman"/>
                <w:lang w:val="en-US"/>
              </w:rPr>
              <w:t>working procedure</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9" w:name="_Toc404176165"/>
      <w:r>
        <w:lastRenderedPageBreak/>
        <w:t>I.</w:t>
      </w:r>
      <w:r w:rsidR="008E7846">
        <w:t xml:space="preserve"> Introduction to product submission</w:t>
      </w:r>
      <w:bookmarkEnd w:id="0"/>
      <w:bookmarkEnd w:id="3"/>
      <w:bookmarkEnd w:id="9"/>
    </w:p>
    <w:p w:rsidR="008E7846" w:rsidRDefault="008E7846" w:rsidP="008E7846">
      <w:pPr>
        <w:pStyle w:val="Heading3"/>
        <w:rPr>
          <w:lang w:eastAsia="en-AU"/>
        </w:rPr>
      </w:pPr>
      <w:bookmarkStart w:id="10" w:name="_Toc247691502"/>
      <w:bookmarkStart w:id="11" w:name="_Toc314842483"/>
      <w:bookmarkStart w:id="12" w:name="_Toc404176166"/>
      <w:r>
        <w:rPr>
          <w:lang w:eastAsia="en-AU"/>
        </w:rPr>
        <w:t xml:space="preserve">Submission </w:t>
      </w:r>
      <w:r w:rsidR="00B17B53">
        <w:rPr>
          <w:lang w:val="en-AU" w:eastAsia="en-AU"/>
        </w:rPr>
        <w:t>d</w:t>
      </w:r>
      <w:r>
        <w:rPr>
          <w:lang w:eastAsia="en-AU"/>
        </w:rPr>
        <w:t>etails</w:t>
      </w:r>
      <w:bookmarkEnd w:id="10"/>
      <w:bookmarkEnd w:id="11"/>
      <w:bookmarkEnd w:id="12"/>
    </w:p>
    <w:tbl>
      <w:tblPr>
        <w:tblW w:w="9497" w:type="dxa"/>
        <w:tblInd w:w="108" w:type="dxa"/>
        <w:tblLook w:val="01E0" w:firstRow="1" w:lastRow="1" w:firstColumn="1" w:lastColumn="1" w:noHBand="0" w:noVBand="0"/>
      </w:tblPr>
      <w:tblGrid>
        <w:gridCol w:w="2907"/>
        <w:gridCol w:w="6307"/>
        <w:gridCol w:w="283"/>
      </w:tblGrid>
      <w:tr w:rsidR="008E7846" w:rsidRPr="003D1E62" w:rsidTr="00800CEB">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8E7846" w:rsidP="00E93354">
            <w:r w:rsidRPr="003D1E62">
              <w:t xml:space="preserve">New </w:t>
            </w:r>
            <w:r w:rsidR="001B5C90">
              <w:t>c</w:t>
            </w:r>
            <w:r w:rsidRPr="003D1E62">
              <w:t xml:space="preserve">hemical </w:t>
            </w:r>
            <w:r w:rsidR="001B5C90">
              <w:t>e</w:t>
            </w:r>
            <w:r w:rsidR="00E93354">
              <w:t>ntity</w:t>
            </w:r>
          </w:p>
        </w:tc>
      </w:tr>
      <w:tr w:rsidR="008E7846" w:rsidRPr="003D1E62" w:rsidTr="00800CEB">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E93354" w:rsidP="00E93354">
            <w:r>
              <w:t>Approved</w:t>
            </w:r>
          </w:p>
        </w:tc>
      </w:tr>
      <w:tr w:rsidR="008E7846" w:rsidRPr="003D1E62" w:rsidTr="00800CEB">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E93354" w:rsidP="001B5C90">
            <w:r>
              <w:t>27 June 2014</w:t>
            </w:r>
          </w:p>
        </w:tc>
      </w:tr>
      <w:tr w:rsidR="008E7846" w:rsidRPr="00487162" w:rsidTr="00800CEB">
        <w:trPr>
          <w:gridAfter w:val="1"/>
          <w:wAfter w:w="283" w:type="dxa"/>
        </w:trPr>
        <w:tc>
          <w:tcPr>
            <w:tcW w:w="2907" w:type="dxa"/>
          </w:tcPr>
          <w:p w:rsidR="008E7846" w:rsidRPr="00487162" w:rsidRDefault="0037672B" w:rsidP="00E45619">
            <w:pPr>
              <w:rPr>
                <w:i/>
              </w:rPr>
            </w:pPr>
            <w:r>
              <w:rPr>
                <w:i/>
              </w:rPr>
              <w:t>Active ingredient</w:t>
            </w:r>
            <w:r w:rsidR="001B5C90">
              <w:rPr>
                <w:i/>
              </w:rPr>
              <w:t>:</w:t>
            </w:r>
          </w:p>
        </w:tc>
        <w:tc>
          <w:tcPr>
            <w:tcW w:w="6307" w:type="dxa"/>
          </w:tcPr>
          <w:p w:rsidR="008E7846" w:rsidRPr="00487162" w:rsidRDefault="0037672B" w:rsidP="00E45619">
            <w:r w:rsidRPr="0037672B">
              <w:t>Pomalidomide</w:t>
            </w:r>
          </w:p>
        </w:tc>
      </w:tr>
      <w:tr w:rsidR="008E7846" w:rsidRPr="00487162" w:rsidTr="00800CEB">
        <w:trPr>
          <w:gridAfter w:val="1"/>
          <w:wAfter w:w="283" w:type="dxa"/>
        </w:trPr>
        <w:tc>
          <w:tcPr>
            <w:tcW w:w="2907" w:type="dxa"/>
          </w:tcPr>
          <w:p w:rsidR="008E7846" w:rsidRPr="00487162" w:rsidRDefault="008E7846" w:rsidP="001B5C90">
            <w:pPr>
              <w:rPr>
                <w:i/>
              </w:rPr>
            </w:pPr>
            <w:r w:rsidRPr="00487162">
              <w:rPr>
                <w:i/>
              </w:rPr>
              <w:t>Product</w:t>
            </w:r>
            <w:r w:rsidR="0037672B">
              <w:rPr>
                <w:i/>
              </w:rPr>
              <w:t xml:space="preserve"> name</w:t>
            </w:r>
            <w:r w:rsidR="001B5C90">
              <w:rPr>
                <w:i/>
              </w:rPr>
              <w:t>:</w:t>
            </w:r>
          </w:p>
        </w:tc>
        <w:tc>
          <w:tcPr>
            <w:tcW w:w="6307" w:type="dxa"/>
          </w:tcPr>
          <w:p w:rsidR="008E7846" w:rsidRPr="00487162" w:rsidRDefault="0037672B" w:rsidP="00E45619">
            <w:r>
              <w:t>Pomalyst</w:t>
            </w:r>
          </w:p>
        </w:tc>
      </w:tr>
      <w:tr w:rsidR="008E7846" w:rsidRPr="00487162" w:rsidTr="00800CEB">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1B7EBC" w:rsidRPr="00487162" w:rsidRDefault="001B7EBC" w:rsidP="00800CEB">
            <w:r w:rsidRPr="001B7EBC">
              <w:t>Celgen</w:t>
            </w:r>
            <w:r w:rsidR="0085288A">
              <w:t>e</w:t>
            </w:r>
            <w:r w:rsidRPr="001B7EBC">
              <w:t xml:space="preserve"> Australia Pty Ltd</w:t>
            </w:r>
            <w:r w:rsidR="00800CEB">
              <w:br/>
            </w:r>
            <w:r w:rsidR="00B04A15">
              <w:t>Level 7</w:t>
            </w:r>
            <w:r w:rsidR="00800CEB">
              <w:br/>
            </w:r>
            <w:r w:rsidR="00B04A15">
              <w:t>607 St Kilda Road</w:t>
            </w:r>
            <w:r w:rsidR="00800CEB">
              <w:br/>
            </w:r>
            <w:r w:rsidR="00B04A15" w:rsidRPr="00B04A15">
              <w:t>Melbourne VIC 3004</w:t>
            </w:r>
          </w:p>
        </w:tc>
      </w:tr>
      <w:tr w:rsidR="008E7846" w:rsidRPr="00487162" w:rsidTr="00800CEB">
        <w:trPr>
          <w:gridAfter w:val="1"/>
          <w:wAfter w:w="283" w:type="dxa"/>
        </w:trPr>
        <w:tc>
          <w:tcPr>
            <w:tcW w:w="2907" w:type="dxa"/>
          </w:tcPr>
          <w:p w:rsidR="008E7846" w:rsidRPr="00487162" w:rsidRDefault="0057364C" w:rsidP="0057364C">
            <w:pPr>
              <w:rPr>
                <w:i/>
              </w:rPr>
            </w:pPr>
            <w:r>
              <w:rPr>
                <w:i/>
              </w:rPr>
              <w:t>Dose form</w:t>
            </w:r>
            <w:r w:rsidR="001B5C90">
              <w:rPr>
                <w:i/>
              </w:rPr>
              <w:t>:</w:t>
            </w:r>
          </w:p>
        </w:tc>
        <w:tc>
          <w:tcPr>
            <w:tcW w:w="6307" w:type="dxa"/>
          </w:tcPr>
          <w:p w:rsidR="008E7846" w:rsidRPr="00487162" w:rsidRDefault="00252B8D" w:rsidP="00252B8D">
            <w:r>
              <w:t>G</w:t>
            </w:r>
            <w:r w:rsidR="0050001E">
              <w:t>elatin ca</w:t>
            </w:r>
            <w:r w:rsidR="00EF7C52">
              <w:t>psules</w:t>
            </w:r>
          </w:p>
        </w:tc>
      </w:tr>
      <w:tr w:rsidR="008E7846" w:rsidRPr="00487162" w:rsidTr="00800CEB">
        <w:trPr>
          <w:gridAfter w:val="1"/>
          <w:wAfter w:w="283" w:type="dxa"/>
        </w:trPr>
        <w:tc>
          <w:tcPr>
            <w:tcW w:w="2907" w:type="dxa"/>
          </w:tcPr>
          <w:p w:rsidR="008E7846" w:rsidRPr="00487162" w:rsidRDefault="0057364C" w:rsidP="0057364C">
            <w:pPr>
              <w:rPr>
                <w:i/>
              </w:rPr>
            </w:pPr>
            <w:r>
              <w:rPr>
                <w:i/>
              </w:rPr>
              <w:t>Strengths</w:t>
            </w:r>
            <w:r w:rsidR="00B17B53">
              <w:rPr>
                <w:i/>
              </w:rPr>
              <w:t>:</w:t>
            </w:r>
          </w:p>
        </w:tc>
        <w:tc>
          <w:tcPr>
            <w:tcW w:w="6307" w:type="dxa"/>
          </w:tcPr>
          <w:p w:rsidR="008E7846" w:rsidRPr="00487162" w:rsidRDefault="0057364C" w:rsidP="00E45619">
            <w:r w:rsidRPr="0057364C">
              <w:t>1</w:t>
            </w:r>
            <w:r>
              <w:t xml:space="preserve"> </w:t>
            </w:r>
            <w:r w:rsidRPr="0057364C">
              <w:t>mg, 2</w:t>
            </w:r>
            <w:r>
              <w:t xml:space="preserve"> </w:t>
            </w:r>
            <w:r w:rsidRPr="0057364C">
              <w:t>mg, 3</w:t>
            </w:r>
            <w:r>
              <w:t xml:space="preserve"> </w:t>
            </w:r>
            <w:r w:rsidRPr="0057364C">
              <w:t>mg and 4</w:t>
            </w:r>
            <w:r>
              <w:t xml:space="preserve"> </w:t>
            </w:r>
            <w:r w:rsidRPr="0057364C">
              <w:t>mg</w:t>
            </w:r>
          </w:p>
        </w:tc>
      </w:tr>
      <w:tr w:rsidR="008E7846" w:rsidRPr="00487162" w:rsidTr="00800CEB">
        <w:trPr>
          <w:gridAfter w:val="1"/>
          <w:wAfter w:w="283" w:type="dxa"/>
        </w:trPr>
        <w:tc>
          <w:tcPr>
            <w:tcW w:w="2907" w:type="dxa"/>
          </w:tcPr>
          <w:p w:rsidR="008E7846" w:rsidRPr="00487162" w:rsidRDefault="00FC78D8" w:rsidP="00E45619">
            <w:pPr>
              <w:rPr>
                <w:i/>
              </w:rPr>
            </w:pPr>
            <w:r>
              <w:rPr>
                <w:i/>
              </w:rPr>
              <w:t>Container</w:t>
            </w:r>
            <w:r w:rsidR="008E7846" w:rsidRPr="00487162">
              <w:rPr>
                <w:i/>
              </w:rPr>
              <w:t>:</w:t>
            </w:r>
          </w:p>
        </w:tc>
        <w:tc>
          <w:tcPr>
            <w:tcW w:w="6307" w:type="dxa"/>
          </w:tcPr>
          <w:p w:rsidR="008E7846" w:rsidRPr="00487162" w:rsidRDefault="004929F8" w:rsidP="004929F8">
            <w:r>
              <w:t>B</w:t>
            </w:r>
            <w:r w:rsidR="00B4483B">
              <w:t>lister packs</w:t>
            </w:r>
          </w:p>
        </w:tc>
      </w:tr>
      <w:tr w:rsidR="008E7846" w:rsidRPr="00487162" w:rsidTr="00800CEB">
        <w:trPr>
          <w:gridAfter w:val="1"/>
          <w:wAfter w:w="283" w:type="dxa"/>
        </w:trPr>
        <w:tc>
          <w:tcPr>
            <w:tcW w:w="2907" w:type="dxa"/>
          </w:tcPr>
          <w:p w:rsidR="008E7846" w:rsidRPr="00487162" w:rsidRDefault="00D6359C" w:rsidP="00E45619">
            <w:pPr>
              <w:rPr>
                <w:i/>
              </w:rPr>
            </w:pPr>
            <w:r>
              <w:rPr>
                <w:i/>
              </w:rPr>
              <w:t>Pack size</w:t>
            </w:r>
            <w:r w:rsidR="008E7846" w:rsidRPr="00487162">
              <w:rPr>
                <w:i/>
              </w:rPr>
              <w:t>:</w:t>
            </w:r>
          </w:p>
        </w:tc>
        <w:tc>
          <w:tcPr>
            <w:tcW w:w="6307" w:type="dxa"/>
          </w:tcPr>
          <w:p w:rsidR="008E7846" w:rsidRPr="00487162" w:rsidRDefault="00D6359C" w:rsidP="00E45619">
            <w:r>
              <w:t>21 capsules</w:t>
            </w:r>
          </w:p>
        </w:tc>
      </w:tr>
      <w:tr w:rsidR="008E7846" w:rsidRPr="00487162" w:rsidTr="00800CEB">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487162" w:rsidRDefault="00EA6F0F" w:rsidP="00EA6F0F">
            <w:pPr>
              <w:rPr>
                <w:rFonts w:eastAsia="MS Mincho"/>
                <w:lang w:eastAsia="ja-JP"/>
              </w:rPr>
            </w:pPr>
            <w:r w:rsidRPr="00EA6F0F">
              <w:rPr>
                <w:rFonts w:eastAsia="MS Mincho"/>
                <w:lang w:eastAsia="ja-JP"/>
              </w:rPr>
              <w:t>Pomalidomide, in combination with dexamethasone, is indicated for the treatment of patients with relapsed and refractory multiple myeloma who have received at least two prior treatment regimens, including both lenalidomide and bortezomib, and have demonstrated disease progression on the last therapy</w:t>
            </w:r>
            <w:r>
              <w:rPr>
                <w:rFonts w:eastAsia="MS Mincho"/>
                <w:lang w:eastAsia="ja-JP"/>
              </w:rPr>
              <w:t>.</w:t>
            </w:r>
          </w:p>
        </w:tc>
      </w:tr>
      <w:tr w:rsidR="008E7846" w:rsidRPr="00487162" w:rsidTr="00800CEB">
        <w:trPr>
          <w:gridAfter w:val="1"/>
          <w:wAfter w:w="283" w:type="dxa"/>
        </w:trPr>
        <w:tc>
          <w:tcPr>
            <w:tcW w:w="2907" w:type="dxa"/>
          </w:tcPr>
          <w:p w:rsidR="008E7846" w:rsidRPr="00487162" w:rsidRDefault="001B7EBC" w:rsidP="00E45619">
            <w:pPr>
              <w:rPr>
                <w:i/>
              </w:rPr>
            </w:pPr>
            <w:r>
              <w:rPr>
                <w:i/>
              </w:rPr>
              <w:t>Route</w:t>
            </w:r>
            <w:r w:rsidR="008E7846" w:rsidRPr="00487162">
              <w:rPr>
                <w:i/>
              </w:rPr>
              <w:t xml:space="preserve"> of administration:</w:t>
            </w:r>
          </w:p>
        </w:tc>
        <w:tc>
          <w:tcPr>
            <w:tcW w:w="6307" w:type="dxa"/>
          </w:tcPr>
          <w:p w:rsidR="008E7846" w:rsidRPr="00487162" w:rsidRDefault="001B7EBC" w:rsidP="00E45619">
            <w:r>
              <w:t>Oral</w:t>
            </w:r>
          </w:p>
        </w:tc>
      </w:tr>
      <w:tr w:rsidR="008E7846" w:rsidRPr="00487162" w:rsidTr="00800CEB">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252B8D" w:rsidRDefault="00A23C5B" w:rsidP="00E45619">
            <w:r w:rsidRPr="00A23C5B">
              <w:t>Th</w:t>
            </w:r>
            <w:r w:rsidR="006150A4">
              <w:t>e recommended starting dose of p</w:t>
            </w:r>
            <w:r w:rsidRPr="00A23C5B">
              <w:t>omalidomide is 4 mg/day taken orally on Days 1-21 of repeated 28</w:t>
            </w:r>
            <w:r w:rsidR="006150A4">
              <w:t xml:space="preserve"> </w:t>
            </w:r>
            <w:r w:rsidRPr="00A23C5B">
              <w:t>day cycles (21/28 days) until disease progression. The recommended dose of dexamethasone is 40 mg/day on Days 1, 8, 15 and 22 of each 28-day tre</w:t>
            </w:r>
            <w:r>
              <w:t>atment cycle.</w:t>
            </w:r>
            <w:r w:rsidR="009029FD">
              <w:t xml:space="preserve"> </w:t>
            </w:r>
            <w:r w:rsidR="009029FD" w:rsidRPr="00B92004">
              <w:t xml:space="preserve">For </w:t>
            </w:r>
            <w:proofErr w:type="gramStart"/>
            <w:r w:rsidR="009029FD" w:rsidRPr="00B92004">
              <w:t>patients</w:t>
            </w:r>
            <w:proofErr w:type="gramEnd"/>
            <w:r w:rsidR="009029FD" w:rsidRPr="00B92004">
              <w:t xml:space="preserve"> </w:t>
            </w:r>
            <w:r w:rsidR="00252B8D">
              <w:t>≥</w:t>
            </w:r>
            <w:r w:rsidR="009029FD">
              <w:t> </w:t>
            </w:r>
            <w:r w:rsidR="009029FD" w:rsidRPr="00B92004">
              <w:t>75 years of age, the dose of dexamethasone is 20 mg/day on Days 1, 8, 15 and 22 of each 28-day treatment cycle</w:t>
            </w:r>
            <w:r w:rsidR="009029FD">
              <w:t>. For these patients a dose adjustment in Pomalyst is not required.</w:t>
            </w:r>
          </w:p>
          <w:p w:rsidR="008E7846" w:rsidRPr="00487162" w:rsidRDefault="00A23C5B" w:rsidP="00E45619">
            <w:r w:rsidRPr="00A23C5B">
              <w:t xml:space="preserve">Dosing is continued or modified based upon clinical and laboratory findings (see </w:t>
            </w:r>
            <w:r>
              <w:t>‘</w:t>
            </w:r>
            <w:r w:rsidRPr="00A23C5B">
              <w:t>Efficacy</w:t>
            </w:r>
            <w:r>
              <w:t>’</w:t>
            </w:r>
            <w:r w:rsidRPr="00A23C5B">
              <w:t xml:space="preserve"> section).</w:t>
            </w:r>
          </w:p>
        </w:tc>
      </w:tr>
      <w:tr w:rsidR="008E7846" w:rsidRPr="00487162" w:rsidTr="00800CEB">
        <w:trPr>
          <w:gridAfter w:val="1"/>
          <w:wAfter w:w="283" w:type="dxa"/>
        </w:trPr>
        <w:tc>
          <w:tcPr>
            <w:tcW w:w="2907" w:type="dxa"/>
          </w:tcPr>
          <w:p w:rsidR="008E7846" w:rsidRPr="00487162" w:rsidRDefault="008E7846" w:rsidP="001B5C90">
            <w:pPr>
              <w:rPr>
                <w:i/>
              </w:rPr>
            </w:pPr>
            <w:r w:rsidRPr="00487162">
              <w:rPr>
                <w:i/>
              </w:rPr>
              <w:t xml:space="preserve">ARTG </w:t>
            </w:r>
            <w:r w:rsidR="001B5C90">
              <w:rPr>
                <w:i/>
              </w:rPr>
              <w:t>n</w:t>
            </w:r>
            <w:r w:rsidR="001F219C">
              <w:rPr>
                <w:i/>
              </w:rPr>
              <w:t>umbers</w:t>
            </w:r>
            <w:r w:rsidR="001B5C90">
              <w:rPr>
                <w:i/>
              </w:rPr>
              <w:t>:</w:t>
            </w:r>
          </w:p>
        </w:tc>
        <w:tc>
          <w:tcPr>
            <w:tcW w:w="6307" w:type="dxa"/>
          </w:tcPr>
          <w:p w:rsidR="008E7846" w:rsidRPr="00487162" w:rsidRDefault="00214373" w:rsidP="00E45619">
            <w:r>
              <w:t>212657 (1 mg), 212654 (2 mg), 212656 (3 mg), 212655 (4 mg)</w:t>
            </w:r>
          </w:p>
        </w:tc>
      </w:tr>
    </w:tbl>
    <w:p w:rsidR="008E7846" w:rsidRDefault="008E7846" w:rsidP="00B17B53">
      <w:pPr>
        <w:pStyle w:val="Heading3"/>
      </w:pPr>
      <w:bookmarkStart w:id="13" w:name="_Toc247691503"/>
      <w:bookmarkStart w:id="14" w:name="_Toc314842484"/>
      <w:bookmarkStart w:id="15" w:name="_Toc404176167"/>
      <w:r>
        <w:t xml:space="preserve">Product </w:t>
      </w:r>
      <w:r w:rsidR="00800CEB" w:rsidRPr="00B17B53">
        <w:t>b</w:t>
      </w:r>
      <w:r w:rsidRPr="00B17B53">
        <w:t>ackground</w:t>
      </w:r>
      <w:bookmarkEnd w:id="13"/>
      <w:bookmarkEnd w:id="14"/>
      <w:bookmarkEnd w:id="15"/>
    </w:p>
    <w:p w:rsidR="008E7846" w:rsidRDefault="00940A89" w:rsidP="00940A89">
      <w:r w:rsidRPr="00940A89">
        <w:t xml:space="preserve">This AusPAR describes the application by </w:t>
      </w:r>
      <w:r w:rsidR="0001035F" w:rsidRPr="000F4227">
        <w:t>Celgen</w:t>
      </w:r>
      <w:r w:rsidR="0085288A">
        <w:t>e</w:t>
      </w:r>
      <w:r w:rsidR="0001035F" w:rsidRPr="000F4227">
        <w:t xml:space="preserve"> Australia Pty Ltd </w:t>
      </w:r>
      <w:r w:rsidRPr="00940A89">
        <w:t xml:space="preserve">to register </w:t>
      </w:r>
      <w:r w:rsidR="0001035F">
        <w:t>p</w:t>
      </w:r>
      <w:r w:rsidR="0001035F" w:rsidRPr="0037672B">
        <w:t>omalidomide</w:t>
      </w:r>
      <w:r w:rsidR="0001035F">
        <w:t xml:space="preserve"> (trade name Pomalyst)</w:t>
      </w:r>
      <w:r w:rsidRPr="00940A89">
        <w:t xml:space="preserve"> for the followi</w:t>
      </w:r>
      <w:r w:rsidR="006D6A1E">
        <w:t>ng indication</w:t>
      </w:r>
      <w:r w:rsidR="00A83B8D">
        <w:t>:</w:t>
      </w:r>
    </w:p>
    <w:p w:rsidR="00A83B8D" w:rsidRPr="00A83B8D" w:rsidRDefault="00A83B8D" w:rsidP="00A83B8D">
      <w:pPr>
        <w:ind w:left="720"/>
        <w:rPr>
          <w:i/>
        </w:rPr>
      </w:pPr>
      <w:r w:rsidRPr="00A83B8D">
        <w:rPr>
          <w:i/>
        </w:rPr>
        <w:lastRenderedPageBreak/>
        <w:t>Pomalyst in combination with dexamethasone is indicated for the treatment of patients with multiple myeloma who have failed at least two prior therapies including lenalidomide and a proteasome inhibitor</w:t>
      </w:r>
      <w:r w:rsidR="00800CEB">
        <w:rPr>
          <w:i/>
        </w:rPr>
        <w:t>.</w:t>
      </w:r>
    </w:p>
    <w:p w:rsidR="00F2362E" w:rsidRPr="00F2362E" w:rsidRDefault="00F2362E" w:rsidP="00800CEB">
      <w:r w:rsidRPr="00F2362E">
        <w:t>Pomalidomide is a thalidomide derivative and is the third member of a series of drugs known as immunomodulatory compounds, which also include thalidomide and lenalidomide.</w:t>
      </w:r>
    </w:p>
    <w:p w:rsidR="000919D6" w:rsidRPr="000919D6" w:rsidRDefault="000919D6" w:rsidP="00B17B53">
      <w:r w:rsidRPr="000919D6">
        <w:t>Multiple myeloma (MM) is characteri</w:t>
      </w:r>
      <w:r>
        <w:t>s</w:t>
      </w:r>
      <w:r w:rsidRPr="000919D6">
        <w:t>ed by the neoplastic proliferation of a single clone of plasma cells producing a monoclonal immunoglobulin. This clone of plasma cells proliferates in the bone marrow and often results in extensive skeletal destruction with osteolytic lesions, osteopeni</w:t>
      </w:r>
      <w:r w:rsidR="00800CEB">
        <w:t>a, and/or pathologic fractures.</w:t>
      </w:r>
    </w:p>
    <w:p w:rsidR="000919D6" w:rsidRPr="000919D6" w:rsidRDefault="000919D6" w:rsidP="00800CEB">
      <w:r w:rsidRPr="000919D6">
        <w:t xml:space="preserve">Despite the much improved survival outcome since the introduction of novel therapeutic agents including the immunomodulatory drugs (IMiDs) and proteasome inhibitors, </w:t>
      </w:r>
      <w:r w:rsidR="00C00DDB">
        <w:t>MM</w:t>
      </w:r>
      <w:r w:rsidRPr="000919D6">
        <w:t xml:space="preserve"> is still an incurable disease. However, the expansion of effective treatment options over the last two decades, has converted what was once a disease with median overall survival (OS) of 3 years, to now a chronic disease capable of long</w:t>
      </w:r>
      <w:r w:rsidR="00D7199D">
        <w:t xml:space="preserve"> </w:t>
      </w:r>
      <w:r w:rsidRPr="000919D6">
        <w:t>term control, often for 7 years or more. However, almost all patients will relapse after an initial response.</w:t>
      </w:r>
    </w:p>
    <w:p w:rsidR="000919D6" w:rsidRPr="000919D6" w:rsidRDefault="000919D6" w:rsidP="00800CEB">
      <w:r w:rsidRPr="000919D6">
        <w:t>Various definitions for relapsed and refractory disease exist; however, new definitions have recently appeared in the literature, primarily by the International Myeloma Working</w:t>
      </w:r>
      <w:r>
        <w:t xml:space="preserve"> Group</w:t>
      </w:r>
      <w:r w:rsidRPr="000919D6">
        <w:t xml:space="preserve">. This guidance was used to develop definitions for the pivotal </w:t>
      </w:r>
      <w:r w:rsidR="00D7199D">
        <w:t>S</w:t>
      </w:r>
      <w:r w:rsidRPr="000919D6">
        <w:t>tudy CC 4047 MM-003</w:t>
      </w:r>
      <w:r w:rsidR="00366687">
        <w:t xml:space="preserve"> in this submission</w:t>
      </w:r>
      <w:r w:rsidRPr="000919D6">
        <w:t>.</w:t>
      </w:r>
    </w:p>
    <w:p w:rsidR="000919D6" w:rsidRPr="000919D6" w:rsidRDefault="000919D6" w:rsidP="00B17B53">
      <w:r w:rsidRPr="000919D6">
        <w:rPr>
          <w:b/>
        </w:rPr>
        <w:t xml:space="preserve">Relapsed </w:t>
      </w:r>
      <w:r w:rsidR="00B17B53">
        <w:rPr>
          <w:b/>
        </w:rPr>
        <w:t>d</w:t>
      </w:r>
      <w:r w:rsidRPr="000919D6">
        <w:rPr>
          <w:b/>
        </w:rPr>
        <w:t>isease:</w:t>
      </w:r>
      <w:r w:rsidRPr="000919D6">
        <w:t xml:space="preserve"> Relapsed myeloma is defined as previously treated myeloma, which after a period of being off-therapy, requires salvage therapy but does not meet criteria for "primary refractory" or "relapsed-and-refractory" categories, as outlined below.</w:t>
      </w:r>
    </w:p>
    <w:p w:rsidR="000919D6" w:rsidRPr="000919D6" w:rsidRDefault="00B17B53" w:rsidP="00800CEB">
      <w:r>
        <w:rPr>
          <w:b/>
        </w:rPr>
        <w:t>Refractory d</w:t>
      </w:r>
      <w:r w:rsidR="000919D6" w:rsidRPr="000919D6">
        <w:rPr>
          <w:b/>
        </w:rPr>
        <w:t>isease:</w:t>
      </w:r>
      <w:r w:rsidR="000919D6" w:rsidRPr="000919D6">
        <w:t xml:space="preserve"> Refractory myeloma is defined as disease that is non-responsive while on therapy or progresses within 60 days of last therapy.</w:t>
      </w:r>
    </w:p>
    <w:p w:rsidR="000919D6" w:rsidRPr="000919D6" w:rsidRDefault="000919D6" w:rsidP="00800CEB">
      <w:pPr>
        <w:pStyle w:val="Numberbullet2"/>
      </w:pPr>
      <w:r w:rsidRPr="000919D6">
        <w:t>Relapsed and refractory myeloma is defined as relapse of disease in patients who achieve Minimal Response (MR) or better, and then either become non-responsive while on salvage therapy, or progress within 60 days of last therapy.</w:t>
      </w:r>
    </w:p>
    <w:p w:rsidR="000919D6" w:rsidRPr="000919D6" w:rsidRDefault="000919D6" w:rsidP="00800CEB">
      <w:pPr>
        <w:pStyle w:val="Numberbullet2"/>
      </w:pPr>
      <w:r w:rsidRPr="000919D6">
        <w:t>Primary refractory myeloma refers to refractory disease in patients who have never achieved an MR with any therapy, and include</w:t>
      </w:r>
      <w:r w:rsidR="0029348A">
        <w:t>s 2 sub</w:t>
      </w:r>
      <w:r w:rsidRPr="000919D6">
        <w:t>categories:</w:t>
      </w:r>
    </w:p>
    <w:p w:rsidR="000919D6" w:rsidRPr="000919D6" w:rsidRDefault="000919D6" w:rsidP="00800CEB">
      <w:pPr>
        <w:pStyle w:val="Numberbullet3"/>
      </w:pPr>
      <w:r w:rsidRPr="000919D6">
        <w:t>Patients who never achieve MR or better in whom there is no significant change in M protein and no evidence of clinical progression.</w:t>
      </w:r>
    </w:p>
    <w:p w:rsidR="000919D6" w:rsidRPr="000919D6" w:rsidRDefault="000919D6" w:rsidP="00800CEB">
      <w:pPr>
        <w:pStyle w:val="Numberbullet3"/>
      </w:pPr>
      <w:r w:rsidRPr="000919D6">
        <w:t>Primary refractory Progressive Disease (PD).</w:t>
      </w:r>
    </w:p>
    <w:p w:rsidR="000919D6" w:rsidRPr="000919D6" w:rsidRDefault="000919D6" w:rsidP="00B17B53">
      <w:r w:rsidRPr="000919D6">
        <w:t>Treatment options for patients with relapsed or refractory MM include hematopoietic cell transplantation (HCT), a rechallenge of the previous chemotherapy regimen, or a trial of a new regimen. Factors used to determine the choice of therapy include a risk</w:t>
      </w:r>
      <w:r w:rsidR="0029348A">
        <w:t xml:space="preserve"> stratification of myeloma (that is</w:t>
      </w:r>
      <w:r w:rsidRPr="000919D6">
        <w:t>, high or standard risk disease), prior treatments used, and the duration of response to these treatments.</w:t>
      </w:r>
    </w:p>
    <w:p w:rsidR="000919D6" w:rsidRPr="000919D6" w:rsidRDefault="000919D6" w:rsidP="00800CEB">
      <w:r w:rsidRPr="000919D6">
        <w:t>For those not eligible for HCT, salvage treatment regimens include those based upon thalidomide, lenalidomide or bortezomib which are used variously in combination with dexamethasone or cytotoxic agents, or treatment regimens with the alkylating agents, melphalan or cyclophosphamide. Additional options include novel agents available through clinical trial participation.</w:t>
      </w:r>
    </w:p>
    <w:p w:rsidR="000919D6" w:rsidRPr="000919D6" w:rsidRDefault="000919D6" w:rsidP="00800CEB">
      <w:r w:rsidRPr="000919D6">
        <w:t>The mechanism of action of pomalidomide includes a variety of immunomodulatory effects such as induction of immune responses, enhancement of activity of immune cells, alteration and mod</w:t>
      </w:r>
      <w:r w:rsidR="00897FA2">
        <w:t>ulation of the induction of pro and anti</w:t>
      </w:r>
      <w:r w:rsidR="00BA5A72">
        <w:t>-</w:t>
      </w:r>
      <w:r w:rsidRPr="000919D6">
        <w:t>inflammatory cytokines, and inhibition of inflammation. These compounds also have tumori</w:t>
      </w:r>
      <w:r w:rsidR="00897FA2">
        <w:t xml:space="preserve">cidal and anti </w:t>
      </w:r>
      <w:r w:rsidRPr="000919D6">
        <w:t>angiogenic activitie</w:t>
      </w:r>
      <w:r w:rsidR="00897FA2">
        <w:t>s that contribute to their anti</w:t>
      </w:r>
      <w:r w:rsidR="00BA5A72">
        <w:t>-</w:t>
      </w:r>
      <w:r w:rsidRPr="000919D6">
        <w:t>tumour activities.</w:t>
      </w:r>
    </w:p>
    <w:p w:rsidR="000919D6" w:rsidRPr="000919D6" w:rsidRDefault="000919D6" w:rsidP="00800CEB">
      <w:r w:rsidRPr="000919D6">
        <w:lastRenderedPageBreak/>
        <w:t xml:space="preserve">The multiple pharmacological properties of pomalidomide suggest a potential therapeutic benefit in patients with </w:t>
      </w:r>
      <w:r w:rsidR="00C00DDB">
        <w:t>MM</w:t>
      </w:r>
      <w:r w:rsidRPr="000919D6">
        <w:t>. While it is structurally similar to both thalidomide and lenalidomide and shares a number of potentially therapeutic pharmacological properties, pomalidomide has a distinctly different activity and potency profile. It exhibits greater potency than thalidomide with regard to immune modulation, anti</w:t>
      </w:r>
      <w:r w:rsidR="00BA5A72">
        <w:t>-</w:t>
      </w:r>
      <w:r w:rsidRPr="000919D6">
        <w:t>inflammato</w:t>
      </w:r>
      <w:r w:rsidR="00535685">
        <w:t>ry and anti</w:t>
      </w:r>
      <w:r w:rsidR="00BA5A72">
        <w:t>-</w:t>
      </w:r>
      <w:r w:rsidRPr="000919D6">
        <w:t>proliferative activity, and has greater potency than lenalidomide at anti</w:t>
      </w:r>
      <w:r w:rsidR="000B6A8D">
        <w:t xml:space="preserve"> </w:t>
      </w:r>
      <w:r w:rsidRPr="000919D6">
        <w:t xml:space="preserve">proliferative effects in MM cell lines, augmentation of CD4+ and CD8+ T cell proliferation, Th1 cytokine production and natural killer </w:t>
      </w:r>
      <w:r w:rsidR="0037082C">
        <w:t xml:space="preserve">(NK) </w:t>
      </w:r>
      <w:r w:rsidRPr="000919D6">
        <w:t>T cell activation. These differences allow the administration of pomalidomide at lower relative doses compared with thalidomide or lenalidomide.</w:t>
      </w:r>
    </w:p>
    <w:p w:rsidR="000919D6" w:rsidRPr="000919D6" w:rsidRDefault="000919D6" w:rsidP="00800CEB">
      <w:r w:rsidRPr="00F2362E">
        <w:rPr>
          <w:i/>
        </w:rPr>
        <w:t>In vitro</w:t>
      </w:r>
      <w:r w:rsidRPr="00BA5A72">
        <w:t xml:space="preserve"> and </w:t>
      </w:r>
      <w:r w:rsidRPr="00F2362E">
        <w:rPr>
          <w:i/>
        </w:rPr>
        <w:t>in vivo</w:t>
      </w:r>
      <w:r w:rsidRPr="000919D6">
        <w:t xml:space="preserve"> studies suggest that pomalidomide plus dexamethasone may be effective in MM resistant to lenalidomide/dexamethasone therapy. The mechanism underlying the synergistic responses is not fully understood.</w:t>
      </w:r>
    </w:p>
    <w:p w:rsidR="008E7846" w:rsidRPr="00B17B53" w:rsidRDefault="00386150" w:rsidP="00B17B53">
      <w:pPr>
        <w:pStyle w:val="Heading3"/>
      </w:pPr>
      <w:bookmarkStart w:id="16" w:name="_Toc314842485"/>
      <w:bookmarkStart w:id="17" w:name="_Toc247691504"/>
      <w:bookmarkStart w:id="18" w:name="_Toc404176168"/>
      <w:r>
        <w:t xml:space="preserve">Regulatory </w:t>
      </w:r>
      <w:r w:rsidR="00800CEB">
        <w:rPr>
          <w:lang w:val="en-AU"/>
        </w:rPr>
        <w:t>s</w:t>
      </w:r>
      <w:r w:rsidR="008E7846">
        <w:t>tatus</w:t>
      </w:r>
      <w:bookmarkEnd w:id="16"/>
      <w:bookmarkEnd w:id="17"/>
      <w:bookmarkEnd w:id="18"/>
    </w:p>
    <w:p w:rsidR="000919D6" w:rsidRPr="000919D6" w:rsidRDefault="000919D6" w:rsidP="00B17B53">
      <w:bookmarkStart w:id="19" w:name="_Toc247691505"/>
      <w:bookmarkStart w:id="20" w:name="_Toc314842486"/>
      <w:r w:rsidRPr="000919D6">
        <w:t xml:space="preserve">Pomalidomide has not been considered previously by the </w:t>
      </w:r>
      <w:r w:rsidR="0062769F" w:rsidRPr="0062769F">
        <w:t>Advisory Committee on Prescription Medicines</w:t>
      </w:r>
      <w:r w:rsidR="0062769F">
        <w:t xml:space="preserve"> (</w:t>
      </w:r>
      <w:r w:rsidRPr="000919D6">
        <w:t>ACPM</w:t>
      </w:r>
      <w:r w:rsidR="0062769F">
        <w:t>)</w:t>
      </w:r>
      <w:r w:rsidRPr="000919D6">
        <w:t>.</w:t>
      </w:r>
    </w:p>
    <w:p w:rsidR="003454D9" w:rsidRDefault="000919D6" w:rsidP="00B17B53">
      <w:r w:rsidRPr="000919D6">
        <w:t>Pomalidomide was granted orphan drug status by the TG</w:t>
      </w:r>
      <w:r w:rsidR="003454D9">
        <w:t>A on 17 October 2012:</w:t>
      </w:r>
    </w:p>
    <w:p w:rsidR="003454D9" w:rsidRPr="003454D9" w:rsidRDefault="004F723B" w:rsidP="00BA5A72">
      <w:pPr>
        <w:ind w:firstLine="720"/>
        <w:rPr>
          <w:i/>
        </w:rPr>
      </w:pPr>
      <w:r>
        <w:rPr>
          <w:i/>
        </w:rPr>
        <w:t>F</w:t>
      </w:r>
      <w:r w:rsidR="000919D6" w:rsidRPr="003454D9">
        <w:rPr>
          <w:i/>
        </w:rPr>
        <w:t xml:space="preserve">or the treatment of </w:t>
      </w:r>
      <w:r w:rsidR="00B639BE" w:rsidRPr="003454D9">
        <w:rPr>
          <w:i/>
        </w:rPr>
        <w:t>MM</w:t>
      </w:r>
      <w:r w:rsidR="000919D6" w:rsidRPr="003454D9">
        <w:rPr>
          <w:i/>
        </w:rPr>
        <w:t xml:space="preserve"> in patients who have faile</w:t>
      </w:r>
      <w:r w:rsidR="003454D9" w:rsidRPr="003454D9">
        <w:rPr>
          <w:i/>
        </w:rPr>
        <w:t>d two or more prior therapies.</w:t>
      </w:r>
    </w:p>
    <w:p w:rsidR="000919D6" w:rsidRDefault="000919D6" w:rsidP="00B17B53">
      <w:r w:rsidRPr="000919D6">
        <w:t>The proposed indication is more restrictive, specifying the actual therapies that must be failed, and includes the use with low</w:t>
      </w:r>
      <w:r w:rsidR="004F723B">
        <w:t xml:space="preserve"> </w:t>
      </w:r>
      <w:r w:rsidRPr="000919D6">
        <w:t xml:space="preserve">dose </w:t>
      </w:r>
      <w:r w:rsidR="00CB01DA">
        <w:t xml:space="preserve">(LD) </w:t>
      </w:r>
      <w:r w:rsidRPr="000919D6">
        <w:t>dexamethasone.</w:t>
      </w:r>
    </w:p>
    <w:p w:rsidR="00FC6D6A" w:rsidRPr="000919D6" w:rsidRDefault="00FC6D6A" w:rsidP="00B17B53">
      <w:r>
        <w:t>At the time of the Australian submission</w:t>
      </w:r>
      <w:r w:rsidR="00B07A4B">
        <w:t xml:space="preserve"> to the TGA</w:t>
      </w:r>
      <w:r>
        <w:t>, three other regulatory agencies had considered pomalidomide.</w:t>
      </w:r>
    </w:p>
    <w:p w:rsidR="00A22D5A" w:rsidRPr="00CD41DA" w:rsidRDefault="00A22D5A" w:rsidP="00800CEB">
      <w:r w:rsidRPr="00CD41DA">
        <w:t xml:space="preserve">The </w:t>
      </w:r>
      <w:r w:rsidR="00CE67B4">
        <w:t>European Medicines Agency (</w:t>
      </w:r>
      <w:r w:rsidRPr="00CD41DA">
        <w:t>EMA</w:t>
      </w:r>
      <w:r w:rsidR="00CE67B4">
        <w:t>)</w:t>
      </w:r>
      <w:r w:rsidRPr="00CD41DA">
        <w:t xml:space="preserve"> granted marketing authorisation on 5</w:t>
      </w:r>
      <w:r w:rsidR="00CD41DA">
        <w:t xml:space="preserve"> </w:t>
      </w:r>
      <w:r w:rsidRPr="00CD41DA">
        <w:t>August 2013 for the following indication:</w:t>
      </w:r>
    </w:p>
    <w:p w:rsidR="00A22D5A" w:rsidRPr="00CD41DA" w:rsidRDefault="00A22D5A" w:rsidP="00CD41DA">
      <w:pPr>
        <w:ind w:left="720"/>
        <w:rPr>
          <w:i/>
        </w:rPr>
      </w:pPr>
      <w:r w:rsidRPr="00CD41DA">
        <w:rPr>
          <w:i/>
        </w:rPr>
        <w:t>Pomalidomide Celgene in combination with dexamethasone is indicated in the treatment of adult patients with relapsed and refractory multiple myeloma who have received at least two prior treatment regimens, including both lenalidomide and bortezomib, and have demonstrated disease p</w:t>
      </w:r>
      <w:r w:rsidR="00CD41DA">
        <w:rPr>
          <w:i/>
        </w:rPr>
        <w:t>rogression on the last therapy.</w:t>
      </w:r>
    </w:p>
    <w:p w:rsidR="00A22D5A" w:rsidRPr="00CD41DA" w:rsidRDefault="00A22D5A" w:rsidP="00B17B53">
      <w:r w:rsidRPr="00CD41DA">
        <w:t xml:space="preserve">The </w:t>
      </w:r>
      <w:r w:rsidR="001625FA">
        <w:t>US Food and Drug Administration (</w:t>
      </w:r>
      <w:r w:rsidRPr="00CD41DA">
        <w:t>FDA</w:t>
      </w:r>
      <w:r w:rsidR="007E2E70">
        <w:t>)</w:t>
      </w:r>
      <w:r w:rsidRPr="00CD41DA">
        <w:t xml:space="preserve"> granted accelerated approval for pomalidomide on 8 February 2013 for the following indication:</w:t>
      </w:r>
    </w:p>
    <w:p w:rsidR="00A22D5A" w:rsidRPr="00CD41DA" w:rsidRDefault="00A22D5A" w:rsidP="00CD41DA">
      <w:pPr>
        <w:ind w:left="720"/>
        <w:rPr>
          <w:i/>
        </w:rPr>
      </w:pPr>
      <w:r w:rsidRPr="00CD41DA">
        <w:rPr>
          <w:i/>
        </w:rPr>
        <w:t>Pomalyst is a thalidomide analogue indicated for the treatment of patients with multiple myeloma who have received at least two prior therapies including lenalidomide and bortezomib and have demonstrated disease progression on or within 60 days of completion of the last therapy. Approval is based on response rate. Clinical benefit, such as improvement in survival or</w:t>
      </w:r>
      <w:r w:rsidR="00CD41DA" w:rsidRPr="00CD41DA">
        <w:rPr>
          <w:i/>
        </w:rPr>
        <w:t xml:space="preserve"> symptoms has not been verified.</w:t>
      </w:r>
    </w:p>
    <w:p w:rsidR="00A22D5A" w:rsidRPr="00CE67B4" w:rsidRDefault="00A22D5A" w:rsidP="00800CEB">
      <w:r w:rsidRPr="00CE67B4">
        <w:t>The FDA approval comes with a</w:t>
      </w:r>
      <w:r w:rsidR="00CD41DA" w:rsidRPr="00CE67B4">
        <w:t xml:space="preserve"> black box warning about embryo</w:t>
      </w:r>
      <w:r w:rsidR="00F2362E">
        <w:t>fetal</w:t>
      </w:r>
      <w:r w:rsidRPr="00CE67B4">
        <w:t xml:space="preserve"> toxicity and risk of pulmonary venous thromboembolism, and was conditional upon the submission of </w:t>
      </w:r>
      <w:r w:rsidR="00AD1E8F">
        <w:t xml:space="preserve">Study </w:t>
      </w:r>
      <w:r w:rsidRPr="00CE67B4">
        <w:t xml:space="preserve">CC-4047-MM-007 (not included in this submission to the TGA), a multicentre, randomised open label study of clinical trial of pomalidomide added to bortezomib and </w:t>
      </w:r>
      <w:r w:rsidR="00CB01DA">
        <w:t>LD</w:t>
      </w:r>
      <w:r w:rsidRPr="00CE67B4">
        <w:t xml:space="preserve"> dexamethasone compared with bortezomib plus </w:t>
      </w:r>
      <w:r w:rsidR="00CB01DA">
        <w:t>LD</w:t>
      </w:r>
      <w:r w:rsidRPr="00CE67B4">
        <w:t xml:space="preserve"> dexamethasone in patients with previously treated </w:t>
      </w:r>
      <w:r w:rsidR="00B639BE">
        <w:t>MM</w:t>
      </w:r>
      <w:r w:rsidRPr="00CE67B4">
        <w:t>. Approval by the FDA was for treatment with pomalidomide, and the addition of dexamethasone was optional.</w:t>
      </w:r>
    </w:p>
    <w:p w:rsidR="00A22D5A" w:rsidRPr="00F66EC0" w:rsidRDefault="00A22D5A" w:rsidP="00800CEB">
      <w:r w:rsidRPr="00F66EC0">
        <w:t>In Canada, approval was granted on 11 February 2014 for the following indication:</w:t>
      </w:r>
    </w:p>
    <w:p w:rsidR="00A22D5A" w:rsidRPr="00F66EC0" w:rsidRDefault="00833A69" w:rsidP="00F66EC0">
      <w:pPr>
        <w:ind w:left="720"/>
        <w:rPr>
          <w:i/>
        </w:rPr>
      </w:pPr>
      <w:r>
        <w:rPr>
          <w:i/>
        </w:rPr>
        <w:t>Pomalyst</w:t>
      </w:r>
      <w:r w:rsidR="00A22D5A" w:rsidRPr="00F66EC0">
        <w:rPr>
          <w:i/>
        </w:rPr>
        <w:t xml:space="preserve"> (pomalidomide) in combinati</w:t>
      </w:r>
      <w:r w:rsidR="00F66EC0" w:rsidRPr="00F66EC0">
        <w:rPr>
          <w:i/>
        </w:rPr>
        <w:t>on with dexamethasone (</w:t>
      </w:r>
      <w:r>
        <w:rPr>
          <w:i/>
        </w:rPr>
        <w:t>Pomalyst</w:t>
      </w:r>
      <w:r w:rsidRPr="00F66EC0">
        <w:rPr>
          <w:i/>
        </w:rPr>
        <w:t xml:space="preserve"> </w:t>
      </w:r>
      <w:r w:rsidR="00A22D5A" w:rsidRPr="00F66EC0">
        <w:rPr>
          <w:i/>
        </w:rPr>
        <w:t>+</w:t>
      </w:r>
      <w:r w:rsidR="00F66EC0" w:rsidRPr="00F66EC0">
        <w:rPr>
          <w:i/>
        </w:rPr>
        <w:t xml:space="preserve"> </w:t>
      </w:r>
      <w:r w:rsidR="00A22D5A" w:rsidRPr="00F66EC0">
        <w:rPr>
          <w:i/>
        </w:rPr>
        <w:t xml:space="preserve">LD-dex) is indicated for patients with multiple myeloma (MM) for whom both bortezomib and </w:t>
      </w:r>
      <w:r w:rsidR="00A22D5A" w:rsidRPr="00F66EC0">
        <w:rPr>
          <w:i/>
        </w:rPr>
        <w:lastRenderedPageBreak/>
        <w:t>lenalidomide have failed and who have received at least two prior treatment regimens and have demonstrated disease progression on the last regimen</w:t>
      </w:r>
      <w:r w:rsidR="00991668" w:rsidRPr="00F66EC0">
        <w:rPr>
          <w:i/>
        </w:rPr>
        <w:t>.</w:t>
      </w:r>
    </w:p>
    <w:p w:rsidR="00991668" w:rsidRPr="00F66EC0" w:rsidRDefault="00991668" w:rsidP="00800CEB">
      <w:r w:rsidRPr="00F66EC0">
        <w:t>Swissmedic made a positive pre</w:t>
      </w:r>
      <w:r w:rsidR="002D28A0">
        <w:t xml:space="preserve"> </w:t>
      </w:r>
      <w:r w:rsidRPr="00F66EC0">
        <w:t>decision on 23 Jan</w:t>
      </w:r>
      <w:r w:rsidR="00F66EC0">
        <w:t>uary</w:t>
      </w:r>
      <w:r w:rsidRPr="00F66EC0">
        <w:t xml:space="preserve"> 2014, with the final decision approving the application expected later in 2014, for the same indication as approved by the EMA.</w:t>
      </w:r>
    </w:p>
    <w:p w:rsidR="008E7846" w:rsidRDefault="008E7846" w:rsidP="00800CEB">
      <w:pPr>
        <w:pStyle w:val="Heading3"/>
      </w:pPr>
      <w:bookmarkStart w:id="21" w:name="_Toc404176169"/>
      <w:r>
        <w:t xml:space="preserve">Product </w:t>
      </w:r>
      <w:r w:rsidR="00B17B53">
        <w:rPr>
          <w:lang w:val="en-AU"/>
        </w:rPr>
        <w:t>I</w:t>
      </w:r>
      <w:r>
        <w:t>nformation</w:t>
      </w:r>
      <w:bookmarkEnd w:id="19"/>
      <w:bookmarkEnd w:id="20"/>
      <w:bookmarkEnd w:id="21"/>
    </w:p>
    <w:p w:rsidR="00940A89" w:rsidRDefault="00940A89" w:rsidP="00800CEB">
      <w:pPr>
        <w:rPr>
          <w:b/>
          <w:bCs/>
        </w:rPr>
      </w:pPr>
      <w:bookmarkStart w:id="22" w:name="_Toc247691506"/>
      <w:bookmarkStart w:id="23" w:name="_Toc314842487"/>
      <w:r w:rsidRPr="00940A89">
        <w:t xml:space="preserve">The approved Product Information (PI) current at the time this AusPAR was prepared can be found as Attachment 1. For the most recent </w:t>
      </w:r>
      <w:r w:rsidR="00170E3D">
        <w:t>PI,</w:t>
      </w:r>
      <w:r w:rsidRPr="00940A89">
        <w:t xml:space="preserve"> please refer to the TGA website at &lt;</w:t>
      </w:r>
      <w:hyperlink r:id="rId14" w:history="1">
        <w:r w:rsidRPr="00940A89">
          <w:rPr>
            <w:rStyle w:val="Hyperlink"/>
          </w:rPr>
          <w:t>http://www.tga.gov.au/hp/information-medicines-pi.htm</w:t>
        </w:r>
      </w:hyperlink>
      <w:r w:rsidRPr="00940A89">
        <w:t>&gt;.</w:t>
      </w:r>
    </w:p>
    <w:p w:rsidR="008E7846" w:rsidRPr="003602A9" w:rsidRDefault="008E7846" w:rsidP="00B17B53">
      <w:pPr>
        <w:pStyle w:val="Heading2"/>
      </w:pPr>
      <w:bookmarkStart w:id="24" w:name="_Toc404176170"/>
      <w:r>
        <w:t xml:space="preserve">II. </w:t>
      </w:r>
      <w:r w:rsidRPr="00B17B53">
        <w:t>Quality</w:t>
      </w:r>
      <w:bookmarkEnd w:id="1"/>
      <w:r>
        <w:t xml:space="preserve"> findings</w:t>
      </w:r>
      <w:bookmarkEnd w:id="22"/>
      <w:bookmarkEnd w:id="23"/>
      <w:bookmarkEnd w:id="24"/>
    </w:p>
    <w:p w:rsidR="00940A89" w:rsidRPr="00B17B53" w:rsidRDefault="006D6A1E" w:rsidP="00B17B53">
      <w:pPr>
        <w:pStyle w:val="Heading3"/>
        <w:rPr>
          <w:rFonts w:eastAsia="Cambria"/>
        </w:rPr>
      </w:pPr>
      <w:bookmarkStart w:id="25" w:name="_Toc247691507"/>
      <w:bookmarkStart w:id="26" w:name="_Toc314842488"/>
      <w:bookmarkStart w:id="27" w:name="_Toc404176171"/>
      <w:r w:rsidRPr="00B17B53">
        <w:t>Introduction</w:t>
      </w:r>
      <w:bookmarkEnd w:id="27"/>
    </w:p>
    <w:p w:rsidR="00ED203A" w:rsidRPr="00E1722A" w:rsidRDefault="00ED203A" w:rsidP="00800CEB">
      <w:r>
        <w:t>In this submission, the sponsor seeks approval for pomalidomide as 1 mg, 2 mg, 3 mg and 4 mg hard gelatin capsules</w:t>
      </w:r>
      <w:r w:rsidRPr="008D5E43">
        <w:t xml:space="preserve"> </w:t>
      </w:r>
      <w:r>
        <w:t xml:space="preserve">in </w:t>
      </w:r>
      <w:r w:rsidR="0018128F" w:rsidRPr="0018128F">
        <w:t>polyvinyl chloride</w:t>
      </w:r>
      <w:r w:rsidR="0018128F">
        <w:t>/polychlorotrifluoroethene (</w:t>
      </w:r>
      <w:r w:rsidRPr="00F25574">
        <w:t>PVC/PCTFE</w:t>
      </w:r>
      <w:r w:rsidR="0018128F">
        <w:t>)</w:t>
      </w:r>
      <w:r w:rsidRPr="00F25574">
        <w:t xml:space="preserve"> blister</w:t>
      </w:r>
      <w:r>
        <w:t xml:space="preserve"> packs of 21 capsules,</w:t>
      </w:r>
      <w:r w:rsidRPr="00F25574">
        <w:t xml:space="preserve"> </w:t>
      </w:r>
      <w:r w:rsidR="00F141C7">
        <w:t>under the trade name Pomalyst</w:t>
      </w:r>
      <w:r>
        <w:t xml:space="preserve">. </w:t>
      </w:r>
      <w:r w:rsidRPr="00E1722A">
        <w:t>Clinical comment has been sought regarding the acceptability of the proposed trade</w:t>
      </w:r>
      <w:r w:rsidR="00EC727F">
        <w:t xml:space="preserve"> </w:t>
      </w:r>
      <w:r w:rsidRPr="00E1722A">
        <w:t>name a</w:t>
      </w:r>
      <w:r w:rsidR="00EC727F">
        <w:t>nd it has been found acceptable</w:t>
      </w:r>
      <w:r w:rsidRPr="00E1722A">
        <w:t>.</w:t>
      </w:r>
    </w:p>
    <w:p w:rsidR="00684B70" w:rsidRDefault="00684B70" w:rsidP="00B17B53">
      <w:pPr>
        <w:pStyle w:val="Heading3"/>
      </w:pPr>
      <w:bookmarkStart w:id="28" w:name="_Toc404176172"/>
      <w:r w:rsidRPr="008751DC">
        <w:t xml:space="preserve">Drug </w:t>
      </w:r>
      <w:r w:rsidR="00800CEB">
        <w:rPr>
          <w:lang w:val="en-AU"/>
        </w:rPr>
        <w:t>s</w:t>
      </w:r>
      <w:r w:rsidRPr="008751DC">
        <w:t>ubstance</w:t>
      </w:r>
      <w:r>
        <w:t xml:space="preserve"> (</w:t>
      </w:r>
      <w:r w:rsidR="00800CEB" w:rsidRPr="00B17B53">
        <w:t>a</w:t>
      </w:r>
      <w:r w:rsidRPr="00B17B53">
        <w:t>ctive</w:t>
      </w:r>
      <w:r>
        <w:t xml:space="preserve"> </w:t>
      </w:r>
      <w:r w:rsidR="00800CEB">
        <w:rPr>
          <w:lang w:val="en-AU"/>
        </w:rPr>
        <w:t>i</w:t>
      </w:r>
      <w:r>
        <w:t>ngredient)</w:t>
      </w:r>
      <w:bookmarkEnd w:id="28"/>
    </w:p>
    <w:p w:rsidR="00ED203A" w:rsidRDefault="00ED203A" w:rsidP="00800CEB">
      <w:r>
        <w:t>Pomalidomide is a thalidomide derivative and is the third member of a series of drugs known as immunomodulatory compounds, which also include th</w:t>
      </w:r>
      <w:r w:rsidR="0000416E">
        <w:t>alidomide and lenalidomide (</w:t>
      </w:r>
      <w:r w:rsidR="00777605">
        <w:t>Figure 1</w:t>
      </w:r>
      <w:r>
        <w:t xml:space="preserve">). </w:t>
      </w:r>
      <w:r w:rsidR="003F08D1">
        <w:t>Thalidomide (‘Thalomid’)</w:t>
      </w:r>
      <w:r>
        <w:t xml:space="preserve"> and lenalidomide (‘Revlimid’) capsules are registered by </w:t>
      </w:r>
      <w:r w:rsidR="00572931">
        <w:t xml:space="preserve">the sponsor </w:t>
      </w:r>
      <w:r>
        <w:t xml:space="preserve">as treatments for </w:t>
      </w:r>
      <w:r w:rsidR="003A3B98">
        <w:t>MM</w:t>
      </w:r>
      <w:r>
        <w:t xml:space="preserve"> (cancer of plasma cells).</w:t>
      </w:r>
    </w:p>
    <w:p w:rsidR="005A63D5" w:rsidRDefault="005A63D5" w:rsidP="00800CEB">
      <w:pPr>
        <w:pStyle w:val="FigureTitle"/>
      </w:pPr>
      <w:r>
        <w:t>Figure 1:</w:t>
      </w:r>
      <w:r w:rsidRPr="004C5C28">
        <w:t xml:space="preserve"> </w:t>
      </w:r>
      <w:r w:rsidR="005C0844">
        <w:t>Structures of immunomodulatory compounds</w:t>
      </w:r>
      <w:r>
        <w:t>.</w:t>
      </w:r>
    </w:p>
    <w:p w:rsidR="00ED38DF" w:rsidRDefault="00D41715" w:rsidP="00940A89">
      <w:r>
        <w:rPr>
          <w:noProof/>
          <w:lang w:eastAsia="en-AU"/>
        </w:rPr>
        <w:drawing>
          <wp:inline distT="0" distB="0" distL="0" distR="0" wp14:anchorId="5222928E" wp14:editId="135D3013">
            <wp:extent cx="4470400" cy="1593850"/>
            <wp:effectExtent l="0" t="0" r="6350" b="6350"/>
            <wp:docPr id="12" name="Picture 1" descr="Figure 1: Structures of immunomodulatory comp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Structures of immunomodulatory compound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0400" cy="1593850"/>
                    </a:xfrm>
                    <a:prstGeom prst="rect">
                      <a:avLst/>
                    </a:prstGeom>
                    <a:noFill/>
                    <a:ln>
                      <a:noFill/>
                    </a:ln>
                  </pic:spPr>
                </pic:pic>
              </a:graphicData>
            </a:graphic>
          </wp:inline>
        </w:drawing>
      </w:r>
    </w:p>
    <w:p w:rsidR="00971164" w:rsidRDefault="00971164" w:rsidP="008B0D0A">
      <w:r w:rsidRPr="006A10E9">
        <w:t xml:space="preserve">Pomalidomide </w:t>
      </w:r>
      <w:r>
        <w:t xml:space="preserve">has one chiral centre. The drug substance </w:t>
      </w:r>
      <w:r w:rsidRPr="006A10E9">
        <w:t xml:space="preserve">is </w:t>
      </w:r>
      <w:r>
        <w:t xml:space="preserve">manufactured as </w:t>
      </w:r>
      <w:r w:rsidRPr="006A10E9">
        <w:t xml:space="preserve">a racemic mixture of the </w:t>
      </w:r>
      <w:r>
        <w:t>R- and S-</w:t>
      </w:r>
      <w:r w:rsidRPr="006A10E9">
        <w:t>e</w:t>
      </w:r>
      <w:r>
        <w:t>nantiomers (like</w:t>
      </w:r>
      <w:r w:rsidRPr="00310AED">
        <w:t xml:space="preserve"> thalidomide</w:t>
      </w:r>
      <w:r>
        <w:t xml:space="preserve"> and lenalidomide)</w:t>
      </w:r>
      <w:r w:rsidRPr="002B22A7">
        <w:t>. U</w:t>
      </w:r>
      <w:r w:rsidRPr="00894A95">
        <w:t xml:space="preserve">se of the racemic mixture rather than a specific enantiomer was justified </w:t>
      </w:r>
      <w:r>
        <w:t xml:space="preserve">by the company </w:t>
      </w:r>
      <w:r w:rsidRPr="00894A95">
        <w:t>based on the</w:t>
      </w:r>
      <w:r>
        <w:t xml:space="preserve"> observation </w:t>
      </w:r>
      <w:r w:rsidRPr="00EA14B8">
        <w:t xml:space="preserve">that the two enantiomers interconvert </w:t>
      </w:r>
      <w:r>
        <w:rPr>
          <w:i/>
        </w:rPr>
        <w:t xml:space="preserve">in </w:t>
      </w:r>
      <w:r w:rsidRPr="00EA14B8">
        <w:rPr>
          <w:i/>
        </w:rPr>
        <w:t>vitro</w:t>
      </w:r>
      <w:r w:rsidRPr="00EA14B8">
        <w:t xml:space="preserve"> in buffer at neutral pH and in plasma. </w:t>
      </w:r>
      <w:r>
        <w:t>This is further discussed below.</w:t>
      </w:r>
    </w:p>
    <w:p w:rsidR="00971164" w:rsidRDefault="00971164" w:rsidP="008B0D0A">
      <w:r w:rsidRPr="006A10E9">
        <w:t>The drug substance is</w:t>
      </w:r>
      <w:r w:rsidRPr="00557C3C">
        <w:t xml:space="preserve"> </w:t>
      </w:r>
      <w:r>
        <w:t>p</w:t>
      </w:r>
      <w:r w:rsidRPr="00746FFB">
        <w:t>omalidomide free base</w:t>
      </w:r>
      <w:r>
        <w:t>,</w:t>
      </w:r>
      <w:r w:rsidRPr="006A10E9">
        <w:t xml:space="preserve"> a yellow crystalline powder</w:t>
      </w:r>
      <w:r w:rsidR="00252B8D">
        <w:t>.</w:t>
      </w:r>
      <w:r w:rsidR="00C96BF8">
        <w:t xml:space="preserve"> The</w:t>
      </w:r>
      <w:r w:rsidR="00C96BF8" w:rsidRPr="000331F5">
        <w:t xml:space="preserve"> </w:t>
      </w:r>
      <w:r w:rsidR="00C96BF8" w:rsidRPr="006A10E9">
        <w:t>aqueous</w:t>
      </w:r>
      <w:r w:rsidR="00C96BF8">
        <w:t xml:space="preserve"> solubility of pomalidomide </w:t>
      </w:r>
      <w:r w:rsidR="00C96BF8" w:rsidRPr="006A10E9">
        <w:t xml:space="preserve">is </w:t>
      </w:r>
      <w:r w:rsidR="00C96BF8">
        <w:t>low.</w:t>
      </w:r>
      <w:r w:rsidRPr="006A10E9">
        <w:t xml:space="preserve"> The particle size distribution of the </w:t>
      </w:r>
      <w:r w:rsidR="00703D67" w:rsidRPr="00703D67">
        <w:t>a</w:t>
      </w:r>
      <w:r w:rsidR="00703D67">
        <w:t>ctive pharmaceutical ingredient</w:t>
      </w:r>
      <w:r w:rsidR="00703D67" w:rsidRPr="00703D67">
        <w:t xml:space="preserve"> </w:t>
      </w:r>
      <w:r w:rsidR="00703D67">
        <w:t>(</w:t>
      </w:r>
      <w:r w:rsidRPr="006A10E9">
        <w:t>API</w:t>
      </w:r>
      <w:r w:rsidR="00703D67">
        <w:t>)</w:t>
      </w:r>
      <w:r w:rsidRPr="006A10E9">
        <w:t xml:space="preserve"> is adequately controlled</w:t>
      </w:r>
      <w:r>
        <w:t xml:space="preserve">, based on results for batches including that used </w:t>
      </w:r>
      <w:r w:rsidRPr="006A10E9">
        <w:t>in the manufacture of finished product batches used in pivotal clinical studie</w:t>
      </w:r>
      <w:r>
        <w:t>s</w:t>
      </w:r>
      <w:r w:rsidR="008B0D0A">
        <w:t>.</w:t>
      </w:r>
    </w:p>
    <w:p w:rsidR="008E7846" w:rsidRDefault="008E7846" w:rsidP="00B17B53">
      <w:pPr>
        <w:pStyle w:val="Heading3"/>
      </w:pPr>
      <w:bookmarkStart w:id="29" w:name="_Toc247691508"/>
      <w:bookmarkStart w:id="30" w:name="_Toc314842490"/>
      <w:bookmarkStart w:id="31" w:name="_Toc404176173"/>
      <w:bookmarkEnd w:id="25"/>
      <w:bookmarkEnd w:id="26"/>
      <w:r w:rsidRPr="008751DC">
        <w:lastRenderedPageBreak/>
        <w:t xml:space="preserve">Drug </w:t>
      </w:r>
      <w:r w:rsidR="008B0D0A" w:rsidRPr="00B17B53">
        <w:t>p</w:t>
      </w:r>
      <w:r w:rsidRPr="00B17B53">
        <w:t>roduct</w:t>
      </w:r>
      <w:bookmarkEnd w:id="29"/>
      <w:bookmarkEnd w:id="30"/>
      <w:bookmarkEnd w:id="31"/>
    </w:p>
    <w:p w:rsidR="00684B70" w:rsidRPr="00671F07" w:rsidRDefault="00684B70" w:rsidP="008B0D0A">
      <w:r w:rsidRPr="00671F07">
        <w:t>The strengths are distinguished partly by size (1 mg in size 4 capsule; others in size 2), by capsule body colour (yellow, orange, green or blue respectively; caps are all dark blue), and printing (“POML 2 mg” etc).</w:t>
      </w:r>
    </w:p>
    <w:p w:rsidR="00684B70" w:rsidRPr="00671F07" w:rsidRDefault="00684B70" w:rsidP="008B0D0A">
      <w:r w:rsidRPr="00671F07">
        <w:t>The capsule fills all use the same set of excipients, with pomalidomide blended with the diluents mannitol and pre</w:t>
      </w:r>
      <w:r w:rsidR="00086710">
        <w:t>-</w:t>
      </w:r>
      <w:r w:rsidRPr="00671F07">
        <w:t>gelatinised starch and the lub</w:t>
      </w:r>
      <w:r w:rsidR="008B0D0A">
        <w:t>ricant sodium stearyl fumarate.</w:t>
      </w:r>
    </w:p>
    <w:p w:rsidR="00684B70" w:rsidRPr="00671F07" w:rsidRDefault="00684B70" w:rsidP="008B0D0A">
      <w:r w:rsidRPr="00671F07">
        <w:t xml:space="preserve">Pomalidomide is sufficiently soluble in aqueous systems to allow dissolution testing without surfactants. Drug is dissolved from capsules quite quickly </w:t>
      </w:r>
      <w:r w:rsidRPr="00684B70">
        <w:rPr>
          <w:i/>
        </w:rPr>
        <w:t>in vitro</w:t>
      </w:r>
      <w:r w:rsidRPr="00671F07">
        <w:t>.</w:t>
      </w:r>
    </w:p>
    <w:p w:rsidR="00684B70" w:rsidRPr="00671F07" w:rsidRDefault="00684B70" w:rsidP="008B0D0A">
      <w:r w:rsidRPr="00671F07">
        <w:t>Capsules show good stability and a shelf life of 24 months, when stored below 25°C in original c</w:t>
      </w:r>
      <w:r w:rsidR="008B0D0A">
        <w:t>ontainer, has been established.</w:t>
      </w:r>
    </w:p>
    <w:p w:rsidR="008E7846" w:rsidRDefault="008E7846" w:rsidP="00B17B53">
      <w:pPr>
        <w:pStyle w:val="Heading3"/>
      </w:pPr>
      <w:bookmarkStart w:id="32" w:name="_Toc314842491"/>
      <w:bookmarkStart w:id="33" w:name="_Toc404176174"/>
      <w:r w:rsidRPr="00B17B53">
        <w:t>Biopharmaceutics</w:t>
      </w:r>
      <w:bookmarkEnd w:id="32"/>
      <w:bookmarkEnd w:id="33"/>
    </w:p>
    <w:p w:rsidR="00C31F39" w:rsidRPr="00C31F39" w:rsidRDefault="00C31F39" w:rsidP="00B17B53">
      <w:r w:rsidRPr="00C31F39">
        <w:t>Pharmacokinetic profiles are conventional and show little intrasubject va</w:t>
      </w:r>
      <w:r>
        <w:t xml:space="preserve">riability. </w:t>
      </w:r>
      <w:r w:rsidR="00A313B0" w:rsidRPr="00A313B0">
        <w:t xml:space="preserve">Time to reach maximum plasma concentration following drug administration </w:t>
      </w:r>
      <w:r w:rsidR="00A313B0">
        <w:t>(</w:t>
      </w:r>
      <w:r>
        <w:t>Tmax</w:t>
      </w:r>
      <w:r w:rsidR="00A313B0">
        <w:t>)</w:t>
      </w:r>
      <w:r>
        <w:t xml:space="preserve"> is about 3 h</w:t>
      </w:r>
      <w:r w:rsidRPr="00C31F39">
        <w:t xml:space="preserve">. Pomalidomide is reported to be a substrate of </w:t>
      </w:r>
      <w:r w:rsidR="001B61FA">
        <w:t>P-glycoprotein</w:t>
      </w:r>
      <w:r w:rsidRPr="00C31F39">
        <w:t xml:space="preserve"> but this is claimed to clinically insignificant. Pomalidomide is extensively metabolised via various metabolic pathways, including hydroxylation and hydrolysis. Excretion is primarily renal, largely as metabolites.</w:t>
      </w:r>
    </w:p>
    <w:p w:rsidR="00C31F39" w:rsidRPr="006537D0" w:rsidRDefault="00C31F39" w:rsidP="008B0D0A">
      <w:pPr>
        <w:pStyle w:val="Heading4"/>
      </w:pPr>
      <w:r w:rsidRPr="006537D0">
        <w:t>Enantiomers</w:t>
      </w:r>
    </w:p>
    <w:p w:rsidR="00C31F39" w:rsidRDefault="00C31F39" w:rsidP="008B0D0A">
      <w:r>
        <w:t xml:space="preserve">Pomalidomide is a 1:1 mixture of R- and S-enantiomers. </w:t>
      </w:r>
      <w:r w:rsidRPr="00EA14B8">
        <w:t xml:space="preserve">The racemisation of each appears to occur </w:t>
      </w:r>
      <w:r w:rsidRPr="00AB1E8F">
        <w:t>via</w:t>
      </w:r>
      <w:r w:rsidR="00086710" w:rsidRPr="00AB1E8F">
        <w:t xml:space="preserve"> </w:t>
      </w:r>
      <w:r w:rsidR="00086710">
        <w:t>both enzymatic and non</w:t>
      </w:r>
      <w:r w:rsidR="005B15F5">
        <w:t>-</w:t>
      </w:r>
      <w:r w:rsidRPr="00EA14B8">
        <w:t>enzymatic pathways since gradual racemi</w:t>
      </w:r>
      <w:r>
        <w:t>s</w:t>
      </w:r>
      <w:r w:rsidRPr="00EA14B8">
        <w:t>ation</w:t>
      </w:r>
      <w:r w:rsidR="00086710">
        <w:t xml:space="preserve"> (approximate half-life of 24 h</w:t>
      </w:r>
      <w:r w:rsidRPr="00EA14B8">
        <w:t xml:space="preserve">) was observed </w:t>
      </w:r>
      <w:r w:rsidRPr="00894A95">
        <w:rPr>
          <w:i/>
        </w:rPr>
        <w:t>in vitro</w:t>
      </w:r>
      <w:r w:rsidRPr="00EA14B8">
        <w:t xml:space="preserve"> in buffer (pH 7) and more rapid racemi</w:t>
      </w:r>
      <w:r>
        <w:t>s</w:t>
      </w:r>
      <w:r w:rsidRPr="00EA14B8">
        <w:t xml:space="preserve">ation was observed </w:t>
      </w:r>
      <w:r w:rsidRPr="00894A95">
        <w:rPr>
          <w:i/>
        </w:rPr>
        <w:t>in vitro</w:t>
      </w:r>
      <w:r w:rsidRPr="00EA14B8">
        <w:t xml:space="preserve"> in monkey and human plasma</w:t>
      </w:r>
      <w:r>
        <w:t xml:space="preserve"> (</w:t>
      </w:r>
      <w:r w:rsidRPr="00EA14B8">
        <w:t xml:space="preserve">1:1 ratio achieved </w:t>
      </w:r>
      <w:r>
        <w:t>after</w:t>
      </w:r>
      <w:r w:rsidR="00086710">
        <w:t xml:space="preserve"> approximately 4 h; elimination </w:t>
      </w:r>
      <w:r w:rsidR="00F95A9E">
        <w:t>half-li</w:t>
      </w:r>
      <w:r w:rsidR="00086710">
        <w:t>fe of about 7.5 h</w:t>
      </w:r>
      <w:r>
        <w:t>; Study CC-4047-DMPK-030)</w:t>
      </w:r>
      <w:r w:rsidRPr="00EA14B8">
        <w:t>. Interconversion was also observed in monkeys following oral or</w:t>
      </w:r>
      <w:r w:rsidR="00086710">
        <w:t xml:space="preserve"> intravenous</w:t>
      </w:r>
      <w:r w:rsidRPr="00EA14B8">
        <w:t xml:space="preserve"> </w:t>
      </w:r>
      <w:r w:rsidR="00086710">
        <w:t>(</w:t>
      </w:r>
      <w:r w:rsidRPr="00EA14B8">
        <w:t>IV</w:t>
      </w:r>
      <w:r w:rsidR="00086710">
        <w:t>)</w:t>
      </w:r>
      <w:r w:rsidRPr="00EA14B8">
        <w:t xml:space="preserve"> administration of the individual enantiomers; 18% to 32%</w:t>
      </w:r>
      <w:r>
        <w:t xml:space="preserve"> conversion based on AUC r</w:t>
      </w:r>
      <w:r w:rsidR="008B0D0A">
        <w:t>atios (Study CC-4047-DMPK-021).</w:t>
      </w:r>
    </w:p>
    <w:p w:rsidR="00C31F39" w:rsidRPr="00352177" w:rsidRDefault="00C31F39" w:rsidP="00B17B53">
      <w:r>
        <w:t>Notwithstanding this, Study CC-4047-DMPK-021 reveals differences in the pharmacokinetic behaviour between the two enantiomers. After IV or oral administration of the racemate in monkeys, the AUC of the R-enantiomer was almost twice that of the S</w:t>
      </w:r>
      <w:r>
        <w:noBreakHyphen/>
        <w:t>enantiomer, presumably reflecting the observation that the clearance value for the S</w:t>
      </w:r>
      <w:r>
        <w:noBreakHyphen/>
        <w:t>enantiomer is approximately twice that of the R-enantiomer.</w:t>
      </w:r>
    </w:p>
    <w:p w:rsidR="00C31F39" w:rsidRPr="006537D0" w:rsidRDefault="00C31F39" w:rsidP="00B17B53">
      <w:pPr>
        <w:pStyle w:val="Heading4"/>
      </w:pPr>
      <w:r w:rsidRPr="00B17B53">
        <w:t>Bioequivalence</w:t>
      </w:r>
    </w:p>
    <w:p w:rsidR="00C31F39" w:rsidRDefault="00AB1E8F" w:rsidP="008B0D0A">
      <w:r>
        <w:t>Bioequivalence S</w:t>
      </w:r>
      <w:r w:rsidR="00C31F39" w:rsidRPr="00772380">
        <w:t>tudy CC-4047-CP-007 compared the different Formula 3</w:t>
      </w:r>
      <w:r w:rsidR="002D4AA1">
        <w:t xml:space="preserve"> (</w:t>
      </w:r>
      <w:r w:rsidR="002D4AA1" w:rsidRPr="000321F6">
        <w:t>proposed commercial formulation</w:t>
      </w:r>
      <w:r w:rsidR="002D4AA1">
        <w:t>)</w:t>
      </w:r>
      <w:r w:rsidR="00C31F39" w:rsidRPr="00772380">
        <w:t xml:space="preserve"> capsule fills</w:t>
      </w:r>
      <w:r w:rsidR="00C31F39">
        <w:t xml:space="preserve"> (same excipients but in different ratios)</w:t>
      </w:r>
      <w:r w:rsidR="00C31F39" w:rsidRPr="00772380">
        <w:t xml:space="preserve"> used</w:t>
      </w:r>
      <w:r w:rsidR="00C31F39">
        <w:t xml:space="preserve"> f</w:t>
      </w:r>
      <w:r w:rsidR="00DA1B9D">
        <w:t xml:space="preserve">or the different strengths (that is, 1 + 2 mg versus </w:t>
      </w:r>
      <w:r w:rsidR="00C31F39">
        <w:t>3 + 4 mg); this showed that a single 4 mg cap</w:t>
      </w:r>
      <w:r w:rsidR="002D4AA1">
        <w:t xml:space="preserve">sule is bioequivalent to two 2 </w:t>
      </w:r>
      <w:r w:rsidR="00C31F39">
        <w:t>mg capsules and a single 3 mg capsule is bioequivalent to one 1 mg capsule plus one 2 mg capsule when administered under fasted conditions.</w:t>
      </w:r>
    </w:p>
    <w:p w:rsidR="00C31F39" w:rsidRPr="00B17B53" w:rsidRDefault="00C31F39" w:rsidP="00B17B53">
      <w:pPr>
        <w:pStyle w:val="Heading4"/>
      </w:pPr>
      <w:r>
        <w:t>Food</w:t>
      </w:r>
    </w:p>
    <w:p w:rsidR="00C31F39" w:rsidRPr="000321F6" w:rsidRDefault="00C31F39" w:rsidP="00C31F39">
      <w:r w:rsidRPr="000321F6">
        <w:t>Study CC-4047-CP-005 included a study of the effect of food on an experimental formulation which had different ratios of the same excipients c</w:t>
      </w:r>
      <w:r w:rsidR="000A498B">
        <w:t>ompared with those used in the Phase II</w:t>
      </w:r>
      <w:r w:rsidRPr="000321F6">
        <w:t xml:space="preserve"> clinical formulation (‘Formula 3’ =</w:t>
      </w:r>
      <w:r>
        <w:t xml:space="preserve"> </w:t>
      </w:r>
      <w:r w:rsidRPr="000321F6">
        <w:t>proposed commercial formulation). These formulation</w:t>
      </w:r>
      <w:r w:rsidR="00626266">
        <w:t>s</w:t>
      </w:r>
      <w:r w:rsidRPr="000321F6">
        <w:t xml:space="preserve"> were not bioequivalent with respect to Cmax and ‘Formula 4’ has not been further developed.</w:t>
      </w:r>
    </w:p>
    <w:p w:rsidR="00C31F39" w:rsidRDefault="00C31F39" w:rsidP="008B0D0A">
      <w:r>
        <w:lastRenderedPageBreak/>
        <w:t>The effect of food has only been measured on this test formulation. A</w:t>
      </w:r>
      <w:r w:rsidRPr="001719B6">
        <w:t xml:space="preserve"> high fat meal</w:t>
      </w:r>
      <w:r>
        <w:t xml:space="preserve"> slowed</w:t>
      </w:r>
      <w:r w:rsidRPr="001719B6">
        <w:t xml:space="preserve"> the rate of absorption but had minimal effect on overall extent of abso</w:t>
      </w:r>
      <w:r>
        <w:t>rption (Study CC-4047-CP-005). No direct study of the effect of food on the commercial formulation has been submitted, but it is considered reasonable to extrapolate the effect given the similarity of the formulations.</w:t>
      </w:r>
    </w:p>
    <w:p w:rsidR="00C31F39" w:rsidRDefault="00C31F39" w:rsidP="008B0D0A">
      <w:r>
        <w:t>The proposed labelling</w:t>
      </w:r>
      <w:r w:rsidRPr="001719B6">
        <w:t xml:space="preserve"> </w:t>
      </w:r>
      <w:r>
        <w:t xml:space="preserve">recommends that the </w:t>
      </w:r>
      <w:r w:rsidRPr="001719B6">
        <w:t>pomalidomide</w:t>
      </w:r>
      <w:r>
        <w:t xml:space="preserve"> capsules</w:t>
      </w:r>
      <w:r w:rsidRPr="001719B6">
        <w:t xml:space="preserve"> can be administered</w:t>
      </w:r>
      <w:r w:rsidR="008B0D0A">
        <w:t xml:space="preserve"> without regard to food intake.</w:t>
      </w:r>
    </w:p>
    <w:p w:rsidR="00C31F39" w:rsidRPr="006537D0" w:rsidRDefault="00C31F39" w:rsidP="00B17B53">
      <w:pPr>
        <w:pStyle w:val="Heading4"/>
      </w:pPr>
      <w:r w:rsidRPr="006537D0">
        <w:t xml:space="preserve">Absolute </w:t>
      </w:r>
      <w:r w:rsidR="00626266" w:rsidRPr="00B17B53">
        <w:t>b</w:t>
      </w:r>
      <w:r w:rsidRPr="00B17B53">
        <w:t>ioavailability</w:t>
      </w:r>
    </w:p>
    <w:p w:rsidR="00C31F39" w:rsidRPr="00111360" w:rsidRDefault="00C31F39" w:rsidP="008B0D0A">
      <w:pPr>
        <w:rPr>
          <w:lang w:eastAsia="en-AU"/>
        </w:rPr>
      </w:pPr>
      <w:r w:rsidRPr="00111360">
        <w:rPr>
          <w:lang w:eastAsia="en-AU"/>
        </w:rPr>
        <w:t xml:space="preserve">An absolute bioavailability study is expected as part of the fundamental pharmacokinetic characterisation of a new chemical entity. This submission does not include such data. </w:t>
      </w:r>
      <w:r w:rsidR="00626266">
        <w:rPr>
          <w:lang w:eastAsia="en-AU"/>
        </w:rPr>
        <w:t>The sponsor</w:t>
      </w:r>
      <w:r w:rsidRPr="00111360">
        <w:rPr>
          <w:lang w:eastAsia="en-AU"/>
        </w:rPr>
        <w:t xml:space="preserve"> argues that preparation of a solution formulation of pomalidomide is not feasible because of the instability of the drug and its limited s</w:t>
      </w:r>
      <w:r w:rsidR="008B0D0A">
        <w:rPr>
          <w:lang w:eastAsia="en-AU"/>
        </w:rPr>
        <w:t xml:space="preserve">olubility </w:t>
      </w:r>
      <w:proofErr w:type="gramStart"/>
      <w:r w:rsidR="008B0D0A">
        <w:rPr>
          <w:lang w:eastAsia="en-AU"/>
        </w:rPr>
        <w:t>(13 μg/mL at pH 6.8)</w:t>
      </w:r>
      <w:proofErr w:type="gramEnd"/>
      <w:r w:rsidR="008B0D0A">
        <w:rPr>
          <w:lang w:eastAsia="en-AU"/>
        </w:rPr>
        <w:t>.</w:t>
      </w:r>
    </w:p>
    <w:p w:rsidR="00C31F39" w:rsidRPr="00111360" w:rsidRDefault="00626266" w:rsidP="008B0D0A">
      <w:pPr>
        <w:rPr>
          <w:lang w:eastAsia="en-AU"/>
        </w:rPr>
      </w:pPr>
      <w:r>
        <w:rPr>
          <w:lang w:eastAsia="en-AU"/>
        </w:rPr>
        <w:t>The sponsor</w:t>
      </w:r>
      <w:r w:rsidR="00C31F39" w:rsidRPr="00111360">
        <w:rPr>
          <w:lang w:eastAsia="en-AU"/>
        </w:rPr>
        <w:t xml:space="preserve"> also argues that the </w:t>
      </w:r>
      <w:r w:rsidR="008B3942" w:rsidRPr="008B3942">
        <w:rPr>
          <w:lang w:eastAsia="en-AU"/>
        </w:rPr>
        <w:t xml:space="preserve">absorption, distribution, metabolism, and excretion </w:t>
      </w:r>
      <w:r w:rsidR="008B3942">
        <w:rPr>
          <w:lang w:eastAsia="en-AU"/>
        </w:rPr>
        <w:t>(</w:t>
      </w:r>
      <w:r w:rsidR="00C31F39" w:rsidRPr="00111360">
        <w:rPr>
          <w:lang w:eastAsia="en-AU"/>
        </w:rPr>
        <w:t>ADME</w:t>
      </w:r>
      <w:r w:rsidR="008B3942">
        <w:rPr>
          <w:lang w:eastAsia="en-AU"/>
        </w:rPr>
        <w:t>)</w:t>
      </w:r>
      <w:r w:rsidR="00C31F39" w:rsidRPr="00111360">
        <w:rPr>
          <w:lang w:eastAsia="en-AU"/>
        </w:rPr>
        <w:t xml:space="preserve"> </w:t>
      </w:r>
      <w:r w:rsidR="008B3942">
        <w:rPr>
          <w:lang w:eastAsia="en-AU"/>
        </w:rPr>
        <w:t>S</w:t>
      </w:r>
      <w:r w:rsidR="00C31F39" w:rsidRPr="00111360">
        <w:rPr>
          <w:lang w:eastAsia="en-AU"/>
        </w:rPr>
        <w:t>tudy CC-4047-CP-004, in which 2 mg pomalidomide was dosed as a poorly detailed oral suspension</w:t>
      </w:r>
      <w:r w:rsidR="00C31F39">
        <w:rPr>
          <w:lang w:eastAsia="en-AU"/>
        </w:rPr>
        <w:t xml:space="preserve"> </w:t>
      </w:r>
      <w:r w:rsidR="00C31F39" w:rsidRPr="00111360">
        <w:rPr>
          <w:lang w:eastAsia="en-AU"/>
        </w:rPr>
        <w:t>in healthy male subjects, showed that at least 73% of the drug was absorbed from t</w:t>
      </w:r>
      <w:r w:rsidR="00B074E7">
        <w:rPr>
          <w:lang w:eastAsia="en-AU"/>
        </w:rPr>
        <w:t xml:space="preserve">he gastrointestinal </w:t>
      </w:r>
      <w:r w:rsidR="007425FA">
        <w:rPr>
          <w:lang w:eastAsia="en-AU"/>
        </w:rPr>
        <w:t xml:space="preserve">(GI) </w:t>
      </w:r>
      <w:r w:rsidR="00B074E7">
        <w:rPr>
          <w:lang w:eastAsia="en-AU"/>
        </w:rPr>
        <w:t xml:space="preserve">tract (that is, </w:t>
      </w:r>
      <w:r w:rsidR="00C31F39" w:rsidRPr="00111360">
        <w:rPr>
          <w:lang w:eastAsia="en-AU"/>
        </w:rPr>
        <w:t>seen as urinary radioactivity), so an absolute bioavailability study would offer little additional information about absorption.</w:t>
      </w:r>
    </w:p>
    <w:p w:rsidR="008E7846" w:rsidRPr="008751DC" w:rsidRDefault="008E7846" w:rsidP="00B17B53">
      <w:pPr>
        <w:pStyle w:val="Heading3"/>
      </w:pPr>
      <w:bookmarkStart w:id="34" w:name="_Toc247691509"/>
      <w:bookmarkStart w:id="35" w:name="_Toc314842493"/>
      <w:bookmarkStart w:id="36" w:name="_Toc404176175"/>
      <w:r>
        <w:t xml:space="preserve">Quality </w:t>
      </w:r>
      <w:r w:rsidR="008B0D0A" w:rsidRPr="00B17B53">
        <w:t>s</w:t>
      </w:r>
      <w:r w:rsidRPr="00B17B53">
        <w:t>ummary</w:t>
      </w:r>
      <w:r>
        <w:t xml:space="preserve"> and </w:t>
      </w:r>
      <w:r w:rsidR="008B0D0A">
        <w:rPr>
          <w:lang w:val="en-AU"/>
        </w:rPr>
        <w:t>c</w:t>
      </w:r>
      <w:r>
        <w:t>onclusions</w:t>
      </w:r>
      <w:bookmarkEnd w:id="34"/>
      <w:bookmarkEnd w:id="35"/>
      <w:bookmarkEnd w:id="36"/>
    </w:p>
    <w:p w:rsidR="00C942D6" w:rsidRPr="00C942D6" w:rsidRDefault="00C942D6" w:rsidP="008B0D0A">
      <w:r w:rsidRPr="00C942D6">
        <w:t>Registration is recommended with respect to quality and biopharmaceutic aspects. All issues raised during the initial evaluation of this application have been satisfactor</w:t>
      </w:r>
      <w:r w:rsidR="008B0D0A">
        <w:t>ily resolved.</w:t>
      </w:r>
    </w:p>
    <w:p w:rsidR="00C942D6" w:rsidRPr="00C942D6" w:rsidRDefault="00C942D6" w:rsidP="008B0D0A">
      <w:r w:rsidRPr="00C942D6">
        <w:t xml:space="preserve">As no significant pharmaceutical chemistry issues were identified, the submission was not referred to the Pharmaceutical Subcommittee </w:t>
      </w:r>
      <w:r w:rsidR="00040367">
        <w:t xml:space="preserve">(PSC) </w:t>
      </w:r>
      <w:r w:rsidRPr="00C942D6">
        <w:t xml:space="preserve">of the </w:t>
      </w:r>
      <w:r w:rsidR="002567A7">
        <w:t>ACPM</w:t>
      </w:r>
      <w:r w:rsidRPr="00C942D6">
        <w:t>.</w:t>
      </w:r>
    </w:p>
    <w:p w:rsidR="008E7846" w:rsidRDefault="008E7846" w:rsidP="008E7846">
      <w:pPr>
        <w:pStyle w:val="Heading2"/>
      </w:pPr>
      <w:bookmarkStart w:id="37" w:name="_Toc196046439"/>
      <w:bookmarkStart w:id="38" w:name="_Toc247691510"/>
      <w:bookmarkStart w:id="39" w:name="_Toc314842494"/>
      <w:bookmarkStart w:id="40" w:name="_Toc404176176"/>
      <w:r>
        <w:t>III. Nonclinical</w:t>
      </w:r>
      <w:bookmarkEnd w:id="37"/>
      <w:r>
        <w:t xml:space="preserve"> findings</w:t>
      </w:r>
      <w:bookmarkEnd w:id="38"/>
      <w:bookmarkEnd w:id="39"/>
      <w:bookmarkEnd w:id="40"/>
    </w:p>
    <w:p w:rsidR="008E7846" w:rsidRDefault="008E7846" w:rsidP="00B17B53">
      <w:pPr>
        <w:pStyle w:val="Heading3"/>
      </w:pPr>
      <w:bookmarkStart w:id="41" w:name="_Toc247691511"/>
      <w:bookmarkStart w:id="42" w:name="_Toc314842495"/>
      <w:bookmarkStart w:id="43" w:name="_Toc404176177"/>
      <w:r w:rsidRPr="00B17B53">
        <w:t>Introduction</w:t>
      </w:r>
      <w:bookmarkEnd w:id="41"/>
      <w:bookmarkEnd w:id="42"/>
      <w:bookmarkEnd w:id="43"/>
    </w:p>
    <w:p w:rsidR="00B64D06" w:rsidRPr="00B64D06" w:rsidRDefault="00B64D06" w:rsidP="008B0D0A">
      <w:r w:rsidRPr="00B64D06">
        <w:t xml:space="preserve">The submitted </w:t>
      </w:r>
      <w:r>
        <w:t>nonclinical</w:t>
      </w:r>
      <w:r w:rsidRPr="00B64D06">
        <w:t xml:space="preserve"> data were in general accordance with the ICH guideline on the nonclinical evaluation of anti</w:t>
      </w:r>
      <w:r w:rsidR="00381A0B">
        <w:t>cancer pharmaceuticals.</w:t>
      </w:r>
      <w:r w:rsidR="0027574D">
        <w:rPr>
          <w:rStyle w:val="FootnoteReference"/>
        </w:rPr>
        <w:footnoteReference w:id="1"/>
      </w:r>
    </w:p>
    <w:p w:rsidR="008E7846" w:rsidRDefault="008E7846" w:rsidP="00B17B53">
      <w:pPr>
        <w:pStyle w:val="Heading3"/>
      </w:pPr>
      <w:bookmarkStart w:id="44" w:name="_Toc247691512"/>
      <w:bookmarkStart w:id="45" w:name="_Toc314842496"/>
      <w:bookmarkStart w:id="46" w:name="_Toc404176178"/>
      <w:r w:rsidRPr="00B17B53">
        <w:t>Pharmacology</w:t>
      </w:r>
      <w:bookmarkEnd w:id="44"/>
      <w:bookmarkEnd w:id="45"/>
      <w:bookmarkEnd w:id="46"/>
    </w:p>
    <w:p w:rsidR="009160AD" w:rsidRDefault="009160AD" w:rsidP="008B0D0A">
      <w:pPr>
        <w:pStyle w:val="Heading4"/>
      </w:pPr>
      <w:r>
        <w:t>Primary pharmacology</w:t>
      </w:r>
    </w:p>
    <w:p w:rsidR="009160AD" w:rsidRDefault="009160AD" w:rsidP="008B0D0A">
      <w:pPr>
        <w:pStyle w:val="Heading5"/>
      </w:pPr>
      <w:r>
        <w:t>Rationale and mechanism of action</w:t>
      </w:r>
    </w:p>
    <w:p w:rsidR="009160AD" w:rsidRPr="009160AD" w:rsidRDefault="009160AD" w:rsidP="008B0D0A">
      <w:r w:rsidRPr="009160AD">
        <w:t xml:space="preserve">MM is a progressive haematological malignancy of plasma cells which accumulate in the bone marrow resulting in skeletal destruction, renal failure, anaemia and </w:t>
      </w:r>
      <w:proofErr w:type="gramStart"/>
      <w:r w:rsidRPr="009160AD">
        <w:t>hypercalcaemia.</w:t>
      </w:r>
      <w:proofErr w:type="gramEnd"/>
      <w:r w:rsidRPr="009160AD">
        <w:t xml:space="preserve"> Adhesion of MM cells to bone marrow stromal cells (BMSCs) triggers secretion of cytokines that augment MM cell growth and survival, and confers drug resistance. Pro-inflammatory cytokines such as interleukin (IL)-6, IL-1β, IL-12 and tumour necrosis factor-α (TNF-α) and the anti-inflammatory cytokine IL-10 may influence MM cell growth </w:t>
      </w:r>
      <w:r w:rsidRPr="009160AD">
        <w:lastRenderedPageBreak/>
        <w:t>and survival. Vascular endothelial growth factor (VEGF) and basic fibroblast growth factor (bFGF or FGF2) are secreted by MM and/or BMSCs and may play a role in tumour growth and survival and bone marrow vascularisa</w:t>
      </w:r>
      <w:r w:rsidR="005B367D">
        <w:t>tion and angiogenesis. The over</w:t>
      </w:r>
      <w:r w:rsidRPr="009160AD">
        <w:t>expression of cyclooxygenase (COX)-2 has been demonstrated to play a role in the pathogenesis of a variety of cancers and in the tumour angiogenesis process.</w:t>
      </w:r>
    </w:p>
    <w:p w:rsidR="009160AD" w:rsidRDefault="009160AD" w:rsidP="008B0D0A">
      <w:pPr>
        <w:pStyle w:val="Heading5"/>
      </w:pPr>
      <w:r>
        <w:t>In vitro</w:t>
      </w:r>
    </w:p>
    <w:p w:rsidR="009160AD" w:rsidRPr="009160AD" w:rsidRDefault="009160AD" w:rsidP="00B17B53">
      <w:r w:rsidRPr="009160AD">
        <w:t xml:space="preserve">Overall, the pharmacological profile of pomalidomide was similar to lenalidomide. Both pomalidomide and lenalidomide inhibited the proliferation of </w:t>
      </w:r>
      <w:r w:rsidR="00B639BE">
        <w:t>MM</w:t>
      </w:r>
      <w:r w:rsidRPr="009160AD">
        <w:t xml:space="preserve"> cells (characterised by G1 cell cycle arrest) and induced apoptosis. Both drugs inhibited cytokine production in </w:t>
      </w:r>
      <w:r w:rsidR="00BF6C3F" w:rsidRPr="00BF6C3F">
        <w:rPr>
          <w:rStyle w:val="Emphasis"/>
          <w:rFonts w:cs="Arial"/>
          <w:b w:val="0"/>
          <w:color w:val="222222"/>
        </w:rPr>
        <w:t>peripheral blood mononuclear cells</w:t>
      </w:r>
      <w:r w:rsidR="00BF6C3F" w:rsidRPr="00BF6C3F">
        <w:rPr>
          <w:rStyle w:val="st"/>
          <w:rFonts w:ascii="Arial" w:hAnsi="Arial" w:cs="Arial"/>
          <w:color w:val="222222"/>
        </w:rPr>
        <w:t xml:space="preserve"> (</w:t>
      </w:r>
      <w:r w:rsidRPr="00BF6C3F">
        <w:t>PBMCs</w:t>
      </w:r>
      <w:r w:rsidR="00BF6C3F" w:rsidRPr="00BF6C3F">
        <w:t>)</w:t>
      </w:r>
      <w:r w:rsidRPr="00BF6C3F">
        <w:t xml:space="preserve"> (TNF-α, </w:t>
      </w:r>
      <w:r w:rsidR="00BF6C3F">
        <w:t>interleukin (</w:t>
      </w:r>
      <w:r w:rsidRPr="00BF6C3F">
        <w:t>IL</w:t>
      </w:r>
      <w:r w:rsidR="00BF6C3F">
        <w:t>)</w:t>
      </w:r>
      <w:r w:rsidRPr="00BF6C3F">
        <w:noBreakHyphen/>
        <w:t>1β</w:t>
      </w:r>
      <w:r w:rsidR="00BF6C3F">
        <w:t xml:space="preserve"> and</w:t>
      </w:r>
      <w:r w:rsidRPr="00BF6C3F">
        <w:t xml:space="preserve"> IL-6) but</w:t>
      </w:r>
      <w:r w:rsidRPr="009160AD">
        <w:t xml:space="preserve"> induced cytokine production from stimulated T cells (IL-</w:t>
      </w:r>
      <w:r w:rsidRPr="00BF6C3F">
        <w:t xml:space="preserve">2, </w:t>
      </w:r>
      <w:r w:rsidR="00BF6C3F" w:rsidRPr="00BF6C3F">
        <w:t>Interferon gamma (</w:t>
      </w:r>
      <w:r w:rsidRPr="009160AD">
        <w:t>IFN-γ</w:t>
      </w:r>
      <w:r w:rsidR="00BF6C3F">
        <w:t>)</w:t>
      </w:r>
      <w:r w:rsidRPr="009160AD">
        <w:t xml:space="preserve">, TNF-α, IL-4, IL-5, IL-13). Both pomalidomide and lenalidomide had anti-angiogenic activity in a human umbilical cord vessel assay and in an </w:t>
      </w:r>
      <w:r w:rsidRPr="008B0527">
        <w:rPr>
          <w:i/>
        </w:rPr>
        <w:t>in vivo</w:t>
      </w:r>
      <w:r w:rsidRPr="009160AD">
        <w:t xml:space="preserve"> angiogenesis plug assay Pomalidomide was shown to inhibit the proliferation of erythroid (but not myeloid) progenitor cells at clinically</w:t>
      </w:r>
      <w:r w:rsidR="009F7CF2">
        <w:t xml:space="preserve"> </w:t>
      </w:r>
      <w:r w:rsidRPr="009160AD">
        <w:t>relevan</w:t>
      </w:r>
      <w:r w:rsidR="0040428C">
        <w:t xml:space="preserve">t concentrations: </w:t>
      </w:r>
      <w:r w:rsidR="00ED2D7E" w:rsidRPr="009160AD">
        <w:t>half</w:t>
      </w:r>
      <w:r w:rsidR="00ED2D7E">
        <w:t xml:space="preserve"> </w:t>
      </w:r>
      <w:r w:rsidR="00ED2D7E" w:rsidRPr="009160AD">
        <w:t xml:space="preserve">maximal </w:t>
      </w:r>
      <w:r w:rsidR="00452567">
        <w:t>inhibitory</w:t>
      </w:r>
      <w:r w:rsidR="00ED2D7E" w:rsidRPr="009160AD">
        <w:t xml:space="preserve"> concentration </w:t>
      </w:r>
      <w:r w:rsidR="00D4266B">
        <w:t>(</w:t>
      </w:r>
      <w:r w:rsidR="0040428C">
        <w:t>IC50</w:t>
      </w:r>
      <w:r w:rsidR="00D4266B">
        <w:t>)</w:t>
      </w:r>
      <w:r w:rsidR="0040428C">
        <w:t xml:space="preserve"> 70 nM compared to </w:t>
      </w:r>
      <w:r w:rsidR="00D4266B">
        <w:t>m</w:t>
      </w:r>
      <w:r w:rsidR="00D4266B" w:rsidRPr="00D4266B">
        <w:t xml:space="preserve">aximum plasma drug concentration </w:t>
      </w:r>
      <w:r w:rsidR="00D4266B">
        <w:t>(</w:t>
      </w:r>
      <w:r w:rsidR="0040428C">
        <w:t>Cmax</w:t>
      </w:r>
      <w:r w:rsidR="00D4266B">
        <w:t>)</w:t>
      </w:r>
      <w:r w:rsidR="0040428C">
        <w:t xml:space="preserve"> 279 nM</w:t>
      </w:r>
      <w:r w:rsidRPr="009160AD">
        <w:t>.</w:t>
      </w:r>
    </w:p>
    <w:p w:rsidR="009160AD" w:rsidRPr="009160AD" w:rsidRDefault="009160AD" w:rsidP="00B17B53">
      <w:r w:rsidRPr="009160AD">
        <w:t>Expression of cereblon (CRBN) is required for pomalidomide and lenalidomide induction of IL-2 and TNF-α in activated T cells. Lenalidomide resistant MM cells have reduced CRBN levels but were shown to be susceptible to pomalidomide (albeit at higher concentrations than lenalidomide sensitive MM cells). However, a severe reduction in CRBN levels conferred resistance to pomalidomide, and prolonged use of pomalidomide (with or without dexamethasone) led to the generation of pomalidomide resistant cells. The data somewhat supports the use of pomalidomide for lenalidomide resistant MM. However, given the mechanism of lenalidomide resistance is the same as that conferring pomalidomide resistance, the only difference is the threshold</w:t>
      </w:r>
      <w:r w:rsidR="006811B8">
        <w:t>;</w:t>
      </w:r>
      <w:r w:rsidRPr="009160AD">
        <w:t xml:space="preserve"> pomalidomide may have limited efficacy in some lenalidomide resistant MM pati</w:t>
      </w:r>
      <w:r w:rsidR="00235BDA">
        <w:t xml:space="preserve">ents, and efficacy may be short </w:t>
      </w:r>
      <w:r w:rsidRPr="009160AD">
        <w:t>lived due to generation of pomalidomide resistance.</w:t>
      </w:r>
    </w:p>
    <w:p w:rsidR="009160AD" w:rsidRPr="009160AD" w:rsidRDefault="009160AD" w:rsidP="008B0D0A">
      <w:r w:rsidRPr="009160AD">
        <w:t xml:space="preserve">The combination of pomalidomide and dexamethasone was synergistic in reducing the growth of lenalidomide sensitive and resistant cell </w:t>
      </w:r>
      <w:proofErr w:type="gramStart"/>
      <w:r w:rsidRPr="009160AD">
        <w:t>lines,</w:t>
      </w:r>
      <w:proofErr w:type="gramEnd"/>
      <w:r w:rsidRPr="009160AD">
        <w:t xml:space="preserve"> though the efficacy was clearly better in lenalidomide sensitive cell lines (IC50 was 52 times against lenalidomide resistant cells than that seen against lenalidomide sensitive cells).</w:t>
      </w:r>
    </w:p>
    <w:p w:rsidR="009160AD" w:rsidRPr="009160AD" w:rsidRDefault="009160AD" w:rsidP="00B17B53">
      <w:r w:rsidRPr="009160AD">
        <w:t xml:space="preserve">Together, the </w:t>
      </w:r>
      <w:r w:rsidRPr="005C2CEF">
        <w:rPr>
          <w:i/>
        </w:rPr>
        <w:t>in vitro</w:t>
      </w:r>
      <w:r w:rsidRPr="009160AD">
        <w:t xml:space="preserve"> data support the use of the combination of pomalidomide and dexamethasone for the treatment of lenalidomide resistant MM. However, reduced efficacy may be seen in some patients and pomalidomide resistance is likely to develop quickly. No </w:t>
      </w:r>
      <w:r w:rsidRPr="005C2CEF">
        <w:rPr>
          <w:i/>
        </w:rPr>
        <w:t>in vitro</w:t>
      </w:r>
      <w:r w:rsidRPr="009160AD">
        <w:t xml:space="preserve"> studies were conducted to assess efficacy against bortezomib (or any other proteasome inhibitor) resistant lines.</w:t>
      </w:r>
    </w:p>
    <w:p w:rsidR="009160AD" w:rsidRDefault="009160AD" w:rsidP="008B0D0A">
      <w:pPr>
        <w:pStyle w:val="Heading5"/>
      </w:pPr>
      <w:r>
        <w:t>In vivo</w:t>
      </w:r>
    </w:p>
    <w:p w:rsidR="009160AD" w:rsidRPr="009160AD" w:rsidRDefault="009160AD" w:rsidP="00B17B53">
      <w:r w:rsidRPr="009160AD">
        <w:t>The anti</w:t>
      </w:r>
      <w:r w:rsidR="005B15F5">
        <w:t>-</w:t>
      </w:r>
      <w:r w:rsidRPr="009160AD">
        <w:t xml:space="preserve">tumour efficacy of pomalidomide was assessed in </w:t>
      </w:r>
      <w:r w:rsidR="00F33607">
        <w:t>s</w:t>
      </w:r>
      <w:r w:rsidR="00F33607" w:rsidRPr="00F33607">
        <w:t xml:space="preserve">evere combined immunodeficiency </w:t>
      </w:r>
      <w:r w:rsidR="00F33607">
        <w:t>(</w:t>
      </w:r>
      <w:r w:rsidRPr="009160AD">
        <w:t>SCID</w:t>
      </w:r>
      <w:r w:rsidR="00F33607">
        <w:t>)</w:t>
      </w:r>
      <w:r w:rsidRPr="009160AD">
        <w:t xml:space="preserve"> mice bearing xenografts of human MM tumours (lenalidomide resistant and combined bortezomib and lenalidomide resistant) and human plasma cell myeloma (lenalidomide resistant). Lower human IgG levels and borderline significant tumour growth inhibition was seen in mice bearing lenalidomide resistant MM xenografts treated wi</w:t>
      </w:r>
      <w:r w:rsidR="00F37904">
        <w:t>th pomalidomide (10 mg/kg/day per os [PO]</w:t>
      </w:r>
      <w:r w:rsidRPr="009160AD">
        <w:t xml:space="preserve"> for 48 days). However, no significant effect on human IgG levels or tumour growth was seen in mice bearing lenalidomide and bortezomib resistant xenografts. In mice bearing lenalidomide resistant human plasma cell myeloma xenografts, both pomalidomide (1 and 3 mg/kg/day PO for 14 to 21 days) and dexamethasone (5 mg/kg/day PO) as single agents inhibited tumour growth (by 26</w:t>
      </w:r>
      <w:r w:rsidR="00F81FBC">
        <w:t>-</w:t>
      </w:r>
      <w:r w:rsidRPr="009160AD">
        <w:t>41% and 51%, respectively). A synergistic effect was seen with the combination of pomalidomide (3 mg/kg/day; 6 mg/m</w:t>
      </w:r>
      <w:r w:rsidRPr="00F81FBC">
        <w:rPr>
          <w:vertAlign w:val="superscript"/>
        </w:rPr>
        <w:t>2</w:t>
      </w:r>
      <w:r w:rsidRPr="009160AD">
        <w:t>/day) and dexamethasone (5 mg/kg/day; 15 mg/m</w:t>
      </w:r>
      <w:r w:rsidRPr="00F81FBC">
        <w:rPr>
          <w:vertAlign w:val="superscript"/>
        </w:rPr>
        <w:t>2</w:t>
      </w:r>
      <w:r w:rsidRPr="009160AD">
        <w:t xml:space="preserve">/day) (75% tumour growth inhibition). The efficacious doses of </w:t>
      </w:r>
      <w:r w:rsidRPr="009160AD">
        <w:lastRenderedPageBreak/>
        <w:t>pomalidomide and dexamethasone are similar to those proposed to be used clinically (2.6 mg/m</w:t>
      </w:r>
      <w:r w:rsidRPr="00F81FBC">
        <w:rPr>
          <w:vertAlign w:val="superscript"/>
        </w:rPr>
        <w:t>2</w:t>
      </w:r>
      <w:r w:rsidRPr="009160AD">
        <w:t xml:space="preserve"> pomalidomide and 26.4 mg/m</w:t>
      </w:r>
      <w:r w:rsidR="00F81FBC" w:rsidRPr="00F81FBC">
        <w:rPr>
          <w:vertAlign w:val="superscript"/>
        </w:rPr>
        <w:t>2</w:t>
      </w:r>
      <w:r w:rsidRPr="009160AD">
        <w:t xml:space="preserve"> dexamethasone), thus supporting the proposed use of pomalidomide in combination with dexamethasone in patients with lenalidomide resistant MM. No animal data were provided to support the combined use of pomalidomide and dexamethasone in patients with lenalidomide and bortezomib resistant MM. Pomalidomide alone had no efficacy in mice bearing xenografts of lenalidomide and bortezomib resistant MM.</w:t>
      </w:r>
    </w:p>
    <w:p w:rsidR="009160AD" w:rsidRDefault="009160AD" w:rsidP="008B0D0A">
      <w:pPr>
        <w:pStyle w:val="Heading5"/>
      </w:pPr>
      <w:r w:rsidRPr="009160AD">
        <w:t>Pharmaco</w:t>
      </w:r>
      <w:r>
        <w:t>logical activity of metabolites</w:t>
      </w:r>
    </w:p>
    <w:p w:rsidR="009160AD" w:rsidRPr="009160AD" w:rsidRDefault="009160AD" w:rsidP="008B0D0A">
      <w:r w:rsidRPr="009160AD">
        <w:t xml:space="preserve">In cell proliferation assays using </w:t>
      </w:r>
      <w:r w:rsidR="00B639BE">
        <w:t>MM</w:t>
      </w:r>
      <w:r w:rsidRPr="009160AD">
        <w:t xml:space="preserve"> cells, all pomalidomide metabolites and hydrolysis products tested had little or no activity, with </w:t>
      </w:r>
      <w:r w:rsidR="009D7F41">
        <w:t>IC50</w:t>
      </w:r>
      <w:r w:rsidRPr="009160AD">
        <w:t xml:space="preserve"> values &gt;1 μM. Therefore, metabolites of pomalidomide are not expected to contribute significantly to the pharmacological action of the drug (at least with respect to apoptotic activity).</w:t>
      </w:r>
    </w:p>
    <w:p w:rsidR="009160AD" w:rsidRDefault="009160AD" w:rsidP="00B17B53">
      <w:pPr>
        <w:pStyle w:val="Heading4"/>
      </w:pPr>
      <w:r>
        <w:t xml:space="preserve">Secondary </w:t>
      </w:r>
      <w:r w:rsidRPr="00B17B53">
        <w:t>pharmacodynamics</w:t>
      </w:r>
      <w:r>
        <w:t xml:space="preserve"> and safety pharmacology</w:t>
      </w:r>
    </w:p>
    <w:p w:rsidR="009160AD" w:rsidRPr="009160AD" w:rsidRDefault="009160AD" w:rsidP="008B0D0A">
      <w:r w:rsidRPr="009160AD">
        <w:t>A standard set of secondary pharmacology tests (against an array of enzymes and receptors) was not conducted. This is considered acceptable given that pomalidomide is structurally similar to lenalidomide and thalidomide and is likely to have a similar off-target profile. Pomalidomide showed a range of other effects that could be useful for treatment of indications other than myeloma. Among these are effects on the regulation of haemoglobin, inhibition of fibrosis and analgesic/</w:t>
      </w:r>
      <w:r w:rsidR="00BA5A72">
        <w:t xml:space="preserve">anti-inflammatory </w:t>
      </w:r>
      <w:r w:rsidRPr="009160AD">
        <w:t>effects.</w:t>
      </w:r>
    </w:p>
    <w:p w:rsidR="009160AD" w:rsidRPr="009160AD" w:rsidRDefault="009160AD" w:rsidP="008B0D0A">
      <w:r w:rsidRPr="009160AD">
        <w:t xml:space="preserve">Safety pharmacology studies were conducted investigating effects of pomalidomide on the </w:t>
      </w:r>
      <w:r w:rsidR="00CB605A">
        <w:t>central nervous system</w:t>
      </w:r>
      <w:r w:rsidR="00CB605A" w:rsidRPr="009160AD">
        <w:t xml:space="preserve"> </w:t>
      </w:r>
      <w:r w:rsidR="00CB605A">
        <w:t>(</w:t>
      </w:r>
      <w:r w:rsidRPr="009160AD">
        <w:t>CNS</w:t>
      </w:r>
      <w:r w:rsidR="00CB605A">
        <w:t>)</w:t>
      </w:r>
      <w:r w:rsidRPr="009160AD">
        <w:t xml:space="preserve"> (rats), respiratory (rats, dogs) and cardiovascular system (dogs, monkeys and h</w:t>
      </w:r>
      <w:r w:rsidR="00823A63" w:rsidRPr="00823A63">
        <w:t xml:space="preserve">uman Ether-à-go-go-Related Gene </w:t>
      </w:r>
      <w:r w:rsidR="00823A63">
        <w:t>[h</w:t>
      </w:r>
      <w:r w:rsidRPr="009160AD">
        <w:t>ERG</w:t>
      </w:r>
      <w:r w:rsidR="00823A63">
        <w:t>]</w:t>
      </w:r>
      <w:r w:rsidRPr="009160AD">
        <w:t xml:space="preserve"> inhibition </w:t>
      </w:r>
      <w:r w:rsidRPr="00CC3B74">
        <w:rPr>
          <w:i/>
        </w:rPr>
        <w:t>in vitro</w:t>
      </w:r>
      <w:r w:rsidR="0044300D">
        <w:t>). All studies were Good Laboratory Practice (GLP)</w:t>
      </w:r>
      <w:r w:rsidRPr="009160AD">
        <w:t xml:space="preserve"> compliant. No neurological or respiratory effects were observed in rats after a single oral dose of up to 2000 mg/kg pomalidomide (estimated Cmax 94 times the clinical Cmax).</w:t>
      </w:r>
      <w:r>
        <w:rPr>
          <w:rStyle w:val="FootnoteReference"/>
        </w:rPr>
        <w:footnoteReference w:id="2"/>
      </w:r>
      <w:r w:rsidRPr="009160AD">
        <w:t xml:space="preserve"> No respiratory effects were observed in dogs after an </w:t>
      </w:r>
      <w:r w:rsidR="00E83BD3">
        <w:t xml:space="preserve">IV </w:t>
      </w:r>
      <w:r w:rsidRPr="009160AD">
        <w:t xml:space="preserve">infusion of </w:t>
      </w:r>
      <w:r w:rsidR="00452567">
        <w:t>≤</w:t>
      </w:r>
      <w:r w:rsidRPr="009160AD">
        <w:t>10 mg/kg pomalidomide (exposure ratio based on Cmax [ERCmax] 32). A higher dose of pomalidomide (25 mg/kg IV) increased respiratory rate (</w:t>
      </w:r>
      <w:r w:rsidR="00452567">
        <w:t xml:space="preserve">approximately </w:t>
      </w:r>
      <w:r w:rsidRPr="009160AD">
        <w:t>2</w:t>
      </w:r>
      <w:r w:rsidR="00E31354">
        <w:t xml:space="preserve"> </w:t>
      </w:r>
      <w:r w:rsidRPr="009160AD">
        <w:t xml:space="preserve">fold compared to pre-dose) in dogs. Pomalidomide (up to 87.5 µM; 314 times the clinical Cmax) did not block the hERG potassium channel current </w:t>
      </w:r>
      <w:r w:rsidRPr="00823A63">
        <w:rPr>
          <w:i/>
        </w:rPr>
        <w:t>in vitro</w:t>
      </w:r>
      <w:r w:rsidRPr="009160AD">
        <w:t>. Therefore, pomalidomide is not predicted to prolong the QT interval.</w:t>
      </w:r>
      <w:r w:rsidR="00602F50">
        <w:rPr>
          <w:rStyle w:val="FootnoteReference"/>
        </w:rPr>
        <w:footnoteReference w:id="3"/>
      </w:r>
      <w:r w:rsidRPr="009160AD">
        <w:t xml:space="preserve"> No adverse cardiovascular effects were observed in dogs after an </w:t>
      </w:r>
      <w:r w:rsidR="00941C62">
        <w:t>IV</w:t>
      </w:r>
      <w:r w:rsidRPr="009160AD">
        <w:t xml:space="preserve"> infusion of ≤10 mg/kg pomalidomide (ERCmax 32) or in Cynomolgus monkeys following oral gavage administration of ≤2 mg/kg pomalidomide (estimated Cmax 14 times the clinical Cmax).</w:t>
      </w:r>
      <w:r>
        <w:rPr>
          <w:rStyle w:val="FootnoteReference"/>
        </w:rPr>
        <w:footnoteReference w:id="4"/>
      </w:r>
      <w:r w:rsidRPr="009160AD">
        <w:t xml:space="preserve"> Overall, no adverse effects on CNS, respiratory or cardiovascular function are predicted from the animal data.</w:t>
      </w:r>
    </w:p>
    <w:p w:rsidR="009160AD" w:rsidRDefault="009160AD" w:rsidP="00B17B53">
      <w:pPr>
        <w:pStyle w:val="Heading3"/>
      </w:pPr>
      <w:bookmarkStart w:id="47" w:name="_Toc247691513"/>
      <w:bookmarkStart w:id="48" w:name="_Toc314842497"/>
      <w:bookmarkStart w:id="49" w:name="_Toc404176179"/>
      <w:r w:rsidRPr="00B17B53">
        <w:t>Pharmacokinetics</w:t>
      </w:r>
      <w:bookmarkEnd w:id="47"/>
      <w:bookmarkEnd w:id="48"/>
      <w:bookmarkEnd w:id="49"/>
    </w:p>
    <w:p w:rsidR="009160AD" w:rsidRDefault="009160AD" w:rsidP="00B17B53">
      <w:pPr>
        <w:pStyle w:val="Heading4"/>
      </w:pPr>
      <w:r w:rsidRPr="00B17B53">
        <w:t>Absorption</w:t>
      </w:r>
    </w:p>
    <w:p w:rsidR="009160AD" w:rsidRPr="009160AD" w:rsidRDefault="009160AD" w:rsidP="00B17B53">
      <w:r w:rsidRPr="009160AD">
        <w:t>Pomalidomide showed a reasonably rapid rate of absorption after oral adminis</w:t>
      </w:r>
      <w:r w:rsidR="000F71DE">
        <w:t>tration, Tmax 4 h in rats and 2-</w:t>
      </w:r>
      <w:r w:rsidRPr="009160AD">
        <w:t xml:space="preserve">3 h in monkeys and human subjects when the racemate or the individual enantiomers were administered. Oral bioavailability was low in rats and </w:t>
      </w:r>
      <w:r w:rsidRPr="00CB197B">
        <w:t xml:space="preserve">monkeys </w:t>
      </w:r>
      <w:r w:rsidR="00312D11" w:rsidRPr="00CB197B">
        <w:t>given high doses (100 mg/kg; 13-</w:t>
      </w:r>
      <w:r w:rsidRPr="00CB197B">
        <w:t xml:space="preserve">15%). The absorption of pomalidomide appeared to saturate with higher concentrations since a lower oral dose of pomalidomide (2 mg/kg PO) in monkeys was associated with almost complete bioavailability. In humans, </w:t>
      </w:r>
      <w:r w:rsidRPr="00CB197B">
        <w:lastRenderedPageBreak/>
        <w:t>oral bioavailability was &gt;70% after administration of a single dose of 2 mg. Following oral dosing, plasma half-lives of pomalidomide were generally similar for rats, monkeys (2 mg</w:t>
      </w:r>
      <w:r w:rsidR="0083307B" w:rsidRPr="00CB197B">
        <w:t>/kg dose) and human subjects (5-</w:t>
      </w:r>
      <w:r w:rsidRPr="00CB197B">
        <w:t>7.5 h). The plasma half-life was longer in monkeys given higher oral doses (100 mg/kg; 25 h), which may be associated with saturation of the absorption process. Enantiomeric interconversion was demonstrated in monkeys; S/R AUC ratio of 3.3 and 0.215 following oral dosing of the S and R</w:t>
      </w:r>
      <w:r w:rsidR="00452567" w:rsidRPr="00CB197B">
        <w:t xml:space="preserve"> </w:t>
      </w:r>
      <w:r w:rsidRPr="00CB197B">
        <w:t>enantiomer, respectively. Following oral dosing of pomalidomide racemate (1:1 R</w:t>
      </w:r>
      <w:r w:rsidR="00452567" w:rsidRPr="00CB197B">
        <w:t xml:space="preserve"> </w:t>
      </w:r>
      <w:r w:rsidRPr="00CB197B">
        <w:t>enantiomer to S</w:t>
      </w:r>
      <w:r w:rsidR="00452567" w:rsidRPr="00CB197B">
        <w:t xml:space="preserve"> </w:t>
      </w:r>
      <w:r w:rsidRPr="00CB197B">
        <w:t>enantiomer) to monkeys exposure (</w:t>
      </w:r>
      <w:r w:rsidR="00F95A9E" w:rsidRPr="00CB197B">
        <w:t>area under the plasma concentration-time curve [</w:t>
      </w:r>
      <w:r w:rsidRPr="00CB197B">
        <w:t>AUC</w:t>
      </w:r>
      <w:r w:rsidR="00F95A9E" w:rsidRPr="00CB197B">
        <w:t>]</w:t>
      </w:r>
      <w:r w:rsidRPr="00CB197B">
        <w:t>) to the R</w:t>
      </w:r>
      <w:r w:rsidR="00452567" w:rsidRPr="00CB197B">
        <w:t xml:space="preserve"> </w:t>
      </w:r>
      <w:r w:rsidRPr="00CB197B">
        <w:t>enantiomer was 1.5 times higher than exposure to the S</w:t>
      </w:r>
      <w:r w:rsidR="00452567" w:rsidRPr="00CB197B">
        <w:t xml:space="preserve"> </w:t>
      </w:r>
      <w:r w:rsidRPr="00CB197B">
        <w:t xml:space="preserve">enantiomer, though the </w:t>
      </w:r>
      <w:r w:rsidR="00F95A9E" w:rsidRPr="00CB197B">
        <w:t>half-li</w:t>
      </w:r>
      <w:r w:rsidRPr="00CB197B">
        <w:t>fe was slightly shorter for the R</w:t>
      </w:r>
      <w:r w:rsidR="00452567" w:rsidRPr="00CB197B">
        <w:t xml:space="preserve"> </w:t>
      </w:r>
      <w:r w:rsidRPr="00CB197B">
        <w:t>enantiomer. The R and S</w:t>
      </w:r>
      <w:r w:rsidR="00452567" w:rsidRPr="00CB197B">
        <w:t xml:space="preserve"> </w:t>
      </w:r>
      <w:r w:rsidRPr="00CB197B">
        <w:t xml:space="preserve">enantiomers of pomalidomide presented similar patterns of degradation or racemisation in </w:t>
      </w:r>
      <w:r w:rsidR="009E71FF" w:rsidRPr="00CB197B">
        <w:t>phosphate buffered saline (</w:t>
      </w:r>
      <w:r w:rsidRPr="00CB197B">
        <w:t>PBS</w:t>
      </w:r>
      <w:r w:rsidR="009E71FF" w:rsidRPr="00CB197B">
        <w:t>)</w:t>
      </w:r>
      <w:r w:rsidRPr="00CB197B">
        <w:t xml:space="preserve"> or monkey and human plasma, suggesting the extent of racemisation in monkeys may be similar to that seen in human subjects. AUC increased approximately dose proportionally in monkeys at low doses (≤1 mg/kg) but increased in a less than dose proportional manner in rats and monkeys at high doses (≥30 mg/kg), consistent with a saturation of absorption. Exposure was dose proportional in human subjects with pomalidomide doses of 0.5 to 2 mg. Following daily oral dosing, the extent of accumulation was minimal in male rats and moderate (&lt;2</w:t>
      </w:r>
      <w:r w:rsidR="005C2CEF" w:rsidRPr="00CB197B">
        <w:t xml:space="preserve"> </w:t>
      </w:r>
      <w:r w:rsidRPr="00CB197B">
        <w:t>fold) in female rats. Accumulation was not observed in monkeys at doses up to 1 mg/kg/day, but was observed at higher doses (≥30 mg/kg/day) (up to 3</w:t>
      </w:r>
      <w:r w:rsidR="00B529E7" w:rsidRPr="00CB197B">
        <w:t xml:space="preserve"> </w:t>
      </w:r>
      <w:r w:rsidRPr="00CB197B">
        <w:t>fold increase in exposure). Accumulation after repeated dosing with pomalidomide was considered minimal in humans. Sex differences were observed in rats but not monkeys. Female rats had up to 2.5</w:t>
      </w:r>
      <w:r w:rsidR="005C2CEF" w:rsidRPr="00CB197B">
        <w:t xml:space="preserve"> </w:t>
      </w:r>
      <w:r w:rsidRPr="00CB197B">
        <w:t xml:space="preserve">fold greater exposure than male rats at the same dose level. The pharmacokinetics of pomalidomide in combination with dexamethasone </w:t>
      </w:r>
      <w:r w:rsidR="0033676A" w:rsidRPr="00CB197B">
        <w:t>was</w:t>
      </w:r>
      <w:r w:rsidRPr="00CB197B">
        <w:t xml:space="preserve"> not investigated in animals. Exposure to pomalidomide was not affected by co</w:t>
      </w:r>
      <w:r w:rsidR="00452567" w:rsidRPr="00CB197B">
        <w:t>-</w:t>
      </w:r>
      <w:r w:rsidRPr="00CB197B">
        <w:t>administration of dexamethasone in humans</w:t>
      </w:r>
      <w:r w:rsidRPr="009160AD">
        <w:t>.</w:t>
      </w:r>
    </w:p>
    <w:p w:rsidR="009160AD" w:rsidRDefault="009160AD" w:rsidP="00B17B53">
      <w:pPr>
        <w:pStyle w:val="Heading4"/>
      </w:pPr>
      <w:r w:rsidRPr="00B17B53">
        <w:t>Distribution</w:t>
      </w:r>
    </w:p>
    <w:p w:rsidR="009160AD" w:rsidRPr="009160AD" w:rsidRDefault="009160AD" w:rsidP="00B17B53">
      <w:r w:rsidRPr="00F62190">
        <w:rPr>
          <w:i/>
        </w:rPr>
        <w:t>In vitro</w:t>
      </w:r>
      <w:r w:rsidRPr="009160AD">
        <w:t xml:space="preserve">, plasma protein binding ranged from 16 to 40% and from 17 to 55% for the pomalidomide R- and S-enantiomers, respectively, in human, monkey, rat, mouse and rabbit plasma. Protein binding of the pomalidomide R- and S-enantiomers was similar in mouse and rabbit plasma, the binding of R- was higher than the S-enantiomer in rat plasma, and the protein binding of S- was higher than the R-enantiomer in monkey and human plasma. The volume </w:t>
      </w:r>
      <w:r w:rsidR="00EC2B4B">
        <w:t>of distribution was moderate (2</w:t>
      </w:r>
      <w:r w:rsidRPr="009160AD">
        <w:t xml:space="preserve"> to 4</w:t>
      </w:r>
      <w:r w:rsidR="00EC2B4B">
        <w:t xml:space="preserve"> </w:t>
      </w:r>
      <w:r w:rsidRPr="009160AD">
        <w:t>fold body water volume, suggesting good tissue distribution in rats). As expected, a tissue distribution study in pigmented rats (Long-Evans) demonstrated that after a single oral dose of radioactive pomalidomide, pomalidomide</w:t>
      </w:r>
      <w:r w:rsidR="00EC2B4B">
        <w:t xml:space="preserve"> </w:t>
      </w:r>
      <w:r w:rsidRPr="009160AD">
        <w:t xml:space="preserve">derived radioactivity was widely distributed to most tissues. The highest concentrations were measured in the alimentary canal (GI tract) and organs of excretion (kidney, liver, bile, and urinary bladder). Moderate concentrations were found in the endocrine glands, secretory glands, brown adipose, and pigmented skin, lymph nodes and thymus. Only low amounts of radioactivity were detected in the seminal vesicles and testes. The clinical overview reports that pomalidomide is distributed in semen of healthy subjects at a concentration of </w:t>
      </w:r>
      <w:r w:rsidR="00452567">
        <w:t xml:space="preserve">approximately </w:t>
      </w:r>
      <w:r w:rsidRPr="009160AD">
        <w:t>67% of plasma level at 4</w:t>
      </w:r>
      <w:r w:rsidR="00452567">
        <w:t xml:space="preserve"> </w:t>
      </w:r>
      <w:r w:rsidRPr="009160AD">
        <w:t>h post dose (Tmax) after 4 days of once daily dosing at 4 mg, suggesting the rat may not be the best model to assess seminal transfer of pomalidomide. A low amount of radioactivity was detected in the spinal cord and brain. It is concluded that pomalidomide crosses the blood</w:t>
      </w:r>
      <w:r w:rsidR="00F62190">
        <w:t>-</w:t>
      </w:r>
      <w:r w:rsidRPr="009160AD">
        <w:t>brain barrier to some degree but do</w:t>
      </w:r>
      <w:r w:rsidR="00CB197B">
        <w:t>es not accumulate in the brain.</w:t>
      </w:r>
    </w:p>
    <w:p w:rsidR="009160AD" w:rsidRDefault="009160AD" w:rsidP="00B17B53">
      <w:pPr>
        <w:pStyle w:val="Heading4"/>
      </w:pPr>
      <w:r w:rsidRPr="00B17B53">
        <w:t>Metabolism</w:t>
      </w:r>
    </w:p>
    <w:p w:rsidR="009160AD" w:rsidRPr="009160AD" w:rsidRDefault="009160AD" w:rsidP="00B17B53">
      <w:r w:rsidRPr="009160AD">
        <w:t>Pomalidomide underwent both non-enzymatic (hydrolysis) and enzymatic (hydroxylation, N-acetylation) degradation. CYP1A2, 2C19, 2D6 and 3A4 were involved in the enzymatic degradation of pomalidomide. Following oral administration, unchanged drug was the predominant drug</w:t>
      </w:r>
      <w:r w:rsidR="00231132">
        <w:t xml:space="preserve"> </w:t>
      </w:r>
      <w:r w:rsidRPr="009160AD">
        <w:t xml:space="preserve">related species in the plasma of rats, monkeys and humans. All metabolites detected in human plasma were also seen in the plasma of rats and monkeys. </w:t>
      </w:r>
      <w:r w:rsidRPr="009160AD">
        <w:lastRenderedPageBreak/>
        <w:t>The excretion pattern of drug</w:t>
      </w:r>
      <w:r w:rsidR="00231132">
        <w:t xml:space="preserve"> </w:t>
      </w:r>
      <w:r w:rsidRPr="009160AD">
        <w:t>related material was similar</w:t>
      </w:r>
      <w:r w:rsidR="00F62190">
        <w:t xml:space="preserve"> in animal species and humans: drug </w:t>
      </w:r>
      <w:r w:rsidRPr="009160AD">
        <w:t>related material in urine consisted predominantly of metabolites (though urinary excretion of unchanged drug was also significant in rats), while drug</w:t>
      </w:r>
      <w:r w:rsidR="00F62190">
        <w:t xml:space="preserve"> </w:t>
      </w:r>
      <w:r w:rsidRPr="009160AD">
        <w:t>related material in faeces was both unchanged drug and metabolites.</w:t>
      </w:r>
    </w:p>
    <w:p w:rsidR="009160AD" w:rsidRDefault="009160AD" w:rsidP="00B17B53">
      <w:pPr>
        <w:pStyle w:val="Heading4"/>
      </w:pPr>
      <w:r w:rsidRPr="00B17B53">
        <w:t>Excretion</w:t>
      </w:r>
    </w:p>
    <w:p w:rsidR="009160AD" w:rsidRPr="009160AD" w:rsidRDefault="009160AD" w:rsidP="00B17B53">
      <w:r w:rsidRPr="009160AD">
        <w:t>Following oral administration, excretion of drug</w:t>
      </w:r>
      <w:r w:rsidR="00FA072A">
        <w:t xml:space="preserve"> </w:t>
      </w:r>
      <w:r w:rsidRPr="009160AD">
        <w:t xml:space="preserve">related material was largely in the </w:t>
      </w:r>
      <w:r w:rsidR="00F62190">
        <w:t>urine of monkeys and humans (72-</w:t>
      </w:r>
      <w:r w:rsidRPr="009160AD">
        <w:t>73%) and in the faeces of rats. The latter is primarily due to unabsorbed drug. Biliary excr</w:t>
      </w:r>
      <w:r w:rsidR="00CB197B">
        <w:t>etion was demonstrated in rats.</w:t>
      </w:r>
    </w:p>
    <w:p w:rsidR="009160AD" w:rsidRDefault="009160AD" w:rsidP="00CB197B">
      <w:pPr>
        <w:pStyle w:val="Heading4"/>
      </w:pPr>
      <w:r>
        <w:t>Conclusion</w:t>
      </w:r>
    </w:p>
    <w:p w:rsidR="009160AD" w:rsidRPr="009160AD" w:rsidRDefault="009160AD" w:rsidP="00B17B53">
      <w:r w:rsidRPr="009160AD">
        <w:t>The pharmacokinetic profile of rats and monkeys was considered adequately similar for these species to serve as animal models for the toxicity assessment of this drug.</w:t>
      </w:r>
    </w:p>
    <w:p w:rsidR="009160AD" w:rsidRPr="001258AE" w:rsidRDefault="009160AD" w:rsidP="00CB197B">
      <w:pPr>
        <w:pStyle w:val="Heading5"/>
      </w:pPr>
      <w:bookmarkStart w:id="50" w:name="_Toc294861725"/>
      <w:r w:rsidRPr="001258AE">
        <w:t>Pharmacokinetic drug interactions</w:t>
      </w:r>
      <w:bookmarkEnd w:id="50"/>
    </w:p>
    <w:p w:rsidR="009160AD" w:rsidRPr="009160AD" w:rsidRDefault="009160AD" w:rsidP="00B17B53">
      <w:r w:rsidRPr="009160AD">
        <w:t xml:space="preserve">Pomalidomide was not a </w:t>
      </w:r>
      <w:r w:rsidR="00452567">
        <w:t>cytochrome P450 (</w:t>
      </w:r>
      <w:r w:rsidRPr="009160AD">
        <w:t>CYP450</w:t>
      </w:r>
      <w:r w:rsidR="00452567">
        <w:t>)</w:t>
      </w:r>
      <w:r w:rsidRPr="009160AD">
        <w:t xml:space="preserve"> inducer in human hepatocytes (CYP1A2, 2B6, 2C9, 2C19 and 3A4/5). There was no significant inhibition of CYP1A2, 2A6, 2B6, 2C8, 2C9, 2C19, 2D6, 2E1 or 3A4/5 at concentrations up to 30 µM (108 times the clinical Cmax). Therefore, pomalidomide is not predicted to alter the exposures of CYP450 substrates. Pomalidomide was shown to be a substrate of P-glycoprotein. However, given the high oral bioavailability of pomalidomide in human subjects (&gt;70%), suggesting P</w:t>
      </w:r>
      <w:r w:rsidRPr="009160AD">
        <w:noBreakHyphen/>
        <w:t xml:space="preserve">glycoprotein has a minimal impact on pomalidomide </w:t>
      </w:r>
      <w:proofErr w:type="gramStart"/>
      <w:r w:rsidRPr="009160AD">
        <w:t>absorption,</w:t>
      </w:r>
      <w:proofErr w:type="gramEnd"/>
      <w:r w:rsidRPr="009160AD">
        <w:t xml:space="preserve"> P</w:t>
      </w:r>
      <w:r w:rsidRPr="009160AD">
        <w:noBreakHyphen/>
        <w:t xml:space="preserve">glycoprotein inhibitors are not expected to significantly alter the exposure to pomalidomide. No significant inhibition of P-glycoprotein, </w:t>
      </w:r>
      <w:r w:rsidR="00452567">
        <w:rPr>
          <w:rStyle w:val="Emphasis"/>
          <w:rFonts w:cs="Arial"/>
          <w:color w:val="222222"/>
        </w:rPr>
        <w:t>Breast Cancer Resistance Protein (</w:t>
      </w:r>
      <w:r w:rsidRPr="009160AD">
        <w:t>BCRP</w:t>
      </w:r>
      <w:r w:rsidR="00452567">
        <w:t>)</w:t>
      </w:r>
      <w:r w:rsidRPr="009160AD">
        <w:t xml:space="preserve">, </w:t>
      </w:r>
      <w:proofErr w:type="gramStart"/>
      <w:r w:rsidR="00452567" w:rsidRPr="00452567">
        <w:t>Organic</w:t>
      </w:r>
      <w:proofErr w:type="gramEnd"/>
      <w:r w:rsidR="00452567" w:rsidRPr="00452567">
        <w:t xml:space="preserve"> Anion Transporter</w:t>
      </w:r>
      <w:r w:rsidR="00452567">
        <w:rPr>
          <w:rStyle w:val="st"/>
          <w:rFonts w:ascii="Arial" w:hAnsi="Arial" w:cs="Arial"/>
          <w:color w:val="222222"/>
        </w:rPr>
        <w:t xml:space="preserve"> </w:t>
      </w:r>
      <w:r w:rsidR="00452567" w:rsidRPr="00452567">
        <w:t>subtypes</w:t>
      </w:r>
      <w:r w:rsidR="00452567">
        <w:rPr>
          <w:rStyle w:val="st"/>
          <w:rFonts w:ascii="Arial" w:hAnsi="Arial" w:cs="Arial"/>
          <w:color w:val="222222"/>
        </w:rPr>
        <w:t xml:space="preserve"> </w:t>
      </w:r>
      <w:r w:rsidRPr="009160AD">
        <w:t xml:space="preserve">OATP1B1, OATP1B3, </w:t>
      </w:r>
      <w:r w:rsidR="00452567" w:rsidRPr="009160AD">
        <w:t>OAT1 and OAT3</w:t>
      </w:r>
      <w:r w:rsidR="00452567">
        <w:t xml:space="preserve"> and</w:t>
      </w:r>
      <w:r w:rsidR="00452567" w:rsidRPr="009160AD">
        <w:t xml:space="preserve"> </w:t>
      </w:r>
      <w:r w:rsidR="00452567" w:rsidRPr="00452567">
        <w:t>Organic. Cation Transporter</w:t>
      </w:r>
      <w:r w:rsidR="00452567">
        <w:rPr>
          <w:rStyle w:val="st"/>
          <w:rFonts w:ascii="Arial" w:hAnsi="Arial" w:cs="Arial"/>
          <w:color w:val="222222"/>
        </w:rPr>
        <w:t xml:space="preserve"> </w:t>
      </w:r>
      <w:r w:rsidRPr="009160AD">
        <w:t>OCT2, transporter activities was seen at high concentrations of pomalidomide (at least 2 µM; 7 times the clinical Cmax). Therefore, pomalidomide is not expected to alter the disposition of substrates for these transporters. According to the clinical overview, no pharmacokinetic interactions were observed between pomalidomide (4 mg) and dexamethasone (20 to 40 mg), a weak to moderate inducer of CYP3A, in MM subjects.</w:t>
      </w:r>
    </w:p>
    <w:p w:rsidR="009160AD" w:rsidRDefault="009160AD" w:rsidP="00CB197B">
      <w:pPr>
        <w:pStyle w:val="Heading3"/>
      </w:pPr>
      <w:bookmarkStart w:id="51" w:name="_Toc247691514"/>
      <w:bookmarkStart w:id="52" w:name="_Toc314842498"/>
      <w:bookmarkStart w:id="53" w:name="_Toc294861727"/>
      <w:bookmarkStart w:id="54" w:name="_Toc404176180"/>
      <w:r>
        <w:t>Toxicology</w:t>
      </w:r>
      <w:bookmarkEnd w:id="51"/>
      <w:bookmarkEnd w:id="52"/>
      <w:bookmarkEnd w:id="54"/>
    </w:p>
    <w:p w:rsidR="009160AD" w:rsidRDefault="009160AD" w:rsidP="00CB197B">
      <w:pPr>
        <w:pStyle w:val="Heading4"/>
      </w:pPr>
      <w:r w:rsidRPr="001258AE">
        <w:t>Acute toxicity</w:t>
      </w:r>
      <w:bookmarkEnd w:id="53"/>
    </w:p>
    <w:p w:rsidR="009160AD" w:rsidRPr="009160AD" w:rsidRDefault="009160AD" w:rsidP="00B17B53">
      <w:r w:rsidRPr="009160AD">
        <w:t xml:space="preserve">The acute toxicity of pomalidomide was investigated in mice and rats by the oral and IV route. The conduct of the studies was appropriate and an adequate observation period </w:t>
      </w:r>
      <w:r w:rsidR="00231132">
        <w:t>was used (14 days). Maximum non</w:t>
      </w:r>
      <w:r w:rsidR="00AB30E7">
        <w:t>-</w:t>
      </w:r>
      <w:r w:rsidRPr="009160AD">
        <w:t>lethal doses were 2000 mg/kg PO in both species and 80 mg/kg IV in mice and 50 mg/kg IV in rats. No clinical signs were evident after oral dosing. Clinical signs following IV dosing (80 mg/kg in mice, 50 mg/kg in rats</w:t>
      </w:r>
      <w:r w:rsidR="00231132">
        <w:t>) were similar in both species:</w:t>
      </w:r>
      <w:r w:rsidRPr="009160AD">
        <w:t xml:space="preserve"> lethargy, piloerection, tachypnoea and palpebral closure. No target organs for toxicity were evident</w:t>
      </w:r>
      <w:r w:rsidR="00231132">
        <w:t xml:space="preserve"> at necropsy at the maximum non</w:t>
      </w:r>
      <w:r w:rsidR="00AB30E7">
        <w:t>-</w:t>
      </w:r>
      <w:r w:rsidRPr="009160AD">
        <w:t>lethal doses. Pomalidomide was considered to have a low order of acute toxicity by the clinical route.</w:t>
      </w:r>
    </w:p>
    <w:p w:rsidR="009160AD" w:rsidRDefault="009160AD" w:rsidP="00CB197B">
      <w:pPr>
        <w:pStyle w:val="Heading4"/>
      </w:pPr>
      <w:bookmarkStart w:id="55" w:name="_Toc294861728"/>
      <w:r w:rsidRPr="001258AE">
        <w:t>Repeat</w:t>
      </w:r>
      <w:r w:rsidR="00E03F51">
        <w:t xml:space="preserve"> </w:t>
      </w:r>
      <w:r w:rsidRPr="001258AE">
        <w:t>dose toxicity</w:t>
      </w:r>
      <w:bookmarkEnd w:id="55"/>
    </w:p>
    <w:p w:rsidR="009160AD" w:rsidRPr="009160AD" w:rsidRDefault="009160AD" w:rsidP="00B17B53">
      <w:r w:rsidRPr="009160AD">
        <w:t xml:space="preserve">Nine repeat dose toxicity studies were </w:t>
      </w:r>
      <w:r w:rsidR="00F47720" w:rsidRPr="009160AD">
        <w:t>submitted;</w:t>
      </w:r>
      <w:r w:rsidRPr="009160AD">
        <w:t xml:space="preserve"> all were conducted under GLP conditions and used the clinically proposed route. Studies in rats were conducted up to 6 months, studies in monkeys up to 9 months. Shorter term studies investigated higher concentrations than the pivotal studies. None of the studies examined pomalidomide in </w:t>
      </w:r>
      <w:r w:rsidRPr="009160AD">
        <w:lastRenderedPageBreak/>
        <w:t>combination with dexamethasone, as proposed clinically. This is considered acceptable for an an</w:t>
      </w:r>
      <w:r w:rsidR="00231132">
        <w:t>ticancer pharmaceutical</w:t>
      </w:r>
      <w:r w:rsidRPr="009160AD">
        <w:t>.</w:t>
      </w:r>
      <w:r w:rsidR="00231132">
        <w:rPr>
          <w:rStyle w:val="FootnoteReference"/>
        </w:rPr>
        <w:footnoteReference w:id="5"/>
      </w:r>
      <w:r w:rsidRPr="009160AD">
        <w:t xml:space="preserve"> The du</w:t>
      </w:r>
      <w:r w:rsidRPr="00B17B53">
        <w:t>ration of the pivotal studies and inclusion of recovery period, the species used (rats</w:t>
      </w:r>
      <w:r w:rsidRPr="009160AD">
        <w:t xml:space="preserve"> and monkeys, based on pharmacokinetic parameters)</w:t>
      </w:r>
      <w:proofErr w:type="gramStart"/>
      <w:r w:rsidRPr="009160AD">
        <w:t>,</w:t>
      </w:r>
      <w:proofErr w:type="gramEnd"/>
      <w:r w:rsidRPr="009160AD">
        <w:t xml:space="preserve"> group sizes and the use of both sexes were consistent with guidelines. T</w:t>
      </w:r>
      <w:r w:rsidR="003020BF">
        <w:t>he doses used were appropriate:</w:t>
      </w:r>
      <w:r w:rsidRPr="009160AD">
        <w:t xml:space="preserve"> up to or exceeding the limit dose in rats (and saturation of exposure) and achieving multiples of the clinical AUC in monkeys</w:t>
      </w:r>
      <w:r w:rsidR="003020BF">
        <w:t xml:space="preserve"> (Table 1)</w:t>
      </w:r>
      <w:r w:rsidRPr="009160AD">
        <w:t>.</w:t>
      </w:r>
    </w:p>
    <w:p w:rsidR="005C2CEF" w:rsidRDefault="005C2CEF" w:rsidP="00CB197B">
      <w:pPr>
        <w:pStyle w:val="TableTitle"/>
      </w:pPr>
      <w:r>
        <w:t>Table 1:</w:t>
      </w:r>
      <w:r w:rsidRPr="004C5C28">
        <w:t xml:space="preserve"> </w:t>
      </w:r>
      <w:r w:rsidRPr="005C2CEF">
        <w:t>Relative exposure in repeat</w:t>
      </w:r>
      <w:r w:rsidR="00232B3B">
        <w:t xml:space="preserve"> </w:t>
      </w:r>
      <w:r w:rsidRPr="005C2CEF">
        <w:t>dose toxicity studies</w:t>
      </w:r>
      <w:r>
        <w:t>.</w:t>
      </w:r>
    </w:p>
    <w:tbl>
      <w:tblPr>
        <w:tblW w:w="8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68"/>
        <w:gridCol w:w="1984"/>
        <w:gridCol w:w="1418"/>
        <w:gridCol w:w="850"/>
        <w:gridCol w:w="1418"/>
        <w:gridCol w:w="1351"/>
      </w:tblGrid>
      <w:tr w:rsidR="00E71F4A" w:rsidRPr="00921F44" w:rsidTr="00B17B53">
        <w:trPr>
          <w:trHeight w:val="514"/>
          <w:tblHeader/>
        </w:trPr>
        <w:tc>
          <w:tcPr>
            <w:tcW w:w="1668" w:type="dxa"/>
            <w:tcBorders>
              <w:top w:val="single" w:sz="8" w:space="0" w:color="000000"/>
              <w:left w:val="single" w:sz="8" w:space="0" w:color="000000"/>
              <w:bottom w:val="single" w:sz="8" w:space="0" w:color="000000"/>
              <w:right w:val="nil"/>
              <w:tl2br w:val="nil"/>
              <w:tr2bl w:val="nil"/>
            </w:tcBorders>
            <w:shd w:val="clear" w:color="auto" w:fill="006DA7"/>
          </w:tcPr>
          <w:p w:rsidR="00E71F4A" w:rsidRPr="00B17B53" w:rsidRDefault="00E71F4A" w:rsidP="00B17B53">
            <w:pPr>
              <w:keepNext/>
              <w:ind w:right="34"/>
              <w:rPr>
                <w:b/>
                <w:color w:val="FFFFFF"/>
              </w:rPr>
            </w:pPr>
            <w:r w:rsidRPr="00B17B53">
              <w:rPr>
                <w:b/>
                <w:color w:val="FFFFFF"/>
              </w:rPr>
              <w:t>Species</w:t>
            </w:r>
          </w:p>
        </w:tc>
        <w:tc>
          <w:tcPr>
            <w:tcW w:w="1984" w:type="dxa"/>
            <w:tcBorders>
              <w:top w:val="single" w:sz="8" w:space="0" w:color="000000"/>
              <w:left w:val="nil"/>
              <w:bottom w:val="single" w:sz="8" w:space="0" w:color="000000"/>
              <w:right w:val="nil"/>
              <w:tl2br w:val="nil"/>
              <w:tr2bl w:val="nil"/>
            </w:tcBorders>
            <w:shd w:val="clear" w:color="auto" w:fill="006DA7"/>
          </w:tcPr>
          <w:p w:rsidR="00E71F4A" w:rsidRPr="00B17B53" w:rsidRDefault="00E71F4A" w:rsidP="00B17B53">
            <w:pPr>
              <w:keepNext/>
              <w:ind w:right="34"/>
              <w:rPr>
                <w:b/>
                <w:color w:val="FFFFFF"/>
              </w:rPr>
            </w:pPr>
            <w:r w:rsidRPr="00B17B53">
              <w:rPr>
                <w:b/>
                <w:color w:val="FFFFFF"/>
              </w:rPr>
              <w:t>Study duration</w:t>
            </w:r>
          </w:p>
        </w:tc>
        <w:tc>
          <w:tcPr>
            <w:tcW w:w="1418" w:type="dxa"/>
            <w:tcBorders>
              <w:top w:val="single" w:sz="8" w:space="0" w:color="000000"/>
              <w:left w:val="nil"/>
              <w:bottom w:val="single" w:sz="8" w:space="0" w:color="000000"/>
              <w:right w:val="nil"/>
              <w:tl2br w:val="nil"/>
              <w:tr2bl w:val="nil"/>
            </w:tcBorders>
            <w:shd w:val="clear" w:color="auto" w:fill="006DA7"/>
          </w:tcPr>
          <w:p w:rsidR="00E71F4A" w:rsidRPr="00B17B53" w:rsidRDefault="00E71F4A" w:rsidP="00B17B53">
            <w:pPr>
              <w:keepNext/>
              <w:ind w:right="34"/>
              <w:rPr>
                <w:b/>
                <w:color w:val="FFFFFF"/>
              </w:rPr>
            </w:pPr>
            <w:r w:rsidRPr="00B17B53">
              <w:rPr>
                <w:b/>
                <w:color w:val="FFFFFF"/>
              </w:rPr>
              <w:t>Dose</w:t>
            </w:r>
            <w:r w:rsidR="00CB197B" w:rsidRPr="00B17B53">
              <w:rPr>
                <w:b/>
                <w:color w:val="FFFFFF"/>
              </w:rPr>
              <w:t xml:space="preserve"> </w:t>
            </w:r>
            <w:r w:rsidRPr="00B17B53">
              <w:rPr>
                <w:b/>
                <w:color w:val="FFFFFF"/>
              </w:rPr>
              <w:t>mg/kg/day</w:t>
            </w:r>
          </w:p>
        </w:tc>
        <w:tc>
          <w:tcPr>
            <w:tcW w:w="850" w:type="dxa"/>
            <w:tcBorders>
              <w:top w:val="single" w:sz="8" w:space="0" w:color="000000"/>
              <w:left w:val="nil"/>
              <w:bottom w:val="single" w:sz="8" w:space="0" w:color="000000"/>
              <w:right w:val="nil"/>
              <w:tl2br w:val="nil"/>
              <w:tr2bl w:val="nil"/>
            </w:tcBorders>
            <w:shd w:val="clear" w:color="auto" w:fill="006DA7"/>
          </w:tcPr>
          <w:p w:rsidR="00E71F4A" w:rsidRPr="00B17B53" w:rsidRDefault="00E71F4A" w:rsidP="00B17B53">
            <w:pPr>
              <w:keepNext/>
              <w:ind w:right="34"/>
              <w:rPr>
                <w:b/>
                <w:color w:val="FFFFFF"/>
              </w:rPr>
            </w:pPr>
            <w:r w:rsidRPr="00B17B53">
              <w:rPr>
                <w:b/>
                <w:color w:val="FFFFFF"/>
              </w:rPr>
              <w:t>sex</w:t>
            </w:r>
          </w:p>
        </w:tc>
        <w:tc>
          <w:tcPr>
            <w:tcW w:w="1418" w:type="dxa"/>
            <w:tcBorders>
              <w:top w:val="single" w:sz="8" w:space="0" w:color="000000"/>
              <w:left w:val="nil"/>
              <w:bottom w:val="single" w:sz="8" w:space="0" w:color="000000"/>
              <w:right w:val="nil"/>
              <w:tl2br w:val="nil"/>
              <w:tr2bl w:val="nil"/>
            </w:tcBorders>
            <w:shd w:val="clear" w:color="auto" w:fill="006DA7"/>
          </w:tcPr>
          <w:p w:rsidR="00E71F4A" w:rsidRPr="00B17B53" w:rsidRDefault="00E71F4A" w:rsidP="00B17B53">
            <w:pPr>
              <w:keepNext/>
              <w:ind w:right="34"/>
              <w:rPr>
                <w:b/>
                <w:color w:val="FFFFFF"/>
              </w:rPr>
            </w:pPr>
            <w:r w:rsidRPr="00B17B53">
              <w:rPr>
                <w:b/>
                <w:color w:val="FFFFFF"/>
              </w:rPr>
              <w:t>AUC</w:t>
            </w:r>
            <w:r w:rsidR="00CB197B" w:rsidRPr="00B17B53">
              <w:rPr>
                <w:b/>
                <w:color w:val="FFFFFF"/>
              </w:rPr>
              <w:t xml:space="preserve"> </w:t>
            </w:r>
            <w:r w:rsidRPr="00B17B53">
              <w:rPr>
                <w:b/>
                <w:color w:val="FFFFFF"/>
              </w:rPr>
              <w:t>ng∙h/mL</w:t>
            </w:r>
          </w:p>
        </w:tc>
        <w:tc>
          <w:tcPr>
            <w:tcW w:w="1351" w:type="dxa"/>
            <w:tcBorders>
              <w:top w:val="single" w:sz="8" w:space="0" w:color="000000"/>
              <w:left w:val="nil"/>
              <w:bottom w:val="single" w:sz="8" w:space="0" w:color="000000"/>
              <w:right w:val="single" w:sz="8" w:space="0" w:color="000000"/>
              <w:tl2br w:val="nil"/>
              <w:tr2bl w:val="nil"/>
            </w:tcBorders>
            <w:shd w:val="clear" w:color="auto" w:fill="006DA7"/>
          </w:tcPr>
          <w:p w:rsidR="00E71F4A" w:rsidRPr="00B17B53" w:rsidRDefault="00E71F4A" w:rsidP="00B17B53">
            <w:pPr>
              <w:keepNext/>
              <w:ind w:right="34"/>
              <w:rPr>
                <w:b/>
                <w:color w:val="FFFFFF"/>
              </w:rPr>
            </w:pPr>
            <w:r w:rsidRPr="00B17B53">
              <w:rPr>
                <w:b/>
                <w:color w:val="FFFFFF"/>
              </w:rPr>
              <w:t>Exposure ratio</w:t>
            </w:r>
            <w:r w:rsidRPr="00B17B53">
              <w:rPr>
                <w:b/>
                <w:color w:val="FFFFFF"/>
                <w:vertAlign w:val="superscript"/>
              </w:rPr>
              <w:t>#</w:t>
            </w:r>
          </w:p>
        </w:tc>
      </w:tr>
      <w:tr w:rsidR="00E71F4A" w:rsidRPr="007068A9" w:rsidTr="00B17B53">
        <w:trPr>
          <w:trHeight w:val="222"/>
        </w:trPr>
        <w:tc>
          <w:tcPr>
            <w:tcW w:w="1668" w:type="dxa"/>
            <w:vMerge w:val="restart"/>
            <w:shd w:val="clear" w:color="auto" w:fill="auto"/>
          </w:tcPr>
          <w:p w:rsidR="00E71F4A" w:rsidRPr="00575950" w:rsidRDefault="00E71F4A" w:rsidP="00B17B53">
            <w:pPr>
              <w:tabs>
                <w:tab w:val="left" w:pos="1735"/>
              </w:tabs>
              <w:rPr>
                <w:color w:val="000000"/>
                <w:kern w:val="2"/>
              </w:rPr>
            </w:pPr>
            <w:r w:rsidRPr="00575950">
              <w:rPr>
                <w:color w:val="000000"/>
                <w:kern w:val="2"/>
              </w:rPr>
              <w:t>Rat</w:t>
            </w:r>
            <w:r w:rsidR="00CB197B" w:rsidRPr="00575950">
              <w:rPr>
                <w:color w:val="000000"/>
                <w:kern w:val="2"/>
              </w:rPr>
              <w:t xml:space="preserve"> </w:t>
            </w:r>
            <w:r w:rsidRPr="00575950">
              <w:rPr>
                <w:color w:val="000000"/>
                <w:kern w:val="2"/>
              </w:rPr>
              <w:t>(SD)</w:t>
            </w:r>
          </w:p>
        </w:tc>
        <w:tc>
          <w:tcPr>
            <w:tcW w:w="1984" w:type="dxa"/>
            <w:vMerge w:val="restart"/>
            <w:shd w:val="clear" w:color="auto" w:fill="auto"/>
          </w:tcPr>
          <w:p w:rsidR="00E71F4A" w:rsidRPr="00575950" w:rsidRDefault="00E71F4A" w:rsidP="00B17B53">
            <w:pPr>
              <w:tabs>
                <w:tab w:val="left" w:pos="1735"/>
              </w:tabs>
              <w:rPr>
                <w:color w:val="000000"/>
                <w:kern w:val="2"/>
              </w:rPr>
            </w:pPr>
            <w:r w:rsidRPr="00575950">
              <w:rPr>
                <w:color w:val="000000"/>
                <w:kern w:val="2"/>
              </w:rPr>
              <w:t>1 week</w:t>
            </w:r>
          </w:p>
        </w:tc>
        <w:tc>
          <w:tcPr>
            <w:tcW w:w="1418" w:type="dxa"/>
            <w:shd w:val="clear" w:color="auto" w:fill="auto"/>
          </w:tcPr>
          <w:p w:rsidR="00E71F4A" w:rsidRPr="00575950" w:rsidRDefault="00E71F4A" w:rsidP="00B17B53">
            <w:pPr>
              <w:tabs>
                <w:tab w:val="left" w:pos="1735"/>
              </w:tabs>
              <w:rPr>
                <w:color w:val="000000"/>
                <w:kern w:val="2"/>
              </w:rPr>
            </w:pPr>
            <w:r w:rsidRPr="00575950">
              <w:rPr>
                <w:color w:val="000000"/>
                <w:kern w:val="2"/>
              </w:rPr>
              <w:t>2000</w:t>
            </w:r>
          </w:p>
        </w:tc>
        <w:tc>
          <w:tcPr>
            <w:tcW w:w="850" w:type="dxa"/>
            <w:shd w:val="clear" w:color="auto" w:fill="auto"/>
          </w:tcPr>
          <w:p w:rsidR="00E71F4A" w:rsidRPr="00575950" w:rsidRDefault="00E71F4A" w:rsidP="00B17B53">
            <w:pPr>
              <w:tabs>
                <w:tab w:val="left" w:pos="1735"/>
              </w:tabs>
              <w:rPr>
                <w:color w:val="000000"/>
                <w:kern w:val="2"/>
              </w:rPr>
            </w:pPr>
            <w:r w:rsidRPr="00575950">
              <w:rPr>
                <w:rFonts w:ascii="Arial" w:hAnsi="Arial" w:cs="Arial"/>
                <w:color w:val="000000"/>
                <w:kern w:val="2"/>
              </w:rPr>
              <w:t>♂</w:t>
            </w:r>
          </w:p>
        </w:tc>
        <w:tc>
          <w:tcPr>
            <w:tcW w:w="1418" w:type="dxa"/>
            <w:shd w:val="clear" w:color="auto" w:fill="auto"/>
          </w:tcPr>
          <w:p w:rsidR="00E71F4A" w:rsidRPr="00575950" w:rsidRDefault="00E71F4A" w:rsidP="00B17B53">
            <w:pPr>
              <w:tabs>
                <w:tab w:val="left" w:pos="1735"/>
              </w:tabs>
              <w:rPr>
                <w:color w:val="000000"/>
                <w:kern w:val="2"/>
              </w:rPr>
            </w:pPr>
            <w:r w:rsidRPr="00575950">
              <w:rPr>
                <w:color w:val="000000"/>
                <w:kern w:val="2"/>
              </w:rPr>
              <w:t>104423</w:t>
            </w:r>
            <w:r w:rsidRPr="00575950">
              <w:rPr>
                <w:color w:val="000000"/>
                <w:kern w:val="2"/>
                <w:vertAlign w:val="superscript"/>
              </w:rPr>
              <w:t>c</w:t>
            </w:r>
          </w:p>
        </w:tc>
        <w:tc>
          <w:tcPr>
            <w:tcW w:w="1351" w:type="dxa"/>
            <w:shd w:val="clear" w:color="auto" w:fill="auto"/>
          </w:tcPr>
          <w:p w:rsidR="00E71F4A" w:rsidRPr="00575950" w:rsidRDefault="00E71F4A" w:rsidP="00B17B53">
            <w:pPr>
              <w:tabs>
                <w:tab w:val="left" w:pos="1735"/>
              </w:tabs>
              <w:rPr>
                <w:color w:val="000000"/>
              </w:rPr>
            </w:pPr>
            <w:r w:rsidRPr="00575950">
              <w:rPr>
                <w:color w:val="000000"/>
                <w:kern w:val="2"/>
              </w:rPr>
              <w:t>248</w:t>
            </w:r>
          </w:p>
        </w:tc>
      </w:tr>
      <w:tr w:rsidR="00E71F4A" w:rsidRPr="007068A9" w:rsidTr="00B17B53">
        <w:trPr>
          <w:trHeight w:val="222"/>
        </w:trPr>
        <w:tc>
          <w:tcPr>
            <w:tcW w:w="1668" w:type="dxa"/>
            <w:vMerge/>
            <w:shd w:val="clear" w:color="auto" w:fill="auto"/>
          </w:tcPr>
          <w:p w:rsidR="00E71F4A" w:rsidRPr="00575950" w:rsidRDefault="00E71F4A" w:rsidP="00B17B53">
            <w:pPr>
              <w:tabs>
                <w:tab w:val="left" w:pos="1735"/>
              </w:tabs>
              <w:rPr>
                <w:color w:val="00B050"/>
                <w:kern w:val="2"/>
              </w:rPr>
            </w:pPr>
          </w:p>
        </w:tc>
        <w:tc>
          <w:tcPr>
            <w:tcW w:w="1984" w:type="dxa"/>
            <w:vMerge/>
            <w:shd w:val="clear" w:color="auto" w:fill="auto"/>
          </w:tcPr>
          <w:p w:rsidR="00E71F4A" w:rsidRPr="00575950" w:rsidRDefault="00E71F4A" w:rsidP="00B17B53">
            <w:pPr>
              <w:tabs>
                <w:tab w:val="left" w:pos="1735"/>
              </w:tabs>
              <w:rPr>
                <w:color w:val="00B050"/>
                <w:kern w:val="2"/>
              </w:rPr>
            </w:pPr>
          </w:p>
        </w:tc>
        <w:tc>
          <w:tcPr>
            <w:tcW w:w="1418" w:type="dxa"/>
            <w:shd w:val="clear" w:color="auto" w:fill="auto"/>
          </w:tcPr>
          <w:p w:rsidR="00E71F4A" w:rsidRPr="00575950" w:rsidRDefault="00E71F4A" w:rsidP="00B17B53">
            <w:pPr>
              <w:tabs>
                <w:tab w:val="left" w:pos="1735"/>
              </w:tabs>
              <w:rPr>
                <w:color w:val="000000"/>
                <w:kern w:val="2"/>
              </w:rPr>
            </w:pPr>
            <w:r w:rsidRPr="00575950">
              <w:rPr>
                <w:color w:val="000000"/>
                <w:kern w:val="2"/>
              </w:rPr>
              <w:t>3000</w:t>
            </w:r>
          </w:p>
        </w:tc>
        <w:tc>
          <w:tcPr>
            <w:tcW w:w="850" w:type="dxa"/>
            <w:shd w:val="clear" w:color="auto" w:fill="auto"/>
          </w:tcPr>
          <w:p w:rsidR="00E71F4A" w:rsidRPr="00575950" w:rsidRDefault="00E71F4A" w:rsidP="00B17B53">
            <w:pPr>
              <w:tabs>
                <w:tab w:val="left" w:pos="1735"/>
              </w:tabs>
              <w:rPr>
                <w:color w:val="000000"/>
                <w:kern w:val="2"/>
              </w:rPr>
            </w:pPr>
            <w:r w:rsidRPr="00575950">
              <w:rPr>
                <w:rFonts w:ascii="Arial" w:hAnsi="Arial" w:cs="Arial"/>
                <w:color w:val="000000"/>
                <w:kern w:val="2"/>
              </w:rPr>
              <w:t>♂</w:t>
            </w:r>
          </w:p>
        </w:tc>
        <w:tc>
          <w:tcPr>
            <w:tcW w:w="1418" w:type="dxa"/>
            <w:shd w:val="clear" w:color="auto" w:fill="auto"/>
          </w:tcPr>
          <w:p w:rsidR="00E71F4A" w:rsidRPr="00575950" w:rsidRDefault="00E71F4A" w:rsidP="00B17B53">
            <w:pPr>
              <w:tabs>
                <w:tab w:val="left" w:pos="1735"/>
              </w:tabs>
              <w:rPr>
                <w:color w:val="000000"/>
                <w:kern w:val="2"/>
              </w:rPr>
            </w:pPr>
            <w:r w:rsidRPr="00575950">
              <w:rPr>
                <w:color w:val="000000"/>
                <w:kern w:val="2"/>
              </w:rPr>
              <w:t>80620</w:t>
            </w:r>
            <w:r w:rsidRPr="00575950">
              <w:rPr>
                <w:color w:val="000000"/>
                <w:kern w:val="2"/>
                <w:vertAlign w:val="superscript"/>
              </w:rPr>
              <w:t xml:space="preserve"> c</w:t>
            </w:r>
          </w:p>
        </w:tc>
        <w:tc>
          <w:tcPr>
            <w:tcW w:w="1351" w:type="dxa"/>
            <w:shd w:val="clear" w:color="auto" w:fill="auto"/>
          </w:tcPr>
          <w:p w:rsidR="00E71F4A" w:rsidRPr="00575950" w:rsidRDefault="00E71F4A" w:rsidP="00B17B53">
            <w:pPr>
              <w:tabs>
                <w:tab w:val="left" w:pos="1735"/>
              </w:tabs>
              <w:rPr>
                <w:color w:val="000000"/>
              </w:rPr>
            </w:pPr>
            <w:r w:rsidRPr="00575950">
              <w:rPr>
                <w:color w:val="000000"/>
                <w:kern w:val="2"/>
              </w:rPr>
              <w:t>191</w:t>
            </w:r>
          </w:p>
        </w:tc>
      </w:tr>
      <w:tr w:rsidR="00E71F4A" w:rsidRPr="007068A9" w:rsidTr="00B17B53">
        <w:trPr>
          <w:trHeight w:val="222"/>
        </w:trPr>
        <w:tc>
          <w:tcPr>
            <w:tcW w:w="1668" w:type="dxa"/>
            <w:vMerge/>
            <w:shd w:val="clear" w:color="auto" w:fill="auto"/>
          </w:tcPr>
          <w:p w:rsidR="00E71F4A" w:rsidRPr="00575950" w:rsidRDefault="00E71F4A" w:rsidP="00B17B53">
            <w:pPr>
              <w:tabs>
                <w:tab w:val="left" w:pos="1735"/>
              </w:tabs>
              <w:rPr>
                <w:color w:val="00B050"/>
                <w:kern w:val="2"/>
              </w:rPr>
            </w:pPr>
          </w:p>
        </w:tc>
        <w:tc>
          <w:tcPr>
            <w:tcW w:w="1984" w:type="dxa"/>
            <w:vMerge/>
            <w:shd w:val="clear" w:color="auto" w:fill="auto"/>
          </w:tcPr>
          <w:p w:rsidR="00E71F4A" w:rsidRPr="00575950" w:rsidRDefault="00E71F4A" w:rsidP="00B17B53">
            <w:pPr>
              <w:tabs>
                <w:tab w:val="left" w:pos="1735"/>
              </w:tabs>
              <w:rPr>
                <w:color w:val="00B050"/>
                <w:kern w:val="2"/>
              </w:rPr>
            </w:pPr>
          </w:p>
        </w:tc>
        <w:tc>
          <w:tcPr>
            <w:tcW w:w="1418" w:type="dxa"/>
            <w:shd w:val="clear" w:color="auto" w:fill="auto"/>
          </w:tcPr>
          <w:p w:rsidR="00E71F4A" w:rsidRPr="00575950" w:rsidRDefault="00E71F4A" w:rsidP="00B17B53">
            <w:pPr>
              <w:tabs>
                <w:tab w:val="left" w:pos="1735"/>
              </w:tabs>
              <w:rPr>
                <w:color w:val="000000"/>
                <w:kern w:val="2"/>
              </w:rPr>
            </w:pPr>
            <w:r w:rsidRPr="00575950">
              <w:rPr>
                <w:color w:val="000000"/>
                <w:kern w:val="2"/>
              </w:rPr>
              <w:t>5000</w:t>
            </w:r>
          </w:p>
        </w:tc>
        <w:tc>
          <w:tcPr>
            <w:tcW w:w="850" w:type="dxa"/>
            <w:shd w:val="clear" w:color="auto" w:fill="auto"/>
          </w:tcPr>
          <w:p w:rsidR="00E71F4A" w:rsidRPr="00575950" w:rsidRDefault="00E71F4A" w:rsidP="00B17B53">
            <w:pPr>
              <w:tabs>
                <w:tab w:val="left" w:pos="1735"/>
              </w:tabs>
              <w:rPr>
                <w:color w:val="000000"/>
                <w:kern w:val="2"/>
              </w:rPr>
            </w:pPr>
            <w:r w:rsidRPr="00575950">
              <w:rPr>
                <w:rFonts w:ascii="Arial" w:hAnsi="Arial" w:cs="Arial"/>
                <w:color w:val="000000"/>
                <w:kern w:val="2"/>
              </w:rPr>
              <w:t>♂</w:t>
            </w:r>
          </w:p>
        </w:tc>
        <w:tc>
          <w:tcPr>
            <w:tcW w:w="1418" w:type="dxa"/>
            <w:shd w:val="clear" w:color="auto" w:fill="auto"/>
          </w:tcPr>
          <w:p w:rsidR="00E71F4A" w:rsidRPr="00575950" w:rsidRDefault="00E71F4A" w:rsidP="00B17B53">
            <w:pPr>
              <w:tabs>
                <w:tab w:val="left" w:pos="1735"/>
              </w:tabs>
              <w:rPr>
                <w:color w:val="000000"/>
                <w:kern w:val="2"/>
              </w:rPr>
            </w:pPr>
            <w:r w:rsidRPr="00575950">
              <w:rPr>
                <w:color w:val="000000"/>
                <w:kern w:val="2"/>
              </w:rPr>
              <w:t>87563</w:t>
            </w:r>
            <w:r w:rsidRPr="00575950">
              <w:rPr>
                <w:color w:val="000000"/>
                <w:kern w:val="2"/>
                <w:vertAlign w:val="superscript"/>
              </w:rPr>
              <w:t xml:space="preserve"> c</w:t>
            </w:r>
          </w:p>
        </w:tc>
        <w:tc>
          <w:tcPr>
            <w:tcW w:w="1351" w:type="dxa"/>
            <w:shd w:val="clear" w:color="auto" w:fill="auto"/>
          </w:tcPr>
          <w:p w:rsidR="00E71F4A" w:rsidRPr="00575950" w:rsidRDefault="00E71F4A" w:rsidP="00B17B53">
            <w:pPr>
              <w:tabs>
                <w:tab w:val="left" w:pos="1735"/>
              </w:tabs>
              <w:rPr>
                <w:color w:val="000000"/>
              </w:rPr>
            </w:pPr>
            <w:r w:rsidRPr="00575950">
              <w:rPr>
                <w:color w:val="000000"/>
                <w:kern w:val="2"/>
              </w:rPr>
              <w:t>208</w:t>
            </w:r>
          </w:p>
        </w:tc>
      </w:tr>
      <w:tr w:rsidR="00E71F4A" w:rsidRPr="007068A9" w:rsidTr="00B17B53">
        <w:trPr>
          <w:trHeight w:val="132"/>
        </w:trPr>
        <w:tc>
          <w:tcPr>
            <w:tcW w:w="1668" w:type="dxa"/>
            <w:vMerge/>
            <w:shd w:val="clear" w:color="auto" w:fill="auto"/>
          </w:tcPr>
          <w:p w:rsidR="00E71F4A" w:rsidRPr="00575950" w:rsidRDefault="00E71F4A" w:rsidP="00B17B53">
            <w:pPr>
              <w:tabs>
                <w:tab w:val="left" w:pos="1735"/>
              </w:tabs>
              <w:rPr>
                <w:color w:val="00B050"/>
                <w:kern w:val="2"/>
              </w:rPr>
            </w:pPr>
          </w:p>
        </w:tc>
        <w:tc>
          <w:tcPr>
            <w:tcW w:w="1984" w:type="dxa"/>
            <w:vMerge w:val="restart"/>
            <w:shd w:val="clear" w:color="auto" w:fill="auto"/>
          </w:tcPr>
          <w:p w:rsidR="00E71F4A" w:rsidRPr="00575950" w:rsidRDefault="00E71F4A" w:rsidP="00B17B53">
            <w:pPr>
              <w:tabs>
                <w:tab w:val="left" w:pos="1735"/>
              </w:tabs>
              <w:rPr>
                <w:color w:val="000000"/>
                <w:kern w:val="2"/>
              </w:rPr>
            </w:pPr>
            <w:r w:rsidRPr="00575950">
              <w:rPr>
                <w:color w:val="000000"/>
                <w:kern w:val="2"/>
              </w:rPr>
              <w:t>6 months</w:t>
            </w:r>
            <w:r w:rsidR="00CB197B" w:rsidRPr="00575950">
              <w:rPr>
                <w:color w:val="000000"/>
                <w:kern w:val="2"/>
              </w:rPr>
              <w:t xml:space="preserve"> </w:t>
            </w:r>
            <w:r w:rsidRPr="00575950">
              <w:rPr>
                <w:color w:val="000000"/>
              </w:rPr>
              <w:t>CC-4047-TOX-013</w:t>
            </w:r>
          </w:p>
        </w:tc>
        <w:tc>
          <w:tcPr>
            <w:tcW w:w="1418" w:type="dxa"/>
            <w:vMerge w:val="restart"/>
            <w:shd w:val="clear" w:color="auto" w:fill="auto"/>
          </w:tcPr>
          <w:p w:rsidR="00E71F4A" w:rsidRPr="00575950" w:rsidRDefault="00E71F4A" w:rsidP="00B17B53">
            <w:pPr>
              <w:tabs>
                <w:tab w:val="left" w:pos="1735"/>
              </w:tabs>
              <w:rPr>
                <w:color w:val="000000"/>
                <w:kern w:val="2"/>
              </w:rPr>
            </w:pPr>
            <w:r w:rsidRPr="00575950">
              <w:rPr>
                <w:color w:val="000000"/>
                <w:kern w:val="2"/>
              </w:rPr>
              <w:t>50</w:t>
            </w:r>
          </w:p>
        </w:tc>
        <w:tc>
          <w:tcPr>
            <w:tcW w:w="850" w:type="dxa"/>
            <w:shd w:val="clear" w:color="auto" w:fill="auto"/>
          </w:tcPr>
          <w:p w:rsidR="00E71F4A" w:rsidRPr="00575950" w:rsidRDefault="00E71F4A" w:rsidP="00B17B53">
            <w:pPr>
              <w:tabs>
                <w:tab w:val="left" w:pos="1735"/>
              </w:tabs>
              <w:rPr>
                <w:color w:val="000000"/>
                <w:kern w:val="2"/>
              </w:rPr>
            </w:pPr>
            <w:r w:rsidRPr="00575950">
              <w:rPr>
                <w:rFonts w:ascii="Arial" w:hAnsi="Arial" w:cs="Arial"/>
                <w:color w:val="000000"/>
                <w:kern w:val="2"/>
              </w:rPr>
              <w:t>♂</w:t>
            </w:r>
          </w:p>
        </w:tc>
        <w:tc>
          <w:tcPr>
            <w:tcW w:w="1418" w:type="dxa"/>
            <w:shd w:val="clear" w:color="auto" w:fill="auto"/>
          </w:tcPr>
          <w:p w:rsidR="00E71F4A" w:rsidRPr="00575950" w:rsidRDefault="00E71F4A" w:rsidP="00B17B53">
            <w:pPr>
              <w:tabs>
                <w:tab w:val="left" w:pos="1735"/>
              </w:tabs>
              <w:rPr>
                <w:color w:val="000000"/>
                <w:kern w:val="2"/>
              </w:rPr>
            </w:pPr>
            <w:r w:rsidRPr="00575950">
              <w:rPr>
                <w:color w:val="000000"/>
                <w:kern w:val="2"/>
              </w:rPr>
              <w:t>21440</w:t>
            </w:r>
            <w:r w:rsidRPr="00575950">
              <w:rPr>
                <w:color w:val="000000"/>
                <w:kern w:val="2"/>
                <w:vertAlign w:val="superscript"/>
              </w:rPr>
              <w:t xml:space="preserve"> a</w:t>
            </w:r>
          </w:p>
        </w:tc>
        <w:tc>
          <w:tcPr>
            <w:tcW w:w="1351" w:type="dxa"/>
            <w:shd w:val="clear" w:color="auto" w:fill="auto"/>
          </w:tcPr>
          <w:p w:rsidR="00E71F4A" w:rsidRPr="00575950" w:rsidRDefault="00E71F4A" w:rsidP="00B17B53">
            <w:pPr>
              <w:tabs>
                <w:tab w:val="left" w:pos="1735"/>
              </w:tabs>
              <w:rPr>
                <w:color w:val="000000"/>
              </w:rPr>
            </w:pPr>
            <w:r w:rsidRPr="00575950">
              <w:rPr>
                <w:color w:val="000000"/>
                <w:kern w:val="2"/>
              </w:rPr>
              <w:t>51</w:t>
            </w:r>
          </w:p>
        </w:tc>
      </w:tr>
      <w:tr w:rsidR="00E71F4A" w:rsidRPr="007068A9" w:rsidTr="00B17B53">
        <w:trPr>
          <w:trHeight w:val="133"/>
        </w:trPr>
        <w:tc>
          <w:tcPr>
            <w:tcW w:w="1668" w:type="dxa"/>
            <w:vMerge/>
            <w:shd w:val="clear" w:color="auto" w:fill="auto"/>
          </w:tcPr>
          <w:p w:rsidR="00E71F4A" w:rsidRPr="00575950" w:rsidRDefault="00E71F4A" w:rsidP="00B17B53">
            <w:pPr>
              <w:tabs>
                <w:tab w:val="left" w:pos="1735"/>
              </w:tabs>
              <w:rPr>
                <w:color w:val="00B050"/>
                <w:kern w:val="2"/>
              </w:rPr>
            </w:pPr>
          </w:p>
        </w:tc>
        <w:tc>
          <w:tcPr>
            <w:tcW w:w="1984" w:type="dxa"/>
            <w:vMerge/>
            <w:shd w:val="clear" w:color="auto" w:fill="auto"/>
          </w:tcPr>
          <w:p w:rsidR="00E71F4A" w:rsidRPr="00575950" w:rsidRDefault="00E71F4A" w:rsidP="00B17B53">
            <w:pPr>
              <w:tabs>
                <w:tab w:val="left" w:pos="1735"/>
              </w:tabs>
              <w:rPr>
                <w:color w:val="000000"/>
                <w:kern w:val="2"/>
              </w:rPr>
            </w:pPr>
          </w:p>
        </w:tc>
        <w:tc>
          <w:tcPr>
            <w:tcW w:w="1418" w:type="dxa"/>
            <w:vMerge/>
            <w:shd w:val="clear" w:color="auto" w:fill="auto"/>
          </w:tcPr>
          <w:p w:rsidR="00E71F4A" w:rsidRPr="00575950" w:rsidRDefault="00E71F4A" w:rsidP="00B17B53">
            <w:pPr>
              <w:tabs>
                <w:tab w:val="left" w:pos="1735"/>
              </w:tabs>
              <w:rPr>
                <w:color w:val="000000"/>
                <w:kern w:val="2"/>
              </w:rPr>
            </w:pPr>
          </w:p>
        </w:tc>
        <w:tc>
          <w:tcPr>
            <w:tcW w:w="850" w:type="dxa"/>
            <w:shd w:val="clear" w:color="auto" w:fill="auto"/>
          </w:tcPr>
          <w:p w:rsidR="00E71F4A" w:rsidRPr="00575950" w:rsidRDefault="00E71F4A" w:rsidP="00B17B53">
            <w:pPr>
              <w:tabs>
                <w:tab w:val="left" w:pos="1735"/>
              </w:tabs>
              <w:rPr>
                <w:color w:val="000000"/>
                <w:kern w:val="2"/>
              </w:rPr>
            </w:pPr>
            <w:r w:rsidRPr="00575950">
              <w:rPr>
                <w:rFonts w:ascii="Arial" w:hAnsi="Arial" w:cs="Arial"/>
                <w:color w:val="000000"/>
                <w:kern w:val="2"/>
              </w:rPr>
              <w:t>♀</w:t>
            </w:r>
          </w:p>
        </w:tc>
        <w:tc>
          <w:tcPr>
            <w:tcW w:w="1418" w:type="dxa"/>
            <w:shd w:val="clear" w:color="auto" w:fill="auto"/>
          </w:tcPr>
          <w:p w:rsidR="00E71F4A" w:rsidRPr="00575950" w:rsidRDefault="00E71F4A" w:rsidP="00B17B53">
            <w:pPr>
              <w:tabs>
                <w:tab w:val="left" w:pos="1735"/>
              </w:tabs>
              <w:rPr>
                <w:color w:val="000000"/>
                <w:kern w:val="2"/>
              </w:rPr>
            </w:pPr>
            <w:r w:rsidRPr="00575950">
              <w:rPr>
                <w:color w:val="000000"/>
                <w:kern w:val="2"/>
              </w:rPr>
              <w:t>40420</w:t>
            </w:r>
            <w:r w:rsidRPr="00575950">
              <w:rPr>
                <w:color w:val="000000"/>
                <w:kern w:val="2"/>
                <w:vertAlign w:val="superscript"/>
              </w:rPr>
              <w:t xml:space="preserve"> a</w:t>
            </w:r>
          </w:p>
        </w:tc>
        <w:tc>
          <w:tcPr>
            <w:tcW w:w="1351" w:type="dxa"/>
            <w:shd w:val="clear" w:color="auto" w:fill="auto"/>
          </w:tcPr>
          <w:p w:rsidR="00E71F4A" w:rsidRPr="00575950" w:rsidRDefault="00E71F4A" w:rsidP="00B17B53">
            <w:pPr>
              <w:tabs>
                <w:tab w:val="left" w:pos="1735"/>
              </w:tabs>
              <w:rPr>
                <w:color w:val="000000"/>
              </w:rPr>
            </w:pPr>
            <w:r w:rsidRPr="00575950">
              <w:rPr>
                <w:color w:val="000000"/>
                <w:kern w:val="2"/>
              </w:rPr>
              <w:t>96</w:t>
            </w:r>
          </w:p>
        </w:tc>
      </w:tr>
      <w:tr w:rsidR="00E71F4A" w:rsidRPr="007068A9" w:rsidTr="00B17B53">
        <w:trPr>
          <w:trHeight w:val="146"/>
        </w:trPr>
        <w:tc>
          <w:tcPr>
            <w:tcW w:w="1668" w:type="dxa"/>
            <w:vMerge/>
            <w:shd w:val="clear" w:color="auto" w:fill="auto"/>
          </w:tcPr>
          <w:p w:rsidR="00E71F4A" w:rsidRPr="00575950" w:rsidRDefault="00E71F4A" w:rsidP="00B17B53">
            <w:pPr>
              <w:tabs>
                <w:tab w:val="left" w:pos="1735"/>
              </w:tabs>
              <w:rPr>
                <w:color w:val="00B050"/>
                <w:kern w:val="2"/>
              </w:rPr>
            </w:pPr>
          </w:p>
        </w:tc>
        <w:tc>
          <w:tcPr>
            <w:tcW w:w="1984" w:type="dxa"/>
            <w:vMerge/>
            <w:shd w:val="clear" w:color="auto" w:fill="auto"/>
          </w:tcPr>
          <w:p w:rsidR="00E71F4A" w:rsidRPr="00575950" w:rsidRDefault="00E71F4A" w:rsidP="00B17B53">
            <w:pPr>
              <w:tabs>
                <w:tab w:val="left" w:pos="1735"/>
              </w:tabs>
              <w:rPr>
                <w:color w:val="00B050"/>
                <w:kern w:val="2"/>
              </w:rPr>
            </w:pPr>
          </w:p>
        </w:tc>
        <w:tc>
          <w:tcPr>
            <w:tcW w:w="1418" w:type="dxa"/>
            <w:vMerge w:val="restart"/>
            <w:shd w:val="clear" w:color="auto" w:fill="auto"/>
          </w:tcPr>
          <w:p w:rsidR="00E71F4A" w:rsidRPr="00575950" w:rsidRDefault="00E71F4A" w:rsidP="00B17B53">
            <w:pPr>
              <w:tabs>
                <w:tab w:val="left" w:pos="1735"/>
              </w:tabs>
              <w:rPr>
                <w:color w:val="000000"/>
                <w:kern w:val="2"/>
              </w:rPr>
            </w:pPr>
            <w:r w:rsidRPr="00575950">
              <w:rPr>
                <w:color w:val="000000"/>
                <w:kern w:val="2"/>
              </w:rPr>
              <w:t>250</w:t>
            </w:r>
          </w:p>
        </w:tc>
        <w:tc>
          <w:tcPr>
            <w:tcW w:w="850" w:type="dxa"/>
            <w:shd w:val="clear" w:color="auto" w:fill="auto"/>
          </w:tcPr>
          <w:p w:rsidR="00E71F4A" w:rsidRPr="00575950" w:rsidRDefault="00E71F4A" w:rsidP="00B17B53">
            <w:pPr>
              <w:tabs>
                <w:tab w:val="left" w:pos="1735"/>
              </w:tabs>
              <w:rPr>
                <w:color w:val="000000"/>
                <w:kern w:val="2"/>
              </w:rPr>
            </w:pPr>
            <w:r w:rsidRPr="00575950">
              <w:rPr>
                <w:rFonts w:ascii="Arial" w:hAnsi="Arial" w:cs="Arial"/>
                <w:color w:val="000000"/>
                <w:kern w:val="2"/>
              </w:rPr>
              <w:t>♂</w:t>
            </w:r>
          </w:p>
        </w:tc>
        <w:tc>
          <w:tcPr>
            <w:tcW w:w="1418" w:type="dxa"/>
            <w:shd w:val="clear" w:color="auto" w:fill="auto"/>
          </w:tcPr>
          <w:p w:rsidR="00E71F4A" w:rsidRPr="00575950" w:rsidRDefault="00E71F4A" w:rsidP="00B17B53">
            <w:pPr>
              <w:tabs>
                <w:tab w:val="left" w:pos="1735"/>
              </w:tabs>
              <w:rPr>
                <w:color w:val="000000"/>
                <w:kern w:val="2"/>
              </w:rPr>
            </w:pPr>
            <w:r w:rsidRPr="00575950">
              <w:rPr>
                <w:color w:val="000000"/>
                <w:kern w:val="2"/>
              </w:rPr>
              <w:t>31120</w:t>
            </w:r>
            <w:r w:rsidRPr="00575950">
              <w:rPr>
                <w:color w:val="000000"/>
                <w:kern w:val="2"/>
                <w:vertAlign w:val="superscript"/>
              </w:rPr>
              <w:t xml:space="preserve"> a</w:t>
            </w:r>
          </w:p>
        </w:tc>
        <w:tc>
          <w:tcPr>
            <w:tcW w:w="1351" w:type="dxa"/>
            <w:shd w:val="clear" w:color="auto" w:fill="auto"/>
          </w:tcPr>
          <w:p w:rsidR="00E71F4A" w:rsidRPr="00575950" w:rsidRDefault="00E71F4A" w:rsidP="00B17B53">
            <w:pPr>
              <w:tabs>
                <w:tab w:val="left" w:pos="1735"/>
              </w:tabs>
              <w:rPr>
                <w:color w:val="000000"/>
              </w:rPr>
            </w:pPr>
            <w:r w:rsidRPr="00575950">
              <w:rPr>
                <w:color w:val="000000"/>
                <w:kern w:val="2"/>
              </w:rPr>
              <w:t>74</w:t>
            </w:r>
          </w:p>
        </w:tc>
      </w:tr>
      <w:tr w:rsidR="00E71F4A" w:rsidRPr="007068A9" w:rsidTr="00B17B53">
        <w:trPr>
          <w:trHeight w:val="119"/>
        </w:trPr>
        <w:tc>
          <w:tcPr>
            <w:tcW w:w="1668" w:type="dxa"/>
            <w:vMerge/>
            <w:shd w:val="clear" w:color="auto" w:fill="auto"/>
          </w:tcPr>
          <w:p w:rsidR="00E71F4A" w:rsidRPr="00575950" w:rsidRDefault="00E71F4A" w:rsidP="00B17B53">
            <w:pPr>
              <w:tabs>
                <w:tab w:val="left" w:pos="1735"/>
              </w:tabs>
              <w:rPr>
                <w:color w:val="00B050"/>
                <w:kern w:val="2"/>
              </w:rPr>
            </w:pPr>
          </w:p>
        </w:tc>
        <w:tc>
          <w:tcPr>
            <w:tcW w:w="1984" w:type="dxa"/>
            <w:vMerge/>
            <w:shd w:val="clear" w:color="auto" w:fill="auto"/>
          </w:tcPr>
          <w:p w:rsidR="00E71F4A" w:rsidRPr="00575950" w:rsidRDefault="00E71F4A" w:rsidP="00B17B53">
            <w:pPr>
              <w:tabs>
                <w:tab w:val="left" w:pos="1735"/>
              </w:tabs>
              <w:rPr>
                <w:color w:val="00B050"/>
                <w:kern w:val="2"/>
              </w:rPr>
            </w:pPr>
          </w:p>
        </w:tc>
        <w:tc>
          <w:tcPr>
            <w:tcW w:w="1418" w:type="dxa"/>
            <w:vMerge/>
            <w:shd w:val="clear" w:color="auto" w:fill="auto"/>
          </w:tcPr>
          <w:p w:rsidR="00E71F4A" w:rsidRPr="00575950" w:rsidRDefault="00E71F4A" w:rsidP="00B17B53">
            <w:pPr>
              <w:tabs>
                <w:tab w:val="left" w:pos="1735"/>
              </w:tabs>
              <w:rPr>
                <w:color w:val="000000"/>
                <w:kern w:val="2"/>
              </w:rPr>
            </w:pPr>
          </w:p>
        </w:tc>
        <w:tc>
          <w:tcPr>
            <w:tcW w:w="850" w:type="dxa"/>
            <w:shd w:val="clear" w:color="auto" w:fill="auto"/>
          </w:tcPr>
          <w:p w:rsidR="00E71F4A" w:rsidRPr="00575950" w:rsidRDefault="00E71F4A" w:rsidP="00B17B53">
            <w:pPr>
              <w:tabs>
                <w:tab w:val="left" w:pos="1735"/>
              </w:tabs>
              <w:rPr>
                <w:color w:val="000000"/>
                <w:kern w:val="2"/>
              </w:rPr>
            </w:pPr>
            <w:r w:rsidRPr="00575950">
              <w:rPr>
                <w:rFonts w:ascii="Arial" w:hAnsi="Arial" w:cs="Arial"/>
                <w:color w:val="000000"/>
                <w:kern w:val="2"/>
              </w:rPr>
              <w:t>♀</w:t>
            </w:r>
          </w:p>
        </w:tc>
        <w:tc>
          <w:tcPr>
            <w:tcW w:w="1418" w:type="dxa"/>
            <w:shd w:val="clear" w:color="auto" w:fill="auto"/>
          </w:tcPr>
          <w:p w:rsidR="00E71F4A" w:rsidRPr="00575950" w:rsidRDefault="00E71F4A" w:rsidP="00B17B53">
            <w:pPr>
              <w:tabs>
                <w:tab w:val="left" w:pos="1735"/>
              </w:tabs>
              <w:rPr>
                <w:color w:val="000000"/>
                <w:kern w:val="2"/>
              </w:rPr>
            </w:pPr>
            <w:r w:rsidRPr="00575950">
              <w:rPr>
                <w:color w:val="000000"/>
                <w:kern w:val="2"/>
              </w:rPr>
              <w:t>70170</w:t>
            </w:r>
            <w:r w:rsidRPr="00575950">
              <w:rPr>
                <w:color w:val="000000"/>
                <w:kern w:val="2"/>
                <w:vertAlign w:val="superscript"/>
              </w:rPr>
              <w:t xml:space="preserve"> a</w:t>
            </w:r>
          </w:p>
        </w:tc>
        <w:tc>
          <w:tcPr>
            <w:tcW w:w="1351" w:type="dxa"/>
            <w:shd w:val="clear" w:color="auto" w:fill="auto"/>
          </w:tcPr>
          <w:p w:rsidR="00E71F4A" w:rsidRPr="00575950" w:rsidRDefault="00E71F4A" w:rsidP="00B17B53">
            <w:pPr>
              <w:tabs>
                <w:tab w:val="left" w:pos="1735"/>
              </w:tabs>
              <w:rPr>
                <w:color w:val="000000"/>
              </w:rPr>
            </w:pPr>
            <w:r w:rsidRPr="00575950">
              <w:rPr>
                <w:color w:val="000000"/>
                <w:kern w:val="2"/>
              </w:rPr>
              <w:t>167</w:t>
            </w:r>
          </w:p>
        </w:tc>
      </w:tr>
      <w:tr w:rsidR="00E71F4A" w:rsidRPr="007068A9" w:rsidTr="00B17B53">
        <w:trPr>
          <w:trHeight w:val="132"/>
        </w:trPr>
        <w:tc>
          <w:tcPr>
            <w:tcW w:w="1668" w:type="dxa"/>
            <w:vMerge/>
            <w:shd w:val="clear" w:color="auto" w:fill="auto"/>
          </w:tcPr>
          <w:p w:rsidR="00E71F4A" w:rsidRPr="00575950" w:rsidRDefault="00E71F4A" w:rsidP="00B17B53">
            <w:pPr>
              <w:tabs>
                <w:tab w:val="left" w:pos="1735"/>
              </w:tabs>
              <w:rPr>
                <w:color w:val="00B050"/>
                <w:kern w:val="2"/>
              </w:rPr>
            </w:pPr>
          </w:p>
        </w:tc>
        <w:tc>
          <w:tcPr>
            <w:tcW w:w="1984" w:type="dxa"/>
            <w:vMerge/>
            <w:shd w:val="clear" w:color="auto" w:fill="auto"/>
          </w:tcPr>
          <w:p w:rsidR="00E71F4A" w:rsidRPr="00575950" w:rsidRDefault="00E71F4A" w:rsidP="00B17B53">
            <w:pPr>
              <w:tabs>
                <w:tab w:val="left" w:pos="1735"/>
              </w:tabs>
              <w:rPr>
                <w:color w:val="00B050"/>
                <w:kern w:val="2"/>
              </w:rPr>
            </w:pPr>
          </w:p>
        </w:tc>
        <w:tc>
          <w:tcPr>
            <w:tcW w:w="1418" w:type="dxa"/>
            <w:vMerge w:val="restart"/>
            <w:shd w:val="clear" w:color="auto" w:fill="auto"/>
          </w:tcPr>
          <w:p w:rsidR="00E71F4A" w:rsidRPr="00575950" w:rsidRDefault="00E71F4A" w:rsidP="00B17B53">
            <w:pPr>
              <w:tabs>
                <w:tab w:val="left" w:pos="1735"/>
              </w:tabs>
              <w:rPr>
                <w:color w:val="000000"/>
                <w:kern w:val="2"/>
              </w:rPr>
            </w:pPr>
            <w:r w:rsidRPr="00575950">
              <w:rPr>
                <w:color w:val="000000"/>
                <w:kern w:val="2"/>
              </w:rPr>
              <w:t>1000</w:t>
            </w:r>
          </w:p>
        </w:tc>
        <w:tc>
          <w:tcPr>
            <w:tcW w:w="850" w:type="dxa"/>
            <w:shd w:val="clear" w:color="auto" w:fill="auto"/>
          </w:tcPr>
          <w:p w:rsidR="00E71F4A" w:rsidRPr="00575950" w:rsidRDefault="00E71F4A" w:rsidP="00B17B53">
            <w:pPr>
              <w:tabs>
                <w:tab w:val="left" w:pos="1735"/>
              </w:tabs>
              <w:rPr>
                <w:color w:val="000000"/>
                <w:kern w:val="2"/>
              </w:rPr>
            </w:pPr>
            <w:r w:rsidRPr="00575950">
              <w:rPr>
                <w:rFonts w:ascii="Arial" w:hAnsi="Arial" w:cs="Arial"/>
                <w:color w:val="000000"/>
                <w:kern w:val="2"/>
              </w:rPr>
              <w:t>♂</w:t>
            </w:r>
          </w:p>
        </w:tc>
        <w:tc>
          <w:tcPr>
            <w:tcW w:w="1418" w:type="dxa"/>
            <w:shd w:val="clear" w:color="auto" w:fill="auto"/>
          </w:tcPr>
          <w:p w:rsidR="00E71F4A" w:rsidRPr="00575950" w:rsidRDefault="00E71F4A" w:rsidP="00B17B53">
            <w:pPr>
              <w:tabs>
                <w:tab w:val="left" w:pos="1735"/>
              </w:tabs>
              <w:rPr>
                <w:color w:val="000000"/>
                <w:kern w:val="2"/>
              </w:rPr>
            </w:pPr>
            <w:r w:rsidRPr="00575950">
              <w:rPr>
                <w:color w:val="000000"/>
                <w:kern w:val="2"/>
              </w:rPr>
              <w:t>42530</w:t>
            </w:r>
            <w:r w:rsidRPr="00575950">
              <w:rPr>
                <w:color w:val="000000"/>
                <w:kern w:val="2"/>
                <w:vertAlign w:val="superscript"/>
              </w:rPr>
              <w:t xml:space="preserve"> a</w:t>
            </w:r>
          </w:p>
        </w:tc>
        <w:tc>
          <w:tcPr>
            <w:tcW w:w="1351" w:type="dxa"/>
            <w:shd w:val="clear" w:color="auto" w:fill="auto"/>
          </w:tcPr>
          <w:p w:rsidR="00E71F4A" w:rsidRPr="00575950" w:rsidRDefault="00E71F4A" w:rsidP="00B17B53">
            <w:pPr>
              <w:tabs>
                <w:tab w:val="left" w:pos="1735"/>
              </w:tabs>
              <w:rPr>
                <w:color w:val="000000"/>
              </w:rPr>
            </w:pPr>
            <w:r w:rsidRPr="00575950">
              <w:rPr>
                <w:color w:val="000000"/>
                <w:kern w:val="2"/>
              </w:rPr>
              <w:t>101</w:t>
            </w:r>
          </w:p>
        </w:tc>
      </w:tr>
      <w:tr w:rsidR="00E71F4A" w:rsidRPr="007068A9" w:rsidTr="00B17B53">
        <w:trPr>
          <w:trHeight w:val="119"/>
        </w:trPr>
        <w:tc>
          <w:tcPr>
            <w:tcW w:w="1668" w:type="dxa"/>
            <w:vMerge/>
            <w:shd w:val="clear" w:color="auto" w:fill="auto"/>
          </w:tcPr>
          <w:p w:rsidR="00E71F4A" w:rsidRPr="00575950" w:rsidRDefault="00E71F4A" w:rsidP="00B17B53">
            <w:pPr>
              <w:tabs>
                <w:tab w:val="left" w:pos="1735"/>
              </w:tabs>
              <w:rPr>
                <w:color w:val="00B050"/>
                <w:kern w:val="2"/>
              </w:rPr>
            </w:pPr>
          </w:p>
        </w:tc>
        <w:tc>
          <w:tcPr>
            <w:tcW w:w="1984" w:type="dxa"/>
            <w:vMerge/>
            <w:shd w:val="clear" w:color="auto" w:fill="auto"/>
          </w:tcPr>
          <w:p w:rsidR="00E71F4A" w:rsidRPr="00575950" w:rsidRDefault="00E71F4A" w:rsidP="00B17B53">
            <w:pPr>
              <w:tabs>
                <w:tab w:val="left" w:pos="1735"/>
              </w:tabs>
              <w:rPr>
                <w:color w:val="00B050"/>
                <w:kern w:val="2"/>
              </w:rPr>
            </w:pPr>
          </w:p>
        </w:tc>
        <w:tc>
          <w:tcPr>
            <w:tcW w:w="1418" w:type="dxa"/>
            <w:vMerge/>
            <w:shd w:val="clear" w:color="auto" w:fill="auto"/>
          </w:tcPr>
          <w:p w:rsidR="00E71F4A" w:rsidRPr="00575950" w:rsidRDefault="00E71F4A" w:rsidP="00B17B53">
            <w:pPr>
              <w:tabs>
                <w:tab w:val="left" w:pos="1735"/>
              </w:tabs>
              <w:rPr>
                <w:color w:val="000000"/>
                <w:kern w:val="2"/>
              </w:rPr>
            </w:pPr>
          </w:p>
        </w:tc>
        <w:tc>
          <w:tcPr>
            <w:tcW w:w="850" w:type="dxa"/>
            <w:shd w:val="clear" w:color="auto" w:fill="auto"/>
          </w:tcPr>
          <w:p w:rsidR="00E71F4A" w:rsidRPr="00575950" w:rsidRDefault="00E71F4A" w:rsidP="00B17B53">
            <w:pPr>
              <w:tabs>
                <w:tab w:val="left" w:pos="1735"/>
              </w:tabs>
              <w:rPr>
                <w:color w:val="000000"/>
                <w:kern w:val="2"/>
              </w:rPr>
            </w:pPr>
            <w:r w:rsidRPr="00575950">
              <w:rPr>
                <w:rFonts w:ascii="Arial" w:hAnsi="Arial" w:cs="Arial"/>
                <w:color w:val="000000"/>
                <w:kern w:val="2"/>
              </w:rPr>
              <w:t>♀</w:t>
            </w:r>
          </w:p>
        </w:tc>
        <w:tc>
          <w:tcPr>
            <w:tcW w:w="1418" w:type="dxa"/>
            <w:shd w:val="clear" w:color="auto" w:fill="auto"/>
          </w:tcPr>
          <w:p w:rsidR="00E71F4A" w:rsidRPr="00575950" w:rsidRDefault="00E71F4A" w:rsidP="00B17B53">
            <w:pPr>
              <w:tabs>
                <w:tab w:val="left" w:pos="1735"/>
              </w:tabs>
              <w:rPr>
                <w:color w:val="000000"/>
                <w:kern w:val="2"/>
              </w:rPr>
            </w:pPr>
            <w:r w:rsidRPr="00575950">
              <w:rPr>
                <w:color w:val="000000"/>
                <w:kern w:val="2"/>
              </w:rPr>
              <w:t>98010</w:t>
            </w:r>
            <w:r w:rsidRPr="00575950">
              <w:rPr>
                <w:color w:val="000000"/>
                <w:kern w:val="2"/>
                <w:vertAlign w:val="superscript"/>
              </w:rPr>
              <w:t xml:space="preserve"> a</w:t>
            </w:r>
          </w:p>
        </w:tc>
        <w:tc>
          <w:tcPr>
            <w:tcW w:w="1351" w:type="dxa"/>
            <w:shd w:val="clear" w:color="auto" w:fill="auto"/>
          </w:tcPr>
          <w:p w:rsidR="00E71F4A" w:rsidRPr="00575950" w:rsidRDefault="00E71F4A" w:rsidP="00B17B53">
            <w:pPr>
              <w:tabs>
                <w:tab w:val="left" w:pos="1735"/>
              </w:tabs>
              <w:rPr>
                <w:color w:val="000000"/>
              </w:rPr>
            </w:pPr>
            <w:r w:rsidRPr="00575950">
              <w:rPr>
                <w:color w:val="000000"/>
                <w:kern w:val="2"/>
              </w:rPr>
              <w:t>233</w:t>
            </w:r>
          </w:p>
        </w:tc>
      </w:tr>
      <w:tr w:rsidR="00E71F4A" w:rsidRPr="007068A9" w:rsidTr="00B17B53">
        <w:trPr>
          <w:trHeight w:val="159"/>
        </w:trPr>
        <w:tc>
          <w:tcPr>
            <w:tcW w:w="1668" w:type="dxa"/>
            <w:vMerge w:val="restart"/>
            <w:shd w:val="clear" w:color="auto" w:fill="auto"/>
          </w:tcPr>
          <w:p w:rsidR="00E71F4A" w:rsidRPr="00575950" w:rsidRDefault="00E71F4A" w:rsidP="00B17B53">
            <w:pPr>
              <w:tabs>
                <w:tab w:val="left" w:pos="1735"/>
              </w:tabs>
              <w:rPr>
                <w:color w:val="000000"/>
                <w:kern w:val="2"/>
              </w:rPr>
            </w:pPr>
            <w:r w:rsidRPr="00575950">
              <w:rPr>
                <w:color w:val="000000"/>
                <w:kern w:val="2"/>
              </w:rPr>
              <w:t>Monkey</w:t>
            </w:r>
            <w:r w:rsidR="00CB197B" w:rsidRPr="00575950">
              <w:rPr>
                <w:color w:val="000000"/>
                <w:kern w:val="2"/>
              </w:rPr>
              <w:t xml:space="preserve"> </w:t>
            </w:r>
            <w:r w:rsidRPr="00575950">
              <w:rPr>
                <w:color w:val="000000"/>
                <w:kern w:val="2"/>
              </w:rPr>
              <w:t>(Cynomolgus)</w:t>
            </w:r>
          </w:p>
        </w:tc>
        <w:tc>
          <w:tcPr>
            <w:tcW w:w="1984" w:type="dxa"/>
            <w:vMerge w:val="restart"/>
            <w:shd w:val="clear" w:color="auto" w:fill="auto"/>
          </w:tcPr>
          <w:p w:rsidR="00E71F4A" w:rsidRPr="00575950" w:rsidRDefault="00E71F4A" w:rsidP="00B17B53">
            <w:pPr>
              <w:tabs>
                <w:tab w:val="left" w:pos="1735"/>
              </w:tabs>
              <w:rPr>
                <w:color w:val="000000"/>
              </w:rPr>
            </w:pPr>
            <w:r w:rsidRPr="00575950">
              <w:rPr>
                <w:color w:val="000000"/>
              </w:rPr>
              <w:t>1 month (terminated early after 18 days)</w:t>
            </w:r>
            <w:r w:rsidR="00CB197B" w:rsidRPr="00575950">
              <w:rPr>
                <w:color w:val="000000"/>
              </w:rPr>
              <w:t xml:space="preserve"> </w:t>
            </w:r>
            <w:r w:rsidRPr="00575950">
              <w:rPr>
                <w:color w:val="000000"/>
              </w:rPr>
              <w:t>1398/117</w:t>
            </w:r>
          </w:p>
        </w:tc>
        <w:tc>
          <w:tcPr>
            <w:tcW w:w="1418" w:type="dxa"/>
            <w:vMerge w:val="restart"/>
            <w:shd w:val="clear" w:color="auto" w:fill="auto"/>
          </w:tcPr>
          <w:p w:rsidR="00E71F4A" w:rsidRPr="00575950" w:rsidRDefault="00E71F4A" w:rsidP="00B17B53">
            <w:pPr>
              <w:tabs>
                <w:tab w:val="left" w:pos="1735"/>
              </w:tabs>
              <w:rPr>
                <w:color w:val="000000"/>
                <w:kern w:val="2"/>
              </w:rPr>
            </w:pPr>
            <w:r w:rsidRPr="00575950">
              <w:rPr>
                <w:color w:val="000000"/>
                <w:kern w:val="2"/>
              </w:rPr>
              <w:t>30</w:t>
            </w:r>
          </w:p>
        </w:tc>
        <w:tc>
          <w:tcPr>
            <w:tcW w:w="850" w:type="dxa"/>
            <w:shd w:val="clear" w:color="auto" w:fill="auto"/>
          </w:tcPr>
          <w:p w:rsidR="00E71F4A" w:rsidRPr="00575950" w:rsidRDefault="00E71F4A" w:rsidP="00B17B53">
            <w:pPr>
              <w:tabs>
                <w:tab w:val="left" w:pos="1735"/>
              </w:tabs>
              <w:rPr>
                <w:color w:val="000000"/>
                <w:kern w:val="2"/>
              </w:rPr>
            </w:pPr>
            <w:r w:rsidRPr="00575950">
              <w:rPr>
                <w:rFonts w:ascii="Arial" w:hAnsi="Arial" w:cs="Arial"/>
                <w:color w:val="000000"/>
                <w:kern w:val="2"/>
              </w:rPr>
              <w:t>♂</w:t>
            </w:r>
          </w:p>
        </w:tc>
        <w:tc>
          <w:tcPr>
            <w:tcW w:w="1418" w:type="dxa"/>
            <w:shd w:val="clear" w:color="auto" w:fill="auto"/>
          </w:tcPr>
          <w:p w:rsidR="00E71F4A" w:rsidRPr="00575950" w:rsidRDefault="00E71F4A" w:rsidP="00B17B53">
            <w:pPr>
              <w:tabs>
                <w:tab w:val="left" w:pos="1735"/>
              </w:tabs>
              <w:rPr>
                <w:color w:val="000000"/>
                <w:kern w:val="2"/>
              </w:rPr>
            </w:pPr>
            <w:r w:rsidRPr="00575950">
              <w:rPr>
                <w:color w:val="000000"/>
                <w:kern w:val="2"/>
              </w:rPr>
              <w:t>48771</w:t>
            </w:r>
            <w:r w:rsidRPr="00575950">
              <w:rPr>
                <w:color w:val="000000"/>
                <w:kern w:val="2"/>
                <w:vertAlign w:val="superscript"/>
              </w:rPr>
              <w:t>b</w:t>
            </w:r>
          </w:p>
        </w:tc>
        <w:tc>
          <w:tcPr>
            <w:tcW w:w="1351" w:type="dxa"/>
            <w:shd w:val="clear" w:color="auto" w:fill="auto"/>
          </w:tcPr>
          <w:p w:rsidR="00E71F4A" w:rsidRPr="00575950" w:rsidRDefault="00E71F4A" w:rsidP="00B17B53">
            <w:pPr>
              <w:tabs>
                <w:tab w:val="left" w:pos="1735"/>
              </w:tabs>
              <w:rPr>
                <w:color w:val="000000"/>
                <w:kern w:val="2"/>
              </w:rPr>
            </w:pPr>
            <w:r w:rsidRPr="00575950">
              <w:rPr>
                <w:color w:val="000000"/>
                <w:kern w:val="2"/>
              </w:rPr>
              <w:t>116</w:t>
            </w:r>
          </w:p>
        </w:tc>
      </w:tr>
      <w:tr w:rsidR="00E71F4A" w:rsidRPr="007068A9" w:rsidTr="00B17B53">
        <w:trPr>
          <w:trHeight w:val="93"/>
        </w:trPr>
        <w:tc>
          <w:tcPr>
            <w:tcW w:w="1668" w:type="dxa"/>
            <w:vMerge/>
            <w:shd w:val="clear" w:color="auto" w:fill="auto"/>
          </w:tcPr>
          <w:p w:rsidR="00E71F4A" w:rsidRPr="00575950" w:rsidRDefault="00E71F4A" w:rsidP="00B17B53">
            <w:pPr>
              <w:tabs>
                <w:tab w:val="left" w:pos="1735"/>
              </w:tabs>
              <w:rPr>
                <w:color w:val="000000"/>
                <w:kern w:val="2"/>
              </w:rPr>
            </w:pPr>
          </w:p>
        </w:tc>
        <w:tc>
          <w:tcPr>
            <w:tcW w:w="1984" w:type="dxa"/>
            <w:vMerge/>
            <w:shd w:val="clear" w:color="auto" w:fill="auto"/>
          </w:tcPr>
          <w:p w:rsidR="00E71F4A" w:rsidRPr="00575950" w:rsidRDefault="00E71F4A" w:rsidP="00B17B53">
            <w:pPr>
              <w:tabs>
                <w:tab w:val="left" w:pos="1735"/>
              </w:tabs>
              <w:rPr>
                <w:color w:val="000000"/>
                <w:kern w:val="2"/>
              </w:rPr>
            </w:pPr>
          </w:p>
        </w:tc>
        <w:tc>
          <w:tcPr>
            <w:tcW w:w="1418" w:type="dxa"/>
            <w:vMerge/>
            <w:shd w:val="clear" w:color="auto" w:fill="auto"/>
          </w:tcPr>
          <w:p w:rsidR="00E71F4A" w:rsidRPr="00575950" w:rsidRDefault="00E71F4A" w:rsidP="00B17B53">
            <w:pPr>
              <w:tabs>
                <w:tab w:val="left" w:pos="1735"/>
              </w:tabs>
              <w:rPr>
                <w:color w:val="000000"/>
                <w:kern w:val="2"/>
              </w:rPr>
            </w:pPr>
          </w:p>
        </w:tc>
        <w:tc>
          <w:tcPr>
            <w:tcW w:w="850" w:type="dxa"/>
            <w:shd w:val="clear" w:color="auto" w:fill="auto"/>
          </w:tcPr>
          <w:p w:rsidR="00E71F4A" w:rsidRPr="00575950" w:rsidRDefault="00E71F4A" w:rsidP="00B17B53">
            <w:pPr>
              <w:tabs>
                <w:tab w:val="left" w:pos="1735"/>
              </w:tabs>
              <w:rPr>
                <w:color w:val="000000"/>
                <w:kern w:val="2"/>
              </w:rPr>
            </w:pPr>
            <w:r w:rsidRPr="00575950">
              <w:rPr>
                <w:rFonts w:ascii="Arial" w:hAnsi="Arial" w:cs="Arial"/>
                <w:color w:val="000000"/>
                <w:kern w:val="2"/>
              </w:rPr>
              <w:t>♀</w:t>
            </w:r>
          </w:p>
        </w:tc>
        <w:tc>
          <w:tcPr>
            <w:tcW w:w="1418" w:type="dxa"/>
            <w:shd w:val="clear" w:color="auto" w:fill="auto"/>
          </w:tcPr>
          <w:p w:rsidR="00E71F4A" w:rsidRPr="00575950" w:rsidRDefault="00E71F4A" w:rsidP="00B17B53">
            <w:pPr>
              <w:tabs>
                <w:tab w:val="left" w:pos="1735"/>
              </w:tabs>
              <w:rPr>
                <w:color w:val="000000"/>
                <w:kern w:val="2"/>
              </w:rPr>
            </w:pPr>
            <w:r w:rsidRPr="00575950">
              <w:rPr>
                <w:color w:val="000000"/>
                <w:kern w:val="2"/>
              </w:rPr>
              <w:t>51858</w:t>
            </w:r>
            <w:r w:rsidRPr="00575950">
              <w:rPr>
                <w:color w:val="000000"/>
                <w:kern w:val="2"/>
                <w:vertAlign w:val="superscript"/>
              </w:rPr>
              <w:t xml:space="preserve"> b</w:t>
            </w:r>
          </w:p>
        </w:tc>
        <w:tc>
          <w:tcPr>
            <w:tcW w:w="1351" w:type="dxa"/>
            <w:shd w:val="clear" w:color="auto" w:fill="auto"/>
          </w:tcPr>
          <w:p w:rsidR="00E71F4A" w:rsidRPr="00575950" w:rsidRDefault="00E71F4A" w:rsidP="00B17B53">
            <w:pPr>
              <w:tabs>
                <w:tab w:val="left" w:pos="1735"/>
              </w:tabs>
              <w:rPr>
                <w:color w:val="000000"/>
              </w:rPr>
            </w:pPr>
            <w:r w:rsidRPr="00575950">
              <w:rPr>
                <w:color w:val="000000"/>
                <w:kern w:val="2"/>
              </w:rPr>
              <w:t>123</w:t>
            </w:r>
          </w:p>
        </w:tc>
      </w:tr>
      <w:tr w:rsidR="00E71F4A" w:rsidRPr="007068A9" w:rsidTr="00B17B53">
        <w:trPr>
          <w:trHeight w:val="132"/>
        </w:trPr>
        <w:tc>
          <w:tcPr>
            <w:tcW w:w="1668" w:type="dxa"/>
            <w:vMerge/>
            <w:shd w:val="clear" w:color="auto" w:fill="auto"/>
          </w:tcPr>
          <w:p w:rsidR="00E71F4A" w:rsidRPr="00575950" w:rsidRDefault="00E71F4A" w:rsidP="00B17B53">
            <w:pPr>
              <w:tabs>
                <w:tab w:val="left" w:pos="1735"/>
              </w:tabs>
              <w:rPr>
                <w:color w:val="000000"/>
                <w:kern w:val="2"/>
              </w:rPr>
            </w:pPr>
          </w:p>
        </w:tc>
        <w:tc>
          <w:tcPr>
            <w:tcW w:w="1984" w:type="dxa"/>
            <w:vMerge/>
            <w:shd w:val="clear" w:color="auto" w:fill="auto"/>
          </w:tcPr>
          <w:p w:rsidR="00E71F4A" w:rsidRPr="00575950" w:rsidRDefault="00E71F4A" w:rsidP="00B17B53">
            <w:pPr>
              <w:tabs>
                <w:tab w:val="left" w:pos="1735"/>
              </w:tabs>
              <w:rPr>
                <w:color w:val="00B050"/>
                <w:kern w:val="2"/>
              </w:rPr>
            </w:pPr>
          </w:p>
        </w:tc>
        <w:tc>
          <w:tcPr>
            <w:tcW w:w="1418" w:type="dxa"/>
            <w:vMerge w:val="restart"/>
            <w:shd w:val="clear" w:color="auto" w:fill="auto"/>
          </w:tcPr>
          <w:p w:rsidR="00E71F4A" w:rsidRPr="00575950" w:rsidRDefault="00E71F4A" w:rsidP="00B17B53">
            <w:pPr>
              <w:tabs>
                <w:tab w:val="left" w:pos="1735"/>
              </w:tabs>
              <w:rPr>
                <w:color w:val="000000"/>
                <w:kern w:val="2"/>
              </w:rPr>
            </w:pPr>
            <w:r w:rsidRPr="00575950">
              <w:rPr>
                <w:color w:val="000000"/>
                <w:kern w:val="2"/>
              </w:rPr>
              <w:t>100</w:t>
            </w:r>
          </w:p>
        </w:tc>
        <w:tc>
          <w:tcPr>
            <w:tcW w:w="850" w:type="dxa"/>
            <w:shd w:val="clear" w:color="auto" w:fill="auto"/>
          </w:tcPr>
          <w:p w:rsidR="00E71F4A" w:rsidRPr="00575950" w:rsidRDefault="00E71F4A" w:rsidP="00B17B53">
            <w:pPr>
              <w:tabs>
                <w:tab w:val="left" w:pos="1735"/>
              </w:tabs>
              <w:rPr>
                <w:color w:val="000000"/>
                <w:kern w:val="2"/>
              </w:rPr>
            </w:pPr>
            <w:r w:rsidRPr="00575950">
              <w:rPr>
                <w:rFonts w:ascii="Arial" w:hAnsi="Arial" w:cs="Arial"/>
                <w:color w:val="000000"/>
                <w:kern w:val="2"/>
              </w:rPr>
              <w:t>♂</w:t>
            </w:r>
          </w:p>
        </w:tc>
        <w:tc>
          <w:tcPr>
            <w:tcW w:w="1418" w:type="dxa"/>
            <w:shd w:val="clear" w:color="auto" w:fill="auto"/>
          </w:tcPr>
          <w:p w:rsidR="00E71F4A" w:rsidRPr="00575950" w:rsidRDefault="00E71F4A" w:rsidP="00B17B53">
            <w:pPr>
              <w:tabs>
                <w:tab w:val="left" w:pos="1735"/>
              </w:tabs>
              <w:rPr>
                <w:color w:val="000000"/>
                <w:kern w:val="2"/>
              </w:rPr>
            </w:pPr>
            <w:r w:rsidRPr="00575950">
              <w:rPr>
                <w:color w:val="000000"/>
                <w:kern w:val="2"/>
              </w:rPr>
              <w:t>41822</w:t>
            </w:r>
            <w:r w:rsidRPr="00575950">
              <w:rPr>
                <w:color w:val="000000"/>
                <w:kern w:val="2"/>
                <w:vertAlign w:val="superscript"/>
              </w:rPr>
              <w:t xml:space="preserve"> b</w:t>
            </w:r>
          </w:p>
        </w:tc>
        <w:tc>
          <w:tcPr>
            <w:tcW w:w="1351" w:type="dxa"/>
            <w:shd w:val="clear" w:color="auto" w:fill="auto"/>
          </w:tcPr>
          <w:p w:rsidR="00E71F4A" w:rsidRPr="00575950" w:rsidRDefault="00E71F4A" w:rsidP="00B17B53">
            <w:pPr>
              <w:tabs>
                <w:tab w:val="left" w:pos="1735"/>
              </w:tabs>
              <w:rPr>
                <w:color w:val="000000"/>
              </w:rPr>
            </w:pPr>
            <w:r w:rsidRPr="00575950">
              <w:rPr>
                <w:color w:val="000000"/>
                <w:kern w:val="2"/>
              </w:rPr>
              <w:t>99</w:t>
            </w:r>
          </w:p>
        </w:tc>
      </w:tr>
      <w:tr w:rsidR="00E71F4A" w:rsidRPr="007068A9" w:rsidTr="00B17B53">
        <w:trPr>
          <w:trHeight w:val="133"/>
        </w:trPr>
        <w:tc>
          <w:tcPr>
            <w:tcW w:w="1668" w:type="dxa"/>
            <w:vMerge/>
            <w:shd w:val="clear" w:color="auto" w:fill="auto"/>
          </w:tcPr>
          <w:p w:rsidR="00E71F4A" w:rsidRPr="00575950" w:rsidRDefault="00E71F4A" w:rsidP="00B17B53">
            <w:pPr>
              <w:tabs>
                <w:tab w:val="left" w:pos="1735"/>
              </w:tabs>
              <w:rPr>
                <w:color w:val="000000"/>
                <w:kern w:val="2"/>
              </w:rPr>
            </w:pPr>
          </w:p>
        </w:tc>
        <w:tc>
          <w:tcPr>
            <w:tcW w:w="1984" w:type="dxa"/>
            <w:vMerge/>
            <w:shd w:val="clear" w:color="auto" w:fill="auto"/>
          </w:tcPr>
          <w:p w:rsidR="00E71F4A" w:rsidRPr="00575950" w:rsidRDefault="00E71F4A" w:rsidP="00B17B53">
            <w:pPr>
              <w:tabs>
                <w:tab w:val="left" w:pos="1735"/>
              </w:tabs>
              <w:rPr>
                <w:color w:val="00B050"/>
                <w:kern w:val="2"/>
              </w:rPr>
            </w:pPr>
          </w:p>
        </w:tc>
        <w:tc>
          <w:tcPr>
            <w:tcW w:w="1418" w:type="dxa"/>
            <w:vMerge/>
            <w:shd w:val="clear" w:color="auto" w:fill="auto"/>
          </w:tcPr>
          <w:p w:rsidR="00E71F4A" w:rsidRPr="00575950" w:rsidRDefault="00E71F4A" w:rsidP="00B17B53">
            <w:pPr>
              <w:tabs>
                <w:tab w:val="left" w:pos="1735"/>
              </w:tabs>
              <w:rPr>
                <w:color w:val="000000"/>
                <w:kern w:val="2"/>
              </w:rPr>
            </w:pPr>
          </w:p>
        </w:tc>
        <w:tc>
          <w:tcPr>
            <w:tcW w:w="850" w:type="dxa"/>
            <w:shd w:val="clear" w:color="auto" w:fill="auto"/>
          </w:tcPr>
          <w:p w:rsidR="00E71F4A" w:rsidRPr="00575950" w:rsidRDefault="00E71F4A" w:rsidP="00B17B53">
            <w:pPr>
              <w:tabs>
                <w:tab w:val="left" w:pos="1735"/>
              </w:tabs>
              <w:rPr>
                <w:color w:val="000000"/>
                <w:kern w:val="2"/>
              </w:rPr>
            </w:pPr>
            <w:r w:rsidRPr="00575950">
              <w:rPr>
                <w:rFonts w:ascii="Arial" w:hAnsi="Arial" w:cs="Arial"/>
                <w:color w:val="000000"/>
                <w:kern w:val="2"/>
              </w:rPr>
              <w:t>♀</w:t>
            </w:r>
          </w:p>
        </w:tc>
        <w:tc>
          <w:tcPr>
            <w:tcW w:w="1418" w:type="dxa"/>
            <w:shd w:val="clear" w:color="auto" w:fill="auto"/>
          </w:tcPr>
          <w:p w:rsidR="00E71F4A" w:rsidRPr="00575950" w:rsidRDefault="00E71F4A" w:rsidP="00B17B53">
            <w:pPr>
              <w:tabs>
                <w:tab w:val="left" w:pos="1735"/>
              </w:tabs>
              <w:rPr>
                <w:color w:val="000000"/>
                <w:kern w:val="2"/>
              </w:rPr>
            </w:pPr>
            <w:r w:rsidRPr="00575950">
              <w:rPr>
                <w:color w:val="000000"/>
                <w:kern w:val="2"/>
              </w:rPr>
              <w:t>96600</w:t>
            </w:r>
            <w:r w:rsidRPr="00575950">
              <w:rPr>
                <w:color w:val="000000"/>
                <w:kern w:val="2"/>
                <w:vertAlign w:val="superscript"/>
              </w:rPr>
              <w:t xml:space="preserve"> b</w:t>
            </w:r>
          </w:p>
        </w:tc>
        <w:tc>
          <w:tcPr>
            <w:tcW w:w="1351" w:type="dxa"/>
            <w:shd w:val="clear" w:color="auto" w:fill="auto"/>
          </w:tcPr>
          <w:p w:rsidR="00E71F4A" w:rsidRPr="00575950" w:rsidRDefault="00E71F4A" w:rsidP="00B17B53">
            <w:pPr>
              <w:tabs>
                <w:tab w:val="left" w:pos="1735"/>
              </w:tabs>
              <w:rPr>
                <w:color w:val="000000"/>
              </w:rPr>
            </w:pPr>
            <w:r w:rsidRPr="00575950">
              <w:rPr>
                <w:color w:val="000000"/>
                <w:kern w:val="2"/>
              </w:rPr>
              <w:t>229</w:t>
            </w:r>
          </w:p>
        </w:tc>
      </w:tr>
      <w:tr w:rsidR="00E71F4A" w:rsidRPr="007068A9" w:rsidTr="00B17B53">
        <w:trPr>
          <w:trHeight w:val="186"/>
        </w:trPr>
        <w:tc>
          <w:tcPr>
            <w:tcW w:w="1668" w:type="dxa"/>
            <w:vMerge/>
            <w:shd w:val="clear" w:color="auto" w:fill="auto"/>
          </w:tcPr>
          <w:p w:rsidR="00E71F4A" w:rsidRPr="00575950" w:rsidRDefault="00E71F4A" w:rsidP="00B17B53">
            <w:pPr>
              <w:tabs>
                <w:tab w:val="left" w:pos="1735"/>
              </w:tabs>
              <w:rPr>
                <w:color w:val="000000"/>
                <w:kern w:val="2"/>
              </w:rPr>
            </w:pPr>
          </w:p>
        </w:tc>
        <w:tc>
          <w:tcPr>
            <w:tcW w:w="1984" w:type="dxa"/>
            <w:vMerge/>
            <w:shd w:val="clear" w:color="auto" w:fill="auto"/>
          </w:tcPr>
          <w:p w:rsidR="00E71F4A" w:rsidRPr="00575950" w:rsidRDefault="00E71F4A" w:rsidP="00B17B53">
            <w:pPr>
              <w:tabs>
                <w:tab w:val="left" w:pos="1735"/>
              </w:tabs>
              <w:rPr>
                <w:color w:val="00B050"/>
                <w:kern w:val="2"/>
              </w:rPr>
            </w:pPr>
          </w:p>
        </w:tc>
        <w:tc>
          <w:tcPr>
            <w:tcW w:w="1418" w:type="dxa"/>
            <w:vMerge w:val="restart"/>
            <w:shd w:val="clear" w:color="auto" w:fill="auto"/>
          </w:tcPr>
          <w:p w:rsidR="00E71F4A" w:rsidRPr="00575950" w:rsidRDefault="00E71F4A" w:rsidP="00B17B53">
            <w:pPr>
              <w:tabs>
                <w:tab w:val="left" w:pos="1735"/>
              </w:tabs>
              <w:rPr>
                <w:color w:val="000000"/>
                <w:kern w:val="2"/>
              </w:rPr>
            </w:pPr>
            <w:r w:rsidRPr="00575950">
              <w:rPr>
                <w:color w:val="000000"/>
                <w:kern w:val="2"/>
              </w:rPr>
              <w:t>300</w:t>
            </w:r>
          </w:p>
        </w:tc>
        <w:tc>
          <w:tcPr>
            <w:tcW w:w="850" w:type="dxa"/>
            <w:shd w:val="clear" w:color="auto" w:fill="auto"/>
          </w:tcPr>
          <w:p w:rsidR="00E71F4A" w:rsidRPr="00575950" w:rsidRDefault="00E71F4A" w:rsidP="00B17B53">
            <w:pPr>
              <w:tabs>
                <w:tab w:val="left" w:pos="1735"/>
              </w:tabs>
              <w:rPr>
                <w:color w:val="000000"/>
                <w:kern w:val="2"/>
              </w:rPr>
            </w:pPr>
            <w:r w:rsidRPr="00575950">
              <w:rPr>
                <w:rFonts w:ascii="Arial" w:hAnsi="Arial" w:cs="Arial"/>
                <w:color w:val="000000"/>
                <w:kern w:val="2"/>
              </w:rPr>
              <w:t>♂</w:t>
            </w:r>
          </w:p>
        </w:tc>
        <w:tc>
          <w:tcPr>
            <w:tcW w:w="1418" w:type="dxa"/>
            <w:shd w:val="clear" w:color="auto" w:fill="auto"/>
          </w:tcPr>
          <w:p w:rsidR="00E71F4A" w:rsidRPr="00575950" w:rsidRDefault="00E71F4A" w:rsidP="00B17B53">
            <w:pPr>
              <w:tabs>
                <w:tab w:val="left" w:pos="1735"/>
              </w:tabs>
              <w:rPr>
                <w:color w:val="000000"/>
                <w:kern w:val="2"/>
              </w:rPr>
            </w:pPr>
            <w:r w:rsidRPr="00575950">
              <w:rPr>
                <w:color w:val="000000"/>
                <w:kern w:val="2"/>
              </w:rPr>
              <w:t>143388</w:t>
            </w:r>
            <w:r w:rsidRPr="00575950">
              <w:rPr>
                <w:color w:val="000000"/>
                <w:kern w:val="2"/>
                <w:vertAlign w:val="superscript"/>
              </w:rPr>
              <w:t xml:space="preserve"> b</w:t>
            </w:r>
          </w:p>
        </w:tc>
        <w:tc>
          <w:tcPr>
            <w:tcW w:w="1351" w:type="dxa"/>
            <w:shd w:val="clear" w:color="auto" w:fill="auto"/>
          </w:tcPr>
          <w:p w:rsidR="00E71F4A" w:rsidRPr="00575950" w:rsidRDefault="00E71F4A" w:rsidP="00B17B53">
            <w:pPr>
              <w:tabs>
                <w:tab w:val="left" w:pos="1735"/>
              </w:tabs>
              <w:rPr>
                <w:color w:val="000000"/>
              </w:rPr>
            </w:pPr>
            <w:r w:rsidRPr="00575950">
              <w:rPr>
                <w:color w:val="000000"/>
                <w:kern w:val="2"/>
              </w:rPr>
              <w:t>341</w:t>
            </w:r>
          </w:p>
        </w:tc>
      </w:tr>
      <w:tr w:rsidR="00E71F4A" w:rsidRPr="007068A9" w:rsidTr="00B17B53">
        <w:trPr>
          <w:trHeight w:val="80"/>
        </w:trPr>
        <w:tc>
          <w:tcPr>
            <w:tcW w:w="1668" w:type="dxa"/>
            <w:vMerge/>
            <w:shd w:val="clear" w:color="auto" w:fill="auto"/>
          </w:tcPr>
          <w:p w:rsidR="00E71F4A" w:rsidRPr="00575950" w:rsidRDefault="00E71F4A" w:rsidP="00B17B53">
            <w:pPr>
              <w:tabs>
                <w:tab w:val="left" w:pos="1735"/>
              </w:tabs>
              <w:rPr>
                <w:color w:val="000000"/>
                <w:kern w:val="2"/>
              </w:rPr>
            </w:pPr>
          </w:p>
        </w:tc>
        <w:tc>
          <w:tcPr>
            <w:tcW w:w="1984" w:type="dxa"/>
            <w:vMerge/>
            <w:shd w:val="clear" w:color="auto" w:fill="auto"/>
          </w:tcPr>
          <w:p w:rsidR="00E71F4A" w:rsidRPr="00575950" w:rsidRDefault="00E71F4A" w:rsidP="00B17B53">
            <w:pPr>
              <w:tabs>
                <w:tab w:val="left" w:pos="1735"/>
              </w:tabs>
              <w:rPr>
                <w:color w:val="00B050"/>
                <w:kern w:val="2"/>
              </w:rPr>
            </w:pPr>
          </w:p>
        </w:tc>
        <w:tc>
          <w:tcPr>
            <w:tcW w:w="1418" w:type="dxa"/>
            <w:vMerge/>
            <w:shd w:val="clear" w:color="auto" w:fill="auto"/>
          </w:tcPr>
          <w:p w:rsidR="00E71F4A" w:rsidRPr="00575950" w:rsidRDefault="00E71F4A" w:rsidP="00B17B53">
            <w:pPr>
              <w:tabs>
                <w:tab w:val="left" w:pos="1735"/>
              </w:tabs>
              <w:rPr>
                <w:color w:val="000000"/>
                <w:kern w:val="2"/>
              </w:rPr>
            </w:pPr>
          </w:p>
        </w:tc>
        <w:tc>
          <w:tcPr>
            <w:tcW w:w="850" w:type="dxa"/>
            <w:shd w:val="clear" w:color="auto" w:fill="auto"/>
          </w:tcPr>
          <w:p w:rsidR="00E71F4A" w:rsidRPr="00575950" w:rsidRDefault="00E71F4A" w:rsidP="00B17B53">
            <w:pPr>
              <w:tabs>
                <w:tab w:val="left" w:pos="1735"/>
              </w:tabs>
              <w:rPr>
                <w:color w:val="000000"/>
                <w:kern w:val="2"/>
              </w:rPr>
            </w:pPr>
            <w:r w:rsidRPr="00575950">
              <w:rPr>
                <w:rFonts w:ascii="Arial" w:hAnsi="Arial" w:cs="Arial"/>
                <w:color w:val="000000"/>
                <w:kern w:val="2"/>
              </w:rPr>
              <w:t>♀</w:t>
            </w:r>
          </w:p>
        </w:tc>
        <w:tc>
          <w:tcPr>
            <w:tcW w:w="1418" w:type="dxa"/>
            <w:shd w:val="clear" w:color="auto" w:fill="auto"/>
          </w:tcPr>
          <w:p w:rsidR="00E71F4A" w:rsidRPr="00575950" w:rsidRDefault="00E71F4A" w:rsidP="00B17B53">
            <w:pPr>
              <w:tabs>
                <w:tab w:val="left" w:pos="1735"/>
              </w:tabs>
              <w:rPr>
                <w:color w:val="000000"/>
                <w:kern w:val="2"/>
              </w:rPr>
            </w:pPr>
            <w:r w:rsidRPr="00575950">
              <w:rPr>
                <w:color w:val="000000"/>
                <w:kern w:val="2"/>
              </w:rPr>
              <w:t>127655</w:t>
            </w:r>
            <w:r w:rsidRPr="00575950">
              <w:rPr>
                <w:color w:val="000000"/>
                <w:kern w:val="2"/>
                <w:vertAlign w:val="superscript"/>
              </w:rPr>
              <w:t xml:space="preserve"> b</w:t>
            </w:r>
          </w:p>
        </w:tc>
        <w:tc>
          <w:tcPr>
            <w:tcW w:w="1351" w:type="dxa"/>
            <w:shd w:val="clear" w:color="auto" w:fill="auto"/>
          </w:tcPr>
          <w:p w:rsidR="00E71F4A" w:rsidRPr="00575950" w:rsidRDefault="00E71F4A" w:rsidP="00B17B53">
            <w:pPr>
              <w:tabs>
                <w:tab w:val="left" w:pos="1735"/>
              </w:tabs>
              <w:rPr>
                <w:color w:val="000000"/>
              </w:rPr>
            </w:pPr>
            <w:r w:rsidRPr="00575950">
              <w:rPr>
                <w:color w:val="000000"/>
                <w:kern w:val="2"/>
              </w:rPr>
              <w:t>303</w:t>
            </w:r>
          </w:p>
        </w:tc>
      </w:tr>
      <w:tr w:rsidR="00E71F4A" w:rsidRPr="007068A9" w:rsidTr="00B17B53">
        <w:trPr>
          <w:trHeight w:val="93"/>
        </w:trPr>
        <w:tc>
          <w:tcPr>
            <w:tcW w:w="1668" w:type="dxa"/>
            <w:vMerge/>
            <w:shd w:val="clear" w:color="auto" w:fill="auto"/>
          </w:tcPr>
          <w:p w:rsidR="00E71F4A" w:rsidRPr="00575950" w:rsidRDefault="00E71F4A" w:rsidP="00B17B53">
            <w:pPr>
              <w:tabs>
                <w:tab w:val="left" w:pos="1735"/>
              </w:tabs>
              <w:rPr>
                <w:color w:val="000000"/>
                <w:kern w:val="2"/>
              </w:rPr>
            </w:pPr>
          </w:p>
        </w:tc>
        <w:tc>
          <w:tcPr>
            <w:tcW w:w="1984" w:type="dxa"/>
            <w:vMerge w:val="restart"/>
            <w:shd w:val="clear" w:color="auto" w:fill="auto"/>
          </w:tcPr>
          <w:p w:rsidR="00E71F4A" w:rsidRPr="00575950" w:rsidRDefault="00E71F4A" w:rsidP="00B17B53">
            <w:pPr>
              <w:tabs>
                <w:tab w:val="left" w:pos="1735"/>
              </w:tabs>
              <w:rPr>
                <w:color w:val="000000"/>
                <w:kern w:val="2"/>
              </w:rPr>
            </w:pPr>
            <w:r w:rsidRPr="00575950">
              <w:rPr>
                <w:color w:val="000000"/>
                <w:kern w:val="2"/>
              </w:rPr>
              <w:t>9 months</w:t>
            </w:r>
            <w:r w:rsidR="00CB197B" w:rsidRPr="00575950">
              <w:rPr>
                <w:color w:val="000000"/>
                <w:kern w:val="2"/>
              </w:rPr>
              <w:t xml:space="preserve"> </w:t>
            </w:r>
            <w:r w:rsidRPr="00575950">
              <w:rPr>
                <w:color w:val="000000"/>
              </w:rPr>
              <w:t>CC-4047-TOX-006</w:t>
            </w:r>
          </w:p>
        </w:tc>
        <w:tc>
          <w:tcPr>
            <w:tcW w:w="1418" w:type="dxa"/>
            <w:vMerge w:val="restart"/>
            <w:shd w:val="clear" w:color="auto" w:fill="auto"/>
          </w:tcPr>
          <w:p w:rsidR="00E71F4A" w:rsidRPr="00575950" w:rsidRDefault="00E71F4A" w:rsidP="00B17B53">
            <w:pPr>
              <w:tabs>
                <w:tab w:val="left" w:pos="1735"/>
              </w:tabs>
              <w:rPr>
                <w:color w:val="000000"/>
                <w:kern w:val="2"/>
              </w:rPr>
            </w:pPr>
            <w:r w:rsidRPr="00575950">
              <w:rPr>
                <w:color w:val="000000"/>
                <w:kern w:val="2"/>
              </w:rPr>
              <w:t>0.05</w:t>
            </w:r>
          </w:p>
        </w:tc>
        <w:tc>
          <w:tcPr>
            <w:tcW w:w="850" w:type="dxa"/>
            <w:shd w:val="clear" w:color="auto" w:fill="auto"/>
          </w:tcPr>
          <w:p w:rsidR="00E71F4A" w:rsidRPr="00575950" w:rsidRDefault="00E71F4A" w:rsidP="00B17B53">
            <w:pPr>
              <w:tabs>
                <w:tab w:val="left" w:pos="1735"/>
              </w:tabs>
              <w:rPr>
                <w:color w:val="000000"/>
                <w:kern w:val="2"/>
              </w:rPr>
            </w:pPr>
            <w:r w:rsidRPr="00575950">
              <w:rPr>
                <w:rFonts w:ascii="Arial" w:hAnsi="Arial" w:cs="Arial"/>
                <w:color w:val="000000"/>
                <w:kern w:val="2"/>
              </w:rPr>
              <w:t>♂</w:t>
            </w:r>
          </w:p>
        </w:tc>
        <w:tc>
          <w:tcPr>
            <w:tcW w:w="1418" w:type="dxa"/>
            <w:shd w:val="clear" w:color="auto" w:fill="auto"/>
          </w:tcPr>
          <w:p w:rsidR="00E71F4A" w:rsidRPr="00575950" w:rsidRDefault="00E71F4A" w:rsidP="00B17B53">
            <w:pPr>
              <w:tabs>
                <w:tab w:val="left" w:pos="1735"/>
              </w:tabs>
              <w:rPr>
                <w:color w:val="000000"/>
                <w:kern w:val="2"/>
              </w:rPr>
            </w:pPr>
            <w:r w:rsidRPr="00575950">
              <w:rPr>
                <w:color w:val="000000"/>
                <w:kern w:val="2"/>
              </w:rPr>
              <w:t xml:space="preserve">132.7 </w:t>
            </w:r>
            <w:r w:rsidRPr="00575950">
              <w:rPr>
                <w:color w:val="000000"/>
                <w:kern w:val="2"/>
                <w:vertAlign w:val="superscript"/>
              </w:rPr>
              <w:t>a</w:t>
            </w:r>
          </w:p>
        </w:tc>
        <w:tc>
          <w:tcPr>
            <w:tcW w:w="1351" w:type="dxa"/>
            <w:shd w:val="clear" w:color="auto" w:fill="auto"/>
          </w:tcPr>
          <w:p w:rsidR="00E71F4A" w:rsidRPr="00575950" w:rsidRDefault="00E71F4A" w:rsidP="00B17B53">
            <w:pPr>
              <w:tabs>
                <w:tab w:val="left" w:pos="1735"/>
              </w:tabs>
              <w:rPr>
                <w:color w:val="000000"/>
              </w:rPr>
            </w:pPr>
            <w:r w:rsidRPr="00575950">
              <w:rPr>
                <w:color w:val="000000"/>
                <w:kern w:val="2"/>
              </w:rPr>
              <w:t>0.3</w:t>
            </w:r>
          </w:p>
        </w:tc>
      </w:tr>
      <w:tr w:rsidR="00E71F4A" w:rsidRPr="007068A9" w:rsidTr="00B17B53">
        <w:trPr>
          <w:trHeight w:val="173"/>
        </w:trPr>
        <w:tc>
          <w:tcPr>
            <w:tcW w:w="1668" w:type="dxa"/>
            <w:vMerge/>
            <w:shd w:val="clear" w:color="auto" w:fill="auto"/>
          </w:tcPr>
          <w:p w:rsidR="00E71F4A" w:rsidRPr="00575950" w:rsidRDefault="00E71F4A" w:rsidP="00B17B53">
            <w:pPr>
              <w:tabs>
                <w:tab w:val="left" w:pos="1735"/>
              </w:tabs>
              <w:rPr>
                <w:color w:val="000000"/>
                <w:kern w:val="2"/>
              </w:rPr>
            </w:pPr>
          </w:p>
        </w:tc>
        <w:tc>
          <w:tcPr>
            <w:tcW w:w="1984" w:type="dxa"/>
            <w:vMerge/>
            <w:shd w:val="clear" w:color="auto" w:fill="auto"/>
          </w:tcPr>
          <w:p w:rsidR="00E71F4A" w:rsidRPr="00575950" w:rsidRDefault="00E71F4A" w:rsidP="00B17B53">
            <w:pPr>
              <w:tabs>
                <w:tab w:val="left" w:pos="1735"/>
              </w:tabs>
              <w:rPr>
                <w:color w:val="00B050"/>
                <w:kern w:val="2"/>
              </w:rPr>
            </w:pPr>
          </w:p>
        </w:tc>
        <w:tc>
          <w:tcPr>
            <w:tcW w:w="1418" w:type="dxa"/>
            <w:vMerge/>
            <w:shd w:val="clear" w:color="auto" w:fill="auto"/>
          </w:tcPr>
          <w:p w:rsidR="00E71F4A" w:rsidRPr="00575950" w:rsidRDefault="00E71F4A" w:rsidP="00B17B53">
            <w:pPr>
              <w:tabs>
                <w:tab w:val="left" w:pos="1735"/>
              </w:tabs>
              <w:rPr>
                <w:color w:val="000000"/>
                <w:kern w:val="2"/>
              </w:rPr>
            </w:pPr>
          </w:p>
        </w:tc>
        <w:tc>
          <w:tcPr>
            <w:tcW w:w="850" w:type="dxa"/>
            <w:shd w:val="clear" w:color="auto" w:fill="auto"/>
          </w:tcPr>
          <w:p w:rsidR="00E71F4A" w:rsidRPr="00575950" w:rsidRDefault="00E71F4A" w:rsidP="00B17B53">
            <w:pPr>
              <w:tabs>
                <w:tab w:val="left" w:pos="1735"/>
              </w:tabs>
              <w:rPr>
                <w:color w:val="000000"/>
                <w:kern w:val="2"/>
              </w:rPr>
            </w:pPr>
            <w:r w:rsidRPr="00575950">
              <w:rPr>
                <w:rFonts w:ascii="Arial" w:hAnsi="Arial" w:cs="Arial"/>
                <w:color w:val="000000"/>
                <w:kern w:val="2"/>
              </w:rPr>
              <w:t>♀</w:t>
            </w:r>
          </w:p>
        </w:tc>
        <w:tc>
          <w:tcPr>
            <w:tcW w:w="1418" w:type="dxa"/>
            <w:shd w:val="clear" w:color="auto" w:fill="auto"/>
          </w:tcPr>
          <w:p w:rsidR="00E71F4A" w:rsidRPr="00575950" w:rsidRDefault="00E71F4A" w:rsidP="00B17B53">
            <w:pPr>
              <w:tabs>
                <w:tab w:val="left" w:pos="1735"/>
              </w:tabs>
              <w:rPr>
                <w:color w:val="000000"/>
                <w:kern w:val="2"/>
              </w:rPr>
            </w:pPr>
            <w:r w:rsidRPr="00575950">
              <w:rPr>
                <w:color w:val="000000"/>
                <w:kern w:val="2"/>
              </w:rPr>
              <w:t xml:space="preserve">169.9 </w:t>
            </w:r>
            <w:r w:rsidRPr="00575950">
              <w:rPr>
                <w:color w:val="000000"/>
                <w:kern w:val="2"/>
                <w:vertAlign w:val="superscript"/>
              </w:rPr>
              <w:t>a</w:t>
            </w:r>
          </w:p>
        </w:tc>
        <w:tc>
          <w:tcPr>
            <w:tcW w:w="1351" w:type="dxa"/>
            <w:shd w:val="clear" w:color="auto" w:fill="auto"/>
          </w:tcPr>
          <w:p w:rsidR="00E71F4A" w:rsidRPr="00575950" w:rsidRDefault="00E71F4A" w:rsidP="00B17B53">
            <w:pPr>
              <w:tabs>
                <w:tab w:val="left" w:pos="1735"/>
              </w:tabs>
              <w:rPr>
                <w:color w:val="000000"/>
              </w:rPr>
            </w:pPr>
            <w:r w:rsidRPr="00575950">
              <w:rPr>
                <w:color w:val="000000"/>
                <w:kern w:val="2"/>
              </w:rPr>
              <w:t>0.4</w:t>
            </w:r>
          </w:p>
        </w:tc>
      </w:tr>
      <w:tr w:rsidR="00E71F4A" w:rsidRPr="007068A9" w:rsidTr="00B17B53">
        <w:trPr>
          <w:trHeight w:val="159"/>
        </w:trPr>
        <w:tc>
          <w:tcPr>
            <w:tcW w:w="1668" w:type="dxa"/>
            <w:vMerge/>
            <w:shd w:val="clear" w:color="auto" w:fill="auto"/>
          </w:tcPr>
          <w:p w:rsidR="00E71F4A" w:rsidRPr="00575950" w:rsidRDefault="00E71F4A" w:rsidP="00B17B53">
            <w:pPr>
              <w:tabs>
                <w:tab w:val="left" w:pos="1735"/>
              </w:tabs>
              <w:rPr>
                <w:color w:val="000000"/>
                <w:kern w:val="2"/>
              </w:rPr>
            </w:pPr>
          </w:p>
        </w:tc>
        <w:tc>
          <w:tcPr>
            <w:tcW w:w="1984" w:type="dxa"/>
            <w:vMerge/>
            <w:shd w:val="clear" w:color="auto" w:fill="auto"/>
          </w:tcPr>
          <w:p w:rsidR="00E71F4A" w:rsidRPr="00575950" w:rsidRDefault="00E71F4A" w:rsidP="00B17B53">
            <w:pPr>
              <w:tabs>
                <w:tab w:val="left" w:pos="1735"/>
              </w:tabs>
              <w:rPr>
                <w:color w:val="00B050"/>
                <w:kern w:val="2"/>
              </w:rPr>
            </w:pPr>
          </w:p>
        </w:tc>
        <w:tc>
          <w:tcPr>
            <w:tcW w:w="1418" w:type="dxa"/>
            <w:vMerge w:val="restart"/>
            <w:shd w:val="clear" w:color="auto" w:fill="auto"/>
          </w:tcPr>
          <w:p w:rsidR="00E71F4A" w:rsidRPr="00575950" w:rsidRDefault="00E71F4A" w:rsidP="00B17B53">
            <w:pPr>
              <w:tabs>
                <w:tab w:val="left" w:pos="1735"/>
              </w:tabs>
              <w:rPr>
                <w:color w:val="000000"/>
                <w:kern w:val="2"/>
              </w:rPr>
            </w:pPr>
            <w:r w:rsidRPr="00575950">
              <w:rPr>
                <w:color w:val="000000"/>
                <w:kern w:val="2"/>
              </w:rPr>
              <w:t>0.1</w:t>
            </w:r>
          </w:p>
        </w:tc>
        <w:tc>
          <w:tcPr>
            <w:tcW w:w="850" w:type="dxa"/>
            <w:shd w:val="clear" w:color="auto" w:fill="auto"/>
          </w:tcPr>
          <w:p w:rsidR="00E71F4A" w:rsidRPr="00575950" w:rsidRDefault="00E71F4A" w:rsidP="00B17B53">
            <w:pPr>
              <w:tabs>
                <w:tab w:val="left" w:pos="1735"/>
              </w:tabs>
              <w:rPr>
                <w:color w:val="000000"/>
                <w:kern w:val="2"/>
              </w:rPr>
            </w:pPr>
            <w:r w:rsidRPr="00575950">
              <w:rPr>
                <w:rFonts w:ascii="Arial" w:hAnsi="Arial" w:cs="Arial"/>
                <w:color w:val="000000"/>
                <w:kern w:val="2"/>
              </w:rPr>
              <w:t>♂</w:t>
            </w:r>
          </w:p>
        </w:tc>
        <w:tc>
          <w:tcPr>
            <w:tcW w:w="1418" w:type="dxa"/>
            <w:shd w:val="clear" w:color="auto" w:fill="auto"/>
          </w:tcPr>
          <w:p w:rsidR="00E71F4A" w:rsidRPr="00575950" w:rsidRDefault="00E71F4A" w:rsidP="00B17B53">
            <w:pPr>
              <w:tabs>
                <w:tab w:val="left" w:pos="1735"/>
              </w:tabs>
              <w:rPr>
                <w:color w:val="000000"/>
                <w:kern w:val="2"/>
              </w:rPr>
            </w:pPr>
            <w:r w:rsidRPr="00575950">
              <w:rPr>
                <w:color w:val="000000"/>
                <w:kern w:val="2"/>
              </w:rPr>
              <w:t xml:space="preserve">227.3 </w:t>
            </w:r>
            <w:r w:rsidRPr="00575950">
              <w:rPr>
                <w:color w:val="000000"/>
                <w:kern w:val="2"/>
                <w:vertAlign w:val="superscript"/>
              </w:rPr>
              <w:t>a</w:t>
            </w:r>
          </w:p>
        </w:tc>
        <w:tc>
          <w:tcPr>
            <w:tcW w:w="1351" w:type="dxa"/>
            <w:shd w:val="clear" w:color="auto" w:fill="auto"/>
          </w:tcPr>
          <w:p w:rsidR="00E71F4A" w:rsidRPr="00575950" w:rsidRDefault="00E71F4A" w:rsidP="00B17B53">
            <w:pPr>
              <w:tabs>
                <w:tab w:val="left" w:pos="1735"/>
              </w:tabs>
              <w:rPr>
                <w:color w:val="000000"/>
              </w:rPr>
            </w:pPr>
            <w:r w:rsidRPr="00575950">
              <w:rPr>
                <w:color w:val="000000"/>
                <w:kern w:val="2"/>
              </w:rPr>
              <w:t>0.5</w:t>
            </w:r>
          </w:p>
        </w:tc>
      </w:tr>
      <w:tr w:rsidR="00E71F4A" w:rsidRPr="007068A9" w:rsidTr="00B17B53">
        <w:trPr>
          <w:trHeight w:val="107"/>
        </w:trPr>
        <w:tc>
          <w:tcPr>
            <w:tcW w:w="1668" w:type="dxa"/>
            <w:vMerge/>
            <w:shd w:val="clear" w:color="auto" w:fill="auto"/>
          </w:tcPr>
          <w:p w:rsidR="00E71F4A" w:rsidRPr="00575950" w:rsidRDefault="00E71F4A" w:rsidP="00B17B53">
            <w:pPr>
              <w:tabs>
                <w:tab w:val="left" w:pos="1735"/>
              </w:tabs>
              <w:rPr>
                <w:color w:val="000000"/>
                <w:kern w:val="2"/>
              </w:rPr>
            </w:pPr>
          </w:p>
        </w:tc>
        <w:tc>
          <w:tcPr>
            <w:tcW w:w="1984" w:type="dxa"/>
            <w:vMerge/>
            <w:shd w:val="clear" w:color="auto" w:fill="auto"/>
          </w:tcPr>
          <w:p w:rsidR="00E71F4A" w:rsidRPr="00575950" w:rsidRDefault="00E71F4A" w:rsidP="00B17B53">
            <w:pPr>
              <w:tabs>
                <w:tab w:val="left" w:pos="1735"/>
              </w:tabs>
              <w:rPr>
                <w:color w:val="00B050"/>
                <w:kern w:val="2"/>
              </w:rPr>
            </w:pPr>
          </w:p>
        </w:tc>
        <w:tc>
          <w:tcPr>
            <w:tcW w:w="1418" w:type="dxa"/>
            <w:vMerge/>
            <w:shd w:val="clear" w:color="auto" w:fill="auto"/>
          </w:tcPr>
          <w:p w:rsidR="00E71F4A" w:rsidRPr="00575950" w:rsidRDefault="00E71F4A" w:rsidP="00B17B53">
            <w:pPr>
              <w:tabs>
                <w:tab w:val="left" w:pos="1735"/>
              </w:tabs>
              <w:rPr>
                <w:color w:val="000000"/>
                <w:kern w:val="2"/>
              </w:rPr>
            </w:pPr>
          </w:p>
        </w:tc>
        <w:tc>
          <w:tcPr>
            <w:tcW w:w="850" w:type="dxa"/>
            <w:shd w:val="clear" w:color="auto" w:fill="auto"/>
          </w:tcPr>
          <w:p w:rsidR="00E71F4A" w:rsidRPr="00575950" w:rsidRDefault="00E71F4A" w:rsidP="00B17B53">
            <w:pPr>
              <w:tabs>
                <w:tab w:val="left" w:pos="1735"/>
              </w:tabs>
              <w:rPr>
                <w:color w:val="000000"/>
                <w:kern w:val="2"/>
              </w:rPr>
            </w:pPr>
            <w:r w:rsidRPr="00575950">
              <w:rPr>
                <w:rFonts w:ascii="Arial" w:hAnsi="Arial" w:cs="Arial"/>
                <w:color w:val="000000"/>
                <w:kern w:val="2"/>
              </w:rPr>
              <w:t>♀</w:t>
            </w:r>
          </w:p>
        </w:tc>
        <w:tc>
          <w:tcPr>
            <w:tcW w:w="1418" w:type="dxa"/>
            <w:shd w:val="clear" w:color="auto" w:fill="auto"/>
          </w:tcPr>
          <w:p w:rsidR="00E71F4A" w:rsidRPr="00575950" w:rsidRDefault="00E71F4A" w:rsidP="00B17B53">
            <w:pPr>
              <w:tabs>
                <w:tab w:val="left" w:pos="1735"/>
              </w:tabs>
              <w:rPr>
                <w:color w:val="000000"/>
                <w:kern w:val="2"/>
              </w:rPr>
            </w:pPr>
            <w:r w:rsidRPr="00575950">
              <w:rPr>
                <w:color w:val="000000"/>
                <w:kern w:val="2"/>
              </w:rPr>
              <w:t xml:space="preserve">211.4 </w:t>
            </w:r>
            <w:r w:rsidRPr="00575950">
              <w:rPr>
                <w:color w:val="000000"/>
                <w:kern w:val="2"/>
                <w:vertAlign w:val="superscript"/>
              </w:rPr>
              <w:t>a</w:t>
            </w:r>
          </w:p>
        </w:tc>
        <w:tc>
          <w:tcPr>
            <w:tcW w:w="1351" w:type="dxa"/>
            <w:shd w:val="clear" w:color="auto" w:fill="auto"/>
          </w:tcPr>
          <w:p w:rsidR="00E71F4A" w:rsidRPr="00575950" w:rsidRDefault="00E71F4A" w:rsidP="00B17B53">
            <w:pPr>
              <w:tabs>
                <w:tab w:val="left" w:pos="1735"/>
              </w:tabs>
              <w:rPr>
                <w:color w:val="000000"/>
              </w:rPr>
            </w:pPr>
            <w:r w:rsidRPr="00575950">
              <w:rPr>
                <w:color w:val="000000"/>
                <w:kern w:val="2"/>
              </w:rPr>
              <w:t>0.5</w:t>
            </w:r>
          </w:p>
        </w:tc>
      </w:tr>
      <w:tr w:rsidR="00E71F4A" w:rsidRPr="007068A9" w:rsidTr="00B17B53">
        <w:trPr>
          <w:trHeight w:val="132"/>
        </w:trPr>
        <w:tc>
          <w:tcPr>
            <w:tcW w:w="1668" w:type="dxa"/>
            <w:vMerge/>
            <w:shd w:val="clear" w:color="auto" w:fill="auto"/>
          </w:tcPr>
          <w:p w:rsidR="00E71F4A" w:rsidRPr="00575950" w:rsidRDefault="00E71F4A" w:rsidP="00B17B53">
            <w:pPr>
              <w:tabs>
                <w:tab w:val="left" w:pos="1735"/>
              </w:tabs>
              <w:rPr>
                <w:color w:val="000000"/>
                <w:kern w:val="2"/>
              </w:rPr>
            </w:pPr>
          </w:p>
        </w:tc>
        <w:tc>
          <w:tcPr>
            <w:tcW w:w="1984" w:type="dxa"/>
            <w:vMerge/>
            <w:shd w:val="clear" w:color="auto" w:fill="auto"/>
          </w:tcPr>
          <w:p w:rsidR="00E71F4A" w:rsidRPr="00575950" w:rsidRDefault="00E71F4A" w:rsidP="00B17B53">
            <w:pPr>
              <w:tabs>
                <w:tab w:val="left" w:pos="1735"/>
              </w:tabs>
              <w:rPr>
                <w:color w:val="00B050"/>
                <w:kern w:val="2"/>
              </w:rPr>
            </w:pPr>
          </w:p>
        </w:tc>
        <w:tc>
          <w:tcPr>
            <w:tcW w:w="1418" w:type="dxa"/>
            <w:vMerge w:val="restart"/>
            <w:shd w:val="clear" w:color="auto" w:fill="auto"/>
          </w:tcPr>
          <w:p w:rsidR="00E71F4A" w:rsidRPr="00575950" w:rsidRDefault="00E71F4A" w:rsidP="00B17B53">
            <w:pPr>
              <w:tabs>
                <w:tab w:val="left" w:pos="1735"/>
              </w:tabs>
              <w:rPr>
                <w:color w:val="000000"/>
                <w:kern w:val="2"/>
              </w:rPr>
            </w:pPr>
            <w:r w:rsidRPr="00575950">
              <w:rPr>
                <w:color w:val="000000"/>
                <w:kern w:val="2"/>
              </w:rPr>
              <w:t>1</w:t>
            </w:r>
          </w:p>
        </w:tc>
        <w:tc>
          <w:tcPr>
            <w:tcW w:w="850" w:type="dxa"/>
            <w:shd w:val="clear" w:color="auto" w:fill="auto"/>
          </w:tcPr>
          <w:p w:rsidR="00E71F4A" w:rsidRPr="00575950" w:rsidRDefault="00E71F4A" w:rsidP="00B17B53">
            <w:pPr>
              <w:tabs>
                <w:tab w:val="left" w:pos="1735"/>
              </w:tabs>
              <w:rPr>
                <w:color w:val="000000"/>
                <w:kern w:val="2"/>
              </w:rPr>
            </w:pPr>
            <w:r w:rsidRPr="00575950">
              <w:rPr>
                <w:rFonts w:ascii="Arial" w:hAnsi="Arial" w:cs="Arial"/>
                <w:color w:val="000000"/>
                <w:kern w:val="2"/>
              </w:rPr>
              <w:t>♂</w:t>
            </w:r>
          </w:p>
        </w:tc>
        <w:tc>
          <w:tcPr>
            <w:tcW w:w="1418" w:type="dxa"/>
            <w:shd w:val="clear" w:color="auto" w:fill="auto"/>
          </w:tcPr>
          <w:p w:rsidR="00E71F4A" w:rsidRPr="00575950" w:rsidRDefault="00E71F4A" w:rsidP="00B17B53">
            <w:pPr>
              <w:tabs>
                <w:tab w:val="left" w:pos="1735"/>
              </w:tabs>
              <w:rPr>
                <w:color w:val="000000"/>
                <w:kern w:val="2"/>
              </w:rPr>
            </w:pPr>
            <w:r w:rsidRPr="00575950">
              <w:rPr>
                <w:color w:val="000000"/>
                <w:kern w:val="2"/>
              </w:rPr>
              <w:t xml:space="preserve">5640 </w:t>
            </w:r>
            <w:r w:rsidRPr="00575950">
              <w:rPr>
                <w:color w:val="000000"/>
                <w:kern w:val="2"/>
                <w:vertAlign w:val="superscript"/>
              </w:rPr>
              <w:t>a</w:t>
            </w:r>
          </w:p>
        </w:tc>
        <w:tc>
          <w:tcPr>
            <w:tcW w:w="1351" w:type="dxa"/>
            <w:shd w:val="clear" w:color="auto" w:fill="auto"/>
          </w:tcPr>
          <w:p w:rsidR="00E71F4A" w:rsidRPr="00575950" w:rsidRDefault="00E71F4A" w:rsidP="00B17B53">
            <w:pPr>
              <w:tabs>
                <w:tab w:val="left" w:pos="1735"/>
              </w:tabs>
              <w:rPr>
                <w:color w:val="000000"/>
              </w:rPr>
            </w:pPr>
            <w:r w:rsidRPr="00575950">
              <w:rPr>
                <w:color w:val="000000"/>
                <w:kern w:val="2"/>
              </w:rPr>
              <w:t>13</w:t>
            </w:r>
          </w:p>
        </w:tc>
      </w:tr>
      <w:tr w:rsidR="00E71F4A" w:rsidRPr="007068A9" w:rsidTr="00B17B53">
        <w:trPr>
          <w:trHeight w:val="119"/>
        </w:trPr>
        <w:tc>
          <w:tcPr>
            <w:tcW w:w="1668" w:type="dxa"/>
            <w:vMerge/>
            <w:shd w:val="clear" w:color="auto" w:fill="auto"/>
          </w:tcPr>
          <w:p w:rsidR="00E71F4A" w:rsidRPr="00575950" w:rsidRDefault="00E71F4A" w:rsidP="00B17B53">
            <w:pPr>
              <w:tabs>
                <w:tab w:val="left" w:pos="1735"/>
              </w:tabs>
              <w:rPr>
                <w:color w:val="000000"/>
                <w:kern w:val="2"/>
              </w:rPr>
            </w:pPr>
          </w:p>
        </w:tc>
        <w:tc>
          <w:tcPr>
            <w:tcW w:w="1984" w:type="dxa"/>
            <w:vMerge/>
            <w:shd w:val="clear" w:color="auto" w:fill="auto"/>
          </w:tcPr>
          <w:p w:rsidR="00E71F4A" w:rsidRPr="00575950" w:rsidRDefault="00E71F4A" w:rsidP="00B17B53">
            <w:pPr>
              <w:tabs>
                <w:tab w:val="left" w:pos="1735"/>
              </w:tabs>
              <w:rPr>
                <w:color w:val="00B050"/>
                <w:kern w:val="2"/>
              </w:rPr>
            </w:pPr>
          </w:p>
        </w:tc>
        <w:tc>
          <w:tcPr>
            <w:tcW w:w="1418" w:type="dxa"/>
            <w:vMerge/>
            <w:shd w:val="clear" w:color="auto" w:fill="auto"/>
          </w:tcPr>
          <w:p w:rsidR="00E71F4A" w:rsidRPr="00575950" w:rsidRDefault="00E71F4A" w:rsidP="00B17B53">
            <w:pPr>
              <w:tabs>
                <w:tab w:val="left" w:pos="1735"/>
              </w:tabs>
              <w:rPr>
                <w:color w:val="000000"/>
                <w:kern w:val="2"/>
              </w:rPr>
            </w:pPr>
          </w:p>
        </w:tc>
        <w:tc>
          <w:tcPr>
            <w:tcW w:w="850" w:type="dxa"/>
            <w:shd w:val="clear" w:color="auto" w:fill="auto"/>
          </w:tcPr>
          <w:p w:rsidR="00E71F4A" w:rsidRPr="00575950" w:rsidRDefault="00E71F4A" w:rsidP="00B17B53">
            <w:pPr>
              <w:tabs>
                <w:tab w:val="left" w:pos="1735"/>
              </w:tabs>
              <w:rPr>
                <w:color w:val="000000"/>
                <w:kern w:val="2"/>
              </w:rPr>
            </w:pPr>
            <w:r w:rsidRPr="00575950">
              <w:rPr>
                <w:rFonts w:ascii="Arial" w:hAnsi="Arial" w:cs="Arial"/>
                <w:color w:val="000000"/>
                <w:kern w:val="2"/>
              </w:rPr>
              <w:t>♀</w:t>
            </w:r>
          </w:p>
        </w:tc>
        <w:tc>
          <w:tcPr>
            <w:tcW w:w="1418" w:type="dxa"/>
            <w:shd w:val="clear" w:color="auto" w:fill="auto"/>
          </w:tcPr>
          <w:p w:rsidR="00E71F4A" w:rsidRPr="00575950" w:rsidRDefault="00E71F4A" w:rsidP="00B17B53">
            <w:pPr>
              <w:tabs>
                <w:tab w:val="left" w:pos="1735"/>
              </w:tabs>
              <w:rPr>
                <w:color w:val="000000"/>
                <w:kern w:val="2"/>
              </w:rPr>
            </w:pPr>
            <w:r w:rsidRPr="00575950">
              <w:rPr>
                <w:color w:val="000000"/>
                <w:kern w:val="2"/>
              </w:rPr>
              <w:t xml:space="preserve">6540 </w:t>
            </w:r>
            <w:r w:rsidRPr="00575950">
              <w:rPr>
                <w:color w:val="000000"/>
                <w:kern w:val="2"/>
                <w:vertAlign w:val="superscript"/>
              </w:rPr>
              <w:t>a</w:t>
            </w:r>
          </w:p>
        </w:tc>
        <w:tc>
          <w:tcPr>
            <w:tcW w:w="1351" w:type="dxa"/>
            <w:shd w:val="clear" w:color="auto" w:fill="auto"/>
          </w:tcPr>
          <w:p w:rsidR="00E71F4A" w:rsidRPr="00575950" w:rsidRDefault="00E71F4A" w:rsidP="00B17B53">
            <w:pPr>
              <w:tabs>
                <w:tab w:val="left" w:pos="1735"/>
              </w:tabs>
              <w:rPr>
                <w:color w:val="000000"/>
              </w:rPr>
            </w:pPr>
            <w:r w:rsidRPr="00575950">
              <w:rPr>
                <w:color w:val="000000"/>
                <w:kern w:val="2"/>
              </w:rPr>
              <w:t>16</w:t>
            </w:r>
          </w:p>
        </w:tc>
      </w:tr>
      <w:tr w:rsidR="00E71F4A" w:rsidRPr="007068A9" w:rsidTr="00B17B53">
        <w:trPr>
          <w:trHeight w:val="222"/>
        </w:trPr>
        <w:tc>
          <w:tcPr>
            <w:tcW w:w="1668" w:type="dxa"/>
            <w:shd w:val="clear" w:color="auto" w:fill="auto"/>
          </w:tcPr>
          <w:p w:rsidR="00E71F4A" w:rsidRPr="00575950" w:rsidRDefault="00E71F4A" w:rsidP="00B17B53">
            <w:pPr>
              <w:tabs>
                <w:tab w:val="left" w:pos="1735"/>
              </w:tabs>
              <w:rPr>
                <w:color w:val="000000"/>
                <w:kern w:val="2"/>
              </w:rPr>
            </w:pPr>
            <w:r w:rsidRPr="00575950">
              <w:rPr>
                <w:color w:val="000000"/>
                <w:kern w:val="2"/>
              </w:rPr>
              <w:t>Human</w:t>
            </w:r>
            <w:r w:rsidR="00CB197B" w:rsidRPr="00575950">
              <w:rPr>
                <w:color w:val="000000"/>
                <w:kern w:val="2"/>
              </w:rPr>
              <w:t xml:space="preserve"> </w:t>
            </w:r>
            <w:r w:rsidRPr="00575950">
              <w:rPr>
                <w:color w:val="000000"/>
              </w:rPr>
              <w:t>(multiple myeloma patients)</w:t>
            </w:r>
          </w:p>
        </w:tc>
        <w:tc>
          <w:tcPr>
            <w:tcW w:w="1984" w:type="dxa"/>
            <w:shd w:val="clear" w:color="auto" w:fill="auto"/>
          </w:tcPr>
          <w:p w:rsidR="00E71F4A" w:rsidRPr="00575950" w:rsidRDefault="00E71F4A" w:rsidP="00B17B53">
            <w:pPr>
              <w:tabs>
                <w:tab w:val="left" w:pos="1735"/>
              </w:tabs>
              <w:rPr>
                <w:color w:val="000000"/>
                <w:kern w:val="2"/>
              </w:rPr>
            </w:pPr>
            <w:r w:rsidRPr="00575950">
              <w:rPr>
                <w:color w:val="000000"/>
                <w:kern w:val="2"/>
              </w:rPr>
              <w:t>steady state</w:t>
            </w:r>
          </w:p>
        </w:tc>
        <w:tc>
          <w:tcPr>
            <w:tcW w:w="1418" w:type="dxa"/>
            <w:shd w:val="clear" w:color="auto" w:fill="auto"/>
          </w:tcPr>
          <w:p w:rsidR="00E71F4A" w:rsidRPr="00575950" w:rsidRDefault="00E71F4A" w:rsidP="00B17B53">
            <w:pPr>
              <w:tabs>
                <w:tab w:val="left" w:pos="1735"/>
              </w:tabs>
              <w:rPr>
                <w:color w:val="000000"/>
                <w:kern w:val="2"/>
              </w:rPr>
            </w:pPr>
            <w:r w:rsidRPr="00575950">
              <w:rPr>
                <w:color w:val="000000"/>
                <w:kern w:val="2"/>
              </w:rPr>
              <w:t>[4 mg]</w:t>
            </w:r>
          </w:p>
        </w:tc>
        <w:tc>
          <w:tcPr>
            <w:tcW w:w="850" w:type="dxa"/>
            <w:shd w:val="clear" w:color="auto" w:fill="auto"/>
          </w:tcPr>
          <w:p w:rsidR="00E71F4A" w:rsidRPr="00575950" w:rsidRDefault="00E71F4A" w:rsidP="00B17B53">
            <w:pPr>
              <w:tabs>
                <w:tab w:val="left" w:pos="1735"/>
              </w:tabs>
              <w:rPr>
                <w:color w:val="000000"/>
                <w:kern w:val="2"/>
              </w:rPr>
            </w:pPr>
          </w:p>
        </w:tc>
        <w:tc>
          <w:tcPr>
            <w:tcW w:w="1418" w:type="dxa"/>
            <w:shd w:val="clear" w:color="auto" w:fill="auto"/>
          </w:tcPr>
          <w:p w:rsidR="00E71F4A" w:rsidRPr="00575950" w:rsidRDefault="00E71F4A" w:rsidP="00B17B53">
            <w:pPr>
              <w:tabs>
                <w:tab w:val="left" w:pos="1735"/>
              </w:tabs>
              <w:rPr>
                <w:color w:val="000000"/>
                <w:kern w:val="2"/>
              </w:rPr>
            </w:pPr>
            <w:r w:rsidRPr="00575950">
              <w:rPr>
                <w:color w:val="000000"/>
                <w:kern w:val="2"/>
              </w:rPr>
              <w:t>421</w:t>
            </w:r>
            <w:r w:rsidRPr="00575950">
              <w:rPr>
                <w:color w:val="000000"/>
                <w:kern w:val="2"/>
                <w:vertAlign w:val="superscript"/>
              </w:rPr>
              <w:t>a</w:t>
            </w:r>
          </w:p>
        </w:tc>
        <w:tc>
          <w:tcPr>
            <w:tcW w:w="1351" w:type="dxa"/>
            <w:shd w:val="clear" w:color="auto" w:fill="auto"/>
          </w:tcPr>
          <w:p w:rsidR="00E71F4A" w:rsidRPr="00575950" w:rsidRDefault="00E71F4A" w:rsidP="00B17B53">
            <w:pPr>
              <w:tabs>
                <w:tab w:val="left" w:pos="1735"/>
              </w:tabs>
              <w:rPr>
                <w:color w:val="000000"/>
                <w:kern w:val="2"/>
              </w:rPr>
            </w:pPr>
            <w:r w:rsidRPr="00575950">
              <w:rPr>
                <w:color w:val="000000"/>
                <w:kern w:val="2"/>
              </w:rPr>
              <w:t>–</w:t>
            </w:r>
          </w:p>
        </w:tc>
      </w:tr>
    </w:tbl>
    <w:p w:rsidR="00E71F4A" w:rsidRPr="003C0583" w:rsidRDefault="00E71F4A" w:rsidP="00B17B53">
      <w:pPr>
        <w:pStyle w:val="TableDescription"/>
      </w:pPr>
      <w:r w:rsidRPr="00D7327D">
        <w:rPr>
          <w:position w:val="-2"/>
          <w:vertAlign w:val="superscript"/>
        </w:rPr>
        <w:t>#</w:t>
      </w:r>
      <w:r>
        <w:t xml:space="preserve"> = animal:human plasma AUC; </w:t>
      </w:r>
      <w:r w:rsidRPr="00AF749C">
        <w:rPr>
          <w:vertAlign w:val="superscript"/>
        </w:rPr>
        <w:t>a</w:t>
      </w:r>
      <w:r>
        <w:t xml:space="preserve"> AUC</w:t>
      </w:r>
      <w:r w:rsidRPr="003C0583">
        <w:rPr>
          <w:vertAlign w:val="subscript"/>
        </w:rPr>
        <w:t>t</w:t>
      </w:r>
      <w:r>
        <w:t xml:space="preserve"> </w:t>
      </w:r>
      <w:r w:rsidRPr="003C0583">
        <w:t>Area under the curve from the time of dosing (time zero) to the last</w:t>
      </w:r>
      <w:r>
        <w:t xml:space="preserve"> </w:t>
      </w:r>
      <w:r w:rsidRPr="003C0583">
        <w:t xml:space="preserve">quantifiable </w:t>
      </w:r>
      <w:r w:rsidRPr="00B17B53">
        <w:t>concentration</w:t>
      </w:r>
      <w:r>
        <w:t xml:space="preserve">; </w:t>
      </w:r>
      <w:r w:rsidRPr="00C612D5">
        <w:rPr>
          <w:vertAlign w:val="superscript"/>
        </w:rPr>
        <w:t xml:space="preserve">b </w:t>
      </w:r>
      <w:r>
        <w:t>AUC</w:t>
      </w:r>
      <w:r w:rsidRPr="00A84E7D">
        <w:rPr>
          <w:vertAlign w:val="subscript"/>
        </w:rPr>
        <w:t xml:space="preserve">0-16 </w:t>
      </w:r>
      <w:r>
        <w:t xml:space="preserve">it is anticipated that the AUC exposure is underestimated in this experiment since only 16 of 24h were measured; </w:t>
      </w:r>
      <w:r w:rsidRPr="00391B39">
        <w:rPr>
          <w:vertAlign w:val="superscript"/>
        </w:rPr>
        <w:t>c</w:t>
      </w:r>
      <w:r>
        <w:t xml:space="preserve"> AUC</w:t>
      </w:r>
      <w:r w:rsidRPr="005777F5">
        <w:rPr>
          <w:vertAlign w:val="subscript"/>
        </w:rPr>
        <w:t>0-24h</w:t>
      </w:r>
    </w:p>
    <w:p w:rsidR="00E03F51" w:rsidRDefault="00E03F51" w:rsidP="00CB197B">
      <w:pPr>
        <w:pStyle w:val="Heading5"/>
      </w:pPr>
      <w:r>
        <w:t>Major toxicities</w:t>
      </w:r>
    </w:p>
    <w:p w:rsidR="00E03F51" w:rsidRPr="00E03F51" w:rsidRDefault="00E03F51" w:rsidP="00B17B53">
      <w:r w:rsidRPr="00E03F51">
        <w:t>There was no clear sign of toxicity in rats treated with up to 1000 mg/kg/day pomalidomide for 6 months (AUC exposure ratio up to 101 in males and 233 in females). Monkeys were more sensitive to pomalidomide, likely consistent with a more appropriate pharmacological response in this species. Therefore, the monkey is considered to be the better species for predicting the potential toxicity of pomalidomide. The toxicity profile in monkeys was similar to that reported previously for lenalidomide with the major target organs identified as the lymphoid/haematopoietic system and the gastrointestinal tract.</w:t>
      </w:r>
    </w:p>
    <w:p w:rsidR="00E03F51" w:rsidRPr="00E03F51" w:rsidRDefault="00E03F51" w:rsidP="00CB197B">
      <w:r w:rsidRPr="00E03F51">
        <w:t>Lympho</w:t>
      </w:r>
      <w:r w:rsidR="00637AA4">
        <w:t>penia</w:t>
      </w:r>
      <w:r w:rsidRPr="00E03F51">
        <w:t xml:space="preserve"> and thrombocyto</w:t>
      </w:r>
      <w:r w:rsidR="00637AA4">
        <w:t>penia</w:t>
      </w:r>
      <w:r w:rsidRPr="00E03F51">
        <w:t xml:space="preserve"> were seen in monkeys treated with 1 mg/kg/day PO pomalidomide for 9 months. These haematological effects correlated with bone marrow hypocellularity and lymphoid depletion (l</w:t>
      </w:r>
      <w:r w:rsidRPr="00B17B53">
        <w:t>ymph nodes, spleen</w:t>
      </w:r>
      <w:r w:rsidR="00AB30E7" w:rsidRPr="00B17B53">
        <w:t xml:space="preserve"> and</w:t>
      </w:r>
      <w:r w:rsidRPr="00B17B53">
        <w:t xml:space="preserve"> thymus). Exposure at the </w:t>
      </w:r>
      <w:r w:rsidR="00232B3B" w:rsidRPr="00B17B53">
        <w:t>No Observed Adverse Effect Level (</w:t>
      </w:r>
      <w:r w:rsidRPr="00B17B53">
        <w:t>NOAEL</w:t>
      </w:r>
      <w:r w:rsidR="00232B3B">
        <w:t>)</w:t>
      </w:r>
      <w:r w:rsidRPr="00E03F51">
        <w:t xml:space="preserve"> was subclinical, suggesting lympho</w:t>
      </w:r>
      <w:r w:rsidR="00637AA4">
        <w:t>penia</w:t>
      </w:r>
      <w:r w:rsidRPr="00E03F51">
        <w:t xml:space="preserve"> and thrombocyto</w:t>
      </w:r>
      <w:r w:rsidR="00637AA4">
        <w:t>penia</w:t>
      </w:r>
      <w:r w:rsidR="00CB197B">
        <w:t xml:space="preserve"> may be seen in patients.</w:t>
      </w:r>
    </w:p>
    <w:p w:rsidR="00E03F51" w:rsidRPr="00E03F51" w:rsidRDefault="00E03F51" w:rsidP="00B17B53">
      <w:r w:rsidRPr="00E03F51">
        <w:t xml:space="preserve">Effects considered secondary to the immunosuppressive action, a severe </w:t>
      </w:r>
      <w:r w:rsidRPr="007234F4">
        <w:rPr>
          <w:i/>
        </w:rPr>
        <w:t>Staphylococcus aureus</w:t>
      </w:r>
      <w:r w:rsidRPr="00E03F51">
        <w:t xml:space="preserve"> infection in one male (infection involved the tissues surrounding the thoracic and lumbar vertebrae, marrow cavity and meninges of the spinal cord and brain) and acute myeloid leukaemia (AML) in one female, were seen at 1 mg/kg/day.</w:t>
      </w:r>
    </w:p>
    <w:p w:rsidR="00E03F51" w:rsidRPr="00E03F51" w:rsidRDefault="00E03F51" w:rsidP="00CB197B">
      <w:r w:rsidRPr="00E03F51">
        <w:t>Chronic inflammation of the large intestine was seen in monkeys treated with 1 mg/kg/day PO pomalidomide (exposures at the NOAEL were subclinical). This was accompanied by villous atrophy of the small intestine and minimal to mild bile duct proliferation in some animals. Clinical signs in these animals included watery faeces and dehydration.</w:t>
      </w:r>
    </w:p>
    <w:p w:rsidR="00E03F51" w:rsidRPr="00E03F51" w:rsidRDefault="00E03F51" w:rsidP="00CB197B">
      <w:r w:rsidRPr="00E03F51">
        <w:t>The severity of the effects associated with the immunomodulatory action of pomalidomide necessitated the early termination of a number of animals.</w:t>
      </w:r>
    </w:p>
    <w:p w:rsidR="00E03F51" w:rsidRPr="001258AE" w:rsidRDefault="00E03F51" w:rsidP="00CB197B">
      <w:pPr>
        <w:pStyle w:val="Heading5"/>
      </w:pPr>
      <w:bookmarkStart w:id="56" w:name="_Toc294861729"/>
      <w:r w:rsidRPr="001258AE">
        <w:t>Genotoxicity</w:t>
      </w:r>
      <w:bookmarkEnd w:id="56"/>
    </w:p>
    <w:p w:rsidR="00E03F51" w:rsidRPr="00E03F51" w:rsidRDefault="00E03F51" w:rsidP="00B17B53">
      <w:r w:rsidRPr="00E03F51">
        <w:t>The potential genotoxicity of pomalidomide was investigated in</w:t>
      </w:r>
      <w:r w:rsidR="007B538A">
        <w:t xml:space="preserve"> the standard battery of tests: </w:t>
      </w:r>
      <w:r w:rsidRPr="00E03F51">
        <w:t xml:space="preserve">Ames test, mouse lymphoma assay </w:t>
      </w:r>
      <w:r w:rsidRPr="00586EDE">
        <w:rPr>
          <w:i/>
        </w:rPr>
        <w:t>in vitro</w:t>
      </w:r>
      <w:r w:rsidRPr="00E03F51">
        <w:t xml:space="preserve">, chromosomal aberration assay </w:t>
      </w:r>
      <w:r w:rsidR="00105F6E" w:rsidRPr="00105F6E">
        <w:rPr>
          <w:i/>
        </w:rPr>
        <w:t>in vitro</w:t>
      </w:r>
      <w:r w:rsidR="00105F6E" w:rsidRPr="00E03F51">
        <w:t xml:space="preserve"> </w:t>
      </w:r>
      <w:r w:rsidRPr="00E03F51">
        <w:t xml:space="preserve">in human lymphocytes, forward mutation tk mouse lymphoma assay </w:t>
      </w:r>
      <w:r w:rsidRPr="00105F6E">
        <w:rPr>
          <w:i/>
        </w:rPr>
        <w:t>in vitro</w:t>
      </w:r>
      <w:r w:rsidRPr="00E03F51">
        <w:t xml:space="preserve">, </w:t>
      </w:r>
      <w:proofErr w:type="gramStart"/>
      <w:r w:rsidRPr="00E03F51">
        <w:t>rat</w:t>
      </w:r>
      <w:proofErr w:type="gramEnd"/>
      <w:r w:rsidRPr="00E03F51">
        <w:t xml:space="preserve"> micronucleus assay </w:t>
      </w:r>
      <w:r w:rsidRPr="00125164">
        <w:rPr>
          <w:i/>
        </w:rPr>
        <w:t>in vivo</w:t>
      </w:r>
      <w:r w:rsidRPr="00E03F51">
        <w:t xml:space="preserve">. The conduct of the studies was in accordance with ICH guidelines. Concentrations/doses used were appropriate. A suitable set of </w:t>
      </w:r>
      <w:r w:rsidRPr="002A660B">
        <w:rPr>
          <w:i/>
        </w:rPr>
        <w:t>S. typhimurium</w:t>
      </w:r>
      <w:r w:rsidRPr="00E03F51">
        <w:t xml:space="preserve"> strains was used in the bacterial mutation assay. The upper dose level in the </w:t>
      </w:r>
      <w:r w:rsidRPr="00AC1807">
        <w:rPr>
          <w:i/>
        </w:rPr>
        <w:t>in vivo</w:t>
      </w:r>
      <w:r w:rsidRPr="00E03F51">
        <w:t xml:space="preserve"> assay for clastogenicity in rats (2000 mg/kg PO) is estimated to have resulted in exposures </w:t>
      </w:r>
      <w:r w:rsidRPr="00E03F51">
        <w:lastRenderedPageBreak/>
        <w:t>(AUC) 248 times the clinical exposure.</w:t>
      </w:r>
      <w:r w:rsidR="00A91490">
        <w:rPr>
          <w:rStyle w:val="FootnoteReference"/>
        </w:rPr>
        <w:footnoteReference w:id="6"/>
      </w:r>
      <w:r w:rsidRPr="00E03F51">
        <w:t xml:space="preserve"> All assays were appropriately validated and gave negative results. Pomalidomide is considered to have a low genotoxic potential.</w:t>
      </w:r>
    </w:p>
    <w:p w:rsidR="00E03F51" w:rsidRPr="001258AE" w:rsidRDefault="00E03F51" w:rsidP="00CB197B">
      <w:pPr>
        <w:pStyle w:val="Heading5"/>
      </w:pPr>
      <w:bookmarkStart w:id="57" w:name="_Toc294861730"/>
      <w:r w:rsidRPr="001258AE">
        <w:t>Carcinogenicity</w:t>
      </w:r>
      <w:bookmarkEnd w:id="57"/>
    </w:p>
    <w:p w:rsidR="00E03F51" w:rsidRPr="00E03F51" w:rsidRDefault="00E03F51" w:rsidP="00CB197B">
      <w:r w:rsidRPr="00E03F51">
        <w:t>No carcinogenicity studies were conducted</w:t>
      </w:r>
      <w:r w:rsidR="00AC1807">
        <w:t>,</w:t>
      </w:r>
      <w:r w:rsidRPr="00E03F51">
        <w:t xml:space="preserve"> which i</w:t>
      </w:r>
      <w:r w:rsidR="00AC1807">
        <w:t>s considered acceptable according to published guidelines</w:t>
      </w:r>
      <w:r w:rsidRPr="00E03F51">
        <w:t>.</w:t>
      </w:r>
      <w:r w:rsidR="00AC1807">
        <w:rPr>
          <w:rStyle w:val="FootnoteReference"/>
        </w:rPr>
        <w:footnoteReference w:id="7"/>
      </w:r>
      <w:r w:rsidRPr="00E03F51">
        <w:t xml:space="preserve"> Given the immunosuppressive activity of pomalidomide and the finding of AML in a pomalidomide</w:t>
      </w:r>
      <w:r w:rsidR="00276DB4">
        <w:t xml:space="preserve"> </w:t>
      </w:r>
      <w:r w:rsidRPr="00E03F51">
        <w:t xml:space="preserve">treated monkey, secondary </w:t>
      </w:r>
      <w:r w:rsidR="00DB02DC">
        <w:t xml:space="preserve">malignancies </w:t>
      </w:r>
      <w:r w:rsidRPr="00E03F51">
        <w:t>may be seen in patients.</w:t>
      </w:r>
    </w:p>
    <w:p w:rsidR="00E03F51" w:rsidRPr="001258AE" w:rsidRDefault="00E03F51" w:rsidP="00CB197B">
      <w:pPr>
        <w:pStyle w:val="Heading5"/>
      </w:pPr>
      <w:r>
        <w:t>Reproductive toxicity</w:t>
      </w:r>
    </w:p>
    <w:p w:rsidR="00E03F51" w:rsidRPr="00E03F51" w:rsidRDefault="00E03F51" w:rsidP="00CB197B">
      <w:r w:rsidRPr="00E03F51">
        <w:t>Submitted reproductive toxicity studies co</w:t>
      </w:r>
      <w:r w:rsidR="00AC1807">
        <w:t>vered all stages except the pre/post</w:t>
      </w:r>
      <w:r w:rsidRPr="00E03F51">
        <w:t>natal development stage. This is acceptable for an anticancer pharmaceutical. Fertility was investigated in rats and embryo</w:t>
      </w:r>
      <w:r w:rsidR="00F2362E">
        <w:t>fetal</w:t>
      </w:r>
      <w:r w:rsidRPr="00E03F51">
        <w:t xml:space="preserve"> development in rats and rabbits. All studies were conducted by the clinical route (oral). Numbers of animals and timing/duration of treatment were appropriate.</w:t>
      </w:r>
    </w:p>
    <w:p w:rsidR="00E03F51" w:rsidRPr="00E03F51" w:rsidRDefault="00E03F51" w:rsidP="00B17B53">
      <w:r w:rsidRPr="00E03F51">
        <w:t>Relative exposure ratios were very high in rats and reached adequate levels in rabbits</w:t>
      </w:r>
      <w:r w:rsidR="00AC1807">
        <w:t xml:space="preserve"> (Table 2)</w:t>
      </w:r>
      <w:r w:rsidRPr="00E03F51">
        <w:t xml:space="preserve">. In a dose ranging study in rabbits, fetal pomalidomide plasma concentrations were shown to be </w:t>
      </w:r>
      <w:r w:rsidR="002762AD">
        <w:t xml:space="preserve">approximately </w:t>
      </w:r>
      <w:r w:rsidRPr="00E03F51">
        <w:t>50% of maternal plasma concentration indicating that pomalidomide crosses the placenta barrier. Mean milk to plasma ratios ranged from 0.63 to 1.5 for up to 24</w:t>
      </w:r>
      <w:r w:rsidR="00290BEA">
        <w:t xml:space="preserve"> </w:t>
      </w:r>
      <w:r w:rsidRPr="00E03F51">
        <w:t xml:space="preserve">h after dosing indicating that pomalidomide is absorbed and excreted into milk in rats. </w:t>
      </w:r>
      <w:r w:rsidR="00E06E48">
        <w:t xml:space="preserve">Breast </w:t>
      </w:r>
      <w:r w:rsidRPr="00E03F51">
        <w:t>feeding should be avoided when taking pomalidomide.</w:t>
      </w:r>
    </w:p>
    <w:p w:rsidR="00DB586C" w:rsidRPr="006D3D88" w:rsidRDefault="00DB586C" w:rsidP="00CB197B">
      <w:pPr>
        <w:pStyle w:val="TableTitle"/>
      </w:pPr>
      <w:r w:rsidRPr="006D3D88">
        <w:t xml:space="preserve">Table 2: </w:t>
      </w:r>
      <w:r w:rsidR="00660337" w:rsidRPr="006D3D88">
        <w:t>Relative exposure in the reproductive toxicity studies</w:t>
      </w:r>
      <w:r w:rsidRPr="006D3D88">
        <w:t>.</w:t>
      </w:r>
    </w:p>
    <w:tbl>
      <w:tblPr>
        <w:tblW w:w="88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84"/>
        <w:gridCol w:w="2268"/>
        <w:gridCol w:w="1559"/>
        <w:gridCol w:w="851"/>
        <w:gridCol w:w="1417"/>
        <w:gridCol w:w="1369"/>
      </w:tblGrid>
      <w:tr w:rsidR="00CB197B" w:rsidRPr="006D3D88" w:rsidTr="00575950">
        <w:trPr>
          <w:trHeight w:val="695"/>
          <w:tblHeader/>
        </w:trPr>
        <w:tc>
          <w:tcPr>
            <w:tcW w:w="1384" w:type="dxa"/>
            <w:tcBorders>
              <w:top w:val="single" w:sz="8" w:space="0" w:color="000000"/>
              <w:left w:val="single" w:sz="8" w:space="0" w:color="000000"/>
              <w:bottom w:val="single" w:sz="8" w:space="0" w:color="000000"/>
              <w:right w:val="nil"/>
              <w:tl2br w:val="nil"/>
              <w:tr2bl w:val="nil"/>
            </w:tcBorders>
            <w:shd w:val="clear" w:color="auto" w:fill="006DA7"/>
          </w:tcPr>
          <w:p w:rsidR="00E71F4A" w:rsidRPr="00B17B53" w:rsidRDefault="00E71F4A" w:rsidP="00B17B53">
            <w:pPr>
              <w:keepNext/>
              <w:ind w:right="34"/>
              <w:rPr>
                <w:b/>
                <w:color w:val="FFFFFF"/>
              </w:rPr>
            </w:pPr>
            <w:r w:rsidRPr="00B17B53">
              <w:rPr>
                <w:b/>
                <w:color w:val="FFFFFF"/>
              </w:rPr>
              <w:t>Species</w:t>
            </w:r>
          </w:p>
        </w:tc>
        <w:tc>
          <w:tcPr>
            <w:tcW w:w="2268" w:type="dxa"/>
            <w:tcBorders>
              <w:top w:val="single" w:sz="8" w:space="0" w:color="000000"/>
              <w:left w:val="nil"/>
              <w:bottom w:val="single" w:sz="8" w:space="0" w:color="000000"/>
              <w:right w:val="nil"/>
              <w:tl2br w:val="nil"/>
              <w:tr2bl w:val="nil"/>
            </w:tcBorders>
            <w:shd w:val="clear" w:color="auto" w:fill="006DA7"/>
          </w:tcPr>
          <w:p w:rsidR="00E71F4A" w:rsidRPr="00B17B53" w:rsidRDefault="00E71F4A" w:rsidP="00B17B53">
            <w:pPr>
              <w:keepNext/>
              <w:ind w:left="34" w:right="34"/>
              <w:rPr>
                <w:b/>
                <w:color w:val="FFFFFF"/>
              </w:rPr>
            </w:pPr>
            <w:r w:rsidRPr="00B17B53">
              <w:rPr>
                <w:b/>
                <w:color w:val="FFFFFF"/>
              </w:rPr>
              <w:t>Study</w:t>
            </w:r>
          </w:p>
        </w:tc>
        <w:tc>
          <w:tcPr>
            <w:tcW w:w="1559" w:type="dxa"/>
            <w:tcBorders>
              <w:top w:val="single" w:sz="8" w:space="0" w:color="000000"/>
              <w:left w:val="nil"/>
              <w:bottom w:val="single" w:sz="8" w:space="0" w:color="000000"/>
              <w:right w:val="nil"/>
              <w:tl2br w:val="nil"/>
              <w:tr2bl w:val="nil"/>
            </w:tcBorders>
            <w:shd w:val="clear" w:color="auto" w:fill="006DA7"/>
          </w:tcPr>
          <w:p w:rsidR="00E71F4A" w:rsidRPr="00B17B53" w:rsidRDefault="00E71F4A" w:rsidP="00B17B53">
            <w:pPr>
              <w:keepNext/>
              <w:ind w:left="34" w:right="34"/>
              <w:rPr>
                <w:b/>
                <w:color w:val="FFFFFF"/>
              </w:rPr>
            </w:pPr>
            <w:r w:rsidRPr="00B17B53">
              <w:rPr>
                <w:b/>
                <w:color w:val="FFFFFF"/>
              </w:rPr>
              <w:t>Dose</w:t>
            </w:r>
            <w:r w:rsidR="00CB197B" w:rsidRPr="00B17B53">
              <w:rPr>
                <w:b/>
                <w:color w:val="FFFFFF"/>
              </w:rPr>
              <w:t xml:space="preserve"> </w:t>
            </w:r>
            <w:r w:rsidRPr="00B17B53">
              <w:rPr>
                <w:b/>
                <w:color w:val="FFFFFF"/>
              </w:rPr>
              <w:t>mg/kg/day</w:t>
            </w:r>
          </w:p>
        </w:tc>
        <w:tc>
          <w:tcPr>
            <w:tcW w:w="851" w:type="dxa"/>
            <w:tcBorders>
              <w:top w:val="single" w:sz="8" w:space="0" w:color="000000"/>
              <w:left w:val="nil"/>
              <w:bottom w:val="single" w:sz="8" w:space="0" w:color="000000"/>
              <w:right w:val="nil"/>
              <w:tl2br w:val="nil"/>
              <w:tr2bl w:val="nil"/>
            </w:tcBorders>
            <w:shd w:val="clear" w:color="auto" w:fill="006DA7"/>
          </w:tcPr>
          <w:p w:rsidR="00E71F4A" w:rsidRPr="00B17B53" w:rsidRDefault="00E71F4A" w:rsidP="00B17B53">
            <w:pPr>
              <w:keepNext/>
              <w:ind w:left="130" w:right="34"/>
              <w:rPr>
                <w:b/>
                <w:color w:val="FFFFFF"/>
                <w:kern w:val="2"/>
              </w:rPr>
            </w:pPr>
            <w:r w:rsidRPr="00B17B53">
              <w:rPr>
                <w:b/>
                <w:color w:val="FFFFFF"/>
                <w:kern w:val="2"/>
              </w:rPr>
              <w:t>sex</w:t>
            </w:r>
          </w:p>
        </w:tc>
        <w:tc>
          <w:tcPr>
            <w:tcW w:w="1417" w:type="dxa"/>
            <w:tcBorders>
              <w:top w:val="single" w:sz="8" w:space="0" w:color="000000"/>
              <w:left w:val="nil"/>
              <w:bottom w:val="single" w:sz="8" w:space="0" w:color="000000"/>
              <w:right w:val="nil"/>
              <w:tl2br w:val="nil"/>
              <w:tr2bl w:val="nil"/>
            </w:tcBorders>
            <w:shd w:val="clear" w:color="auto" w:fill="006DA7"/>
          </w:tcPr>
          <w:p w:rsidR="00E71F4A" w:rsidRPr="00B17B53" w:rsidRDefault="00E71F4A" w:rsidP="00B17B53">
            <w:pPr>
              <w:keepNext/>
              <w:ind w:left="34" w:right="34"/>
              <w:rPr>
                <w:b/>
                <w:color w:val="FFFFFF"/>
              </w:rPr>
            </w:pPr>
            <w:r w:rsidRPr="00B17B53">
              <w:rPr>
                <w:b/>
                <w:color w:val="FFFFFF"/>
              </w:rPr>
              <w:t>AUC</w:t>
            </w:r>
            <w:r w:rsidRPr="00B17B53">
              <w:rPr>
                <w:b/>
                <w:color w:val="FFFFFF"/>
                <w:vertAlign w:val="subscript"/>
              </w:rPr>
              <w:t>0–24</w:t>
            </w:r>
            <w:r w:rsidRPr="00B17B53">
              <w:rPr>
                <w:b/>
                <w:color w:val="FFFFFF"/>
                <w:w w:val="50"/>
                <w:vertAlign w:val="subscript"/>
              </w:rPr>
              <w:t> </w:t>
            </w:r>
            <w:r w:rsidRPr="00B17B53">
              <w:rPr>
                <w:b/>
                <w:color w:val="FFFFFF"/>
                <w:vertAlign w:val="subscript"/>
              </w:rPr>
              <w:t>h</w:t>
            </w:r>
            <w:r w:rsidR="006D3D88" w:rsidRPr="00B17B53">
              <w:rPr>
                <w:b/>
                <w:color w:val="FFFFFF"/>
                <w:vertAlign w:val="subscript"/>
              </w:rPr>
              <w:t xml:space="preserve"> </w:t>
            </w:r>
            <w:r w:rsidRPr="00B17B53">
              <w:rPr>
                <w:b/>
                <w:color w:val="FFFFFF"/>
              </w:rPr>
              <w:t>ng∙h/mL</w:t>
            </w:r>
          </w:p>
        </w:tc>
        <w:tc>
          <w:tcPr>
            <w:tcW w:w="1369" w:type="dxa"/>
            <w:tcBorders>
              <w:top w:val="single" w:sz="8" w:space="0" w:color="000000"/>
              <w:left w:val="nil"/>
              <w:bottom w:val="single" w:sz="8" w:space="0" w:color="000000"/>
              <w:right w:val="single" w:sz="8" w:space="0" w:color="000000"/>
              <w:tl2br w:val="nil"/>
              <w:tr2bl w:val="nil"/>
            </w:tcBorders>
            <w:shd w:val="clear" w:color="auto" w:fill="006DA7"/>
          </w:tcPr>
          <w:p w:rsidR="00E71F4A" w:rsidRPr="00B17B53" w:rsidRDefault="00E71F4A" w:rsidP="00B17B53">
            <w:pPr>
              <w:keepNext/>
              <w:ind w:left="23" w:right="34"/>
              <w:rPr>
                <w:b/>
                <w:color w:val="FFFFFF"/>
              </w:rPr>
            </w:pPr>
            <w:r w:rsidRPr="00B17B53">
              <w:rPr>
                <w:b/>
                <w:color w:val="FFFFFF"/>
              </w:rPr>
              <w:t>Exposure ratio</w:t>
            </w:r>
            <w:r w:rsidRPr="00B17B53">
              <w:rPr>
                <w:b/>
                <w:color w:val="FFFFFF"/>
                <w:vertAlign w:val="superscript"/>
              </w:rPr>
              <w:t>#</w:t>
            </w:r>
            <w:r w:rsidR="00CB197B" w:rsidRPr="00B17B53">
              <w:rPr>
                <w:b/>
                <w:color w:val="FFFFFF"/>
                <w:vertAlign w:val="superscript"/>
              </w:rPr>
              <w:t xml:space="preserve"> </w:t>
            </w:r>
            <w:r w:rsidRPr="00B17B53">
              <w:rPr>
                <w:b/>
                <w:color w:val="FFFFFF"/>
              </w:rPr>
              <w:t>ER</w:t>
            </w:r>
          </w:p>
        </w:tc>
      </w:tr>
      <w:tr w:rsidR="00E71F4A" w:rsidRPr="006D3D88" w:rsidTr="00575950">
        <w:trPr>
          <w:trHeight w:val="131"/>
        </w:trPr>
        <w:tc>
          <w:tcPr>
            <w:tcW w:w="1384" w:type="dxa"/>
            <w:vMerge w:val="restart"/>
            <w:shd w:val="clear" w:color="auto" w:fill="auto"/>
          </w:tcPr>
          <w:p w:rsidR="00E71F4A" w:rsidRPr="00575950" w:rsidRDefault="00E71F4A" w:rsidP="00575950">
            <w:pPr>
              <w:ind w:right="170"/>
              <w:rPr>
                <w:color w:val="000000"/>
                <w:kern w:val="2"/>
              </w:rPr>
            </w:pPr>
            <w:r w:rsidRPr="00575950">
              <w:rPr>
                <w:color w:val="000000"/>
                <w:kern w:val="2"/>
              </w:rPr>
              <w:t>Rat</w:t>
            </w:r>
            <w:r w:rsidR="00CB197B" w:rsidRPr="00575950">
              <w:rPr>
                <w:color w:val="000000"/>
                <w:kern w:val="2"/>
              </w:rPr>
              <w:t xml:space="preserve"> </w:t>
            </w:r>
            <w:r w:rsidRPr="00575950">
              <w:rPr>
                <w:color w:val="000000"/>
                <w:kern w:val="2"/>
              </w:rPr>
              <w:t>(SD)</w:t>
            </w:r>
          </w:p>
        </w:tc>
        <w:tc>
          <w:tcPr>
            <w:tcW w:w="2268" w:type="dxa"/>
            <w:vMerge w:val="restart"/>
            <w:shd w:val="clear" w:color="auto" w:fill="auto"/>
          </w:tcPr>
          <w:p w:rsidR="00E71F4A" w:rsidRPr="00575950" w:rsidRDefault="00E71F4A" w:rsidP="00575950">
            <w:pPr>
              <w:ind w:left="34" w:right="170"/>
              <w:rPr>
                <w:color w:val="000000"/>
                <w:kern w:val="2"/>
              </w:rPr>
            </w:pPr>
            <w:r w:rsidRPr="00575950">
              <w:rPr>
                <w:color w:val="000000"/>
                <w:kern w:val="2"/>
              </w:rPr>
              <w:t>Fertility</w:t>
            </w:r>
            <w:r w:rsidR="00CB197B" w:rsidRPr="00575950">
              <w:rPr>
                <w:color w:val="000000"/>
                <w:kern w:val="2"/>
              </w:rPr>
              <w:t xml:space="preserve"> </w:t>
            </w:r>
            <w:r w:rsidRPr="00575950">
              <w:rPr>
                <w:color w:val="000000"/>
              </w:rPr>
              <w:t>(CC-4047-TOX-020)</w:t>
            </w:r>
            <w:r w:rsidR="00CB197B" w:rsidRPr="00575950">
              <w:rPr>
                <w:color w:val="000000"/>
              </w:rPr>
              <w:t xml:space="preserve"> </w:t>
            </w:r>
            <w:r w:rsidRPr="00575950">
              <w:rPr>
                <w:rFonts w:cs="Arial"/>
                <w:color w:val="000000"/>
              </w:rPr>
              <w:t xml:space="preserve">Sampling: </w:t>
            </w:r>
            <w:r w:rsidRPr="00575950">
              <w:rPr>
                <w:rFonts w:ascii="Times New Roman" w:hAnsi="Times New Roman"/>
                <w:color w:val="000000"/>
              </w:rPr>
              <w:t>♀</w:t>
            </w:r>
            <w:r w:rsidRPr="00575950">
              <w:rPr>
                <w:color w:val="000000"/>
              </w:rPr>
              <w:t xml:space="preserve">(day14); </w:t>
            </w:r>
            <w:r w:rsidRPr="00575950">
              <w:rPr>
                <w:rFonts w:ascii="Times New Roman" w:hAnsi="Times New Roman"/>
                <w:color w:val="000000"/>
              </w:rPr>
              <w:t>♂</w:t>
            </w:r>
            <w:r w:rsidRPr="00575950">
              <w:rPr>
                <w:rFonts w:cs="Arial"/>
                <w:color w:val="000000"/>
              </w:rPr>
              <w:t xml:space="preserve"> (day </w:t>
            </w:r>
            <w:r w:rsidRPr="00575950">
              <w:rPr>
                <w:color w:val="000000"/>
              </w:rPr>
              <w:t>28)</w:t>
            </w:r>
          </w:p>
        </w:tc>
        <w:tc>
          <w:tcPr>
            <w:tcW w:w="1559" w:type="dxa"/>
            <w:vMerge w:val="restart"/>
            <w:shd w:val="clear" w:color="auto" w:fill="auto"/>
          </w:tcPr>
          <w:p w:rsidR="00E71F4A" w:rsidRPr="00575950" w:rsidRDefault="00E71F4A" w:rsidP="00575950">
            <w:pPr>
              <w:ind w:left="34" w:right="170"/>
              <w:rPr>
                <w:color w:val="000000"/>
                <w:kern w:val="2"/>
              </w:rPr>
            </w:pPr>
            <w:r w:rsidRPr="00575950">
              <w:rPr>
                <w:color w:val="000000"/>
                <w:kern w:val="2"/>
              </w:rPr>
              <w:t>25</w:t>
            </w:r>
          </w:p>
        </w:tc>
        <w:tc>
          <w:tcPr>
            <w:tcW w:w="851" w:type="dxa"/>
            <w:shd w:val="clear" w:color="auto" w:fill="auto"/>
          </w:tcPr>
          <w:p w:rsidR="00E71F4A" w:rsidRPr="00575950" w:rsidRDefault="00E71F4A" w:rsidP="00575950">
            <w:pPr>
              <w:ind w:left="130" w:right="170"/>
              <w:rPr>
                <w:color w:val="000000"/>
                <w:kern w:val="2"/>
              </w:rPr>
            </w:pPr>
            <w:r w:rsidRPr="00575950">
              <w:rPr>
                <w:rFonts w:ascii="Times New Roman" w:hAnsi="Times New Roman"/>
                <w:color w:val="000000"/>
                <w:kern w:val="2"/>
              </w:rPr>
              <w:t>♂</w:t>
            </w:r>
          </w:p>
        </w:tc>
        <w:tc>
          <w:tcPr>
            <w:tcW w:w="1417" w:type="dxa"/>
            <w:shd w:val="clear" w:color="auto" w:fill="auto"/>
          </w:tcPr>
          <w:p w:rsidR="00E71F4A" w:rsidRPr="00575950" w:rsidRDefault="00E71F4A" w:rsidP="00575950">
            <w:pPr>
              <w:ind w:left="34" w:right="170"/>
              <w:rPr>
                <w:color w:val="000000"/>
                <w:kern w:val="2"/>
              </w:rPr>
            </w:pPr>
            <w:r w:rsidRPr="00575950">
              <w:rPr>
                <w:color w:val="000000"/>
                <w:kern w:val="2"/>
              </w:rPr>
              <w:t>21070</w:t>
            </w:r>
            <w:r w:rsidRPr="00575950">
              <w:rPr>
                <w:color w:val="000000"/>
                <w:vertAlign w:val="superscript"/>
              </w:rPr>
              <w:t xml:space="preserve"> b</w:t>
            </w:r>
          </w:p>
        </w:tc>
        <w:tc>
          <w:tcPr>
            <w:tcW w:w="1369" w:type="dxa"/>
            <w:shd w:val="clear" w:color="auto" w:fill="auto"/>
          </w:tcPr>
          <w:p w:rsidR="00E71F4A" w:rsidRPr="00575950" w:rsidRDefault="00E71F4A" w:rsidP="00575950">
            <w:pPr>
              <w:ind w:left="23" w:right="170"/>
              <w:rPr>
                <w:color w:val="000000"/>
              </w:rPr>
            </w:pPr>
            <w:r w:rsidRPr="00575950">
              <w:rPr>
                <w:color w:val="000000"/>
                <w:kern w:val="2"/>
              </w:rPr>
              <w:t>50</w:t>
            </w:r>
          </w:p>
        </w:tc>
      </w:tr>
      <w:tr w:rsidR="00E71F4A" w:rsidRPr="006D3D88" w:rsidTr="00575950">
        <w:trPr>
          <w:trHeight w:val="131"/>
        </w:trPr>
        <w:tc>
          <w:tcPr>
            <w:tcW w:w="1384" w:type="dxa"/>
            <w:vMerge/>
            <w:shd w:val="clear" w:color="auto" w:fill="auto"/>
          </w:tcPr>
          <w:p w:rsidR="00E71F4A" w:rsidRPr="00575950" w:rsidRDefault="00E71F4A" w:rsidP="00575950">
            <w:pPr>
              <w:ind w:right="170"/>
              <w:rPr>
                <w:color w:val="000000"/>
                <w:kern w:val="2"/>
              </w:rPr>
            </w:pPr>
          </w:p>
        </w:tc>
        <w:tc>
          <w:tcPr>
            <w:tcW w:w="2268" w:type="dxa"/>
            <w:vMerge/>
            <w:shd w:val="clear" w:color="auto" w:fill="auto"/>
          </w:tcPr>
          <w:p w:rsidR="00E71F4A" w:rsidRPr="00575950" w:rsidRDefault="00E71F4A" w:rsidP="00575950">
            <w:pPr>
              <w:ind w:left="34" w:right="170"/>
              <w:rPr>
                <w:color w:val="000000"/>
                <w:kern w:val="2"/>
              </w:rPr>
            </w:pPr>
          </w:p>
        </w:tc>
        <w:tc>
          <w:tcPr>
            <w:tcW w:w="1559" w:type="dxa"/>
            <w:vMerge/>
            <w:shd w:val="clear" w:color="auto" w:fill="auto"/>
          </w:tcPr>
          <w:p w:rsidR="00E71F4A" w:rsidRPr="00575950" w:rsidRDefault="00E71F4A" w:rsidP="00575950">
            <w:pPr>
              <w:ind w:left="34" w:right="170"/>
              <w:rPr>
                <w:color w:val="000000"/>
                <w:kern w:val="2"/>
              </w:rPr>
            </w:pPr>
          </w:p>
        </w:tc>
        <w:tc>
          <w:tcPr>
            <w:tcW w:w="851" w:type="dxa"/>
            <w:shd w:val="clear" w:color="auto" w:fill="auto"/>
          </w:tcPr>
          <w:p w:rsidR="00E71F4A" w:rsidRPr="00575950" w:rsidRDefault="00E71F4A" w:rsidP="00575950">
            <w:pPr>
              <w:ind w:left="130" w:right="170"/>
              <w:rPr>
                <w:color w:val="000000"/>
                <w:kern w:val="2"/>
              </w:rPr>
            </w:pPr>
            <w:r w:rsidRPr="00575950">
              <w:rPr>
                <w:rFonts w:ascii="Times New Roman" w:hAnsi="Times New Roman"/>
                <w:color w:val="000000"/>
                <w:kern w:val="2"/>
              </w:rPr>
              <w:t>♀</w:t>
            </w:r>
          </w:p>
        </w:tc>
        <w:tc>
          <w:tcPr>
            <w:tcW w:w="1417" w:type="dxa"/>
            <w:shd w:val="clear" w:color="auto" w:fill="auto"/>
          </w:tcPr>
          <w:p w:rsidR="00E71F4A" w:rsidRPr="00575950" w:rsidRDefault="00E71F4A" w:rsidP="00575950">
            <w:pPr>
              <w:ind w:left="34" w:right="170"/>
              <w:rPr>
                <w:color w:val="000000"/>
                <w:kern w:val="2"/>
              </w:rPr>
            </w:pPr>
            <w:r w:rsidRPr="00575950">
              <w:rPr>
                <w:color w:val="000000"/>
                <w:kern w:val="2"/>
              </w:rPr>
              <w:t>39960</w:t>
            </w:r>
            <w:r w:rsidRPr="00575950">
              <w:rPr>
                <w:color w:val="000000"/>
                <w:vertAlign w:val="superscript"/>
              </w:rPr>
              <w:t xml:space="preserve"> b</w:t>
            </w:r>
          </w:p>
        </w:tc>
        <w:tc>
          <w:tcPr>
            <w:tcW w:w="1369" w:type="dxa"/>
            <w:shd w:val="clear" w:color="auto" w:fill="auto"/>
          </w:tcPr>
          <w:p w:rsidR="00E71F4A" w:rsidRPr="00575950" w:rsidRDefault="00E71F4A" w:rsidP="00575950">
            <w:pPr>
              <w:ind w:left="23" w:right="170"/>
              <w:rPr>
                <w:color w:val="000000"/>
              </w:rPr>
            </w:pPr>
            <w:r w:rsidRPr="00575950">
              <w:rPr>
                <w:color w:val="000000"/>
                <w:kern w:val="2"/>
              </w:rPr>
              <w:t>95</w:t>
            </w:r>
          </w:p>
        </w:tc>
      </w:tr>
      <w:tr w:rsidR="00E71F4A" w:rsidRPr="006D3D88" w:rsidTr="00575950">
        <w:trPr>
          <w:trHeight w:val="131"/>
        </w:trPr>
        <w:tc>
          <w:tcPr>
            <w:tcW w:w="1384" w:type="dxa"/>
            <w:vMerge/>
            <w:shd w:val="clear" w:color="auto" w:fill="auto"/>
          </w:tcPr>
          <w:p w:rsidR="00E71F4A" w:rsidRPr="00575950" w:rsidRDefault="00E71F4A" w:rsidP="00575950">
            <w:pPr>
              <w:ind w:right="170"/>
              <w:rPr>
                <w:color w:val="000000"/>
                <w:kern w:val="2"/>
              </w:rPr>
            </w:pPr>
          </w:p>
        </w:tc>
        <w:tc>
          <w:tcPr>
            <w:tcW w:w="2268" w:type="dxa"/>
            <w:vMerge/>
            <w:shd w:val="clear" w:color="auto" w:fill="auto"/>
          </w:tcPr>
          <w:p w:rsidR="00E71F4A" w:rsidRPr="00575950" w:rsidRDefault="00E71F4A" w:rsidP="00575950">
            <w:pPr>
              <w:ind w:left="34" w:right="170"/>
              <w:rPr>
                <w:color w:val="000000"/>
                <w:kern w:val="2"/>
              </w:rPr>
            </w:pPr>
          </w:p>
        </w:tc>
        <w:tc>
          <w:tcPr>
            <w:tcW w:w="1559" w:type="dxa"/>
            <w:vMerge w:val="restart"/>
            <w:shd w:val="clear" w:color="auto" w:fill="auto"/>
          </w:tcPr>
          <w:p w:rsidR="00E71F4A" w:rsidRPr="00575950" w:rsidRDefault="00E71F4A" w:rsidP="00575950">
            <w:pPr>
              <w:ind w:left="34" w:right="170"/>
              <w:rPr>
                <w:color w:val="000000"/>
                <w:kern w:val="2"/>
              </w:rPr>
            </w:pPr>
            <w:r w:rsidRPr="00575950">
              <w:rPr>
                <w:color w:val="000000"/>
                <w:kern w:val="2"/>
              </w:rPr>
              <w:t>250</w:t>
            </w:r>
          </w:p>
        </w:tc>
        <w:tc>
          <w:tcPr>
            <w:tcW w:w="851" w:type="dxa"/>
            <w:shd w:val="clear" w:color="auto" w:fill="auto"/>
          </w:tcPr>
          <w:p w:rsidR="00E71F4A" w:rsidRPr="00575950" w:rsidRDefault="00E71F4A" w:rsidP="00575950">
            <w:pPr>
              <w:ind w:left="130" w:right="170"/>
              <w:rPr>
                <w:color w:val="000000"/>
                <w:kern w:val="2"/>
              </w:rPr>
            </w:pPr>
            <w:r w:rsidRPr="00575950">
              <w:rPr>
                <w:rFonts w:ascii="Times New Roman" w:hAnsi="Times New Roman"/>
                <w:color w:val="000000"/>
                <w:kern w:val="2"/>
              </w:rPr>
              <w:t>♂</w:t>
            </w:r>
          </w:p>
        </w:tc>
        <w:tc>
          <w:tcPr>
            <w:tcW w:w="1417" w:type="dxa"/>
            <w:shd w:val="clear" w:color="auto" w:fill="auto"/>
          </w:tcPr>
          <w:p w:rsidR="00E71F4A" w:rsidRPr="00575950" w:rsidRDefault="00E71F4A" w:rsidP="00575950">
            <w:pPr>
              <w:ind w:left="34" w:right="170"/>
              <w:rPr>
                <w:color w:val="000000"/>
                <w:kern w:val="2"/>
              </w:rPr>
            </w:pPr>
            <w:r w:rsidRPr="00575950">
              <w:rPr>
                <w:color w:val="000000"/>
                <w:kern w:val="2"/>
              </w:rPr>
              <w:t>43550</w:t>
            </w:r>
            <w:r w:rsidRPr="00575950">
              <w:rPr>
                <w:color w:val="000000"/>
                <w:vertAlign w:val="superscript"/>
              </w:rPr>
              <w:t xml:space="preserve"> b</w:t>
            </w:r>
          </w:p>
        </w:tc>
        <w:tc>
          <w:tcPr>
            <w:tcW w:w="1369" w:type="dxa"/>
            <w:shd w:val="clear" w:color="auto" w:fill="auto"/>
          </w:tcPr>
          <w:p w:rsidR="00E71F4A" w:rsidRPr="00575950" w:rsidRDefault="00E71F4A" w:rsidP="00575950">
            <w:pPr>
              <w:ind w:left="23" w:right="170"/>
              <w:rPr>
                <w:color w:val="000000"/>
              </w:rPr>
            </w:pPr>
            <w:r w:rsidRPr="00575950">
              <w:rPr>
                <w:color w:val="000000"/>
                <w:kern w:val="2"/>
              </w:rPr>
              <w:t>103</w:t>
            </w:r>
          </w:p>
        </w:tc>
      </w:tr>
      <w:tr w:rsidR="00E71F4A" w:rsidRPr="006D3D88" w:rsidTr="00575950">
        <w:trPr>
          <w:trHeight w:val="131"/>
        </w:trPr>
        <w:tc>
          <w:tcPr>
            <w:tcW w:w="1384" w:type="dxa"/>
            <w:vMerge/>
            <w:shd w:val="clear" w:color="auto" w:fill="auto"/>
          </w:tcPr>
          <w:p w:rsidR="00E71F4A" w:rsidRPr="00575950" w:rsidRDefault="00E71F4A" w:rsidP="00575950">
            <w:pPr>
              <w:ind w:right="170"/>
              <w:rPr>
                <w:color w:val="000000"/>
                <w:kern w:val="2"/>
              </w:rPr>
            </w:pPr>
          </w:p>
        </w:tc>
        <w:tc>
          <w:tcPr>
            <w:tcW w:w="2268" w:type="dxa"/>
            <w:vMerge/>
            <w:shd w:val="clear" w:color="auto" w:fill="auto"/>
          </w:tcPr>
          <w:p w:rsidR="00E71F4A" w:rsidRPr="00575950" w:rsidRDefault="00E71F4A" w:rsidP="00575950">
            <w:pPr>
              <w:ind w:left="34" w:right="170"/>
              <w:rPr>
                <w:color w:val="000000"/>
                <w:kern w:val="2"/>
              </w:rPr>
            </w:pPr>
          </w:p>
        </w:tc>
        <w:tc>
          <w:tcPr>
            <w:tcW w:w="1559" w:type="dxa"/>
            <w:vMerge/>
            <w:shd w:val="clear" w:color="auto" w:fill="auto"/>
          </w:tcPr>
          <w:p w:rsidR="00E71F4A" w:rsidRPr="00575950" w:rsidRDefault="00E71F4A" w:rsidP="00575950">
            <w:pPr>
              <w:ind w:left="34" w:right="170"/>
              <w:rPr>
                <w:color w:val="000000"/>
                <w:kern w:val="2"/>
              </w:rPr>
            </w:pPr>
          </w:p>
        </w:tc>
        <w:tc>
          <w:tcPr>
            <w:tcW w:w="851" w:type="dxa"/>
            <w:shd w:val="clear" w:color="auto" w:fill="auto"/>
          </w:tcPr>
          <w:p w:rsidR="00E71F4A" w:rsidRPr="00575950" w:rsidRDefault="00E71F4A" w:rsidP="00575950">
            <w:pPr>
              <w:ind w:left="130" w:right="170"/>
              <w:rPr>
                <w:color w:val="000000"/>
                <w:kern w:val="2"/>
              </w:rPr>
            </w:pPr>
            <w:r w:rsidRPr="00575950">
              <w:rPr>
                <w:rFonts w:ascii="Times New Roman" w:hAnsi="Times New Roman"/>
                <w:color w:val="000000"/>
                <w:kern w:val="2"/>
              </w:rPr>
              <w:t>♀</w:t>
            </w:r>
          </w:p>
        </w:tc>
        <w:tc>
          <w:tcPr>
            <w:tcW w:w="1417" w:type="dxa"/>
            <w:shd w:val="clear" w:color="auto" w:fill="auto"/>
          </w:tcPr>
          <w:p w:rsidR="00E71F4A" w:rsidRPr="00575950" w:rsidRDefault="00E71F4A" w:rsidP="00575950">
            <w:pPr>
              <w:ind w:left="34" w:right="170"/>
              <w:rPr>
                <w:color w:val="000000"/>
                <w:kern w:val="2"/>
              </w:rPr>
            </w:pPr>
            <w:r w:rsidRPr="00575950">
              <w:rPr>
                <w:color w:val="000000"/>
                <w:kern w:val="2"/>
              </w:rPr>
              <w:t>65280</w:t>
            </w:r>
            <w:r w:rsidRPr="00575950">
              <w:rPr>
                <w:color w:val="000000"/>
                <w:vertAlign w:val="superscript"/>
              </w:rPr>
              <w:t xml:space="preserve"> b</w:t>
            </w:r>
          </w:p>
        </w:tc>
        <w:tc>
          <w:tcPr>
            <w:tcW w:w="1369" w:type="dxa"/>
            <w:shd w:val="clear" w:color="auto" w:fill="auto"/>
          </w:tcPr>
          <w:p w:rsidR="00E71F4A" w:rsidRPr="00575950" w:rsidRDefault="00E71F4A" w:rsidP="00575950">
            <w:pPr>
              <w:ind w:left="23" w:right="170"/>
              <w:rPr>
                <w:color w:val="000000"/>
              </w:rPr>
            </w:pPr>
            <w:r w:rsidRPr="00575950">
              <w:rPr>
                <w:color w:val="000000"/>
                <w:kern w:val="2"/>
              </w:rPr>
              <w:t>155</w:t>
            </w:r>
          </w:p>
        </w:tc>
      </w:tr>
      <w:tr w:rsidR="00E71F4A" w:rsidRPr="006D3D88" w:rsidTr="00575950">
        <w:trPr>
          <w:trHeight w:val="117"/>
        </w:trPr>
        <w:tc>
          <w:tcPr>
            <w:tcW w:w="1384" w:type="dxa"/>
            <w:vMerge/>
            <w:shd w:val="clear" w:color="auto" w:fill="auto"/>
          </w:tcPr>
          <w:p w:rsidR="00E71F4A" w:rsidRPr="00575950" w:rsidRDefault="00E71F4A" w:rsidP="00575950">
            <w:pPr>
              <w:ind w:right="170"/>
              <w:rPr>
                <w:color w:val="000000"/>
                <w:kern w:val="2"/>
              </w:rPr>
            </w:pPr>
          </w:p>
        </w:tc>
        <w:tc>
          <w:tcPr>
            <w:tcW w:w="2268" w:type="dxa"/>
            <w:vMerge/>
            <w:shd w:val="clear" w:color="auto" w:fill="auto"/>
          </w:tcPr>
          <w:p w:rsidR="00E71F4A" w:rsidRPr="00575950" w:rsidRDefault="00E71F4A" w:rsidP="00575950">
            <w:pPr>
              <w:ind w:left="34" w:right="170"/>
              <w:rPr>
                <w:color w:val="000000"/>
                <w:kern w:val="2"/>
              </w:rPr>
            </w:pPr>
          </w:p>
        </w:tc>
        <w:tc>
          <w:tcPr>
            <w:tcW w:w="1559" w:type="dxa"/>
            <w:vMerge w:val="restart"/>
            <w:shd w:val="clear" w:color="auto" w:fill="auto"/>
          </w:tcPr>
          <w:p w:rsidR="00E71F4A" w:rsidRPr="00575950" w:rsidRDefault="00E71F4A" w:rsidP="00575950">
            <w:pPr>
              <w:ind w:left="34" w:right="170"/>
              <w:rPr>
                <w:color w:val="000000"/>
                <w:kern w:val="2"/>
              </w:rPr>
            </w:pPr>
            <w:r w:rsidRPr="00575950">
              <w:rPr>
                <w:color w:val="000000"/>
                <w:kern w:val="2"/>
              </w:rPr>
              <w:t>1000</w:t>
            </w:r>
          </w:p>
        </w:tc>
        <w:tc>
          <w:tcPr>
            <w:tcW w:w="851" w:type="dxa"/>
            <w:shd w:val="clear" w:color="auto" w:fill="auto"/>
          </w:tcPr>
          <w:p w:rsidR="00E71F4A" w:rsidRPr="00575950" w:rsidRDefault="00E71F4A" w:rsidP="00575950">
            <w:pPr>
              <w:ind w:left="130" w:right="170"/>
              <w:rPr>
                <w:color w:val="000000"/>
                <w:kern w:val="2"/>
              </w:rPr>
            </w:pPr>
            <w:r w:rsidRPr="00575950">
              <w:rPr>
                <w:rFonts w:ascii="Times New Roman" w:hAnsi="Times New Roman"/>
                <w:color w:val="000000"/>
                <w:kern w:val="2"/>
              </w:rPr>
              <w:t>♂</w:t>
            </w:r>
          </w:p>
        </w:tc>
        <w:tc>
          <w:tcPr>
            <w:tcW w:w="1417" w:type="dxa"/>
            <w:shd w:val="clear" w:color="auto" w:fill="auto"/>
          </w:tcPr>
          <w:p w:rsidR="00E71F4A" w:rsidRPr="00575950" w:rsidRDefault="00E71F4A" w:rsidP="00575950">
            <w:pPr>
              <w:ind w:left="34" w:right="170"/>
              <w:rPr>
                <w:color w:val="000000"/>
                <w:kern w:val="2"/>
              </w:rPr>
            </w:pPr>
            <w:r w:rsidRPr="00575950">
              <w:rPr>
                <w:color w:val="000000"/>
                <w:kern w:val="2"/>
              </w:rPr>
              <w:t>53890</w:t>
            </w:r>
            <w:r w:rsidRPr="00575950">
              <w:rPr>
                <w:color w:val="000000"/>
                <w:vertAlign w:val="superscript"/>
              </w:rPr>
              <w:t xml:space="preserve"> b</w:t>
            </w:r>
          </w:p>
        </w:tc>
        <w:tc>
          <w:tcPr>
            <w:tcW w:w="1369" w:type="dxa"/>
            <w:shd w:val="clear" w:color="auto" w:fill="auto"/>
          </w:tcPr>
          <w:p w:rsidR="00E71F4A" w:rsidRPr="00575950" w:rsidRDefault="00E71F4A" w:rsidP="00575950">
            <w:pPr>
              <w:ind w:left="23" w:right="170"/>
              <w:rPr>
                <w:color w:val="000000"/>
              </w:rPr>
            </w:pPr>
            <w:r w:rsidRPr="00575950">
              <w:rPr>
                <w:color w:val="000000"/>
                <w:kern w:val="2"/>
              </w:rPr>
              <w:t>128</w:t>
            </w:r>
          </w:p>
        </w:tc>
      </w:tr>
      <w:tr w:rsidR="00E71F4A" w:rsidRPr="006D3D88" w:rsidTr="00575950">
        <w:trPr>
          <w:trHeight w:val="146"/>
        </w:trPr>
        <w:tc>
          <w:tcPr>
            <w:tcW w:w="1384" w:type="dxa"/>
            <w:vMerge/>
            <w:shd w:val="clear" w:color="auto" w:fill="auto"/>
          </w:tcPr>
          <w:p w:rsidR="00E71F4A" w:rsidRPr="00575950" w:rsidRDefault="00E71F4A" w:rsidP="00575950">
            <w:pPr>
              <w:ind w:right="170"/>
              <w:rPr>
                <w:color w:val="000000"/>
                <w:kern w:val="2"/>
              </w:rPr>
            </w:pPr>
          </w:p>
        </w:tc>
        <w:tc>
          <w:tcPr>
            <w:tcW w:w="2268" w:type="dxa"/>
            <w:vMerge/>
            <w:shd w:val="clear" w:color="auto" w:fill="auto"/>
          </w:tcPr>
          <w:p w:rsidR="00E71F4A" w:rsidRPr="00575950" w:rsidRDefault="00E71F4A" w:rsidP="00575950">
            <w:pPr>
              <w:ind w:left="34" w:right="170"/>
              <w:rPr>
                <w:color w:val="000000"/>
                <w:kern w:val="2"/>
              </w:rPr>
            </w:pPr>
          </w:p>
        </w:tc>
        <w:tc>
          <w:tcPr>
            <w:tcW w:w="1559" w:type="dxa"/>
            <w:vMerge/>
            <w:shd w:val="clear" w:color="auto" w:fill="auto"/>
          </w:tcPr>
          <w:p w:rsidR="00E71F4A" w:rsidRPr="00575950" w:rsidRDefault="00E71F4A" w:rsidP="00575950">
            <w:pPr>
              <w:ind w:left="34" w:right="170"/>
              <w:rPr>
                <w:color w:val="000000"/>
                <w:kern w:val="2"/>
              </w:rPr>
            </w:pPr>
          </w:p>
        </w:tc>
        <w:tc>
          <w:tcPr>
            <w:tcW w:w="851" w:type="dxa"/>
            <w:shd w:val="clear" w:color="auto" w:fill="auto"/>
          </w:tcPr>
          <w:p w:rsidR="00E71F4A" w:rsidRPr="00575950" w:rsidRDefault="00E71F4A" w:rsidP="00575950">
            <w:pPr>
              <w:ind w:left="130" w:right="170"/>
              <w:rPr>
                <w:color w:val="000000"/>
                <w:kern w:val="2"/>
              </w:rPr>
            </w:pPr>
            <w:r w:rsidRPr="00575950">
              <w:rPr>
                <w:rFonts w:ascii="Times New Roman" w:hAnsi="Times New Roman"/>
                <w:color w:val="000000"/>
                <w:kern w:val="2"/>
              </w:rPr>
              <w:t>♀</w:t>
            </w:r>
          </w:p>
        </w:tc>
        <w:tc>
          <w:tcPr>
            <w:tcW w:w="1417" w:type="dxa"/>
            <w:shd w:val="clear" w:color="auto" w:fill="auto"/>
          </w:tcPr>
          <w:p w:rsidR="00E71F4A" w:rsidRPr="00575950" w:rsidRDefault="00E71F4A" w:rsidP="00575950">
            <w:pPr>
              <w:ind w:left="34" w:right="170"/>
              <w:rPr>
                <w:color w:val="000000"/>
                <w:kern w:val="2"/>
              </w:rPr>
            </w:pPr>
            <w:r w:rsidRPr="00575950">
              <w:rPr>
                <w:color w:val="000000"/>
                <w:kern w:val="2"/>
              </w:rPr>
              <w:t>92810</w:t>
            </w:r>
            <w:r w:rsidRPr="00575950">
              <w:rPr>
                <w:color w:val="000000"/>
                <w:vertAlign w:val="superscript"/>
              </w:rPr>
              <w:t xml:space="preserve"> b</w:t>
            </w:r>
          </w:p>
        </w:tc>
        <w:tc>
          <w:tcPr>
            <w:tcW w:w="1369" w:type="dxa"/>
            <w:shd w:val="clear" w:color="auto" w:fill="auto"/>
          </w:tcPr>
          <w:p w:rsidR="00E71F4A" w:rsidRPr="00575950" w:rsidRDefault="00E71F4A" w:rsidP="00575950">
            <w:pPr>
              <w:ind w:left="23" w:right="170"/>
              <w:rPr>
                <w:color w:val="000000"/>
              </w:rPr>
            </w:pPr>
            <w:r w:rsidRPr="00575950">
              <w:rPr>
                <w:color w:val="000000"/>
                <w:kern w:val="2"/>
              </w:rPr>
              <w:t>220</w:t>
            </w:r>
          </w:p>
        </w:tc>
      </w:tr>
      <w:tr w:rsidR="00E71F4A" w:rsidRPr="006D3D88" w:rsidTr="00575950">
        <w:trPr>
          <w:trHeight w:val="221"/>
        </w:trPr>
        <w:tc>
          <w:tcPr>
            <w:tcW w:w="1384" w:type="dxa"/>
            <w:vMerge/>
            <w:shd w:val="clear" w:color="auto" w:fill="auto"/>
          </w:tcPr>
          <w:p w:rsidR="00E71F4A" w:rsidRPr="00575950" w:rsidRDefault="00E71F4A" w:rsidP="00575950">
            <w:pPr>
              <w:ind w:right="170"/>
              <w:rPr>
                <w:color w:val="000000"/>
                <w:kern w:val="2"/>
              </w:rPr>
            </w:pPr>
          </w:p>
        </w:tc>
        <w:tc>
          <w:tcPr>
            <w:tcW w:w="2268" w:type="dxa"/>
            <w:vMerge w:val="restart"/>
            <w:shd w:val="clear" w:color="auto" w:fill="auto"/>
          </w:tcPr>
          <w:p w:rsidR="00E71F4A" w:rsidRPr="00575950" w:rsidRDefault="00E71F4A" w:rsidP="00575950">
            <w:pPr>
              <w:ind w:left="34" w:right="170"/>
              <w:rPr>
                <w:color w:val="000000"/>
                <w:kern w:val="2"/>
              </w:rPr>
            </w:pPr>
            <w:r w:rsidRPr="00575950">
              <w:rPr>
                <w:color w:val="000000"/>
                <w:kern w:val="2"/>
              </w:rPr>
              <w:t>Embryofetal development</w:t>
            </w:r>
            <w:r w:rsidR="00CB197B" w:rsidRPr="00575950">
              <w:rPr>
                <w:color w:val="000000"/>
                <w:kern w:val="2"/>
              </w:rPr>
              <w:t xml:space="preserve"> </w:t>
            </w:r>
            <w:r w:rsidRPr="00575950">
              <w:rPr>
                <w:color w:val="000000"/>
              </w:rPr>
              <w:t>(CC-4047-TOX-020)</w:t>
            </w:r>
            <w:r w:rsidR="00CB197B" w:rsidRPr="00575950">
              <w:rPr>
                <w:color w:val="000000"/>
              </w:rPr>
              <w:t xml:space="preserve"> </w:t>
            </w:r>
            <w:r w:rsidRPr="00575950">
              <w:rPr>
                <w:color w:val="000000"/>
              </w:rPr>
              <w:t>Sampling GD17</w:t>
            </w:r>
          </w:p>
        </w:tc>
        <w:tc>
          <w:tcPr>
            <w:tcW w:w="1559" w:type="dxa"/>
            <w:shd w:val="clear" w:color="auto" w:fill="auto"/>
          </w:tcPr>
          <w:p w:rsidR="00E71F4A" w:rsidRPr="00575950" w:rsidRDefault="00E71F4A" w:rsidP="00575950">
            <w:pPr>
              <w:ind w:left="34" w:right="170"/>
              <w:rPr>
                <w:color w:val="000000"/>
                <w:kern w:val="2"/>
              </w:rPr>
            </w:pPr>
            <w:r w:rsidRPr="00575950">
              <w:rPr>
                <w:color w:val="000000"/>
                <w:kern w:val="2"/>
              </w:rPr>
              <w:t>25</w:t>
            </w:r>
          </w:p>
        </w:tc>
        <w:tc>
          <w:tcPr>
            <w:tcW w:w="851" w:type="dxa"/>
            <w:shd w:val="clear" w:color="auto" w:fill="auto"/>
          </w:tcPr>
          <w:p w:rsidR="00E71F4A" w:rsidRPr="00575950" w:rsidRDefault="00E71F4A" w:rsidP="00575950">
            <w:pPr>
              <w:ind w:left="130" w:right="170"/>
              <w:rPr>
                <w:color w:val="000000"/>
                <w:kern w:val="2"/>
              </w:rPr>
            </w:pPr>
            <w:r w:rsidRPr="00575950">
              <w:rPr>
                <w:rFonts w:ascii="Times New Roman" w:hAnsi="Times New Roman"/>
                <w:color w:val="000000"/>
                <w:kern w:val="2"/>
              </w:rPr>
              <w:t>♀</w:t>
            </w:r>
          </w:p>
        </w:tc>
        <w:tc>
          <w:tcPr>
            <w:tcW w:w="1417" w:type="dxa"/>
            <w:shd w:val="clear" w:color="auto" w:fill="auto"/>
          </w:tcPr>
          <w:p w:rsidR="00E71F4A" w:rsidRPr="00575950" w:rsidRDefault="00E71F4A" w:rsidP="00575950">
            <w:pPr>
              <w:ind w:left="34" w:right="170"/>
              <w:rPr>
                <w:color w:val="000000"/>
                <w:kern w:val="2"/>
              </w:rPr>
            </w:pPr>
            <w:r w:rsidRPr="00575950">
              <w:rPr>
                <w:color w:val="000000"/>
                <w:kern w:val="2"/>
              </w:rPr>
              <w:t>34340</w:t>
            </w:r>
            <w:r w:rsidRPr="00575950">
              <w:rPr>
                <w:color w:val="000000"/>
                <w:vertAlign w:val="superscript"/>
              </w:rPr>
              <w:t xml:space="preserve"> b</w:t>
            </w:r>
          </w:p>
        </w:tc>
        <w:tc>
          <w:tcPr>
            <w:tcW w:w="1369" w:type="dxa"/>
            <w:shd w:val="clear" w:color="auto" w:fill="auto"/>
          </w:tcPr>
          <w:p w:rsidR="00E71F4A" w:rsidRPr="00575950" w:rsidRDefault="00E71F4A" w:rsidP="00575950">
            <w:pPr>
              <w:ind w:left="23" w:right="170"/>
              <w:rPr>
                <w:color w:val="000000"/>
              </w:rPr>
            </w:pPr>
            <w:r w:rsidRPr="00575950">
              <w:rPr>
                <w:color w:val="000000"/>
                <w:kern w:val="2"/>
              </w:rPr>
              <w:t>82</w:t>
            </w:r>
          </w:p>
        </w:tc>
      </w:tr>
      <w:tr w:rsidR="00E71F4A" w:rsidRPr="006D3D88" w:rsidTr="00575950">
        <w:trPr>
          <w:trHeight w:val="221"/>
        </w:trPr>
        <w:tc>
          <w:tcPr>
            <w:tcW w:w="1384" w:type="dxa"/>
            <w:vMerge/>
            <w:shd w:val="clear" w:color="auto" w:fill="auto"/>
          </w:tcPr>
          <w:p w:rsidR="00E71F4A" w:rsidRPr="00575950" w:rsidRDefault="00E71F4A" w:rsidP="00575950">
            <w:pPr>
              <w:ind w:right="170"/>
              <w:rPr>
                <w:color w:val="000000"/>
                <w:kern w:val="2"/>
              </w:rPr>
            </w:pPr>
          </w:p>
        </w:tc>
        <w:tc>
          <w:tcPr>
            <w:tcW w:w="2268" w:type="dxa"/>
            <w:vMerge/>
            <w:shd w:val="clear" w:color="auto" w:fill="auto"/>
          </w:tcPr>
          <w:p w:rsidR="00E71F4A" w:rsidRPr="00575950" w:rsidRDefault="00E71F4A" w:rsidP="00575950">
            <w:pPr>
              <w:ind w:left="34" w:right="170"/>
              <w:rPr>
                <w:color w:val="000000"/>
                <w:kern w:val="2"/>
              </w:rPr>
            </w:pPr>
          </w:p>
        </w:tc>
        <w:tc>
          <w:tcPr>
            <w:tcW w:w="1559" w:type="dxa"/>
            <w:shd w:val="clear" w:color="auto" w:fill="auto"/>
          </w:tcPr>
          <w:p w:rsidR="00E71F4A" w:rsidRPr="00575950" w:rsidRDefault="00E71F4A" w:rsidP="00575950">
            <w:pPr>
              <w:ind w:left="34" w:right="170"/>
              <w:rPr>
                <w:color w:val="000000"/>
                <w:kern w:val="2"/>
              </w:rPr>
            </w:pPr>
            <w:r w:rsidRPr="00575950">
              <w:rPr>
                <w:color w:val="000000"/>
                <w:kern w:val="2"/>
              </w:rPr>
              <w:t>250</w:t>
            </w:r>
          </w:p>
        </w:tc>
        <w:tc>
          <w:tcPr>
            <w:tcW w:w="851" w:type="dxa"/>
            <w:shd w:val="clear" w:color="auto" w:fill="auto"/>
          </w:tcPr>
          <w:p w:rsidR="00E71F4A" w:rsidRPr="00575950" w:rsidRDefault="00E71F4A" w:rsidP="00575950">
            <w:pPr>
              <w:ind w:left="130" w:right="170"/>
              <w:rPr>
                <w:color w:val="000000"/>
                <w:kern w:val="2"/>
              </w:rPr>
            </w:pPr>
            <w:r w:rsidRPr="00575950">
              <w:rPr>
                <w:rFonts w:ascii="Times New Roman" w:hAnsi="Times New Roman"/>
                <w:color w:val="000000"/>
                <w:kern w:val="2"/>
              </w:rPr>
              <w:t>♀</w:t>
            </w:r>
          </w:p>
        </w:tc>
        <w:tc>
          <w:tcPr>
            <w:tcW w:w="1417" w:type="dxa"/>
            <w:shd w:val="clear" w:color="auto" w:fill="auto"/>
          </w:tcPr>
          <w:p w:rsidR="00E71F4A" w:rsidRPr="00575950" w:rsidRDefault="00E71F4A" w:rsidP="00575950">
            <w:pPr>
              <w:ind w:left="34" w:right="170"/>
              <w:rPr>
                <w:color w:val="000000"/>
                <w:kern w:val="2"/>
              </w:rPr>
            </w:pPr>
            <w:r w:rsidRPr="00575950">
              <w:rPr>
                <w:color w:val="000000"/>
                <w:kern w:val="2"/>
              </w:rPr>
              <w:t>70000</w:t>
            </w:r>
            <w:r w:rsidRPr="00575950">
              <w:rPr>
                <w:color w:val="000000"/>
                <w:vertAlign w:val="superscript"/>
              </w:rPr>
              <w:t xml:space="preserve"> b</w:t>
            </w:r>
          </w:p>
        </w:tc>
        <w:tc>
          <w:tcPr>
            <w:tcW w:w="1369" w:type="dxa"/>
            <w:shd w:val="clear" w:color="auto" w:fill="auto"/>
          </w:tcPr>
          <w:p w:rsidR="00E71F4A" w:rsidRPr="00575950" w:rsidRDefault="00E71F4A" w:rsidP="00575950">
            <w:pPr>
              <w:ind w:left="23" w:right="170"/>
              <w:rPr>
                <w:color w:val="000000"/>
              </w:rPr>
            </w:pPr>
            <w:r w:rsidRPr="00575950">
              <w:rPr>
                <w:color w:val="000000"/>
                <w:kern w:val="2"/>
              </w:rPr>
              <w:t>166</w:t>
            </w:r>
          </w:p>
        </w:tc>
      </w:tr>
      <w:tr w:rsidR="00E71F4A" w:rsidRPr="006D3D88" w:rsidTr="00575950">
        <w:trPr>
          <w:trHeight w:val="221"/>
        </w:trPr>
        <w:tc>
          <w:tcPr>
            <w:tcW w:w="1384" w:type="dxa"/>
            <w:vMerge/>
            <w:shd w:val="clear" w:color="auto" w:fill="auto"/>
          </w:tcPr>
          <w:p w:rsidR="00E71F4A" w:rsidRPr="00575950" w:rsidRDefault="00E71F4A" w:rsidP="00575950">
            <w:pPr>
              <w:ind w:right="170"/>
              <w:rPr>
                <w:color w:val="000000"/>
                <w:kern w:val="2"/>
              </w:rPr>
            </w:pPr>
          </w:p>
        </w:tc>
        <w:tc>
          <w:tcPr>
            <w:tcW w:w="2268" w:type="dxa"/>
            <w:vMerge/>
            <w:shd w:val="clear" w:color="auto" w:fill="auto"/>
          </w:tcPr>
          <w:p w:rsidR="00E71F4A" w:rsidRPr="00575950" w:rsidRDefault="00E71F4A" w:rsidP="00575950">
            <w:pPr>
              <w:ind w:left="34" w:right="170"/>
              <w:rPr>
                <w:color w:val="000000"/>
                <w:kern w:val="2"/>
              </w:rPr>
            </w:pPr>
          </w:p>
        </w:tc>
        <w:tc>
          <w:tcPr>
            <w:tcW w:w="1559" w:type="dxa"/>
            <w:shd w:val="clear" w:color="auto" w:fill="auto"/>
          </w:tcPr>
          <w:p w:rsidR="00E71F4A" w:rsidRPr="00575950" w:rsidRDefault="00E71F4A" w:rsidP="00575950">
            <w:pPr>
              <w:ind w:left="34" w:right="170"/>
              <w:rPr>
                <w:color w:val="000000"/>
                <w:kern w:val="2"/>
              </w:rPr>
            </w:pPr>
            <w:r w:rsidRPr="00575950">
              <w:rPr>
                <w:color w:val="000000"/>
                <w:kern w:val="2"/>
              </w:rPr>
              <w:t>1000</w:t>
            </w:r>
          </w:p>
        </w:tc>
        <w:tc>
          <w:tcPr>
            <w:tcW w:w="851" w:type="dxa"/>
            <w:shd w:val="clear" w:color="auto" w:fill="auto"/>
          </w:tcPr>
          <w:p w:rsidR="00E71F4A" w:rsidRPr="00575950" w:rsidRDefault="00E71F4A" w:rsidP="00575950">
            <w:pPr>
              <w:ind w:left="130" w:right="170"/>
              <w:rPr>
                <w:color w:val="000000"/>
                <w:kern w:val="2"/>
              </w:rPr>
            </w:pPr>
            <w:r w:rsidRPr="00575950">
              <w:rPr>
                <w:rFonts w:ascii="Times New Roman" w:hAnsi="Times New Roman"/>
                <w:color w:val="000000"/>
                <w:kern w:val="2"/>
              </w:rPr>
              <w:t>♀</w:t>
            </w:r>
          </w:p>
        </w:tc>
        <w:tc>
          <w:tcPr>
            <w:tcW w:w="1417" w:type="dxa"/>
            <w:shd w:val="clear" w:color="auto" w:fill="auto"/>
          </w:tcPr>
          <w:p w:rsidR="00E71F4A" w:rsidRPr="00575950" w:rsidRDefault="00E71F4A" w:rsidP="00575950">
            <w:pPr>
              <w:ind w:left="34" w:right="170"/>
              <w:rPr>
                <w:color w:val="000000"/>
                <w:kern w:val="2"/>
              </w:rPr>
            </w:pPr>
            <w:r w:rsidRPr="00575950">
              <w:rPr>
                <w:color w:val="000000"/>
                <w:kern w:val="2"/>
              </w:rPr>
              <w:t>92610</w:t>
            </w:r>
            <w:r w:rsidRPr="00575950">
              <w:rPr>
                <w:color w:val="000000"/>
                <w:vertAlign w:val="superscript"/>
              </w:rPr>
              <w:t xml:space="preserve"> b</w:t>
            </w:r>
          </w:p>
        </w:tc>
        <w:tc>
          <w:tcPr>
            <w:tcW w:w="1369" w:type="dxa"/>
            <w:shd w:val="clear" w:color="auto" w:fill="auto"/>
          </w:tcPr>
          <w:p w:rsidR="00E71F4A" w:rsidRPr="00575950" w:rsidRDefault="00E71F4A" w:rsidP="00575950">
            <w:pPr>
              <w:ind w:left="23" w:right="170"/>
              <w:rPr>
                <w:color w:val="000000"/>
              </w:rPr>
            </w:pPr>
            <w:r w:rsidRPr="00575950">
              <w:rPr>
                <w:color w:val="000000"/>
                <w:kern w:val="2"/>
              </w:rPr>
              <w:t>220</w:t>
            </w:r>
          </w:p>
        </w:tc>
      </w:tr>
      <w:tr w:rsidR="00E71F4A" w:rsidRPr="006D3D88" w:rsidTr="00575950">
        <w:trPr>
          <w:trHeight w:val="221"/>
        </w:trPr>
        <w:tc>
          <w:tcPr>
            <w:tcW w:w="1384" w:type="dxa"/>
            <w:vMerge w:val="restart"/>
            <w:shd w:val="clear" w:color="auto" w:fill="auto"/>
          </w:tcPr>
          <w:p w:rsidR="00E71F4A" w:rsidRPr="00575950" w:rsidRDefault="00E71F4A" w:rsidP="00575950">
            <w:pPr>
              <w:ind w:right="170"/>
              <w:rPr>
                <w:color w:val="000000"/>
                <w:kern w:val="2"/>
              </w:rPr>
            </w:pPr>
            <w:r w:rsidRPr="00575950">
              <w:rPr>
                <w:color w:val="000000"/>
                <w:kern w:val="2"/>
              </w:rPr>
              <w:t>Rabbit</w:t>
            </w:r>
            <w:r w:rsidR="00CB197B" w:rsidRPr="00575950">
              <w:rPr>
                <w:color w:val="000000"/>
                <w:kern w:val="2"/>
              </w:rPr>
              <w:t xml:space="preserve"> </w:t>
            </w:r>
            <w:r w:rsidRPr="00575950">
              <w:rPr>
                <w:color w:val="000000"/>
                <w:kern w:val="2"/>
              </w:rPr>
              <w:t>(NZW)</w:t>
            </w:r>
          </w:p>
        </w:tc>
        <w:tc>
          <w:tcPr>
            <w:tcW w:w="2268" w:type="dxa"/>
            <w:vMerge w:val="restart"/>
            <w:shd w:val="clear" w:color="auto" w:fill="auto"/>
          </w:tcPr>
          <w:p w:rsidR="00E71F4A" w:rsidRPr="00575950" w:rsidRDefault="00CB197B" w:rsidP="00575950">
            <w:pPr>
              <w:ind w:left="34" w:right="170"/>
              <w:rPr>
                <w:color w:val="000000"/>
                <w:kern w:val="2"/>
              </w:rPr>
            </w:pPr>
            <w:r w:rsidRPr="00575950">
              <w:rPr>
                <w:color w:val="000000"/>
                <w:kern w:val="2"/>
              </w:rPr>
              <w:t xml:space="preserve">Embryofetal </w:t>
            </w:r>
            <w:r w:rsidR="00E71F4A" w:rsidRPr="00575950">
              <w:rPr>
                <w:color w:val="000000"/>
                <w:kern w:val="2"/>
              </w:rPr>
              <w:t>development</w:t>
            </w:r>
            <w:r w:rsidRPr="00575950">
              <w:rPr>
                <w:color w:val="000000"/>
                <w:kern w:val="2"/>
              </w:rPr>
              <w:t xml:space="preserve"> </w:t>
            </w:r>
            <w:r w:rsidR="00E71F4A" w:rsidRPr="00575950">
              <w:rPr>
                <w:color w:val="000000"/>
              </w:rPr>
              <w:t>(CC-4047-TOX-008)*</w:t>
            </w:r>
            <w:r w:rsidRPr="00575950">
              <w:rPr>
                <w:color w:val="000000"/>
              </w:rPr>
              <w:t xml:space="preserve"> </w:t>
            </w:r>
            <w:r w:rsidR="00E71F4A" w:rsidRPr="00575950">
              <w:rPr>
                <w:color w:val="000000"/>
                <w:kern w:val="2"/>
              </w:rPr>
              <w:lastRenderedPageBreak/>
              <w:t>sampling day 19</w:t>
            </w:r>
          </w:p>
        </w:tc>
        <w:tc>
          <w:tcPr>
            <w:tcW w:w="1559" w:type="dxa"/>
            <w:shd w:val="clear" w:color="auto" w:fill="auto"/>
          </w:tcPr>
          <w:p w:rsidR="00E71F4A" w:rsidRPr="00575950" w:rsidRDefault="00E71F4A" w:rsidP="00575950">
            <w:pPr>
              <w:ind w:left="34" w:right="170"/>
              <w:rPr>
                <w:color w:val="000000"/>
                <w:kern w:val="2"/>
              </w:rPr>
            </w:pPr>
            <w:r w:rsidRPr="00575950">
              <w:rPr>
                <w:color w:val="000000"/>
                <w:kern w:val="2"/>
              </w:rPr>
              <w:lastRenderedPageBreak/>
              <w:t>10</w:t>
            </w:r>
          </w:p>
        </w:tc>
        <w:tc>
          <w:tcPr>
            <w:tcW w:w="851" w:type="dxa"/>
            <w:shd w:val="clear" w:color="auto" w:fill="auto"/>
          </w:tcPr>
          <w:p w:rsidR="00E71F4A" w:rsidRPr="00575950" w:rsidRDefault="00E71F4A" w:rsidP="00575950">
            <w:pPr>
              <w:ind w:left="130" w:right="170"/>
              <w:rPr>
                <w:color w:val="000000"/>
                <w:kern w:val="2"/>
              </w:rPr>
            </w:pPr>
            <w:r w:rsidRPr="00575950">
              <w:rPr>
                <w:rFonts w:ascii="Times New Roman" w:hAnsi="Times New Roman"/>
                <w:color w:val="000000"/>
                <w:kern w:val="2"/>
              </w:rPr>
              <w:t>♀</w:t>
            </w:r>
          </w:p>
        </w:tc>
        <w:tc>
          <w:tcPr>
            <w:tcW w:w="1417" w:type="dxa"/>
            <w:shd w:val="clear" w:color="auto" w:fill="auto"/>
          </w:tcPr>
          <w:p w:rsidR="00E71F4A" w:rsidRPr="00575950" w:rsidRDefault="00E71F4A" w:rsidP="00575950">
            <w:pPr>
              <w:ind w:left="34" w:right="170"/>
              <w:rPr>
                <w:color w:val="000000"/>
                <w:kern w:val="2"/>
              </w:rPr>
            </w:pPr>
            <w:r w:rsidRPr="00575950">
              <w:rPr>
                <w:color w:val="000000"/>
                <w:kern w:val="2"/>
              </w:rPr>
              <w:t>417.9</w:t>
            </w:r>
            <w:r w:rsidRPr="00575950">
              <w:rPr>
                <w:color w:val="000000"/>
                <w:kern w:val="2"/>
                <w:vertAlign w:val="superscript"/>
              </w:rPr>
              <w:t xml:space="preserve"> a</w:t>
            </w:r>
          </w:p>
        </w:tc>
        <w:tc>
          <w:tcPr>
            <w:tcW w:w="1369" w:type="dxa"/>
            <w:shd w:val="clear" w:color="auto" w:fill="auto"/>
          </w:tcPr>
          <w:p w:rsidR="00E71F4A" w:rsidRPr="00575950" w:rsidRDefault="00E71F4A" w:rsidP="00575950">
            <w:pPr>
              <w:ind w:left="23" w:right="170"/>
              <w:rPr>
                <w:color w:val="000000"/>
                <w:kern w:val="2"/>
              </w:rPr>
            </w:pPr>
            <w:r w:rsidRPr="00575950">
              <w:rPr>
                <w:color w:val="000000"/>
                <w:kern w:val="2"/>
              </w:rPr>
              <w:t>1</w:t>
            </w:r>
          </w:p>
        </w:tc>
      </w:tr>
      <w:tr w:rsidR="00E71F4A" w:rsidRPr="006D3D88" w:rsidTr="00575950">
        <w:trPr>
          <w:trHeight w:val="221"/>
        </w:trPr>
        <w:tc>
          <w:tcPr>
            <w:tcW w:w="1384" w:type="dxa"/>
            <w:vMerge/>
            <w:shd w:val="clear" w:color="auto" w:fill="auto"/>
          </w:tcPr>
          <w:p w:rsidR="00E71F4A" w:rsidRPr="00575950" w:rsidRDefault="00E71F4A" w:rsidP="00575950">
            <w:pPr>
              <w:ind w:right="170"/>
              <w:rPr>
                <w:color w:val="000000"/>
                <w:kern w:val="2"/>
              </w:rPr>
            </w:pPr>
          </w:p>
        </w:tc>
        <w:tc>
          <w:tcPr>
            <w:tcW w:w="2268" w:type="dxa"/>
            <w:vMerge/>
            <w:shd w:val="clear" w:color="auto" w:fill="auto"/>
          </w:tcPr>
          <w:p w:rsidR="00E71F4A" w:rsidRPr="00575950" w:rsidRDefault="00E71F4A" w:rsidP="00575950">
            <w:pPr>
              <w:ind w:left="34" w:right="170"/>
              <w:rPr>
                <w:color w:val="000000"/>
                <w:kern w:val="2"/>
              </w:rPr>
            </w:pPr>
          </w:p>
        </w:tc>
        <w:tc>
          <w:tcPr>
            <w:tcW w:w="1559" w:type="dxa"/>
            <w:shd w:val="clear" w:color="auto" w:fill="auto"/>
          </w:tcPr>
          <w:p w:rsidR="00E71F4A" w:rsidRPr="00575950" w:rsidRDefault="00E71F4A" w:rsidP="00575950">
            <w:pPr>
              <w:ind w:left="34" w:right="170"/>
              <w:rPr>
                <w:color w:val="000000"/>
                <w:kern w:val="2"/>
              </w:rPr>
            </w:pPr>
            <w:r w:rsidRPr="00575950">
              <w:rPr>
                <w:color w:val="000000"/>
                <w:kern w:val="2"/>
              </w:rPr>
              <w:t>100</w:t>
            </w:r>
          </w:p>
        </w:tc>
        <w:tc>
          <w:tcPr>
            <w:tcW w:w="851" w:type="dxa"/>
            <w:shd w:val="clear" w:color="auto" w:fill="auto"/>
          </w:tcPr>
          <w:p w:rsidR="00E71F4A" w:rsidRPr="00575950" w:rsidRDefault="00E71F4A" w:rsidP="00575950">
            <w:pPr>
              <w:ind w:left="130" w:right="170"/>
              <w:rPr>
                <w:color w:val="000000"/>
                <w:kern w:val="2"/>
              </w:rPr>
            </w:pPr>
            <w:r w:rsidRPr="00575950">
              <w:rPr>
                <w:rFonts w:ascii="Times New Roman" w:hAnsi="Times New Roman"/>
                <w:color w:val="000000"/>
                <w:kern w:val="2"/>
              </w:rPr>
              <w:t>♀</w:t>
            </w:r>
          </w:p>
        </w:tc>
        <w:tc>
          <w:tcPr>
            <w:tcW w:w="1417" w:type="dxa"/>
            <w:shd w:val="clear" w:color="auto" w:fill="auto"/>
          </w:tcPr>
          <w:p w:rsidR="00E71F4A" w:rsidRPr="00575950" w:rsidRDefault="00E71F4A" w:rsidP="00575950">
            <w:pPr>
              <w:ind w:left="34" w:right="170"/>
              <w:rPr>
                <w:color w:val="000000"/>
                <w:kern w:val="2"/>
              </w:rPr>
            </w:pPr>
            <w:r w:rsidRPr="00575950">
              <w:rPr>
                <w:color w:val="000000"/>
                <w:kern w:val="2"/>
              </w:rPr>
              <w:t>2787</w:t>
            </w:r>
            <w:r w:rsidRPr="00575950">
              <w:rPr>
                <w:color w:val="000000"/>
                <w:kern w:val="2"/>
                <w:vertAlign w:val="superscript"/>
              </w:rPr>
              <w:t xml:space="preserve"> a</w:t>
            </w:r>
          </w:p>
        </w:tc>
        <w:tc>
          <w:tcPr>
            <w:tcW w:w="1369" w:type="dxa"/>
            <w:shd w:val="clear" w:color="auto" w:fill="auto"/>
          </w:tcPr>
          <w:p w:rsidR="00E71F4A" w:rsidRPr="00575950" w:rsidRDefault="00E71F4A" w:rsidP="00575950">
            <w:pPr>
              <w:ind w:left="23" w:right="170"/>
              <w:rPr>
                <w:color w:val="000000"/>
              </w:rPr>
            </w:pPr>
            <w:r w:rsidRPr="00575950">
              <w:rPr>
                <w:color w:val="000000"/>
                <w:kern w:val="2"/>
              </w:rPr>
              <w:t>7</w:t>
            </w:r>
          </w:p>
        </w:tc>
      </w:tr>
      <w:tr w:rsidR="00E71F4A" w:rsidRPr="006D3D88" w:rsidTr="00575950">
        <w:trPr>
          <w:trHeight w:val="221"/>
        </w:trPr>
        <w:tc>
          <w:tcPr>
            <w:tcW w:w="1384" w:type="dxa"/>
            <w:vMerge/>
            <w:shd w:val="clear" w:color="auto" w:fill="auto"/>
          </w:tcPr>
          <w:p w:rsidR="00E71F4A" w:rsidRPr="00575950" w:rsidRDefault="00E71F4A" w:rsidP="00575950">
            <w:pPr>
              <w:ind w:right="170"/>
              <w:rPr>
                <w:color w:val="000000"/>
                <w:kern w:val="2"/>
              </w:rPr>
            </w:pPr>
          </w:p>
        </w:tc>
        <w:tc>
          <w:tcPr>
            <w:tcW w:w="2268" w:type="dxa"/>
            <w:vMerge/>
            <w:shd w:val="clear" w:color="auto" w:fill="auto"/>
          </w:tcPr>
          <w:p w:rsidR="00E71F4A" w:rsidRPr="00575950" w:rsidRDefault="00E71F4A" w:rsidP="00575950">
            <w:pPr>
              <w:ind w:left="34" w:right="170"/>
              <w:rPr>
                <w:color w:val="000000"/>
                <w:kern w:val="2"/>
              </w:rPr>
            </w:pPr>
          </w:p>
        </w:tc>
        <w:tc>
          <w:tcPr>
            <w:tcW w:w="1559" w:type="dxa"/>
            <w:shd w:val="clear" w:color="auto" w:fill="auto"/>
          </w:tcPr>
          <w:p w:rsidR="00E71F4A" w:rsidRPr="00575950" w:rsidRDefault="00E71F4A" w:rsidP="00575950">
            <w:pPr>
              <w:ind w:left="34" w:right="170"/>
              <w:rPr>
                <w:color w:val="000000"/>
                <w:kern w:val="2"/>
              </w:rPr>
            </w:pPr>
            <w:r w:rsidRPr="00575950">
              <w:rPr>
                <w:color w:val="000000"/>
                <w:kern w:val="2"/>
              </w:rPr>
              <w:t>250</w:t>
            </w:r>
          </w:p>
        </w:tc>
        <w:tc>
          <w:tcPr>
            <w:tcW w:w="851" w:type="dxa"/>
            <w:shd w:val="clear" w:color="auto" w:fill="auto"/>
          </w:tcPr>
          <w:p w:rsidR="00E71F4A" w:rsidRPr="00575950" w:rsidRDefault="00E71F4A" w:rsidP="00575950">
            <w:pPr>
              <w:ind w:left="130" w:right="170"/>
              <w:rPr>
                <w:color w:val="000000"/>
                <w:kern w:val="2"/>
              </w:rPr>
            </w:pPr>
            <w:r w:rsidRPr="00575950">
              <w:rPr>
                <w:rFonts w:ascii="Times New Roman" w:hAnsi="Times New Roman"/>
                <w:color w:val="000000"/>
                <w:kern w:val="2"/>
              </w:rPr>
              <w:t>♀</w:t>
            </w:r>
          </w:p>
        </w:tc>
        <w:tc>
          <w:tcPr>
            <w:tcW w:w="1417" w:type="dxa"/>
            <w:shd w:val="clear" w:color="auto" w:fill="auto"/>
          </w:tcPr>
          <w:p w:rsidR="00E71F4A" w:rsidRPr="00575950" w:rsidRDefault="00E71F4A" w:rsidP="00575950">
            <w:pPr>
              <w:ind w:left="34" w:right="170"/>
              <w:rPr>
                <w:color w:val="000000"/>
                <w:kern w:val="2"/>
              </w:rPr>
            </w:pPr>
            <w:r w:rsidRPr="00575950">
              <w:rPr>
                <w:color w:val="000000"/>
                <w:kern w:val="2"/>
              </w:rPr>
              <w:t>3328</w:t>
            </w:r>
            <w:r w:rsidRPr="00575950">
              <w:rPr>
                <w:color w:val="000000"/>
                <w:kern w:val="2"/>
                <w:vertAlign w:val="superscript"/>
              </w:rPr>
              <w:t xml:space="preserve"> a</w:t>
            </w:r>
          </w:p>
        </w:tc>
        <w:tc>
          <w:tcPr>
            <w:tcW w:w="1369" w:type="dxa"/>
            <w:shd w:val="clear" w:color="auto" w:fill="auto"/>
          </w:tcPr>
          <w:p w:rsidR="00E71F4A" w:rsidRPr="00575950" w:rsidRDefault="00E71F4A" w:rsidP="00575950">
            <w:pPr>
              <w:ind w:left="23" w:right="170"/>
              <w:rPr>
                <w:color w:val="000000"/>
              </w:rPr>
            </w:pPr>
            <w:r w:rsidRPr="00575950">
              <w:rPr>
                <w:color w:val="000000"/>
                <w:kern w:val="2"/>
              </w:rPr>
              <w:t>8</w:t>
            </w:r>
          </w:p>
        </w:tc>
      </w:tr>
      <w:tr w:rsidR="00E71F4A" w:rsidRPr="006D3D88" w:rsidTr="00575950">
        <w:trPr>
          <w:trHeight w:val="221"/>
        </w:trPr>
        <w:tc>
          <w:tcPr>
            <w:tcW w:w="1384" w:type="dxa"/>
            <w:shd w:val="clear" w:color="auto" w:fill="auto"/>
          </w:tcPr>
          <w:p w:rsidR="00E71F4A" w:rsidRPr="00575950" w:rsidRDefault="00E71F4A" w:rsidP="00575950">
            <w:pPr>
              <w:ind w:right="170"/>
              <w:rPr>
                <w:color w:val="000000"/>
                <w:kern w:val="2"/>
              </w:rPr>
            </w:pPr>
            <w:r w:rsidRPr="00575950">
              <w:rPr>
                <w:color w:val="000000"/>
                <w:kern w:val="2"/>
              </w:rPr>
              <w:lastRenderedPageBreak/>
              <w:t>Human</w:t>
            </w:r>
            <w:r w:rsidR="00CB197B" w:rsidRPr="00575950">
              <w:rPr>
                <w:color w:val="000000"/>
                <w:kern w:val="2"/>
              </w:rPr>
              <w:t xml:space="preserve"> </w:t>
            </w:r>
            <w:r w:rsidRPr="00575950">
              <w:rPr>
                <w:color w:val="000000"/>
                <w:kern w:val="2"/>
              </w:rPr>
              <w:t>(multiple myeloma patients)</w:t>
            </w:r>
          </w:p>
        </w:tc>
        <w:tc>
          <w:tcPr>
            <w:tcW w:w="2268" w:type="dxa"/>
            <w:shd w:val="clear" w:color="auto" w:fill="auto"/>
          </w:tcPr>
          <w:p w:rsidR="00E71F4A" w:rsidRPr="00575950" w:rsidRDefault="00E71F4A" w:rsidP="00575950">
            <w:pPr>
              <w:ind w:left="34" w:right="170"/>
              <w:rPr>
                <w:color w:val="000000"/>
                <w:kern w:val="2"/>
              </w:rPr>
            </w:pPr>
            <w:r w:rsidRPr="00575950">
              <w:rPr>
                <w:color w:val="000000"/>
                <w:kern w:val="2"/>
              </w:rPr>
              <w:t>steady state</w:t>
            </w:r>
          </w:p>
        </w:tc>
        <w:tc>
          <w:tcPr>
            <w:tcW w:w="1559" w:type="dxa"/>
            <w:shd w:val="clear" w:color="auto" w:fill="auto"/>
          </w:tcPr>
          <w:p w:rsidR="00E71F4A" w:rsidRPr="00575950" w:rsidRDefault="00E71F4A" w:rsidP="00575950">
            <w:pPr>
              <w:ind w:left="34" w:right="170"/>
              <w:rPr>
                <w:color w:val="000000"/>
                <w:kern w:val="2"/>
              </w:rPr>
            </w:pPr>
            <w:r w:rsidRPr="00575950">
              <w:rPr>
                <w:color w:val="000000"/>
                <w:kern w:val="2"/>
              </w:rPr>
              <w:t>[4 mg]</w:t>
            </w:r>
          </w:p>
        </w:tc>
        <w:tc>
          <w:tcPr>
            <w:tcW w:w="851" w:type="dxa"/>
            <w:shd w:val="clear" w:color="auto" w:fill="auto"/>
          </w:tcPr>
          <w:p w:rsidR="00E71F4A" w:rsidRPr="00575950" w:rsidRDefault="00E71F4A" w:rsidP="00575950">
            <w:pPr>
              <w:ind w:left="130" w:right="170"/>
              <w:rPr>
                <w:color w:val="000000"/>
                <w:kern w:val="2"/>
              </w:rPr>
            </w:pPr>
            <w:r w:rsidRPr="00575950">
              <w:rPr>
                <w:rFonts w:ascii="Times New Roman" w:hAnsi="Times New Roman"/>
                <w:color w:val="000000"/>
                <w:kern w:val="2"/>
              </w:rPr>
              <w:t>♂</w:t>
            </w:r>
            <w:r w:rsidRPr="00575950">
              <w:rPr>
                <w:color w:val="000000"/>
                <w:kern w:val="2"/>
              </w:rPr>
              <w:t>+</w:t>
            </w:r>
            <w:r w:rsidRPr="00575950">
              <w:rPr>
                <w:rFonts w:ascii="Times New Roman" w:hAnsi="Times New Roman"/>
                <w:color w:val="000000"/>
                <w:kern w:val="2"/>
              </w:rPr>
              <w:t>♀</w:t>
            </w:r>
          </w:p>
        </w:tc>
        <w:tc>
          <w:tcPr>
            <w:tcW w:w="1417" w:type="dxa"/>
            <w:shd w:val="clear" w:color="auto" w:fill="auto"/>
          </w:tcPr>
          <w:p w:rsidR="00E71F4A" w:rsidRPr="00575950" w:rsidRDefault="00E71F4A" w:rsidP="00575950">
            <w:pPr>
              <w:ind w:left="34" w:right="170"/>
              <w:rPr>
                <w:color w:val="000000"/>
                <w:kern w:val="2"/>
              </w:rPr>
            </w:pPr>
            <w:r w:rsidRPr="00575950">
              <w:rPr>
                <w:color w:val="000000"/>
                <w:kern w:val="2"/>
              </w:rPr>
              <w:t>421</w:t>
            </w:r>
            <w:r w:rsidRPr="00575950">
              <w:rPr>
                <w:color w:val="000000"/>
                <w:kern w:val="2"/>
                <w:vertAlign w:val="superscript"/>
              </w:rPr>
              <w:t>a</w:t>
            </w:r>
          </w:p>
        </w:tc>
        <w:tc>
          <w:tcPr>
            <w:tcW w:w="1369" w:type="dxa"/>
            <w:shd w:val="clear" w:color="auto" w:fill="auto"/>
          </w:tcPr>
          <w:p w:rsidR="00E71F4A" w:rsidRPr="00575950" w:rsidRDefault="00E71F4A" w:rsidP="00575950">
            <w:pPr>
              <w:ind w:left="23" w:right="170"/>
              <w:rPr>
                <w:color w:val="000000"/>
                <w:kern w:val="2"/>
              </w:rPr>
            </w:pPr>
            <w:r w:rsidRPr="00575950">
              <w:rPr>
                <w:color w:val="000000"/>
                <w:kern w:val="2"/>
              </w:rPr>
              <w:t>-</w:t>
            </w:r>
          </w:p>
        </w:tc>
      </w:tr>
    </w:tbl>
    <w:p w:rsidR="00E71F4A" w:rsidRPr="006D3D88" w:rsidRDefault="00E71F4A" w:rsidP="00B17B53">
      <w:pPr>
        <w:pStyle w:val="TableDescription"/>
      </w:pPr>
      <w:r w:rsidRPr="006D3D88">
        <w:rPr>
          <w:position w:val="-2"/>
          <w:vertAlign w:val="superscript"/>
        </w:rPr>
        <w:t>#</w:t>
      </w:r>
      <w:r w:rsidRPr="006D3D88">
        <w:t xml:space="preserve"> = animal</w:t>
      </w:r>
      <w:proofErr w:type="gramStart"/>
      <w:r w:rsidRPr="006D3D88">
        <w:t>:human</w:t>
      </w:r>
      <w:proofErr w:type="gramEnd"/>
      <w:r w:rsidRPr="006D3D88">
        <w:t xml:space="preserve"> plasma AUC</w:t>
      </w:r>
      <w:r w:rsidRPr="006D3D88">
        <w:rPr>
          <w:vertAlign w:val="subscript"/>
        </w:rPr>
        <w:t>0–24</w:t>
      </w:r>
      <w:r w:rsidRPr="006D3D88">
        <w:rPr>
          <w:w w:val="50"/>
          <w:vertAlign w:val="subscript"/>
        </w:rPr>
        <w:t> </w:t>
      </w:r>
      <w:r w:rsidRPr="006D3D88">
        <w:rPr>
          <w:vertAlign w:val="subscript"/>
        </w:rPr>
        <w:t>h</w:t>
      </w:r>
      <w:r w:rsidRPr="006D3D88">
        <w:t xml:space="preserve">; </w:t>
      </w:r>
      <w:r w:rsidRPr="006D3D88">
        <w:rPr>
          <w:vertAlign w:val="superscript"/>
        </w:rPr>
        <w:t>a</w:t>
      </w:r>
      <w:r w:rsidRPr="006D3D88">
        <w:t xml:space="preserve"> AUC</w:t>
      </w:r>
      <w:r w:rsidRPr="006D3D88">
        <w:rPr>
          <w:vertAlign w:val="subscript"/>
        </w:rPr>
        <w:t>t</w:t>
      </w:r>
      <w:r w:rsidRPr="006D3D88">
        <w:t xml:space="preserve"> Area under the curve from the time of dosing (time zero) to the last </w:t>
      </w:r>
      <w:r w:rsidRPr="00B17B53">
        <w:t>quantifiable</w:t>
      </w:r>
      <w:r w:rsidRPr="006D3D88">
        <w:t xml:space="preserve"> concentration, </w:t>
      </w:r>
      <w:r w:rsidRPr="006D3D88">
        <w:rPr>
          <w:vertAlign w:val="superscript"/>
        </w:rPr>
        <w:t xml:space="preserve">b </w:t>
      </w:r>
      <w:r w:rsidRPr="006D3D88">
        <w:t>AUC</w:t>
      </w:r>
      <w:r w:rsidRPr="006D3D88">
        <w:rPr>
          <w:vertAlign w:val="subscript"/>
        </w:rPr>
        <w:t>0-24h</w:t>
      </w:r>
      <w:r w:rsidRPr="006D3D88">
        <w:t>; * toxicokinetics not conducted in CC-4047-TOX-008, values from rang</w:t>
      </w:r>
      <w:r w:rsidR="00CB197B">
        <w:t>e finding study CC-4047-TOX-007</w:t>
      </w:r>
    </w:p>
    <w:p w:rsidR="00276DB4" w:rsidRPr="00276DB4" w:rsidRDefault="00276DB4" w:rsidP="00B17B53">
      <w:r w:rsidRPr="00276DB4">
        <w:t xml:space="preserve">In a fertility and early embryonic study in rats, </w:t>
      </w:r>
      <w:r w:rsidR="00F47720">
        <w:t xml:space="preserve">a </w:t>
      </w:r>
      <w:r w:rsidRPr="00276DB4">
        <w:t xml:space="preserve">decreased mean number of viable embryos </w:t>
      </w:r>
      <w:proofErr w:type="gramStart"/>
      <w:r w:rsidR="0090562F">
        <w:t>was</w:t>
      </w:r>
      <w:proofErr w:type="gramEnd"/>
      <w:r w:rsidR="0090562F" w:rsidRPr="00276DB4">
        <w:t xml:space="preserve"> </w:t>
      </w:r>
      <w:r w:rsidRPr="00276DB4">
        <w:t>seen at all doses when treated males were paired with treated females. This finding correlated with increases in the mean number of resorption sites and postimplantation loss. The findings were attributed to female exposure as no effects on embryo viability were seen when treated males were paired with untreated females. Based on these findings, the NOAEL for embryolethality was &lt;25 mg/kg/day (exposure ratio based on AUC [ERAUC] 95) in females and 1000 mg/kg/day in males (ERAUC 128). Pomalidomide is distributed in the semen of human subjects (levels were 67% of the plasma level). Pomalidomide levels were not assessed in the semen of animals, but the tissue distribution study suggested only low levels of drug</w:t>
      </w:r>
      <w:r w:rsidR="0085280A">
        <w:t xml:space="preserve"> </w:t>
      </w:r>
      <w:r w:rsidRPr="00276DB4">
        <w:t>related material in the seminal vesicles of rats. Rats may not be the best species to assess the effects of paternal exposure on embryo viability. The structurally similar thalidomide has been suggested to adsorb to sperm and there have been reports of thalidomide developmental effects mediated through sperm delivery of the chemical.</w:t>
      </w:r>
      <w:r>
        <w:rPr>
          <w:rStyle w:val="FootnoteReference"/>
        </w:rPr>
        <w:footnoteReference w:id="8"/>
      </w:r>
      <w:r w:rsidRPr="00276DB4">
        <w:t xml:space="preserve"> Therefore, it is recommended that males taking pomalidomide use appropriate measures to avoid seminal transfer.</w:t>
      </w:r>
    </w:p>
    <w:p w:rsidR="00276DB4" w:rsidRPr="00276DB4" w:rsidRDefault="00276DB4" w:rsidP="00CB197B">
      <w:r w:rsidRPr="00276DB4">
        <w:t xml:space="preserve">Pomalidomide was teratogenic in rats and rabbits when administered during the period of organogenesis. Increases in visceral and skeletal malformations where observed in rats at all tested doses (ERAUC 82 at the </w:t>
      </w:r>
      <w:r w:rsidR="00B05295" w:rsidRPr="00B05295">
        <w:t>Lowest</w:t>
      </w:r>
      <w:r w:rsidR="00B05295">
        <w:t xml:space="preserve"> </w:t>
      </w:r>
      <w:r w:rsidR="00B05295" w:rsidRPr="00B05295">
        <w:t>Observed</w:t>
      </w:r>
      <w:r w:rsidR="00B05295">
        <w:t xml:space="preserve"> </w:t>
      </w:r>
      <w:r w:rsidR="00B05295" w:rsidRPr="00B05295">
        <w:t>Effect</w:t>
      </w:r>
      <w:r w:rsidR="00B05295">
        <w:t xml:space="preserve"> </w:t>
      </w:r>
      <w:r w:rsidR="00B05295" w:rsidRPr="00B05295">
        <w:t>Level</w:t>
      </w:r>
      <w:r w:rsidR="00B05295" w:rsidRPr="00276DB4">
        <w:t xml:space="preserve"> </w:t>
      </w:r>
      <w:r w:rsidR="00B05295">
        <w:t>[</w:t>
      </w:r>
      <w:r w:rsidRPr="00276DB4">
        <w:t>LOEL</w:t>
      </w:r>
      <w:r w:rsidR="00B05295">
        <w:t>]</w:t>
      </w:r>
      <w:r w:rsidRPr="00276DB4">
        <w:t xml:space="preserve">). </w:t>
      </w:r>
      <w:r w:rsidRPr="00B17B53">
        <w:t>V</w:t>
      </w:r>
      <w:r w:rsidRPr="00276DB4">
        <w:t>isceral malformations included absent urinary bladder, absent thyroid gland. Skeletal malformations consisted of fusion and misalignment of lumbar and thoracic vertebral elements (centra or neural arches). Embryo</w:t>
      </w:r>
      <w:r w:rsidR="00F2362E">
        <w:t>fetal</w:t>
      </w:r>
      <w:r w:rsidRPr="00276DB4">
        <w:t xml:space="preserve"> loss was also observed in rats at all tested doses. These effects occurred in the absence of maternotoxicity, confirming a direct drug</w:t>
      </w:r>
      <w:r w:rsidR="00DA2916">
        <w:t xml:space="preserve"> </w:t>
      </w:r>
      <w:r w:rsidRPr="00276DB4">
        <w:t>related effect.</w:t>
      </w:r>
    </w:p>
    <w:p w:rsidR="00276DB4" w:rsidRPr="00276DB4" w:rsidRDefault="00276DB4" w:rsidP="00B17B53">
      <w:r w:rsidRPr="00276DB4">
        <w:t>In rabbits, pomalidomide induced similar effects to the positive control, thalidomide. Increased fetal malformations (gross, external, visceral and skeletal) were observed at all doses (from 10 mg/kg/day; ERAUC 1). Increased cardiac anomalies principally the malformation of intraventricular septal defect was observed. Other visceral malformations included moderate dilation of the lateral ventricle in the brain, abnormal placement of the right subclavian artery, absent intermediate lobe in the lungs, low</w:t>
      </w:r>
      <w:r w:rsidR="00DA2916">
        <w:t xml:space="preserve"> </w:t>
      </w:r>
      <w:r w:rsidRPr="00276DB4">
        <w:t>set kidney</w:t>
      </w:r>
      <w:r w:rsidR="00F2362E">
        <w:t xml:space="preserve"> and </w:t>
      </w:r>
      <w:r w:rsidRPr="00276DB4">
        <w:t>altered liver morphology. Skeletal malformations or variations in</w:t>
      </w:r>
      <w:r w:rsidR="00DA2916">
        <w:t xml:space="preserve">cluded flexed and rotated fore </w:t>
      </w:r>
      <w:r w:rsidRPr="00276DB4">
        <w:t>and/or hind limbs, unattached or absent digit, incomplete or unossified metacarpal, phalanx, pelvis, tarsals and tibia; misaligned phalanx and metacarpal, short or bent tibia and an increased average for supernumerary thoracic ribs. Embryofetal lethality was also observed at ≥100 mg/kg/day (ERAUC 7), which may be associated with extreme teratogenicity. Teratogenicity occurred in the absence of maternotoxicity. Given the observed teratogenicity and the relationship of pomalidomide to thalidomide, use in pregnancy should be avoided and sufficient measures should be taken to avoid pregnancy.</w:t>
      </w:r>
    </w:p>
    <w:p w:rsidR="00276DB4" w:rsidRDefault="00276DB4" w:rsidP="00B17B53">
      <w:pPr>
        <w:pStyle w:val="Heading6"/>
      </w:pPr>
      <w:r>
        <w:lastRenderedPageBreak/>
        <w:t xml:space="preserve">Pregnancy </w:t>
      </w:r>
      <w:r w:rsidRPr="00B17B53">
        <w:t>classification</w:t>
      </w:r>
    </w:p>
    <w:p w:rsidR="00DA2916" w:rsidRDefault="00276DB4" w:rsidP="00CB197B">
      <w:r w:rsidRPr="00276DB4">
        <w:t xml:space="preserve">The sponsor has </w:t>
      </w:r>
      <w:r w:rsidR="00DA2916">
        <w:t>proposed Pregnancy Category X. Pregnancy category X is for:</w:t>
      </w:r>
    </w:p>
    <w:p w:rsidR="00DA2916" w:rsidRPr="00DA2916" w:rsidRDefault="00276DB4" w:rsidP="00DA2916">
      <w:pPr>
        <w:ind w:left="720"/>
        <w:rPr>
          <w:i/>
        </w:rPr>
      </w:pPr>
      <w:proofErr w:type="gramStart"/>
      <w:r w:rsidRPr="00DA2916">
        <w:rPr>
          <w:i/>
        </w:rPr>
        <w:t>drugs</w:t>
      </w:r>
      <w:proofErr w:type="gramEnd"/>
      <w:r w:rsidRPr="00DA2916">
        <w:rPr>
          <w:i/>
        </w:rPr>
        <w:t xml:space="preserve"> which have such a high risk of causing permanent damage to the foetus that they should not be used in pregnancy or when there</w:t>
      </w:r>
      <w:r w:rsidR="00DA2916" w:rsidRPr="00DA2916">
        <w:rPr>
          <w:i/>
        </w:rPr>
        <w:t xml:space="preserve"> is a possibility of pregnancy.</w:t>
      </w:r>
    </w:p>
    <w:p w:rsidR="00276DB4" w:rsidRPr="00276DB4" w:rsidRDefault="00276DB4" w:rsidP="00B17B53">
      <w:r w:rsidRPr="00276DB4">
        <w:t xml:space="preserve">This is considered appropriate due to the teratogenic effect of pomalidomide at clinically anticipated exposures and the relationship of the drug to the known human teratogen, thalidomide. The boxed warning for teratogenic </w:t>
      </w:r>
      <w:r w:rsidR="00DA2916">
        <w:t xml:space="preserve">effects included in the PI </w:t>
      </w:r>
      <w:r w:rsidRPr="00276DB4">
        <w:t>document is consistent with that for thalidomide and lenalidomide and is considered appropriate.</w:t>
      </w:r>
    </w:p>
    <w:p w:rsidR="00276DB4" w:rsidRDefault="00276DB4" w:rsidP="00CB197B">
      <w:pPr>
        <w:pStyle w:val="Heading5"/>
      </w:pPr>
      <w:r>
        <w:t>Immunotoxicity</w:t>
      </w:r>
    </w:p>
    <w:p w:rsidR="00276DB4" w:rsidRPr="00276DB4" w:rsidRDefault="00276DB4" w:rsidP="00B17B53">
      <w:r w:rsidRPr="00276DB4">
        <w:t xml:space="preserve">Pomalidomide was assessed for its immunotoxic potential after treatment of monkeys for 28 days with a 30 day recovery period. Pomalidomide did not induce changes to granulocyte, monocyte or </w:t>
      </w:r>
      <w:r w:rsidR="0037082C">
        <w:t>NK</w:t>
      </w:r>
      <w:r w:rsidRPr="00276DB4">
        <w:t xml:space="preserve"> cell function (measured as granulocyte and monocyte phagocytosis and</w:t>
      </w:r>
      <w:r w:rsidR="0037082C">
        <w:t xml:space="preserve"> oxidative burst activity or NK </w:t>
      </w:r>
      <w:r w:rsidRPr="00276DB4">
        <w:t>cell lysis). Treatment related findings included lymphoid depletion of the spleen, thymus and mandibular and mesenteric lymph nodes. Decreases in circulating peripheral lymphocytes correlated with bone marrow lymphocyte hypocellularity and reduced thymus weight. These changes were reversed at the end of the recovery period with the exception of the reduction in thymus weights. Pomalidomide induced alterations to the primary and secondary humoral immune response demonstrated by reductions in anti</w:t>
      </w:r>
      <w:r w:rsidR="00F670C5">
        <w:t xml:space="preserve"> </w:t>
      </w:r>
      <w:r w:rsidR="001626B1" w:rsidRPr="001626B1">
        <w:t xml:space="preserve">Keyhole Limpet Hemocyanin </w:t>
      </w:r>
      <w:r w:rsidR="001626B1">
        <w:t>(</w:t>
      </w:r>
      <w:r w:rsidRPr="00276DB4">
        <w:t>KLH</w:t>
      </w:r>
      <w:r w:rsidR="001626B1">
        <w:t>)</w:t>
      </w:r>
      <w:r w:rsidRPr="00276DB4">
        <w:t xml:space="preserve"> IgM and anti</w:t>
      </w:r>
      <w:r w:rsidR="00F670C5">
        <w:t xml:space="preserve"> </w:t>
      </w:r>
      <w:r w:rsidRPr="00276DB4">
        <w:t>KLH IgG antibody production following either primary or secondary KLH immuni</w:t>
      </w:r>
      <w:r w:rsidR="001626B1">
        <w:t>s</w:t>
      </w:r>
      <w:r w:rsidRPr="00276DB4">
        <w:t>ation. Immunophenotyping showed that pomalidomide treatment was associated with reductions in CD20+ B</w:t>
      </w:r>
      <w:r w:rsidR="00F84D51">
        <w:t xml:space="preserve"> </w:t>
      </w:r>
      <w:r w:rsidRPr="00276DB4">
        <w:t>lymphocytes, CD3+ T</w:t>
      </w:r>
      <w:r w:rsidR="00F84D51">
        <w:t xml:space="preserve"> </w:t>
      </w:r>
      <w:r w:rsidRPr="00276DB4">
        <w:t>lymphocytes, CD3+/CD4+ T</w:t>
      </w:r>
      <w:r w:rsidR="00F84D51">
        <w:t xml:space="preserve"> helper lymphocytes, </w:t>
      </w:r>
      <w:r w:rsidRPr="00276DB4">
        <w:t>CD3+/CD8+ T</w:t>
      </w:r>
      <w:r w:rsidR="00F84D51">
        <w:t xml:space="preserve"> </w:t>
      </w:r>
      <w:r w:rsidRPr="00276DB4">
        <w:t>cytotoxic lymphocytes, CD3-/CD16+ NK cells and CD3-/CD14+ monocytes after 27 days of treatment. Reversal was observed in all populations by the end of the recovery phase, with the exception of CD20+ B</w:t>
      </w:r>
      <w:r w:rsidR="00F84D51">
        <w:t xml:space="preserve"> </w:t>
      </w:r>
      <w:r w:rsidRPr="00276DB4">
        <w:t>lymphocytes in 1 of 3 pomalidomide</w:t>
      </w:r>
      <w:r w:rsidR="00F84D51">
        <w:t xml:space="preserve"> </w:t>
      </w:r>
      <w:r w:rsidRPr="00276DB4">
        <w:t>dosed animals, where only partial reversal was observed. Overall, some impairment of the immune system may be seen in patients, but the effect is not expected to be significantly different to lenalidomide.</w:t>
      </w:r>
    </w:p>
    <w:p w:rsidR="00276DB4" w:rsidRPr="00407D57" w:rsidRDefault="00276DB4" w:rsidP="00CB197B">
      <w:pPr>
        <w:pStyle w:val="Heading5"/>
      </w:pPr>
      <w:r w:rsidRPr="00D14021">
        <w:t>Paediatric use</w:t>
      </w:r>
    </w:p>
    <w:p w:rsidR="00F84D51" w:rsidRDefault="00276DB4" w:rsidP="00CB197B">
      <w:r w:rsidRPr="00276DB4">
        <w:t>Pomalidomide is not proposed for paediatric use, the proposed PI document</w:t>
      </w:r>
      <w:r w:rsidR="00F84D51">
        <w:t xml:space="preserve"> states under precautions that</w:t>
      </w:r>
    </w:p>
    <w:p w:rsidR="00F84D51" w:rsidRPr="00F84D51" w:rsidRDefault="00276DB4" w:rsidP="00F84D51">
      <w:pPr>
        <w:ind w:left="720"/>
        <w:rPr>
          <w:i/>
        </w:rPr>
      </w:pPr>
      <w:proofErr w:type="gramStart"/>
      <w:r w:rsidRPr="00F84D51">
        <w:rPr>
          <w:i/>
        </w:rPr>
        <w:t>there</w:t>
      </w:r>
      <w:proofErr w:type="gramEnd"/>
      <w:r w:rsidRPr="00F84D51">
        <w:rPr>
          <w:i/>
        </w:rPr>
        <w:t xml:space="preserve"> is no experience in treating children and adolescents with pomalidomide. Therefore, pomalidomide should not be used in the paed</w:t>
      </w:r>
      <w:r w:rsidR="00F84D51" w:rsidRPr="00F84D51">
        <w:rPr>
          <w:i/>
        </w:rPr>
        <w:t>iatric age group (0-18 years)</w:t>
      </w:r>
    </w:p>
    <w:p w:rsidR="00276DB4" w:rsidRPr="00276DB4" w:rsidRDefault="00F2362E" w:rsidP="00CB197B">
      <w:r>
        <w:t>N</w:t>
      </w:r>
      <w:r w:rsidR="00276DB4" w:rsidRPr="00276DB4">
        <w:t>o specific studies in juvenile animals were submitted.</w:t>
      </w:r>
    </w:p>
    <w:p w:rsidR="008E7846" w:rsidRPr="00B17B53" w:rsidRDefault="008E7846" w:rsidP="00B17B53">
      <w:pPr>
        <w:pStyle w:val="Heading3"/>
      </w:pPr>
      <w:bookmarkStart w:id="58" w:name="_Toc247691515"/>
      <w:bookmarkStart w:id="59" w:name="_Toc314842499"/>
      <w:bookmarkStart w:id="60" w:name="_Toc404176181"/>
      <w:r>
        <w:t xml:space="preserve">Nonclinical </w:t>
      </w:r>
      <w:r w:rsidR="00CB197B">
        <w:rPr>
          <w:lang w:val="en-AU"/>
        </w:rPr>
        <w:t>s</w:t>
      </w:r>
      <w:r>
        <w:t>ummary</w:t>
      </w:r>
      <w:bookmarkEnd w:id="58"/>
      <w:bookmarkEnd w:id="59"/>
      <w:bookmarkEnd w:id="60"/>
    </w:p>
    <w:p w:rsidR="00E84AB1" w:rsidRPr="00E84AB1" w:rsidRDefault="00E84AB1" w:rsidP="00B17B53">
      <w:pPr>
        <w:pStyle w:val="ListBullet"/>
      </w:pPr>
      <w:r w:rsidRPr="00E84AB1">
        <w:t>The submitted nonclinical data were in general accordance with the ICH guideline on the nonclinical evaluation of ant</w:t>
      </w:r>
      <w:r w:rsidR="008B4181">
        <w:t>icancer pharmaceuticals</w:t>
      </w:r>
      <w:r w:rsidRPr="00E84AB1">
        <w:t>.</w:t>
      </w:r>
      <w:r w:rsidR="008B4181">
        <w:rPr>
          <w:rStyle w:val="FootnoteReference"/>
        </w:rPr>
        <w:footnoteReference w:id="9"/>
      </w:r>
      <w:r w:rsidRPr="00E84AB1">
        <w:t xml:space="preserve"> No studies assessed potential pharmacokinetic or </w:t>
      </w:r>
      <w:r w:rsidRPr="00B17B53">
        <w:t>toxicological</w:t>
      </w:r>
      <w:r w:rsidRPr="00E84AB1">
        <w:t xml:space="preserve"> interactions with pomalidomide and dexamethasone. This is fairly standard for an anticancer pharmaceutical.</w:t>
      </w:r>
    </w:p>
    <w:p w:rsidR="00E84AB1" w:rsidRPr="00E84AB1" w:rsidRDefault="00E84AB1" w:rsidP="00B17B53">
      <w:pPr>
        <w:pStyle w:val="ListBullet"/>
      </w:pPr>
      <w:r w:rsidRPr="00E84AB1">
        <w:t>The pharmacological profile of pomalidomide was similar to the structural analogue, lenalidomide. Pomalidomide inhibited the proliferation of lenalidomide</w:t>
      </w:r>
      <w:r w:rsidR="00C7069B">
        <w:t xml:space="preserve"> </w:t>
      </w:r>
      <w:r w:rsidRPr="00E84AB1">
        <w:t xml:space="preserve">resistant MM cell lines </w:t>
      </w:r>
      <w:r w:rsidRPr="00E84AB1">
        <w:rPr>
          <w:i/>
        </w:rPr>
        <w:t>in vitro</w:t>
      </w:r>
      <w:r w:rsidRPr="00E84AB1">
        <w:t xml:space="preserve"> and </w:t>
      </w:r>
      <w:r w:rsidRPr="00B17B53">
        <w:t>inhibited</w:t>
      </w:r>
      <w:r w:rsidRPr="00E84AB1">
        <w:t xml:space="preserve"> tumour growth in mice bearing lenalidomide</w:t>
      </w:r>
      <w:r w:rsidR="00C7069B">
        <w:t xml:space="preserve"> </w:t>
      </w:r>
      <w:r w:rsidRPr="00E84AB1">
        <w:t xml:space="preserve">resistant MM xenografts. The combination of pomalidomide and dexamethasone was </w:t>
      </w:r>
      <w:r w:rsidRPr="00E84AB1">
        <w:lastRenderedPageBreak/>
        <w:t>synergistic in both systems. The efficacious doses of pomalidomide and dexamethasone in mice were similar to those proposed to be used clinically.</w:t>
      </w:r>
    </w:p>
    <w:p w:rsidR="00E84AB1" w:rsidRPr="00E84AB1" w:rsidRDefault="00E84AB1" w:rsidP="00CB197B">
      <w:pPr>
        <w:pStyle w:val="ListBullet"/>
      </w:pPr>
      <w:r w:rsidRPr="00E84AB1">
        <w:t>The mechanism of lenalidomide and pomalidomide resistance is similar but with different thresholds.</w:t>
      </w:r>
    </w:p>
    <w:p w:rsidR="00E84AB1" w:rsidRPr="00E84AB1" w:rsidRDefault="00E84AB1" w:rsidP="00CB197B">
      <w:pPr>
        <w:pStyle w:val="ListBullet"/>
      </w:pPr>
      <w:r w:rsidRPr="00E84AB1">
        <w:t>Based on findings in standard safety pharmacology studies, no adverse effects on CNS, respiratory or cardiovascular function are predicted.</w:t>
      </w:r>
    </w:p>
    <w:p w:rsidR="00E84AB1" w:rsidRPr="00E84AB1" w:rsidRDefault="00E84AB1" w:rsidP="00CB197B">
      <w:pPr>
        <w:pStyle w:val="ListBullet"/>
      </w:pPr>
      <w:r w:rsidRPr="00E84AB1">
        <w:t>Oral absorption of pomalidomide was reasonably rapid. Absorption appeared to saturate at high doses in rats and monkeys. Enantiomeric conversion was shown to occur in monkeys. The interconversion rate was similar in monkey and human plasma. Tissue distribution studies in rats were unremarkable. Pomalidomide underwent both non-enzymatic and enzymatic degradation. CYP1A2, 2C19, 2D6 and 3A4 were involved in the enzymatic degradation of pomalidomide. There were no human specific metabolites. Biliary excretion was demonstrated in rats.</w:t>
      </w:r>
    </w:p>
    <w:p w:rsidR="00E84AB1" w:rsidRPr="00E84AB1" w:rsidRDefault="00E84AB1" w:rsidP="00B17B53">
      <w:pPr>
        <w:pStyle w:val="ListBullet"/>
      </w:pPr>
      <w:r w:rsidRPr="00E84AB1">
        <w:t>Pomalidomide is not expected to alter the exposures of CYP450 or P</w:t>
      </w:r>
      <w:r w:rsidRPr="00E84AB1">
        <w:noBreakHyphen/>
        <w:t>glycoprotein substrates. Pomalidomide was a substrate of P</w:t>
      </w:r>
      <w:r w:rsidRPr="00E84AB1">
        <w:noBreakHyphen/>
        <w:t>glycoprotein, but based on the high oral bioavailability of this drug, P</w:t>
      </w:r>
      <w:r w:rsidRPr="00E84AB1">
        <w:noBreakHyphen/>
      </w:r>
      <w:r w:rsidRPr="00B17B53">
        <w:t>glycoprotein</w:t>
      </w:r>
      <w:r w:rsidRPr="00E84AB1">
        <w:t xml:space="preserve"> inhibitors are not expected to alter the pharmacokinetic of pomalidomide.</w:t>
      </w:r>
    </w:p>
    <w:p w:rsidR="00E84AB1" w:rsidRPr="00E84AB1" w:rsidRDefault="00E84AB1" w:rsidP="00A11232">
      <w:pPr>
        <w:pStyle w:val="ListBullet"/>
      </w:pPr>
      <w:r w:rsidRPr="00E84AB1">
        <w:t>Oral pomalidomide had a low order of single dose toxicity in rodents.</w:t>
      </w:r>
    </w:p>
    <w:p w:rsidR="00E84AB1" w:rsidRPr="00E84AB1" w:rsidRDefault="00E84AB1" w:rsidP="00A11232">
      <w:pPr>
        <w:pStyle w:val="ListBullet"/>
      </w:pPr>
      <w:r w:rsidRPr="00E84AB1">
        <w:t>Oral treatment with pomalidomide over 6 months was well tolerated in rats. Monkeys were more sensitive to pomalidomide induced toxicity (likely associated with pharmacological responsiveness). Major target organs in monkeys were the lymphoid and haematopoietic system (lympho</w:t>
      </w:r>
      <w:r w:rsidR="00637AA4">
        <w:t>penia</w:t>
      </w:r>
      <w:r w:rsidRPr="00E84AB1">
        <w:t>, thrombocyto</w:t>
      </w:r>
      <w:r w:rsidR="00637AA4">
        <w:t>penia</w:t>
      </w:r>
      <w:r w:rsidRPr="00E84AB1">
        <w:t xml:space="preserve">, bone marrow hypocellularity and lymphoid depletion) and the </w:t>
      </w:r>
      <w:r w:rsidR="00264DB8">
        <w:t>GI</w:t>
      </w:r>
      <w:r w:rsidRPr="00E84AB1">
        <w:t xml:space="preserve"> tract (chronic inflammation of the large intestine and villous atrophy of the small intestine). </w:t>
      </w:r>
      <w:r w:rsidRPr="007234F4">
        <w:rPr>
          <w:i/>
        </w:rPr>
        <w:t>Staphylococcus aureus</w:t>
      </w:r>
      <w:r w:rsidRPr="00E84AB1">
        <w:t xml:space="preserve"> infection and acute myeloid leukaemia seen in individual animals and was attributed to the immunosuppressant action of pomalidomide. The toxicity profile of pomalidomide was similar to lenalidomide.</w:t>
      </w:r>
    </w:p>
    <w:p w:rsidR="00E84AB1" w:rsidRPr="00E84AB1" w:rsidRDefault="00E84AB1" w:rsidP="00A11232">
      <w:pPr>
        <w:pStyle w:val="ListBullet"/>
      </w:pPr>
      <w:r w:rsidRPr="00E84AB1">
        <w:t>Pomalidomide was examined for potential genotoxicity in the standard battery of tests with negative results in all assays. Carcinogenicity studies were not conducted and are not required for this anticancer medication. However, given the immunosuppressive activity of pomalidomide and the finding of AML in a pomalidomide</w:t>
      </w:r>
      <w:r w:rsidR="00264DB8">
        <w:t xml:space="preserve"> </w:t>
      </w:r>
      <w:r w:rsidRPr="00E84AB1">
        <w:t>treated monkey, secondary malignancies may be seen in patients.</w:t>
      </w:r>
    </w:p>
    <w:p w:rsidR="00E84AB1" w:rsidRPr="00E84AB1" w:rsidRDefault="00E84AB1" w:rsidP="00A11232">
      <w:pPr>
        <w:pStyle w:val="ListBullet"/>
      </w:pPr>
      <w:r w:rsidRPr="00E84AB1">
        <w:t xml:space="preserve">Pomalidomide crossed the placenta and was detected in </w:t>
      </w:r>
      <w:r w:rsidR="00F2362E">
        <w:t>fetal</w:t>
      </w:r>
      <w:r w:rsidRPr="00E84AB1">
        <w:t xml:space="preserve"> blood following administration to pregnant rabbits. Maternal exposure to pomalidomide induced embryo/</w:t>
      </w:r>
      <w:r w:rsidR="00F2362E">
        <w:t>fetal</w:t>
      </w:r>
      <w:r w:rsidRPr="00E84AB1">
        <w:t xml:space="preserve"> lethality and teratogenicity in rats and rabbits. A NOAEL was not established. Pomalidomide was detected in the milk of lactating rats following administration to the mother. Breast</w:t>
      </w:r>
      <w:r w:rsidR="00C7069B">
        <w:t xml:space="preserve"> </w:t>
      </w:r>
      <w:r w:rsidRPr="00E84AB1">
        <w:t>feeding should be avoided when taking pomalidomide. Adverse embryonic effects following seminal transfer of pomalidomide cannot be ruled out. The animal studies are inadequate to address this.</w:t>
      </w:r>
    </w:p>
    <w:p w:rsidR="00E84AB1" w:rsidRPr="00E84AB1" w:rsidRDefault="00E84AB1" w:rsidP="00A11232">
      <w:pPr>
        <w:pStyle w:val="ListBullet"/>
      </w:pPr>
      <w:r w:rsidRPr="00E84AB1">
        <w:t>Pomalidomide is an immunomodulator with some immunosuppressant activity. The activity is expected to be similar to that for lenalidomide (based on pharmacological studies).</w:t>
      </w:r>
    </w:p>
    <w:p w:rsidR="00E84AB1" w:rsidRDefault="005B15F5" w:rsidP="00B17B53">
      <w:pPr>
        <w:pStyle w:val="Heading3"/>
      </w:pPr>
      <w:bookmarkStart w:id="61" w:name="_Toc404176182"/>
      <w:r>
        <w:t>Nonclinical c</w:t>
      </w:r>
      <w:r w:rsidR="00E84AB1">
        <w:t xml:space="preserve">onclusions and </w:t>
      </w:r>
      <w:r w:rsidR="00E84AB1" w:rsidRPr="00B17B53">
        <w:t>recommendation</w:t>
      </w:r>
      <w:bookmarkEnd w:id="61"/>
    </w:p>
    <w:p w:rsidR="00C7069B" w:rsidRPr="00C7069B" w:rsidRDefault="00C7069B" w:rsidP="00B17B53">
      <w:pPr>
        <w:pStyle w:val="ListBullet"/>
      </w:pPr>
      <w:r w:rsidRPr="00C7069B">
        <w:t xml:space="preserve">Pomalidomide had a similar </w:t>
      </w:r>
      <w:r w:rsidRPr="00B17B53">
        <w:t>pharmacological</w:t>
      </w:r>
      <w:r w:rsidRPr="00C7069B">
        <w:t>/toxicological profile to lenalidomide.</w:t>
      </w:r>
    </w:p>
    <w:p w:rsidR="00C7069B" w:rsidRPr="00C7069B" w:rsidRDefault="00C7069B" w:rsidP="00A11232">
      <w:pPr>
        <w:pStyle w:val="ListBullet"/>
      </w:pPr>
      <w:r w:rsidRPr="00C7069B">
        <w:t>The primary pharmacology studies support the combined use of pomalidomide with dexamethasone for the treatment of patients with lenalidomide</w:t>
      </w:r>
      <w:r w:rsidR="00F06F52">
        <w:t xml:space="preserve"> </w:t>
      </w:r>
      <w:r w:rsidRPr="00C7069B">
        <w:t xml:space="preserve">resistant MM. No </w:t>
      </w:r>
      <w:r w:rsidRPr="00C7069B">
        <w:lastRenderedPageBreak/>
        <w:t>animal studies assessed the efficacy of this combination against lenalidomide and bortezomib</w:t>
      </w:r>
      <w:r w:rsidR="00F06F52">
        <w:t xml:space="preserve"> </w:t>
      </w:r>
      <w:r w:rsidRPr="00C7069B">
        <w:t>resistant MM.</w:t>
      </w:r>
    </w:p>
    <w:p w:rsidR="00C7069B" w:rsidRPr="00C7069B" w:rsidRDefault="00C7069B" w:rsidP="00A11232">
      <w:pPr>
        <w:pStyle w:val="ListBullet"/>
      </w:pPr>
      <w:r w:rsidRPr="00C7069B">
        <w:t>The main toxicity findings of clinical relevance were:</w:t>
      </w:r>
    </w:p>
    <w:p w:rsidR="00C7069B" w:rsidRPr="00C7069B" w:rsidRDefault="00C7069B" w:rsidP="00A11232">
      <w:pPr>
        <w:pStyle w:val="ListBullet2"/>
      </w:pPr>
      <w:r w:rsidRPr="00C7069B">
        <w:t>immunosuppression and secondary effects (infections, secondary malignancies)</w:t>
      </w:r>
    </w:p>
    <w:p w:rsidR="00C7069B" w:rsidRPr="00C7069B" w:rsidRDefault="00C7069B" w:rsidP="00A11232">
      <w:pPr>
        <w:pStyle w:val="ListBullet2"/>
      </w:pPr>
      <w:r w:rsidRPr="00C7069B">
        <w:t>teratogenicity and embryo/</w:t>
      </w:r>
      <w:r w:rsidR="00F2362E">
        <w:t>fetal</w:t>
      </w:r>
      <w:r w:rsidRPr="00C7069B">
        <w:t xml:space="preserve"> lethality, thus warranting a Pregnancy Category X</w:t>
      </w:r>
    </w:p>
    <w:p w:rsidR="00C7069B" w:rsidRDefault="00C7069B" w:rsidP="00A11232">
      <w:pPr>
        <w:pStyle w:val="ListBullet"/>
      </w:pPr>
      <w:r w:rsidRPr="00C7069B">
        <w:t>There are no nonclinical objections to the registration of pomalid</w:t>
      </w:r>
      <w:r w:rsidR="00A11232">
        <w:t>omide for the indication sought</w:t>
      </w:r>
    </w:p>
    <w:p w:rsidR="005B15F5" w:rsidRPr="00C7069B" w:rsidRDefault="005B15F5" w:rsidP="00A11232">
      <w:pPr>
        <w:pStyle w:val="ListBullet"/>
      </w:pPr>
      <w:r>
        <w:t>The nonclinical evaluator recommended amendments to the draft PI but the details of these are beyond the scope of this AusPAR.</w:t>
      </w:r>
    </w:p>
    <w:p w:rsidR="008E7846" w:rsidRPr="00254787" w:rsidRDefault="008E7846" w:rsidP="00A11232">
      <w:pPr>
        <w:pStyle w:val="Heading2"/>
      </w:pPr>
      <w:bookmarkStart w:id="62" w:name="_Toc196046462"/>
      <w:bookmarkStart w:id="63" w:name="_Toc247691516"/>
      <w:bookmarkStart w:id="64" w:name="_Toc314842500"/>
      <w:bookmarkStart w:id="65" w:name="_Toc163441353"/>
      <w:bookmarkStart w:id="66" w:name="_Toc163441348"/>
      <w:bookmarkStart w:id="67" w:name="_Toc404176183"/>
      <w:r>
        <w:t xml:space="preserve">IV. </w:t>
      </w:r>
      <w:r w:rsidRPr="00254787">
        <w:t>Clinical</w:t>
      </w:r>
      <w:bookmarkEnd w:id="62"/>
      <w:r>
        <w:t xml:space="preserve"> </w:t>
      </w:r>
      <w:r w:rsidR="003A7F6C">
        <w:t>f</w:t>
      </w:r>
      <w:r>
        <w:t>indings</w:t>
      </w:r>
      <w:bookmarkEnd w:id="63"/>
      <w:bookmarkEnd w:id="64"/>
      <w:bookmarkEnd w:id="67"/>
    </w:p>
    <w:p w:rsidR="00C80137" w:rsidRDefault="00C80137" w:rsidP="00A11232">
      <w:bookmarkStart w:id="68"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B17B53">
      <w:pPr>
        <w:pStyle w:val="Heading3"/>
      </w:pPr>
      <w:bookmarkStart w:id="69" w:name="_Toc247691517"/>
      <w:bookmarkStart w:id="70" w:name="_Toc314842501"/>
      <w:bookmarkStart w:id="71" w:name="_Toc404176184"/>
      <w:r w:rsidRPr="00B17B53">
        <w:t>Introduction</w:t>
      </w:r>
      <w:bookmarkEnd w:id="68"/>
      <w:bookmarkEnd w:id="69"/>
      <w:bookmarkEnd w:id="70"/>
      <w:bookmarkEnd w:id="71"/>
    </w:p>
    <w:p w:rsidR="00900BB3" w:rsidRPr="00F2362E" w:rsidRDefault="00900BB3" w:rsidP="00A11232">
      <w:r w:rsidRPr="00F2362E">
        <w:t xml:space="preserve">Pomalyst in combination with dexamethasone is indicated for the treatment of patients with </w:t>
      </w:r>
      <w:r w:rsidR="00B639BE" w:rsidRPr="00F2362E">
        <w:t>MM</w:t>
      </w:r>
      <w:r w:rsidRPr="00F2362E">
        <w:t xml:space="preserve"> who have failed at least two prior therapies including lenalidomide and a proteasome inhibitor.</w:t>
      </w:r>
    </w:p>
    <w:p w:rsidR="00900BB3" w:rsidRPr="00900BB3" w:rsidRDefault="00900BB3" w:rsidP="00B17B53">
      <w:pPr>
        <w:ind w:left="426"/>
        <w:rPr>
          <w:i/>
        </w:rPr>
      </w:pPr>
      <w:r w:rsidRPr="00F2362E">
        <w:rPr>
          <w:i/>
        </w:rPr>
        <w:t>Comment: The inclusion of “a proteasome inhibitor” as one of the required prior therapies is more general than the approved indication by the FDA and the EU where the proteasome inhibitor is specified as bortezomib. While bortezomib was the first FDA approved proteasome inhibitor (2003), carfilzomib has since been approved for relapsed or refractory MM (July 2012).</w:t>
      </w:r>
      <w:r w:rsidRPr="00900BB3">
        <w:rPr>
          <w:i/>
        </w:rPr>
        <w:t xml:space="preserve"> </w:t>
      </w:r>
    </w:p>
    <w:p w:rsidR="00605AD4" w:rsidRPr="00605AD4" w:rsidRDefault="00605AD4" w:rsidP="00B17B53">
      <w:pPr>
        <w:pStyle w:val="Heading4"/>
      </w:pPr>
      <w:bookmarkStart w:id="72" w:name="_Toc196046464"/>
      <w:bookmarkStart w:id="73" w:name="_Toc247691518"/>
      <w:bookmarkStart w:id="74" w:name="_Toc314842502"/>
      <w:r w:rsidRPr="00605AD4">
        <w:t xml:space="preserve">Clinical </w:t>
      </w:r>
      <w:r w:rsidR="000E55BF" w:rsidRPr="00B17B53">
        <w:t>r</w:t>
      </w:r>
      <w:r w:rsidRPr="00B17B53">
        <w:t>ationale</w:t>
      </w:r>
    </w:p>
    <w:p w:rsidR="00397FF1" w:rsidRPr="00B17B53" w:rsidRDefault="00397FF1" w:rsidP="00B17B53">
      <w:pPr>
        <w:pStyle w:val="Heading5"/>
      </w:pPr>
      <w:bookmarkStart w:id="75" w:name="_Toc371611713"/>
      <w:bookmarkStart w:id="76" w:name="_Toc371612295"/>
      <w:bookmarkStart w:id="77" w:name="_Toc371612559"/>
      <w:bookmarkStart w:id="78" w:name="_Toc371613106"/>
      <w:r>
        <w:t xml:space="preserve">Multiple </w:t>
      </w:r>
      <w:r w:rsidR="00A11232">
        <w:rPr>
          <w:lang w:val="en-AU"/>
        </w:rPr>
        <w:t>m</w:t>
      </w:r>
      <w:r>
        <w:t>yeloma</w:t>
      </w:r>
      <w:bookmarkEnd w:id="75"/>
      <w:bookmarkEnd w:id="76"/>
      <w:bookmarkEnd w:id="77"/>
      <w:bookmarkEnd w:id="78"/>
    </w:p>
    <w:p w:rsidR="00397FF1" w:rsidRDefault="00397FF1" w:rsidP="00A11232">
      <w:pPr>
        <w:pStyle w:val="Heading6"/>
        <w:rPr>
          <w:lang w:val="en-US"/>
        </w:rPr>
      </w:pPr>
      <w:r>
        <w:rPr>
          <w:lang w:val="en-US"/>
        </w:rPr>
        <w:t xml:space="preserve">Disease </w:t>
      </w:r>
      <w:r w:rsidR="00A738F3">
        <w:rPr>
          <w:lang w:val="en-US"/>
        </w:rPr>
        <w:t>b</w:t>
      </w:r>
      <w:r>
        <w:rPr>
          <w:lang w:val="en-US"/>
        </w:rPr>
        <w:t>ackground</w:t>
      </w:r>
    </w:p>
    <w:p w:rsidR="00397FF1" w:rsidRPr="00397FF1" w:rsidRDefault="00B639BE" w:rsidP="00A11232">
      <w:r>
        <w:t>MM</w:t>
      </w:r>
      <w:r w:rsidR="00397FF1" w:rsidRPr="00397FF1">
        <w:t xml:space="preserve"> is an incurable disease that is characteri</w:t>
      </w:r>
      <w:r w:rsidR="00F2362E">
        <w:t>s</w:t>
      </w:r>
      <w:r w:rsidR="00397FF1" w:rsidRPr="00397FF1">
        <w:t>ed by the accumulation of clonal plasma cells in the bone marrow and accounts for 10% of all h</w:t>
      </w:r>
      <w:r w:rsidR="00F2362E">
        <w:t>a</w:t>
      </w:r>
      <w:r w:rsidR="00397FF1" w:rsidRPr="00397FF1">
        <w:t xml:space="preserve">ematological malignancies. The disease follows a relapsing course in the majority of patients, regardless of treatment regimen or initial response to treatment. While relapsed </w:t>
      </w:r>
      <w:r w:rsidR="00686177">
        <w:t>and/</w:t>
      </w:r>
      <w:r w:rsidR="00397FF1" w:rsidRPr="00397FF1">
        <w:t>or refractory MM (RRMM) patients may achieve responses to subsequent anti</w:t>
      </w:r>
      <w:r w:rsidR="00CE360D">
        <w:t xml:space="preserve"> </w:t>
      </w:r>
      <w:r w:rsidR="00397FF1" w:rsidRPr="00397FF1">
        <w:t>myeloma therapies, the duration of response typically decreases with successive relapses until resistant disease develops reflecting changes in disease biology, with more tumo</w:t>
      </w:r>
      <w:r w:rsidR="00CE360D">
        <w:t>u</w:t>
      </w:r>
      <w:r w:rsidR="00397FF1" w:rsidRPr="00397FF1">
        <w:t>r cells expressing a more aggressive phenotype, higher rates of proliferation, and lower rates of apoptosis.</w:t>
      </w:r>
    </w:p>
    <w:p w:rsidR="00397FF1" w:rsidRPr="00397FF1" w:rsidRDefault="00397FF1" w:rsidP="00B17B53">
      <w:r w:rsidRPr="00397FF1">
        <w:t>The clinical features of MM are varied and can arise from the effects of the tumo</w:t>
      </w:r>
      <w:r w:rsidR="004A7BCE">
        <w:t>u</w:t>
      </w:r>
      <w:r w:rsidRPr="00397FF1">
        <w:t>r itself, the toxicity of the tumo</w:t>
      </w:r>
      <w:r w:rsidR="004A7BCE">
        <w:t>u</w:t>
      </w:r>
      <w:r w:rsidRPr="00397FF1">
        <w:t xml:space="preserve">r products, or the host's own response. The most common criteria used in diagnosis of symptomatic MM are the presence of neoplastic </w:t>
      </w:r>
      <w:r w:rsidR="004A7BCE">
        <w:t xml:space="preserve">plasma cells comprising greater </w:t>
      </w:r>
      <w:r w:rsidRPr="00397FF1">
        <w:t>than 10% of bone marrow cells or presence of a plasmacytoma, paraprotein (M protein) in the serum and/or urine, and evidence of related organ or tissue impairment due to plasma cell disorder. Symptomatic MM, signalling the necessity for treatment, is typically manifested by hypercalcemia, renal insufficiency, anemia, and bone lesions (CRAB), which are clinical features of malignant disease associated with active MM. This deterioration leads to progressive morbidity and eventual mortality by lowering resistance to infection and causing significant skeletal destruction, and less commonly, neurological complications and hyperviscosity.</w:t>
      </w:r>
    </w:p>
    <w:p w:rsidR="00397FF1" w:rsidRPr="00397FF1" w:rsidRDefault="00397FF1" w:rsidP="00A11232">
      <w:r w:rsidRPr="00397FF1">
        <w:lastRenderedPageBreak/>
        <w:t>The prognosis of patients with MM depends on a variety of factors including a patient’s age and stage of MM at time of diagnosis. These factors are typically described by the International</w:t>
      </w:r>
      <w:r w:rsidR="00002505">
        <w:t xml:space="preserve"> </w:t>
      </w:r>
      <w:r w:rsidRPr="00397FF1">
        <w:t>Staging System an</w:t>
      </w:r>
      <w:r w:rsidR="006813F9">
        <w:t xml:space="preserve">d Durie Salmon staging system. </w:t>
      </w:r>
      <w:r w:rsidRPr="00397FF1">
        <w:t>Poor prognostic fac</w:t>
      </w:r>
      <w:r>
        <w:t xml:space="preserve">tors include </w:t>
      </w:r>
      <w:r w:rsidR="00F2362E">
        <w:t>S</w:t>
      </w:r>
      <w:r>
        <w:t>tage III disease (</w:t>
      </w:r>
      <w:r w:rsidR="000B3E5D">
        <w:t>β</w:t>
      </w:r>
      <w:r w:rsidRPr="00397FF1">
        <w:t xml:space="preserve">2-microglobulin level </w:t>
      </w:r>
      <w:r w:rsidR="000B3E5D">
        <w:t>≥</w:t>
      </w:r>
      <w:r w:rsidRPr="00397FF1">
        <w:t xml:space="preserve"> 5.5 mg/L), hypodiploidy, deletion of 17p, translocation of chromosomes 4 and 14 (</w:t>
      </w:r>
      <w:proofErr w:type="gramStart"/>
      <w:r w:rsidRPr="00397FF1">
        <w:t>t[</w:t>
      </w:r>
      <w:proofErr w:type="gramEnd"/>
      <w:r w:rsidRPr="00397FF1">
        <w:t>4:14]), translocation of chromosomes 14 and 16 (t[14;16]); and light chain and Immunoglobulin A (IgA) disease.</w:t>
      </w:r>
    </w:p>
    <w:p w:rsidR="00397FF1" w:rsidRDefault="00397FF1" w:rsidP="00A11232">
      <w:pPr>
        <w:pStyle w:val="Heading6"/>
      </w:pPr>
      <w:r>
        <w:t>Treatment</w:t>
      </w:r>
    </w:p>
    <w:p w:rsidR="00397FF1" w:rsidRDefault="00397FF1" w:rsidP="00A11232">
      <w:pPr>
        <w:rPr>
          <w:lang w:val="en-US"/>
        </w:rPr>
      </w:pPr>
      <w:r>
        <w:rPr>
          <w:lang w:val="en-US"/>
        </w:rPr>
        <w:t>All patients with MM eventually relapse and may benefit from certain salvage therapies. Various definitions for relapsed and refractory disease exist; however, new definitions have recently appeared in the literature, primarily by the Inte</w:t>
      </w:r>
      <w:r w:rsidR="002B0FB4">
        <w:rPr>
          <w:lang w:val="en-US"/>
        </w:rPr>
        <w:t>rnational Myeloma Working Group</w:t>
      </w:r>
      <w:r>
        <w:rPr>
          <w:lang w:val="en-US"/>
        </w:rPr>
        <w:t xml:space="preserve">. This guidance was used to develop definitions for the pivotal </w:t>
      </w:r>
      <w:r w:rsidR="002B0FB4">
        <w:rPr>
          <w:lang w:val="en-US"/>
        </w:rPr>
        <w:t>S</w:t>
      </w:r>
      <w:r>
        <w:rPr>
          <w:lang w:val="en-US"/>
        </w:rPr>
        <w:t>tudy CC 4047 MM-003.</w:t>
      </w:r>
    </w:p>
    <w:p w:rsidR="000B3E5D" w:rsidRDefault="00397FF1" w:rsidP="00A11232">
      <w:pPr>
        <w:pStyle w:val="Heading6"/>
        <w:rPr>
          <w:rFonts w:eastAsia="TimesNewRoman"/>
          <w:lang w:val="en-US"/>
        </w:rPr>
      </w:pPr>
      <w:r>
        <w:rPr>
          <w:rFonts w:eastAsia="TimesNewRoman"/>
          <w:lang w:val="en-US"/>
        </w:rPr>
        <w:t xml:space="preserve">Current </w:t>
      </w:r>
      <w:r w:rsidR="00A738F3">
        <w:rPr>
          <w:rFonts w:eastAsia="TimesNewRoman"/>
          <w:lang w:val="en-US"/>
        </w:rPr>
        <w:t>d</w:t>
      </w:r>
      <w:r w:rsidR="000B3E5D">
        <w:rPr>
          <w:rFonts w:eastAsia="TimesNewRoman"/>
          <w:lang w:val="en-US"/>
        </w:rPr>
        <w:t xml:space="preserve">efinition of </w:t>
      </w:r>
      <w:r w:rsidR="00A738F3">
        <w:rPr>
          <w:rFonts w:eastAsia="TimesNewRoman"/>
          <w:lang w:val="en-US"/>
        </w:rPr>
        <w:t>r</w:t>
      </w:r>
      <w:r w:rsidR="000B3E5D">
        <w:rPr>
          <w:rFonts w:eastAsia="TimesNewRoman"/>
          <w:lang w:val="en-US"/>
        </w:rPr>
        <w:t xml:space="preserve">elapsed </w:t>
      </w:r>
      <w:r w:rsidR="00A738F3">
        <w:rPr>
          <w:rFonts w:eastAsia="TimesNewRoman"/>
          <w:lang w:val="en-US"/>
        </w:rPr>
        <w:t>d</w:t>
      </w:r>
      <w:r w:rsidR="000B3E5D">
        <w:rPr>
          <w:rFonts w:eastAsia="TimesNewRoman"/>
          <w:lang w:val="en-US"/>
        </w:rPr>
        <w:t>isease</w:t>
      </w:r>
    </w:p>
    <w:p w:rsidR="00397FF1" w:rsidRDefault="00397FF1" w:rsidP="00A11232">
      <w:pPr>
        <w:rPr>
          <w:lang w:val="en-US"/>
        </w:rPr>
      </w:pPr>
      <w:r>
        <w:rPr>
          <w:lang w:val="en-US"/>
        </w:rPr>
        <w:t>Relapsed myeloma is defined as previously treated myeloma, which after a period of being off-therapy, requires salvage therapy but does not meet criteria for "primary refractory" or "relapsed</w:t>
      </w:r>
      <w:r w:rsidR="00153F5F">
        <w:rPr>
          <w:lang w:val="en-US"/>
        </w:rPr>
        <w:t xml:space="preserve"> </w:t>
      </w:r>
      <w:r>
        <w:rPr>
          <w:lang w:val="en-US"/>
        </w:rPr>
        <w:t>and</w:t>
      </w:r>
      <w:r w:rsidR="00153F5F">
        <w:rPr>
          <w:lang w:val="en-US"/>
        </w:rPr>
        <w:t xml:space="preserve"> </w:t>
      </w:r>
      <w:r>
        <w:rPr>
          <w:lang w:val="en-US"/>
        </w:rPr>
        <w:t>refractory" categories, as outlined below.</w:t>
      </w:r>
    </w:p>
    <w:p w:rsidR="000B3E5D" w:rsidRDefault="00397FF1" w:rsidP="00A11232">
      <w:pPr>
        <w:pStyle w:val="Heading6"/>
        <w:rPr>
          <w:rFonts w:eastAsia="TimesNewRoman"/>
          <w:lang w:val="en-US"/>
        </w:rPr>
      </w:pPr>
      <w:r>
        <w:rPr>
          <w:rFonts w:eastAsia="TimesNewRoman"/>
          <w:lang w:val="en-US"/>
        </w:rPr>
        <w:t>De</w:t>
      </w:r>
      <w:r w:rsidR="000B3E5D">
        <w:rPr>
          <w:rFonts w:eastAsia="TimesNewRoman"/>
          <w:lang w:val="en-US"/>
        </w:rPr>
        <w:t xml:space="preserve">finition of </w:t>
      </w:r>
      <w:r w:rsidR="00A738F3">
        <w:rPr>
          <w:rFonts w:eastAsia="TimesNewRoman"/>
          <w:lang w:val="en-US"/>
        </w:rPr>
        <w:t>r</w:t>
      </w:r>
      <w:r w:rsidR="000B3E5D">
        <w:rPr>
          <w:rFonts w:eastAsia="TimesNewRoman"/>
          <w:lang w:val="en-US"/>
        </w:rPr>
        <w:t xml:space="preserve">efractory </w:t>
      </w:r>
      <w:r w:rsidR="00A738F3">
        <w:rPr>
          <w:rFonts w:eastAsia="TimesNewRoman"/>
          <w:lang w:val="en-US"/>
        </w:rPr>
        <w:t>d</w:t>
      </w:r>
      <w:r w:rsidR="000B3E5D">
        <w:rPr>
          <w:rFonts w:eastAsia="TimesNewRoman"/>
          <w:lang w:val="en-US"/>
        </w:rPr>
        <w:t>isease</w:t>
      </w:r>
    </w:p>
    <w:p w:rsidR="00397FF1" w:rsidRDefault="00397FF1" w:rsidP="00A11232">
      <w:pPr>
        <w:rPr>
          <w:lang w:val="en-US"/>
        </w:rPr>
      </w:pPr>
      <w:r>
        <w:rPr>
          <w:lang w:val="en-US"/>
        </w:rPr>
        <w:t>Refractory myeloma is defined as disease that is non</w:t>
      </w:r>
      <w:r w:rsidR="00153F5F">
        <w:rPr>
          <w:lang w:val="en-US"/>
        </w:rPr>
        <w:t xml:space="preserve"> </w:t>
      </w:r>
      <w:r>
        <w:rPr>
          <w:lang w:val="en-US"/>
        </w:rPr>
        <w:t>responsive while on therapy or progresses within 60 days of last therapy.</w:t>
      </w:r>
    </w:p>
    <w:p w:rsidR="00397FF1" w:rsidRPr="00A11232" w:rsidRDefault="00397FF1" w:rsidP="00A11232">
      <w:pPr>
        <w:pStyle w:val="Numberbullet2"/>
        <w:numPr>
          <w:ilvl w:val="1"/>
          <w:numId w:val="48"/>
        </w:numPr>
        <w:rPr>
          <w:lang w:val="en-US"/>
        </w:rPr>
      </w:pPr>
      <w:r w:rsidRPr="00A11232">
        <w:rPr>
          <w:lang w:val="en-US"/>
        </w:rPr>
        <w:t xml:space="preserve">Relapsed and refractory myeloma is defined as relapse of disease in patients who achieve </w:t>
      </w:r>
      <w:r w:rsidR="00153F5F" w:rsidRPr="00A11232">
        <w:rPr>
          <w:lang w:val="en-US"/>
        </w:rPr>
        <w:t>MR</w:t>
      </w:r>
      <w:r w:rsidRPr="00A11232">
        <w:rPr>
          <w:lang w:val="en-US"/>
        </w:rPr>
        <w:t xml:space="preserve"> or better, and then either become non</w:t>
      </w:r>
      <w:r w:rsidR="00153F5F" w:rsidRPr="00A11232">
        <w:rPr>
          <w:lang w:val="en-US"/>
        </w:rPr>
        <w:t xml:space="preserve"> </w:t>
      </w:r>
      <w:r w:rsidRPr="00A11232">
        <w:rPr>
          <w:lang w:val="en-US"/>
        </w:rPr>
        <w:t>responsive while on salvage therapy, or progress within 60 days of last therapy.</w:t>
      </w:r>
    </w:p>
    <w:p w:rsidR="00397FF1" w:rsidRDefault="00397FF1" w:rsidP="00A11232">
      <w:pPr>
        <w:pStyle w:val="Numberbullet2"/>
        <w:rPr>
          <w:lang w:val="en-US"/>
        </w:rPr>
      </w:pPr>
      <w:r>
        <w:rPr>
          <w:lang w:val="en-US"/>
        </w:rPr>
        <w:t xml:space="preserve">Primary refractory myeloma refers to refractory disease in patients who have never achieved an MR with </w:t>
      </w:r>
      <w:r w:rsidR="00153F5F">
        <w:rPr>
          <w:lang w:val="en-US"/>
        </w:rPr>
        <w:t>any therapy, and includes 2 sub</w:t>
      </w:r>
      <w:r>
        <w:rPr>
          <w:lang w:val="en-US"/>
        </w:rPr>
        <w:t>categories:</w:t>
      </w:r>
    </w:p>
    <w:p w:rsidR="00397FF1" w:rsidRPr="00A11232" w:rsidRDefault="00397FF1" w:rsidP="00F75A12">
      <w:pPr>
        <w:pStyle w:val="ListBullet"/>
        <w:ind w:left="1276"/>
      </w:pPr>
      <w:r w:rsidRPr="00A11232">
        <w:t>Patients who never achieve MR or better in whom there is no significant change in M protein and no evidence of clinical progression.</w:t>
      </w:r>
    </w:p>
    <w:p w:rsidR="00397FF1" w:rsidRPr="00A11232" w:rsidRDefault="00397FF1" w:rsidP="00F75A12">
      <w:pPr>
        <w:pStyle w:val="ListBullet"/>
        <w:ind w:left="1276"/>
      </w:pPr>
      <w:r w:rsidRPr="00A11232">
        <w:t xml:space="preserve">Primary refractory </w:t>
      </w:r>
      <w:r w:rsidR="00A317B5" w:rsidRPr="00A11232">
        <w:t>PD</w:t>
      </w:r>
      <w:r w:rsidRPr="00A11232">
        <w:t>.</w:t>
      </w:r>
    </w:p>
    <w:p w:rsidR="00397FF1" w:rsidRDefault="00397FF1" w:rsidP="0019694E">
      <w:pPr>
        <w:pStyle w:val="Heading6"/>
        <w:rPr>
          <w:lang w:val="en-US"/>
        </w:rPr>
      </w:pPr>
      <w:r>
        <w:rPr>
          <w:lang w:val="en-US"/>
        </w:rPr>
        <w:t xml:space="preserve">Treatment </w:t>
      </w:r>
      <w:r w:rsidR="00A738F3">
        <w:rPr>
          <w:lang w:val="en-US"/>
        </w:rPr>
        <w:t>o</w:t>
      </w:r>
      <w:r>
        <w:rPr>
          <w:lang w:val="en-US"/>
        </w:rPr>
        <w:t xml:space="preserve">ptions </w:t>
      </w:r>
      <w:r w:rsidR="00A738F3">
        <w:rPr>
          <w:lang w:val="en-US"/>
        </w:rPr>
        <w:t>u</w:t>
      </w:r>
      <w:r>
        <w:rPr>
          <w:lang w:val="en-US"/>
        </w:rPr>
        <w:t xml:space="preserve">pon </w:t>
      </w:r>
      <w:r w:rsidR="00A738F3">
        <w:rPr>
          <w:lang w:val="en-US"/>
        </w:rPr>
        <w:t>r</w:t>
      </w:r>
      <w:r>
        <w:rPr>
          <w:lang w:val="en-US"/>
        </w:rPr>
        <w:t>elapse</w:t>
      </w:r>
    </w:p>
    <w:p w:rsidR="00397FF1" w:rsidRDefault="00397FF1" w:rsidP="00C006EF">
      <w:pPr>
        <w:rPr>
          <w:lang w:val="en-US"/>
        </w:rPr>
      </w:pPr>
      <w:r>
        <w:rPr>
          <w:lang w:val="en-US"/>
        </w:rPr>
        <w:t>There is no single standard treatment for</w:t>
      </w:r>
      <w:r w:rsidR="00A317B5">
        <w:rPr>
          <w:lang w:val="en-US"/>
        </w:rPr>
        <w:t xml:space="preserve"> patients with relapsed myeloma</w:t>
      </w:r>
      <w:r>
        <w:rPr>
          <w:lang w:val="en-US"/>
        </w:rPr>
        <w:t>. Determining which treatment to use should be individuali</w:t>
      </w:r>
      <w:r w:rsidR="000A585F">
        <w:rPr>
          <w:lang w:val="en-US"/>
        </w:rPr>
        <w:t>s</w:t>
      </w:r>
      <w:r>
        <w:rPr>
          <w:lang w:val="en-US"/>
        </w:rPr>
        <w:t>ed and depends for example on prior therapy, including the patient’s duration of remission since the initial therapy, as well as current physical status, and the presence or risk of side effects. The choice of agent to use at relapse not only depends on availability in a given region of the world, but also on individual preference an</w:t>
      </w:r>
      <w:r w:rsidR="00A11232">
        <w:rPr>
          <w:lang w:val="en-US"/>
        </w:rPr>
        <w:t>d, importantly, co-morbidities.</w:t>
      </w:r>
    </w:p>
    <w:p w:rsidR="00397FF1" w:rsidRDefault="00397FF1" w:rsidP="00FB36A4">
      <w:pPr>
        <w:rPr>
          <w:lang w:val="en-US"/>
        </w:rPr>
      </w:pPr>
      <w:r>
        <w:rPr>
          <w:lang w:val="en-US"/>
        </w:rPr>
        <w:t xml:space="preserve">At first relapse, the first choice might be to use a new class of </w:t>
      </w:r>
      <w:r>
        <w:rPr>
          <w:rFonts w:hAnsi="Times New Roman"/>
          <w:lang w:val="en-US"/>
        </w:rPr>
        <w:t xml:space="preserve">drug or a drug combination different from that used for induction, unless the first remission was </w:t>
      </w:r>
      <w:r>
        <w:rPr>
          <w:lang w:val="en-US"/>
        </w:rPr>
        <w:t>long enough to merit consideration of retreatment with the same or a similar regimen, with the possibility of adding another agent. Additionally, the presence or risk of side effects may require a change from the first</w:t>
      </w:r>
      <w:r w:rsidR="0037082C">
        <w:rPr>
          <w:lang w:val="en-US"/>
        </w:rPr>
        <w:t xml:space="preserve"> </w:t>
      </w:r>
      <w:r>
        <w:rPr>
          <w:lang w:val="en-US"/>
        </w:rPr>
        <w:t>line treatment.</w:t>
      </w:r>
    </w:p>
    <w:p w:rsidR="00397FF1" w:rsidRDefault="00397FF1" w:rsidP="00FB36A4">
      <w:pPr>
        <w:rPr>
          <w:lang w:val="en-US"/>
        </w:rPr>
      </w:pPr>
      <w:r>
        <w:rPr>
          <w:lang w:val="en-US"/>
        </w:rPr>
        <w:t>At second or subsequent relapse treatment options have historically comprised combination therapies with corticosteroids and cytotoxic chemotherapeutic agents.</w:t>
      </w:r>
    </w:p>
    <w:p w:rsidR="00397FF1" w:rsidRDefault="00A6084F" w:rsidP="00FB36A4">
      <w:pPr>
        <w:rPr>
          <w:rFonts w:ascii="TimesNewRoman" w:hAnsi="Times New Roman"/>
          <w:sz w:val="24"/>
          <w:szCs w:val="24"/>
          <w:lang w:val="en-US"/>
        </w:rPr>
      </w:pPr>
      <w:r>
        <w:rPr>
          <w:lang w:val="en-US"/>
        </w:rPr>
        <w:t xml:space="preserve">The approvals of bortezomib and lenalidomide </w:t>
      </w:r>
      <w:r w:rsidR="00397FF1">
        <w:rPr>
          <w:lang w:val="en-US"/>
        </w:rPr>
        <w:t>based regimens, plus thalidomide in certain countries, for the treatment of previously treated MM have provided effective therapeutic options that give patients with relapsed or refractory MM the prospect for a longer progression free survi</w:t>
      </w:r>
      <w:r w:rsidR="00D7199D">
        <w:rPr>
          <w:lang w:val="en-US"/>
        </w:rPr>
        <w:t>val (PFS) and OS</w:t>
      </w:r>
      <w:r w:rsidR="00397FF1">
        <w:rPr>
          <w:lang w:val="en-US"/>
        </w:rPr>
        <w:t>.</w:t>
      </w:r>
      <w:r w:rsidR="006813F9">
        <w:rPr>
          <w:lang w:val="en-US"/>
        </w:rPr>
        <w:t xml:space="preserve"> </w:t>
      </w:r>
      <w:r w:rsidR="00397FF1">
        <w:rPr>
          <w:lang w:val="en-US"/>
        </w:rPr>
        <w:t>These agents are generally used in combination with corticosteroids (pulsed or weekly dexamethasone), and sometimes with an alkylator (either melphalan or most commonly, in certain countries, cyclophosphamide), or with an anthracycline (</w:t>
      </w:r>
      <w:proofErr w:type="gramStart"/>
      <w:r w:rsidR="00397FF1">
        <w:rPr>
          <w:lang w:val="en-US"/>
        </w:rPr>
        <w:t>adriamycin</w:t>
      </w:r>
      <w:proofErr w:type="gramEnd"/>
      <w:r w:rsidR="00397FF1">
        <w:rPr>
          <w:lang w:val="en-US"/>
        </w:rPr>
        <w:t xml:space="preserve"> or liposomal pegylated </w:t>
      </w:r>
      <w:r w:rsidR="00397FF1">
        <w:rPr>
          <w:lang w:val="en-US"/>
        </w:rPr>
        <w:lastRenderedPageBreak/>
        <w:t xml:space="preserve">adriamycin), with selected patients undergoing autologous stem cell transplantation (ASCT). The various regimens can be used in different combination or </w:t>
      </w:r>
      <w:r w:rsidR="00397FF1">
        <w:t xml:space="preserve">sequences. No best sequence has been identified. Of note, it is recommended to use steroids in </w:t>
      </w:r>
      <w:r w:rsidR="00397FF1">
        <w:rPr>
          <w:lang w:val="en-US"/>
        </w:rPr>
        <w:t xml:space="preserve">combination with all products with a few exceptions. Miscellaneous antineoplastic agents </w:t>
      </w:r>
      <w:r w:rsidR="00397FF1">
        <w:t>including a number of investigational drugs may be used.</w:t>
      </w:r>
    </w:p>
    <w:p w:rsidR="00397FF1" w:rsidRDefault="00397FF1" w:rsidP="00FB36A4">
      <w:pPr>
        <w:pStyle w:val="Heading5"/>
        <w:rPr>
          <w:lang w:val="en-US"/>
        </w:rPr>
      </w:pPr>
      <w:bookmarkStart w:id="79" w:name="_Ref365557160"/>
      <w:bookmarkStart w:id="80" w:name="_Toc371611714"/>
      <w:bookmarkStart w:id="81" w:name="_Toc371612296"/>
      <w:bookmarkStart w:id="82" w:name="_Toc371612560"/>
      <w:bookmarkStart w:id="83" w:name="_Toc371613107"/>
      <w:r>
        <w:rPr>
          <w:lang w:val="en-US"/>
        </w:rPr>
        <w:t xml:space="preserve">Product </w:t>
      </w:r>
      <w:r w:rsidR="00686177">
        <w:rPr>
          <w:lang w:val="en-US"/>
        </w:rPr>
        <w:t>b</w:t>
      </w:r>
      <w:r>
        <w:rPr>
          <w:lang w:val="en-US"/>
        </w:rPr>
        <w:t xml:space="preserve">ackground and </w:t>
      </w:r>
      <w:r w:rsidR="00686177">
        <w:rPr>
          <w:lang w:val="en-US"/>
        </w:rPr>
        <w:t>s</w:t>
      </w:r>
      <w:r>
        <w:rPr>
          <w:lang w:val="en-US"/>
        </w:rPr>
        <w:t xml:space="preserve">cientific </w:t>
      </w:r>
      <w:r w:rsidR="00686177">
        <w:rPr>
          <w:lang w:val="en-US"/>
        </w:rPr>
        <w:t>r</w:t>
      </w:r>
      <w:r>
        <w:rPr>
          <w:lang w:val="en-US"/>
        </w:rPr>
        <w:t xml:space="preserve">ationale for </w:t>
      </w:r>
      <w:r w:rsidR="00686177">
        <w:rPr>
          <w:lang w:val="en-US"/>
        </w:rPr>
        <w:t>p</w:t>
      </w:r>
      <w:r>
        <w:rPr>
          <w:lang w:val="en-US"/>
        </w:rPr>
        <w:t xml:space="preserve">omalidomide as </w:t>
      </w:r>
      <w:r w:rsidR="00686177">
        <w:rPr>
          <w:lang w:val="en-US"/>
        </w:rPr>
        <w:t>t</w:t>
      </w:r>
      <w:r>
        <w:rPr>
          <w:lang w:val="en-US"/>
        </w:rPr>
        <w:t xml:space="preserve">reatment for </w:t>
      </w:r>
      <w:bookmarkEnd w:id="79"/>
      <w:bookmarkEnd w:id="80"/>
      <w:bookmarkEnd w:id="81"/>
      <w:bookmarkEnd w:id="82"/>
      <w:bookmarkEnd w:id="83"/>
      <w:r w:rsidR="00686177">
        <w:rPr>
          <w:lang w:val="en-US"/>
        </w:rPr>
        <w:t>MM</w:t>
      </w:r>
    </w:p>
    <w:p w:rsidR="00397FF1" w:rsidRDefault="00397FF1" w:rsidP="00FB36A4">
      <w:pPr>
        <w:rPr>
          <w:lang w:val="en-US"/>
        </w:rPr>
      </w:pPr>
      <w:r>
        <w:rPr>
          <w:lang w:val="en-US"/>
        </w:rPr>
        <w:t>The mechanism of action of pomalidomide includes a variety of immunomodulatory effects such as induction of immune responses, enhancement of activity of immune cells, alteration and mod</w:t>
      </w:r>
      <w:r w:rsidR="0037082C">
        <w:rPr>
          <w:lang w:val="en-US"/>
        </w:rPr>
        <w:t xml:space="preserve">ulation of the induction of pro and </w:t>
      </w:r>
      <w:r w:rsidR="00BA5A72">
        <w:rPr>
          <w:lang w:val="en-US"/>
        </w:rPr>
        <w:t xml:space="preserve">anti-inflammatory </w:t>
      </w:r>
      <w:r>
        <w:rPr>
          <w:lang w:val="en-US"/>
        </w:rPr>
        <w:t>cytokines, and inhibition of inflammation. These compounds also have tumoricidal and ant</w:t>
      </w:r>
      <w:r w:rsidR="0037082C">
        <w:rPr>
          <w:lang w:val="en-US"/>
        </w:rPr>
        <w:t xml:space="preserve">i </w:t>
      </w:r>
      <w:r>
        <w:rPr>
          <w:lang w:val="en-US"/>
        </w:rPr>
        <w:t>angiogenic activities that contribute to the</w:t>
      </w:r>
      <w:r w:rsidR="0037082C">
        <w:rPr>
          <w:lang w:val="en-US"/>
        </w:rPr>
        <w:t xml:space="preserve">ir anti </w:t>
      </w:r>
      <w:r>
        <w:rPr>
          <w:lang w:val="en-US"/>
        </w:rPr>
        <w:t>tumo</w:t>
      </w:r>
      <w:r w:rsidR="0037082C">
        <w:rPr>
          <w:lang w:val="en-US"/>
        </w:rPr>
        <w:t>u</w:t>
      </w:r>
      <w:r>
        <w:rPr>
          <w:lang w:val="en-US"/>
        </w:rPr>
        <w:t>r activities.</w:t>
      </w:r>
    </w:p>
    <w:p w:rsidR="00397FF1" w:rsidRDefault="00397FF1" w:rsidP="00FB36A4">
      <w:pPr>
        <w:rPr>
          <w:lang w:val="en-US"/>
        </w:rPr>
      </w:pPr>
      <w:r>
        <w:rPr>
          <w:lang w:val="en-US"/>
        </w:rPr>
        <w:t xml:space="preserve">The multiple pharmacological properties of pomalidomide suggest a potential therapeutic benefit in </w:t>
      </w:r>
      <w:r w:rsidR="00B639BE">
        <w:rPr>
          <w:lang w:val="en-US"/>
        </w:rPr>
        <w:t>patients with MM</w:t>
      </w:r>
      <w:r>
        <w:rPr>
          <w:lang w:val="en-US"/>
        </w:rPr>
        <w:t>. While it is structurally similar to both thalidomide and lenalidomide and shares a number of potentially therapeutic pharmacological properties, pomalidomide has a distinctly different activity and potency profile making it a unique compound in the immunom</w:t>
      </w:r>
      <w:r w:rsidR="0037082C">
        <w:rPr>
          <w:lang w:val="en-US"/>
        </w:rPr>
        <w:t>odulatory class in both the non</w:t>
      </w:r>
      <w:r>
        <w:rPr>
          <w:lang w:val="en-US"/>
        </w:rPr>
        <w:t xml:space="preserve">clinical and clinical settings. Pomalidomide exhibits greater potency than thalidomide with regard to immune modulation, </w:t>
      </w:r>
      <w:r w:rsidR="00BA5A72">
        <w:rPr>
          <w:lang w:val="en-US"/>
        </w:rPr>
        <w:t xml:space="preserve">anti-inflammatory </w:t>
      </w:r>
      <w:r>
        <w:rPr>
          <w:lang w:val="en-US"/>
        </w:rPr>
        <w:t>and anti</w:t>
      </w:r>
      <w:r w:rsidR="00BA5A72">
        <w:rPr>
          <w:lang w:val="en-US"/>
        </w:rPr>
        <w:t>-</w:t>
      </w:r>
      <w:r>
        <w:rPr>
          <w:lang w:val="en-US"/>
        </w:rPr>
        <w:t>proliferative activity, and has greater potency than lenalidomide at anti</w:t>
      </w:r>
      <w:r w:rsidR="0037082C">
        <w:rPr>
          <w:lang w:val="en-US"/>
        </w:rPr>
        <w:t xml:space="preserve"> </w:t>
      </w:r>
      <w:r>
        <w:rPr>
          <w:lang w:val="en-US"/>
        </w:rPr>
        <w:t>proliferative effects in MM cell lines, augmentation of CD4+ and CD8+ T cell proliferation, Th1 cytokine production</w:t>
      </w:r>
      <w:r w:rsidR="0037082C">
        <w:rPr>
          <w:lang w:val="en-US"/>
        </w:rPr>
        <w:t>,</w:t>
      </w:r>
      <w:r>
        <w:rPr>
          <w:lang w:val="en-US"/>
        </w:rPr>
        <w:t xml:space="preserve"> and </w:t>
      </w:r>
      <w:r w:rsidR="0037082C">
        <w:rPr>
          <w:lang w:val="en-US"/>
        </w:rPr>
        <w:t>NK</w:t>
      </w:r>
      <w:r>
        <w:rPr>
          <w:lang w:val="en-US"/>
        </w:rPr>
        <w:t xml:space="preserve"> T cell activation. These differences allow the administration of pomalidomide at lower relative doses compared to thalidomide or lenalidomide.</w:t>
      </w:r>
    </w:p>
    <w:p w:rsidR="00397FF1" w:rsidRDefault="00397FF1" w:rsidP="00C006EF">
      <w:pPr>
        <w:rPr>
          <w:lang w:val="en-US"/>
        </w:rPr>
      </w:pPr>
      <w:r>
        <w:rPr>
          <w:lang w:val="en-US"/>
        </w:rPr>
        <w:t>Initial treatment of MM with dexamethasone effectively induces MM cell apoptosis; however prolonged drug exposures result in the development of chemoresistance, which is associated with defective apoptotic signalling in response to drugs, over expression of anti-apoptotic proteins such as Bcl-2 or inhibitors of apoptosis protein, expression of multidrug resistan</w:t>
      </w:r>
      <w:r w:rsidR="00373CDE">
        <w:rPr>
          <w:lang w:val="en-US"/>
        </w:rPr>
        <w:t xml:space="preserve">ce gene, the presence of growth </w:t>
      </w:r>
      <w:r>
        <w:rPr>
          <w:lang w:val="en-US"/>
        </w:rPr>
        <w:t>promoting cytokines within the bone marrow microenv</w:t>
      </w:r>
      <w:r w:rsidR="00373CDE">
        <w:rPr>
          <w:lang w:val="en-US"/>
        </w:rPr>
        <w:t>ironment such as IL-6</w:t>
      </w:r>
      <w:r>
        <w:rPr>
          <w:lang w:val="en-US"/>
        </w:rPr>
        <w:t xml:space="preserve"> and i</w:t>
      </w:r>
      <w:r w:rsidR="00A11232">
        <w:rPr>
          <w:lang w:val="en-US"/>
        </w:rPr>
        <w:t>nsulin growth factor-1 (IGF-1).</w:t>
      </w:r>
    </w:p>
    <w:p w:rsidR="00397FF1" w:rsidRDefault="00397FF1" w:rsidP="00C006EF">
      <w:pPr>
        <w:rPr>
          <w:lang w:val="en-US"/>
        </w:rPr>
      </w:pPr>
      <w:r>
        <w:rPr>
          <w:lang w:val="en-US"/>
        </w:rPr>
        <w:t xml:space="preserve">Pomalidomide inhibits the proliferation of MM cell lines </w:t>
      </w:r>
      <w:r>
        <w:rPr>
          <w:i/>
          <w:iCs/>
          <w:lang w:val="en-US"/>
        </w:rPr>
        <w:t>in vitro</w:t>
      </w:r>
      <w:r>
        <w:rPr>
          <w:lang w:val="en-US"/>
        </w:rPr>
        <w:t xml:space="preserve"> including the dexamethasone resistant MM1R cell line.</w:t>
      </w:r>
      <w:r w:rsidR="006813F9">
        <w:rPr>
          <w:lang w:val="en-US"/>
        </w:rPr>
        <w:t xml:space="preserve"> </w:t>
      </w:r>
      <w:r>
        <w:rPr>
          <w:lang w:val="en-US"/>
        </w:rPr>
        <w:t>Nonclinical studies have shown that the observed activity of the combination of pomalidomide and dexamethasone is greater than that of single agent pomalidomide or dexamethasone. Moreover, the combination of pomalidomide and dexamethasone is synergistic at inhibiting cell proliferation and inducing apoptosis in both lenalidomide</w:t>
      </w:r>
      <w:r w:rsidR="00373CDE">
        <w:rPr>
          <w:lang w:val="en-US"/>
        </w:rPr>
        <w:t xml:space="preserve"> </w:t>
      </w:r>
      <w:r>
        <w:rPr>
          <w:lang w:val="en-US"/>
        </w:rPr>
        <w:t>sensitive and lenalidomide</w:t>
      </w:r>
      <w:r w:rsidR="00373CDE">
        <w:rPr>
          <w:lang w:val="en-US"/>
        </w:rPr>
        <w:t xml:space="preserve"> </w:t>
      </w:r>
      <w:r>
        <w:rPr>
          <w:lang w:val="en-US"/>
        </w:rPr>
        <w:t xml:space="preserve">resistant H929 cell lines, suggesting that it may similarly be effective in MM patients who have become refractory or resistant to lenalidomide. The exact mechanism of pomalidomide + dexamethasone synergy is not known at present although the combination of pomalidomide + dexamethasone was shown to reduce pRB1 phosphorylation, the expression of Survivin, IRF-4, Bcl-2, and to increase the expression of p27 and BIM when </w:t>
      </w:r>
      <w:r w:rsidR="00A11232">
        <w:rPr>
          <w:lang w:val="en-US"/>
        </w:rPr>
        <w:t>compared to either agent alone.</w:t>
      </w:r>
    </w:p>
    <w:p w:rsidR="00397FF1" w:rsidRDefault="00397FF1" w:rsidP="00FB36A4">
      <w:pPr>
        <w:rPr>
          <w:lang w:val="en-US"/>
        </w:rPr>
      </w:pPr>
      <w:r>
        <w:rPr>
          <w:lang w:val="en-US"/>
        </w:rPr>
        <w:t>These data show that pomalidomide is active in dexamethasone</w:t>
      </w:r>
      <w:r w:rsidR="00373CDE">
        <w:rPr>
          <w:lang w:val="en-US"/>
        </w:rPr>
        <w:t xml:space="preserve"> </w:t>
      </w:r>
      <w:r>
        <w:rPr>
          <w:lang w:val="en-US"/>
        </w:rPr>
        <w:t>resistant cells, and that lenalidomide</w:t>
      </w:r>
      <w:r w:rsidR="00373CDE">
        <w:rPr>
          <w:lang w:val="en-US"/>
        </w:rPr>
        <w:t xml:space="preserve"> </w:t>
      </w:r>
      <w:r>
        <w:rPr>
          <w:lang w:val="en-US"/>
        </w:rPr>
        <w:t>refractory MM cells are responsive to pomalidomide monotherapy, and the combination of pomalidomide + dexamethasone induces strong synergistic and tumoricidal effects, suggesting that pomalidomide and dexamethasone together have potential therapeutic benefit in the treatment of lenalidomide</w:t>
      </w:r>
      <w:r w:rsidR="00373CDE">
        <w:rPr>
          <w:lang w:val="en-US"/>
        </w:rPr>
        <w:t xml:space="preserve"> </w:t>
      </w:r>
      <w:r>
        <w:rPr>
          <w:lang w:val="en-US"/>
        </w:rPr>
        <w:t xml:space="preserve">refractory patients, although the synergy between pomalidomide and dexamethasone is likely cell line dependent. In parallel, preliminary </w:t>
      </w:r>
      <w:r>
        <w:rPr>
          <w:i/>
          <w:iCs/>
          <w:lang w:val="en-US"/>
        </w:rPr>
        <w:t>in vivo</w:t>
      </w:r>
      <w:r>
        <w:rPr>
          <w:lang w:val="en-US"/>
        </w:rPr>
        <w:t xml:space="preserve"> studies have also shown that pomalidomide + dexamethasone may overcome resistance t</w:t>
      </w:r>
      <w:r w:rsidR="00A11232">
        <w:rPr>
          <w:lang w:val="en-US"/>
        </w:rPr>
        <w:t>o lenalidomide + dexamethasone.</w:t>
      </w:r>
    </w:p>
    <w:p w:rsidR="00397FF1" w:rsidRDefault="00397FF1" w:rsidP="00C006EF">
      <w:pPr>
        <w:rPr>
          <w:lang w:val="en-US"/>
        </w:rPr>
      </w:pPr>
      <w:r>
        <w:rPr>
          <w:lang w:val="en-US"/>
        </w:rPr>
        <w:t xml:space="preserve">These findings support the conclusions from clinical studies that showed pomalidomide + dexamethasone is active in </w:t>
      </w:r>
      <w:r w:rsidR="00373CDE">
        <w:rPr>
          <w:lang w:val="en-US"/>
        </w:rPr>
        <w:t>RRMM</w:t>
      </w:r>
      <w:r>
        <w:rPr>
          <w:lang w:val="en-US"/>
        </w:rPr>
        <w:t xml:space="preserve"> patients who have previously been treated wit</w:t>
      </w:r>
      <w:r w:rsidR="00A11232">
        <w:rPr>
          <w:lang w:val="en-US"/>
        </w:rPr>
        <w:t>h lenalidomide + dexamethasone.</w:t>
      </w:r>
    </w:p>
    <w:p w:rsidR="00397FF1" w:rsidRDefault="00397FF1" w:rsidP="00C006EF">
      <w:pPr>
        <w:pStyle w:val="Heading5"/>
      </w:pPr>
      <w:bookmarkStart w:id="84" w:name="_Toc371611715"/>
      <w:bookmarkStart w:id="85" w:name="_Toc371612297"/>
      <w:bookmarkStart w:id="86" w:name="_Toc371612561"/>
      <w:bookmarkStart w:id="87" w:name="_Toc371613108"/>
      <w:r>
        <w:lastRenderedPageBreak/>
        <w:t xml:space="preserve">Clinical </w:t>
      </w:r>
      <w:r w:rsidR="00686177">
        <w:t>r</w:t>
      </w:r>
      <w:r>
        <w:t xml:space="preserve">ationale for </w:t>
      </w:r>
      <w:r w:rsidR="00686177" w:rsidRPr="00C006EF">
        <w:t>a</w:t>
      </w:r>
      <w:r w:rsidRPr="00C006EF">
        <w:t>dministration</w:t>
      </w:r>
      <w:r>
        <w:t xml:space="preserve"> of </w:t>
      </w:r>
      <w:r w:rsidR="00686177">
        <w:t>p</w:t>
      </w:r>
      <w:r>
        <w:t xml:space="preserve">omalidomide in </w:t>
      </w:r>
      <w:r w:rsidR="00686177">
        <w:t>c</w:t>
      </w:r>
      <w:r>
        <w:t xml:space="preserve">ombination with </w:t>
      </w:r>
      <w:r w:rsidR="00686177">
        <w:t>d</w:t>
      </w:r>
      <w:r>
        <w:t xml:space="preserve">examethasone in </w:t>
      </w:r>
      <w:bookmarkEnd w:id="84"/>
      <w:bookmarkEnd w:id="85"/>
      <w:bookmarkEnd w:id="86"/>
      <w:bookmarkEnd w:id="87"/>
      <w:r w:rsidR="00686177">
        <w:t>RRMM</w:t>
      </w:r>
    </w:p>
    <w:p w:rsidR="00397FF1" w:rsidRDefault="00397FF1" w:rsidP="00FB36A4">
      <w:pPr>
        <w:rPr>
          <w:lang w:val="en-US"/>
        </w:rPr>
      </w:pPr>
      <w:r>
        <w:rPr>
          <w:lang w:val="en-US"/>
        </w:rPr>
        <w:t>The combin</w:t>
      </w:r>
      <w:r w:rsidR="00CB01DA">
        <w:rPr>
          <w:lang w:val="en-US"/>
        </w:rPr>
        <w:t>ation of pomalidomide + LD</w:t>
      </w:r>
      <w:r w:rsidR="00382A14">
        <w:rPr>
          <w:lang w:val="en-US"/>
        </w:rPr>
        <w:t xml:space="preserve"> </w:t>
      </w:r>
      <w:r w:rsidR="00382A14">
        <w:t>dexamethasone</w:t>
      </w:r>
      <w:r>
        <w:rPr>
          <w:lang w:val="en-US"/>
        </w:rPr>
        <w:t xml:space="preserve"> has been proposed based on the following clinical considerations.</w:t>
      </w:r>
    </w:p>
    <w:p w:rsidR="000B3E5D" w:rsidRDefault="00397FF1" w:rsidP="00C006EF">
      <w:pPr>
        <w:pStyle w:val="Heading6"/>
        <w:rPr>
          <w:rFonts w:eastAsia="TimesNewRoman"/>
        </w:rPr>
      </w:pPr>
      <w:r>
        <w:rPr>
          <w:rFonts w:eastAsia="TimesNewRoman"/>
        </w:rPr>
        <w:t>1.</w:t>
      </w:r>
      <w:r w:rsidR="000B3E5D">
        <w:rPr>
          <w:rFonts w:eastAsia="TimesNewRoman"/>
        </w:rPr>
        <w:t xml:space="preserve"> </w:t>
      </w:r>
      <w:r>
        <w:rPr>
          <w:rFonts w:eastAsia="TimesNewRoman"/>
        </w:rPr>
        <w:t xml:space="preserve">Combination of </w:t>
      </w:r>
      <w:r w:rsidR="00F452B3">
        <w:rPr>
          <w:rFonts w:eastAsia="TimesNewRoman"/>
        </w:rPr>
        <w:t>i</w:t>
      </w:r>
      <w:r>
        <w:rPr>
          <w:rFonts w:eastAsia="TimesNewRoman"/>
        </w:rPr>
        <w:t>mmunomodu</w:t>
      </w:r>
      <w:r w:rsidR="000B3E5D">
        <w:rPr>
          <w:rFonts w:eastAsia="TimesNewRoman"/>
        </w:rPr>
        <w:t xml:space="preserve">latory </w:t>
      </w:r>
      <w:r w:rsidR="00F452B3">
        <w:rPr>
          <w:rFonts w:eastAsia="TimesNewRoman"/>
        </w:rPr>
        <w:t>d</w:t>
      </w:r>
      <w:r w:rsidR="000B3E5D">
        <w:rPr>
          <w:rFonts w:eastAsia="TimesNewRoman"/>
        </w:rPr>
        <w:t xml:space="preserve">rugs with </w:t>
      </w:r>
      <w:r w:rsidR="00F452B3" w:rsidRPr="00C006EF">
        <w:rPr>
          <w:rFonts w:eastAsia="TimesNewRoman"/>
        </w:rPr>
        <w:t>d</w:t>
      </w:r>
      <w:r w:rsidR="000B3E5D" w:rsidRPr="00C006EF">
        <w:rPr>
          <w:rFonts w:eastAsia="TimesNewRoman"/>
        </w:rPr>
        <w:t>examethasone</w:t>
      </w:r>
    </w:p>
    <w:p w:rsidR="00397FF1" w:rsidRDefault="00397FF1" w:rsidP="00FB36A4">
      <w:pPr>
        <w:rPr>
          <w:lang w:val="en-US"/>
        </w:rPr>
      </w:pPr>
      <w:r>
        <w:t>Synergistic anti</w:t>
      </w:r>
      <w:r w:rsidR="00FF2B74">
        <w:t xml:space="preserve"> </w:t>
      </w:r>
      <w:r>
        <w:t xml:space="preserve">myeloma effects have been reported in animal models and in clinical data. </w:t>
      </w:r>
      <w:r>
        <w:rPr>
          <w:lang w:val="en-US"/>
        </w:rPr>
        <w:t>Lenalidomide and thalidomide are now used extensively in combination with dexamethasone and are either approved by regulatory authorities and/or recommended in the literature in combination by experts in many countries. Also the combination of lenalidomide plus</w:t>
      </w:r>
      <w:r w:rsidR="00FF2B74">
        <w:rPr>
          <w:lang w:val="en-US"/>
        </w:rPr>
        <w:t xml:space="preserve"> standard pulsed high dose (HD) </w:t>
      </w:r>
      <w:r w:rsidR="00FF2B74">
        <w:t>dexamethasone</w:t>
      </w:r>
      <w:r>
        <w:rPr>
          <w:lang w:val="en-US"/>
        </w:rPr>
        <w:t xml:space="preserve"> has been shown in the relapsed setting to be more effective than either drug taken alone. Initial studies of pomalidomide, when dexamethasone was added in 9 subjects with </w:t>
      </w:r>
      <w:r w:rsidR="00C322F4">
        <w:rPr>
          <w:lang w:val="en-US"/>
        </w:rPr>
        <w:t>PD</w:t>
      </w:r>
      <w:r>
        <w:rPr>
          <w:lang w:val="en-US"/>
        </w:rPr>
        <w:t xml:space="preserve"> and 2 subjects with stable disease (SD), some activity was shown.</w:t>
      </w:r>
    </w:p>
    <w:p w:rsidR="000B3E5D" w:rsidRDefault="00397FF1" w:rsidP="00FB36A4">
      <w:pPr>
        <w:pStyle w:val="Heading6"/>
        <w:rPr>
          <w:rFonts w:eastAsia="TimesNewRoman"/>
        </w:rPr>
      </w:pPr>
      <w:r>
        <w:rPr>
          <w:rFonts w:eastAsia="TimesNewRoman"/>
        </w:rPr>
        <w:t xml:space="preserve">2. </w:t>
      </w:r>
      <w:r w:rsidR="000B3E5D">
        <w:rPr>
          <w:rFonts w:eastAsia="TimesNewRoman"/>
        </w:rPr>
        <w:t xml:space="preserve">Use of </w:t>
      </w:r>
      <w:r w:rsidR="00CB01DA">
        <w:rPr>
          <w:rFonts w:eastAsia="TimesNewRoman"/>
        </w:rPr>
        <w:t>LD</w:t>
      </w:r>
      <w:r w:rsidR="000B3E5D">
        <w:rPr>
          <w:rFonts w:eastAsia="TimesNewRoman"/>
        </w:rPr>
        <w:t xml:space="preserve"> dexamethasone</w:t>
      </w:r>
    </w:p>
    <w:p w:rsidR="00397FF1" w:rsidRDefault="00397FF1" w:rsidP="00FB36A4">
      <w:pPr>
        <w:rPr>
          <w:lang w:val="en-US"/>
        </w:rPr>
      </w:pPr>
      <w:r>
        <w:rPr>
          <w:lang w:val="en-US"/>
        </w:rPr>
        <w:t>Effe</w:t>
      </w:r>
      <w:r w:rsidR="000453E7">
        <w:rPr>
          <w:lang w:val="en-US"/>
        </w:rPr>
        <w:t xml:space="preserve">ctive regimens containing HD </w:t>
      </w:r>
      <w:r w:rsidR="000453E7">
        <w:t>dexamethasone</w:t>
      </w:r>
      <w:r>
        <w:rPr>
          <w:lang w:val="en-US"/>
        </w:rPr>
        <w:t xml:space="preserve"> are associated with significant toxicity. In the pivotal </w:t>
      </w:r>
      <w:r w:rsidR="000453E7">
        <w:rPr>
          <w:lang w:val="en-US"/>
        </w:rPr>
        <w:t>lenalidomide Phase III</w:t>
      </w:r>
      <w:r>
        <w:rPr>
          <w:lang w:val="en-US"/>
        </w:rPr>
        <w:t xml:space="preserve"> studies, patients receiving combination therapy (lenalidomide</w:t>
      </w:r>
      <w:r w:rsidR="00670E07">
        <w:rPr>
          <w:lang w:val="en-US"/>
        </w:rPr>
        <w:t xml:space="preserve"> </w:t>
      </w:r>
      <w:r>
        <w:rPr>
          <w:lang w:val="en-US"/>
        </w:rPr>
        <w:t>+</w:t>
      </w:r>
      <w:r w:rsidR="00670E07">
        <w:rPr>
          <w:lang w:val="en-US"/>
        </w:rPr>
        <w:t xml:space="preserve"> </w:t>
      </w:r>
      <w:r>
        <w:rPr>
          <w:lang w:val="en-US"/>
        </w:rPr>
        <w:t xml:space="preserve">40 mg dexamethasone) who had their dexamethasone dose reduced owing to a toxicity had a significantly higher overall response rate (ORR), including a higher </w:t>
      </w:r>
      <w:r w:rsidR="001716D3">
        <w:rPr>
          <w:lang w:val="en-US"/>
        </w:rPr>
        <w:t>complete response (</w:t>
      </w:r>
      <w:r>
        <w:rPr>
          <w:lang w:val="en-US"/>
        </w:rPr>
        <w:t>CR</w:t>
      </w:r>
      <w:r w:rsidR="001716D3">
        <w:rPr>
          <w:lang w:val="en-US"/>
        </w:rPr>
        <w:t>)</w:t>
      </w:r>
      <w:r>
        <w:rPr>
          <w:lang w:val="en-US"/>
        </w:rPr>
        <w:t xml:space="preserve">, compared with those who persisted with standard dexamethasone dose. This was possibly due to reduced complications and improved tolerance, which led to better compliance and a longer duration on therapy. Moreover, it has been described in the literature that </w:t>
      </w:r>
      <w:r w:rsidR="004142E9">
        <w:rPr>
          <w:lang w:val="en-US"/>
        </w:rPr>
        <w:t xml:space="preserve">HD </w:t>
      </w:r>
      <w:r w:rsidR="004142E9">
        <w:t>dexamethasone</w:t>
      </w:r>
      <w:r w:rsidR="004142E9">
        <w:rPr>
          <w:lang w:val="en-US"/>
        </w:rPr>
        <w:t xml:space="preserve"> </w:t>
      </w:r>
      <w:r>
        <w:rPr>
          <w:lang w:val="en-US"/>
        </w:rPr>
        <w:t>was not well</w:t>
      </w:r>
      <w:r w:rsidR="00A11232">
        <w:rPr>
          <w:lang w:val="en-US"/>
        </w:rPr>
        <w:t xml:space="preserve"> tolerated in elderly patients.</w:t>
      </w:r>
    </w:p>
    <w:p w:rsidR="00397FF1" w:rsidRDefault="00397FF1" w:rsidP="00FB36A4">
      <w:pPr>
        <w:rPr>
          <w:lang w:val="en-US"/>
        </w:rPr>
      </w:pPr>
      <w:r>
        <w:rPr>
          <w:lang w:val="en-US"/>
        </w:rPr>
        <w:t xml:space="preserve">In a study of 445 patients, as initial therapy for newly diagnosed MM, lenalidomide plus </w:t>
      </w:r>
      <w:r w:rsidR="00D14723">
        <w:rPr>
          <w:lang w:val="en-US"/>
        </w:rPr>
        <w:t xml:space="preserve">HD </w:t>
      </w:r>
      <w:r w:rsidR="00D14723">
        <w:t>dexamethasone</w:t>
      </w:r>
      <w:r w:rsidR="00D14723">
        <w:rPr>
          <w:lang w:val="en-US"/>
        </w:rPr>
        <w:t xml:space="preserve"> </w:t>
      </w:r>
      <w:r>
        <w:rPr>
          <w:lang w:val="en-US"/>
        </w:rPr>
        <w:t>was associat</w:t>
      </w:r>
      <w:r w:rsidR="00936A5E">
        <w:rPr>
          <w:lang w:val="en-US"/>
        </w:rPr>
        <w:t xml:space="preserve">ed with better response (79% versus </w:t>
      </w:r>
      <w:r>
        <w:rPr>
          <w:lang w:val="en-US"/>
        </w:rPr>
        <w:t>68%, p</w:t>
      </w:r>
      <w:r w:rsidR="00936A5E">
        <w:rPr>
          <w:lang w:val="en-US"/>
        </w:rPr>
        <w:t xml:space="preserve"> </w:t>
      </w:r>
      <w:r>
        <w:rPr>
          <w:lang w:val="en-US"/>
        </w:rPr>
        <w:t>=</w:t>
      </w:r>
      <w:r w:rsidR="00936A5E">
        <w:rPr>
          <w:lang w:val="en-US"/>
        </w:rPr>
        <w:t xml:space="preserve"> </w:t>
      </w:r>
      <w:r>
        <w:rPr>
          <w:lang w:val="en-US"/>
        </w:rPr>
        <w:t xml:space="preserve">0.008), although toxicity was higher (deep vein thrombosis [DVT] 26% </w:t>
      </w:r>
      <w:r w:rsidR="00C417FC">
        <w:rPr>
          <w:lang w:val="en-US"/>
        </w:rPr>
        <w:t>versus</w:t>
      </w:r>
      <w:r>
        <w:rPr>
          <w:lang w:val="en-US"/>
        </w:rPr>
        <w:t xml:space="preserve"> 12%, infections including pneumonia 16% </w:t>
      </w:r>
      <w:r w:rsidR="00A93932">
        <w:rPr>
          <w:lang w:val="en-US"/>
        </w:rPr>
        <w:t>versus</w:t>
      </w:r>
      <w:r>
        <w:rPr>
          <w:lang w:val="en-US"/>
        </w:rPr>
        <w:t xml:space="preserve"> 9%, and fatigue 15% </w:t>
      </w:r>
      <w:r w:rsidR="00A93932">
        <w:rPr>
          <w:lang w:val="en-US"/>
        </w:rPr>
        <w:t>versus</w:t>
      </w:r>
      <w:r>
        <w:rPr>
          <w:lang w:val="en-US"/>
        </w:rPr>
        <w:t xml:space="preserve"> 9%). Short term OS was b</w:t>
      </w:r>
      <w:r w:rsidR="00A93932">
        <w:rPr>
          <w:lang w:val="en-US"/>
        </w:rPr>
        <w:t xml:space="preserve">etter with lenalidomide + LD </w:t>
      </w:r>
      <w:r w:rsidR="00A93932">
        <w:t>dexamethasone</w:t>
      </w:r>
      <w:r>
        <w:rPr>
          <w:lang w:val="en-US"/>
        </w:rPr>
        <w:t xml:space="preserve"> (96% </w:t>
      </w:r>
      <w:r w:rsidR="006F1C8D">
        <w:rPr>
          <w:lang w:val="en-US"/>
        </w:rPr>
        <w:t>versus</w:t>
      </w:r>
      <w:r w:rsidR="00A11232">
        <w:rPr>
          <w:lang w:val="en-US"/>
        </w:rPr>
        <w:t xml:space="preserve"> 87% at 1 year, p = 0.002).</w:t>
      </w:r>
    </w:p>
    <w:p w:rsidR="00397FF1" w:rsidRDefault="000B3E5D" w:rsidP="00FB36A4">
      <w:r>
        <w:rPr>
          <w:lang w:val="en-US"/>
        </w:rPr>
        <w:t>The non</w:t>
      </w:r>
      <w:r w:rsidR="00397FF1">
        <w:rPr>
          <w:lang w:val="en-US"/>
        </w:rPr>
        <w:t xml:space="preserve">clinical and clinical experience with lenalidomide in combination with dexamethasone provided an additional rationale for the evaluation of the combination of pomalidomide and dexamethasone. </w:t>
      </w:r>
      <w:r w:rsidR="002913D8">
        <w:rPr>
          <w:lang w:val="en-US"/>
        </w:rPr>
        <w:t>LD</w:t>
      </w:r>
      <w:r w:rsidR="00397FF1">
        <w:rPr>
          <w:lang w:val="en-US"/>
        </w:rPr>
        <w:t xml:space="preserve"> dexamethasone at 40 mg weekly was proposed to be used in combination with pomalidomide, which had already been shown to be effective in early clinical </w:t>
      </w:r>
      <w:r w:rsidR="00397FF1">
        <w:t>studies.</w:t>
      </w:r>
    </w:p>
    <w:p w:rsidR="00397FF1" w:rsidRPr="000B3E5D" w:rsidRDefault="00397FF1" w:rsidP="00C006EF">
      <w:pPr>
        <w:ind w:left="426"/>
        <w:rPr>
          <w:i/>
        </w:rPr>
      </w:pPr>
      <w:r w:rsidRPr="000B3E5D">
        <w:rPr>
          <w:i/>
        </w:rPr>
        <w:t xml:space="preserve">Comment: The rationale for the clinical study of pomalidomide and </w:t>
      </w:r>
      <w:r w:rsidR="00CB01DA">
        <w:rPr>
          <w:i/>
        </w:rPr>
        <w:t>LD</w:t>
      </w:r>
      <w:r w:rsidRPr="000B3E5D">
        <w:rPr>
          <w:i/>
        </w:rPr>
        <w:t xml:space="preserve"> dexamethasone in patients with relapsed or refractory MM is acceptable although the contribution of LD dexamethasone compared to pomalidomide alone is unknown and was not the object of the pivotal Phase III study.</w:t>
      </w:r>
    </w:p>
    <w:p w:rsidR="00605AD4" w:rsidRPr="00605AD4" w:rsidRDefault="00605AD4" w:rsidP="00FB36A4">
      <w:pPr>
        <w:pStyle w:val="Heading4"/>
      </w:pPr>
      <w:r w:rsidRPr="00605AD4">
        <w:t>Guidance</w:t>
      </w:r>
    </w:p>
    <w:p w:rsidR="006D6A1E" w:rsidRPr="006D6A1E" w:rsidRDefault="00756B13" w:rsidP="00FB36A4">
      <w:r w:rsidRPr="00756B13">
        <w:t>A number of issues had been identified by the TG</w:t>
      </w:r>
      <w:r>
        <w:t>A in its planning letter of 12</w:t>
      </w:r>
      <w:r w:rsidRPr="00756B13">
        <w:t xml:space="preserve"> July 2013. All had been addressed and the submitted documents updated.</w:t>
      </w:r>
    </w:p>
    <w:p w:rsidR="00605AD4" w:rsidRPr="00605AD4" w:rsidRDefault="00605AD4" w:rsidP="00FB36A4">
      <w:pPr>
        <w:pStyle w:val="Heading4"/>
      </w:pPr>
      <w:r w:rsidRPr="00605AD4">
        <w:t>Contents of the clinical dossier</w:t>
      </w:r>
    </w:p>
    <w:p w:rsidR="00756B13" w:rsidRPr="00756B13" w:rsidRDefault="00756B13" w:rsidP="007348A7">
      <w:pPr>
        <w:pStyle w:val="ListBullet"/>
      </w:pPr>
      <w:r w:rsidRPr="00756B13">
        <w:t xml:space="preserve">Eight (8) clinical pharmacology studies, including 5 on healthy subjects and 3 on patients with </w:t>
      </w:r>
      <w:r w:rsidRPr="007348A7">
        <w:t>MM</w:t>
      </w:r>
      <w:r w:rsidRPr="00756B13">
        <w:t xml:space="preserve"> provided pharmacokinetic data. Two of the 5 were bioequivalence studies, 2 determined </w:t>
      </w:r>
      <w:r w:rsidR="00242E62" w:rsidRPr="00756B13">
        <w:t>pharmacokinetic</w:t>
      </w:r>
      <w:r w:rsidRPr="00756B13">
        <w:t xml:space="preserve"> properties</w:t>
      </w:r>
      <w:r w:rsidR="00242E62">
        <w:t>, and 1 ADME</w:t>
      </w:r>
      <w:r w:rsidRPr="00756B13">
        <w:t xml:space="preserve">. </w:t>
      </w:r>
      <w:r w:rsidR="005F7004">
        <w:t>Three studies included pharmacodynamic</w:t>
      </w:r>
      <w:r w:rsidRPr="00756B13">
        <w:t xml:space="preserve"> assessments of the effect of pomalidomide on CD4 and CD8 cells, cytokine production, serum paraprotein concentration</w:t>
      </w:r>
      <w:r w:rsidR="00D10A27">
        <w:t>,</w:t>
      </w:r>
      <w:r w:rsidRPr="00756B13">
        <w:t xml:space="preserve"> and neutrophil numbers. Efficacy outcomes reflect the </w:t>
      </w:r>
      <w:r w:rsidR="00D10A27">
        <w:t>pharmacodynamic</w:t>
      </w:r>
      <w:r w:rsidRPr="00756B13">
        <w:t xml:space="preserve"> properties of pomalidomide </w:t>
      </w:r>
      <w:r w:rsidRPr="00756B13">
        <w:lastRenderedPageBreak/>
        <w:t xml:space="preserve">in its effects on the myeloma disease process, while safety issues reflected its </w:t>
      </w:r>
      <w:r w:rsidR="00956830">
        <w:t>pharmacodynamic</w:t>
      </w:r>
      <w:r w:rsidRPr="00756B13">
        <w:t xml:space="preserve"> effects on the body’s normal tissues such as bone marrow and the production of normal blood cells. These will be assessed from data in the relevant clinical trials</w:t>
      </w:r>
    </w:p>
    <w:p w:rsidR="00756B13" w:rsidRPr="00756B13" w:rsidRDefault="00756B13" w:rsidP="00FB36A4">
      <w:pPr>
        <w:pStyle w:val="ListBullet"/>
      </w:pPr>
      <w:r w:rsidRPr="00756B13">
        <w:t xml:space="preserve">Preliminary </w:t>
      </w:r>
      <w:r w:rsidR="00387FE7">
        <w:t>pharmacokinetic</w:t>
      </w:r>
      <w:r w:rsidRPr="00756B13">
        <w:t xml:space="preserve"> data was obtained in t</w:t>
      </w:r>
      <w:r w:rsidR="00387FE7">
        <w:t>he pivotal Phase III</w:t>
      </w:r>
      <w:r w:rsidRPr="00756B13">
        <w:t xml:space="preserve"> trial but a definitive analysis of population pharmacok</w:t>
      </w:r>
      <w:r w:rsidR="00FB36A4">
        <w:t>inetic is to be completed later</w:t>
      </w:r>
    </w:p>
    <w:p w:rsidR="00756B13" w:rsidRPr="00756B13" w:rsidRDefault="00756B13" w:rsidP="00FB36A4">
      <w:pPr>
        <w:pStyle w:val="ListBullet"/>
      </w:pPr>
      <w:r w:rsidRPr="00756B13">
        <w:t xml:space="preserve">Two of the 3 </w:t>
      </w:r>
      <w:r w:rsidR="00387FE7">
        <w:t>pharmacokinetic</w:t>
      </w:r>
      <w:r w:rsidRPr="00756B13">
        <w:t xml:space="preserve"> studies in patients with MM were ascending dose studies to determine the </w:t>
      </w:r>
      <w:r w:rsidR="009441B0" w:rsidRPr="009441B0">
        <w:t xml:space="preserve">maximum tolerated dose </w:t>
      </w:r>
      <w:r w:rsidR="009441B0">
        <w:t>(</w:t>
      </w:r>
      <w:r w:rsidRPr="00756B13">
        <w:t>MTD</w:t>
      </w:r>
      <w:r w:rsidR="009441B0">
        <w:t>)</w:t>
      </w:r>
    </w:p>
    <w:p w:rsidR="00756B13" w:rsidRPr="00756B13" w:rsidRDefault="00756B13" w:rsidP="00FB36A4">
      <w:pPr>
        <w:pStyle w:val="ListBullet"/>
      </w:pPr>
      <w:r w:rsidRPr="00756B13">
        <w:t xml:space="preserve">Two studies of efficacy and safety were Phase </w:t>
      </w:r>
      <w:r w:rsidR="009441B0">
        <w:t>II</w:t>
      </w:r>
      <w:r w:rsidRPr="00756B13">
        <w:t xml:space="preserve"> studies (CC-4047-002 and IFM 2009-02) and one was pivotal Phase </w:t>
      </w:r>
      <w:r w:rsidR="00EF180A">
        <w:t>III</w:t>
      </w:r>
      <w:r w:rsidRPr="00756B13">
        <w:t xml:space="preserve"> trial (CC-4047-MM003). Two additional Phase </w:t>
      </w:r>
      <w:r w:rsidR="00760520">
        <w:t>I</w:t>
      </w:r>
      <w:r w:rsidRPr="00756B13">
        <w:t xml:space="preserve"> studies (CC-4047-MM-001 and CC-4047-MM-002) were also submitte</w:t>
      </w:r>
      <w:r w:rsidR="00FB36A4">
        <w:t>d, mainly for safety assessment</w:t>
      </w:r>
    </w:p>
    <w:p w:rsidR="00605AD4" w:rsidRPr="00605AD4" w:rsidRDefault="00605AD4" w:rsidP="007348A7">
      <w:pPr>
        <w:pStyle w:val="Heading4"/>
      </w:pPr>
      <w:r w:rsidRPr="00605AD4">
        <w:t>Paediatric data</w:t>
      </w:r>
    </w:p>
    <w:p w:rsidR="00756B13" w:rsidRPr="00133469" w:rsidRDefault="00756B13" w:rsidP="00FB36A4">
      <w:r w:rsidRPr="00133469">
        <w:t>The submission did not include pa</w:t>
      </w:r>
      <w:r w:rsidR="00133469">
        <w:t>ediatric data. T</w:t>
      </w:r>
      <w:r w:rsidRPr="00133469">
        <w:t>he Paediatric Development Plan stated that the EU had given a waiver for paediatric data. The FDA did not require such data because of the orphan designation of pomalidomide.</w:t>
      </w:r>
    </w:p>
    <w:p w:rsidR="00605AD4" w:rsidRDefault="00605AD4" w:rsidP="00FB36A4">
      <w:pPr>
        <w:pStyle w:val="Heading4"/>
      </w:pPr>
      <w:r w:rsidRPr="00605AD4">
        <w:t>Good clinical practice</w:t>
      </w:r>
    </w:p>
    <w:p w:rsidR="007B5760" w:rsidRDefault="007B5760" w:rsidP="00FB36A4">
      <w:pPr>
        <w:pStyle w:val="Heading5"/>
        <w:rPr>
          <w:rFonts w:eastAsia="TimesNewRoman,Bold"/>
          <w:lang w:val="en-US"/>
        </w:rPr>
      </w:pPr>
      <w:r>
        <w:rPr>
          <w:rFonts w:eastAsia="TimesNewRoman,Bold"/>
          <w:lang w:val="en-US"/>
        </w:rPr>
        <w:t xml:space="preserve">Ethical </w:t>
      </w:r>
      <w:r w:rsidR="00BD6CC7">
        <w:rPr>
          <w:rFonts w:eastAsia="TimesNewRoman,Bold"/>
          <w:lang w:val="en-US"/>
        </w:rPr>
        <w:t>c</w:t>
      </w:r>
      <w:r>
        <w:rPr>
          <w:rFonts w:eastAsia="TimesNewRoman,Bold"/>
          <w:lang w:val="en-US"/>
        </w:rPr>
        <w:t xml:space="preserve">onduct of the </w:t>
      </w:r>
      <w:r w:rsidR="00BD6CC7">
        <w:rPr>
          <w:rFonts w:eastAsia="TimesNewRoman,Bold"/>
          <w:lang w:val="en-US"/>
        </w:rPr>
        <w:t>s</w:t>
      </w:r>
      <w:r>
        <w:rPr>
          <w:rFonts w:eastAsia="TimesNewRoman,Bold"/>
          <w:lang w:val="en-US"/>
        </w:rPr>
        <w:t>tudy</w:t>
      </w:r>
    </w:p>
    <w:p w:rsidR="007B5760" w:rsidRDefault="00760520" w:rsidP="00FB36A4">
      <w:pPr>
        <w:rPr>
          <w:lang w:val="en-US"/>
        </w:rPr>
      </w:pPr>
      <w:r>
        <w:rPr>
          <w:rFonts w:cs="Cambria"/>
        </w:rPr>
        <w:t>The pivotal Phase III</w:t>
      </w:r>
      <w:r w:rsidR="007B5760">
        <w:rPr>
          <w:rFonts w:cs="Cambria"/>
        </w:rPr>
        <w:t xml:space="preserve"> study, CC-4047-MM-003 </w:t>
      </w:r>
      <w:r w:rsidR="007B5760">
        <w:rPr>
          <w:lang w:val="en-US"/>
        </w:rPr>
        <w:t xml:space="preserve">was conducted in accordance with </w:t>
      </w:r>
      <w:r w:rsidR="002A3763">
        <w:rPr>
          <w:lang w:val="en-US"/>
        </w:rPr>
        <w:t xml:space="preserve">the sponsor’s </w:t>
      </w:r>
      <w:r w:rsidR="007B5760">
        <w:rPr>
          <w:lang w:val="en-US"/>
        </w:rPr>
        <w:t xml:space="preserve">standard operating procedures (SOPs) and working procedures (WPs), which were designed to ensure adherence to Good Clinical Practice (GCP), as defined in the </w:t>
      </w:r>
      <w:r w:rsidR="00C8501C">
        <w:rPr>
          <w:lang w:val="en-US"/>
        </w:rPr>
        <w:t>ICH</w:t>
      </w:r>
      <w:r w:rsidR="007B5760">
        <w:rPr>
          <w:lang w:val="en-US"/>
        </w:rPr>
        <w:t xml:space="preserve"> requirements for GCP</w:t>
      </w:r>
      <w:r w:rsidR="00C8501C">
        <w:rPr>
          <w:rStyle w:val="FootnoteReference"/>
          <w:rFonts w:eastAsia="TimesNewRoman"/>
          <w:lang w:val="en-US"/>
        </w:rPr>
        <w:footnoteReference w:id="10"/>
      </w:r>
      <w:r w:rsidR="007B5760">
        <w:rPr>
          <w:lang w:val="en-US"/>
        </w:rPr>
        <w:t xml:space="preserve"> and in accordance with the ethical principles outlined in the Declaration of Helsinki.</w:t>
      </w:r>
    </w:p>
    <w:p w:rsidR="007B5760" w:rsidRDefault="007B5760" w:rsidP="00FB36A4">
      <w:pPr>
        <w:pStyle w:val="Heading5"/>
        <w:rPr>
          <w:rFonts w:eastAsia="TimesNewRoman,Bold"/>
        </w:rPr>
      </w:pPr>
      <w:r>
        <w:rPr>
          <w:rFonts w:eastAsia="TimesNewRoman,Bold"/>
        </w:rPr>
        <w:t xml:space="preserve">Patient </w:t>
      </w:r>
      <w:r w:rsidR="00BD6CC7">
        <w:rPr>
          <w:rFonts w:eastAsia="TimesNewRoman,Bold"/>
        </w:rPr>
        <w:t>i</w:t>
      </w:r>
      <w:r>
        <w:rPr>
          <w:rFonts w:eastAsia="TimesNewRoman,Bold"/>
        </w:rPr>
        <w:t xml:space="preserve">nformation and </w:t>
      </w:r>
      <w:r w:rsidR="00BD6CC7">
        <w:rPr>
          <w:rFonts w:eastAsia="TimesNewRoman,Bold"/>
        </w:rPr>
        <w:t>c</w:t>
      </w:r>
      <w:r>
        <w:rPr>
          <w:rFonts w:eastAsia="TimesNewRoman,Bold"/>
        </w:rPr>
        <w:t>onsent</w:t>
      </w:r>
    </w:p>
    <w:p w:rsidR="007B5760" w:rsidRDefault="007B5760" w:rsidP="00FB36A4">
      <w:pPr>
        <w:rPr>
          <w:lang w:val="en-US"/>
        </w:rPr>
      </w:pPr>
      <w:r>
        <w:rPr>
          <w:lang w:val="en-US"/>
        </w:rPr>
        <w:t xml:space="preserve">An informed consent form (ICF) explaining the procedures of the study, including the potential hazards, was reviewed and approved by the </w:t>
      </w:r>
      <w:r w:rsidR="00587C7F">
        <w:rPr>
          <w:lang w:val="en-US"/>
        </w:rPr>
        <w:t>Institutional Review Board (</w:t>
      </w:r>
      <w:r>
        <w:rPr>
          <w:lang w:val="en-US"/>
        </w:rPr>
        <w:t>IRB</w:t>
      </w:r>
      <w:r w:rsidR="00587C7F">
        <w:rPr>
          <w:lang w:val="en-US"/>
        </w:rPr>
        <w:t>)</w:t>
      </w:r>
      <w:r>
        <w:rPr>
          <w:lang w:val="en-US"/>
        </w:rPr>
        <w:t xml:space="preserve"> and </w:t>
      </w:r>
      <w:r w:rsidR="00587C7F">
        <w:rPr>
          <w:lang w:val="en-US"/>
        </w:rPr>
        <w:t>Independent Ethics Committee (</w:t>
      </w:r>
      <w:r>
        <w:rPr>
          <w:lang w:val="en-US"/>
        </w:rPr>
        <w:t>IEC</w:t>
      </w:r>
      <w:r w:rsidR="00587C7F">
        <w:rPr>
          <w:lang w:val="en-US"/>
        </w:rPr>
        <w:t>)</w:t>
      </w:r>
      <w:r>
        <w:rPr>
          <w:lang w:val="en-US"/>
        </w:rPr>
        <w:t xml:space="preserve"> prior to its use. Prior to entering the study, the ICF was read by and explained t</w:t>
      </w:r>
      <w:r w:rsidR="00BC3332">
        <w:rPr>
          <w:lang w:val="en-US"/>
        </w:rPr>
        <w:t xml:space="preserve">o all subjects or their legally </w:t>
      </w:r>
      <w:r>
        <w:rPr>
          <w:lang w:val="en-US"/>
        </w:rPr>
        <w:t>authori</w:t>
      </w:r>
      <w:r w:rsidR="0062314A">
        <w:rPr>
          <w:lang w:val="en-US"/>
        </w:rPr>
        <w:t>s</w:t>
      </w:r>
      <w:r>
        <w:rPr>
          <w:lang w:val="en-US"/>
        </w:rPr>
        <w:t>ed representative. Each subject had ample opportunity to ask questions and was assured of the right to withdraw from the study at any time without any disadvantage and without having to provide a reason for this decision.</w:t>
      </w:r>
    </w:p>
    <w:p w:rsidR="007B5760" w:rsidRDefault="007B5760" w:rsidP="00FB36A4">
      <w:pPr>
        <w:rPr>
          <w:lang w:val="en-US"/>
        </w:rPr>
      </w:pPr>
      <w:r>
        <w:rPr>
          <w:lang w:val="en-US"/>
        </w:rPr>
        <w:t>Each subject was required to sign an ICF to participate in the study. If the subject was not capable of providing a signature, an oral statement of consent could have been given in the presence of a witness. Each subject or representative received a signed and dated copy of the ICF.</w:t>
      </w:r>
    </w:p>
    <w:p w:rsidR="007B5760" w:rsidRDefault="007B5760" w:rsidP="00FB36A4">
      <w:pPr>
        <w:rPr>
          <w:lang w:val="en-US"/>
        </w:rPr>
      </w:pPr>
      <w:bookmarkStart w:id="88" w:name="_Toc241374282"/>
      <w:r>
        <w:rPr>
          <w:lang w:val="en-US"/>
        </w:rPr>
        <w:t>A sample ICF and the written information given to the subject were provided.</w:t>
      </w:r>
    </w:p>
    <w:p w:rsidR="007B5760" w:rsidRDefault="007B5760" w:rsidP="00FB36A4">
      <w:pPr>
        <w:pStyle w:val="Heading5"/>
        <w:rPr>
          <w:rFonts w:eastAsia="TimesNewRoman,Bold"/>
          <w:lang w:val="en-US"/>
        </w:rPr>
      </w:pPr>
      <w:r>
        <w:rPr>
          <w:rFonts w:eastAsia="TimesNewRoman,Bold"/>
          <w:lang w:val="en-US"/>
        </w:rPr>
        <w:t>Independent Ethics Committee (IEC) or Institutional Review Board (IRB)</w:t>
      </w:r>
      <w:bookmarkEnd w:id="88"/>
    </w:p>
    <w:p w:rsidR="007B5760" w:rsidRDefault="007B5760" w:rsidP="00FB36A4">
      <w:pPr>
        <w:rPr>
          <w:rFonts w:eastAsia="TimesNewRoman"/>
          <w:lang w:val="en-US"/>
        </w:rPr>
      </w:pPr>
      <w:r>
        <w:t>The protocol (and its amendments) were reviewed</w:t>
      </w:r>
      <w:r w:rsidR="00362233">
        <w:t xml:space="preserve"> and approved by each study site’</w:t>
      </w:r>
      <w:r>
        <w:t xml:space="preserve">s </w:t>
      </w:r>
      <w:r>
        <w:rPr>
          <w:rFonts w:eastAsia="TimesNewRoman"/>
          <w:lang w:val="en-US"/>
        </w:rPr>
        <w:t xml:space="preserve">IRB or IEC prior </w:t>
      </w:r>
      <w:r w:rsidR="00DA63AC">
        <w:rPr>
          <w:rFonts w:eastAsia="TimesNewRoman"/>
          <w:lang w:val="en-US"/>
        </w:rPr>
        <w:t xml:space="preserve">to the start of the study. </w:t>
      </w:r>
    </w:p>
    <w:p w:rsidR="007B5760" w:rsidRDefault="007B5760" w:rsidP="00FB36A4">
      <w:pPr>
        <w:pStyle w:val="Heading5"/>
        <w:rPr>
          <w:rFonts w:eastAsia="TimesNewRoman,Bold"/>
          <w:lang w:val="en-US"/>
        </w:rPr>
      </w:pPr>
      <w:r>
        <w:rPr>
          <w:rFonts w:eastAsia="TimesNewRoman,Bold"/>
          <w:lang w:val="en-US"/>
        </w:rPr>
        <w:t xml:space="preserve">Evaluation of </w:t>
      </w:r>
      <w:r w:rsidR="00251977">
        <w:rPr>
          <w:rFonts w:eastAsia="TimesNewRoman,Bold"/>
          <w:lang w:val="en-US"/>
        </w:rPr>
        <w:t>c</w:t>
      </w:r>
      <w:r>
        <w:rPr>
          <w:rFonts w:eastAsia="TimesNewRoman,Bold"/>
          <w:lang w:val="en-US"/>
        </w:rPr>
        <w:t>ompliance with Good Clinical Practice</w:t>
      </w:r>
    </w:p>
    <w:p w:rsidR="007B5760" w:rsidRDefault="007B5760" w:rsidP="00FB36A4">
      <w:r>
        <w:rPr>
          <w:lang w:val="en-US"/>
        </w:rPr>
        <w:t xml:space="preserve">The Celgene Clinical Research Physician, in conjunction with other study team members, was responsible for assessing the overall compliance of the study with GCP guidelines. </w:t>
      </w:r>
      <w:r>
        <w:rPr>
          <w:lang w:val="en-US"/>
        </w:rPr>
        <w:lastRenderedPageBreak/>
        <w:t>During the course of the study, compliance with GCP was reviewed by the study monitors on an ongoing basis and investigators were notified when issues were identified. Actions taken to ensure compliance with GCP included follow</w:t>
      </w:r>
      <w:r w:rsidR="004B5C29">
        <w:rPr>
          <w:lang w:val="en-US"/>
        </w:rPr>
        <w:t xml:space="preserve"> </w:t>
      </w:r>
      <w:r>
        <w:rPr>
          <w:lang w:val="en-US"/>
        </w:rPr>
        <w:t xml:space="preserve">up with sites to ensure that any departures were corrected in a timely manner, and when necessary, </w:t>
      </w:r>
      <w:r w:rsidR="004B5C29">
        <w:rPr>
          <w:lang w:val="en-US"/>
        </w:rPr>
        <w:t>i</w:t>
      </w:r>
      <w:r>
        <w:rPr>
          <w:lang w:val="en-US"/>
        </w:rPr>
        <w:t>nvestigators and other site personnel were re-trained on protocol</w:t>
      </w:r>
      <w:r w:rsidR="004B5C29">
        <w:rPr>
          <w:lang w:val="en-US"/>
        </w:rPr>
        <w:t xml:space="preserve"> </w:t>
      </w:r>
      <w:r>
        <w:rPr>
          <w:lang w:val="en-US"/>
        </w:rPr>
        <w:t xml:space="preserve">defined procedures. A listing of identified issues was provided. None </w:t>
      </w:r>
      <w:r>
        <w:t>of the issues had an impact on interpretation of the data or subject safety.</w:t>
      </w:r>
    </w:p>
    <w:p w:rsidR="008E7846" w:rsidRPr="00254787" w:rsidRDefault="008E7846" w:rsidP="007348A7">
      <w:pPr>
        <w:pStyle w:val="Heading3"/>
      </w:pPr>
      <w:bookmarkStart w:id="89" w:name="_Toc404176185"/>
      <w:r w:rsidRPr="007348A7">
        <w:t>Pharmacokinetics</w:t>
      </w:r>
      <w:bookmarkEnd w:id="65"/>
      <w:bookmarkEnd w:id="72"/>
      <w:bookmarkEnd w:id="73"/>
      <w:bookmarkEnd w:id="74"/>
      <w:bookmarkEnd w:id="89"/>
    </w:p>
    <w:p w:rsidR="00C4527C" w:rsidRPr="00FB36A4" w:rsidRDefault="00C4527C" w:rsidP="007348A7">
      <w:pPr>
        <w:pStyle w:val="Heading4"/>
        <w:rPr>
          <w:lang w:val="en-AU"/>
        </w:rPr>
      </w:pPr>
      <w:r>
        <w:t>Studies</w:t>
      </w:r>
      <w:r w:rsidR="00FB36A4">
        <w:t xml:space="preserve"> providing </w:t>
      </w:r>
      <w:r w:rsidR="00FB36A4" w:rsidRPr="007348A7">
        <w:t>pharmacokinetic</w:t>
      </w:r>
      <w:r w:rsidR="00FB36A4">
        <w:t xml:space="preserve"> data</w:t>
      </w:r>
    </w:p>
    <w:p w:rsidR="008E7846" w:rsidRDefault="00A6084F" w:rsidP="00FB36A4">
      <w:r>
        <w:t>Submitted pharmacokinetic studies are shown in Table 3.</w:t>
      </w:r>
    </w:p>
    <w:p w:rsidR="00A6084F" w:rsidRDefault="00A6084F" w:rsidP="00FB36A4">
      <w:pPr>
        <w:pStyle w:val="TableTitle"/>
      </w:pPr>
      <w:r>
        <w:t xml:space="preserve">Table </w:t>
      </w:r>
      <w:r w:rsidR="001952D4">
        <w:t>3</w:t>
      </w:r>
      <w:r>
        <w:t>:</w:t>
      </w:r>
      <w:r w:rsidRPr="004C5C28">
        <w:t xml:space="preserve"> </w:t>
      </w:r>
      <w:r w:rsidR="00782053">
        <w:t>Submitted pharmacokinetic studies</w:t>
      </w:r>
      <w:r>
        <w:t>.</w:t>
      </w:r>
    </w:p>
    <w:tbl>
      <w:tblPr>
        <w:tblW w:w="79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51"/>
        <w:gridCol w:w="3969"/>
        <w:gridCol w:w="1985"/>
      </w:tblGrid>
      <w:tr w:rsidR="006D3D88" w:rsidTr="007348A7">
        <w:trPr>
          <w:tblHeader/>
        </w:trPr>
        <w:tc>
          <w:tcPr>
            <w:tcW w:w="1951" w:type="dxa"/>
            <w:shd w:val="clear" w:color="auto" w:fill="006DA7"/>
          </w:tcPr>
          <w:p w:rsidR="006D3D88" w:rsidRPr="007348A7" w:rsidRDefault="006D3D88" w:rsidP="007348A7">
            <w:pPr>
              <w:tabs>
                <w:tab w:val="left" w:pos="1701"/>
              </w:tabs>
              <w:rPr>
                <w:b/>
                <w:color w:val="FFFFFF"/>
              </w:rPr>
            </w:pPr>
            <w:r w:rsidRPr="007348A7">
              <w:rPr>
                <w:b/>
                <w:color w:val="FFFFFF"/>
              </w:rPr>
              <w:t>PK topic</w:t>
            </w:r>
          </w:p>
        </w:tc>
        <w:tc>
          <w:tcPr>
            <w:tcW w:w="3969" w:type="dxa"/>
            <w:shd w:val="clear" w:color="auto" w:fill="006DA7"/>
          </w:tcPr>
          <w:p w:rsidR="006D3D88" w:rsidRPr="007348A7" w:rsidRDefault="006D3D88" w:rsidP="007348A7">
            <w:pPr>
              <w:tabs>
                <w:tab w:val="left" w:pos="1701"/>
              </w:tabs>
              <w:rPr>
                <w:b/>
                <w:color w:val="FFFFFF"/>
              </w:rPr>
            </w:pPr>
            <w:r w:rsidRPr="007348A7">
              <w:rPr>
                <w:b/>
                <w:color w:val="FFFFFF"/>
              </w:rPr>
              <w:t>Subtopic</w:t>
            </w:r>
          </w:p>
        </w:tc>
        <w:tc>
          <w:tcPr>
            <w:tcW w:w="1985" w:type="dxa"/>
            <w:shd w:val="clear" w:color="auto" w:fill="006DA7"/>
          </w:tcPr>
          <w:p w:rsidR="006D3D88" w:rsidRPr="007348A7" w:rsidRDefault="006D3D88" w:rsidP="007348A7">
            <w:pPr>
              <w:tabs>
                <w:tab w:val="left" w:pos="1701"/>
              </w:tabs>
              <w:rPr>
                <w:b/>
                <w:color w:val="FFFFFF"/>
              </w:rPr>
            </w:pPr>
            <w:r w:rsidRPr="007348A7">
              <w:rPr>
                <w:b/>
                <w:color w:val="FFFFFF"/>
              </w:rPr>
              <w:t>Study ID</w:t>
            </w:r>
          </w:p>
        </w:tc>
      </w:tr>
      <w:tr w:rsidR="006D3D88" w:rsidTr="007348A7">
        <w:tc>
          <w:tcPr>
            <w:tcW w:w="1951" w:type="dxa"/>
            <w:vMerge w:val="restart"/>
            <w:shd w:val="clear" w:color="auto" w:fill="auto"/>
          </w:tcPr>
          <w:p w:rsidR="006D3D88" w:rsidRPr="007B1E68" w:rsidRDefault="006D3D88" w:rsidP="007348A7">
            <w:pPr>
              <w:tabs>
                <w:tab w:val="left" w:pos="1701"/>
              </w:tabs>
              <w:rPr>
                <w:color w:val="000000"/>
              </w:rPr>
            </w:pPr>
            <w:r w:rsidRPr="007B1E68">
              <w:rPr>
                <w:color w:val="000000"/>
              </w:rPr>
              <w:t>PK in healthy adults</w:t>
            </w:r>
          </w:p>
        </w:tc>
        <w:tc>
          <w:tcPr>
            <w:tcW w:w="3969" w:type="dxa"/>
            <w:shd w:val="clear" w:color="auto" w:fill="auto"/>
          </w:tcPr>
          <w:p w:rsidR="006D3D88" w:rsidRPr="007B1E68" w:rsidRDefault="006D3D88" w:rsidP="007348A7">
            <w:pPr>
              <w:tabs>
                <w:tab w:val="left" w:pos="1701"/>
              </w:tabs>
              <w:rPr>
                <w:color w:val="000000"/>
              </w:rPr>
            </w:pPr>
            <w:r w:rsidRPr="007B1E68">
              <w:rPr>
                <w:color w:val="000000"/>
              </w:rPr>
              <w:t>General PK</w:t>
            </w:r>
            <w:r w:rsidRPr="007B1E68">
              <w:rPr>
                <w:color w:val="000000"/>
              </w:rPr>
              <w:tab/>
              <w:t>Single dose</w:t>
            </w:r>
          </w:p>
        </w:tc>
        <w:tc>
          <w:tcPr>
            <w:tcW w:w="1985" w:type="dxa"/>
            <w:shd w:val="clear" w:color="auto" w:fill="auto"/>
          </w:tcPr>
          <w:p w:rsidR="006D3D88" w:rsidRPr="007B1E68" w:rsidRDefault="006D3D88" w:rsidP="007348A7">
            <w:pPr>
              <w:tabs>
                <w:tab w:val="left" w:pos="1701"/>
              </w:tabs>
              <w:rPr>
                <w:color w:val="000000"/>
              </w:rPr>
            </w:pPr>
            <w:r w:rsidRPr="007B1E68">
              <w:rPr>
                <w:color w:val="000000"/>
              </w:rPr>
              <w:t>1398/132</w:t>
            </w:r>
          </w:p>
        </w:tc>
      </w:tr>
      <w:tr w:rsidR="006D3D88" w:rsidTr="007348A7">
        <w:tc>
          <w:tcPr>
            <w:tcW w:w="1951" w:type="dxa"/>
            <w:vMerge/>
            <w:shd w:val="clear" w:color="auto" w:fill="auto"/>
          </w:tcPr>
          <w:p w:rsidR="006D3D88" w:rsidRPr="007B1E68" w:rsidRDefault="006D3D88" w:rsidP="007348A7">
            <w:pPr>
              <w:tabs>
                <w:tab w:val="left" w:pos="1701"/>
              </w:tabs>
              <w:rPr>
                <w:color w:val="000000"/>
              </w:rPr>
            </w:pPr>
          </w:p>
        </w:tc>
        <w:tc>
          <w:tcPr>
            <w:tcW w:w="3969" w:type="dxa"/>
            <w:shd w:val="clear" w:color="auto" w:fill="auto"/>
          </w:tcPr>
          <w:p w:rsidR="006D3D88" w:rsidRPr="007B1E68" w:rsidRDefault="006D3D88" w:rsidP="007348A7">
            <w:pPr>
              <w:tabs>
                <w:tab w:val="left" w:pos="1701"/>
              </w:tabs>
              <w:rPr>
                <w:color w:val="000000"/>
              </w:rPr>
            </w:pPr>
          </w:p>
        </w:tc>
        <w:tc>
          <w:tcPr>
            <w:tcW w:w="1985" w:type="dxa"/>
            <w:shd w:val="clear" w:color="auto" w:fill="auto"/>
          </w:tcPr>
          <w:p w:rsidR="006D3D88" w:rsidRPr="007B1E68" w:rsidRDefault="006D3D88" w:rsidP="007348A7">
            <w:pPr>
              <w:tabs>
                <w:tab w:val="left" w:pos="1701"/>
              </w:tabs>
              <w:rPr>
                <w:color w:val="000000"/>
              </w:rPr>
            </w:pPr>
            <w:r w:rsidRPr="007B1E68">
              <w:rPr>
                <w:color w:val="000000"/>
              </w:rPr>
              <w:t>CC-4047-CP-004</w:t>
            </w:r>
          </w:p>
        </w:tc>
      </w:tr>
      <w:tr w:rsidR="006D3D88" w:rsidTr="007348A7">
        <w:tc>
          <w:tcPr>
            <w:tcW w:w="1951" w:type="dxa"/>
            <w:vMerge/>
            <w:shd w:val="clear" w:color="auto" w:fill="auto"/>
          </w:tcPr>
          <w:p w:rsidR="006D3D88" w:rsidRPr="007B1E68" w:rsidRDefault="006D3D88" w:rsidP="007348A7">
            <w:pPr>
              <w:tabs>
                <w:tab w:val="left" w:pos="1701"/>
              </w:tabs>
              <w:rPr>
                <w:color w:val="000000"/>
              </w:rPr>
            </w:pPr>
          </w:p>
        </w:tc>
        <w:tc>
          <w:tcPr>
            <w:tcW w:w="3969" w:type="dxa"/>
            <w:shd w:val="clear" w:color="auto" w:fill="auto"/>
          </w:tcPr>
          <w:p w:rsidR="006D3D88" w:rsidRPr="007B1E68" w:rsidRDefault="006D3D88" w:rsidP="007348A7">
            <w:pPr>
              <w:tabs>
                <w:tab w:val="left" w:pos="1701"/>
              </w:tabs>
              <w:rPr>
                <w:color w:val="000000"/>
              </w:rPr>
            </w:pPr>
            <w:r w:rsidRPr="007B1E68">
              <w:rPr>
                <w:color w:val="000000"/>
              </w:rPr>
              <w:t>Multi-dose</w:t>
            </w:r>
          </w:p>
        </w:tc>
        <w:tc>
          <w:tcPr>
            <w:tcW w:w="1985" w:type="dxa"/>
            <w:shd w:val="clear" w:color="auto" w:fill="auto"/>
          </w:tcPr>
          <w:p w:rsidR="006D3D88" w:rsidRPr="007B1E68" w:rsidRDefault="006D3D88" w:rsidP="007348A7">
            <w:pPr>
              <w:tabs>
                <w:tab w:val="left" w:pos="1701"/>
              </w:tabs>
              <w:rPr>
                <w:color w:val="000000"/>
              </w:rPr>
            </w:pPr>
            <w:r w:rsidRPr="007B1E68">
              <w:rPr>
                <w:color w:val="000000"/>
              </w:rPr>
              <w:t>CC-4047-CP-006</w:t>
            </w:r>
          </w:p>
        </w:tc>
      </w:tr>
      <w:tr w:rsidR="006D3D88" w:rsidTr="007348A7">
        <w:tc>
          <w:tcPr>
            <w:tcW w:w="1951" w:type="dxa"/>
            <w:vMerge/>
            <w:shd w:val="clear" w:color="auto" w:fill="auto"/>
          </w:tcPr>
          <w:p w:rsidR="006D3D88" w:rsidRPr="007B1E68" w:rsidRDefault="006D3D88" w:rsidP="007348A7">
            <w:pPr>
              <w:tabs>
                <w:tab w:val="left" w:pos="1701"/>
              </w:tabs>
              <w:rPr>
                <w:color w:val="000000"/>
              </w:rPr>
            </w:pPr>
          </w:p>
        </w:tc>
        <w:tc>
          <w:tcPr>
            <w:tcW w:w="3969" w:type="dxa"/>
            <w:shd w:val="clear" w:color="auto" w:fill="auto"/>
          </w:tcPr>
          <w:p w:rsidR="006D3D88" w:rsidRPr="007B1E68" w:rsidRDefault="006D3D88" w:rsidP="007348A7">
            <w:pPr>
              <w:tabs>
                <w:tab w:val="left" w:pos="1701"/>
              </w:tabs>
              <w:rPr>
                <w:color w:val="000000"/>
              </w:rPr>
            </w:pPr>
            <w:r w:rsidRPr="007B1E68">
              <w:rPr>
                <w:color w:val="000000"/>
              </w:rPr>
              <w:t>Bioequivalence† Single dose</w:t>
            </w:r>
          </w:p>
        </w:tc>
        <w:tc>
          <w:tcPr>
            <w:tcW w:w="1985" w:type="dxa"/>
            <w:shd w:val="clear" w:color="auto" w:fill="auto"/>
          </w:tcPr>
          <w:p w:rsidR="006D3D88" w:rsidRPr="007B1E68" w:rsidRDefault="006D3D88" w:rsidP="007348A7">
            <w:pPr>
              <w:tabs>
                <w:tab w:val="left" w:pos="1701"/>
              </w:tabs>
              <w:rPr>
                <w:color w:val="000000"/>
              </w:rPr>
            </w:pPr>
            <w:r w:rsidRPr="007B1E68">
              <w:rPr>
                <w:color w:val="000000"/>
              </w:rPr>
              <w:t>CC-4047-CP-005</w:t>
            </w:r>
          </w:p>
        </w:tc>
      </w:tr>
      <w:tr w:rsidR="006D3D88" w:rsidTr="007348A7">
        <w:tc>
          <w:tcPr>
            <w:tcW w:w="1951" w:type="dxa"/>
            <w:vMerge/>
            <w:shd w:val="clear" w:color="auto" w:fill="auto"/>
          </w:tcPr>
          <w:p w:rsidR="006D3D88" w:rsidRPr="007B1E68" w:rsidRDefault="006D3D88" w:rsidP="007348A7">
            <w:pPr>
              <w:tabs>
                <w:tab w:val="left" w:pos="1701"/>
              </w:tabs>
              <w:rPr>
                <w:color w:val="000000"/>
              </w:rPr>
            </w:pPr>
          </w:p>
        </w:tc>
        <w:tc>
          <w:tcPr>
            <w:tcW w:w="3969" w:type="dxa"/>
            <w:shd w:val="clear" w:color="auto" w:fill="auto"/>
          </w:tcPr>
          <w:p w:rsidR="006D3D88" w:rsidRPr="007B1E68" w:rsidRDefault="006D3D88" w:rsidP="007348A7">
            <w:pPr>
              <w:tabs>
                <w:tab w:val="left" w:pos="1701"/>
              </w:tabs>
              <w:rPr>
                <w:color w:val="000000"/>
              </w:rPr>
            </w:pPr>
            <w:r w:rsidRPr="007B1E68">
              <w:rPr>
                <w:color w:val="000000"/>
              </w:rPr>
              <w:t>Multi-dose</w:t>
            </w:r>
          </w:p>
        </w:tc>
        <w:tc>
          <w:tcPr>
            <w:tcW w:w="1985" w:type="dxa"/>
            <w:shd w:val="clear" w:color="auto" w:fill="auto"/>
          </w:tcPr>
          <w:p w:rsidR="006D3D88" w:rsidRPr="007B1E68" w:rsidRDefault="006D3D88" w:rsidP="007348A7">
            <w:pPr>
              <w:tabs>
                <w:tab w:val="left" w:pos="1701"/>
              </w:tabs>
              <w:rPr>
                <w:color w:val="000000"/>
              </w:rPr>
            </w:pPr>
            <w:r w:rsidRPr="007B1E68">
              <w:rPr>
                <w:color w:val="000000"/>
              </w:rPr>
              <w:t>CC-4047-CP-007</w:t>
            </w:r>
          </w:p>
        </w:tc>
      </w:tr>
      <w:tr w:rsidR="006D3D88" w:rsidTr="007348A7">
        <w:tc>
          <w:tcPr>
            <w:tcW w:w="1951" w:type="dxa"/>
            <w:vMerge/>
            <w:shd w:val="clear" w:color="auto" w:fill="auto"/>
          </w:tcPr>
          <w:p w:rsidR="006D3D88" w:rsidRPr="007B1E68" w:rsidRDefault="006D3D88" w:rsidP="007348A7">
            <w:pPr>
              <w:tabs>
                <w:tab w:val="left" w:pos="1701"/>
              </w:tabs>
              <w:rPr>
                <w:color w:val="000000"/>
              </w:rPr>
            </w:pPr>
          </w:p>
        </w:tc>
        <w:tc>
          <w:tcPr>
            <w:tcW w:w="3969" w:type="dxa"/>
            <w:shd w:val="clear" w:color="auto" w:fill="auto"/>
          </w:tcPr>
          <w:p w:rsidR="006D3D88" w:rsidRPr="007B1E68" w:rsidRDefault="006D3D88" w:rsidP="007348A7">
            <w:pPr>
              <w:tabs>
                <w:tab w:val="left" w:pos="1701"/>
              </w:tabs>
              <w:rPr>
                <w:color w:val="000000"/>
              </w:rPr>
            </w:pPr>
            <w:r w:rsidRPr="007B1E68">
              <w:rPr>
                <w:color w:val="000000"/>
              </w:rPr>
              <w:t>Food effect</w:t>
            </w:r>
          </w:p>
        </w:tc>
        <w:tc>
          <w:tcPr>
            <w:tcW w:w="1985" w:type="dxa"/>
            <w:shd w:val="clear" w:color="auto" w:fill="auto"/>
          </w:tcPr>
          <w:p w:rsidR="006D3D88" w:rsidRPr="007B1E68" w:rsidRDefault="006D3D88" w:rsidP="007348A7">
            <w:pPr>
              <w:tabs>
                <w:tab w:val="left" w:pos="1701"/>
              </w:tabs>
              <w:rPr>
                <w:color w:val="000000"/>
              </w:rPr>
            </w:pPr>
            <w:r w:rsidRPr="007B1E68">
              <w:rPr>
                <w:color w:val="000000"/>
              </w:rPr>
              <w:t>CC-4047-CP-005</w:t>
            </w:r>
          </w:p>
        </w:tc>
      </w:tr>
      <w:tr w:rsidR="006D3D88" w:rsidTr="007348A7">
        <w:tc>
          <w:tcPr>
            <w:tcW w:w="1951" w:type="dxa"/>
            <w:vMerge w:val="restart"/>
            <w:shd w:val="clear" w:color="auto" w:fill="auto"/>
          </w:tcPr>
          <w:p w:rsidR="006D3D88" w:rsidRPr="007B1E68" w:rsidRDefault="006D3D88" w:rsidP="007348A7">
            <w:pPr>
              <w:tabs>
                <w:tab w:val="left" w:pos="1701"/>
              </w:tabs>
              <w:rPr>
                <w:color w:val="000000"/>
              </w:rPr>
            </w:pPr>
            <w:r w:rsidRPr="007B1E68">
              <w:rPr>
                <w:color w:val="000000"/>
              </w:rPr>
              <w:t>PK in special populations</w:t>
            </w:r>
          </w:p>
        </w:tc>
        <w:tc>
          <w:tcPr>
            <w:tcW w:w="3969" w:type="dxa"/>
            <w:shd w:val="clear" w:color="auto" w:fill="auto"/>
          </w:tcPr>
          <w:p w:rsidR="006D3D88" w:rsidRPr="007B1E68" w:rsidRDefault="006D3D88" w:rsidP="007348A7">
            <w:pPr>
              <w:tabs>
                <w:tab w:val="left" w:pos="1701"/>
              </w:tabs>
              <w:rPr>
                <w:color w:val="000000"/>
              </w:rPr>
            </w:pPr>
            <w:r w:rsidRPr="007B1E68">
              <w:rPr>
                <w:color w:val="000000"/>
              </w:rPr>
              <w:t>Target population §</w:t>
            </w:r>
            <w:r w:rsidRPr="007B1E68">
              <w:rPr>
                <w:color w:val="000000"/>
              </w:rPr>
              <w:tab/>
              <w:t xml:space="preserve"> Single dose</w:t>
            </w:r>
          </w:p>
        </w:tc>
        <w:tc>
          <w:tcPr>
            <w:tcW w:w="1985" w:type="dxa"/>
            <w:shd w:val="clear" w:color="auto" w:fill="auto"/>
          </w:tcPr>
          <w:p w:rsidR="006D3D88" w:rsidRPr="007B1E68" w:rsidRDefault="006D3D88" w:rsidP="007348A7">
            <w:pPr>
              <w:tabs>
                <w:tab w:val="left" w:pos="1701"/>
              </w:tabs>
              <w:rPr>
                <w:color w:val="000000"/>
              </w:rPr>
            </w:pPr>
          </w:p>
        </w:tc>
      </w:tr>
      <w:tr w:rsidR="006D3D88" w:rsidTr="007348A7">
        <w:tc>
          <w:tcPr>
            <w:tcW w:w="1951" w:type="dxa"/>
            <w:vMerge/>
            <w:shd w:val="clear" w:color="auto" w:fill="auto"/>
          </w:tcPr>
          <w:p w:rsidR="006D3D88" w:rsidRPr="007B1E68" w:rsidRDefault="006D3D88" w:rsidP="007348A7">
            <w:pPr>
              <w:tabs>
                <w:tab w:val="left" w:pos="1701"/>
              </w:tabs>
              <w:rPr>
                <w:color w:val="000000"/>
              </w:rPr>
            </w:pPr>
          </w:p>
        </w:tc>
        <w:tc>
          <w:tcPr>
            <w:tcW w:w="3969" w:type="dxa"/>
            <w:shd w:val="clear" w:color="auto" w:fill="auto"/>
          </w:tcPr>
          <w:p w:rsidR="006D3D88" w:rsidRPr="007B1E68" w:rsidRDefault="006D3D88" w:rsidP="007348A7">
            <w:pPr>
              <w:tabs>
                <w:tab w:val="left" w:pos="1701"/>
              </w:tabs>
              <w:rPr>
                <w:color w:val="000000"/>
              </w:rPr>
            </w:pPr>
            <w:r w:rsidRPr="007B1E68">
              <w:rPr>
                <w:color w:val="000000"/>
              </w:rPr>
              <w:t>Multi-dose</w:t>
            </w:r>
          </w:p>
        </w:tc>
        <w:tc>
          <w:tcPr>
            <w:tcW w:w="1985" w:type="dxa"/>
            <w:shd w:val="clear" w:color="auto" w:fill="auto"/>
          </w:tcPr>
          <w:p w:rsidR="006D3D88" w:rsidRPr="007B1E68" w:rsidRDefault="006D3D88" w:rsidP="007348A7">
            <w:pPr>
              <w:tabs>
                <w:tab w:val="left" w:pos="1701"/>
              </w:tabs>
              <w:rPr>
                <w:color w:val="000000"/>
              </w:rPr>
            </w:pPr>
            <w:r w:rsidRPr="007B1E68">
              <w:rPr>
                <w:color w:val="000000"/>
              </w:rPr>
              <w:t>CC-4047-MM-001-PK</w:t>
            </w:r>
          </w:p>
        </w:tc>
      </w:tr>
      <w:tr w:rsidR="006D3D88" w:rsidTr="007348A7">
        <w:tc>
          <w:tcPr>
            <w:tcW w:w="1951" w:type="dxa"/>
            <w:vMerge/>
            <w:shd w:val="clear" w:color="auto" w:fill="auto"/>
          </w:tcPr>
          <w:p w:rsidR="006D3D88" w:rsidRPr="007B1E68" w:rsidRDefault="006D3D88" w:rsidP="007348A7">
            <w:pPr>
              <w:tabs>
                <w:tab w:val="left" w:pos="1701"/>
              </w:tabs>
              <w:rPr>
                <w:color w:val="000000"/>
              </w:rPr>
            </w:pPr>
          </w:p>
        </w:tc>
        <w:tc>
          <w:tcPr>
            <w:tcW w:w="3969" w:type="dxa"/>
            <w:shd w:val="clear" w:color="auto" w:fill="auto"/>
          </w:tcPr>
          <w:p w:rsidR="006D3D88" w:rsidRPr="007B1E68" w:rsidRDefault="006D3D88" w:rsidP="007348A7">
            <w:pPr>
              <w:tabs>
                <w:tab w:val="left" w:pos="1701"/>
              </w:tabs>
              <w:rPr>
                <w:color w:val="000000"/>
              </w:rPr>
            </w:pPr>
          </w:p>
        </w:tc>
        <w:tc>
          <w:tcPr>
            <w:tcW w:w="1985" w:type="dxa"/>
            <w:shd w:val="clear" w:color="auto" w:fill="auto"/>
          </w:tcPr>
          <w:p w:rsidR="006D3D88" w:rsidRPr="007B1E68" w:rsidRDefault="006D3D88" w:rsidP="007348A7">
            <w:pPr>
              <w:tabs>
                <w:tab w:val="left" w:pos="1701"/>
              </w:tabs>
              <w:rPr>
                <w:color w:val="000000"/>
              </w:rPr>
            </w:pPr>
            <w:r w:rsidRPr="007B1E68">
              <w:rPr>
                <w:color w:val="000000"/>
              </w:rPr>
              <w:t>CC-4047-MM-002</w:t>
            </w:r>
          </w:p>
        </w:tc>
      </w:tr>
      <w:tr w:rsidR="006D3D88" w:rsidTr="007348A7">
        <w:tc>
          <w:tcPr>
            <w:tcW w:w="1951" w:type="dxa"/>
            <w:vMerge/>
            <w:shd w:val="clear" w:color="auto" w:fill="auto"/>
          </w:tcPr>
          <w:p w:rsidR="006D3D88" w:rsidRPr="007B1E68" w:rsidRDefault="006D3D88" w:rsidP="007348A7">
            <w:pPr>
              <w:tabs>
                <w:tab w:val="left" w:pos="1701"/>
              </w:tabs>
              <w:rPr>
                <w:color w:val="000000"/>
              </w:rPr>
            </w:pPr>
          </w:p>
        </w:tc>
        <w:tc>
          <w:tcPr>
            <w:tcW w:w="3969" w:type="dxa"/>
            <w:shd w:val="clear" w:color="auto" w:fill="auto"/>
          </w:tcPr>
          <w:p w:rsidR="006D3D88" w:rsidRPr="007B1E68" w:rsidRDefault="006D3D88" w:rsidP="007348A7">
            <w:pPr>
              <w:tabs>
                <w:tab w:val="left" w:pos="1701"/>
              </w:tabs>
              <w:rPr>
                <w:color w:val="000000"/>
              </w:rPr>
            </w:pPr>
          </w:p>
        </w:tc>
        <w:tc>
          <w:tcPr>
            <w:tcW w:w="1985" w:type="dxa"/>
            <w:shd w:val="clear" w:color="auto" w:fill="auto"/>
          </w:tcPr>
          <w:p w:rsidR="006D3D88" w:rsidRPr="007B1E68" w:rsidRDefault="006D3D88" w:rsidP="007348A7">
            <w:pPr>
              <w:tabs>
                <w:tab w:val="left" w:pos="1701"/>
              </w:tabs>
              <w:rPr>
                <w:color w:val="000000"/>
              </w:rPr>
            </w:pPr>
            <w:r w:rsidRPr="007B1E68">
              <w:rPr>
                <w:color w:val="000000"/>
              </w:rPr>
              <w:t>CC-4047-MM-003</w:t>
            </w:r>
          </w:p>
        </w:tc>
      </w:tr>
      <w:tr w:rsidR="006D3D88" w:rsidTr="007348A7">
        <w:tc>
          <w:tcPr>
            <w:tcW w:w="1951" w:type="dxa"/>
            <w:vMerge/>
            <w:shd w:val="clear" w:color="auto" w:fill="auto"/>
          </w:tcPr>
          <w:p w:rsidR="006D3D88" w:rsidRPr="007B1E68" w:rsidRDefault="006D3D88" w:rsidP="007348A7">
            <w:pPr>
              <w:tabs>
                <w:tab w:val="left" w:pos="1701"/>
              </w:tabs>
              <w:rPr>
                <w:color w:val="000000"/>
              </w:rPr>
            </w:pPr>
          </w:p>
        </w:tc>
        <w:tc>
          <w:tcPr>
            <w:tcW w:w="3969" w:type="dxa"/>
            <w:shd w:val="clear" w:color="auto" w:fill="auto"/>
          </w:tcPr>
          <w:p w:rsidR="006D3D88" w:rsidRPr="007B1E68" w:rsidRDefault="006D3D88" w:rsidP="007348A7">
            <w:pPr>
              <w:tabs>
                <w:tab w:val="left" w:pos="1701"/>
              </w:tabs>
              <w:rPr>
                <w:color w:val="000000"/>
              </w:rPr>
            </w:pPr>
            <w:r w:rsidRPr="007B1E68">
              <w:rPr>
                <w:color w:val="000000"/>
              </w:rPr>
              <w:t>Hepatic impairment</w:t>
            </w:r>
          </w:p>
        </w:tc>
        <w:tc>
          <w:tcPr>
            <w:tcW w:w="1985" w:type="dxa"/>
            <w:shd w:val="clear" w:color="auto" w:fill="auto"/>
          </w:tcPr>
          <w:p w:rsidR="006D3D88" w:rsidRPr="007B1E68" w:rsidRDefault="006D3D88" w:rsidP="007348A7">
            <w:pPr>
              <w:tabs>
                <w:tab w:val="left" w:pos="1701"/>
              </w:tabs>
              <w:rPr>
                <w:color w:val="000000"/>
              </w:rPr>
            </w:pPr>
            <w:r w:rsidRPr="007B1E68">
              <w:rPr>
                <w:color w:val="000000"/>
              </w:rPr>
              <w:t>NA</w:t>
            </w:r>
          </w:p>
        </w:tc>
      </w:tr>
      <w:tr w:rsidR="006D3D88" w:rsidTr="007348A7">
        <w:tc>
          <w:tcPr>
            <w:tcW w:w="1951" w:type="dxa"/>
            <w:vMerge/>
            <w:shd w:val="clear" w:color="auto" w:fill="auto"/>
          </w:tcPr>
          <w:p w:rsidR="006D3D88" w:rsidRPr="007B1E68" w:rsidRDefault="006D3D88" w:rsidP="007348A7">
            <w:pPr>
              <w:tabs>
                <w:tab w:val="left" w:pos="1701"/>
              </w:tabs>
              <w:rPr>
                <w:color w:val="000000"/>
              </w:rPr>
            </w:pPr>
          </w:p>
        </w:tc>
        <w:tc>
          <w:tcPr>
            <w:tcW w:w="3969" w:type="dxa"/>
            <w:shd w:val="clear" w:color="auto" w:fill="auto"/>
          </w:tcPr>
          <w:p w:rsidR="006D3D88" w:rsidRPr="007B1E68" w:rsidRDefault="006D3D88" w:rsidP="007348A7">
            <w:pPr>
              <w:tabs>
                <w:tab w:val="left" w:pos="1701"/>
              </w:tabs>
              <w:rPr>
                <w:color w:val="000000"/>
              </w:rPr>
            </w:pPr>
            <w:r w:rsidRPr="007B1E68">
              <w:rPr>
                <w:color w:val="000000"/>
              </w:rPr>
              <w:t>Renal impairment</w:t>
            </w:r>
          </w:p>
        </w:tc>
        <w:tc>
          <w:tcPr>
            <w:tcW w:w="1985" w:type="dxa"/>
            <w:shd w:val="clear" w:color="auto" w:fill="auto"/>
          </w:tcPr>
          <w:p w:rsidR="006D3D88" w:rsidRPr="007B1E68" w:rsidRDefault="006D3D88" w:rsidP="007348A7">
            <w:pPr>
              <w:tabs>
                <w:tab w:val="left" w:pos="1701"/>
              </w:tabs>
              <w:rPr>
                <w:color w:val="000000"/>
              </w:rPr>
            </w:pPr>
            <w:r w:rsidRPr="007B1E68">
              <w:rPr>
                <w:color w:val="000000"/>
              </w:rPr>
              <w:t>NA</w:t>
            </w:r>
          </w:p>
        </w:tc>
      </w:tr>
      <w:tr w:rsidR="006D3D88" w:rsidTr="007348A7">
        <w:tc>
          <w:tcPr>
            <w:tcW w:w="1951" w:type="dxa"/>
            <w:vMerge/>
            <w:shd w:val="clear" w:color="auto" w:fill="auto"/>
          </w:tcPr>
          <w:p w:rsidR="006D3D88" w:rsidRPr="007B1E68" w:rsidRDefault="006D3D88" w:rsidP="007348A7">
            <w:pPr>
              <w:tabs>
                <w:tab w:val="left" w:pos="1701"/>
              </w:tabs>
              <w:rPr>
                <w:color w:val="000000"/>
              </w:rPr>
            </w:pPr>
          </w:p>
        </w:tc>
        <w:tc>
          <w:tcPr>
            <w:tcW w:w="3969" w:type="dxa"/>
            <w:shd w:val="clear" w:color="auto" w:fill="auto"/>
          </w:tcPr>
          <w:p w:rsidR="006D3D88" w:rsidRPr="007B1E68" w:rsidRDefault="006D3D88" w:rsidP="007348A7">
            <w:pPr>
              <w:tabs>
                <w:tab w:val="left" w:pos="1701"/>
              </w:tabs>
              <w:rPr>
                <w:color w:val="000000"/>
              </w:rPr>
            </w:pPr>
            <w:r w:rsidRPr="007B1E68">
              <w:rPr>
                <w:color w:val="000000"/>
              </w:rPr>
              <w:t>Neonates/infants/children/adolescents</w:t>
            </w:r>
          </w:p>
        </w:tc>
        <w:tc>
          <w:tcPr>
            <w:tcW w:w="1985" w:type="dxa"/>
            <w:shd w:val="clear" w:color="auto" w:fill="auto"/>
          </w:tcPr>
          <w:p w:rsidR="006D3D88" w:rsidRPr="007B1E68" w:rsidRDefault="006D3D88" w:rsidP="007348A7">
            <w:pPr>
              <w:tabs>
                <w:tab w:val="left" w:pos="1701"/>
              </w:tabs>
              <w:rPr>
                <w:color w:val="000000"/>
              </w:rPr>
            </w:pPr>
            <w:r w:rsidRPr="007B1E68">
              <w:rPr>
                <w:color w:val="000000"/>
              </w:rPr>
              <w:t>NA</w:t>
            </w:r>
          </w:p>
        </w:tc>
      </w:tr>
      <w:tr w:rsidR="006D3D88" w:rsidTr="007348A7">
        <w:tc>
          <w:tcPr>
            <w:tcW w:w="1951" w:type="dxa"/>
            <w:vMerge/>
            <w:shd w:val="clear" w:color="auto" w:fill="auto"/>
          </w:tcPr>
          <w:p w:rsidR="006D3D88" w:rsidRPr="007B1E68" w:rsidRDefault="006D3D88" w:rsidP="007348A7">
            <w:pPr>
              <w:tabs>
                <w:tab w:val="left" w:pos="1701"/>
              </w:tabs>
              <w:rPr>
                <w:color w:val="000000"/>
              </w:rPr>
            </w:pPr>
          </w:p>
        </w:tc>
        <w:tc>
          <w:tcPr>
            <w:tcW w:w="3969" w:type="dxa"/>
            <w:shd w:val="clear" w:color="auto" w:fill="auto"/>
          </w:tcPr>
          <w:p w:rsidR="006D3D88" w:rsidRPr="007B1E68" w:rsidRDefault="006D3D88" w:rsidP="007348A7">
            <w:pPr>
              <w:tabs>
                <w:tab w:val="left" w:pos="1701"/>
              </w:tabs>
              <w:rPr>
                <w:color w:val="000000"/>
              </w:rPr>
            </w:pPr>
            <w:r w:rsidRPr="007B1E68">
              <w:rPr>
                <w:color w:val="000000"/>
              </w:rPr>
              <w:t>Elderly</w:t>
            </w:r>
          </w:p>
        </w:tc>
        <w:tc>
          <w:tcPr>
            <w:tcW w:w="1985" w:type="dxa"/>
            <w:shd w:val="clear" w:color="auto" w:fill="auto"/>
          </w:tcPr>
          <w:p w:rsidR="006D3D88" w:rsidRPr="007B1E68" w:rsidRDefault="006D3D88" w:rsidP="007348A7">
            <w:pPr>
              <w:tabs>
                <w:tab w:val="left" w:pos="1701"/>
              </w:tabs>
              <w:rPr>
                <w:color w:val="000000"/>
              </w:rPr>
            </w:pPr>
            <w:r w:rsidRPr="007B1E68">
              <w:rPr>
                <w:color w:val="000000"/>
              </w:rPr>
              <w:t>NA</w:t>
            </w:r>
          </w:p>
        </w:tc>
      </w:tr>
      <w:tr w:rsidR="006D3D88" w:rsidTr="007348A7">
        <w:tc>
          <w:tcPr>
            <w:tcW w:w="1951" w:type="dxa"/>
            <w:shd w:val="clear" w:color="auto" w:fill="auto"/>
          </w:tcPr>
          <w:p w:rsidR="006D3D88" w:rsidRPr="007B1E68" w:rsidRDefault="006D3D88" w:rsidP="007348A7">
            <w:pPr>
              <w:tabs>
                <w:tab w:val="left" w:pos="1701"/>
              </w:tabs>
              <w:rPr>
                <w:color w:val="000000"/>
              </w:rPr>
            </w:pPr>
            <w:r w:rsidRPr="007B1E68">
              <w:rPr>
                <w:color w:val="000000"/>
              </w:rPr>
              <w:t>Genetic/gender-related PK</w:t>
            </w:r>
          </w:p>
        </w:tc>
        <w:tc>
          <w:tcPr>
            <w:tcW w:w="3969" w:type="dxa"/>
            <w:shd w:val="clear" w:color="auto" w:fill="auto"/>
          </w:tcPr>
          <w:p w:rsidR="006D3D88" w:rsidRPr="007B1E68" w:rsidRDefault="006D3D88" w:rsidP="007348A7">
            <w:pPr>
              <w:tabs>
                <w:tab w:val="left" w:pos="1701"/>
              </w:tabs>
              <w:rPr>
                <w:color w:val="000000"/>
              </w:rPr>
            </w:pPr>
            <w:r w:rsidRPr="007B1E68">
              <w:rPr>
                <w:color w:val="000000"/>
              </w:rPr>
              <w:t>Males versus females</w:t>
            </w:r>
          </w:p>
        </w:tc>
        <w:tc>
          <w:tcPr>
            <w:tcW w:w="1985" w:type="dxa"/>
            <w:shd w:val="clear" w:color="auto" w:fill="auto"/>
          </w:tcPr>
          <w:p w:rsidR="006D3D88" w:rsidRPr="007B1E68" w:rsidRDefault="006D3D88" w:rsidP="007348A7">
            <w:pPr>
              <w:tabs>
                <w:tab w:val="left" w:pos="1701"/>
              </w:tabs>
              <w:rPr>
                <w:color w:val="000000"/>
              </w:rPr>
            </w:pPr>
            <w:r w:rsidRPr="007B1E68">
              <w:rPr>
                <w:color w:val="000000"/>
              </w:rPr>
              <w:t>NA</w:t>
            </w:r>
          </w:p>
        </w:tc>
      </w:tr>
      <w:tr w:rsidR="006D3D88" w:rsidTr="007348A7">
        <w:tc>
          <w:tcPr>
            <w:tcW w:w="1951" w:type="dxa"/>
            <w:shd w:val="clear" w:color="auto" w:fill="auto"/>
          </w:tcPr>
          <w:p w:rsidR="006D3D88" w:rsidRPr="007B1E68" w:rsidRDefault="006D3D88" w:rsidP="007348A7">
            <w:pPr>
              <w:tabs>
                <w:tab w:val="left" w:pos="1701"/>
              </w:tabs>
              <w:rPr>
                <w:color w:val="000000"/>
              </w:rPr>
            </w:pPr>
            <w:r w:rsidRPr="007B1E68">
              <w:rPr>
                <w:color w:val="000000"/>
              </w:rPr>
              <w:t>PK inter-actions</w:t>
            </w:r>
          </w:p>
        </w:tc>
        <w:tc>
          <w:tcPr>
            <w:tcW w:w="3969" w:type="dxa"/>
            <w:shd w:val="clear" w:color="auto" w:fill="auto"/>
          </w:tcPr>
          <w:p w:rsidR="006D3D88" w:rsidRPr="007B1E68" w:rsidRDefault="006D3D88" w:rsidP="007348A7">
            <w:pPr>
              <w:tabs>
                <w:tab w:val="left" w:pos="1701"/>
              </w:tabs>
              <w:rPr>
                <w:color w:val="000000"/>
              </w:rPr>
            </w:pPr>
            <w:r w:rsidRPr="007B1E68">
              <w:rPr>
                <w:color w:val="000000"/>
              </w:rPr>
              <w:t>NA</w:t>
            </w:r>
          </w:p>
        </w:tc>
        <w:tc>
          <w:tcPr>
            <w:tcW w:w="1985" w:type="dxa"/>
            <w:shd w:val="clear" w:color="auto" w:fill="auto"/>
          </w:tcPr>
          <w:p w:rsidR="006D3D88" w:rsidRPr="007B1E68" w:rsidRDefault="006D3D88" w:rsidP="007348A7">
            <w:pPr>
              <w:tabs>
                <w:tab w:val="left" w:pos="1701"/>
              </w:tabs>
              <w:rPr>
                <w:color w:val="000000"/>
              </w:rPr>
            </w:pPr>
          </w:p>
        </w:tc>
      </w:tr>
      <w:tr w:rsidR="006D3D88" w:rsidTr="007348A7">
        <w:tc>
          <w:tcPr>
            <w:tcW w:w="1951" w:type="dxa"/>
            <w:vMerge w:val="restart"/>
            <w:shd w:val="clear" w:color="auto" w:fill="auto"/>
          </w:tcPr>
          <w:p w:rsidR="006D3D88" w:rsidRPr="007B1E68" w:rsidRDefault="006D3D88" w:rsidP="007348A7">
            <w:pPr>
              <w:tabs>
                <w:tab w:val="left" w:pos="1701"/>
              </w:tabs>
              <w:rPr>
                <w:color w:val="000000"/>
              </w:rPr>
            </w:pPr>
            <w:r w:rsidRPr="007B1E68">
              <w:rPr>
                <w:color w:val="000000"/>
              </w:rPr>
              <w:t xml:space="preserve">Population PK </w:t>
            </w:r>
            <w:r w:rsidRPr="007B1E68">
              <w:rPr>
                <w:color w:val="000000"/>
              </w:rPr>
              <w:lastRenderedPageBreak/>
              <w:t>analyses</w:t>
            </w:r>
          </w:p>
        </w:tc>
        <w:tc>
          <w:tcPr>
            <w:tcW w:w="3969" w:type="dxa"/>
            <w:shd w:val="clear" w:color="auto" w:fill="auto"/>
          </w:tcPr>
          <w:p w:rsidR="006D3D88" w:rsidRPr="007B1E68" w:rsidRDefault="006D3D88" w:rsidP="007348A7">
            <w:pPr>
              <w:tabs>
                <w:tab w:val="left" w:pos="1701"/>
              </w:tabs>
              <w:rPr>
                <w:color w:val="000000"/>
              </w:rPr>
            </w:pPr>
            <w:r w:rsidRPr="007B1E68">
              <w:rPr>
                <w:color w:val="000000"/>
              </w:rPr>
              <w:lastRenderedPageBreak/>
              <w:t>Healthy subjects</w:t>
            </w:r>
          </w:p>
        </w:tc>
        <w:tc>
          <w:tcPr>
            <w:tcW w:w="1985" w:type="dxa"/>
            <w:shd w:val="clear" w:color="auto" w:fill="auto"/>
          </w:tcPr>
          <w:p w:rsidR="006D3D88" w:rsidRPr="007B1E68" w:rsidRDefault="006D3D88" w:rsidP="007348A7">
            <w:pPr>
              <w:tabs>
                <w:tab w:val="left" w:pos="1701"/>
              </w:tabs>
              <w:rPr>
                <w:color w:val="000000"/>
              </w:rPr>
            </w:pPr>
            <w:r w:rsidRPr="007B1E68">
              <w:rPr>
                <w:color w:val="000000"/>
              </w:rPr>
              <w:t>NA</w:t>
            </w:r>
          </w:p>
        </w:tc>
      </w:tr>
      <w:tr w:rsidR="006D3D88" w:rsidTr="007348A7">
        <w:tc>
          <w:tcPr>
            <w:tcW w:w="1951" w:type="dxa"/>
            <w:vMerge/>
            <w:shd w:val="clear" w:color="auto" w:fill="auto"/>
          </w:tcPr>
          <w:p w:rsidR="006D3D88" w:rsidRPr="007B1E68" w:rsidRDefault="006D3D88" w:rsidP="007348A7">
            <w:pPr>
              <w:tabs>
                <w:tab w:val="left" w:pos="1701"/>
              </w:tabs>
              <w:rPr>
                <w:color w:val="000000"/>
              </w:rPr>
            </w:pPr>
          </w:p>
        </w:tc>
        <w:tc>
          <w:tcPr>
            <w:tcW w:w="3969" w:type="dxa"/>
            <w:shd w:val="clear" w:color="auto" w:fill="auto"/>
          </w:tcPr>
          <w:p w:rsidR="006D3D88" w:rsidRPr="007B1E68" w:rsidRDefault="006D3D88" w:rsidP="007348A7">
            <w:pPr>
              <w:tabs>
                <w:tab w:val="left" w:pos="1701"/>
              </w:tabs>
              <w:rPr>
                <w:color w:val="000000"/>
              </w:rPr>
            </w:pPr>
            <w:r w:rsidRPr="007B1E68">
              <w:rPr>
                <w:color w:val="000000"/>
              </w:rPr>
              <w:t>Target population</w:t>
            </w:r>
          </w:p>
        </w:tc>
        <w:tc>
          <w:tcPr>
            <w:tcW w:w="1985" w:type="dxa"/>
            <w:shd w:val="clear" w:color="auto" w:fill="auto"/>
          </w:tcPr>
          <w:p w:rsidR="006D3D88" w:rsidRPr="007B1E68" w:rsidRDefault="006D3D88" w:rsidP="007348A7">
            <w:pPr>
              <w:tabs>
                <w:tab w:val="left" w:pos="1701"/>
              </w:tabs>
              <w:rPr>
                <w:color w:val="000000"/>
              </w:rPr>
            </w:pPr>
            <w:r w:rsidRPr="007B1E68">
              <w:rPr>
                <w:color w:val="000000"/>
              </w:rPr>
              <w:t>NA</w:t>
            </w:r>
          </w:p>
        </w:tc>
      </w:tr>
      <w:tr w:rsidR="006D3D88" w:rsidTr="007348A7">
        <w:tc>
          <w:tcPr>
            <w:tcW w:w="1951" w:type="dxa"/>
            <w:vMerge/>
            <w:shd w:val="clear" w:color="auto" w:fill="auto"/>
          </w:tcPr>
          <w:p w:rsidR="006D3D88" w:rsidRPr="007B1E68" w:rsidRDefault="006D3D88" w:rsidP="007348A7">
            <w:pPr>
              <w:tabs>
                <w:tab w:val="left" w:pos="1701"/>
              </w:tabs>
              <w:rPr>
                <w:color w:val="000000"/>
              </w:rPr>
            </w:pPr>
          </w:p>
        </w:tc>
        <w:tc>
          <w:tcPr>
            <w:tcW w:w="3969" w:type="dxa"/>
            <w:shd w:val="clear" w:color="auto" w:fill="auto"/>
          </w:tcPr>
          <w:p w:rsidR="006D3D88" w:rsidRPr="007B1E68" w:rsidRDefault="006D3D88" w:rsidP="007348A7">
            <w:pPr>
              <w:tabs>
                <w:tab w:val="left" w:pos="1701"/>
              </w:tabs>
              <w:rPr>
                <w:color w:val="000000"/>
              </w:rPr>
            </w:pPr>
            <w:r w:rsidRPr="007B1E68">
              <w:rPr>
                <w:color w:val="000000"/>
              </w:rPr>
              <w:t>Other</w:t>
            </w:r>
          </w:p>
        </w:tc>
        <w:tc>
          <w:tcPr>
            <w:tcW w:w="1985" w:type="dxa"/>
            <w:shd w:val="clear" w:color="auto" w:fill="auto"/>
          </w:tcPr>
          <w:p w:rsidR="006D3D88" w:rsidRPr="007B1E68" w:rsidRDefault="006D3D88" w:rsidP="007348A7">
            <w:pPr>
              <w:tabs>
                <w:tab w:val="left" w:pos="1701"/>
              </w:tabs>
              <w:rPr>
                <w:color w:val="000000"/>
              </w:rPr>
            </w:pPr>
            <w:r w:rsidRPr="007B1E68">
              <w:rPr>
                <w:color w:val="000000"/>
              </w:rPr>
              <w:t>NA</w:t>
            </w:r>
          </w:p>
        </w:tc>
      </w:tr>
    </w:tbl>
    <w:p w:rsidR="00606DEF" w:rsidRPr="00BA5A72" w:rsidRDefault="00606DEF" w:rsidP="007348A7">
      <w:pPr>
        <w:pStyle w:val="TableDescription"/>
      </w:pPr>
      <w:r w:rsidRPr="00BA5A72">
        <w:t>† Bioequivalence of different formulations.</w:t>
      </w:r>
      <w:r w:rsidR="00BA5A72">
        <w:t xml:space="preserve"> </w:t>
      </w:r>
      <w:r w:rsidRPr="00BA5A72">
        <w:t xml:space="preserve">§ Subjects who would be eligible to receive the drug if approved for the </w:t>
      </w:r>
      <w:r w:rsidRPr="007348A7">
        <w:t>proposed</w:t>
      </w:r>
      <w:r w:rsidRPr="00BA5A72">
        <w:t xml:space="preserve"> indication.</w:t>
      </w:r>
    </w:p>
    <w:p w:rsidR="00A6084F" w:rsidRDefault="00A6084F" w:rsidP="00686703">
      <w:r>
        <w:t>None of the pharmacokinetic studies had deficiencies that excluded their results from consideration.</w:t>
      </w:r>
    </w:p>
    <w:p w:rsidR="00605AD4" w:rsidRDefault="00605AD4" w:rsidP="00686703">
      <w:pPr>
        <w:pStyle w:val="Heading4"/>
      </w:pPr>
      <w:r>
        <w:t>Evaluator’s conclusions on pharmacokinetics</w:t>
      </w:r>
    </w:p>
    <w:p w:rsidR="00593BFC" w:rsidRPr="00593BFC" w:rsidRDefault="00593BFC" w:rsidP="00686703">
      <w:r w:rsidRPr="00593BFC">
        <w:t>The following conclusions are based on those of the Summary of Clini</w:t>
      </w:r>
      <w:r>
        <w:t>cal Pharmacology, except where the evaluator</w:t>
      </w:r>
      <w:r w:rsidRPr="00593BFC">
        <w:t xml:space="preserve"> disagree</w:t>
      </w:r>
      <w:r>
        <w:t>s</w:t>
      </w:r>
      <w:r w:rsidRPr="00593BFC">
        <w:t xml:space="preserve"> with those conclusions as indicated.</w:t>
      </w:r>
    </w:p>
    <w:p w:rsidR="00593BFC" w:rsidRPr="00593BFC" w:rsidRDefault="00593BFC" w:rsidP="007348A7">
      <w:pPr>
        <w:pStyle w:val="ListBullet"/>
      </w:pPr>
      <w:r w:rsidRPr="00593BFC">
        <w:t xml:space="preserve">Following single dose administration in the fasted state, pomalidomide was at least 73% absorbed with a median Tmax </w:t>
      </w:r>
      <w:r w:rsidRPr="007348A7">
        <w:t>of</w:t>
      </w:r>
      <w:r>
        <w:t xml:space="preserve"> </w:t>
      </w:r>
      <w:r w:rsidR="00587C7F">
        <w:t xml:space="preserve">approximately </w:t>
      </w:r>
      <w:r>
        <w:t>3 h</w:t>
      </w:r>
      <w:r w:rsidRPr="00593BFC">
        <w:t>.</w:t>
      </w:r>
    </w:p>
    <w:p w:rsidR="00593BFC" w:rsidRPr="00674904" w:rsidRDefault="00593BFC" w:rsidP="00686703">
      <w:pPr>
        <w:pStyle w:val="ListBullet"/>
      </w:pPr>
      <w:r w:rsidRPr="00593BFC">
        <w:t>Steady</w:t>
      </w:r>
      <w:r w:rsidR="00802153">
        <w:t xml:space="preserve"> </w:t>
      </w:r>
      <w:r w:rsidRPr="00593BFC">
        <w:t>state was reached by Day 3 in healthy subjects. No drug accumulation was seen in these subjects after 5 days, but in MM subjects receiving 1</w:t>
      </w:r>
      <w:r w:rsidR="00802153">
        <w:t xml:space="preserve"> </w:t>
      </w:r>
      <w:r w:rsidRPr="00593BFC">
        <w:t>mg or 2</w:t>
      </w:r>
      <w:r w:rsidR="00802153">
        <w:t xml:space="preserve"> </w:t>
      </w:r>
      <w:r w:rsidRPr="00593BFC">
        <w:t xml:space="preserve">mg daily doses for 28 days, drug accumulation was shown by a 73% to 98% higher value for AUC0-τ on </w:t>
      </w:r>
      <w:r w:rsidR="00213FED">
        <w:t>D</w:t>
      </w:r>
      <w:r w:rsidRPr="00593BFC">
        <w:t xml:space="preserve">ay 28 compared to that predicted from </w:t>
      </w:r>
      <w:r w:rsidR="00802153">
        <w:t>D</w:t>
      </w:r>
      <w:r w:rsidRPr="00593BFC">
        <w:t xml:space="preserve">ay 1 findings. </w:t>
      </w:r>
      <w:r w:rsidRPr="00674904">
        <w:t>Drug accumulation was not seen at 5 mg daily dose in MM patients. The difference is unexplained. (</w:t>
      </w:r>
      <w:r w:rsidR="00982C41" w:rsidRPr="00674904">
        <w:t xml:space="preserve">The </w:t>
      </w:r>
      <w:r w:rsidR="00674904" w:rsidRPr="00674904">
        <w:t xml:space="preserve">European </w:t>
      </w:r>
      <w:r w:rsidR="00982C41" w:rsidRPr="00674904">
        <w:t>Summary of Product Characteristics</w:t>
      </w:r>
      <w:r w:rsidRPr="00674904">
        <w:t xml:space="preserve"> has a different interpretation</w:t>
      </w:r>
      <w:r w:rsidR="00802153" w:rsidRPr="00674904">
        <w:t>.</w:t>
      </w:r>
      <w:r w:rsidRPr="00674904">
        <w:t>)</w:t>
      </w:r>
    </w:p>
    <w:p w:rsidR="00593BFC" w:rsidRPr="00593BFC" w:rsidRDefault="00593BFC" w:rsidP="00686703">
      <w:pPr>
        <w:pStyle w:val="ListBullet"/>
      </w:pPr>
      <w:r w:rsidRPr="00593BFC">
        <w:t>Systemic exposure increased after single doses of differing strengths of</w:t>
      </w:r>
      <w:r w:rsidR="006813F9">
        <w:t xml:space="preserve"> </w:t>
      </w:r>
      <w:r w:rsidRPr="00593BFC">
        <w:t>pomalidomide in both healt</w:t>
      </w:r>
      <w:r w:rsidR="00D25177">
        <w:t>h</w:t>
      </w:r>
      <w:r w:rsidRPr="00593BFC">
        <w:t>y subjects and MM patients. In healthy subj</w:t>
      </w:r>
      <w:r w:rsidR="0042785E">
        <w:t>ects, the Cmax increase was sub</w:t>
      </w:r>
      <w:r w:rsidR="00587C7F">
        <w:t xml:space="preserve"> </w:t>
      </w:r>
      <w:r w:rsidRPr="00593BFC">
        <w:t>propo</w:t>
      </w:r>
      <w:r w:rsidR="00587C7F">
        <w:t>r</w:t>
      </w:r>
      <w:r w:rsidRPr="00593BFC">
        <w:t>tional, while the AUC values were approximately proportional. In MM patients, both AUC and Cmax were not dose proportional.</w:t>
      </w:r>
    </w:p>
    <w:p w:rsidR="00593BFC" w:rsidRPr="00593BFC" w:rsidRDefault="00593BFC" w:rsidP="00686703">
      <w:pPr>
        <w:pStyle w:val="ListBullet"/>
      </w:pPr>
      <w:r w:rsidRPr="00593BFC">
        <w:t>Food decreased the rate of absorption but had minimal effect on overall extent of absorption (</w:t>
      </w:r>
      <w:r w:rsidR="00587C7F">
        <w:t xml:space="preserve">approximately </w:t>
      </w:r>
      <w:r w:rsidRPr="00593BFC">
        <w:t>8% decrease in AUC). Pomalidomide can be administered without regard to food intake.</w:t>
      </w:r>
    </w:p>
    <w:p w:rsidR="00593BFC" w:rsidRPr="00593BFC" w:rsidRDefault="00593BFC" w:rsidP="00686703">
      <w:pPr>
        <w:pStyle w:val="ListBullet"/>
      </w:pPr>
      <w:r w:rsidRPr="00593BFC">
        <w:t xml:space="preserve">Mean (%CV) </w:t>
      </w:r>
      <w:r w:rsidR="00D25177">
        <w:t>a</w:t>
      </w:r>
      <w:r w:rsidR="00D25177" w:rsidRPr="00DD34DA">
        <w:t xml:space="preserve">pparent volume of distribution </w:t>
      </w:r>
      <w:r w:rsidR="00D25177">
        <w:t xml:space="preserve">during terminal phase after non </w:t>
      </w:r>
      <w:r w:rsidR="00941C62">
        <w:t>IV</w:t>
      </w:r>
      <w:r w:rsidR="00D25177" w:rsidRPr="00DD34DA">
        <w:t xml:space="preserve"> administration</w:t>
      </w:r>
      <w:r w:rsidR="00D25177" w:rsidRPr="00593BFC">
        <w:t xml:space="preserve"> </w:t>
      </w:r>
      <w:r w:rsidR="00D25177">
        <w:t>(</w:t>
      </w:r>
      <w:r w:rsidRPr="00593BFC">
        <w:t>Vz/F</w:t>
      </w:r>
      <w:r w:rsidR="00D25177">
        <w:t>)</w:t>
      </w:r>
      <w:r w:rsidRPr="00593BFC">
        <w:t xml:space="preserve"> of pomalidomide after a single dose ranged from 65 to 138 L.</w:t>
      </w:r>
    </w:p>
    <w:p w:rsidR="00593BFC" w:rsidRPr="00593BFC" w:rsidRDefault="00593BFC" w:rsidP="00686703">
      <w:pPr>
        <w:pStyle w:val="ListBullet"/>
      </w:pPr>
      <w:r w:rsidRPr="00593BFC">
        <w:t>Pomalidomide distributed into semen, with the semen concentration at plasma Tmax approximately 67% of plasma concentration.</w:t>
      </w:r>
    </w:p>
    <w:p w:rsidR="00593BFC" w:rsidRPr="00593BFC" w:rsidRDefault="00593BFC" w:rsidP="00686703">
      <w:pPr>
        <w:pStyle w:val="ListBullet"/>
      </w:pPr>
      <w:r w:rsidRPr="00593BFC">
        <w:t>Pomalidomide protein binding in human plasma was low to moderate (15.8% and 42.2% for R- and S-enantiomers, respectively).</w:t>
      </w:r>
    </w:p>
    <w:p w:rsidR="00593BFC" w:rsidRPr="00593BFC" w:rsidRDefault="00593BFC" w:rsidP="00686703">
      <w:pPr>
        <w:pStyle w:val="ListBullet"/>
      </w:pPr>
      <w:r w:rsidRPr="00593BFC">
        <w:t>Pomalidomide is metaboli</w:t>
      </w:r>
      <w:r w:rsidR="00587C7F">
        <w:t>s</w:t>
      </w:r>
      <w:r w:rsidRPr="00593BFC">
        <w:t>ed in humans via multiple pathways (CYP mediated, enzymatic and non-enzymatic hydrolysis). The metabolites observed were formed primarily via hydroxylation with subsequent glucuronidation, or hydrolysis of the parent compound.</w:t>
      </w:r>
    </w:p>
    <w:p w:rsidR="00593BFC" w:rsidRPr="00593BFC" w:rsidRDefault="00593BFC" w:rsidP="007348A7">
      <w:pPr>
        <w:pStyle w:val="ListBullet"/>
      </w:pPr>
      <w:r w:rsidRPr="00593BFC">
        <w:t xml:space="preserve">Pomalidomide was the predominant circulating radioactive component, accounting for approximately 70% of the circulating radioactivity, and no metabolites were present at &gt;10% relative to parent or </w:t>
      </w:r>
      <w:r w:rsidRPr="007348A7">
        <w:t>total</w:t>
      </w:r>
      <w:r w:rsidRPr="00593BFC">
        <w:t xml:space="preserve"> radioactivity. There were no unique or disproportionate human metabolites.</w:t>
      </w:r>
    </w:p>
    <w:p w:rsidR="00593BFC" w:rsidRPr="00593BFC" w:rsidRDefault="00593BFC" w:rsidP="00686703">
      <w:pPr>
        <w:pStyle w:val="ListBullet"/>
      </w:pPr>
      <w:r w:rsidRPr="00593BFC">
        <w:t>CYP dependent metabolites accounted for approximately 43% of the excreted radioactivity, while non-CYP dependent hydrolytic metabolites accounted for 25%, and excretion of unchanged pomalidomide accounted for 10%.</w:t>
      </w:r>
    </w:p>
    <w:p w:rsidR="00593BFC" w:rsidRPr="00593BFC" w:rsidRDefault="00593BFC" w:rsidP="00686703">
      <w:pPr>
        <w:pStyle w:val="ListBullet"/>
      </w:pPr>
      <w:r w:rsidRPr="00593BFC">
        <w:t>Pomalidomide metabolites did not show significant pharmacological activity in-vitro.</w:t>
      </w:r>
    </w:p>
    <w:p w:rsidR="00593BFC" w:rsidRPr="00593BFC" w:rsidRDefault="00041C78" w:rsidP="00686703">
      <w:pPr>
        <w:pStyle w:val="ListBullet"/>
      </w:pPr>
      <w:r>
        <w:lastRenderedPageBreak/>
        <w:t xml:space="preserve">The mean half-life </w:t>
      </w:r>
      <w:r w:rsidR="00593BFC" w:rsidRPr="00593BFC">
        <w:t>of pomalid</w:t>
      </w:r>
      <w:r>
        <w:t>omide is approximately 7.5 h</w:t>
      </w:r>
      <w:r w:rsidR="00593BFC" w:rsidRPr="00593BFC">
        <w:t xml:space="preserve">, and CL/F generally ranged from 6.5 to 10.8 L/hr. CL/F and </w:t>
      </w:r>
      <w:r>
        <w:t xml:space="preserve">half-life </w:t>
      </w:r>
      <w:r w:rsidR="00593BFC" w:rsidRPr="00593BFC">
        <w:t>in plasma appear to be independent of dose and dosing duration.</w:t>
      </w:r>
    </w:p>
    <w:p w:rsidR="00593BFC" w:rsidRPr="007348A7" w:rsidRDefault="00593BFC" w:rsidP="007348A7">
      <w:pPr>
        <w:pStyle w:val="ListBullet"/>
      </w:pPr>
      <w:r w:rsidRPr="00593BFC">
        <w:t xml:space="preserve">Urine was the primary route of elimination for radioactivity, containing approximately 72% of the dose. Unchanged drug in urine accounted for &lt;3% of the dose, indicating extensive metabolism </w:t>
      </w:r>
      <w:r w:rsidRPr="007348A7">
        <w:t>prior to excretion. The radioactivity in f</w:t>
      </w:r>
      <w:r w:rsidR="00373247" w:rsidRPr="007348A7">
        <w:t>a</w:t>
      </w:r>
      <w:r w:rsidRPr="007348A7">
        <w:t>eces (15.3% of the dose) contained parent compound (</w:t>
      </w:r>
      <w:r w:rsidR="00587C7F" w:rsidRPr="007348A7">
        <w:t xml:space="preserve">approximately </w:t>
      </w:r>
      <w:r w:rsidRPr="007348A7">
        <w:t>8% of the dose) and several metabolites.</w:t>
      </w:r>
    </w:p>
    <w:p w:rsidR="00593BFC" w:rsidRPr="007348A7" w:rsidRDefault="00373247" w:rsidP="007348A7">
      <w:pPr>
        <w:pStyle w:val="ListBullet"/>
      </w:pPr>
      <w:r w:rsidRPr="007348A7">
        <w:t>The pharmacokinetic</w:t>
      </w:r>
      <w:r w:rsidR="00593BFC" w:rsidRPr="007348A7">
        <w:t xml:space="preserve"> parameters of single dose pomalidomide in subjects with MM appear similar to those in healthy subjects over the comparable dose range, except for the 1 and 2</w:t>
      </w:r>
      <w:r w:rsidRPr="007348A7">
        <w:t xml:space="preserve"> </w:t>
      </w:r>
      <w:r w:rsidR="00593BFC" w:rsidRPr="007348A7">
        <w:t xml:space="preserve">mg doses in MM patients (see above). </w:t>
      </w:r>
      <w:r w:rsidRPr="007348A7">
        <w:t xml:space="preserve">(The </w:t>
      </w:r>
      <w:r w:rsidR="00674904" w:rsidRPr="007348A7">
        <w:t xml:space="preserve">European </w:t>
      </w:r>
      <w:r w:rsidRPr="007348A7">
        <w:t>Summary of Product Characteristics has a different interpretation.)</w:t>
      </w:r>
    </w:p>
    <w:p w:rsidR="00593BFC" w:rsidRPr="00593BFC" w:rsidRDefault="00593BFC" w:rsidP="007348A7">
      <w:pPr>
        <w:pStyle w:val="ListBullet"/>
      </w:pPr>
      <w:r w:rsidRPr="007348A7">
        <w:t xml:space="preserve">Pomalidomide is not an inhibitor or inducer of CYP isoenzymes, and did not inhibit </w:t>
      </w:r>
      <w:r w:rsidR="001B61FA" w:rsidRPr="007348A7">
        <w:t>P-glycoprotein</w:t>
      </w:r>
      <w:r w:rsidRPr="007348A7">
        <w:t xml:space="preserve"> o</w:t>
      </w:r>
      <w:r w:rsidR="00B35678" w:rsidRPr="007348A7">
        <w:t>r other studied</w:t>
      </w:r>
      <w:r w:rsidR="00B35678">
        <w:t xml:space="preserve"> transporters </w:t>
      </w:r>
      <w:r w:rsidR="00B35678" w:rsidRPr="00B35678">
        <w:rPr>
          <w:i/>
        </w:rPr>
        <w:t xml:space="preserve">in </w:t>
      </w:r>
      <w:r w:rsidRPr="00B35678">
        <w:rPr>
          <w:i/>
        </w:rPr>
        <w:t>vitro</w:t>
      </w:r>
      <w:r w:rsidRPr="00593BFC">
        <w:t>. Pomalidomide is not anticipated to cause clinically</w:t>
      </w:r>
      <w:r w:rsidR="00F635C9">
        <w:t xml:space="preserve"> </w:t>
      </w:r>
      <w:r w:rsidRPr="00593BFC">
        <w:t>relevant pharmacokinetic drug-drug interactions at therapeutic doses when co</w:t>
      </w:r>
      <w:r w:rsidR="00F635C9">
        <w:t>-</w:t>
      </w:r>
      <w:r w:rsidRPr="00593BFC">
        <w:t>administered with CYP substrates or substrates of the evaluated transporters and therefore has not been studied in a clinical trial.</w:t>
      </w:r>
    </w:p>
    <w:p w:rsidR="00593BFC" w:rsidRPr="00593BFC" w:rsidRDefault="00593BFC" w:rsidP="00686703">
      <w:pPr>
        <w:pStyle w:val="ListBullet"/>
      </w:pPr>
      <w:r w:rsidRPr="00593BFC">
        <w:t xml:space="preserve">Pomalidomide is partially metabolized by CYP1A2 and CYP3A4, and to a minor extent CYP2C19 and CYP2D6. Pomalidomide is a substrate of </w:t>
      </w:r>
      <w:r w:rsidR="001B61FA">
        <w:t>P-glycoprotein</w:t>
      </w:r>
      <w:r w:rsidRPr="00593BFC">
        <w:t xml:space="preserve"> </w:t>
      </w:r>
      <w:r w:rsidRPr="00AD4E6A">
        <w:rPr>
          <w:i/>
        </w:rPr>
        <w:t>in vitro</w:t>
      </w:r>
      <w:r w:rsidRPr="00593BFC">
        <w:t xml:space="preserve"> but well absorbed in humans. Pomalidomide is unlikely to be a significant substrate of other enzymes or transporters. The potential for clinically relevant drug-drug interactions when pomalidomide is co-administered with other drugs is low. A clinical trial evaluating potential drug-drug interactions is clinically complete and data analysis is in progress (CC-4047-CP-008).</w:t>
      </w:r>
    </w:p>
    <w:p w:rsidR="00593BFC" w:rsidRPr="00593BFC" w:rsidRDefault="00593BFC" w:rsidP="00686703">
      <w:pPr>
        <w:pStyle w:val="ListBullet"/>
      </w:pPr>
      <w:r w:rsidRPr="00593BFC">
        <w:t>Clinical trials</w:t>
      </w:r>
      <w:r w:rsidR="002F11A5">
        <w:t xml:space="preserve"> evaluating pharmacokinetics</w:t>
      </w:r>
      <w:r w:rsidRPr="00593BFC">
        <w:t xml:space="preserve"> in MM patients with renal insufficiency and in otherwise healthy subjects with hepatic impairment are in progress (CC-4047-MM-008 and CC-4047-CP-009, respectively).</w:t>
      </w:r>
    </w:p>
    <w:p w:rsidR="008E7846" w:rsidRDefault="008E7846" w:rsidP="007348A7">
      <w:pPr>
        <w:pStyle w:val="Heading3"/>
      </w:pPr>
      <w:bookmarkStart w:id="90" w:name="_Toc196046481"/>
      <w:bookmarkStart w:id="91" w:name="_Toc247691520"/>
      <w:bookmarkStart w:id="92" w:name="_Toc314842503"/>
      <w:bookmarkStart w:id="93" w:name="_Toc404176186"/>
      <w:r w:rsidRPr="007348A7">
        <w:t>Pharmacodynamics</w:t>
      </w:r>
      <w:bookmarkEnd w:id="66"/>
      <w:bookmarkEnd w:id="90"/>
      <w:bookmarkEnd w:id="91"/>
      <w:bookmarkEnd w:id="92"/>
      <w:bookmarkEnd w:id="93"/>
    </w:p>
    <w:p w:rsidR="00605AD4" w:rsidRDefault="00605AD4" w:rsidP="00686703">
      <w:pPr>
        <w:pStyle w:val="Heading4"/>
      </w:pPr>
      <w:r>
        <w:t>Studies providing pharmacodynamic data</w:t>
      </w:r>
    </w:p>
    <w:p w:rsidR="009E3F7C" w:rsidRDefault="00E67655" w:rsidP="00686703">
      <w:r>
        <w:t>Studies providing pharmacodynamic data are show</w:t>
      </w:r>
      <w:r w:rsidR="008A3260">
        <w:t>n</w:t>
      </w:r>
      <w:r>
        <w:t xml:space="preserve"> in Table </w:t>
      </w:r>
      <w:r w:rsidR="005316DB">
        <w:t>4</w:t>
      </w:r>
      <w:r>
        <w:t>.</w:t>
      </w:r>
    </w:p>
    <w:p w:rsidR="00782053" w:rsidRDefault="00782053" w:rsidP="00686703">
      <w:pPr>
        <w:pStyle w:val="TableTitle"/>
      </w:pPr>
      <w:r>
        <w:t xml:space="preserve">Table </w:t>
      </w:r>
      <w:r w:rsidR="005316DB">
        <w:t>4</w:t>
      </w:r>
      <w:r>
        <w:t>:</w:t>
      </w:r>
      <w:r w:rsidRPr="004C5C28">
        <w:t xml:space="preserve"> </w:t>
      </w:r>
      <w:r>
        <w:t>Submitted pharmaco</w:t>
      </w:r>
      <w:r w:rsidR="00E67655">
        <w:t>dynamic</w:t>
      </w:r>
      <w:r>
        <w:t xml:space="preserve"> studies.</w:t>
      </w:r>
    </w:p>
    <w:tbl>
      <w:tblPr>
        <w:tblW w:w="79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35"/>
        <w:gridCol w:w="3260"/>
        <w:gridCol w:w="2439"/>
      </w:tblGrid>
      <w:tr w:rsidR="00686703" w:rsidRPr="007B1E68" w:rsidTr="007B1E68">
        <w:trPr>
          <w:tblHeader/>
        </w:trPr>
        <w:tc>
          <w:tcPr>
            <w:tcW w:w="2235" w:type="dxa"/>
            <w:shd w:val="clear" w:color="auto" w:fill="006DA7"/>
          </w:tcPr>
          <w:p w:rsidR="006D3D88" w:rsidRPr="007348A7" w:rsidRDefault="006D3D88" w:rsidP="007348A7">
            <w:pPr>
              <w:tabs>
                <w:tab w:val="left" w:pos="2019"/>
              </w:tabs>
              <w:rPr>
                <w:b/>
                <w:color w:val="FFFFFF"/>
              </w:rPr>
            </w:pPr>
            <w:r w:rsidRPr="007348A7">
              <w:rPr>
                <w:b/>
                <w:color w:val="FFFFFF"/>
              </w:rPr>
              <w:t>PD Topic</w:t>
            </w:r>
          </w:p>
        </w:tc>
        <w:tc>
          <w:tcPr>
            <w:tcW w:w="3260" w:type="dxa"/>
            <w:shd w:val="clear" w:color="auto" w:fill="006DA7"/>
          </w:tcPr>
          <w:p w:rsidR="006D3D88" w:rsidRPr="007348A7" w:rsidRDefault="006D3D88" w:rsidP="007348A7">
            <w:pPr>
              <w:tabs>
                <w:tab w:val="left" w:pos="2019"/>
              </w:tabs>
              <w:rPr>
                <w:b/>
                <w:color w:val="FFFFFF"/>
              </w:rPr>
            </w:pPr>
            <w:r w:rsidRPr="007348A7">
              <w:rPr>
                <w:b/>
                <w:color w:val="FFFFFF"/>
              </w:rPr>
              <w:t>Subtopic</w:t>
            </w:r>
          </w:p>
        </w:tc>
        <w:tc>
          <w:tcPr>
            <w:tcW w:w="2439" w:type="dxa"/>
            <w:shd w:val="clear" w:color="auto" w:fill="006DA7"/>
          </w:tcPr>
          <w:p w:rsidR="006D3D88" w:rsidRPr="007348A7" w:rsidRDefault="006D3D88" w:rsidP="007348A7">
            <w:pPr>
              <w:tabs>
                <w:tab w:val="left" w:pos="2019"/>
              </w:tabs>
              <w:rPr>
                <w:b/>
                <w:color w:val="FFFFFF"/>
              </w:rPr>
            </w:pPr>
            <w:r w:rsidRPr="007348A7">
              <w:rPr>
                <w:b/>
                <w:color w:val="FFFFFF"/>
              </w:rPr>
              <w:t>Study ID</w:t>
            </w:r>
          </w:p>
        </w:tc>
      </w:tr>
      <w:tr w:rsidR="006D3D88" w:rsidTr="007B1E68">
        <w:trPr>
          <w:trHeight w:val="227"/>
        </w:trPr>
        <w:tc>
          <w:tcPr>
            <w:tcW w:w="2235" w:type="dxa"/>
            <w:vMerge w:val="restart"/>
            <w:shd w:val="clear" w:color="auto" w:fill="auto"/>
          </w:tcPr>
          <w:p w:rsidR="006D3D88" w:rsidRPr="007B1E68" w:rsidRDefault="006D3D88" w:rsidP="007348A7">
            <w:pPr>
              <w:tabs>
                <w:tab w:val="left" w:pos="2019"/>
              </w:tabs>
              <w:rPr>
                <w:color w:val="000000"/>
              </w:rPr>
            </w:pPr>
            <w:r w:rsidRPr="007B1E68">
              <w:rPr>
                <w:color w:val="000000"/>
              </w:rPr>
              <w:t>Primary Pharmacology</w:t>
            </w:r>
          </w:p>
        </w:tc>
        <w:tc>
          <w:tcPr>
            <w:tcW w:w="3260" w:type="dxa"/>
            <w:shd w:val="clear" w:color="auto" w:fill="auto"/>
          </w:tcPr>
          <w:p w:rsidR="006D3D88" w:rsidRPr="007B1E68" w:rsidRDefault="006D3D88" w:rsidP="007348A7">
            <w:pPr>
              <w:tabs>
                <w:tab w:val="left" w:pos="2019"/>
              </w:tabs>
              <w:rPr>
                <w:color w:val="000000"/>
              </w:rPr>
            </w:pPr>
            <w:r w:rsidRPr="007B1E68">
              <w:rPr>
                <w:color w:val="000000"/>
              </w:rPr>
              <w:t>Effect on CD4 and CD8 count</w:t>
            </w:r>
          </w:p>
        </w:tc>
        <w:tc>
          <w:tcPr>
            <w:tcW w:w="2439" w:type="dxa"/>
            <w:shd w:val="clear" w:color="auto" w:fill="auto"/>
          </w:tcPr>
          <w:p w:rsidR="006D3D88" w:rsidRPr="007B1E68" w:rsidRDefault="006D3D88" w:rsidP="007348A7">
            <w:pPr>
              <w:tabs>
                <w:tab w:val="left" w:pos="2019"/>
              </w:tabs>
              <w:rPr>
                <w:color w:val="000000"/>
              </w:rPr>
            </w:pPr>
            <w:r w:rsidRPr="007B1E68">
              <w:rPr>
                <w:color w:val="000000"/>
              </w:rPr>
              <w:t>1398/132 (in part)</w:t>
            </w:r>
          </w:p>
        </w:tc>
      </w:tr>
      <w:tr w:rsidR="006D3D88" w:rsidTr="007B1E68">
        <w:trPr>
          <w:trHeight w:val="227"/>
        </w:trPr>
        <w:tc>
          <w:tcPr>
            <w:tcW w:w="2235" w:type="dxa"/>
            <w:vMerge/>
            <w:shd w:val="clear" w:color="auto" w:fill="auto"/>
          </w:tcPr>
          <w:p w:rsidR="006D3D88" w:rsidRPr="007B1E68" w:rsidRDefault="006D3D88" w:rsidP="007348A7">
            <w:pPr>
              <w:tabs>
                <w:tab w:val="left" w:pos="2019"/>
              </w:tabs>
              <w:rPr>
                <w:color w:val="000000"/>
              </w:rPr>
            </w:pPr>
          </w:p>
        </w:tc>
        <w:tc>
          <w:tcPr>
            <w:tcW w:w="3260" w:type="dxa"/>
            <w:shd w:val="clear" w:color="auto" w:fill="auto"/>
          </w:tcPr>
          <w:p w:rsidR="006D3D88" w:rsidRPr="007B1E68" w:rsidRDefault="006D3D88" w:rsidP="007348A7">
            <w:pPr>
              <w:tabs>
                <w:tab w:val="left" w:pos="2019"/>
              </w:tabs>
              <w:rPr>
                <w:color w:val="000000"/>
              </w:rPr>
            </w:pPr>
            <w:r w:rsidRPr="007B1E68">
              <w:rPr>
                <w:color w:val="000000"/>
              </w:rPr>
              <w:t>Effect on serum M protein concentration, cytokine production and neutrophils.</w:t>
            </w:r>
          </w:p>
        </w:tc>
        <w:tc>
          <w:tcPr>
            <w:tcW w:w="2439" w:type="dxa"/>
            <w:shd w:val="clear" w:color="auto" w:fill="auto"/>
          </w:tcPr>
          <w:p w:rsidR="006D3D88" w:rsidRPr="007B1E68" w:rsidRDefault="006D3D88" w:rsidP="007348A7">
            <w:pPr>
              <w:tabs>
                <w:tab w:val="left" w:pos="2019"/>
              </w:tabs>
              <w:rPr>
                <w:color w:val="000000"/>
              </w:rPr>
            </w:pPr>
            <w:r w:rsidRPr="007B1E68">
              <w:rPr>
                <w:color w:val="000000"/>
              </w:rPr>
              <w:t>CC-4047-00-002 (in part)</w:t>
            </w:r>
          </w:p>
        </w:tc>
      </w:tr>
      <w:tr w:rsidR="006D3D88" w:rsidTr="007B1E68">
        <w:tc>
          <w:tcPr>
            <w:tcW w:w="2235" w:type="dxa"/>
            <w:shd w:val="clear" w:color="auto" w:fill="auto"/>
          </w:tcPr>
          <w:p w:rsidR="006D3D88" w:rsidRPr="007B1E68" w:rsidRDefault="006D3D88" w:rsidP="007348A7">
            <w:pPr>
              <w:tabs>
                <w:tab w:val="left" w:pos="2019"/>
              </w:tabs>
              <w:rPr>
                <w:color w:val="000000"/>
              </w:rPr>
            </w:pPr>
            <w:r w:rsidRPr="007B1E68">
              <w:rPr>
                <w:color w:val="000000"/>
              </w:rPr>
              <w:t>Secondary Pharmacology</w:t>
            </w:r>
          </w:p>
        </w:tc>
        <w:tc>
          <w:tcPr>
            <w:tcW w:w="3260" w:type="dxa"/>
            <w:shd w:val="clear" w:color="auto" w:fill="auto"/>
          </w:tcPr>
          <w:p w:rsidR="006D3D88" w:rsidRPr="007B1E68" w:rsidRDefault="006D3D88" w:rsidP="007348A7">
            <w:pPr>
              <w:tabs>
                <w:tab w:val="left" w:pos="2019"/>
              </w:tabs>
              <w:rPr>
                <w:color w:val="000000"/>
              </w:rPr>
            </w:pPr>
            <w:r w:rsidRPr="007B1E68">
              <w:rPr>
                <w:color w:val="000000"/>
              </w:rPr>
              <w:t>NA</w:t>
            </w:r>
          </w:p>
        </w:tc>
        <w:tc>
          <w:tcPr>
            <w:tcW w:w="2439" w:type="dxa"/>
            <w:shd w:val="clear" w:color="auto" w:fill="auto"/>
          </w:tcPr>
          <w:p w:rsidR="006D3D88" w:rsidRPr="007B1E68" w:rsidRDefault="006D3D88" w:rsidP="007348A7">
            <w:pPr>
              <w:tabs>
                <w:tab w:val="left" w:pos="2019"/>
              </w:tabs>
              <w:rPr>
                <w:color w:val="000000"/>
              </w:rPr>
            </w:pPr>
          </w:p>
        </w:tc>
      </w:tr>
      <w:tr w:rsidR="006D3D88" w:rsidTr="007B1E68">
        <w:tc>
          <w:tcPr>
            <w:tcW w:w="2235" w:type="dxa"/>
            <w:shd w:val="clear" w:color="auto" w:fill="auto"/>
          </w:tcPr>
          <w:p w:rsidR="006D3D88" w:rsidRPr="007B1E68" w:rsidRDefault="006D3D88" w:rsidP="007348A7">
            <w:pPr>
              <w:tabs>
                <w:tab w:val="left" w:pos="2019"/>
              </w:tabs>
              <w:rPr>
                <w:color w:val="000000"/>
              </w:rPr>
            </w:pPr>
            <w:r w:rsidRPr="007B1E68">
              <w:rPr>
                <w:color w:val="000000"/>
              </w:rPr>
              <w:t>Gender other genetic and Age-Related Differences in PD Response</w:t>
            </w:r>
          </w:p>
        </w:tc>
        <w:tc>
          <w:tcPr>
            <w:tcW w:w="3260" w:type="dxa"/>
            <w:shd w:val="clear" w:color="auto" w:fill="auto"/>
          </w:tcPr>
          <w:p w:rsidR="006D3D88" w:rsidRPr="007B1E68" w:rsidRDefault="006D3D88" w:rsidP="007348A7">
            <w:pPr>
              <w:tabs>
                <w:tab w:val="left" w:pos="2019"/>
              </w:tabs>
              <w:rPr>
                <w:color w:val="000000"/>
              </w:rPr>
            </w:pPr>
            <w:r w:rsidRPr="007B1E68">
              <w:rPr>
                <w:color w:val="000000"/>
              </w:rPr>
              <w:t>Effect of gender  NA</w:t>
            </w:r>
          </w:p>
        </w:tc>
        <w:tc>
          <w:tcPr>
            <w:tcW w:w="2439" w:type="dxa"/>
            <w:shd w:val="clear" w:color="auto" w:fill="auto"/>
          </w:tcPr>
          <w:p w:rsidR="006D3D88" w:rsidRPr="007B1E68" w:rsidRDefault="006D3D88" w:rsidP="007348A7">
            <w:pPr>
              <w:tabs>
                <w:tab w:val="left" w:pos="2019"/>
              </w:tabs>
              <w:rPr>
                <w:color w:val="000000"/>
              </w:rPr>
            </w:pPr>
          </w:p>
        </w:tc>
      </w:tr>
      <w:tr w:rsidR="006D3D88" w:rsidTr="007B1E68">
        <w:tc>
          <w:tcPr>
            <w:tcW w:w="2235" w:type="dxa"/>
            <w:shd w:val="clear" w:color="auto" w:fill="auto"/>
          </w:tcPr>
          <w:p w:rsidR="006D3D88" w:rsidRPr="007B1E68" w:rsidRDefault="006D3D88" w:rsidP="007348A7">
            <w:pPr>
              <w:tabs>
                <w:tab w:val="left" w:pos="2019"/>
              </w:tabs>
              <w:rPr>
                <w:color w:val="000000"/>
              </w:rPr>
            </w:pPr>
            <w:r w:rsidRPr="007B1E68">
              <w:rPr>
                <w:color w:val="000000"/>
              </w:rPr>
              <w:lastRenderedPageBreak/>
              <w:t>PD Interactions</w:t>
            </w:r>
          </w:p>
        </w:tc>
        <w:tc>
          <w:tcPr>
            <w:tcW w:w="3260" w:type="dxa"/>
            <w:shd w:val="clear" w:color="auto" w:fill="auto"/>
          </w:tcPr>
          <w:p w:rsidR="006D3D88" w:rsidRPr="007B1E68" w:rsidRDefault="006D3D88" w:rsidP="007348A7">
            <w:pPr>
              <w:tabs>
                <w:tab w:val="left" w:pos="2019"/>
              </w:tabs>
              <w:rPr>
                <w:color w:val="000000"/>
              </w:rPr>
            </w:pPr>
            <w:r w:rsidRPr="007B1E68">
              <w:rPr>
                <w:color w:val="000000"/>
              </w:rPr>
              <w:t>NA</w:t>
            </w:r>
          </w:p>
        </w:tc>
        <w:tc>
          <w:tcPr>
            <w:tcW w:w="2439" w:type="dxa"/>
            <w:shd w:val="clear" w:color="auto" w:fill="auto"/>
          </w:tcPr>
          <w:p w:rsidR="006D3D88" w:rsidRPr="007B1E68" w:rsidRDefault="006D3D88" w:rsidP="007348A7">
            <w:pPr>
              <w:tabs>
                <w:tab w:val="left" w:pos="2019"/>
              </w:tabs>
              <w:rPr>
                <w:color w:val="000000"/>
              </w:rPr>
            </w:pPr>
          </w:p>
        </w:tc>
      </w:tr>
      <w:tr w:rsidR="006D3D88" w:rsidTr="007B1E68">
        <w:tc>
          <w:tcPr>
            <w:tcW w:w="2235" w:type="dxa"/>
            <w:shd w:val="clear" w:color="auto" w:fill="auto"/>
          </w:tcPr>
          <w:p w:rsidR="006D3D88" w:rsidRPr="007B1E68" w:rsidRDefault="006D3D88" w:rsidP="007348A7">
            <w:pPr>
              <w:tabs>
                <w:tab w:val="left" w:pos="2019"/>
              </w:tabs>
              <w:rPr>
                <w:color w:val="000000"/>
              </w:rPr>
            </w:pPr>
            <w:r w:rsidRPr="007B1E68">
              <w:rPr>
                <w:color w:val="000000"/>
              </w:rPr>
              <w:t>Population PD and PK-PD analyses</w:t>
            </w:r>
          </w:p>
        </w:tc>
        <w:tc>
          <w:tcPr>
            <w:tcW w:w="3260" w:type="dxa"/>
            <w:shd w:val="clear" w:color="auto" w:fill="auto"/>
          </w:tcPr>
          <w:p w:rsidR="006D3D88" w:rsidRPr="007B1E68" w:rsidRDefault="006D3D88" w:rsidP="007348A7">
            <w:pPr>
              <w:tabs>
                <w:tab w:val="left" w:pos="2019"/>
              </w:tabs>
              <w:rPr>
                <w:color w:val="000000"/>
              </w:rPr>
            </w:pPr>
            <w:r w:rsidRPr="007B1E68">
              <w:rPr>
                <w:color w:val="000000"/>
              </w:rPr>
              <w:t>NA</w:t>
            </w:r>
          </w:p>
        </w:tc>
        <w:tc>
          <w:tcPr>
            <w:tcW w:w="2439" w:type="dxa"/>
            <w:shd w:val="clear" w:color="auto" w:fill="auto"/>
          </w:tcPr>
          <w:p w:rsidR="006D3D88" w:rsidRPr="007B1E68" w:rsidRDefault="006D3D88" w:rsidP="007348A7">
            <w:pPr>
              <w:tabs>
                <w:tab w:val="left" w:pos="2019"/>
              </w:tabs>
              <w:rPr>
                <w:color w:val="000000"/>
              </w:rPr>
            </w:pPr>
          </w:p>
        </w:tc>
      </w:tr>
    </w:tbl>
    <w:p w:rsidR="00CD06A4" w:rsidRDefault="00CD06A4" w:rsidP="007348A7">
      <w:pPr>
        <w:pStyle w:val="TableDescription"/>
      </w:pPr>
      <w:r>
        <w:t>NA=Not available</w:t>
      </w:r>
    </w:p>
    <w:p w:rsidR="00782053" w:rsidRDefault="00782053" w:rsidP="00686703">
      <w:r>
        <w:rPr>
          <w:rFonts w:cs="Cambria"/>
        </w:rPr>
        <w:t xml:space="preserve">Note: The </w:t>
      </w:r>
      <w:r w:rsidR="00930A6D">
        <w:t>pharmacodynamic</w:t>
      </w:r>
      <w:r>
        <w:t xml:space="preserve"> evaluations from Study CC-4047-CC-006 were reported separately, and were</w:t>
      </w:r>
      <w:r w:rsidR="00686703">
        <w:t xml:space="preserve"> not found in this application.</w:t>
      </w:r>
    </w:p>
    <w:p w:rsidR="00605AD4" w:rsidRDefault="00605AD4" w:rsidP="007348A7">
      <w:pPr>
        <w:pStyle w:val="Heading4"/>
      </w:pPr>
      <w:r>
        <w:t xml:space="preserve">Evaluator’s conclusions on </w:t>
      </w:r>
      <w:r w:rsidRPr="007348A7">
        <w:t>pharmacodynamics</w:t>
      </w:r>
    </w:p>
    <w:p w:rsidR="00FC1E91" w:rsidRPr="007348A7" w:rsidRDefault="00FC1E91" w:rsidP="007348A7">
      <w:pPr>
        <w:pStyle w:val="ListBullet"/>
      </w:pPr>
      <w:r w:rsidRPr="007348A7">
        <w:t xml:space="preserve">Pharmacological properties of pomalidomide from </w:t>
      </w:r>
      <w:r w:rsidR="00587C7F" w:rsidRPr="007348A7">
        <w:t>non</w:t>
      </w:r>
      <w:r w:rsidRPr="007348A7">
        <w:t>clinical studies are summarised</w:t>
      </w:r>
    </w:p>
    <w:p w:rsidR="00FC1E91" w:rsidRPr="007348A7" w:rsidRDefault="00FC1E91" w:rsidP="007348A7">
      <w:pPr>
        <w:pStyle w:val="ListBullet"/>
      </w:pPr>
      <w:r w:rsidRPr="007348A7">
        <w:t>Effects of pomalidomide on the CD4 and CD8 counts in Study 1398/132 in healthy subjects were inconclusive</w:t>
      </w:r>
    </w:p>
    <w:p w:rsidR="00FC1E91" w:rsidRPr="007348A7" w:rsidRDefault="00FC1E91" w:rsidP="007348A7">
      <w:pPr>
        <w:pStyle w:val="ListBullet"/>
      </w:pPr>
      <w:r w:rsidRPr="007348A7">
        <w:t>A reduction in serum paraprotein concentration of at least 25% was seen in 39% of patients treated with pomalidomide (Study CDC-4047-00-001)</w:t>
      </w:r>
    </w:p>
    <w:p w:rsidR="00FC1E91" w:rsidRPr="007348A7" w:rsidRDefault="00FC1E91" w:rsidP="007348A7">
      <w:pPr>
        <w:pStyle w:val="ListBullet"/>
      </w:pPr>
      <w:r w:rsidRPr="007348A7">
        <w:t>Grade 3 and 4 neutropenia were seen in MM p</w:t>
      </w:r>
      <w:r w:rsidR="0025071B" w:rsidRPr="007348A7">
        <w:t>atients treated with pomaildome; and</w:t>
      </w:r>
    </w:p>
    <w:p w:rsidR="00FC1E91" w:rsidRPr="00686703" w:rsidRDefault="00FC1E91" w:rsidP="007348A7">
      <w:pPr>
        <w:pStyle w:val="ListBullet"/>
      </w:pPr>
      <w:r w:rsidRPr="007348A7">
        <w:t>Efficacy and saf</w:t>
      </w:r>
      <w:r w:rsidRPr="00686703">
        <w:t>ety were not shown to be related to PK data on pomalidomide because of insufficient data</w:t>
      </w:r>
      <w:r w:rsidR="0025071B" w:rsidRPr="00686703">
        <w:t>.</w:t>
      </w:r>
    </w:p>
    <w:p w:rsidR="008E7846" w:rsidRDefault="00605AD4" w:rsidP="007348A7">
      <w:pPr>
        <w:pStyle w:val="Heading3"/>
      </w:pPr>
      <w:bookmarkStart w:id="94" w:name="_Toc404176187"/>
      <w:r>
        <w:t xml:space="preserve">Dosage </w:t>
      </w:r>
      <w:r w:rsidR="00686703">
        <w:rPr>
          <w:lang w:val="en-AU"/>
        </w:rPr>
        <w:t>s</w:t>
      </w:r>
      <w:r w:rsidR="00686703">
        <w:t>election</w:t>
      </w:r>
      <w:r>
        <w:t xml:space="preserve"> </w:t>
      </w:r>
      <w:r w:rsidRPr="007348A7">
        <w:t>for</w:t>
      </w:r>
      <w:r>
        <w:t xml:space="preserve"> the </w:t>
      </w:r>
      <w:r w:rsidR="00686703">
        <w:rPr>
          <w:lang w:val="en-AU"/>
        </w:rPr>
        <w:t>p</w:t>
      </w:r>
      <w:r>
        <w:t xml:space="preserve">ivotal </w:t>
      </w:r>
      <w:r w:rsidR="00686703">
        <w:rPr>
          <w:lang w:val="en-AU"/>
        </w:rPr>
        <w:t>s</w:t>
      </w:r>
      <w:r>
        <w:t>tudies</w:t>
      </w:r>
      <w:bookmarkEnd w:id="94"/>
    </w:p>
    <w:p w:rsidR="00523C10" w:rsidRPr="00523C10" w:rsidRDefault="00523C10" w:rsidP="004B5DDD">
      <w:r w:rsidRPr="00523C10">
        <w:t>The proposed clinical starting dose for pomalidomide is 4 mg daily (given as 2 x 2 mg capsules) on Days 1 to 21 of repeated 28</w:t>
      </w:r>
      <w:r w:rsidR="00442578">
        <w:t xml:space="preserve"> </w:t>
      </w:r>
      <w:r w:rsidRPr="00523C10">
        <w:t>day cycles, in combination with 40 mg dexamethasone on Days 1,</w:t>
      </w:r>
      <w:r w:rsidR="009357CD">
        <w:t xml:space="preserve"> </w:t>
      </w:r>
      <w:r w:rsidRPr="00523C10">
        <w:t>8, 15 and 22 of each 28</w:t>
      </w:r>
      <w:r w:rsidR="00442578">
        <w:t xml:space="preserve"> day cycle. In the Phase II</w:t>
      </w:r>
      <w:r w:rsidRPr="00523C10">
        <w:t xml:space="preserve"> secti</w:t>
      </w:r>
      <w:r>
        <w:t>on of study CC-4047-MM-002</w:t>
      </w:r>
      <w:r w:rsidRPr="00523C10">
        <w:t>, the results from</w:t>
      </w:r>
      <w:r w:rsidR="007D4E72">
        <w:t xml:space="preserve"> the 14 patients who provided pharmacokinetic</w:t>
      </w:r>
      <w:r w:rsidRPr="00523C10">
        <w:t xml:space="preserve"> data showed a steady</w:t>
      </w:r>
      <w:r w:rsidR="007D4E72">
        <w:t xml:space="preserve"> </w:t>
      </w:r>
      <w:r w:rsidRPr="00523C10">
        <w:t>state mean exposure (AUC</w:t>
      </w:r>
      <w:r w:rsidR="00F62C25">
        <w:t>0-t</w:t>
      </w:r>
      <w:r w:rsidRPr="00523C10">
        <w:t>) to pomalidomide in the range of 381-411 ng.hr/mL (CV 28-55%).</w:t>
      </w:r>
    </w:p>
    <w:p w:rsidR="00523C10" w:rsidRPr="00523C10" w:rsidRDefault="00523C10" w:rsidP="007348A7">
      <w:r w:rsidRPr="00523C10">
        <w:t xml:space="preserve">The therapeutic dose is consistent with data from the </w:t>
      </w:r>
      <w:r w:rsidR="00101A72">
        <w:t>Phase I</w:t>
      </w:r>
      <w:r w:rsidRPr="00523C10">
        <w:t xml:space="preserve"> </w:t>
      </w:r>
      <w:r>
        <w:t>portion of CC-4047-MM-002</w:t>
      </w:r>
      <w:r w:rsidRPr="00523C10">
        <w:t>, in which the MTD of pomalidomide when administered as single agent once per day orally on Days 1 to 21 of each 28</w:t>
      </w:r>
      <w:r w:rsidR="00101A72">
        <w:t xml:space="preserve"> </w:t>
      </w:r>
      <w:r w:rsidRPr="00523C10">
        <w:t>day cycle (cyclic regimen schedule) was determined to be 4 mg based on the occurrence of dose</w:t>
      </w:r>
      <w:r w:rsidR="00101A72">
        <w:t xml:space="preserve"> </w:t>
      </w:r>
      <w:r w:rsidRPr="00523C10">
        <w:t xml:space="preserve">limiting toxicities (DLTs) of </w:t>
      </w:r>
      <w:r w:rsidR="00587C7F">
        <w:t>G</w:t>
      </w:r>
      <w:r w:rsidRPr="00523C10">
        <w:t xml:space="preserve">rade 4 neutropenia in the 5 mg dose cohort. Subjects in the 4 mg cohort had fewer dose reductions than those in the 5 mg cohort and the proportion of subjects who completed </w:t>
      </w:r>
      <w:r w:rsidR="00101A72">
        <w:t>≥</w:t>
      </w:r>
      <w:r w:rsidRPr="00523C10">
        <w:t xml:space="preserve"> 40 weeks on study was higher in the 4 mg (and 5 mg) cohort compared with the 2 mg and 3 mg cohorts. This implies a balance between tolerability and efficacy. This result is cons</w:t>
      </w:r>
      <w:r>
        <w:t xml:space="preserve">istent with </w:t>
      </w:r>
      <w:r w:rsidR="00101A72">
        <w:t xml:space="preserve">Study </w:t>
      </w:r>
      <w:r>
        <w:t>CC-4047-MM-001</w:t>
      </w:r>
      <w:r w:rsidRPr="00523C10">
        <w:t>, which determined an MTD of 2 mg</w:t>
      </w:r>
      <w:r w:rsidR="00C5636A">
        <w:t xml:space="preserve"> once daily (</w:t>
      </w:r>
      <w:r w:rsidRPr="00523C10">
        <w:t>QD</w:t>
      </w:r>
      <w:r w:rsidR="00C5636A">
        <w:t>)</w:t>
      </w:r>
      <w:r w:rsidRPr="00523C10">
        <w:t xml:space="preserve"> or 5 mg </w:t>
      </w:r>
      <w:r w:rsidR="00C5636A">
        <w:t>every other day (</w:t>
      </w:r>
      <w:r w:rsidRPr="00523C10">
        <w:t>QOD</w:t>
      </w:r>
      <w:r w:rsidR="00C5636A">
        <w:t>)</w:t>
      </w:r>
      <w:r w:rsidRPr="00523C10">
        <w:t xml:space="preserve">, but did not explore a dose between this </w:t>
      </w:r>
      <w:proofErr w:type="gramStart"/>
      <w:r w:rsidRPr="00523C10">
        <w:t>range</w:t>
      </w:r>
      <w:proofErr w:type="gramEnd"/>
      <w:r w:rsidRPr="00523C10">
        <w:t>. The MTD of 4 mg was used as the rec</w:t>
      </w:r>
      <w:r w:rsidR="003D0A4D">
        <w:t>ommended starting dose for the P</w:t>
      </w:r>
      <w:r w:rsidRPr="00523C10">
        <w:t xml:space="preserve">hase </w:t>
      </w:r>
      <w:r w:rsidR="003D0A4D">
        <w:t>II</w:t>
      </w:r>
      <w:r w:rsidRPr="00523C10">
        <w:t xml:space="preserve"> open</w:t>
      </w:r>
      <w:r w:rsidR="003D0A4D">
        <w:t xml:space="preserve"> </w:t>
      </w:r>
      <w:r w:rsidRPr="00523C10">
        <w:t>label randomi</w:t>
      </w:r>
      <w:r w:rsidR="003D0A4D">
        <w:t>s</w:t>
      </w:r>
      <w:r w:rsidRPr="00523C10">
        <w:t>ed segment of the study to determine the efficacy and safety of pomalidomide al</w:t>
      </w:r>
      <w:r w:rsidR="002D4381">
        <w:t>one and in combination with LD</w:t>
      </w:r>
      <w:r w:rsidRPr="00523C10">
        <w:t xml:space="preserve"> dexamethasone in the </w:t>
      </w:r>
      <w:r w:rsidR="00E77E42">
        <w:t>RRMM</w:t>
      </w:r>
      <w:r w:rsidR="004B5DDD">
        <w:t xml:space="preserve"> population.</w:t>
      </w:r>
    </w:p>
    <w:p w:rsidR="00523C10" w:rsidRPr="00523C10" w:rsidRDefault="00523C10" w:rsidP="007348A7">
      <w:r w:rsidRPr="00523C10">
        <w:t>The proposed usage of pomalidomide is in combination with dexamethasone. However, pomalidomide is active when administered alone, with an overall response rate of 9% (</w:t>
      </w:r>
      <w:r w:rsidR="003704CA">
        <w:t>i</w:t>
      </w:r>
      <w:r w:rsidRPr="00523C10">
        <w:t>ntent to treat [ITT population]), and a response rate of 15.4% in subjects &gt; 65 years old and 23.1% in subjects &gt;75 years old based on an Independent Response Adjudication Committee (IRAC), in the heavily pre</w:t>
      </w:r>
      <w:r w:rsidR="00D236D9">
        <w:t>-</w:t>
      </w:r>
      <w:r w:rsidRPr="00523C10">
        <w:t xml:space="preserve">treated subjects in </w:t>
      </w:r>
      <w:r w:rsidR="00D236D9">
        <w:t xml:space="preserve">the Phase II Study </w:t>
      </w:r>
      <w:r w:rsidRPr="00523C10">
        <w:t xml:space="preserve">CC-4047-MM-002. The rationale for the combination of pomalidomide plus </w:t>
      </w:r>
      <w:r w:rsidR="00CB01DA">
        <w:t>LD</w:t>
      </w:r>
      <w:r w:rsidRPr="00523C10">
        <w:t xml:space="preserve"> dexamethasone was based on </w:t>
      </w:r>
      <w:r w:rsidRPr="00392988">
        <w:rPr>
          <w:i/>
        </w:rPr>
        <w:t>in</w:t>
      </w:r>
      <w:r w:rsidR="00392988" w:rsidRPr="00392988">
        <w:rPr>
          <w:i/>
        </w:rPr>
        <w:t xml:space="preserve"> </w:t>
      </w:r>
      <w:r w:rsidRPr="00392988">
        <w:rPr>
          <w:i/>
        </w:rPr>
        <w:t>vitro</w:t>
      </w:r>
      <w:r w:rsidRPr="00523C10">
        <w:t xml:space="preserve"> data that show that pomalidomide inhibits the proliferation of lenalidomide</w:t>
      </w:r>
      <w:r w:rsidR="00392988">
        <w:t xml:space="preserve"> </w:t>
      </w:r>
      <w:r w:rsidRPr="00523C10">
        <w:t xml:space="preserve">resistant </w:t>
      </w:r>
      <w:r w:rsidR="00B639BE">
        <w:t>MM</w:t>
      </w:r>
      <w:r w:rsidRPr="00523C10">
        <w:t xml:space="preserve"> cell lines and synergi</w:t>
      </w:r>
      <w:r w:rsidR="00392988">
        <w:t>s</w:t>
      </w:r>
      <w:r w:rsidRPr="00523C10">
        <w:t xml:space="preserve">es with dexamethasone in both </w:t>
      </w:r>
      <w:r w:rsidRPr="00523C10">
        <w:lastRenderedPageBreak/>
        <w:t>lenalidomide</w:t>
      </w:r>
      <w:r w:rsidR="00392988">
        <w:t xml:space="preserve"> </w:t>
      </w:r>
      <w:r w:rsidRPr="00523C10">
        <w:t>sensitive and lenalidomide</w:t>
      </w:r>
      <w:r w:rsidR="00392988">
        <w:t xml:space="preserve"> </w:t>
      </w:r>
      <w:r w:rsidRPr="00523C10">
        <w:t>resistant cell lines to induce tumo</w:t>
      </w:r>
      <w:r w:rsidR="006503F9">
        <w:t>u</w:t>
      </w:r>
      <w:r w:rsidRPr="00523C10">
        <w:t>r cell apoptosis. These data were supported by the overall response rate of</w:t>
      </w:r>
      <w:r w:rsidR="009E3FEE">
        <w:t xml:space="preserve"> </w:t>
      </w:r>
      <w:r w:rsidRPr="00523C10">
        <w:t xml:space="preserve">30.1% (ITT population) in subjects treated with the combination of pomalidomide and </w:t>
      </w:r>
      <w:r w:rsidR="00CB01DA">
        <w:t>LD</w:t>
      </w:r>
      <w:r w:rsidR="0067372F">
        <w:t xml:space="preserve"> dexamethasone</w:t>
      </w:r>
      <w:r w:rsidRPr="00523C10">
        <w:t xml:space="preserve"> versus 9.3% in subjects treated with pomalidomide alone in </w:t>
      </w:r>
      <w:r w:rsidR="00890538">
        <w:t xml:space="preserve">Phase II Study </w:t>
      </w:r>
      <w:r w:rsidRPr="00523C10">
        <w:t xml:space="preserve">CC-4047-MM-002. In addition, </w:t>
      </w:r>
      <w:r w:rsidR="0090562F" w:rsidRPr="00523C10">
        <w:t xml:space="preserve">compared to treatment with lenalidomide alone </w:t>
      </w:r>
      <w:r w:rsidRPr="00523C10">
        <w:t xml:space="preserve">lenalidomide (of which pomalidomide is an analogue) demonstrated increased antimyeloma activity when used in combination with dexamethasone. The use of </w:t>
      </w:r>
      <w:r w:rsidR="00631B81">
        <w:t>LD</w:t>
      </w:r>
      <w:r w:rsidRPr="00523C10">
        <w:t xml:space="preserve"> dexamethasone as well as a cyclic regimen schedule is also supported by studies using lenalidomide.</w:t>
      </w:r>
    </w:p>
    <w:p w:rsidR="00523C10" w:rsidRPr="00523C10" w:rsidRDefault="00523C10" w:rsidP="004B5DDD">
      <w:r w:rsidRPr="00523C10">
        <w:t>A cyclic regimen of pomalidomide 21 of 28 days versus 28 of 28 days was compared in IFM-2009-02. There was no difference in response rate, or any secondary endpoint, between the two different treatment regimens, both of which contained the same dose/schedule of dexamethasone. Since both regimens were well tolerated, and overall treatment duration was longer with the 21 day versus the 28 day regimen, use of the 21 day regimen appears favourable.</w:t>
      </w:r>
    </w:p>
    <w:p w:rsidR="00523C10" w:rsidRPr="00523C10" w:rsidRDefault="00523C10" w:rsidP="004B5DDD">
      <w:r w:rsidRPr="00523C10">
        <w:t xml:space="preserve">Therefore, the available data support a 21 of 28 day cyclic regimen of pomalidomide 4 mg in combination with </w:t>
      </w:r>
      <w:r w:rsidR="00CB01DA">
        <w:t>LD</w:t>
      </w:r>
      <w:r w:rsidRPr="00523C10">
        <w:t xml:space="preserve"> dexamethasone to be the optimal regimen. There were not sufficient PK data currently available to determine an exposure-response relationship.</w:t>
      </w:r>
    </w:p>
    <w:p w:rsidR="00523C10" w:rsidRPr="00794EDC" w:rsidRDefault="00523C10" w:rsidP="007348A7">
      <w:pPr>
        <w:ind w:firstLine="426"/>
        <w:rPr>
          <w:i/>
        </w:rPr>
      </w:pPr>
      <w:r w:rsidRPr="00794EDC">
        <w:rPr>
          <w:i/>
        </w:rPr>
        <w:t xml:space="preserve">Comment: The reasons for the </w:t>
      </w:r>
      <w:r w:rsidR="005F6C76">
        <w:rPr>
          <w:i/>
        </w:rPr>
        <w:t>dose selections are acceptable.</w:t>
      </w:r>
    </w:p>
    <w:p w:rsidR="008E7846" w:rsidRPr="00254787" w:rsidRDefault="008E7846" w:rsidP="005F6C76">
      <w:pPr>
        <w:pStyle w:val="Heading3"/>
      </w:pPr>
      <w:bookmarkStart w:id="95" w:name="_Toc163441372"/>
      <w:bookmarkStart w:id="96" w:name="_Toc196046485"/>
      <w:bookmarkStart w:id="97" w:name="_Toc247691521"/>
      <w:bookmarkStart w:id="98" w:name="_Toc314842504"/>
      <w:bookmarkStart w:id="99" w:name="_Toc404176188"/>
      <w:r w:rsidRPr="005F6C76">
        <w:t>Efficacy</w:t>
      </w:r>
      <w:bookmarkEnd w:id="95"/>
      <w:bookmarkEnd w:id="96"/>
      <w:bookmarkEnd w:id="97"/>
      <w:bookmarkEnd w:id="98"/>
      <w:bookmarkEnd w:id="99"/>
    </w:p>
    <w:p w:rsidR="008E7846" w:rsidRDefault="00605AD4" w:rsidP="005F6C76">
      <w:pPr>
        <w:pStyle w:val="Heading4"/>
      </w:pPr>
      <w:bookmarkStart w:id="100" w:name="_Toc184439992"/>
      <w:bookmarkStart w:id="101" w:name="_Toc184440279"/>
      <w:bookmarkStart w:id="102" w:name="_Toc184444657"/>
      <w:bookmarkStart w:id="103" w:name="_Toc196046487"/>
      <w:r>
        <w:t xml:space="preserve">Evaluator’s </w:t>
      </w:r>
      <w:r w:rsidRPr="005F6C76">
        <w:t>conclusions</w:t>
      </w:r>
      <w:r>
        <w:t xml:space="preserve"> on efficacy</w:t>
      </w:r>
    </w:p>
    <w:p w:rsidR="00016EF7" w:rsidRPr="00016EF7" w:rsidRDefault="00016EF7" w:rsidP="005F6C76">
      <w:pPr>
        <w:pStyle w:val="ListBullet"/>
      </w:pPr>
      <w:r w:rsidRPr="00016EF7">
        <w:t>In the pivotal trial</w:t>
      </w:r>
      <w:r>
        <w:t xml:space="preserve"> Study CC-4407-MM-03</w:t>
      </w:r>
      <w:r w:rsidRPr="00016EF7">
        <w:t>, the combination of pomalidomide + LD</w:t>
      </w:r>
      <w:r w:rsidR="00925D4A" w:rsidRPr="00925D4A">
        <w:t xml:space="preserve"> </w:t>
      </w:r>
      <w:r w:rsidR="00925D4A">
        <w:t>dexamethasone</w:t>
      </w:r>
      <w:r w:rsidR="00925D4A" w:rsidRPr="00016EF7">
        <w:t xml:space="preserve"> </w:t>
      </w:r>
      <w:r w:rsidRPr="00016EF7">
        <w:t xml:space="preserve">was </w:t>
      </w:r>
      <w:r w:rsidRPr="005F6C76">
        <w:t>effective</w:t>
      </w:r>
      <w:r w:rsidRPr="00016EF7">
        <w:t xml:space="preserve"> in the treatment of patients with </w:t>
      </w:r>
      <w:r w:rsidR="00B639BE">
        <w:t>MM</w:t>
      </w:r>
      <w:r w:rsidRPr="00016EF7">
        <w:t xml:space="preserve"> who had failed at least two prior therapies including lenalidomide and </w:t>
      </w:r>
      <w:r w:rsidR="00A941AC">
        <w:t>b</w:t>
      </w:r>
      <w:r w:rsidRPr="00016EF7">
        <w:t>ortezomib.</w:t>
      </w:r>
    </w:p>
    <w:p w:rsidR="00016EF7" w:rsidRPr="00016EF7" w:rsidRDefault="00016EF7" w:rsidP="00016EF7">
      <w:pPr>
        <w:ind w:left="360"/>
        <w:rPr>
          <w:i/>
        </w:rPr>
      </w:pPr>
      <w:r w:rsidRPr="00016EF7">
        <w:rPr>
          <w:i/>
        </w:rPr>
        <w:t xml:space="preserve">Comment: The study was not designed to show effectiveness against any other proteosome inhibitor than </w:t>
      </w:r>
      <w:r w:rsidR="00A941AC">
        <w:rPr>
          <w:i/>
        </w:rPr>
        <w:t>b</w:t>
      </w:r>
      <w:r w:rsidRPr="00016EF7">
        <w:rPr>
          <w:i/>
        </w:rPr>
        <w:t xml:space="preserve">ortezomib, and only 7 of 455 patients in the trial had received another protesome inhibitor, </w:t>
      </w:r>
      <w:r w:rsidR="00A941AC">
        <w:rPr>
          <w:i/>
        </w:rPr>
        <w:t>c</w:t>
      </w:r>
      <w:r w:rsidRPr="00016EF7">
        <w:rPr>
          <w:i/>
        </w:rPr>
        <w:t>arfilzomib. It may be argued that because of their similar anti</w:t>
      </w:r>
      <w:r w:rsidR="000F049A">
        <w:rPr>
          <w:i/>
        </w:rPr>
        <w:t xml:space="preserve"> </w:t>
      </w:r>
      <w:r w:rsidRPr="00016EF7">
        <w:rPr>
          <w:i/>
        </w:rPr>
        <w:t>MM action, resist</w:t>
      </w:r>
      <w:r w:rsidR="006B705B">
        <w:rPr>
          <w:i/>
        </w:rPr>
        <w:t>a</w:t>
      </w:r>
      <w:r w:rsidRPr="00016EF7">
        <w:rPr>
          <w:i/>
        </w:rPr>
        <w:t xml:space="preserve">nce to all protesome inhibitors is the same as for </w:t>
      </w:r>
      <w:r w:rsidR="00A941AC">
        <w:rPr>
          <w:i/>
        </w:rPr>
        <w:t>b</w:t>
      </w:r>
      <w:r w:rsidRPr="00016EF7">
        <w:rPr>
          <w:i/>
        </w:rPr>
        <w:t>ortezumib. However, lenalidomide and pomalidome are also structurally and functionally similar, but resistance to lenalidimode still allows response to pomalidomide as shown in the pivotal trial. It is therefore unsafe to extrapolate responses in this disease based on similarities in the agents involved.</w:t>
      </w:r>
    </w:p>
    <w:p w:rsidR="00016EF7" w:rsidRPr="00016EF7" w:rsidRDefault="00016EF7" w:rsidP="005F6C76">
      <w:pPr>
        <w:pStyle w:val="ListBullet"/>
      </w:pPr>
      <w:r w:rsidRPr="00016EF7">
        <w:t xml:space="preserve">The combination of </w:t>
      </w:r>
      <w:r w:rsidR="004A3B6F">
        <w:rPr>
          <w:rFonts w:eastAsia="TimesNewRoman"/>
          <w:lang w:val="en-US"/>
        </w:rPr>
        <w:t>pomalidomide</w:t>
      </w:r>
      <w:r w:rsidR="00A941AC">
        <w:t xml:space="preserve"> </w:t>
      </w:r>
      <w:r w:rsidRPr="00016EF7">
        <w:t>+</w:t>
      </w:r>
      <w:r w:rsidR="00A941AC">
        <w:t xml:space="preserve"> LD dexamethasone</w:t>
      </w:r>
      <w:r w:rsidRPr="00016EF7">
        <w:t xml:space="preserve"> resulted in a clinically </w:t>
      </w:r>
      <w:r w:rsidRPr="005F6C76">
        <w:t>significant</w:t>
      </w:r>
      <w:r w:rsidRPr="00016EF7">
        <w:t xml:space="preserve"> improvement of 7.7 weeks in PFS, of more than 12 weeks in OS (20 weeks in</w:t>
      </w:r>
      <w:r w:rsidR="000F049A">
        <w:t xml:space="preserve"> the updated analysis), and of </w:t>
      </w:r>
      <w:r w:rsidR="009E3FEE">
        <w:t xml:space="preserve">12.7% in </w:t>
      </w:r>
      <w:r w:rsidRPr="00016EF7">
        <w:t>response rate.</w:t>
      </w:r>
      <w:r w:rsidR="006813F9">
        <w:t xml:space="preserve"> </w:t>
      </w:r>
      <w:r w:rsidRPr="00016EF7">
        <w:t>The positive effects were shown in most subgroups, with three exceptions.</w:t>
      </w:r>
    </w:p>
    <w:p w:rsidR="00016EF7" w:rsidRPr="00016EF7" w:rsidRDefault="00016EF7" w:rsidP="005F6C76">
      <w:pPr>
        <w:pStyle w:val="ListBullet"/>
      </w:pPr>
      <w:r w:rsidRPr="00016EF7">
        <w:t xml:space="preserve">If the two subgroups with very small numbers of patients were excluded, one subgroup with an adequate number of subject with poor renal function (creatinine </w:t>
      </w:r>
      <w:r w:rsidRPr="005F6C76">
        <w:t>clearance</w:t>
      </w:r>
      <w:r w:rsidR="00543536">
        <w:t xml:space="preserve"> </w:t>
      </w:r>
      <w:r w:rsidRPr="00016EF7">
        <w:t>&lt;45</w:t>
      </w:r>
      <w:r w:rsidR="00543536">
        <w:t xml:space="preserve"> </w:t>
      </w:r>
      <w:r w:rsidRPr="00016EF7">
        <w:t>ml/min) showed no significant difference in endpoints in the two treatment arms.</w:t>
      </w:r>
    </w:p>
    <w:p w:rsidR="00016EF7" w:rsidRPr="00016EF7" w:rsidRDefault="00543536" w:rsidP="005F6C76">
      <w:pPr>
        <w:pStyle w:val="ListBullet"/>
      </w:pPr>
      <w:r>
        <w:t xml:space="preserve">The contribution of LD </w:t>
      </w:r>
      <w:r w:rsidR="00016EF7" w:rsidRPr="00016EF7">
        <w:t>dexamethasone to the com</w:t>
      </w:r>
      <w:r>
        <w:t xml:space="preserve">bination of </w:t>
      </w:r>
      <w:r w:rsidR="004A3B6F">
        <w:rPr>
          <w:rFonts w:eastAsia="TimesNewRoman"/>
          <w:lang w:val="en-US"/>
        </w:rPr>
        <w:t>pomalidomide</w:t>
      </w:r>
      <w:r>
        <w:t xml:space="preserve"> + LD dexamethasone</w:t>
      </w:r>
      <w:r w:rsidR="00016EF7" w:rsidRPr="00016EF7">
        <w:t xml:space="preserve"> remains uncertain in this population of patients. The supporting trials confirmed the activity of pomalidomide in this group</w:t>
      </w:r>
      <w:r w:rsidR="00586BA1">
        <w:t xml:space="preserve"> of patients, as shown by the response rate</w:t>
      </w:r>
      <w:r w:rsidR="00016EF7" w:rsidRPr="00016EF7">
        <w:t>s achieved with the pomalidomide treatments. The one trial of pomalidomide + LD</w:t>
      </w:r>
      <w:r w:rsidR="00586BA1" w:rsidRPr="00586BA1">
        <w:t xml:space="preserve"> </w:t>
      </w:r>
      <w:r w:rsidR="00586BA1">
        <w:t>dexamethasone</w:t>
      </w:r>
      <w:r w:rsidR="00586BA1" w:rsidRPr="00016EF7">
        <w:t xml:space="preserve"> </w:t>
      </w:r>
      <w:r w:rsidR="00016EF7" w:rsidRPr="00016EF7">
        <w:t xml:space="preserve">and pomalidomide alone (CC-4047-MM-002) showed a small clinical benefit of the added dexamethasone with an increase of 4.6 weeks in the PFS in the </w:t>
      </w:r>
      <w:r w:rsidR="004A3B6F">
        <w:rPr>
          <w:rFonts w:eastAsia="TimesNewRoman"/>
          <w:lang w:val="en-US"/>
        </w:rPr>
        <w:t>pomalidomide</w:t>
      </w:r>
      <w:r w:rsidR="00586BA1">
        <w:t xml:space="preserve"> + dexamethasone</w:t>
      </w:r>
      <w:r w:rsidR="00016EF7" w:rsidRPr="00016EF7">
        <w:t xml:space="preserve"> arm (16.6 weeks) compared </w:t>
      </w:r>
      <w:r w:rsidR="00016EF7" w:rsidRPr="00016EF7">
        <w:lastRenderedPageBreak/>
        <w:t xml:space="preserve">to the </w:t>
      </w:r>
      <w:r w:rsidR="004A3B6F">
        <w:rPr>
          <w:rFonts w:eastAsia="TimesNewRoman"/>
          <w:lang w:val="en-US"/>
        </w:rPr>
        <w:t>pomalidomide</w:t>
      </w:r>
      <w:r w:rsidR="00016EF7" w:rsidRPr="00016EF7">
        <w:t xml:space="preserve"> arm (12 weeks) before dexamethasone was added to Arm B, and 6.6 weeks a</w:t>
      </w:r>
      <w:r w:rsidR="00C25DAB">
        <w:t>fter the addition (16.6 weeks compared with</w:t>
      </w:r>
      <w:r w:rsidR="00016EF7" w:rsidRPr="00016EF7">
        <w:t xml:space="preserve"> 10 weeks PFS). However</w:t>
      </w:r>
      <w:r w:rsidR="0046252B">
        <w:t>,</w:t>
      </w:r>
      <w:r w:rsidR="00016EF7" w:rsidRPr="00016EF7">
        <w:t xml:space="preserve"> the OS was the same in each arm and the addition of dexamethasone to the pomali</w:t>
      </w:r>
      <w:r w:rsidR="006B705B">
        <w:t>d</w:t>
      </w:r>
      <w:r w:rsidR="00016EF7" w:rsidRPr="00016EF7">
        <w:t xml:space="preserve">omide treatment in the pomalidomide alone arm did </w:t>
      </w:r>
      <w:r w:rsidR="004B5DDD">
        <w:t>not increase the response rate.</w:t>
      </w:r>
    </w:p>
    <w:p w:rsidR="008E7846" w:rsidRPr="002E238E" w:rsidRDefault="008E7846" w:rsidP="005F6C76">
      <w:pPr>
        <w:pStyle w:val="Heading3"/>
      </w:pPr>
      <w:bookmarkStart w:id="104" w:name="_Toc163441378"/>
      <w:bookmarkStart w:id="105" w:name="_Toc196046495"/>
      <w:bookmarkStart w:id="106" w:name="_Toc247691522"/>
      <w:bookmarkStart w:id="107" w:name="_Toc314842505"/>
      <w:bookmarkStart w:id="108" w:name="_Toc404176189"/>
      <w:bookmarkEnd w:id="100"/>
      <w:bookmarkEnd w:id="101"/>
      <w:bookmarkEnd w:id="102"/>
      <w:bookmarkEnd w:id="103"/>
      <w:r w:rsidRPr="005F6C76">
        <w:t>Safety</w:t>
      </w:r>
      <w:bookmarkEnd w:id="104"/>
      <w:bookmarkEnd w:id="105"/>
      <w:bookmarkEnd w:id="106"/>
      <w:bookmarkEnd w:id="107"/>
      <w:bookmarkEnd w:id="108"/>
    </w:p>
    <w:p w:rsidR="00605AD4" w:rsidRDefault="00605AD4" w:rsidP="005F6C76">
      <w:pPr>
        <w:pStyle w:val="Heading4"/>
      </w:pPr>
      <w:bookmarkStart w:id="109" w:name="_Toc247691524"/>
      <w:bookmarkStart w:id="110" w:name="_Toc314842508"/>
      <w:bookmarkStart w:id="111" w:name="_Toc196046504"/>
      <w:bookmarkStart w:id="112" w:name="_Toc163441390"/>
      <w:r w:rsidRPr="00605AD4">
        <w:t xml:space="preserve">Studies </w:t>
      </w:r>
      <w:r w:rsidRPr="005F6C76">
        <w:t>providing</w:t>
      </w:r>
      <w:r w:rsidRPr="00605AD4">
        <w:t xml:space="preserve"> safety data</w:t>
      </w:r>
    </w:p>
    <w:p w:rsidR="006C203C" w:rsidRDefault="006C203C" w:rsidP="005F6C76">
      <w:bookmarkStart w:id="113" w:name="_Ref268776745"/>
      <w:r>
        <w:t>The following studies provided evaluable safety data:</w:t>
      </w:r>
    </w:p>
    <w:p w:rsidR="006C203C" w:rsidRDefault="006C203C" w:rsidP="005F6C76">
      <w:pPr>
        <w:pStyle w:val="ListBullet"/>
      </w:pPr>
      <w:r>
        <w:t xml:space="preserve">Pivotal </w:t>
      </w:r>
      <w:r w:rsidRPr="005F6C76">
        <w:t>efficacy</w:t>
      </w:r>
      <w:r>
        <w:t xml:space="preserve"> </w:t>
      </w:r>
      <w:r w:rsidR="0046252B">
        <w:t>S</w:t>
      </w:r>
      <w:r>
        <w:t>tudy</w:t>
      </w:r>
      <w:bookmarkEnd w:id="113"/>
      <w:r>
        <w:t xml:space="preserve"> CC-4047-MM-003</w:t>
      </w:r>
    </w:p>
    <w:p w:rsidR="006C203C" w:rsidRPr="0090562F" w:rsidRDefault="006C203C" w:rsidP="004B5DDD">
      <w:pPr>
        <w:pStyle w:val="Heading5"/>
      </w:pPr>
      <w:r w:rsidRPr="0090562F">
        <w:t>Pivotal studies that assessed safety as a primary outcome</w:t>
      </w:r>
    </w:p>
    <w:p w:rsidR="006C203C" w:rsidRDefault="006C203C" w:rsidP="004B5DDD">
      <w:r>
        <w:t>Not applicable</w:t>
      </w:r>
      <w:r w:rsidR="007E1B18">
        <w:t>.</w:t>
      </w:r>
    </w:p>
    <w:p w:rsidR="006C203C" w:rsidRDefault="006C203C" w:rsidP="004B5DDD">
      <w:pPr>
        <w:pStyle w:val="Heading5"/>
      </w:pPr>
      <w:r>
        <w:t>Dose</w:t>
      </w:r>
      <w:r w:rsidR="007E1B18">
        <w:t xml:space="preserve"> </w:t>
      </w:r>
      <w:r>
        <w:t>response and non</w:t>
      </w:r>
      <w:r w:rsidR="00E548BC">
        <w:t>-</w:t>
      </w:r>
      <w:r>
        <w:t>pivotal efficacy studies</w:t>
      </w:r>
    </w:p>
    <w:p w:rsidR="006C203C" w:rsidRDefault="006C203C" w:rsidP="004B5DDD">
      <w:r>
        <w:t>The dose</w:t>
      </w:r>
      <w:r w:rsidR="00163152">
        <w:t xml:space="preserve"> </w:t>
      </w:r>
      <w:r>
        <w:t>response and non</w:t>
      </w:r>
      <w:r w:rsidR="00E548BC">
        <w:t>-</w:t>
      </w:r>
      <w:r>
        <w:t>pivotal effica</w:t>
      </w:r>
      <w:r w:rsidR="00163152">
        <w:t>cy studies provided safety data</w:t>
      </w:r>
      <w:r>
        <w:t xml:space="preserve"> as follows:</w:t>
      </w:r>
    </w:p>
    <w:p w:rsidR="006C203C" w:rsidRPr="006C203C" w:rsidRDefault="007E1B18" w:rsidP="004B5DDD">
      <w:pPr>
        <w:pStyle w:val="ListBullet"/>
      </w:pPr>
      <w:r>
        <w:t>Study CC-4047-MM-002 Phase II: The Phase II section of this multicentre, randomis</w:t>
      </w:r>
      <w:r w:rsidR="006C203C" w:rsidRPr="006C203C">
        <w:t>ed, open</w:t>
      </w:r>
      <w:r>
        <w:t xml:space="preserve"> </w:t>
      </w:r>
      <w:r w:rsidR="006C203C" w:rsidRPr="006C203C">
        <w:t>label, dose</w:t>
      </w:r>
      <w:r>
        <w:t xml:space="preserve"> </w:t>
      </w:r>
      <w:r w:rsidR="006C203C" w:rsidRPr="006C203C">
        <w:t xml:space="preserve">escalation study was designed to determine the MTD, safety, and efficacy of pomalidomide alone and in combination with </w:t>
      </w:r>
      <w:r w:rsidR="00CB01DA">
        <w:t>LD</w:t>
      </w:r>
      <w:r w:rsidR="006C203C" w:rsidRPr="006C203C">
        <w:t xml:space="preserve"> dexamethasone, and provided safety data on 107 subjects and 112 subjects respectively in the two treatment arms.</w:t>
      </w:r>
    </w:p>
    <w:p w:rsidR="006C203C" w:rsidRPr="006C203C" w:rsidRDefault="00D277D4" w:rsidP="004B5DDD">
      <w:pPr>
        <w:pStyle w:val="ListBullet"/>
      </w:pPr>
      <w:r>
        <w:t>Study IFM-2009-02: This Phase II</w:t>
      </w:r>
      <w:r w:rsidR="00305AF8">
        <w:t xml:space="preserve">, multicentre, randomised, open </w:t>
      </w:r>
      <w:r w:rsidR="006C203C" w:rsidRPr="006C203C">
        <w:t xml:space="preserve">label study evaluated the safety and efficacy of oral pomalidomide in combination with two regimens of </w:t>
      </w:r>
      <w:r w:rsidR="00CB01DA">
        <w:t>LD</w:t>
      </w:r>
      <w:r w:rsidR="006C203C" w:rsidRPr="006C203C">
        <w:t xml:space="preserve"> dexamethasone provided data on 43 and 41 subjects in each of the two arms.</w:t>
      </w:r>
    </w:p>
    <w:p w:rsidR="006C203C" w:rsidRPr="006C203C" w:rsidRDefault="006C203C" w:rsidP="004B5DDD">
      <w:pPr>
        <w:pStyle w:val="ListBullet"/>
      </w:pPr>
      <w:r w:rsidRPr="006C203C">
        <w:t>Study CC</w:t>
      </w:r>
      <w:r w:rsidR="0036174D">
        <w:t xml:space="preserve">-4047-MM-001(CDC-407-00-001): This Phase I, single centre, open </w:t>
      </w:r>
      <w:r w:rsidRPr="006C203C">
        <w:t xml:space="preserve">label study evaluated safety and efficacy of dose escalation of pomalidomide in subjects with relapsed or refractory </w:t>
      </w:r>
      <w:r w:rsidR="00B639BE">
        <w:t>MM</w:t>
      </w:r>
      <w:r w:rsidRPr="006C203C">
        <w:t>, and provided safety data on 24 subjects on daily dosing and 21 on second daily dosing.</w:t>
      </w:r>
    </w:p>
    <w:p w:rsidR="006C203C" w:rsidRPr="006C203C" w:rsidRDefault="0036174D" w:rsidP="004B5DDD">
      <w:pPr>
        <w:pStyle w:val="ListBullet"/>
      </w:pPr>
      <w:r>
        <w:t>Study CC-4047-MM-002, Phase I: The Phase I</w:t>
      </w:r>
      <w:r w:rsidR="006C203C" w:rsidRPr="006C203C">
        <w:t xml:space="preserve"> section of this trial (see above) determined the MTD of pomalidomide administered daily and provided safety data on 38 subjects.</w:t>
      </w:r>
    </w:p>
    <w:p w:rsidR="006C203C" w:rsidRDefault="006C203C" w:rsidP="005F6C76">
      <w:pPr>
        <w:pStyle w:val="Heading5"/>
      </w:pPr>
      <w:r>
        <w:t xml:space="preserve">Other studies </w:t>
      </w:r>
      <w:r w:rsidRPr="005F6C76">
        <w:t>evaluable</w:t>
      </w:r>
      <w:r>
        <w:t xml:space="preserve"> for safety only</w:t>
      </w:r>
    </w:p>
    <w:p w:rsidR="006C203C" w:rsidRDefault="006C203C" w:rsidP="005F6C76">
      <w:pPr>
        <w:rPr>
          <w:lang w:val="en-US"/>
        </w:rPr>
      </w:pPr>
      <w:r>
        <w:rPr>
          <w:lang w:val="en-US"/>
        </w:rPr>
        <w:t>As of 7 September 2012, the safety of pomalidomide had been evaluated in subjects with RRMM, my</w:t>
      </w:r>
      <w:r w:rsidR="00BC5AAA">
        <w:rPr>
          <w:lang w:val="en-US"/>
        </w:rPr>
        <w:t xml:space="preserve">eloproliferative neoplasm (MPN) </w:t>
      </w:r>
      <w:r>
        <w:rPr>
          <w:lang w:val="en-US"/>
        </w:rPr>
        <w:t>associated myelofibrosis (MF), small cell lung cancer (SCLC), metastatic prostate cancer, and advanced soft tissue sarcomas (STS</w:t>
      </w:r>
      <w:r w:rsidR="00A44883">
        <w:rPr>
          <w:lang w:val="en-US"/>
        </w:rPr>
        <w:t>s</w:t>
      </w:r>
      <w:r>
        <w:rPr>
          <w:lang w:val="en-US"/>
        </w:rPr>
        <w:t>), as well as in healthy male subjects. The clinical development program included a total of 14 studies, 9 of which were completed and 5 of which included subjects who are still being followed for disease progression and survival status. These 14 studies include</w:t>
      </w:r>
      <w:r w:rsidR="00813E77">
        <w:rPr>
          <w:lang w:val="en-US"/>
        </w:rPr>
        <w:t>d 5 studies in MM (one primary P</w:t>
      </w:r>
      <w:r>
        <w:rPr>
          <w:lang w:val="en-US"/>
        </w:rPr>
        <w:t xml:space="preserve">hase </w:t>
      </w:r>
      <w:r w:rsidR="00813E77">
        <w:rPr>
          <w:lang w:val="en-US"/>
        </w:rPr>
        <w:t>III</w:t>
      </w:r>
      <w:r>
        <w:rPr>
          <w:lang w:val="en-US"/>
        </w:rPr>
        <w:t xml:space="preserve"> study [CC-4047-MM-003]; two supportive </w:t>
      </w:r>
      <w:r w:rsidR="00813E77">
        <w:rPr>
          <w:lang w:val="en-US"/>
        </w:rPr>
        <w:t>Phase II</w:t>
      </w:r>
      <w:r>
        <w:rPr>
          <w:lang w:val="en-US"/>
        </w:rPr>
        <w:t xml:space="preserve"> studies [CC-4047-MM-002 Phase 2 and IFM 2009</w:t>
      </w:r>
      <w:r w:rsidR="00813E77">
        <w:rPr>
          <w:lang w:val="en-US"/>
        </w:rPr>
        <w:t>-02], and two supportive Phase I</w:t>
      </w:r>
      <w:r>
        <w:rPr>
          <w:lang w:val="en-US"/>
        </w:rPr>
        <w:t xml:space="preserve"> studies [CC-4047-MM-002 Phase 1 and CC-4047-MM-001] [</w:t>
      </w:r>
      <w:r>
        <w:t>see above</w:t>
      </w:r>
      <w:r w:rsidR="00813E77">
        <w:t>]</w:t>
      </w:r>
      <w:r>
        <w:rPr>
          <w:lang w:val="en-US"/>
        </w:rPr>
        <w:t xml:space="preserve">); four studies in </w:t>
      </w:r>
      <w:r w:rsidR="000E40BE">
        <w:rPr>
          <w:lang w:val="en-US"/>
        </w:rPr>
        <w:t>subjects with other tumor types</w:t>
      </w:r>
      <w:r>
        <w:rPr>
          <w:lang w:val="en-US"/>
        </w:rPr>
        <w:t xml:space="preserve">; and five </w:t>
      </w:r>
      <w:r w:rsidR="00813E77">
        <w:rPr>
          <w:lang w:val="en-US"/>
        </w:rPr>
        <w:t>Phase I</w:t>
      </w:r>
      <w:r>
        <w:rPr>
          <w:lang w:val="en-US"/>
        </w:rPr>
        <w:t xml:space="preserve"> studies in healthy subjects. The latter two groups were presented in an </w:t>
      </w:r>
      <w:r w:rsidR="00F8243E">
        <w:rPr>
          <w:lang w:val="en-US"/>
        </w:rPr>
        <w:t>appendix; t</w:t>
      </w:r>
      <w:r>
        <w:rPr>
          <w:lang w:val="en-US"/>
        </w:rPr>
        <w:t>hree additional</w:t>
      </w:r>
      <w:r w:rsidR="006813F9">
        <w:rPr>
          <w:lang w:val="en-US"/>
        </w:rPr>
        <w:t xml:space="preserve"> </w:t>
      </w:r>
      <w:r>
        <w:rPr>
          <w:lang w:val="en-US"/>
        </w:rPr>
        <w:t>ongoing studies are evaluating pomalidomide</w:t>
      </w:r>
      <w:r w:rsidR="00F8243E">
        <w:rPr>
          <w:lang w:val="en-US"/>
        </w:rPr>
        <w:t xml:space="preserve"> </w:t>
      </w:r>
      <w:r>
        <w:rPr>
          <w:lang w:val="en-US"/>
        </w:rPr>
        <w:t>containing regimens in RRMM (CC-4047-MM-003/C), MPN</w:t>
      </w:r>
      <w:r w:rsidR="00FD0758">
        <w:rPr>
          <w:lang w:val="en-US"/>
        </w:rPr>
        <w:t xml:space="preserve"> </w:t>
      </w:r>
      <w:r>
        <w:rPr>
          <w:lang w:val="en-US"/>
        </w:rPr>
        <w:t>associated MF (CC-4047-MF-002), and sickle</w:t>
      </w:r>
      <w:r w:rsidR="00B204D9">
        <w:rPr>
          <w:lang w:val="en-US"/>
        </w:rPr>
        <w:t xml:space="preserve"> </w:t>
      </w:r>
      <w:r w:rsidR="004B5DDD">
        <w:rPr>
          <w:lang w:val="en-US"/>
        </w:rPr>
        <w:t>cell disease (CC-4047-SCD-001).</w:t>
      </w:r>
    </w:p>
    <w:p w:rsidR="006C203C" w:rsidRPr="003D0161" w:rsidRDefault="006C203C" w:rsidP="005F6C76">
      <w:pPr>
        <w:ind w:left="426"/>
        <w:rPr>
          <w:i/>
        </w:rPr>
      </w:pPr>
      <w:r w:rsidRPr="003D0161">
        <w:rPr>
          <w:i/>
        </w:rPr>
        <w:t xml:space="preserve">Comment: The studies additional to the 5 above will be checked but not included in this evaluation unless their safety results differ significantly from the pivotal and supportive studies in the application. </w:t>
      </w:r>
    </w:p>
    <w:p w:rsidR="00605AD4" w:rsidRDefault="00605AD4" w:rsidP="004B5DDD">
      <w:pPr>
        <w:pStyle w:val="Heading4"/>
      </w:pPr>
      <w:r w:rsidRPr="00605AD4">
        <w:lastRenderedPageBreak/>
        <w:t>Patient exposure</w:t>
      </w:r>
    </w:p>
    <w:p w:rsidR="009E3FEE" w:rsidRPr="009E3FEE" w:rsidRDefault="009E3FEE" w:rsidP="005F6C76">
      <w:r w:rsidRPr="009E3FEE">
        <w:t xml:space="preserve">The total numbers of subjects exposed to pomalidomide in the MM studies providing safety data in this review are shown in Table </w:t>
      </w:r>
      <w:r>
        <w:t>5</w:t>
      </w:r>
      <w:r w:rsidRPr="009E3FEE">
        <w:t xml:space="preserve"> by pomalidomide dose.</w:t>
      </w:r>
    </w:p>
    <w:p w:rsidR="009E3FEE" w:rsidRDefault="009E3FEE" w:rsidP="004B5DDD">
      <w:pPr>
        <w:pStyle w:val="TableTitle"/>
      </w:pPr>
      <w:r>
        <w:t>Table 5:</w:t>
      </w:r>
      <w:r w:rsidRPr="004C5C28">
        <w:t xml:space="preserve"> </w:t>
      </w:r>
      <w:r w:rsidR="00701084" w:rsidRPr="00701084">
        <w:t xml:space="preserve">Number of </w:t>
      </w:r>
      <w:r w:rsidR="001A7123">
        <w:t>s</w:t>
      </w:r>
      <w:r w:rsidR="00701084" w:rsidRPr="00701084">
        <w:t xml:space="preserve">ubjects </w:t>
      </w:r>
      <w:r w:rsidR="001A7123">
        <w:t>e</w:t>
      </w:r>
      <w:r w:rsidR="00701084" w:rsidRPr="00701084">
        <w:t xml:space="preserve">xposed in </w:t>
      </w:r>
      <w:r w:rsidR="00B639BE">
        <w:t>MM</w:t>
      </w:r>
      <w:r w:rsidR="00701084" w:rsidRPr="00701084">
        <w:t xml:space="preserve"> </w:t>
      </w:r>
      <w:r w:rsidR="001A7123">
        <w:t>s</w:t>
      </w:r>
      <w:r w:rsidR="00701084" w:rsidRPr="00701084">
        <w:t xml:space="preserve">tudies by </w:t>
      </w:r>
      <w:r w:rsidR="001A7123">
        <w:t>p</w:t>
      </w:r>
      <w:r w:rsidR="00701084" w:rsidRPr="00701084">
        <w:t xml:space="preserve">omalidomide </w:t>
      </w:r>
      <w:r w:rsidR="001A7123">
        <w:t>s</w:t>
      </w:r>
      <w:r w:rsidR="00701084" w:rsidRPr="00701084">
        <w:t xml:space="preserve">tarting </w:t>
      </w:r>
      <w:r w:rsidR="001A7123">
        <w:t>d</w:t>
      </w:r>
      <w:r w:rsidR="00701084" w:rsidRPr="00701084">
        <w:t>ose (</w:t>
      </w:r>
      <w:r w:rsidR="001A7123">
        <w:t>s</w:t>
      </w:r>
      <w:r w:rsidR="00701084" w:rsidRPr="00701084">
        <w:t xml:space="preserve">afety </w:t>
      </w:r>
      <w:r w:rsidR="001A7123">
        <w:t>p</w:t>
      </w:r>
      <w:r w:rsidR="00701084" w:rsidRPr="00701084">
        <w:t>opulation)</w:t>
      </w:r>
      <w:r>
        <w:t>.</w:t>
      </w:r>
    </w:p>
    <w:p w:rsidR="009E3F7C" w:rsidRDefault="00D41715" w:rsidP="004B5DDD">
      <w:r>
        <w:rPr>
          <w:noProof/>
          <w:lang w:eastAsia="en-AU"/>
        </w:rPr>
        <w:drawing>
          <wp:inline distT="0" distB="0" distL="0" distR="0" wp14:anchorId="40F74174" wp14:editId="6896DED2">
            <wp:extent cx="5391150" cy="1054100"/>
            <wp:effectExtent l="0" t="0" r="0" b="0"/>
            <wp:docPr id="2" name="Picture 2" descr="Table 5: Number of subjects exposed in MM studies by pomalidomide starting dos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5: Number of subjects exposed in MM studies by pomalidomide starting dose (safety popul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1054100"/>
                    </a:xfrm>
                    <a:prstGeom prst="rect">
                      <a:avLst/>
                    </a:prstGeom>
                    <a:noFill/>
                    <a:ln>
                      <a:noFill/>
                    </a:ln>
                  </pic:spPr>
                </pic:pic>
              </a:graphicData>
            </a:graphic>
          </wp:inline>
        </w:drawing>
      </w:r>
    </w:p>
    <w:p w:rsidR="00031E36" w:rsidRDefault="00031E36" w:rsidP="004B5DDD">
      <w:pPr>
        <w:pStyle w:val="Heading5"/>
      </w:pPr>
      <w:r>
        <w:t>Pivotal Study CC-4047-MM-003</w:t>
      </w:r>
    </w:p>
    <w:p w:rsidR="00031E36" w:rsidRDefault="00031E36" w:rsidP="004B5DDD">
      <w:pPr>
        <w:pStyle w:val="Heading6"/>
      </w:pPr>
      <w:r>
        <w:t xml:space="preserve">Duration of </w:t>
      </w:r>
      <w:r w:rsidR="004421BF">
        <w:t>t</w:t>
      </w:r>
      <w:r>
        <w:t>reatment</w:t>
      </w:r>
    </w:p>
    <w:p w:rsidR="00031E36" w:rsidRDefault="00031E36" w:rsidP="004B5DDD">
      <w:pPr>
        <w:rPr>
          <w:rFonts w:cs="Cambria"/>
        </w:rPr>
      </w:pPr>
      <w:r>
        <w:rPr>
          <w:lang w:val="en-US"/>
        </w:rPr>
        <w:t xml:space="preserve">The median duration of treatment in the </w:t>
      </w:r>
      <w:r w:rsidR="00773409">
        <w:rPr>
          <w:lang w:val="en-US"/>
        </w:rPr>
        <w:t>pomalidomide</w:t>
      </w:r>
      <w:r>
        <w:rPr>
          <w:lang w:val="en-US"/>
        </w:rPr>
        <w:t xml:space="preserve"> + LD</w:t>
      </w:r>
      <w:r w:rsidR="004421BF" w:rsidRPr="004421BF">
        <w:t xml:space="preserve"> </w:t>
      </w:r>
      <w:r w:rsidR="004421BF" w:rsidRPr="006C203C">
        <w:t>dexamethasone</w:t>
      </w:r>
      <w:r w:rsidR="004421BF">
        <w:rPr>
          <w:lang w:val="en-US"/>
        </w:rPr>
        <w:t xml:space="preserve"> </w:t>
      </w:r>
      <w:r>
        <w:rPr>
          <w:lang w:val="en-US"/>
        </w:rPr>
        <w:t>arm (12.4 weeks) was longer than that in the HD</w:t>
      </w:r>
      <w:r w:rsidR="008D3A1E" w:rsidRPr="008D3A1E">
        <w:t xml:space="preserve"> </w:t>
      </w:r>
      <w:r w:rsidR="008D3A1E" w:rsidRPr="006C203C">
        <w:t>dexamethasone</w:t>
      </w:r>
      <w:r w:rsidR="008D3A1E">
        <w:rPr>
          <w:lang w:val="en-US"/>
        </w:rPr>
        <w:t xml:space="preserve"> </w:t>
      </w:r>
      <w:r>
        <w:rPr>
          <w:lang w:val="en-US"/>
        </w:rPr>
        <w:t xml:space="preserve">arm (8.0 weeks). The distribution of treatment duration in the </w:t>
      </w:r>
      <w:r w:rsidR="00773409">
        <w:rPr>
          <w:lang w:val="en-US"/>
        </w:rPr>
        <w:t>pomalidomide</w:t>
      </w:r>
      <w:r>
        <w:rPr>
          <w:lang w:val="en-US"/>
        </w:rPr>
        <w:t xml:space="preserve"> + LD</w:t>
      </w:r>
      <w:r w:rsidR="008D3A1E" w:rsidRPr="008D3A1E">
        <w:t xml:space="preserve"> </w:t>
      </w:r>
      <w:r w:rsidR="008D3A1E" w:rsidRPr="006C203C">
        <w:t>dexamethasone</w:t>
      </w:r>
      <w:r w:rsidR="008D3A1E">
        <w:rPr>
          <w:lang w:val="en-US"/>
        </w:rPr>
        <w:t xml:space="preserve"> </w:t>
      </w:r>
      <w:r>
        <w:rPr>
          <w:lang w:val="en-US"/>
        </w:rPr>
        <w:t>arm differed from that in the HD</w:t>
      </w:r>
      <w:r w:rsidR="00407003" w:rsidRPr="00407003">
        <w:t xml:space="preserve"> </w:t>
      </w:r>
      <w:r w:rsidR="00407003" w:rsidRPr="006C203C">
        <w:t>dexamethasone</w:t>
      </w:r>
      <w:r w:rsidR="00407003">
        <w:rPr>
          <w:lang w:val="en-US"/>
        </w:rPr>
        <w:t xml:space="preserve"> </w:t>
      </w:r>
      <w:r>
        <w:rPr>
          <w:lang w:val="en-US"/>
        </w:rPr>
        <w:t xml:space="preserve">arm, with 56.6% of </w:t>
      </w:r>
      <w:r w:rsidR="00773409">
        <w:rPr>
          <w:lang w:val="en-US"/>
        </w:rPr>
        <w:t>pomalidomide</w:t>
      </w:r>
      <w:r>
        <w:rPr>
          <w:lang w:val="en-US"/>
        </w:rPr>
        <w:t xml:space="preserve"> + LD</w:t>
      </w:r>
      <w:r w:rsidR="004421BF" w:rsidRPr="004421BF">
        <w:t xml:space="preserve"> </w:t>
      </w:r>
      <w:r w:rsidR="004421BF" w:rsidRPr="006C203C">
        <w:t>dexamethasone</w:t>
      </w:r>
      <w:r w:rsidR="004421BF">
        <w:rPr>
          <w:lang w:val="en-US"/>
        </w:rPr>
        <w:t xml:space="preserve"> </w:t>
      </w:r>
      <w:r>
        <w:rPr>
          <w:lang w:val="en-US"/>
        </w:rPr>
        <w:t>subjects receiving treatment for 12 weeks or longer compared with 28.2% of HD</w:t>
      </w:r>
      <w:r w:rsidR="004421BF" w:rsidRPr="004421BF">
        <w:t xml:space="preserve"> </w:t>
      </w:r>
      <w:r w:rsidR="004421BF" w:rsidRPr="006C203C">
        <w:t>dexamethasone</w:t>
      </w:r>
      <w:r w:rsidR="004421BF">
        <w:rPr>
          <w:lang w:val="en-US"/>
        </w:rPr>
        <w:t xml:space="preserve"> </w:t>
      </w:r>
      <w:r>
        <w:rPr>
          <w:lang w:val="en-US"/>
        </w:rPr>
        <w:t xml:space="preserve">subjects. The median number of treatment cycles was 3.0 in the </w:t>
      </w:r>
      <w:r w:rsidR="00773409">
        <w:rPr>
          <w:lang w:val="en-US"/>
        </w:rPr>
        <w:t>pomalidomide</w:t>
      </w:r>
      <w:r>
        <w:rPr>
          <w:lang w:val="en-US"/>
        </w:rPr>
        <w:t xml:space="preserve"> + LD</w:t>
      </w:r>
      <w:r w:rsidR="004421BF" w:rsidRPr="004421BF">
        <w:t xml:space="preserve"> </w:t>
      </w:r>
      <w:r w:rsidR="004421BF" w:rsidRPr="006C203C">
        <w:t>dexamethasone</w:t>
      </w:r>
      <w:r w:rsidR="004421BF">
        <w:rPr>
          <w:lang w:val="en-US"/>
        </w:rPr>
        <w:t xml:space="preserve"> </w:t>
      </w:r>
      <w:r>
        <w:rPr>
          <w:lang w:val="en-US"/>
        </w:rPr>
        <w:t>arm (minimum [min], maximum [max]: 1, 16 cycles) and 2.0 in the HD</w:t>
      </w:r>
      <w:r w:rsidR="004421BF" w:rsidRPr="004421BF">
        <w:t xml:space="preserve"> </w:t>
      </w:r>
      <w:r w:rsidR="004421BF" w:rsidRPr="006C203C">
        <w:t>dexamethasone</w:t>
      </w:r>
      <w:r w:rsidR="004421BF">
        <w:rPr>
          <w:lang w:val="en-US"/>
        </w:rPr>
        <w:t xml:space="preserve"> </w:t>
      </w:r>
      <w:r>
        <w:rPr>
          <w:lang w:val="en-US"/>
        </w:rPr>
        <w:t xml:space="preserve">arm (min, max: 1, 12 cycles). These data reflect the lower rate of discontinuation from treatment seen in the </w:t>
      </w:r>
      <w:r w:rsidR="00773409">
        <w:rPr>
          <w:lang w:val="en-US"/>
        </w:rPr>
        <w:t>pomalidomide</w:t>
      </w:r>
      <w:r>
        <w:rPr>
          <w:lang w:val="en-US"/>
        </w:rPr>
        <w:t xml:space="preserve"> + LD</w:t>
      </w:r>
      <w:r w:rsidR="000E500F" w:rsidRPr="000E500F">
        <w:t xml:space="preserve"> </w:t>
      </w:r>
      <w:r w:rsidR="000E500F" w:rsidRPr="006C203C">
        <w:t>dexamethasone</w:t>
      </w:r>
      <w:r w:rsidR="000E500F">
        <w:rPr>
          <w:lang w:val="en-US"/>
        </w:rPr>
        <w:t xml:space="preserve"> </w:t>
      </w:r>
      <w:r>
        <w:rPr>
          <w:lang w:val="en-US"/>
        </w:rPr>
        <w:t>arm</w:t>
      </w:r>
      <w:r w:rsidR="004421BF">
        <w:rPr>
          <w:lang w:val="en-US"/>
        </w:rPr>
        <w:t>.</w:t>
      </w:r>
    </w:p>
    <w:p w:rsidR="00031E36" w:rsidRDefault="00031E36" w:rsidP="004B5DDD">
      <w:pPr>
        <w:pStyle w:val="Heading6"/>
      </w:pPr>
      <w:r>
        <w:t>Dosing and dose reductions and interruptions for pomalidomide</w:t>
      </w:r>
    </w:p>
    <w:p w:rsidR="00031E36" w:rsidRDefault="00031E36" w:rsidP="004B5DDD">
      <w:pPr>
        <w:rPr>
          <w:lang w:val="en-US"/>
        </w:rPr>
      </w:pPr>
      <w:r>
        <w:rPr>
          <w:lang w:val="en-US"/>
        </w:rPr>
        <w:t xml:space="preserve">Subjects in the </w:t>
      </w:r>
      <w:r w:rsidR="00BE03E5">
        <w:rPr>
          <w:lang w:val="en-US"/>
        </w:rPr>
        <w:t xml:space="preserve">pomalidomide </w:t>
      </w:r>
      <w:r>
        <w:rPr>
          <w:lang w:val="en-US"/>
        </w:rPr>
        <w:t>+ LD</w:t>
      </w:r>
      <w:r w:rsidR="007C50BC" w:rsidRPr="007C50BC">
        <w:t xml:space="preserve"> </w:t>
      </w:r>
      <w:r w:rsidR="007C50BC" w:rsidRPr="006C203C">
        <w:t>dexamethasone</w:t>
      </w:r>
      <w:r w:rsidR="007C50BC">
        <w:rPr>
          <w:lang w:val="en-US"/>
        </w:rPr>
        <w:t xml:space="preserve"> </w:t>
      </w:r>
      <w:r>
        <w:rPr>
          <w:lang w:val="en-US"/>
        </w:rPr>
        <w:t>arm were exposed to pomalidomide for a median (min</w:t>
      </w:r>
      <w:r w:rsidR="00587C7F">
        <w:rPr>
          <w:lang w:val="en-US"/>
        </w:rPr>
        <w:t>imum</w:t>
      </w:r>
      <w:r>
        <w:rPr>
          <w:lang w:val="en-US"/>
        </w:rPr>
        <w:t>, max</w:t>
      </w:r>
      <w:r w:rsidR="00587C7F">
        <w:rPr>
          <w:lang w:val="en-US"/>
        </w:rPr>
        <w:t>imum</w:t>
      </w:r>
      <w:r>
        <w:rPr>
          <w:lang w:val="en-US"/>
        </w:rPr>
        <w:t>) of 63 (2, 327) days at a median daily dose of 4.0 mg. The medi</w:t>
      </w:r>
      <w:r w:rsidR="007C50BC">
        <w:rPr>
          <w:lang w:val="en-US"/>
        </w:rPr>
        <w:t xml:space="preserve">an relative dose intensity (that is, </w:t>
      </w:r>
      <w:r>
        <w:rPr>
          <w:lang w:val="en-US"/>
        </w:rPr>
        <w:t>observed dose intensity [in mg/day] divided by planned dose intensity [in mg/day]) was 0.90.</w:t>
      </w:r>
    </w:p>
    <w:p w:rsidR="00031E36" w:rsidRDefault="00031E36" w:rsidP="004B5DDD">
      <w:r>
        <w:rPr>
          <w:lang w:val="en-US"/>
        </w:rPr>
        <w:t xml:space="preserve">Depending on the type of </w:t>
      </w:r>
      <w:r w:rsidR="00587C7F">
        <w:t>treatment emergent adverse event</w:t>
      </w:r>
      <w:r w:rsidR="00587C7F">
        <w:rPr>
          <w:lang w:val="en-US"/>
        </w:rPr>
        <w:t xml:space="preserve"> (</w:t>
      </w:r>
      <w:r w:rsidR="004A3B6F">
        <w:rPr>
          <w:lang w:val="en-US"/>
        </w:rPr>
        <w:t>TEAE</w:t>
      </w:r>
      <w:r w:rsidR="00587C7F">
        <w:rPr>
          <w:lang w:val="en-US"/>
        </w:rPr>
        <w:t>)</w:t>
      </w:r>
      <w:r>
        <w:rPr>
          <w:lang w:val="en-US"/>
        </w:rPr>
        <w:t>, the dose of pomalidomide was first interrupted and then reduced, or was reduced.</w:t>
      </w:r>
      <w:r w:rsidR="006813F9">
        <w:rPr>
          <w:lang w:val="en-US"/>
        </w:rPr>
        <w:t xml:space="preserve"> </w:t>
      </w:r>
      <w:r>
        <w:rPr>
          <w:lang w:val="en-US"/>
        </w:rPr>
        <w:t xml:space="preserve">In the </w:t>
      </w:r>
      <w:r w:rsidR="00BE03E5">
        <w:rPr>
          <w:lang w:val="en-US"/>
        </w:rPr>
        <w:t xml:space="preserve">pomalidomide </w:t>
      </w:r>
      <w:r>
        <w:rPr>
          <w:lang w:val="en-US"/>
        </w:rPr>
        <w:t>+ LD</w:t>
      </w:r>
      <w:r w:rsidR="004A3B6F" w:rsidRPr="004A3B6F">
        <w:t xml:space="preserve"> </w:t>
      </w:r>
      <w:r w:rsidR="004A3B6F" w:rsidRPr="006C203C">
        <w:t>dexamethasone</w:t>
      </w:r>
      <w:r w:rsidR="004A3B6F">
        <w:rPr>
          <w:lang w:val="en-US"/>
        </w:rPr>
        <w:t xml:space="preserve"> </w:t>
      </w:r>
      <w:r>
        <w:rPr>
          <w:lang w:val="en-US"/>
        </w:rPr>
        <w:t xml:space="preserve">arm, 24% of subjects had at least 1 pomalidomide dose reduction, among whom the median number of reductions per subject was 1 and the median time to the first dose reduction was 30 days (min, max: 10 to 232 days). In the </w:t>
      </w:r>
      <w:r w:rsidR="00BE03E5">
        <w:rPr>
          <w:lang w:val="en-US"/>
        </w:rPr>
        <w:t xml:space="preserve">pomalidomide </w:t>
      </w:r>
      <w:r>
        <w:rPr>
          <w:lang w:val="en-US"/>
        </w:rPr>
        <w:t>+ LD</w:t>
      </w:r>
      <w:r w:rsidR="000B7F71" w:rsidRPr="000B7F71">
        <w:t xml:space="preserve"> </w:t>
      </w:r>
      <w:r w:rsidR="000B7F71" w:rsidRPr="006C203C">
        <w:t>dexamethasone</w:t>
      </w:r>
      <w:r w:rsidR="000B7F71">
        <w:rPr>
          <w:lang w:val="en-US"/>
        </w:rPr>
        <w:t xml:space="preserve"> </w:t>
      </w:r>
      <w:r>
        <w:rPr>
          <w:lang w:val="en-US"/>
        </w:rPr>
        <w:t xml:space="preserve">arm, 58% of subjects had at least 1 pomalidomide dose interruption. Among subjects with at least 1 dose interruptions, the median number of dose interruptions per subject was 2 (min, max: 1 to 14) and the median time to the first interruption was 29 days (min, max: 2 to 253 days). There were more pomalidomide dose interruptions than dose reductions as a result of the occurrence of neutropenia in 45.3% of </w:t>
      </w:r>
      <w:r w:rsidR="00BE03E5">
        <w:rPr>
          <w:lang w:val="en-US"/>
        </w:rPr>
        <w:t xml:space="preserve">pomalidomide </w:t>
      </w:r>
      <w:r>
        <w:rPr>
          <w:lang w:val="en-US"/>
        </w:rPr>
        <w:t>+ LD</w:t>
      </w:r>
      <w:r w:rsidR="000B7F71" w:rsidRPr="000B7F71">
        <w:t xml:space="preserve"> </w:t>
      </w:r>
      <w:r w:rsidR="000B7F71" w:rsidRPr="006C203C">
        <w:t>dexamethasone</w:t>
      </w:r>
      <w:r w:rsidR="000B7F71">
        <w:rPr>
          <w:lang w:val="en-US"/>
        </w:rPr>
        <w:t xml:space="preserve"> </w:t>
      </w:r>
      <w:r>
        <w:rPr>
          <w:lang w:val="en-US"/>
        </w:rPr>
        <w:t xml:space="preserve">subjects; </w:t>
      </w:r>
      <w:r>
        <w:t>neutropenia was one of the TEAEs that required dose interruption before dose reduction.</w:t>
      </w:r>
    </w:p>
    <w:p w:rsidR="00031E36" w:rsidRDefault="00031E36" w:rsidP="005F6C76">
      <w:pPr>
        <w:pStyle w:val="Heading6"/>
      </w:pPr>
      <w:r>
        <w:t xml:space="preserve">Dosing </w:t>
      </w:r>
      <w:r w:rsidRPr="005F6C76">
        <w:t>and</w:t>
      </w:r>
      <w:r>
        <w:t xml:space="preserve"> dose reductions and interruptions for dexamethasone</w:t>
      </w:r>
    </w:p>
    <w:p w:rsidR="00031E36" w:rsidRDefault="00031E36" w:rsidP="004B5DDD">
      <w:pPr>
        <w:rPr>
          <w:lang w:val="en-US"/>
        </w:rPr>
      </w:pPr>
      <w:r>
        <w:rPr>
          <w:lang w:val="en-US"/>
        </w:rPr>
        <w:t xml:space="preserve">Subjects in the </w:t>
      </w:r>
      <w:r w:rsidR="00BE03E5">
        <w:rPr>
          <w:lang w:val="en-US"/>
        </w:rPr>
        <w:t xml:space="preserve">pomalidomide </w:t>
      </w:r>
      <w:r>
        <w:rPr>
          <w:lang w:val="en-US"/>
        </w:rPr>
        <w:t>+ LD</w:t>
      </w:r>
      <w:r w:rsidR="002C1F03" w:rsidRPr="002C1F03">
        <w:t xml:space="preserve"> </w:t>
      </w:r>
      <w:r w:rsidR="002C1F03" w:rsidRPr="006C203C">
        <w:t>dexamethasone</w:t>
      </w:r>
      <w:r w:rsidR="002C1F03">
        <w:rPr>
          <w:lang w:val="en-US"/>
        </w:rPr>
        <w:t xml:space="preserve"> </w:t>
      </w:r>
      <w:r>
        <w:rPr>
          <w:lang w:val="en-US"/>
        </w:rPr>
        <w:t>arm were exposed to dexamethasone for a median of 12 days at a median daily dose of 40 mg. Subjects in the HD</w:t>
      </w:r>
      <w:r w:rsidR="001542AF" w:rsidRPr="001542AF">
        <w:t xml:space="preserve"> </w:t>
      </w:r>
      <w:r w:rsidR="001542AF" w:rsidRPr="006C203C">
        <w:t>dexamethasone</w:t>
      </w:r>
      <w:r w:rsidR="001542AF">
        <w:rPr>
          <w:lang w:val="en-US"/>
        </w:rPr>
        <w:t xml:space="preserve"> </w:t>
      </w:r>
      <w:r>
        <w:rPr>
          <w:lang w:val="en-US"/>
        </w:rPr>
        <w:t>arm were exposed to dexamethasone for a median of 20 days at a median daily dose of 40 mg. The difference in dexamethasone exposure (in days) reflects the difference in planned dexamethasone dose regimens used in the 2 treatment arms. The me</w:t>
      </w:r>
      <w:r w:rsidR="001542AF">
        <w:rPr>
          <w:lang w:val="en-US"/>
        </w:rPr>
        <w:t xml:space="preserve">dian relative dose intensity (that is, </w:t>
      </w:r>
      <w:r>
        <w:rPr>
          <w:lang w:val="en-US"/>
        </w:rPr>
        <w:t xml:space="preserve">observed dose intensity [in mg/day] divided by planned dose intensity [in mg/day]) for dexamethasone was similar (0.9 in the </w:t>
      </w:r>
      <w:r w:rsidR="00BE03E5">
        <w:rPr>
          <w:lang w:val="en-US"/>
        </w:rPr>
        <w:t xml:space="preserve">pomalidomide </w:t>
      </w:r>
      <w:r>
        <w:rPr>
          <w:lang w:val="en-US"/>
        </w:rPr>
        <w:t>+ LD</w:t>
      </w:r>
      <w:r w:rsidR="005E5E0B" w:rsidRPr="005E5E0B">
        <w:t xml:space="preserve"> </w:t>
      </w:r>
      <w:r w:rsidR="005E5E0B" w:rsidRPr="006C203C">
        <w:t>dexamethasone</w:t>
      </w:r>
      <w:r w:rsidR="005E5E0B">
        <w:rPr>
          <w:lang w:val="en-US"/>
        </w:rPr>
        <w:t xml:space="preserve"> </w:t>
      </w:r>
      <w:r>
        <w:rPr>
          <w:lang w:val="en-US"/>
        </w:rPr>
        <w:t>arm and 1.0 in the HD</w:t>
      </w:r>
      <w:r w:rsidR="00A46BFD" w:rsidRPr="00A46BFD">
        <w:t xml:space="preserve"> </w:t>
      </w:r>
      <w:r w:rsidR="00A46BFD" w:rsidRPr="006C203C">
        <w:t>dexamethasone</w:t>
      </w:r>
      <w:r w:rsidR="00A46BFD">
        <w:rPr>
          <w:lang w:val="en-US"/>
        </w:rPr>
        <w:t xml:space="preserve"> </w:t>
      </w:r>
      <w:r>
        <w:rPr>
          <w:lang w:val="en-US"/>
        </w:rPr>
        <w:t>arm).</w:t>
      </w:r>
    </w:p>
    <w:p w:rsidR="00031E36" w:rsidRDefault="00031E36" w:rsidP="004B5DDD">
      <w:pPr>
        <w:rPr>
          <w:lang w:val="en-US"/>
        </w:rPr>
      </w:pPr>
      <w:r>
        <w:rPr>
          <w:lang w:val="en-US"/>
        </w:rPr>
        <w:lastRenderedPageBreak/>
        <w:t xml:space="preserve">The percentage of subjects with at least 1 dexamethasone dose reduction was lower in the </w:t>
      </w:r>
      <w:r w:rsidR="00BE03E5">
        <w:rPr>
          <w:lang w:val="en-US"/>
        </w:rPr>
        <w:t xml:space="preserve">pomalidomide </w:t>
      </w:r>
      <w:r>
        <w:rPr>
          <w:lang w:val="en-US"/>
        </w:rPr>
        <w:t>+ LD</w:t>
      </w:r>
      <w:r w:rsidR="005E5E0B" w:rsidRPr="005E5E0B">
        <w:t xml:space="preserve"> </w:t>
      </w:r>
      <w:r w:rsidR="005E5E0B" w:rsidRPr="006C203C">
        <w:t>dexamethasone</w:t>
      </w:r>
      <w:r w:rsidR="005E5E0B">
        <w:rPr>
          <w:lang w:val="en-US"/>
        </w:rPr>
        <w:t xml:space="preserve"> </w:t>
      </w:r>
      <w:r>
        <w:rPr>
          <w:lang w:val="en-US"/>
        </w:rPr>
        <w:t>arm (16.7%) than in the HD</w:t>
      </w:r>
      <w:r w:rsidR="00A46BFD" w:rsidRPr="00A46BFD">
        <w:t xml:space="preserve"> </w:t>
      </w:r>
      <w:r w:rsidR="00A46BFD" w:rsidRPr="006C203C">
        <w:t>dexamethasone</w:t>
      </w:r>
      <w:r w:rsidR="00A46BFD">
        <w:rPr>
          <w:lang w:val="en-US"/>
        </w:rPr>
        <w:t xml:space="preserve"> </w:t>
      </w:r>
      <w:r>
        <w:rPr>
          <w:lang w:val="en-US"/>
        </w:rPr>
        <w:t xml:space="preserve">arm (26.2%). Among subjects with at least 1 dose reduction, the median number of dose reductions per subject in each treatment arm was 1. The median time to the first dexamethasone dose reduction was longer in the </w:t>
      </w:r>
      <w:r w:rsidR="00BE03E5">
        <w:rPr>
          <w:lang w:val="en-US"/>
        </w:rPr>
        <w:t xml:space="preserve">pomalidomide </w:t>
      </w:r>
      <w:r>
        <w:rPr>
          <w:lang w:val="en-US"/>
        </w:rPr>
        <w:t>+ LD</w:t>
      </w:r>
      <w:r w:rsidR="007D0E47" w:rsidRPr="007D0E47">
        <w:t xml:space="preserve"> </w:t>
      </w:r>
      <w:r w:rsidR="007D0E47" w:rsidRPr="006C203C">
        <w:t>dexamethasone</w:t>
      </w:r>
      <w:r w:rsidR="007D0E47">
        <w:rPr>
          <w:lang w:val="en-US"/>
        </w:rPr>
        <w:t xml:space="preserve"> </w:t>
      </w:r>
      <w:r>
        <w:rPr>
          <w:lang w:val="en-US"/>
        </w:rPr>
        <w:t>arm (57 days [min, max: 8 to 312 days]) than in the HD</w:t>
      </w:r>
      <w:r w:rsidR="007D0E47" w:rsidRPr="007D0E47">
        <w:t xml:space="preserve"> </w:t>
      </w:r>
      <w:r w:rsidR="007D0E47" w:rsidRPr="006C203C">
        <w:t>dexamethasone</w:t>
      </w:r>
      <w:r w:rsidR="007D0E47">
        <w:rPr>
          <w:lang w:val="en-US"/>
        </w:rPr>
        <w:t xml:space="preserve"> </w:t>
      </w:r>
      <w:r>
        <w:rPr>
          <w:lang w:val="en-US"/>
        </w:rPr>
        <w:t xml:space="preserve">arm (33 days [min, max: 28 to 309 days). The percentage of subjects with at least 1 dexamethasone dose interruption was higher in the </w:t>
      </w:r>
      <w:r w:rsidR="00BE03E5">
        <w:rPr>
          <w:lang w:val="en-US"/>
        </w:rPr>
        <w:t xml:space="preserve">pomalidomide </w:t>
      </w:r>
      <w:r>
        <w:rPr>
          <w:lang w:val="en-US"/>
        </w:rPr>
        <w:t>+ LD</w:t>
      </w:r>
      <w:r w:rsidR="007D0E47" w:rsidRPr="007D0E47">
        <w:t xml:space="preserve"> </w:t>
      </w:r>
      <w:r w:rsidR="007D0E47" w:rsidRPr="006C203C">
        <w:t>dexamethasone</w:t>
      </w:r>
      <w:r w:rsidR="007D0E47">
        <w:rPr>
          <w:lang w:val="en-US"/>
        </w:rPr>
        <w:t xml:space="preserve"> </w:t>
      </w:r>
      <w:r>
        <w:rPr>
          <w:lang w:val="en-US"/>
        </w:rPr>
        <w:t>arm (37.0%) than in the HD</w:t>
      </w:r>
      <w:r w:rsidR="007D0E47" w:rsidRPr="007D0E47">
        <w:t xml:space="preserve"> </w:t>
      </w:r>
      <w:r w:rsidR="007D0E47" w:rsidRPr="006C203C">
        <w:t>dexamethasone</w:t>
      </w:r>
      <w:r w:rsidR="007D0E47">
        <w:rPr>
          <w:lang w:val="en-US"/>
        </w:rPr>
        <w:t xml:space="preserve"> </w:t>
      </w:r>
      <w:r>
        <w:rPr>
          <w:lang w:val="en-US"/>
        </w:rPr>
        <w:t xml:space="preserve">arm (22.1%). Among subjects with at least 1 dose reduction, the median number of dexamethasone dose interruptions was 2 in the </w:t>
      </w:r>
      <w:r w:rsidR="00BE03E5">
        <w:rPr>
          <w:lang w:val="en-US"/>
        </w:rPr>
        <w:t xml:space="preserve">pomalidomide </w:t>
      </w:r>
      <w:r w:rsidR="007D0E47">
        <w:rPr>
          <w:lang w:val="en-US"/>
        </w:rPr>
        <w:t xml:space="preserve">+ LD </w:t>
      </w:r>
      <w:r w:rsidR="007D0E47" w:rsidRPr="006C203C">
        <w:t>dexamethasone</w:t>
      </w:r>
      <w:r>
        <w:rPr>
          <w:lang w:val="en-US"/>
        </w:rPr>
        <w:t xml:space="preserve"> arm and 1 in the HD</w:t>
      </w:r>
      <w:r w:rsidR="007D0E47" w:rsidRPr="007D0E47">
        <w:t xml:space="preserve"> </w:t>
      </w:r>
      <w:r w:rsidR="007D0E47" w:rsidRPr="006C203C">
        <w:t>dexamethasone</w:t>
      </w:r>
      <w:r w:rsidR="007D0E47">
        <w:rPr>
          <w:lang w:val="en-US"/>
        </w:rPr>
        <w:t xml:space="preserve"> </w:t>
      </w:r>
      <w:r>
        <w:rPr>
          <w:lang w:val="en-US"/>
        </w:rPr>
        <w:t xml:space="preserve">arm. The median time to the first dexamethasone interruption was longer in the </w:t>
      </w:r>
      <w:r w:rsidR="00BE03E5">
        <w:rPr>
          <w:lang w:val="en-US"/>
        </w:rPr>
        <w:t xml:space="preserve">pomalidomide </w:t>
      </w:r>
      <w:r>
        <w:rPr>
          <w:lang w:val="en-US"/>
        </w:rPr>
        <w:t>+ LD</w:t>
      </w:r>
      <w:r w:rsidR="0094066D" w:rsidRPr="0094066D">
        <w:t xml:space="preserve"> </w:t>
      </w:r>
      <w:r w:rsidR="0094066D" w:rsidRPr="006C203C">
        <w:t>dexamethasone</w:t>
      </w:r>
      <w:r w:rsidR="0094066D">
        <w:rPr>
          <w:lang w:val="en-US"/>
        </w:rPr>
        <w:t xml:space="preserve"> </w:t>
      </w:r>
      <w:r>
        <w:rPr>
          <w:lang w:val="en-US"/>
        </w:rPr>
        <w:t>arm (29 days; min, max: 8 to 261 days) than in the HD</w:t>
      </w:r>
      <w:r w:rsidR="0094066D" w:rsidRPr="0094066D">
        <w:t xml:space="preserve"> </w:t>
      </w:r>
      <w:r w:rsidR="0094066D" w:rsidRPr="006C203C">
        <w:t>dexamethasone</w:t>
      </w:r>
      <w:r w:rsidR="0094066D">
        <w:rPr>
          <w:lang w:val="en-US"/>
        </w:rPr>
        <w:t xml:space="preserve"> </w:t>
      </w:r>
      <w:r>
        <w:rPr>
          <w:lang w:val="en-US"/>
        </w:rPr>
        <w:t>arm (17 days; min, max: 9 to 81 days).</w:t>
      </w:r>
    </w:p>
    <w:p w:rsidR="00031E36" w:rsidRDefault="00031E36" w:rsidP="004B5DDD">
      <w:pPr>
        <w:pStyle w:val="Heading5"/>
        <w:rPr>
          <w:rFonts w:eastAsia="TimesNewRoman"/>
          <w:lang w:val="en-US"/>
        </w:rPr>
      </w:pPr>
      <w:r>
        <w:rPr>
          <w:rFonts w:eastAsia="TimesNewRoman"/>
          <w:lang w:val="en-US"/>
        </w:rPr>
        <w:t>Study CC-4047-</w:t>
      </w:r>
      <w:r w:rsidR="00C301A9">
        <w:rPr>
          <w:rFonts w:eastAsia="TimesNewRoman"/>
          <w:lang w:val="en-US"/>
        </w:rPr>
        <w:t>MM-</w:t>
      </w:r>
      <w:r>
        <w:rPr>
          <w:rFonts w:eastAsia="TimesNewRoman"/>
          <w:lang w:val="en-US"/>
        </w:rPr>
        <w:t>002 Phase 2</w:t>
      </w:r>
    </w:p>
    <w:p w:rsidR="00031E36" w:rsidRDefault="00031E36" w:rsidP="004B5DDD">
      <w:pPr>
        <w:rPr>
          <w:lang w:val="en-US"/>
        </w:rPr>
      </w:pPr>
      <w:r>
        <w:rPr>
          <w:lang w:val="en-US"/>
        </w:rPr>
        <w:t>Subjects were randomised 1:1 to treatment arm A or B.</w:t>
      </w:r>
    </w:p>
    <w:p w:rsidR="00031E36" w:rsidRPr="00031E36" w:rsidRDefault="00031E36" w:rsidP="004B5DDD">
      <w:r w:rsidRPr="00031E36">
        <w:rPr>
          <w:rFonts w:hint="eastAsia"/>
          <w:b/>
        </w:rPr>
        <w:t>Arm A:</w:t>
      </w:r>
      <w:r>
        <w:t xml:space="preserve"> </w:t>
      </w:r>
      <w:r w:rsidRPr="00031E36">
        <w:t>Subjects received oral pomalidomide at a dose of 4</w:t>
      </w:r>
      <w:r w:rsidR="0024141F">
        <w:t xml:space="preserve"> </w:t>
      </w:r>
      <w:r w:rsidRPr="00031E36">
        <w:t xml:space="preserve">mg a day on </w:t>
      </w:r>
      <w:r w:rsidR="0024141F">
        <w:t>D</w:t>
      </w:r>
      <w:r w:rsidRPr="00031E36">
        <w:t>ays 1</w:t>
      </w:r>
      <w:r w:rsidR="00541B7E">
        <w:t xml:space="preserve"> to </w:t>
      </w:r>
      <w:r w:rsidRPr="00031E36">
        <w:t xml:space="preserve">21 of a 28 day cycle, and oral dexamethasone 40 mg once per day on </w:t>
      </w:r>
      <w:r w:rsidR="0024141F">
        <w:t xml:space="preserve">Days 1, 8, 15 and 22 of each 28 </w:t>
      </w:r>
      <w:r w:rsidRPr="00031E36">
        <w:t xml:space="preserve">day cycle for subjects who were </w:t>
      </w:r>
      <w:r w:rsidR="00E50522">
        <w:t>≤</w:t>
      </w:r>
      <w:r w:rsidRPr="00031E36">
        <w:t xml:space="preserve"> 75 years of age and</w:t>
      </w:r>
      <w:r w:rsidR="004B5DDD">
        <w:t xml:space="preserve"> 20mg once a day for those &gt;75.</w:t>
      </w:r>
    </w:p>
    <w:p w:rsidR="00031E36" w:rsidRPr="00031E36" w:rsidRDefault="00031E36" w:rsidP="004B5DDD">
      <w:r w:rsidRPr="00031E36">
        <w:rPr>
          <w:rFonts w:hint="eastAsia"/>
          <w:b/>
        </w:rPr>
        <w:t>Arm B:</w:t>
      </w:r>
      <w:r w:rsidRPr="00031E36">
        <w:t xml:space="preserve"> Subjects received oral pomalidomide at a dose of 4</w:t>
      </w:r>
      <w:r w:rsidR="0024141F">
        <w:t xml:space="preserve"> </w:t>
      </w:r>
      <w:r w:rsidRPr="00031E36">
        <w:t xml:space="preserve">mg a day on </w:t>
      </w:r>
      <w:r w:rsidR="0024141F">
        <w:t>D</w:t>
      </w:r>
      <w:r w:rsidRPr="00031E36">
        <w:t xml:space="preserve">ays 1-21 of a 28 day cycle. Subjects who had confirmed </w:t>
      </w:r>
      <w:r w:rsidR="00C322F4">
        <w:t>PD</w:t>
      </w:r>
      <w:r w:rsidRPr="00031E36">
        <w:t xml:space="preserve"> at any time had the option to receive a starting dose of dexamethasone was 40 mg once per day on Days 1, 8, 15 and 22 of each 28</w:t>
      </w:r>
      <w:r w:rsidR="0024141F">
        <w:t xml:space="preserve"> </w:t>
      </w:r>
      <w:r w:rsidRPr="00031E36">
        <w:t xml:space="preserve">day cycle for subjects who were </w:t>
      </w:r>
      <w:r w:rsidR="00E50522">
        <w:t>≤</w:t>
      </w:r>
      <w:r w:rsidRPr="00031E36">
        <w:t xml:space="preserve"> 75 years of age in addition to pomalidomide. For subjects who were &gt; 75 years of age, the starting dose of dexamethasone was 20 mg once per day on Days 1, 8, 15 and 22 of each 28</w:t>
      </w:r>
      <w:r w:rsidR="0024141F">
        <w:t xml:space="preserve"> </w:t>
      </w:r>
      <w:r w:rsidR="004B5DDD">
        <w:t>day cycle.</w:t>
      </w:r>
    </w:p>
    <w:p w:rsidR="00031E36" w:rsidRDefault="00031E36" w:rsidP="004B5DDD">
      <w:r>
        <w:rPr>
          <w:lang w:val="en-US"/>
        </w:rPr>
        <w:t xml:space="preserve">Overall, as the data cutoff date, subjects were exposed to pomalidomide for a mean of 121 days with an average daily dose of 3.8 mg/day. Mean treatment duration was </w:t>
      </w:r>
      <w:r w:rsidR="00541B7E">
        <w:t xml:space="preserve">approximately </w:t>
      </w:r>
      <w:r>
        <w:rPr>
          <w:lang w:val="en-US"/>
        </w:rPr>
        <w:t xml:space="preserve">173 days. </w:t>
      </w:r>
      <w:r w:rsidR="0024141F">
        <w:rPr>
          <w:lang w:val="en-US"/>
        </w:rPr>
        <w:t>A total of 26</w:t>
      </w:r>
      <w:r>
        <w:rPr>
          <w:lang w:val="en-US"/>
        </w:rPr>
        <w:t xml:space="preserve"> of the 112 subjects in the </w:t>
      </w:r>
      <w:r w:rsidR="00BE03E5">
        <w:rPr>
          <w:lang w:val="en-US"/>
        </w:rPr>
        <w:t xml:space="preserve">pomalidomide </w:t>
      </w:r>
      <w:r>
        <w:rPr>
          <w:lang w:val="en-US"/>
        </w:rPr>
        <w:t xml:space="preserve">+ </w:t>
      </w:r>
      <w:r w:rsidR="00CB67AA" w:rsidRPr="006C203C">
        <w:t>dexamethasone</w:t>
      </w:r>
      <w:r>
        <w:rPr>
          <w:lang w:val="en-US"/>
        </w:rPr>
        <w:t xml:space="preserve"> arm and 34 of the 107 subjects in the pomalidomide arm had at least one pomalidomide dose reduction (27.4% of subjects in the </w:t>
      </w:r>
      <w:r>
        <w:t>overall safety population).</w:t>
      </w:r>
    </w:p>
    <w:p w:rsidR="00031E36" w:rsidRDefault="00031E36" w:rsidP="004B5DDD">
      <w:pPr>
        <w:pStyle w:val="Heading5"/>
        <w:rPr>
          <w:rFonts w:eastAsia="TimesNewRoman"/>
        </w:rPr>
      </w:pPr>
      <w:r>
        <w:rPr>
          <w:rFonts w:eastAsia="TimesNewRoman"/>
        </w:rPr>
        <w:t>Study IFM-2009-02</w:t>
      </w:r>
    </w:p>
    <w:p w:rsidR="00883BD1" w:rsidRDefault="00031E36" w:rsidP="004B5DDD">
      <w:pPr>
        <w:rPr>
          <w:lang w:val="en-US"/>
        </w:rPr>
      </w:pPr>
      <w:r>
        <w:rPr>
          <w:rFonts w:hint="eastAsia"/>
          <w:lang w:val="en-US"/>
        </w:rPr>
        <w:t>Patients were randomi</w:t>
      </w:r>
      <w:r w:rsidR="00024A4D">
        <w:rPr>
          <w:lang w:val="en-US"/>
        </w:rPr>
        <w:t>s</w:t>
      </w:r>
      <w:r>
        <w:rPr>
          <w:rFonts w:hint="eastAsia"/>
          <w:lang w:val="en-US"/>
        </w:rPr>
        <w:t>ed (1:1) to receive</w:t>
      </w:r>
      <w:r w:rsidR="00883BD1">
        <w:rPr>
          <w:lang w:val="en-US"/>
        </w:rPr>
        <w:t xml:space="preserve"> in:</w:t>
      </w:r>
    </w:p>
    <w:p w:rsidR="00883BD1" w:rsidRDefault="00031E36" w:rsidP="004B5DDD">
      <w:pPr>
        <w:pStyle w:val="ListBullet"/>
        <w:rPr>
          <w:lang w:val="en-US"/>
        </w:rPr>
      </w:pPr>
      <w:r>
        <w:rPr>
          <w:rFonts w:hint="eastAsia"/>
          <w:lang w:val="en-US"/>
        </w:rPr>
        <w:t>Arm A: 4 mg/day pomalidomide on Days 1 to 21, plus commercial</w:t>
      </w:r>
      <w:r>
        <w:rPr>
          <w:lang w:val="en-US"/>
        </w:rPr>
        <w:t xml:space="preserve"> </w:t>
      </w:r>
      <w:r>
        <w:rPr>
          <w:rFonts w:hint="eastAsia"/>
          <w:lang w:val="en-US"/>
        </w:rPr>
        <w:t>dexamethasone 40 mg on Days 1, 8, 15, and 22 of each 28</w:t>
      </w:r>
      <w:r w:rsidR="00883BD1">
        <w:rPr>
          <w:lang w:val="en-US"/>
        </w:rPr>
        <w:t xml:space="preserve"> </w:t>
      </w:r>
      <w:r>
        <w:rPr>
          <w:rFonts w:hint="eastAsia"/>
          <w:lang w:val="en-US"/>
        </w:rPr>
        <w:t>day cycle</w:t>
      </w:r>
      <w:r w:rsidR="00883BD1">
        <w:rPr>
          <w:lang w:val="en-US"/>
        </w:rPr>
        <w:t xml:space="preserve"> or</w:t>
      </w:r>
    </w:p>
    <w:p w:rsidR="00031E36" w:rsidRDefault="00031E36" w:rsidP="004B5DDD">
      <w:pPr>
        <w:pStyle w:val="ListBullet"/>
        <w:rPr>
          <w:lang w:val="en-US"/>
        </w:rPr>
      </w:pPr>
      <w:r>
        <w:rPr>
          <w:rFonts w:hint="eastAsia"/>
          <w:lang w:val="en-US"/>
        </w:rPr>
        <w:t>Arm B: 4 mg/day pomalidomide on Days 1 to 28</w:t>
      </w:r>
      <w:r w:rsidR="00883BD1">
        <w:rPr>
          <w:lang w:val="en-US"/>
        </w:rPr>
        <w:t>,</w:t>
      </w:r>
      <w:r>
        <w:rPr>
          <w:rFonts w:hint="eastAsia"/>
          <w:lang w:val="en-US"/>
        </w:rPr>
        <w:t xml:space="preserve"> plus commercial</w:t>
      </w:r>
      <w:r>
        <w:rPr>
          <w:lang w:val="en-US"/>
        </w:rPr>
        <w:t xml:space="preserve"> </w:t>
      </w:r>
      <w:r>
        <w:rPr>
          <w:rFonts w:hint="eastAsia"/>
          <w:lang w:val="en-US"/>
        </w:rPr>
        <w:t>dexamethasone 40 mg on Days 1, 8, 15, and 22 of each 28</w:t>
      </w:r>
      <w:r w:rsidR="00883BD1">
        <w:rPr>
          <w:lang w:val="en-US"/>
        </w:rPr>
        <w:t xml:space="preserve"> </w:t>
      </w:r>
      <w:r>
        <w:rPr>
          <w:rFonts w:hint="eastAsia"/>
          <w:lang w:val="en-US"/>
        </w:rPr>
        <w:t>day cycle.</w:t>
      </w:r>
    </w:p>
    <w:p w:rsidR="00031E36" w:rsidRDefault="00031E36" w:rsidP="004B5DDD">
      <w:pPr>
        <w:rPr>
          <w:rFonts w:cs="Cambria"/>
          <w:b/>
          <w:bCs/>
        </w:rPr>
      </w:pPr>
      <w:r>
        <w:rPr>
          <w:rFonts w:hint="eastAsia"/>
          <w:lang w:val="en-US"/>
        </w:rPr>
        <w:t>Patients remained on treatment for an average of 6 treatment cycles</w:t>
      </w:r>
      <w:r>
        <w:rPr>
          <w:lang w:val="en-US"/>
        </w:rPr>
        <w:t xml:space="preserve"> </w:t>
      </w:r>
      <w:r>
        <w:rPr>
          <w:rFonts w:hint="eastAsia"/>
          <w:lang w:val="en-US"/>
        </w:rPr>
        <w:t>overall. The</w:t>
      </w:r>
      <w:r>
        <w:rPr>
          <w:lang w:val="en-US"/>
        </w:rPr>
        <w:t xml:space="preserve"> </w:t>
      </w:r>
      <w:r>
        <w:rPr>
          <w:rFonts w:hint="eastAsia"/>
          <w:lang w:val="en-US"/>
        </w:rPr>
        <w:t>average number of cycles received was higher amongst patients in Arm A (median: 8)</w:t>
      </w:r>
      <w:r>
        <w:rPr>
          <w:lang w:val="en-US"/>
        </w:rPr>
        <w:t xml:space="preserve"> </w:t>
      </w:r>
      <w:r>
        <w:rPr>
          <w:rFonts w:hint="eastAsia"/>
          <w:lang w:val="en-US"/>
        </w:rPr>
        <w:t>than in Arm B (median: 6). More patients underwent dose reduction in Arm A (19</w:t>
      </w:r>
      <w:r>
        <w:rPr>
          <w:lang w:val="en-US"/>
        </w:rPr>
        <w:t xml:space="preserve"> </w:t>
      </w:r>
      <w:r>
        <w:rPr>
          <w:rFonts w:hint="eastAsia"/>
          <w:lang w:val="en-US"/>
        </w:rPr>
        <w:t>patients, 44%) than Arm B (14 patients, 34%), but there was no difference between</w:t>
      </w:r>
      <w:r>
        <w:rPr>
          <w:lang w:val="en-US"/>
        </w:rPr>
        <w:t xml:space="preserve"> </w:t>
      </w:r>
      <w:r>
        <w:rPr>
          <w:rFonts w:hint="eastAsia"/>
          <w:lang w:val="en-US"/>
        </w:rPr>
        <w:t>treatment arms in terms of relative dose intensity (88% in each arm).</w:t>
      </w:r>
    </w:p>
    <w:p w:rsidR="00605AD4" w:rsidRDefault="00605AD4" w:rsidP="004B5DDD">
      <w:pPr>
        <w:pStyle w:val="Heading4"/>
      </w:pPr>
      <w:r w:rsidRPr="00605AD4">
        <w:t>Safety issues with the potential for major regulatory impact</w:t>
      </w:r>
    </w:p>
    <w:p w:rsidR="00DD3B4F" w:rsidRDefault="00DD3B4F" w:rsidP="004B5DDD">
      <w:pPr>
        <w:pStyle w:val="Heading5"/>
      </w:pPr>
      <w:bookmarkStart w:id="114" w:name="_Toc272414682"/>
      <w:bookmarkStart w:id="115" w:name="_Toc290846320"/>
      <w:bookmarkStart w:id="116" w:name="_Toc290888857"/>
      <w:bookmarkStart w:id="117" w:name="_Toc371611878"/>
      <w:bookmarkStart w:id="118" w:name="_Toc371612460"/>
      <w:bookmarkStart w:id="119" w:name="_Toc371612724"/>
      <w:bookmarkStart w:id="120" w:name="_Toc371613248"/>
      <w:r>
        <w:t>Haematological toxicity</w:t>
      </w:r>
      <w:bookmarkEnd w:id="114"/>
      <w:bookmarkEnd w:id="115"/>
      <w:bookmarkEnd w:id="116"/>
      <w:bookmarkEnd w:id="117"/>
      <w:bookmarkEnd w:id="118"/>
      <w:bookmarkEnd w:id="119"/>
      <w:bookmarkEnd w:id="120"/>
    </w:p>
    <w:p w:rsidR="00DD3B4F" w:rsidRPr="00DD3B4F" w:rsidRDefault="00DD3B4F" w:rsidP="004B5DDD">
      <w:r w:rsidRPr="00DD3B4F">
        <w:t>The addition of pomalidomide to dexamethasone was associated with an increase in h</w:t>
      </w:r>
      <w:r w:rsidR="00541B7E">
        <w:t>a</w:t>
      </w:r>
      <w:r w:rsidRPr="00DD3B4F">
        <w:t xml:space="preserve">ematological </w:t>
      </w:r>
      <w:r w:rsidR="00541B7E">
        <w:t>adverse events (</w:t>
      </w:r>
      <w:r w:rsidRPr="00DD3B4F">
        <w:t>AEs</w:t>
      </w:r>
      <w:r w:rsidR="00541B7E">
        <w:t>)</w:t>
      </w:r>
      <w:r w:rsidRPr="00DD3B4F">
        <w:t xml:space="preserve">, specifically neutropenia and febrile neutropenia. Approximately 24% of subjects in the </w:t>
      </w:r>
      <w:r w:rsidR="00BE03E5">
        <w:t xml:space="preserve">pomalidomide </w:t>
      </w:r>
      <w:r w:rsidRPr="00DD3B4F">
        <w:t>+ LD</w:t>
      </w:r>
      <w:r w:rsidR="001F0438" w:rsidRPr="001F0438">
        <w:t xml:space="preserve"> </w:t>
      </w:r>
      <w:r w:rsidR="001F0438" w:rsidRPr="006C203C">
        <w:t>dexamethasone</w:t>
      </w:r>
      <w:r w:rsidR="001F0438" w:rsidRPr="00DD3B4F">
        <w:t xml:space="preserve"> </w:t>
      </w:r>
      <w:r w:rsidRPr="00DD3B4F">
        <w:t xml:space="preserve">arm in the pivotal study had pomalidomide dose reductions, most of which were due to neutropenia (7.7%), thrombocytopenia (6.3%), and febrile neutropenia (1.3%). Pomalidomide dose </w:t>
      </w:r>
      <w:r w:rsidRPr="00DD3B4F">
        <w:lastRenderedPageBreak/>
        <w:t xml:space="preserve">interruptions were more frequent (61.3%) and were due to neutropenia </w:t>
      </w:r>
      <w:r w:rsidR="004B5DDD">
        <w:t>(21.0%); thrombocytopenia (8%).</w:t>
      </w:r>
    </w:p>
    <w:p w:rsidR="00DD3B4F" w:rsidRPr="00DD3B4F" w:rsidRDefault="00DD3B4F" w:rsidP="004B5DDD">
      <w:r w:rsidRPr="00DD3B4F">
        <w:t>T</w:t>
      </w:r>
      <w:r w:rsidR="000B31B4">
        <w:t>herefore, t</w:t>
      </w:r>
      <w:r w:rsidRPr="00DD3B4F">
        <w:t>he management of h</w:t>
      </w:r>
      <w:r w:rsidR="001F0438">
        <w:t>a</w:t>
      </w:r>
      <w:r w:rsidRPr="00DD3B4F">
        <w:t xml:space="preserve">ematological toxicity is an </w:t>
      </w:r>
      <w:r w:rsidR="001F0438">
        <w:t>important part of responsible u</w:t>
      </w:r>
      <w:r w:rsidRPr="00DD3B4F">
        <w:t xml:space="preserve">se of </w:t>
      </w:r>
      <w:r w:rsidR="001F0438">
        <w:t xml:space="preserve">pomalidomide </w:t>
      </w:r>
      <w:r w:rsidRPr="00DD3B4F">
        <w:t>+</w:t>
      </w:r>
      <w:r w:rsidR="001F0438">
        <w:t xml:space="preserve"> </w:t>
      </w:r>
      <w:r w:rsidRPr="00DD3B4F">
        <w:t>LD</w:t>
      </w:r>
      <w:r w:rsidR="001F0438" w:rsidRPr="001F0438">
        <w:t xml:space="preserve"> </w:t>
      </w:r>
      <w:r w:rsidR="001F0438" w:rsidRPr="006C203C">
        <w:t>dexamethasone</w:t>
      </w:r>
      <w:r w:rsidR="001F0438" w:rsidRPr="00DD3B4F">
        <w:t xml:space="preserve"> </w:t>
      </w:r>
      <w:r w:rsidRPr="00DD3B4F">
        <w:t>treatment in this population of MM patients.</w:t>
      </w:r>
    </w:p>
    <w:p w:rsidR="00605AD4" w:rsidRPr="00605AD4" w:rsidRDefault="00605AD4" w:rsidP="004B5DDD">
      <w:pPr>
        <w:pStyle w:val="Heading4"/>
      </w:pPr>
      <w:r w:rsidRPr="00605AD4">
        <w:t>Evaluator’s conclusions on safety</w:t>
      </w:r>
    </w:p>
    <w:p w:rsidR="009928FB" w:rsidRDefault="009928FB" w:rsidP="004B5DDD">
      <w:r>
        <w:t xml:space="preserve">The following conclusions are largely from the pivotal </w:t>
      </w:r>
      <w:r w:rsidR="00A17CD5">
        <w:t>S</w:t>
      </w:r>
      <w:r>
        <w:t>tudy CC-4047-MM-</w:t>
      </w:r>
      <w:r w:rsidR="00C301A9">
        <w:t xml:space="preserve">003 </w:t>
      </w:r>
      <w:r>
        <w:t>in which the treatment dose and patient population were closest to those in the requested indication.</w:t>
      </w:r>
    </w:p>
    <w:p w:rsidR="009928FB" w:rsidRPr="009928FB" w:rsidRDefault="00680105" w:rsidP="004B5DDD">
      <w:pPr>
        <w:pStyle w:val="ListBullet"/>
      </w:pPr>
      <w:r>
        <w:t>TEAEs</w:t>
      </w:r>
      <w:r w:rsidR="009928FB" w:rsidRPr="009928FB">
        <w:t xml:space="preserve"> related to pomalidomide were significantly more frequent (76.7%) than those related to LD dexamethasone (56.7%) in the proposed </w:t>
      </w:r>
      <w:r w:rsidR="00F20B60">
        <w:t xml:space="preserve">pomalidomide </w:t>
      </w:r>
      <w:r w:rsidR="00F20B60" w:rsidRPr="00DD3B4F">
        <w:t>+ LD</w:t>
      </w:r>
      <w:r w:rsidR="00F20B60" w:rsidRPr="001F0438">
        <w:t xml:space="preserve"> </w:t>
      </w:r>
      <w:r w:rsidR="00F20B60" w:rsidRPr="006C203C">
        <w:t>dexamethasone</w:t>
      </w:r>
      <w:r w:rsidR="00F20B60" w:rsidRPr="00DD3B4F">
        <w:t xml:space="preserve"> </w:t>
      </w:r>
      <w:r w:rsidR="004B5DDD">
        <w:t>combination.</w:t>
      </w:r>
    </w:p>
    <w:p w:rsidR="009928FB" w:rsidRPr="009928FB" w:rsidRDefault="009928FB" w:rsidP="004B5DDD">
      <w:pPr>
        <w:pStyle w:val="ListBullet"/>
      </w:pPr>
      <w:r w:rsidRPr="009928FB">
        <w:t>The most frequently occurring TEAEs related to pomalidomide included neutropenia (38.7%), an</w:t>
      </w:r>
      <w:r w:rsidR="00F20B60">
        <w:t>a</w:t>
      </w:r>
      <w:r w:rsidRPr="009928FB">
        <w:t xml:space="preserve">emia (22.7%), </w:t>
      </w:r>
      <w:proofErr w:type="gramStart"/>
      <w:r w:rsidRPr="009928FB">
        <w:t>thrombocyto</w:t>
      </w:r>
      <w:r w:rsidR="00637AA4">
        <w:t>penia</w:t>
      </w:r>
      <w:proofErr w:type="gramEnd"/>
      <w:r w:rsidRPr="009928FB">
        <w:t xml:space="preserve"> (18.7%), and fatigue (17.7%). The majority of the first three TEAEs were severe (see below).</w:t>
      </w:r>
    </w:p>
    <w:p w:rsidR="009928FB" w:rsidRPr="009928FB" w:rsidRDefault="009928FB" w:rsidP="004B5DDD">
      <w:pPr>
        <w:pStyle w:val="ListBullet"/>
      </w:pPr>
      <w:r w:rsidRPr="009928FB">
        <w:t>Those related to LD dexamethasone included fatigue (10%), asthenia (5%), peripheral oedema (5.3%) and hyperglycaemia (4%).</w:t>
      </w:r>
    </w:p>
    <w:p w:rsidR="009928FB" w:rsidRPr="009928FB" w:rsidRDefault="009928FB" w:rsidP="004B5DDD">
      <w:pPr>
        <w:pStyle w:val="ListBullet"/>
      </w:pPr>
      <w:r w:rsidRPr="009928FB">
        <w:t>Severe TEAEs (Grade 3 and 4) related to pomalidomide occurring in at least one subject were significantly more frequent (56.7%) than those related to LD dexamethasone (28%).</w:t>
      </w:r>
    </w:p>
    <w:p w:rsidR="009928FB" w:rsidRPr="009928FB" w:rsidRDefault="009928FB" w:rsidP="003F1C12">
      <w:pPr>
        <w:pStyle w:val="ListBullet"/>
      </w:pPr>
      <w:r w:rsidRPr="009928FB">
        <w:t>The most frequently occurring severe TEAEs related to pomalidomide included neutropenia (35.7%), thrombocytopenia (13.7%), and an</w:t>
      </w:r>
      <w:r w:rsidR="00F20B60">
        <w:t>a</w:t>
      </w:r>
      <w:r w:rsidRPr="009928FB">
        <w:t>emia (13.0%). Febrile neutropeni</w:t>
      </w:r>
      <w:r w:rsidR="003F1C12">
        <w:t>a occurred in 4.7% of subjects.</w:t>
      </w:r>
    </w:p>
    <w:p w:rsidR="009928FB" w:rsidRPr="009928FB" w:rsidRDefault="009928FB" w:rsidP="003F1C12">
      <w:pPr>
        <w:pStyle w:val="ListBullet"/>
      </w:pPr>
      <w:r w:rsidRPr="009928FB">
        <w:t>The most frequently occurring severe TEAEs related to LD dexamethasone included pneumonia (3.3%),</w:t>
      </w:r>
      <w:r w:rsidR="006813F9">
        <w:t xml:space="preserve"> </w:t>
      </w:r>
      <w:r w:rsidRPr="009928FB">
        <w:t>hyperglycemia (3%),</w:t>
      </w:r>
      <w:r w:rsidR="006813F9">
        <w:t xml:space="preserve"> </w:t>
      </w:r>
      <w:r w:rsidRPr="009928FB">
        <w:t>and fatigue combined with asthenia (2.4%).</w:t>
      </w:r>
    </w:p>
    <w:p w:rsidR="009928FB" w:rsidRDefault="00F2312D" w:rsidP="003F1C12">
      <w:pPr>
        <w:rPr>
          <w:lang w:val="en-US"/>
        </w:rPr>
      </w:pPr>
      <w:r>
        <w:rPr>
          <w:lang w:val="en-US"/>
        </w:rPr>
        <w:t>(</w:t>
      </w:r>
      <w:r w:rsidR="009928FB">
        <w:rPr>
          <w:lang w:val="en-US"/>
        </w:rPr>
        <w:t>Note: Investigators classified 3.7% and 2% of subjects with neutro</w:t>
      </w:r>
      <w:r w:rsidR="00637AA4">
        <w:rPr>
          <w:lang w:val="en-US"/>
        </w:rPr>
        <w:t>penia</w:t>
      </w:r>
      <w:r w:rsidR="009928FB">
        <w:rPr>
          <w:lang w:val="en-US"/>
        </w:rPr>
        <w:t xml:space="preserve"> and thrombocyto</w:t>
      </w:r>
      <w:r w:rsidR="00637AA4">
        <w:rPr>
          <w:lang w:val="en-US"/>
        </w:rPr>
        <w:t>penia</w:t>
      </w:r>
      <w:r w:rsidR="009928FB">
        <w:rPr>
          <w:lang w:val="en-US"/>
        </w:rPr>
        <w:t xml:space="preserve"> as related to dexamethasone respectively.</w:t>
      </w:r>
      <w:r w:rsidR="006813F9">
        <w:rPr>
          <w:lang w:val="en-US"/>
        </w:rPr>
        <w:t xml:space="preserve"> </w:t>
      </w:r>
      <w:r w:rsidR="00381E49">
        <w:rPr>
          <w:lang w:val="en-US"/>
        </w:rPr>
        <w:t xml:space="preserve">However, </w:t>
      </w:r>
      <w:r w:rsidR="009928FB">
        <w:rPr>
          <w:lang w:val="en-US"/>
        </w:rPr>
        <w:t>since this association would be difficult to make in the presence of a pomalidomide effect on these counts, and since these figures were not increase</w:t>
      </w:r>
      <w:r w:rsidR="00C64D19">
        <w:rPr>
          <w:lang w:val="en-US"/>
        </w:rPr>
        <w:t>d in the HD dexamethasone arm, the evaluator</w:t>
      </w:r>
      <w:r w:rsidR="009928FB">
        <w:rPr>
          <w:lang w:val="en-US"/>
        </w:rPr>
        <w:t xml:space="preserve"> do</w:t>
      </w:r>
      <w:r w:rsidR="00C64D19">
        <w:rPr>
          <w:lang w:val="en-US"/>
        </w:rPr>
        <w:t>es</w:t>
      </w:r>
      <w:r w:rsidR="009928FB">
        <w:rPr>
          <w:lang w:val="en-US"/>
        </w:rPr>
        <w:t xml:space="preserve"> not consider they were caused by the</w:t>
      </w:r>
      <w:r w:rsidR="00C64D19">
        <w:rPr>
          <w:lang w:val="en-US"/>
        </w:rPr>
        <w:t xml:space="preserve"> LD dexamethasone administered.</w:t>
      </w:r>
      <w:r>
        <w:rPr>
          <w:lang w:val="en-US"/>
        </w:rPr>
        <w:t>)</w:t>
      </w:r>
    </w:p>
    <w:p w:rsidR="009928FB" w:rsidRPr="009928FB" w:rsidRDefault="009928FB" w:rsidP="003F1C12">
      <w:pPr>
        <w:pStyle w:val="ListBullet"/>
      </w:pPr>
      <w:r w:rsidRPr="009928FB">
        <w:t xml:space="preserve">The proportion of subjects in the </w:t>
      </w:r>
      <w:r w:rsidR="00BE03E5">
        <w:t xml:space="preserve">pomalidomide </w:t>
      </w:r>
      <w:r w:rsidRPr="009928FB">
        <w:t xml:space="preserve">+ </w:t>
      </w:r>
      <w:r w:rsidR="00312C2B">
        <w:rPr>
          <w:rFonts w:eastAsia="TimesNewRoman"/>
          <w:lang w:val="en-US"/>
        </w:rPr>
        <w:t xml:space="preserve">LD dexamethasone </w:t>
      </w:r>
      <w:r w:rsidRPr="009928FB">
        <w:t>arm who had died at the data cut-off date was 25%, 18% of whom died of MM and 12.3% of a TEAE. Of the latter, most (5.3%) were due to “physical health deterioration”, while 3 subjects (1%) died of acute renal failure.</w:t>
      </w:r>
    </w:p>
    <w:p w:rsidR="009928FB" w:rsidRPr="009928FB" w:rsidRDefault="000E6D17" w:rsidP="003F1C12">
      <w:pPr>
        <w:pStyle w:val="ListBullet"/>
      </w:pPr>
      <w:r>
        <w:t>A total of 24</w:t>
      </w:r>
      <w:r w:rsidR="009928FB" w:rsidRPr="009928FB">
        <w:t xml:space="preserve"> subjects (8.0%) in the </w:t>
      </w:r>
      <w:r w:rsidR="00BE03E5">
        <w:t xml:space="preserve">pomalidomide </w:t>
      </w:r>
      <w:r w:rsidR="009928FB" w:rsidRPr="009928FB">
        <w:t xml:space="preserve">+ </w:t>
      </w:r>
      <w:r w:rsidR="009F2459">
        <w:rPr>
          <w:rFonts w:eastAsia="TimesNewRoman"/>
          <w:lang w:val="en-US"/>
        </w:rPr>
        <w:t xml:space="preserve">LD dexamethasone </w:t>
      </w:r>
      <w:r w:rsidR="009928FB" w:rsidRPr="009928FB">
        <w:t>arm had 1 or more TEAEs that led to the discontinuation of pomalidomide. Most common were infections (2%) and renal disorders (1.3%). No single TEAE resulted in the discontinuation of pomalidomide in more than 2 subjects.</w:t>
      </w:r>
    </w:p>
    <w:p w:rsidR="009928FB" w:rsidRPr="009928FB" w:rsidRDefault="009928FB" w:rsidP="003F1C12">
      <w:pPr>
        <w:pStyle w:val="ListBullet"/>
      </w:pPr>
      <w:r w:rsidRPr="009928FB">
        <w:t xml:space="preserve">The percentages of subjects with 1 or more TEAEs leading to discontinuation of dexamethasone were 8.3% in the </w:t>
      </w:r>
      <w:r w:rsidR="00BE03E5">
        <w:t xml:space="preserve">pomalidomide </w:t>
      </w:r>
      <w:r w:rsidRPr="009928FB">
        <w:t xml:space="preserve">+ </w:t>
      </w:r>
      <w:r w:rsidR="0016611A">
        <w:rPr>
          <w:rFonts w:eastAsia="TimesNewRoman"/>
          <w:lang w:val="en-US"/>
        </w:rPr>
        <w:t xml:space="preserve">LD dexamethasone </w:t>
      </w:r>
      <w:r w:rsidRPr="009928FB">
        <w:t>arm. No single TEAE other than pneumonia led to the discontinuation of dexamethasone in more than 2 subjects. Pneumonia led to the discontinuation of dexamethasone in 3 subjects (1.0%).</w:t>
      </w:r>
    </w:p>
    <w:p w:rsidR="009928FB" w:rsidRPr="009928FB" w:rsidRDefault="009928FB" w:rsidP="003F1C12">
      <w:pPr>
        <w:pStyle w:val="ListBullet"/>
      </w:pPr>
      <w:r w:rsidRPr="009928FB">
        <w:t>No unexpected laboratory abnormalities were reported. Neutro</w:t>
      </w:r>
      <w:r w:rsidR="00637AA4">
        <w:t>penia</w:t>
      </w:r>
      <w:r w:rsidRPr="009928FB">
        <w:t xml:space="preserve"> was significant and also reported as a TEAE (see above), </w:t>
      </w:r>
      <w:r w:rsidR="003F1C12">
        <w:t>which was severe in most cases.</w:t>
      </w:r>
    </w:p>
    <w:p w:rsidR="009928FB" w:rsidRPr="009928FB" w:rsidRDefault="009928FB" w:rsidP="0018533D">
      <w:pPr>
        <w:pStyle w:val="ListBullet"/>
      </w:pPr>
      <w:r w:rsidRPr="009928FB">
        <w:lastRenderedPageBreak/>
        <w:t>As pomalidomide is a thalidomide analogue that is teratogenic in animal models, care was taken in the pomalidomide trials to warn about and monitor possible exposure to female subjects. Strong warnings have been included in the proposed PI and CMI.</w:t>
      </w:r>
    </w:p>
    <w:p w:rsidR="009928FB" w:rsidRPr="009928FB" w:rsidRDefault="009928FB" w:rsidP="0018533D">
      <w:pPr>
        <w:pStyle w:val="ListBullet"/>
      </w:pPr>
      <w:r w:rsidRPr="009928FB">
        <w:t xml:space="preserve">Renal abnormalities (both TEAEs and severe TEAEs) were less frequent in the </w:t>
      </w:r>
      <w:r w:rsidR="00541B7E">
        <w:t xml:space="preserve">pomalidomide </w:t>
      </w:r>
      <w:r w:rsidR="00541B7E" w:rsidRPr="009928FB">
        <w:t xml:space="preserve">+ </w:t>
      </w:r>
      <w:r w:rsidR="00541B7E">
        <w:rPr>
          <w:rFonts w:eastAsia="TimesNewRoman"/>
          <w:lang w:val="en-US"/>
        </w:rPr>
        <w:t xml:space="preserve">LD dexamethasone </w:t>
      </w:r>
      <w:r w:rsidRPr="009928FB">
        <w:t>group of subjects than in those receiving HD</w:t>
      </w:r>
      <w:r w:rsidR="007134C3" w:rsidRPr="007134C3">
        <w:rPr>
          <w:rFonts w:eastAsia="TimesNewRoman"/>
          <w:lang w:val="en-US"/>
        </w:rPr>
        <w:t xml:space="preserve"> </w:t>
      </w:r>
      <w:r w:rsidR="007134C3">
        <w:rPr>
          <w:rFonts w:eastAsia="TimesNewRoman"/>
          <w:lang w:val="en-US"/>
        </w:rPr>
        <w:t>dexamethasone</w:t>
      </w:r>
      <w:r w:rsidR="0018533D">
        <w:t>.</w:t>
      </w:r>
    </w:p>
    <w:p w:rsidR="009928FB" w:rsidRPr="009928FB" w:rsidRDefault="007134C3" w:rsidP="0018533D">
      <w:pPr>
        <w:pStyle w:val="ListBullet"/>
      </w:pPr>
      <w:r>
        <w:t>A total of 32</w:t>
      </w:r>
      <w:r w:rsidR="009928FB" w:rsidRPr="009928FB">
        <w:t xml:space="preserve"> subjects receiving pomalidomide have reported 40 </w:t>
      </w:r>
      <w:r w:rsidR="0051136C">
        <w:t>second primary malignancies (</w:t>
      </w:r>
      <w:r w:rsidR="009928FB" w:rsidRPr="009928FB">
        <w:t>SPMs</w:t>
      </w:r>
      <w:r w:rsidR="0051136C">
        <w:t>)</w:t>
      </w:r>
      <w:r w:rsidR="009928FB" w:rsidRPr="009928FB">
        <w:t xml:space="preserve"> from </w:t>
      </w:r>
      <w:r w:rsidR="00541B7E">
        <w:t xml:space="preserve">approximately </w:t>
      </w:r>
      <w:r w:rsidR="009928FB" w:rsidRPr="009928FB">
        <w:t>300</w:t>
      </w:r>
      <w:r w:rsidR="0018533D">
        <w:t>0 patients receiving the drug.</w:t>
      </w:r>
    </w:p>
    <w:p w:rsidR="009928FB" w:rsidRPr="009928FB" w:rsidRDefault="009928FB" w:rsidP="005F6C76">
      <w:pPr>
        <w:pStyle w:val="ListBullet"/>
      </w:pPr>
      <w:r w:rsidRPr="009928FB">
        <w:t xml:space="preserve">The safety of pomalidomide + LD </w:t>
      </w:r>
      <w:r w:rsidR="00702265">
        <w:rPr>
          <w:rFonts w:eastAsia="TimesNewRoman"/>
          <w:lang w:val="en-US"/>
        </w:rPr>
        <w:t>dexamethasone</w:t>
      </w:r>
      <w:r w:rsidRPr="009928FB">
        <w:t xml:space="preserve"> compared to pomalidomide alone could not be assessed in the pivotal trial b</w:t>
      </w:r>
      <w:r w:rsidR="00826119">
        <w:t>ut was assessable in the Phase II</w:t>
      </w:r>
      <w:r w:rsidRPr="009928FB">
        <w:t xml:space="preserve"> trial, CC-4047-MM-002, although complicated by the addition of dexamethasone treatment to the </w:t>
      </w:r>
      <w:r w:rsidR="00BE03E5">
        <w:t xml:space="preserve">pomalidomide </w:t>
      </w:r>
      <w:r w:rsidRPr="009928FB">
        <w:t>only arm on disease progression. The question is important, given that synergy of the two drugs was shown in laboratory and animal studies. In the trial, the incidence of TEAEs related to pomalido</w:t>
      </w:r>
      <w:r w:rsidR="00F33DF0">
        <w:t xml:space="preserve">mide was the same (89%) in </w:t>
      </w:r>
      <w:r w:rsidR="00F33DF0" w:rsidRPr="009928FB">
        <w:t>pomalidomide</w:t>
      </w:r>
      <w:r w:rsidR="00F33DF0">
        <w:t xml:space="preserve"> + </w:t>
      </w:r>
      <w:r w:rsidR="00F33DF0">
        <w:rPr>
          <w:rFonts w:eastAsia="TimesNewRoman"/>
          <w:lang w:val="en-US"/>
        </w:rPr>
        <w:t>dexamethasone</w:t>
      </w:r>
      <w:r w:rsidRPr="009928FB">
        <w:t xml:space="preserve"> and the </w:t>
      </w:r>
      <w:r w:rsidR="00BE03E5">
        <w:t xml:space="preserve">pomalidomide </w:t>
      </w:r>
      <w:r w:rsidRPr="009928FB">
        <w:t xml:space="preserve">only arms, and that of severe (Grade 3 and 4) TEAEs similar in both arms for the most frequent events. Grade 5 adverse events were also of similar frequency (12.3% and 14.8%). Pomalidomide was discontinued in 8% of subjects in the </w:t>
      </w:r>
      <w:r w:rsidR="00D82C81" w:rsidRPr="009928FB">
        <w:t xml:space="preserve">pomalidomide + LD </w:t>
      </w:r>
      <w:r w:rsidR="00D82C81">
        <w:rPr>
          <w:rFonts w:eastAsia="TimesNewRoman"/>
          <w:lang w:val="en-US"/>
        </w:rPr>
        <w:t>dexamethasone</w:t>
      </w:r>
      <w:r w:rsidR="00D82C81" w:rsidRPr="009928FB">
        <w:t xml:space="preserve"> </w:t>
      </w:r>
      <w:r w:rsidRPr="009928FB">
        <w:t xml:space="preserve">and 12% in the </w:t>
      </w:r>
      <w:r w:rsidR="00BE03E5">
        <w:t xml:space="preserve">pomalidomide </w:t>
      </w:r>
      <w:r w:rsidRPr="009928FB">
        <w:t xml:space="preserve">only arm. These results show that adverse events were not increased by the addition of dexamethasone to </w:t>
      </w:r>
      <w:r w:rsidR="00D82C81" w:rsidRPr="009928FB">
        <w:t>pomalidomide</w:t>
      </w:r>
      <w:r w:rsidRPr="009928FB">
        <w:t>.</w:t>
      </w:r>
    </w:p>
    <w:p w:rsidR="009928FB" w:rsidRDefault="009928FB" w:rsidP="0018533D">
      <w:pPr>
        <w:rPr>
          <w:lang w:val="en-US"/>
        </w:rPr>
      </w:pPr>
      <w:r>
        <w:rPr>
          <w:lang w:val="en-US"/>
        </w:rPr>
        <w:t>Overall, it can be concluded that treatment of this heavily pretreated population of patients with pomalidomide and dexamethas</w:t>
      </w:r>
      <w:r w:rsidR="00C301A9">
        <w:rPr>
          <w:lang w:val="en-US"/>
        </w:rPr>
        <w:t>o</w:t>
      </w:r>
      <w:r>
        <w:rPr>
          <w:lang w:val="en-US"/>
        </w:rPr>
        <w:t>ne is associated with frequent and severe neutropenia that was manageable as shown by the relatively low discontinuation rate and Grade 5 events due to neutro</w:t>
      </w:r>
      <w:r w:rsidR="00637AA4">
        <w:rPr>
          <w:lang w:val="en-US"/>
        </w:rPr>
        <w:t>penia</w:t>
      </w:r>
      <w:r w:rsidR="0018533D">
        <w:rPr>
          <w:lang w:val="en-US"/>
        </w:rPr>
        <w:t>.</w:t>
      </w:r>
    </w:p>
    <w:p w:rsidR="00605AD4" w:rsidRPr="00605AD4" w:rsidRDefault="00605AD4" w:rsidP="0018533D">
      <w:pPr>
        <w:pStyle w:val="Heading3"/>
        <w:rPr>
          <w:rFonts w:eastAsia="Cambria"/>
        </w:rPr>
      </w:pPr>
      <w:bookmarkStart w:id="121" w:name="_Toc404176190"/>
      <w:r w:rsidRPr="00605AD4">
        <w:rPr>
          <w:rFonts w:eastAsia="Cambria"/>
        </w:rPr>
        <w:t xml:space="preserve">First </w:t>
      </w:r>
      <w:r w:rsidR="0018533D">
        <w:rPr>
          <w:rFonts w:eastAsia="Cambria"/>
          <w:lang w:val="en-AU"/>
        </w:rPr>
        <w:t>r</w:t>
      </w:r>
      <w:r w:rsidRPr="00605AD4">
        <w:rPr>
          <w:rFonts w:eastAsia="Cambria"/>
        </w:rPr>
        <w:t xml:space="preserve">ound </w:t>
      </w:r>
      <w:r w:rsidR="0018533D">
        <w:rPr>
          <w:rFonts w:eastAsia="Cambria"/>
          <w:lang w:val="en-AU"/>
        </w:rPr>
        <w:t>b</w:t>
      </w:r>
      <w:r w:rsidRPr="00605AD4">
        <w:rPr>
          <w:rFonts w:eastAsia="Cambria"/>
        </w:rPr>
        <w:t>enefit-</w:t>
      </w:r>
      <w:r w:rsidR="0018533D">
        <w:rPr>
          <w:rFonts w:eastAsia="Cambria"/>
          <w:lang w:val="en-AU"/>
        </w:rPr>
        <w:t>r</w:t>
      </w:r>
      <w:r w:rsidRPr="00605AD4">
        <w:rPr>
          <w:rFonts w:eastAsia="Cambria"/>
        </w:rPr>
        <w:t xml:space="preserve">isk </w:t>
      </w:r>
      <w:r w:rsidR="0018533D">
        <w:rPr>
          <w:rFonts w:eastAsia="Cambria"/>
          <w:lang w:val="en-AU"/>
        </w:rPr>
        <w:t>a</w:t>
      </w:r>
      <w:r w:rsidRPr="00605AD4">
        <w:rPr>
          <w:rFonts w:eastAsia="Cambria"/>
        </w:rPr>
        <w:t>ssessment</w:t>
      </w:r>
      <w:bookmarkEnd w:id="121"/>
    </w:p>
    <w:p w:rsidR="00605AD4" w:rsidRDefault="00605AD4" w:rsidP="0018533D">
      <w:pPr>
        <w:pStyle w:val="Heading4"/>
      </w:pPr>
      <w:r w:rsidRPr="00605AD4">
        <w:t>First round assessment of benefits</w:t>
      </w:r>
    </w:p>
    <w:p w:rsidR="006438FB" w:rsidRDefault="006438FB" w:rsidP="005F6C76">
      <w:r>
        <w:t xml:space="preserve">The benefits of pomalidomide and </w:t>
      </w:r>
      <w:r w:rsidR="00CB01DA">
        <w:t>LD</w:t>
      </w:r>
      <w:r>
        <w:t xml:space="preserve"> dexamethasone in the proposed usage are:</w:t>
      </w:r>
    </w:p>
    <w:p w:rsidR="006438FB" w:rsidRPr="006438FB" w:rsidRDefault="006438FB" w:rsidP="0018533D">
      <w:pPr>
        <w:pStyle w:val="ListBullet"/>
      </w:pPr>
      <w:r w:rsidRPr="006438FB">
        <w:t xml:space="preserve">a clinically significant </w:t>
      </w:r>
      <w:r w:rsidR="0018533D">
        <w:t>improvement of 7.7 weeks in PFS</w:t>
      </w:r>
    </w:p>
    <w:p w:rsidR="006438FB" w:rsidRPr="006438FB" w:rsidRDefault="006438FB" w:rsidP="005F6C76">
      <w:pPr>
        <w:pStyle w:val="ListBullet"/>
      </w:pPr>
      <w:r w:rsidRPr="006438FB">
        <w:t xml:space="preserve">a </w:t>
      </w:r>
      <w:r w:rsidRPr="005F6C76">
        <w:t>clinically</w:t>
      </w:r>
      <w:r w:rsidRPr="006438FB">
        <w:t xml:space="preserve"> significant improvement of more than 12 weeks in OS (20 weeks in the updated analysis)</w:t>
      </w:r>
    </w:p>
    <w:p w:rsidR="006438FB" w:rsidRPr="006438FB" w:rsidRDefault="006438FB" w:rsidP="0018533D">
      <w:pPr>
        <w:pStyle w:val="ListBullet"/>
      </w:pPr>
      <w:r w:rsidRPr="006438FB">
        <w:t>a clinically significant improvement of</w:t>
      </w:r>
      <w:r w:rsidR="006813F9">
        <w:t xml:space="preserve"> </w:t>
      </w:r>
      <w:r w:rsidRPr="006438FB">
        <w:t>12.7% in</w:t>
      </w:r>
      <w:r w:rsidR="006813F9">
        <w:t xml:space="preserve"> </w:t>
      </w:r>
      <w:r w:rsidR="0018533D">
        <w:t>response rate</w:t>
      </w:r>
    </w:p>
    <w:p w:rsidR="006438FB" w:rsidRPr="006438FB" w:rsidRDefault="006438FB" w:rsidP="0018533D">
      <w:pPr>
        <w:pStyle w:val="ListBullet"/>
      </w:pPr>
      <w:r w:rsidRPr="006438FB">
        <w:t>The positive effects were shown in most subgroups, with one possibly significa</w:t>
      </w:r>
      <w:r w:rsidR="00541B7E">
        <w:t>n</w:t>
      </w:r>
      <w:r w:rsidRPr="006438FB">
        <w:t>t exception.</w:t>
      </w:r>
    </w:p>
    <w:p w:rsidR="006438FB" w:rsidRDefault="006438FB" w:rsidP="0018533D">
      <w:r>
        <w:t>Note that these benefits are from comparison with</w:t>
      </w:r>
      <w:r w:rsidR="006813F9">
        <w:t xml:space="preserve"> </w:t>
      </w:r>
      <w:r>
        <w:t xml:space="preserve">HD dexamethasone treatment, and not to pomalidomide alone. That comparison in the Phase </w:t>
      </w:r>
      <w:r w:rsidR="00BA6CFD">
        <w:t>II Study CC-4047-MM-002</w:t>
      </w:r>
      <w:r>
        <w:t xml:space="preserve"> showed a smaller clinical benefit in PFS and no benefit in OS or response rates when dexamethasone was added to pomalidomide on disease progression.</w:t>
      </w:r>
    </w:p>
    <w:p w:rsidR="00605AD4" w:rsidRDefault="00605AD4" w:rsidP="005F6C76">
      <w:pPr>
        <w:pStyle w:val="Heading4"/>
      </w:pPr>
      <w:r w:rsidRPr="00605AD4">
        <w:t>First round assessment of risks</w:t>
      </w:r>
    </w:p>
    <w:p w:rsidR="006438FB" w:rsidRDefault="006438FB" w:rsidP="0018533D">
      <w:r>
        <w:t xml:space="preserve">The main risks of pomalidomide and </w:t>
      </w:r>
      <w:r w:rsidR="00CB01DA">
        <w:t>LD</w:t>
      </w:r>
      <w:r>
        <w:t xml:space="preserve"> dexameth</w:t>
      </w:r>
      <w:r w:rsidR="00C7623F">
        <w:t>asone in the proposed usage are:</w:t>
      </w:r>
    </w:p>
    <w:p w:rsidR="006438FB" w:rsidRPr="006438FB" w:rsidRDefault="00D311B3" w:rsidP="005F6C76">
      <w:pPr>
        <w:pStyle w:val="ListBullet"/>
      </w:pPr>
      <w:r>
        <w:t>T</w:t>
      </w:r>
      <w:r w:rsidR="006438FB" w:rsidRPr="006438FB">
        <w:t>he high frequency (56.7%) of Grade 3 and 4 neutropenia with the</w:t>
      </w:r>
      <w:r w:rsidR="005F6C76">
        <w:t xml:space="preserve"> associated risks of infection.</w:t>
      </w:r>
    </w:p>
    <w:p w:rsidR="006438FB" w:rsidRPr="006438FB" w:rsidRDefault="006438FB" w:rsidP="006438FB">
      <w:pPr>
        <w:ind w:left="284"/>
        <w:rPr>
          <w:i/>
        </w:rPr>
      </w:pPr>
      <w:r w:rsidRPr="006438FB">
        <w:rPr>
          <w:i/>
        </w:rPr>
        <w:lastRenderedPageBreak/>
        <w:t>Comment: Although of high frequency, severe neutropenia was manageable, and is acceptable for this population of heavily pre-treated patients with advanced disease, provided the treatment is administered and managed by experienced physicians.</w:t>
      </w:r>
    </w:p>
    <w:p w:rsidR="006438FB" w:rsidRPr="006438FB" w:rsidRDefault="00541B7E" w:rsidP="005F6C76">
      <w:pPr>
        <w:pStyle w:val="ListBullet"/>
      </w:pPr>
      <w:r>
        <w:t>Venous thrombotic event</w:t>
      </w:r>
      <w:r w:rsidRPr="006438FB">
        <w:t xml:space="preserve"> </w:t>
      </w:r>
      <w:r>
        <w:t>(</w:t>
      </w:r>
      <w:r w:rsidR="006438FB" w:rsidRPr="006438FB">
        <w:t>VTEs</w:t>
      </w:r>
      <w:r>
        <w:t>)</w:t>
      </w:r>
      <w:r w:rsidR="006438FB" w:rsidRPr="006438FB">
        <w:t xml:space="preserve"> and arterial thrombotic events (ATEs): These events were infrequent. In the </w:t>
      </w:r>
      <w:r w:rsidR="00BE03E5">
        <w:t xml:space="preserve">pomalidomide </w:t>
      </w:r>
      <w:r w:rsidR="00B901BD" w:rsidRPr="009928FB">
        <w:t xml:space="preserve">+ LD </w:t>
      </w:r>
      <w:r w:rsidR="00B901BD">
        <w:rPr>
          <w:rFonts w:eastAsia="TimesNewRoman"/>
          <w:lang w:val="en-US"/>
        </w:rPr>
        <w:t>dexamethasone</w:t>
      </w:r>
      <w:r w:rsidR="00B901BD" w:rsidRPr="009928FB">
        <w:t xml:space="preserve"> </w:t>
      </w:r>
      <w:r w:rsidR="006438FB" w:rsidRPr="006438FB">
        <w:t xml:space="preserve">arm, 3.3% of subjects had at least 1 VTE. In the </w:t>
      </w:r>
      <w:r w:rsidR="00B901BD">
        <w:t>H</w:t>
      </w:r>
      <w:r w:rsidR="00B901BD" w:rsidRPr="009928FB">
        <w:t xml:space="preserve">D </w:t>
      </w:r>
      <w:r w:rsidR="00B901BD">
        <w:rPr>
          <w:rFonts w:eastAsia="TimesNewRoman"/>
          <w:lang w:val="en-US"/>
        </w:rPr>
        <w:t>dexamethasone</w:t>
      </w:r>
      <w:r w:rsidR="00B901BD" w:rsidRPr="009928FB">
        <w:t xml:space="preserve"> </w:t>
      </w:r>
      <w:r w:rsidR="006438FB" w:rsidRPr="006438FB">
        <w:t xml:space="preserve">arm, 2.0% of subjects had at least 1 VTE. At least one Grade 3/4 VTE occurred in 1.3% of </w:t>
      </w:r>
      <w:r w:rsidR="00BE03E5">
        <w:t xml:space="preserve">pomalidomide </w:t>
      </w:r>
      <w:r w:rsidR="003C16AB" w:rsidRPr="009928FB">
        <w:t xml:space="preserve">+ LD </w:t>
      </w:r>
      <w:r w:rsidR="003C16AB">
        <w:rPr>
          <w:rFonts w:eastAsia="TimesNewRoman"/>
          <w:lang w:val="en-US"/>
        </w:rPr>
        <w:t>dexamethasone</w:t>
      </w:r>
      <w:r w:rsidR="003C16AB" w:rsidRPr="009928FB">
        <w:t xml:space="preserve"> </w:t>
      </w:r>
      <w:r w:rsidR="006438FB" w:rsidRPr="006438FB">
        <w:t xml:space="preserve">subjects and in no </w:t>
      </w:r>
      <w:r w:rsidR="003F6E64">
        <w:t>H</w:t>
      </w:r>
      <w:r w:rsidR="003F6E64" w:rsidRPr="009928FB">
        <w:t xml:space="preserve">D </w:t>
      </w:r>
      <w:r w:rsidR="003F6E64">
        <w:rPr>
          <w:rFonts w:eastAsia="TimesNewRoman"/>
          <w:lang w:val="en-US"/>
        </w:rPr>
        <w:t>dexamethasone</w:t>
      </w:r>
      <w:r w:rsidR="003F6E64" w:rsidRPr="006438FB">
        <w:t xml:space="preserve"> </w:t>
      </w:r>
      <w:r w:rsidR="006438FB" w:rsidRPr="006438FB">
        <w:t xml:space="preserve">subjects. Serious VTEs occurred in 1.7% of </w:t>
      </w:r>
      <w:r w:rsidR="00BE03E5">
        <w:t xml:space="preserve">pomalidomide </w:t>
      </w:r>
      <w:r w:rsidR="006438FB" w:rsidRPr="006438FB">
        <w:t xml:space="preserve">+ </w:t>
      </w:r>
      <w:r w:rsidR="009B62EC" w:rsidRPr="009928FB">
        <w:t xml:space="preserve">LD </w:t>
      </w:r>
      <w:r w:rsidR="009B62EC">
        <w:rPr>
          <w:rFonts w:eastAsia="TimesNewRoman"/>
          <w:lang w:val="en-US"/>
        </w:rPr>
        <w:t>dexamethasone</w:t>
      </w:r>
      <w:r w:rsidR="009B62EC" w:rsidRPr="009928FB">
        <w:t xml:space="preserve"> </w:t>
      </w:r>
      <w:r w:rsidR="006438FB" w:rsidRPr="006438FB">
        <w:t xml:space="preserve">subjects and in </w:t>
      </w:r>
      <w:r w:rsidR="009B62EC" w:rsidRPr="006438FB">
        <w:t xml:space="preserve">no </w:t>
      </w:r>
      <w:r w:rsidR="009B62EC">
        <w:t>H</w:t>
      </w:r>
      <w:r w:rsidR="009B62EC" w:rsidRPr="009928FB">
        <w:t xml:space="preserve">D </w:t>
      </w:r>
      <w:r w:rsidR="009B62EC">
        <w:rPr>
          <w:rFonts w:eastAsia="TimesNewRoman"/>
          <w:lang w:val="en-US"/>
        </w:rPr>
        <w:t>dexamethasone</w:t>
      </w:r>
      <w:r w:rsidR="009B62EC" w:rsidRPr="006438FB">
        <w:t xml:space="preserve"> </w:t>
      </w:r>
      <w:r w:rsidR="006438FB" w:rsidRPr="006438FB">
        <w:t>subjects. No VTE led to the discontinuation of treatment in either treatment arm. No subject died as a result of a VTE.</w:t>
      </w:r>
      <w:r w:rsidR="006813F9">
        <w:t xml:space="preserve"> </w:t>
      </w:r>
      <w:r w:rsidR="00DA0C2E">
        <w:t>DVT</w:t>
      </w:r>
      <w:r w:rsidR="006438FB" w:rsidRPr="006438FB">
        <w:t xml:space="preserve"> and venous thrombosis occurred in similar proportions of subjects in the 2 treatment arms. Pulmonary embolism occurred in 1.0% of </w:t>
      </w:r>
      <w:r w:rsidR="00BE03E5">
        <w:t xml:space="preserve">pomalidomide </w:t>
      </w:r>
      <w:r w:rsidR="006438FB" w:rsidRPr="006438FB">
        <w:t xml:space="preserve">+ </w:t>
      </w:r>
      <w:r w:rsidR="00CA49B9" w:rsidRPr="009928FB">
        <w:t xml:space="preserve">LD </w:t>
      </w:r>
      <w:r w:rsidR="00CA49B9">
        <w:rPr>
          <w:rFonts w:eastAsia="TimesNewRoman"/>
          <w:lang w:val="en-US"/>
        </w:rPr>
        <w:t>dexamethasone</w:t>
      </w:r>
      <w:r w:rsidR="00CA49B9" w:rsidRPr="009928FB">
        <w:t xml:space="preserve"> </w:t>
      </w:r>
      <w:r w:rsidR="006438FB" w:rsidRPr="006438FB">
        <w:t xml:space="preserve">subjects and in no </w:t>
      </w:r>
      <w:r w:rsidR="005F52A4">
        <w:t>H</w:t>
      </w:r>
      <w:r w:rsidR="005F52A4" w:rsidRPr="009928FB">
        <w:t xml:space="preserve">D </w:t>
      </w:r>
      <w:r w:rsidR="005F52A4">
        <w:rPr>
          <w:rFonts w:eastAsia="TimesNewRoman"/>
          <w:lang w:val="en-US"/>
        </w:rPr>
        <w:t>dexamethasone</w:t>
      </w:r>
      <w:r w:rsidR="005F52A4" w:rsidRPr="006438FB">
        <w:t xml:space="preserve"> </w:t>
      </w:r>
      <w:r w:rsidR="006438FB" w:rsidRPr="006438FB">
        <w:t xml:space="preserve">subjects. Arterial thrombotic events occurred in 1.0% of </w:t>
      </w:r>
      <w:r w:rsidR="00BE03E5">
        <w:t xml:space="preserve">pomalidomide </w:t>
      </w:r>
      <w:r w:rsidR="006438FB" w:rsidRPr="006438FB">
        <w:t xml:space="preserve">+ </w:t>
      </w:r>
      <w:r w:rsidR="00046248" w:rsidRPr="009928FB">
        <w:t xml:space="preserve">LD </w:t>
      </w:r>
      <w:r w:rsidR="00046248">
        <w:rPr>
          <w:rFonts w:eastAsia="TimesNewRoman"/>
          <w:lang w:val="en-US"/>
        </w:rPr>
        <w:t>dexamethasone</w:t>
      </w:r>
      <w:r w:rsidR="00046248" w:rsidRPr="009928FB">
        <w:t xml:space="preserve"> </w:t>
      </w:r>
      <w:r w:rsidR="006438FB" w:rsidRPr="006438FB">
        <w:t xml:space="preserve">subjects and 0.7% </w:t>
      </w:r>
      <w:r w:rsidR="00046248">
        <w:t>H</w:t>
      </w:r>
      <w:r w:rsidR="00046248" w:rsidRPr="009928FB">
        <w:t xml:space="preserve">D </w:t>
      </w:r>
      <w:r w:rsidR="00046248">
        <w:rPr>
          <w:rFonts w:eastAsia="TimesNewRoman"/>
          <w:lang w:val="en-US"/>
        </w:rPr>
        <w:t>dexamethasone</w:t>
      </w:r>
      <w:r w:rsidR="00046248" w:rsidRPr="006438FB">
        <w:t xml:space="preserve"> </w:t>
      </w:r>
      <w:r w:rsidR="006438FB" w:rsidRPr="006438FB">
        <w:t>subjects.</w:t>
      </w:r>
      <w:r w:rsidR="006813F9">
        <w:t xml:space="preserve"> </w:t>
      </w:r>
      <w:r w:rsidR="006438FB" w:rsidRPr="006438FB">
        <w:t xml:space="preserve">In the </w:t>
      </w:r>
      <w:r w:rsidR="00BE03E5">
        <w:t xml:space="preserve">pomalidomide </w:t>
      </w:r>
      <w:r w:rsidR="006438FB" w:rsidRPr="006438FB">
        <w:t xml:space="preserve">+ </w:t>
      </w:r>
      <w:r w:rsidR="00046248" w:rsidRPr="009928FB">
        <w:t xml:space="preserve">LD </w:t>
      </w:r>
      <w:r w:rsidR="00046248">
        <w:rPr>
          <w:rFonts w:eastAsia="TimesNewRoman"/>
          <w:lang w:val="en-US"/>
        </w:rPr>
        <w:t>dexamethasone</w:t>
      </w:r>
      <w:r w:rsidR="00046248" w:rsidRPr="009928FB">
        <w:t xml:space="preserve"> </w:t>
      </w:r>
      <w:r w:rsidR="006438FB" w:rsidRPr="006438FB">
        <w:t xml:space="preserve">arm, these events included: embolism, ischemic cerebral infarction, and myocardial infarction each occurring in 1 subject. In the </w:t>
      </w:r>
      <w:r w:rsidR="00093045">
        <w:t>H</w:t>
      </w:r>
      <w:r w:rsidR="00093045" w:rsidRPr="009928FB">
        <w:t xml:space="preserve">D </w:t>
      </w:r>
      <w:r w:rsidR="00093045">
        <w:rPr>
          <w:rFonts w:eastAsia="TimesNewRoman"/>
          <w:lang w:val="en-US"/>
        </w:rPr>
        <w:t>dexamethasone</w:t>
      </w:r>
      <w:r w:rsidR="00093045" w:rsidRPr="006438FB">
        <w:t xml:space="preserve"> </w:t>
      </w:r>
      <w:r w:rsidR="006438FB" w:rsidRPr="006438FB">
        <w:t xml:space="preserve">arm, 1 subject (0.2%) had a transient ischemic attack. With the exception of the embolism in the </w:t>
      </w:r>
      <w:r w:rsidR="00BE03E5">
        <w:t xml:space="preserve">pomalidomide </w:t>
      </w:r>
      <w:r w:rsidR="006438FB" w:rsidRPr="006438FB">
        <w:t xml:space="preserve">+ </w:t>
      </w:r>
      <w:r w:rsidR="006A282B" w:rsidRPr="009928FB">
        <w:t xml:space="preserve">LD </w:t>
      </w:r>
      <w:r w:rsidR="006A282B">
        <w:rPr>
          <w:rFonts w:eastAsia="TimesNewRoman"/>
          <w:lang w:val="en-US"/>
        </w:rPr>
        <w:t>dexamethasone</w:t>
      </w:r>
      <w:r w:rsidR="006A282B" w:rsidRPr="009928FB">
        <w:t xml:space="preserve"> </w:t>
      </w:r>
      <w:r w:rsidR="006438FB" w:rsidRPr="006438FB">
        <w:t>arm, these ATEs were Grade 3/4 events and were serious. None of these ATEs resulted in the discontinuation of treatment in either treatment arm.</w:t>
      </w:r>
      <w:r w:rsidR="006813F9">
        <w:t xml:space="preserve"> </w:t>
      </w:r>
      <w:r w:rsidR="006438FB" w:rsidRPr="006438FB">
        <w:t>No subj</w:t>
      </w:r>
      <w:r w:rsidR="0018533D">
        <w:t>ect died as a result of an ATE.</w:t>
      </w:r>
    </w:p>
    <w:p w:rsidR="006438FB" w:rsidRPr="006438FB" w:rsidRDefault="006438FB" w:rsidP="006438FB">
      <w:pPr>
        <w:ind w:left="284"/>
        <w:rPr>
          <w:i/>
        </w:rPr>
      </w:pPr>
      <w:r w:rsidRPr="006438FB">
        <w:rPr>
          <w:i/>
        </w:rPr>
        <w:t>Comment:</w:t>
      </w:r>
      <w:r w:rsidR="006813F9">
        <w:rPr>
          <w:i/>
        </w:rPr>
        <w:t xml:space="preserve"> </w:t>
      </w:r>
      <w:r w:rsidRPr="006438FB">
        <w:rPr>
          <w:i/>
        </w:rPr>
        <w:t>The data show that the risk of these AEs is low and manageable. It is noted that all subjects in the pivotal trial were required to take prophylactic medication for thrombosis and this recommendation is included in the PI.</w:t>
      </w:r>
    </w:p>
    <w:p w:rsidR="006438FB" w:rsidRPr="006438FB" w:rsidRDefault="006438FB" w:rsidP="0018533D">
      <w:pPr>
        <w:pStyle w:val="ListBullet"/>
      </w:pPr>
      <w:r w:rsidRPr="006438FB">
        <w:t>Peripheral neuropathy: The frequency of peripheral neuropathy was significant in both arms of the pivotal trial.</w:t>
      </w:r>
      <w:r w:rsidR="006813F9">
        <w:t xml:space="preserve"> </w:t>
      </w:r>
      <w:r w:rsidRPr="006438FB">
        <w:t xml:space="preserve">In the </w:t>
      </w:r>
      <w:r w:rsidR="00010FB1">
        <w:t xml:space="preserve">pomalidomide </w:t>
      </w:r>
      <w:r w:rsidR="00010FB1" w:rsidRPr="009928FB">
        <w:t xml:space="preserve">+ LD </w:t>
      </w:r>
      <w:r w:rsidR="00010FB1">
        <w:rPr>
          <w:rFonts w:eastAsia="TimesNewRoman"/>
          <w:lang w:val="en-US"/>
        </w:rPr>
        <w:t>dexamethasone</w:t>
      </w:r>
      <w:r w:rsidR="00010FB1" w:rsidRPr="009928FB">
        <w:t xml:space="preserve"> </w:t>
      </w:r>
      <w:r w:rsidRPr="006438FB">
        <w:t xml:space="preserve">arm, 12.3% of subjects had at least one occurrence of peripheral neuropathy, and in the </w:t>
      </w:r>
      <w:r w:rsidR="00123321">
        <w:t>H</w:t>
      </w:r>
      <w:r w:rsidR="00123321" w:rsidRPr="009928FB">
        <w:t xml:space="preserve">D </w:t>
      </w:r>
      <w:r w:rsidR="00123321">
        <w:rPr>
          <w:rFonts w:eastAsia="TimesNewRoman"/>
          <w:lang w:val="en-US"/>
        </w:rPr>
        <w:t>dexamethasone</w:t>
      </w:r>
      <w:r w:rsidR="00123321" w:rsidRPr="006438FB">
        <w:t xml:space="preserve"> </w:t>
      </w:r>
      <w:r w:rsidRPr="006438FB">
        <w:t>arm, 10.7%. There were few occurrences of severe neuropathy in either arm.</w:t>
      </w:r>
    </w:p>
    <w:p w:rsidR="006438FB" w:rsidRPr="006438FB" w:rsidRDefault="00C36EAF" w:rsidP="0018533D">
      <w:pPr>
        <w:pStyle w:val="ListBullet"/>
      </w:pPr>
      <w:r>
        <w:t>Second primary malignancies</w:t>
      </w:r>
      <w:r w:rsidR="006438FB" w:rsidRPr="006438FB">
        <w:t>: the occurrence of a second primary malignancy exists in patients receiving pomalidomide.</w:t>
      </w:r>
    </w:p>
    <w:p w:rsidR="006438FB" w:rsidRPr="006438FB" w:rsidRDefault="006438FB" w:rsidP="006438FB">
      <w:pPr>
        <w:ind w:left="284"/>
        <w:rPr>
          <w:i/>
        </w:rPr>
      </w:pPr>
      <w:r w:rsidRPr="006438FB">
        <w:rPr>
          <w:i/>
        </w:rPr>
        <w:t>Comment: This risk has to be considered against the seriousness of the disease being treated, and the risk that exists with MM in the absence of pomalidomide tre</w:t>
      </w:r>
      <w:r w:rsidR="00C36EAF">
        <w:rPr>
          <w:i/>
        </w:rPr>
        <w:t>a</w:t>
      </w:r>
      <w:r w:rsidRPr="006438FB">
        <w:rPr>
          <w:i/>
        </w:rPr>
        <w:t>tment. An appropria</w:t>
      </w:r>
      <w:r w:rsidR="00C36EAF">
        <w:rPr>
          <w:i/>
        </w:rPr>
        <w:t>te warning is</w:t>
      </w:r>
      <w:r w:rsidRPr="006438FB">
        <w:rPr>
          <w:i/>
        </w:rPr>
        <w:t xml:space="preserve"> included in the PI.</w:t>
      </w:r>
    </w:p>
    <w:p w:rsidR="006438FB" w:rsidRPr="006438FB" w:rsidRDefault="006438FB" w:rsidP="0018533D">
      <w:pPr>
        <w:pStyle w:val="ListBullet"/>
      </w:pPr>
      <w:r w:rsidRPr="006438FB">
        <w:t xml:space="preserve">Teratogenic effects: The risks associated with the teratogenic effects of pomalidomide </w:t>
      </w:r>
      <w:r w:rsidR="00C36EAF">
        <w:t>are addressed by the restr</w:t>
      </w:r>
      <w:r w:rsidRPr="006438FB">
        <w:t>ic</w:t>
      </w:r>
      <w:r w:rsidR="00C36EAF">
        <w:t>t</w:t>
      </w:r>
      <w:r w:rsidRPr="006438FB">
        <w:t xml:space="preserve">ed access program and the TGA approved compulsory </w:t>
      </w:r>
      <w:r w:rsidRPr="006438FB">
        <w:rPr>
          <w:i/>
        </w:rPr>
        <w:t>i-access</w:t>
      </w:r>
      <w:r w:rsidRPr="006438FB">
        <w:t xml:space="preserve"> program, which also apply t</w:t>
      </w:r>
      <w:r w:rsidR="0018533D">
        <w:t>o thalidomide and lenalidomide.</w:t>
      </w:r>
    </w:p>
    <w:p w:rsidR="006438FB" w:rsidRPr="006438FB" w:rsidRDefault="006438FB" w:rsidP="006438FB">
      <w:pPr>
        <w:ind w:left="284"/>
        <w:rPr>
          <w:i/>
        </w:rPr>
      </w:pPr>
      <w:r w:rsidRPr="006438FB">
        <w:rPr>
          <w:i/>
        </w:rPr>
        <w:t>Comment: Combined with the related warnings and advice in the PI of Pomalyst, this risk is acceptable.</w:t>
      </w:r>
    </w:p>
    <w:p w:rsidR="006438FB" w:rsidRPr="006438FB" w:rsidRDefault="006438FB" w:rsidP="0018533D">
      <w:pPr>
        <w:pStyle w:val="ListBullet"/>
      </w:pPr>
      <w:r w:rsidRPr="006438FB">
        <w:t xml:space="preserve">The possibility that dexamethasone contributes significantly to toxicity but not to efficacy </w:t>
      </w:r>
      <w:r w:rsidR="0018533D">
        <w:t>compared to pomalidomide alone:</w:t>
      </w:r>
    </w:p>
    <w:p w:rsidR="006438FB" w:rsidRPr="006438FB" w:rsidRDefault="006438FB" w:rsidP="006438FB">
      <w:pPr>
        <w:ind w:left="284"/>
        <w:rPr>
          <w:i/>
        </w:rPr>
      </w:pPr>
      <w:r w:rsidRPr="006438FB">
        <w:rPr>
          <w:i/>
        </w:rPr>
        <w:t>Comment: Although the addition of dexamethasone to treatment with pomalidomide did not increase OS, the small increase in PFS seen and the lack of any synergistic toxicity provide reasons for accepting its use, while noting that its contribution to the efficacy of the combination was not addressed in the pivotal study.</w:t>
      </w:r>
    </w:p>
    <w:p w:rsidR="006438FB" w:rsidRPr="006438FB" w:rsidRDefault="006438FB" w:rsidP="0018533D">
      <w:pPr>
        <w:pStyle w:val="ListBullet"/>
      </w:pPr>
      <w:r w:rsidRPr="006438FB">
        <w:t>Whether similar outcomes of both efficacy and safety would be observed with a patient population refractory or resistant to proteosome inhib</w:t>
      </w:r>
      <w:r w:rsidR="00D311B3">
        <w:t>itors other than bortezomib.</w:t>
      </w:r>
    </w:p>
    <w:p w:rsidR="00605AD4" w:rsidRPr="00605AD4" w:rsidRDefault="00605AD4" w:rsidP="0018533D">
      <w:pPr>
        <w:pStyle w:val="Heading4"/>
      </w:pPr>
      <w:r w:rsidRPr="00605AD4">
        <w:lastRenderedPageBreak/>
        <w:t>First round assessment of benefit-risk balance</w:t>
      </w:r>
    </w:p>
    <w:p w:rsidR="009A441D" w:rsidRPr="009A441D" w:rsidRDefault="009A441D" w:rsidP="002436B4">
      <w:r w:rsidRPr="009A441D">
        <w:t xml:space="preserve">The benefit-risk balance of pomalidomide with dexamethasone remains unfavourable given the proposed usage, but would become favourable if the </w:t>
      </w:r>
      <w:r w:rsidR="00FE4A22" w:rsidRPr="009A441D">
        <w:t>reco</w:t>
      </w:r>
      <w:r w:rsidR="00FE4A22">
        <w:t>mmended</w:t>
      </w:r>
      <w:r w:rsidR="00FE4A22" w:rsidRPr="009A441D">
        <w:t xml:space="preserve"> </w:t>
      </w:r>
      <w:r w:rsidRPr="009A441D">
        <w:t xml:space="preserve">changes are adopted. The reason is that broadening the patient population to include those who are resistant or refractory to any proteosome inhibitor (including those not yet in clinical trial) </w:t>
      </w:r>
      <w:r w:rsidR="00C36EAF" w:rsidRPr="009A441D">
        <w:t>introduce</w:t>
      </w:r>
      <w:r w:rsidRPr="009A441D">
        <w:t xml:space="preserve"> a risk of loss of efficacy, becaus</w:t>
      </w:r>
      <w:r w:rsidR="00C36EAF">
        <w:t xml:space="preserve">e structurally similar drugs, for example, </w:t>
      </w:r>
      <w:r w:rsidRPr="009A441D">
        <w:t>lenalidomide and pomalidomide have different patterns of drug</w:t>
      </w:r>
      <w:r w:rsidR="00C36EAF">
        <w:t xml:space="preserve"> </w:t>
      </w:r>
      <w:r w:rsidRPr="009A441D">
        <w:t>resistance in this patient population. The results can therefore only be applied with safety to patients who have had exposure to the designated proteosome inhibitor, bortezomib.</w:t>
      </w:r>
    </w:p>
    <w:p w:rsidR="00605AD4" w:rsidRPr="00605AD4" w:rsidRDefault="00605AD4" w:rsidP="0068149E">
      <w:pPr>
        <w:pStyle w:val="Heading3"/>
        <w:rPr>
          <w:rFonts w:eastAsia="Cambria"/>
        </w:rPr>
      </w:pPr>
      <w:bookmarkStart w:id="122" w:name="_Toc404176191"/>
      <w:r w:rsidRPr="00605AD4">
        <w:rPr>
          <w:rFonts w:eastAsia="Cambria"/>
        </w:rPr>
        <w:t xml:space="preserve">First </w:t>
      </w:r>
      <w:r w:rsidR="0068149E">
        <w:rPr>
          <w:rFonts w:eastAsia="Cambria"/>
          <w:lang w:val="en-AU"/>
        </w:rPr>
        <w:t>r</w:t>
      </w:r>
      <w:r w:rsidRPr="00605AD4">
        <w:rPr>
          <w:rFonts w:eastAsia="Cambria"/>
        </w:rPr>
        <w:t xml:space="preserve">ound </w:t>
      </w:r>
      <w:r w:rsidR="0068149E">
        <w:rPr>
          <w:rFonts w:eastAsia="Cambria"/>
          <w:lang w:val="en-AU"/>
        </w:rPr>
        <w:t>r</w:t>
      </w:r>
      <w:r w:rsidRPr="00605AD4">
        <w:rPr>
          <w:rFonts w:eastAsia="Cambria"/>
        </w:rPr>
        <w:t xml:space="preserve">ecommendation </w:t>
      </w:r>
      <w:r w:rsidR="0068149E">
        <w:rPr>
          <w:rFonts w:eastAsia="Cambria"/>
          <w:lang w:val="en-AU"/>
        </w:rPr>
        <w:t>r</w:t>
      </w:r>
      <w:r w:rsidRPr="00605AD4">
        <w:rPr>
          <w:rFonts w:eastAsia="Cambria"/>
        </w:rPr>
        <w:t xml:space="preserve">egarding </w:t>
      </w:r>
      <w:r w:rsidR="0068149E">
        <w:rPr>
          <w:rFonts w:eastAsia="Cambria"/>
          <w:lang w:val="en-AU"/>
        </w:rPr>
        <w:t>a</w:t>
      </w:r>
      <w:r w:rsidRPr="00605AD4">
        <w:rPr>
          <w:rFonts w:eastAsia="Cambria"/>
        </w:rPr>
        <w:t>uthorisation</w:t>
      </w:r>
      <w:bookmarkEnd w:id="122"/>
    </w:p>
    <w:p w:rsidR="00EE24B0" w:rsidRDefault="00EF3CBC" w:rsidP="0068149E">
      <w:r>
        <w:t>The evaluator</w:t>
      </w:r>
      <w:r w:rsidR="00EE24B0">
        <w:t xml:space="preserve"> recommend</w:t>
      </w:r>
      <w:r>
        <w:t>s</w:t>
      </w:r>
      <w:r w:rsidR="00EE24B0">
        <w:t xml:space="preserve"> that the requested indication be approved if the wording were changed to the following:</w:t>
      </w:r>
    </w:p>
    <w:p w:rsidR="00EE24B0" w:rsidRPr="00EE24B0" w:rsidRDefault="00EE24B0" w:rsidP="005F6C76">
      <w:pPr>
        <w:ind w:left="426"/>
        <w:rPr>
          <w:i/>
        </w:rPr>
      </w:pPr>
      <w:r w:rsidRPr="00EE24B0">
        <w:rPr>
          <w:i/>
        </w:rPr>
        <w:t>Pomalyst in combination with dexamethasone is indicated for the treatment of patients with multiple myeloma who have failed at least two prior therapies including lenalidomide and bortezomib</w:t>
      </w:r>
    </w:p>
    <w:p w:rsidR="00EE24B0" w:rsidRDefault="00794EDC" w:rsidP="005F6C76">
      <w:r>
        <w:t>T</w:t>
      </w:r>
      <w:r w:rsidR="00EE24B0">
        <w:t>he wording of the PI</w:t>
      </w:r>
      <w:r w:rsidR="003415AA">
        <w:t xml:space="preserve"> and Consumer Medicine Information (CMI)</w:t>
      </w:r>
      <w:r w:rsidR="00EE24B0">
        <w:t xml:space="preserve"> </w:t>
      </w:r>
      <w:r>
        <w:t>should also be</w:t>
      </w:r>
      <w:r w:rsidR="00EE24B0">
        <w:t xml:space="preserve"> changed as recommended.</w:t>
      </w:r>
    </w:p>
    <w:p w:rsidR="00605AD4" w:rsidRPr="00605AD4" w:rsidRDefault="00605AD4" w:rsidP="005F6C76">
      <w:pPr>
        <w:pStyle w:val="Heading3"/>
        <w:rPr>
          <w:rFonts w:eastAsia="Cambria"/>
        </w:rPr>
      </w:pPr>
      <w:bookmarkStart w:id="123" w:name="_Toc404176192"/>
      <w:r w:rsidRPr="00605AD4">
        <w:rPr>
          <w:rFonts w:eastAsia="Cambria"/>
        </w:rPr>
        <w:t xml:space="preserve">Clinical </w:t>
      </w:r>
      <w:r w:rsidR="0068149E" w:rsidRPr="005F6C76">
        <w:rPr>
          <w:rFonts w:eastAsia="Cambria"/>
        </w:rPr>
        <w:t>q</w:t>
      </w:r>
      <w:r w:rsidRPr="005F6C76">
        <w:rPr>
          <w:rFonts w:eastAsia="Cambria"/>
        </w:rPr>
        <w:t>uestions</w:t>
      </w:r>
      <w:bookmarkEnd w:id="123"/>
    </w:p>
    <w:p w:rsidR="00605AD4" w:rsidRPr="00605AD4" w:rsidRDefault="00217375" w:rsidP="0068149E">
      <w:proofErr w:type="gramStart"/>
      <w:r>
        <w:t>None.</w:t>
      </w:r>
      <w:proofErr w:type="gramEnd"/>
    </w:p>
    <w:p w:rsidR="008E7846" w:rsidRPr="00E41208" w:rsidRDefault="008E7846" w:rsidP="005F6C76">
      <w:pPr>
        <w:pStyle w:val="Heading2"/>
      </w:pPr>
      <w:bookmarkStart w:id="124" w:name="_Toc404176193"/>
      <w:r w:rsidRPr="00E41208">
        <w:t xml:space="preserve">V. </w:t>
      </w:r>
      <w:r w:rsidRPr="005F6C76">
        <w:t>Pharmacovigilance</w:t>
      </w:r>
      <w:r w:rsidRPr="00E41208">
        <w:t xml:space="preserve"> </w:t>
      </w:r>
      <w:r>
        <w:t>f</w:t>
      </w:r>
      <w:r w:rsidRPr="00E41208">
        <w:t>indings</w:t>
      </w:r>
      <w:bookmarkEnd w:id="109"/>
      <w:bookmarkEnd w:id="110"/>
      <w:bookmarkEnd w:id="124"/>
    </w:p>
    <w:p w:rsidR="008E7846" w:rsidRDefault="000E55BF" w:rsidP="005F6C76">
      <w:pPr>
        <w:pStyle w:val="Heading3"/>
        <w:rPr>
          <w:lang w:eastAsia="en-AU"/>
        </w:rPr>
      </w:pPr>
      <w:bookmarkStart w:id="125" w:name="_Toc247691526"/>
      <w:bookmarkStart w:id="126" w:name="_Toc314842509"/>
      <w:bookmarkStart w:id="127" w:name="_Toc404176194"/>
      <w:r>
        <w:rPr>
          <w:lang w:eastAsia="en-AU"/>
        </w:rPr>
        <w:t xml:space="preserve">Risk </w:t>
      </w:r>
      <w:r w:rsidR="0068149E" w:rsidRPr="005F6C76">
        <w:t>m</w:t>
      </w:r>
      <w:r w:rsidR="008E7846" w:rsidRPr="005F6C76">
        <w:t>anagement</w:t>
      </w:r>
      <w:r w:rsidR="008E7846">
        <w:rPr>
          <w:lang w:eastAsia="en-AU"/>
        </w:rPr>
        <w:t xml:space="preserve"> </w:t>
      </w:r>
      <w:r w:rsidR="0068149E">
        <w:rPr>
          <w:lang w:val="en-AU" w:eastAsia="en-AU"/>
        </w:rPr>
        <w:t>p</w:t>
      </w:r>
      <w:r w:rsidR="008E7846">
        <w:rPr>
          <w:lang w:eastAsia="en-AU"/>
        </w:rPr>
        <w:t>lan</w:t>
      </w:r>
      <w:bookmarkEnd w:id="125"/>
      <w:bookmarkEnd w:id="126"/>
      <w:bookmarkEnd w:id="127"/>
    </w:p>
    <w:p w:rsidR="008E7846" w:rsidRDefault="008E7846" w:rsidP="005F6C76">
      <w:r w:rsidRPr="00756559">
        <w:t>The sponsor submitted a Risk Management Plan</w:t>
      </w:r>
      <w:r w:rsidR="006F25B8" w:rsidRPr="00756559">
        <w:t xml:space="preserve"> (</w:t>
      </w:r>
      <w:r w:rsidR="00756559" w:rsidRPr="00756559">
        <w:t>EU-RMP Ve</w:t>
      </w:r>
      <w:r w:rsidR="00D567C8">
        <w:t xml:space="preserve">rsion 6.0 </w:t>
      </w:r>
      <w:r w:rsidR="006667A6">
        <w:t>dated 05/06/2013; Data Lock Point [DLP]</w:t>
      </w:r>
      <w:r w:rsidR="00756559" w:rsidRPr="00756559">
        <w:t xml:space="preserve"> 24/05/2013) and Australian</w:t>
      </w:r>
      <w:r w:rsidR="00D921AB">
        <w:t xml:space="preserve"> S</w:t>
      </w:r>
      <w:r w:rsidR="00756559" w:rsidRPr="00756559">
        <w:t xml:space="preserve">pecific Annex </w:t>
      </w:r>
      <w:r w:rsidR="00D921AB">
        <w:t xml:space="preserve">(ASA) </w:t>
      </w:r>
      <w:r w:rsidR="00756559" w:rsidRPr="00756559">
        <w:t>Version 1.0 (dated 11/09/2013; no DLP given</w:t>
      </w:r>
      <w:r w:rsidR="006F25B8" w:rsidRPr="00756559">
        <w:t>)</w:t>
      </w:r>
      <w:r w:rsidRPr="00756559">
        <w:t xml:space="preserve"> which was reviewed by the TGA’s Office of Product Review (OPR).</w:t>
      </w:r>
    </w:p>
    <w:p w:rsidR="008E7846" w:rsidRDefault="008F4168" w:rsidP="005F6C76">
      <w:pPr>
        <w:pStyle w:val="Heading4"/>
        <w:rPr>
          <w:lang w:eastAsia="en-AU"/>
        </w:rPr>
      </w:pPr>
      <w:r>
        <w:rPr>
          <w:lang w:eastAsia="en-AU"/>
        </w:rPr>
        <w:t xml:space="preserve">Ongoing safety </w:t>
      </w:r>
      <w:r w:rsidRPr="005F6C76">
        <w:t>concerns</w:t>
      </w:r>
    </w:p>
    <w:p w:rsidR="008E7846" w:rsidRDefault="008E7846" w:rsidP="0068149E">
      <w:pPr>
        <w:rPr>
          <w:lang w:eastAsia="en-AU"/>
        </w:rPr>
      </w:pPr>
      <w:r>
        <w:rPr>
          <w:lang w:eastAsia="en-AU"/>
        </w:rPr>
        <w:t>The</w:t>
      </w:r>
      <w:r w:rsidR="006F25B8">
        <w:rPr>
          <w:lang w:eastAsia="en-AU"/>
        </w:rPr>
        <w:t xml:space="preserve"> sponsor provided a summary of </w:t>
      </w:r>
      <w:r w:rsidR="007179AE">
        <w:rPr>
          <w:lang w:eastAsia="en-AU"/>
        </w:rPr>
        <w:t>O</w:t>
      </w:r>
      <w:r>
        <w:rPr>
          <w:lang w:eastAsia="en-AU"/>
        </w:rPr>
        <w:t xml:space="preserve">ngoing </w:t>
      </w:r>
      <w:r w:rsidR="007179AE">
        <w:rPr>
          <w:lang w:eastAsia="en-AU"/>
        </w:rPr>
        <w:t>S</w:t>
      </w:r>
      <w:r>
        <w:rPr>
          <w:lang w:eastAsia="en-AU"/>
        </w:rPr>
        <w:t xml:space="preserve">afety </w:t>
      </w:r>
      <w:r w:rsidR="007179AE">
        <w:rPr>
          <w:lang w:eastAsia="en-AU"/>
        </w:rPr>
        <w:t>C</w:t>
      </w:r>
      <w:r>
        <w:rPr>
          <w:lang w:eastAsia="en-AU"/>
        </w:rPr>
        <w:t xml:space="preserve">oncerns which are shown at Table </w:t>
      </w:r>
      <w:r w:rsidR="007179AE">
        <w:rPr>
          <w:lang w:eastAsia="en-AU"/>
        </w:rPr>
        <w:t>6</w:t>
      </w:r>
      <w:r>
        <w:rPr>
          <w:lang w:eastAsia="en-AU"/>
        </w:rPr>
        <w:t>.</w:t>
      </w:r>
    </w:p>
    <w:p w:rsidR="00B7518F" w:rsidRDefault="00B7518F" w:rsidP="0068149E">
      <w:pPr>
        <w:pStyle w:val="TableTitle"/>
      </w:pPr>
      <w:r>
        <w:lastRenderedPageBreak/>
        <w:t xml:space="preserve">Table </w:t>
      </w:r>
      <w:r w:rsidR="007179AE">
        <w:t>6</w:t>
      </w:r>
      <w:r>
        <w:t>:</w:t>
      </w:r>
      <w:r w:rsidRPr="004C5C28">
        <w:t xml:space="preserve"> </w:t>
      </w:r>
      <w:r w:rsidR="00646036">
        <w:rPr>
          <w:lang w:eastAsia="en-AU"/>
        </w:rPr>
        <w:t>Ongoing Safety Concerns for Pomalyst</w:t>
      </w:r>
      <w:r>
        <w:t>.</w:t>
      </w:r>
    </w:p>
    <w:p w:rsidR="008E7846" w:rsidRDefault="00D41715" w:rsidP="0068149E">
      <w:pPr>
        <w:rPr>
          <w:lang w:eastAsia="en-AU"/>
        </w:rPr>
      </w:pPr>
      <w:r>
        <w:rPr>
          <w:noProof/>
          <w:lang w:eastAsia="en-AU"/>
        </w:rPr>
        <w:drawing>
          <wp:inline distT="0" distB="0" distL="0" distR="0" wp14:anchorId="5158B91C" wp14:editId="53C25311">
            <wp:extent cx="4857750" cy="3778250"/>
            <wp:effectExtent l="0" t="0" r="0" b="0"/>
            <wp:docPr id="3" name="Picture 3" descr="Table 6: Ongoing Safety Concerns for Pomal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6: Ongoing Safety Concerns for Pomaly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0" cy="3778250"/>
                    </a:xfrm>
                    <a:prstGeom prst="rect">
                      <a:avLst/>
                    </a:prstGeom>
                    <a:noFill/>
                    <a:ln>
                      <a:noFill/>
                    </a:ln>
                  </pic:spPr>
                </pic:pic>
              </a:graphicData>
            </a:graphic>
          </wp:inline>
        </w:drawing>
      </w:r>
    </w:p>
    <w:p w:rsidR="00C133E1" w:rsidRDefault="00C133E1" w:rsidP="005F6C76">
      <w:pPr>
        <w:pStyle w:val="Heading4"/>
        <w:rPr>
          <w:lang w:eastAsia="en-AU"/>
        </w:rPr>
      </w:pPr>
      <w:bookmarkStart w:id="128" w:name="_Toc247691527"/>
      <w:r w:rsidRPr="005F6C76">
        <w:t>Pharmacovigilance</w:t>
      </w:r>
      <w:r>
        <w:rPr>
          <w:lang w:eastAsia="en-AU"/>
        </w:rPr>
        <w:t xml:space="preserve"> activities</w:t>
      </w:r>
    </w:p>
    <w:p w:rsidR="00541B7E" w:rsidRDefault="00C133E1" w:rsidP="005F6C76">
      <w:pPr>
        <w:sectPr w:rsidR="00541B7E" w:rsidSect="00B452CE">
          <w:headerReference w:type="even" r:id="rId18"/>
          <w:headerReference w:type="default" r:id="rId19"/>
          <w:headerReference w:type="first" r:id="rId20"/>
          <w:footerReference w:type="first" r:id="rId21"/>
          <w:pgSz w:w="11906" w:h="16838" w:code="9"/>
          <w:pgMar w:top="834" w:right="1701" w:bottom="1191" w:left="1701" w:header="907" w:footer="216" w:gutter="0"/>
          <w:cols w:space="708"/>
          <w:docGrid w:linePitch="360"/>
        </w:sectPr>
      </w:pPr>
      <w:r w:rsidRPr="00C133E1">
        <w:t xml:space="preserve">The sponsor proposes routine pharmacovigilance activities for important identified and potential risks and missing information (as stated above). Furthermore, additional activities are planned for some of the risks. These activities are summarised in Table </w:t>
      </w:r>
      <w:r>
        <w:t>7</w:t>
      </w:r>
      <w:r w:rsidRPr="00C133E1">
        <w:t>.</w:t>
      </w:r>
    </w:p>
    <w:p w:rsidR="00C133E1" w:rsidRPr="00C133E1" w:rsidRDefault="00C133E1" w:rsidP="0068149E">
      <w:pPr>
        <w:pStyle w:val="TableTitle"/>
      </w:pPr>
      <w:r w:rsidRPr="00C133E1">
        <w:lastRenderedPageBreak/>
        <w:t xml:space="preserve">Table </w:t>
      </w:r>
      <w:r>
        <w:t>7:</w:t>
      </w:r>
      <w:r w:rsidRPr="00C133E1">
        <w:t xml:space="preserve"> Additional pharmacovigilance activities planned by the sponsor.</w:t>
      </w:r>
    </w:p>
    <w:tbl>
      <w:tblPr>
        <w:tblW w:w="14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936"/>
        <w:gridCol w:w="2976"/>
        <w:gridCol w:w="4536"/>
        <w:gridCol w:w="3119"/>
      </w:tblGrid>
      <w:tr w:rsidR="00C133E1" w:rsidRPr="00F16BA7" w:rsidTr="007B1E68">
        <w:trPr>
          <w:tblHeader/>
        </w:trPr>
        <w:tc>
          <w:tcPr>
            <w:tcW w:w="3936" w:type="dxa"/>
            <w:tcBorders>
              <w:top w:val="single" w:sz="8" w:space="0" w:color="000000"/>
              <w:left w:val="single" w:sz="8" w:space="0" w:color="000000"/>
              <w:bottom w:val="single" w:sz="8" w:space="0" w:color="000000"/>
              <w:right w:val="nil"/>
              <w:tl2br w:val="nil"/>
              <w:tr2bl w:val="nil"/>
            </w:tcBorders>
            <w:shd w:val="clear" w:color="auto" w:fill="006DA7"/>
          </w:tcPr>
          <w:p w:rsidR="00C133E1" w:rsidRPr="007B1E68" w:rsidRDefault="00C133E1" w:rsidP="007B1E68">
            <w:pPr>
              <w:keepNext/>
              <w:ind w:right="170"/>
              <w:rPr>
                <w:rFonts w:cs="Calibri"/>
                <w:b/>
                <w:color w:val="FFFFFF"/>
                <w:sz w:val="18"/>
                <w:szCs w:val="18"/>
              </w:rPr>
            </w:pPr>
            <w:r w:rsidRPr="007B1E68">
              <w:rPr>
                <w:rFonts w:cs="Calibri"/>
                <w:b/>
                <w:color w:val="FFFFFF"/>
                <w:sz w:val="18"/>
                <w:szCs w:val="18"/>
              </w:rPr>
              <w:t>Additional activity</w:t>
            </w:r>
          </w:p>
        </w:tc>
        <w:tc>
          <w:tcPr>
            <w:tcW w:w="2976" w:type="dxa"/>
            <w:tcBorders>
              <w:top w:val="single" w:sz="8" w:space="0" w:color="000000"/>
              <w:left w:val="nil"/>
              <w:bottom w:val="single" w:sz="8" w:space="0" w:color="000000"/>
              <w:right w:val="nil"/>
              <w:tl2br w:val="nil"/>
              <w:tr2bl w:val="nil"/>
            </w:tcBorders>
            <w:shd w:val="clear" w:color="auto" w:fill="006DA7"/>
          </w:tcPr>
          <w:p w:rsidR="00C133E1" w:rsidRPr="007B1E68" w:rsidRDefault="00C133E1" w:rsidP="007B1E68">
            <w:pPr>
              <w:keepNext/>
              <w:ind w:left="170" w:right="170"/>
              <w:rPr>
                <w:rFonts w:cs="Calibri"/>
                <w:b/>
                <w:color w:val="FFFFFF"/>
                <w:sz w:val="18"/>
                <w:szCs w:val="18"/>
              </w:rPr>
            </w:pPr>
            <w:r w:rsidRPr="007B1E68">
              <w:rPr>
                <w:rFonts w:cs="Calibri"/>
                <w:b/>
                <w:color w:val="FFFFFF"/>
                <w:sz w:val="18"/>
                <w:szCs w:val="18"/>
              </w:rPr>
              <w:t>Assigned safety concern</w:t>
            </w:r>
          </w:p>
        </w:tc>
        <w:tc>
          <w:tcPr>
            <w:tcW w:w="4536" w:type="dxa"/>
            <w:tcBorders>
              <w:top w:val="single" w:sz="8" w:space="0" w:color="000000"/>
              <w:left w:val="nil"/>
              <w:bottom w:val="single" w:sz="8" w:space="0" w:color="000000"/>
              <w:right w:val="nil"/>
              <w:tl2br w:val="nil"/>
              <w:tr2bl w:val="nil"/>
            </w:tcBorders>
            <w:shd w:val="clear" w:color="auto" w:fill="006DA7"/>
          </w:tcPr>
          <w:p w:rsidR="00C133E1" w:rsidRPr="007B1E68" w:rsidRDefault="00C133E1" w:rsidP="007B1E68">
            <w:pPr>
              <w:keepNext/>
              <w:ind w:left="170" w:right="170"/>
              <w:rPr>
                <w:rFonts w:cs="Calibri"/>
                <w:b/>
                <w:color w:val="FFFFFF"/>
                <w:sz w:val="18"/>
                <w:szCs w:val="18"/>
              </w:rPr>
            </w:pPr>
            <w:r w:rsidRPr="007B1E68">
              <w:rPr>
                <w:rFonts w:cs="Calibri"/>
                <w:b/>
                <w:color w:val="FFFFFF"/>
                <w:sz w:val="18"/>
                <w:szCs w:val="18"/>
              </w:rPr>
              <w:t>Actions/outcome proposed</w:t>
            </w:r>
          </w:p>
        </w:tc>
        <w:tc>
          <w:tcPr>
            <w:tcW w:w="3119" w:type="dxa"/>
            <w:tcBorders>
              <w:top w:val="single" w:sz="8" w:space="0" w:color="000000"/>
              <w:left w:val="nil"/>
              <w:bottom w:val="single" w:sz="8" w:space="0" w:color="000000"/>
              <w:right w:val="single" w:sz="8" w:space="0" w:color="000000"/>
              <w:tl2br w:val="nil"/>
              <w:tr2bl w:val="nil"/>
            </w:tcBorders>
            <w:shd w:val="clear" w:color="auto" w:fill="006DA7"/>
          </w:tcPr>
          <w:p w:rsidR="00C133E1" w:rsidRPr="007B1E68" w:rsidRDefault="00C133E1" w:rsidP="007B1E68">
            <w:pPr>
              <w:keepNext/>
              <w:ind w:left="34" w:right="170"/>
              <w:rPr>
                <w:rFonts w:cs="Calibri"/>
                <w:b/>
                <w:color w:val="FFFFFF"/>
                <w:sz w:val="18"/>
                <w:szCs w:val="18"/>
              </w:rPr>
            </w:pPr>
            <w:r w:rsidRPr="007B1E68">
              <w:rPr>
                <w:rFonts w:cs="Calibri"/>
                <w:b/>
                <w:color w:val="FFFFFF"/>
                <w:sz w:val="18"/>
                <w:szCs w:val="18"/>
              </w:rPr>
              <w:t>Estimated planned submission of final data</w:t>
            </w:r>
          </w:p>
        </w:tc>
      </w:tr>
      <w:tr w:rsidR="00C133E1" w:rsidRPr="00F16BA7" w:rsidTr="007B1E68">
        <w:tc>
          <w:tcPr>
            <w:tcW w:w="3936" w:type="dxa"/>
            <w:shd w:val="clear" w:color="auto" w:fill="auto"/>
          </w:tcPr>
          <w:p w:rsidR="00C133E1" w:rsidRPr="007B1E68" w:rsidRDefault="00C133E1" w:rsidP="007B1E68">
            <w:pPr>
              <w:ind w:right="170"/>
              <w:rPr>
                <w:rFonts w:cs="Calibri"/>
                <w:color w:val="000000"/>
              </w:rPr>
            </w:pPr>
            <w:r w:rsidRPr="007B1E68">
              <w:rPr>
                <w:rFonts w:cs="Calibri"/>
                <w:color w:val="000000"/>
              </w:rPr>
              <w:t>Non-interventional post-authorisation registry of patients treated with pomalidomide for RRMM to monitor incidence of ADRs in “real world situation” and to monitor implementation and compliance of Celgene PPP and off-label use and controlled distribution system on a country basis in agreement with the relevant NCA</w:t>
            </w:r>
            <w:r w:rsidR="0068149E" w:rsidRPr="007B1E68">
              <w:rPr>
                <w:rFonts w:cs="Calibri"/>
                <w:color w:val="000000"/>
              </w:rPr>
              <w:t xml:space="preserve"> </w:t>
            </w:r>
            <w:r w:rsidR="0068149E" w:rsidRPr="007B1E68">
              <w:rPr>
                <w:rFonts w:cs="Calibri"/>
                <w:color w:val="000000"/>
              </w:rPr>
              <w:br/>
            </w:r>
            <w:r w:rsidRPr="007B1E68">
              <w:rPr>
                <w:rFonts w:cs="Calibri"/>
                <w:color w:val="000000"/>
              </w:rPr>
              <w:t>CC-4047-EU Registry</w:t>
            </w:r>
            <w:r w:rsidR="0068149E" w:rsidRPr="007B1E68">
              <w:rPr>
                <w:rFonts w:cs="Calibri"/>
                <w:color w:val="000000"/>
              </w:rPr>
              <w:br/>
            </w:r>
            <w:r w:rsidRPr="007B1E68">
              <w:rPr>
                <w:rFonts w:cs="Calibri"/>
                <w:color w:val="000000"/>
              </w:rPr>
              <w:t>Protocol synopsis available</w:t>
            </w:r>
          </w:p>
        </w:tc>
        <w:tc>
          <w:tcPr>
            <w:tcW w:w="2976" w:type="dxa"/>
            <w:shd w:val="clear" w:color="auto" w:fill="auto"/>
          </w:tcPr>
          <w:p w:rsidR="00C133E1" w:rsidRPr="007B1E68" w:rsidRDefault="00C133E1" w:rsidP="007B1E68">
            <w:pPr>
              <w:pStyle w:val="ListBullet"/>
              <w:ind w:right="170"/>
              <w:rPr>
                <w:color w:val="000000"/>
              </w:rPr>
            </w:pPr>
            <w:r w:rsidRPr="007B1E68">
              <w:rPr>
                <w:color w:val="000000"/>
              </w:rPr>
              <w:t>Teratogenicity</w:t>
            </w:r>
          </w:p>
          <w:p w:rsidR="00C133E1" w:rsidRPr="007B1E68" w:rsidRDefault="00C133E1" w:rsidP="007B1E68">
            <w:pPr>
              <w:pStyle w:val="ListBullet"/>
              <w:ind w:right="170"/>
              <w:rPr>
                <w:color w:val="000000"/>
              </w:rPr>
            </w:pPr>
            <w:r w:rsidRPr="007B1E68">
              <w:rPr>
                <w:color w:val="000000"/>
              </w:rPr>
              <w:t>Neutropenia</w:t>
            </w:r>
          </w:p>
          <w:p w:rsidR="00C133E1" w:rsidRPr="007B1E68" w:rsidRDefault="00C133E1" w:rsidP="007B1E68">
            <w:pPr>
              <w:pStyle w:val="ListBullet"/>
              <w:ind w:right="170"/>
              <w:rPr>
                <w:color w:val="000000"/>
              </w:rPr>
            </w:pPr>
            <w:r w:rsidRPr="007B1E68">
              <w:rPr>
                <w:color w:val="000000"/>
              </w:rPr>
              <w:t>Infection</w:t>
            </w:r>
          </w:p>
          <w:p w:rsidR="00C133E1" w:rsidRPr="007B1E68" w:rsidRDefault="00C133E1" w:rsidP="007B1E68">
            <w:pPr>
              <w:pStyle w:val="ListBullet"/>
              <w:ind w:right="170"/>
              <w:rPr>
                <w:color w:val="000000"/>
              </w:rPr>
            </w:pPr>
            <w:r w:rsidRPr="007B1E68">
              <w:rPr>
                <w:color w:val="000000"/>
              </w:rPr>
              <w:t>TEEs</w:t>
            </w:r>
          </w:p>
          <w:p w:rsidR="00C133E1" w:rsidRPr="007B1E68" w:rsidRDefault="00C133E1" w:rsidP="007B1E68">
            <w:pPr>
              <w:pStyle w:val="ListBullet"/>
              <w:ind w:right="170"/>
              <w:rPr>
                <w:color w:val="000000"/>
              </w:rPr>
            </w:pPr>
            <w:r w:rsidRPr="007B1E68">
              <w:rPr>
                <w:color w:val="000000"/>
              </w:rPr>
              <w:t>Peripheral neuropathy</w:t>
            </w:r>
          </w:p>
          <w:p w:rsidR="00C133E1" w:rsidRPr="007B1E68" w:rsidRDefault="00C133E1" w:rsidP="007B1E68">
            <w:pPr>
              <w:pStyle w:val="ListBullet"/>
              <w:ind w:right="170"/>
              <w:rPr>
                <w:color w:val="000000"/>
              </w:rPr>
            </w:pPr>
            <w:r w:rsidRPr="007B1E68">
              <w:rPr>
                <w:color w:val="000000"/>
              </w:rPr>
              <w:t>Thrombocytopenia and bleeding</w:t>
            </w:r>
          </w:p>
          <w:p w:rsidR="00C133E1" w:rsidRPr="007B1E68" w:rsidRDefault="00C133E1" w:rsidP="007B1E68">
            <w:pPr>
              <w:pStyle w:val="ListBullet"/>
              <w:ind w:right="170"/>
              <w:rPr>
                <w:color w:val="000000"/>
              </w:rPr>
            </w:pPr>
            <w:r w:rsidRPr="007B1E68">
              <w:rPr>
                <w:color w:val="000000"/>
              </w:rPr>
              <w:t>SPM</w:t>
            </w:r>
          </w:p>
          <w:p w:rsidR="00C133E1" w:rsidRPr="007B1E68" w:rsidRDefault="00C133E1" w:rsidP="007B1E68">
            <w:pPr>
              <w:pStyle w:val="ListBullet"/>
              <w:ind w:right="170"/>
              <w:rPr>
                <w:color w:val="000000"/>
              </w:rPr>
            </w:pPr>
            <w:r w:rsidRPr="007B1E68">
              <w:rPr>
                <w:color w:val="000000"/>
              </w:rPr>
              <w:t>Somnolence</w:t>
            </w:r>
          </w:p>
          <w:p w:rsidR="00C133E1" w:rsidRPr="007B1E68" w:rsidRDefault="00C133E1" w:rsidP="007B1E68">
            <w:pPr>
              <w:pStyle w:val="ListBullet"/>
              <w:ind w:right="170"/>
              <w:rPr>
                <w:color w:val="000000"/>
              </w:rPr>
            </w:pPr>
            <w:r w:rsidRPr="007B1E68">
              <w:rPr>
                <w:color w:val="000000"/>
              </w:rPr>
              <w:t>Thyroid disorders</w:t>
            </w:r>
          </w:p>
          <w:p w:rsidR="00C133E1" w:rsidRPr="007B1E68" w:rsidRDefault="00C133E1" w:rsidP="007B1E68">
            <w:pPr>
              <w:pStyle w:val="ListBullet"/>
              <w:ind w:right="170"/>
              <w:rPr>
                <w:color w:val="000000"/>
                <w:lang w:val="fr-FR"/>
              </w:rPr>
            </w:pPr>
            <w:r w:rsidRPr="007B1E68">
              <w:rPr>
                <w:color w:val="000000"/>
                <w:lang w:val="fr-FR"/>
              </w:rPr>
              <w:t>Renal failure</w:t>
            </w:r>
          </w:p>
          <w:p w:rsidR="00C133E1" w:rsidRPr="007B1E68" w:rsidRDefault="00C133E1" w:rsidP="007B1E68">
            <w:pPr>
              <w:pStyle w:val="ListBullet"/>
              <w:ind w:right="170"/>
              <w:rPr>
                <w:color w:val="000000"/>
                <w:lang w:val="fr-FR"/>
              </w:rPr>
            </w:pPr>
            <w:r w:rsidRPr="007B1E68">
              <w:rPr>
                <w:color w:val="000000"/>
                <w:lang w:val="fr-FR"/>
              </w:rPr>
              <w:t>QT interactions (prolongation)</w:t>
            </w:r>
          </w:p>
          <w:p w:rsidR="00C133E1" w:rsidRPr="007B1E68" w:rsidRDefault="00C133E1" w:rsidP="007B1E68">
            <w:pPr>
              <w:pStyle w:val="ListBullet"/>
              <w:ind w:right="170"/>
              <w:rPr>
                <w:color w:val="000000"/>
              </w:rPr>
            </w:pPr>
            <w:r w:rsidRPr="007B1E68">
              <w:rPr>
                <w:color w:val="000000"/>
              </w:rPr>
              <w:t>Severe skin reactions</w:t>
            </w:r>
          </w:p>
          <w:p w:rsidR="00C133E1" w:rsidRPr="007B1E68" w:rsidRDefault="00C133E1" w:rsidP="007B1E68">
            <w:pPr>
              <w:pStyle w:val="ListBullet"/>
              <w:ind w:right="170"/>
              <w:rPr>
                <w:color w:val="000000"/>
              </w:rPr>
            </w:pPr>
            <w:r w:rsidRPr="007B1E68">
              <w:rPr>
                <w:color w:val="000000"/>
              </w:rPr>
              <w:t>TLS</w:t>
            </w:r>
          </w:p>
          <w:p w:rsidR="00C133E1" w:rsidRPr="007B1E68" w:rsidRDefault="00C133E1" w:rsidP="007B1E68">
            <w:pPr>
              <w:pStyle w:val="ListBullet"/>
              <w:ind w:right="170"/>
              <w:rPr>
                <w:color w:val="000000"/>
              </w:rPr>
            </w:pPr>
            <w:r w:rsidRPr="007B1E68">
              <w:rPr>
                <w:color w:val="000000"/>
              </w:rPr>
              <w:t>Cardiac failure</w:t>
            </w:r>
          </w:p>
          <w:p w:rsidR="00C133E1" w:rsidRPr="007B1E68" w:rsidRDefault="00C133E1" w:rsidP="007B1E68">
            <w:pPr>
              <w:pStyle w:val="ListBullet"/>
              <w:ind w:right="170"/>
              <w:rPr>
                <w:color w:val="000000"/>
              </w:rPr>
            </w:pPr>
            <w:r w:rsidRPr="007B1E68">
              <w:rPr>
                <w:color w:val="000000"/>
              </w:rPr>
              <w:t>Cardiac arrhythmia (including bradycardia)</w:t>
            </w:r>
          </w:p>
          <w:p w:rsidR="00C133E1" w:rsidRPr="007B1E68" w:rsidRDefault="00C133E1" w:rsidP="007B1E68">
            <w:pPr>
              <w:pStyle w:val="ListBullet"/>
              <w:ind w:right="170"/>
              <w:rPr>
                <w:rFonts w:cs="Calibri"/>
                <w:color w:val="000000"/>
              </w:rPr>
            </w:pPr>
            <w:r w:rsidRPr="007B1E68">
              <w:rPr>
                <w:color w:val="000000"/>
              </w:rPr>
              <w:lastRenderedPageBreak/>
              <w:t>Off-label use</w:t>
            </w:r>
          </w:p>
        </w:tc>
        <w:tc>
          <w:tcPr>
            <w:tcW w:w="4536" w:type="dxa"/>
            <w:shd w:val="clear" w:color="auto" w:fill="auto"/>
          </w:tcPr>
          <w:p w:rsidR="00C133E1" w:rsidRPr="007B1E68" w:rsidRDefault="00C133E1" w:rsidP="007B1E68">
            <w:pPr>
              <w:ind w:left="170" w:right="170"/>
              <w:rPr>
                <w:color w:val="000000"/>
              </w:rPr>
            </w:pPr>
            <w:r w:rsidRPr="007B1E68">
              <w:rPr>
                <w:color w:val="000000"/>
              </w:rPr>
              <w:lastRenderedPageBreak/>
              <w:t>Primary</w:t>
            </w:r>
          </w:p>
          <w:p w:rsidR="00C133E1" w:rsidRPr="007B1E68" w:rsidRDefault="00581E18" w:rsidP="007B1E68">
            <w:pPr>
              <w:pStyle w:val="ListBullet"/>
              <w:ind w:right="170"/>
              <w:rPr>
                <w:color w:val="000000"/>
              </w:rPr>
            </w:pPr>
            <w:r w:rsidRPr="007B1E68">
              <w:rPr>
                <w:color w:val="000000"/>
              </w:rPr>
              <w:t>To characteris</w:t>
            </w:r>
            <w:r w:rsidR="00C133E1" w:rsidRPr="007B1E68">
              <w:rPr>
                <w:color w:val="000000"/>
              </w:rPr>
              <w:t>e and determine the incidence of important identified and potential risks as outlined in the risk management plan (RMP) among previously treated MM patients who are currently being treated with pomalidomide in a post marketing setting.</w:t>
            </w:r>
          </w:p>
          <w:p w:rsidR="00C133E1" w:rsidRPr="007B1E68" w:rsidRDefault="00C133E1" w:rsidP="007B1E68">
            <w:pPr>
              <w:ind w:left="170" w:right="170"/>
              <w:rPr>
                <w:color w:val="000000"/>
              </w:rPr>
            </w:pPr>
            <w:r w:rsidRPr="007B1E68">
              <w:rPr>
                <w:color w:val="000000"/>
              </w:rPr>
              <w:t>Secondary</w:t>
            </w:r>
          </w:p>
          <w:p w:rsidR="00C133E1" w:rsidRPr="007B1E68" w:rsidRDefault="00C133E1" w:rsidP="007B1E68">
            <w:pPr>
              <w:pStyle w:val="ListBullet"/>
              <w:ind w:right="170"/>
              <w:rPr>
                <w:color w:val="000000"/>
              </w:rPr>
            </w:pPr>
            <w:r w:rsidRPr="007B1E68">
              <w:rPr>
                <w:color w:val="000000"/>
              </w:rPr>
              <w:t>To describe and assess the effectiveness, implementation and compliance of the Celgene PPP for patients recruited in this registry</w:t>
            </w:r>
          </w:p>
          <w:p w:rsidR="00C133E1" w:rsidRPr="007B1E68" w:rsidRDefault="00C133E1" w:rsidP="007B1E68">
            <w:pPr>
              <w:pStyle w:val="ListBullet"/>
              <w:ind w:right="170"/>
              <w:rPr>
                <w:color w:val="000000"/>
              </w:rPr>
            </w:pPr>
            <w:r w:rsidRPr="007B1E68">
              <w:rPr>
                <w:color w:val="000000"/>
              </w:rPr>
              <w:t>To describe the type of myeloma treatments administered prior to receiving pomalidomide</w:t>
            </w:r>
          </w:p>
          <w:p w:rsidR="00C133E1" w:rsidRPr="007B1E68" w:rsidRDefault="00C133E1" w:rsidP="007B1E68">
            <w:pPr>
              <w:pStyle w:val="ListBullet"/>
              <w:ind w:right="170"/>
              <w:rPr>
                <w:color w:val="000000"/>
              </w:rPr>
            </w:pPr>
            <w:r w:rsidRPr="007B1E68">
              <w:rPr>
                <w:color w:val="000000"/>
              </w:rPr>
              <w:t>To describe the type and duration of myeloma regimens administered prior to receiving pomalidomide</w:t>
            </w:r>
          </w:p>
          <w:p w:rsidR="00C133E1" w:rsidRPr="007B1E68" w:rsidRDefault="00C133E1" w:rsidP="007B1E68">
            <w:pPr>
              <w:pStyle w:val="ListBullet"/>
              <w:ind w:right="170"/>
              <w:rPr>
                <w:color w:val="000000"/>
              </w:rPr>
            </w:pPr>
            <w:r w:rsidRPr="007B1E68">
              <w:rPr>
                <w:color w:val="000000"/>
              </w:rPr>
              <w:t>To describe the type and duration of myeloma regimens administered after receiving pomalidomide during follow up period</w:t>
            </w:r>
          </w:p>
          <w:p w:rsidR="00C133E1" w:rsidRPr="007B1E68" w:rsidRDefault="00C133E1" w:rsidP="007B1E68">
            <w:pPr>
              <w:pStyle w:val="ListBullet"/>
              <w:ind w:right="170"/>
              <w:rPr>
                <w:color w:val="000000"/>
              </w:rPr>
            </w:pPr>
            <w:r w:rsidRPr="007B1E68">
              <w:rPr>
                <w:color w:val="000000"/>
              </w:rPr>
              <w:lastRenderedPageBreak/>
              <w:t>To describe risk factors for thromboembolic events and use of prophylactic anticoagulation medications</w:t>
            </w:r>
          </w:p>
          <w:p w:rsidR="00C133E1" w:rsidRPr="007B1E68" w:rsidRDefault="00C133E1" w:rsidP="007B1E68">
            <w:pPr>
              <w:pStyle w:val="ListParagraph"/>
              <w:ind w:left="360" w:right="170"/>
              <w:rPr>
                <w:rFonts w:ascii="Cambria" w:hAnsi="Cambria" w:cs="Calibri"/>
                <w:color w:val="000000"/>
                <w:sz w:val="18"/>
                <w:szCs w:val="18"/>
              </w:rPr>
            </w:pPr>
          </w:p>
        </w:tc>
        <w:tc>
          <w:tcPr>
            <w:tcW w:w="3119" w:type="dxa"/>
            <w:shd w:val="clear" w:color="auto" w:fill="auto"/>
          </w:tcPr>
          <w:p w:rsidR="00C133E1" w:rsidRPr="007B1E68" w:rsidRDefault="00C133E1" w:rsidP="007B1E68">
            <w:pPr>
              <w:ind w:left="170" w:right="170"/>
              <w:rPr>
                <w:color w:val="000000"/>
              </w:rPr>
            </w:pPr>
            <w:r w:rsidRPr="007B1E68">
              <w:rPr>
                <w:color w:val="000000"/>
              </w:rPr>
              <w:lastRenderedPageBreak/>
              <w:t>30 Apr 2020</w:t>
            </w:r>
            <w:r w:rsidR="002E443E" w:rsidRPr="007B1E68">
              <w:rPr>
                <w:color w:val="000000"/>
              </w:rPr>
              <w:t xml:space="preserve"> </w:t>
            </w:r>
            <w:r w:rsidRPr="007B1E68">
              <w:rPr>
                <w:color w:val="000000"/>
              </w:rPr>
              <w:t>(Final report)</w:t>
            </w:r>
            <w:r w:rsidR="002E443E" w:rsidRPr="007B1E68">
              <w:rPr>
                <w:color w:val="000000"/>
              </w:rPr>
              <w:t xml:space="preserve"> </w:t>
            </w:r>
            <w:r w:rsidRPr="007B1E68">
              <w:rPr>
                <w:color w:val="000000"/>
              </w:rPr>
              <w:t>Updates with</w:t>
            </w:r>
            <w:r w:rsidR="002E443E" w:rsidRPr="007B1E68">
              <w:rPr>
                <w:color w:val="000000"/>
              </w:rPr>
              <w:t xml:space="preserve"> </w:t>
            </w:r>
            <w:r w:rsidRPr="007B1E68">
              <w:rPr>
                <w:color w:val="000000"/>
              </w:rPr>
              <w:t>PSURs</w:t>
            </w:r>
          </w:p>
        </w:tc>
      </w:tr>
      <w:tr w:rsidR="00C133E1" w:rsidRPr="00F16BA7" w:rsidTr="007B1E68">
        <w:tc>
          <w:tcPr>
            <w:tcW w:w="3936" w:type="dxa"/>
            <w:shd w:val="clear" w:color="auto" w:fill="auto"/>
          </w:tcPr>
          <w:p w:rsidR="00C133E1" w:rsidRPr="007B1E68" w:rsidRDefault="00C133E1" w:rsidP="007B1E68">
            <w:pPr>
              <w:ind w:right="170"/>
              <w:rPr>
                <w:rFonts w:cs="Calibri"/>
                <w:color w:val="000000"/>
              </w:rPr>
            </w:pPr>
            <w:r w:rsidRPr="007B1E68">
              <w:rPr>
                <w:rFonts w:cs="Calibri"/>
                <w:color w:val="000000"/>
              </w:rPr>
              <w:lastRenderedPageBreak/>
              <w:t>Solicited reporting of SPM in all Celgene-sponsored clinical studies</w:t>
            </w:r>
          </w:p>
        </w:tc>
        <w:tc>
          <w:tcPr>
            <w:tcW w:w="2976" w:type="dxa"/>
            <w:shd w:val="clear" w:color="auto" w:fill="auto"/>
          </w:tcPr>
          <w:p w:rsidR="00C133E1" w:rsidRPr="007B1E68" w:rsidRDefault="00C133E1" w:rsidP="007B1E68">
            <w:pPr>
              <w:pStyle w:val="ListBullet"/>
              <w:ind w:right="170"/>
              <w:rPr>
                <w:rFonts w:cs="Calibri"/>
                <w:color w:val="000000"/>
              </w:rPr>
            </w:pPr>
            <w:r w:rsidRPr="007B1E68">
              <w:rPr>
                <w:rFonts w:cs="Calibri"/>
                <w:color w:val="000000"/>
              </w:rPr>
              <w:t>SPM</w:t>
            </w:r>
          </w:p>
        </w:tc>
        <w:tc>
          <w:tcPr>
            <w:tcW w:w="4536" w:type="dxa"/>
            <w:shd w:val="clear" w:color="auto" w:fill="auto"/>
          </w:tcPr>
          <w:p w:rsidR="00C133E1" w:rsidRPr="007B1E68" w:rsidRDefault="00C133E1" w:rsidP="007B1E68">
            <w:pPr>
              <w:ind w:left="170" w:right="170"/>
              <w:rPr>
                <w:rFonts w:cs="Calibri"/>
                <w:color w:val="000000"/>
                <w:sz w:val="18"/>
                <w:szCs w:val="18"/>
              </w:rPr>
            </w:pPr>
          </w:p>
        </w:tc>
        <w:tc>
          <w:tcPr>
            <w:tcW w:w="3119" w:type="dxa"/>
            <w:shd w:val="clear" w:color="auto" w:fill="auto"/>
          </w:tcPr>
          <w:p w:rsidR="00C133E1" w:rsidRPr="007B1E68" w:rsidRDefault="00C133E1" w:rsidP="007B1E68">
            <w:pPr>
              <w:ind w:left="170" w:right="170"/>
              <w:rPr>
                <w:color w:val="000000"/>
              </w:rPr>
            </w:pPr>
            <w:r w:rsidRPr="007B1E68">
              <w:rPr>
                <w:color w:val="000000"/>
              </w:rPr>
              <w:t>PSUR/DSUR cycle</w:t>
            </w:r>
          </w:p>
        </w:tc>
      </w:tr>
      <w:tr w:rsidR="00C133E1" w:rsidRPr="00F16BA7" w:rsidTr="007B1E68">
        <w:tc>
          <w:tcPr>
            <w:tcW w:w="3936" w:type="dxa"/>
            <w:shd w:val="clear" w:color="auto" w:fill="auto"/>
          </w:tcPr>
          <w:p w:rsidR="00C133E1" w:rsidRPr="007B1E68" w:rsidRDefault="00C133E1" w:rsidP="007B1E68">
            <w:pPr>
              <w:ind w:right="170"/>
              <w:rPr>
                <w:rFonts w:cs="Calibri"/>
                <w:color w:val="000000"/>
              </w:rPr>
            </w:pPr>
            <w:r w:rsidRPr="007B1E68">
              <w:rPr>
                <w:rFonts w:cs="Calibri"/>
                <w:color w:val="000000"/>
              </w:rPr>
              <w:t>Long-term follow-up of SPM in all Celgene-sponsored clinical studies</w:t>
            </w:r>
          </w:p>
        </w:tc>
        <w:tc>
          <w:tcPr>
            <w:tcW w:w="2976" w:type="dxa"/>
            <w:shd w:val="clear" w:color="auto" w:fill="auto"/>
          </w:tcPr>
          <w:p w:rsidR="00C133E1" w:rsidRPr="007B1E68" w:rsidRDefault="00C133E1" w:rsidP="007B1E68">
            <w:pPr>
              <w:pStyle w:val="ListBullet"/>
              <w:ind w:right="170"/>
              <w:rPr>
                <w:rFonts w:cs="Calibri"/>
                <w:i/>
                <w:color w:val="000000"/>
              </w:rPr>
            </w:pPr>
            <w:r w:rsidRPr="007B1E68">
              <w:rPr>
                <w:rFonts w:cs="Calibri"/>
                <w:color w:val="000000"/>
              </w:rPr>
              <w:t>SPM</w:t>
            </w:r>
          </w:p>
        </w:tc>
        <w:tc>
          <w:tcPr>
            <w:tcW w:w="4536" w:type="dxa"/>
            <w:shd w:val="clear" w:color="auto" w:fill="auto"/>
          </w:tcPr>
          <w:p w:rsidR="00C133E1" w:rsidRPr="007B1E68" w:rsidRDefault="00C133E1" w:rsidP="007B1E68">
            <w:pPr>
              <w:ind w:left="170" w:right="170"/>
              <w:rPr>
                <w:rFonts w:cs="Calibri"/>
                <w:color w:val="000000"/>
                <w:sz w:val="18"/>
                <w:szCs w:val="18"/>
              </w:rPr>
            </w:pPr>
          </w:p>
        </w:tc>
        <w:tc>
          <w:tcPr>
            <w:tcW w:w="3119" w:type="dxa"/>
            <w:shd w:val="clear" w:color="auto" w:fill="auto"/>
          </w:tcPr>
          <w:p w:rsidR="00C133E1" w:rsidRPr="007B1E68" w:rsidRDefault="00C133E1" w:rsidP="007B1E68">
            <w:pPr>
              <w:ind w:left="170" w:right="170"/>
              <w:rPr>
                <w:color w:val="000000"/>
              </w:rPr>
            </w:pPr>
            <w:r w:rsidRPr="007B1E68">
              <w:rPr>
                <w:color w:val="000000"/>
              </w:rPr>
              <w:t>PSUR/DSUR cycle</w:t>
            </w:r>
          </w:p>
        </w:tc>
      </w:tr>
      <w:tr w:rsidR="00C133E1" w:rsidRPr="00F16BA7" w:rsidTr="007B1E68">
        <w:tc>
          <w:tcPr>
            <w:tcW w:w="3936" w:type="dxa"/>
            <w:shd w:val="clear" w:color="auto" w:fill="auto"/>
          </w:tcPr>
          <w:p w:rsidR="00C133E1" w:rsidRPr="007B1E68" w:rsidRDefault="00C133E1" w:rsidP="007B1E68">
            <w:pPr>
              <w:ind w:right="170"/>
              <w:rPr>
                <w:rFonts w:cs="Calibri"/>
                <w:color w:val="000000"/>
              </w:rPr>
            </w:pPr>
            <w:r w:rsidRPr="007B1E68">
              <w:rPr>
                <w:rFonts w:cs="Calibri"/>
                <w:color w:val="000000"/>
              </w:rPr>
              <w:t>Definitive TQT study in healthy volunteers</w:t>
            </w:r>
            <w:r w:rsidR="002E443E" w:rsidRPr="007B1E68">
              <w:rPr>
                <w:rFonts w:cs="Calibri"/>
                <w:color w:val="000000"/>
              </w:rPr>
              <w:t>.</w:t>
            </w:r>
            <w:r w:rsidR="002E443E" w:rsidRPr="007B1E68">
              <w:rPr>
                <w:rFonts w:cs="Calibri"/>
                <w:color w:val="000000"/>
              </w:rPr>
              <w:br/>
            </w:r>
            <w:r w:rsidRPr="007B1E68">
              <w:rPr>
                <w:rFonts w:cs="Calibri"/>
                <w:color w:val="000000"/>
              </w:rPr>
              <w:t>A Phase 1, Double-Blind, Four-Period Crossover Study To Investigate The Effects Of Pomalidomide (Cc-4047) On The Q</w:t>
            </w:r>
            <w:r w:rsidR="00581E18" w:rsidRPr="007B1E68">
              <w:rPr>
                <w:rFonts w:cs="Calibri"/>
                <w:color w:val="000000"/>
              </w:rPr>
              <w:t>T</w:t>
            </w:r>
            <w:r w:rsidRPr="007B1E68">
              <w:rPr>
                <w:rFonts w:cs="Calibri"/>
                <w:color w:val="000000"/>
              </w:rPr>
              <w:t xml:space="preserve"> Interval In Healthy Male Subjects</w:t>
            </w:r>
            <w:r w:rsidR="002E443E" w:rsidRPr="007B1E68">
              <w:rPr>
                <w:rFonts w:cs="Calibri"/>
                <w:color w:val="000000"/>
              </w:rPr>
              <w:t>.</w:t>
            </w:r>
            <w:r w:rsidR="002E443E" w:rsidRPr="007B1E68">
              <w:rPr>
                <w:rFonts w:cs="Calibri"/>
                <w:color w:val="000000"/>
              </w:rPr>
              <w:br/>
            </w:r>
            <w:r w:rsidRPr="007B1E68">
              <w:rPr>
                <w:rFonts w:cs="Calibri"/>
                <w:color w:val="000000"/>
              </w:rPr>
              <w:t>CC-4047-CP-010</w:t>
            </w:r>
            <w:r w:rsidR="002E443E" w:rsidRPr="007B1E68">
              <w:rPr>
                <w:rFonts w:cs="Calibri"/>
                <w:color w:val="000000"/>
              </w:rPr>
              <w:br/>
            </w:r>
            <w:r w:rsidRPr="007B1E68">
              <w:rPr>
                <w:rFonts w:cs="Calibri"/>
                <w:color w:val="000000"/>
              </w:rPr>
              <w:t>Protocol available</w:t>
            </w:r>
          </w:p>
        </w:tc>
        <w:tc>
          <w:tcPr>
            <w:tcW w:w="2976" w:type="dxa"/>
            <w:shd w:val="clear" w:color="auto" w:fill="auto"/>
          </w:tcPr>
          <w:p w:rsidR="00C133E1" w:rsidRPr="007B1E68" w:rsidRDefault="00C133E1" w:rsidP="007B1E68">
            <w:pPr>
              <w:pStyle w:val="ListBullet"/>
              <w:ind w:right="170"/>
              <w:rPr>
                <w:color w:val="000000"/>
                <w:lang w:val="fr-FR"/>
              </w:rPr>
            </w:pPr>
            <w:r w:rsidRPr="007B1E68">
              <w:rPr>
                <w:color w:val="000000"/>
                <w:lang w:val="fr-FR"/>
              </w:rPr>
              <w:t>QT interactions (prolongation)</w:t>
            </w:r>
          </w:p>
          <w:p w:rsidR="00C133E1" w:rsidRPr="007B1E68" w:rsidRDefault="00C133E1" w:rsidP="007B1E68">
            <w:pPr>
              <w:pStyle w:val="ListBullet"/>
              <w:ind w:right="170"/>
              <w:rPr>
                <w:color w:val="000000"/>
              </w:rPr>
            </w:pPr>
            <w:r w:rsidRPr="007B1E68">
              <w:rPr>
                <w:color w:val="000000"/>
              </w:rPr>
              <w:t>Cardiac failure,</w:t>
            </w:r>
          </w:p>
          <w:p w:rsidR="00C133E1" w:rsidRPr="007B1E68" w:rsidRDefault="00C133E1" w:rsidP="007B1E68">
            <w:pPr>
              <w:pStyle w:val="ListBullet"/>
              <w:ind w:right="170"/>
              <w:rPr>
                <w:color w:val="000000"/>
              </w:rPr>
            </w:pPr>
            <w:r w:rsidRPr="007B1E68">
              <w:rPr>
                <w:color w:val="000000"/>
              </w:rPr>
              <w:t>Cardiac arrhythmia (including bradycardia)</w:t>
            </w:r>
          </w:p>
        </w:tc>
        <w:tc>
          <w:tcPr>
            <w:tcW w:w="4536" w:type="dxa"/>
            <w:shd w:val="clear" w:color="auto" w:fill="auto"/>
          </w:tcPr>
          <w:p w:rsidR="00C133E1" w:rsidRPr="007B1E68" w:rsidRDefault="00C133E1" w:rsidP="007B1E68">
            <w:pPr>
              <w:ind w:left="170" w:right="170"/>
              <w:rPr>
                <w:rFonts w:cs="Calibri"/>
                <w:color w:val="000000"/>
              </w:rPr>
            </w:pPr>
            <w:r w:rsidRPr="007B1E68">
              <w:rPr>
                <w:rFonts w:cs="Calibri"/>
                <w:color w:val="000000"/>
              </w:rPr>
              <w:t>Primary Objective:</w:t>
            </w:r>
          </w:p>
          <w:p w:rsidR="00C133E1" w:rsidRPr="007B1E68" w:rsidRDefault="00C133E1" w:rsidP="007B1E68">
            <w:pPr>
              <w:ind w:left="170" w:right="170"/>
              <w:rPr>
                <w:rFonts w:cs="Calibri"/>
                <w:color w:val="000000"/>
              </w:rPr>
            </w:pPr>
            <w:r w:rsidRPr="007B1E68">
              <w:rPr>
                <w:rFonts w:cs="Calibri"/>
                <w:color w:val="000000"/>
              </w:rPr>
              <w:t>To evaluate the effect of pomalidomide on the time-matched changes from placebo in the baseline-adjusted QT interval of the electrocardiogram (ECG) using the Fridericia correction method (QTcF).</w:t>
            </w:r>
          </w:p>
        </w:tc>
        <w:tc>
          <w:tcPr>
            <w:tcW w:w="3119" w:type="dxa"/>
            <w:shd w:val="clear" w:color="auto" w:fill="auto"/>
          </w:tcPr>
          <w:p w:rsidR="00C133E1" w:rsidRPr="007B1E68" w:rsidRDefault="00C133E1" w:rsidP="007B1E68">
            <w:pPr>
              <w:ind w:left="170" w:right="170"/>
              <w:rPr>
                <w:color w:val="000000"/>
              </w:rPr>
            </w:pPr>
            <w:r w:rsidRPr="007B1E68">
              <w:rPr>
                <w:color w:val="000000"/>
              </w:rPr>
              <w:t>Q1 2015 (Final report)</w:t>
            </w:r>
          </w:p>
        </w:tc>
      </w:tr>
      <w:tr w:rsidR="00C133E1" w:rsidRPr="00F16BA7" w:rsidTr="007B1E68">
        <w:tc>
          <w:tcPr>
            <w:tcW w:w="3936" w:type="dxa"/>
            <w:shd w:val="clear" w:color="auto" w:fill="auto"/>
          </w:tcPr>
          <w:p w:rsidR="00C133E1" w:rsidRPr="007B1E68" w:rsidRDefault="00C133E1" w:rsidP="007B1E68">
            <w:pPr>
              <w:ind w:right="170"/>
              <w:rPr>
                <w:rFonts w:cs="Calibri"/>
                <w:color w:val="000000"/>
              </w:rPr>
            </w:pPr>
            <w:r w:rsidRPr="007B1E68">
              <w:rPr>
                <w:rFonts w:cs="Calibri"/>
                <w:color w:val="000000"/>
              </w:rPr>
              <w:t xml:space="preserve">A Phase I multi-center, open-label, dose escalation study to determine the pharmacokinetics and safety of pomalidomide when given in combination with low dose dexamethasone in subjects with relapsed or refractory multiple myeloma and impaired renal </w:t>
            </w:r>
            <w:r w:rsidRPr="007B1E68">
              <w:rPr>
                <w:rFonts w:cs="Calibri"/>
                <w:color w:val="000000"/>
              </w:rPr>
              <w:lastRenderedPageBreak/>
              <w:t>function</w:t>
            </w:r>
            <w:r w:rsidR="002E443E" w:rsidRPr="007B1E68">
              <w:rPr>
                <w:rFonts w:cs="Calibri"/>
                <w:color w:val="000000"/>
              </w:rPr>
              <w:t>.</w:t>
            </w:r>
            <w:r w:rsidR="002E443E" w:rsidRPr="007B1E68">
              <w:rPr>
                <w:rFonts w:cs="Calibri"/>
                <w:color w:val="000000"/>
              </w:rPr>
              <w:br/>
            </w:r>
            <w:r w:rsidRPr="007B1E68">
              <w:rPr>
                <w:rFonts w:cs="Calibri"/>
                <w:color w:val="000000"/>
              </w:rPr>
              <w:t>CC-4047-MM-008</w:t>
            </w:r>
            <w:r w:rsidR="002E443E" w:rsidRPr="007B1E68">
              <w:rPr>
                <w:rFonts w:cs="Calibri"/>
                <w:color w:val="000000"/>
              </w:rPr>
              <w:t xml:space="preserve"> </w:t>
            </w:r>
            <w:r w:rsidR="002E443E" w:rsidRPr="007B1E68">
              <w:rPr>
                <w:rFonts w:cs="Calibri"/>
                <w:color w:val="000000"/>
              </w:rPr>
              <w:br/>
            </w:r>
            <w:r w:rsidRPr="007B1E68">
              <w:rPr>
                <w:rFonts w:cs="Calibri"/>
                <w:color w:val="000000"/>
              </w:rPr>
              <w:t>Protocol available</w:t>
            </w:r>
          </w:p>
        </w:tc>
        <w:tc>
          <w:tcPr>
            <w:tcW w:w="2976" w:type="dxa"/>
            <w:shd w:val="clear" w:color="auto" w:fill="auto"/>
          </w:tcPr>
          <w:p w:rsidR="00C133E1" w:rsidRPr="007B1E68" w:rsidRDefault="00C133E1" w:rsidP="007B1E68">
            <w:pPr>
              <w:pStyle w:val="ListBullet"/>
              <w:ind w:right="170"/>
              <w:rPr>
                <w:rFonts w:cs="Calibri"/>
                <w:color w:val="000000"/>
              </w:rPr>
            </w:pPr>
            <w:r w:rsidRPr="007B1E68">
              <w:rPr>
                <w:rFonts w:cs="Calibri"/>
                <w:color w:val="000000"/>
              </w:rPr>
              <w:lastRenderedPageBreak/>
              <w:t>Use in patients with renal impairment</w:t>
            </w:r>
          </w:p>
        </w:tc>
        <w:tc>
          <w:tcPr>
            <w:tcW w:w="4536" w:type="dxa"/>
            <w:shd w:val="clear" w:color="auto" w:fill="auto"/>
          </w:tcPr>
          <w:p w:rsidR="00C133E1" w:rsidRPr="007B1E68" w:rsidRDefault="00C133E1" w:rsidP="007B1E68">
            <w:pPr>
              <w:ind w:left="170" w:right="170"/>
              <w:rPr>
                <w:rFonts w:cs="Calibri"/>
                <w:color w:val="000000"/>
              </w:rPr>
            </w:pPr>
            <w:r w:rsidRPr="007B1E68">
              <w:rPr>
                <w:rFonts w:cs="Calibri"/>
                <w:color w:val="000000"/>
              </w:rPr>
              <w:t>The primary objective of the study is to determine the PK and safety for the combination of pomalidomide (POM) + low-dose dexamethasone (LD-DEX) in subjects with relapsed or refractory MM (RRMM) and impaired renal function.</w:t>
            </w:r>
          </w:p>
          <w:p w:rsidR="00C133E1" w:rsidRPr="007B1E68" w:rsidRDefault="00C133E1" w:rsidP="007B1E68">
            <w:pPr>
              <w:ind w:left="170" w:right="170"/>
              <w:rPr>
                <w:rFonts w:cs="Calibri"/>
                <w:color w:val="000000"/>
              </w:rPr>
            </w:pPr>
            <w:r w:rsidRPr="007B1E68">
              <w:rPr>
                <w:rFonts w:cs="Calibri"/>
                <w:color w:val="000000"/>
              </w:rPr>
              <w:t xml:space="preserve">The secondary objective of the study is to </w:t>
            </w:r>
            <w:r w:rsidRPr="007B1E68">
              <w:rPr>
                <w:rFonts w:cs="Calibri"/>
                <w:color w:val="000000"/>
              </w:rPr>
              <w:lastRenderedPageBreak/>
              <w:t>evaluate the efficacy of POM + LD-DEX in subjects with RRMM and impaired renal function.</w:t>
            </w:r>
          </w:p>
        </w:tc>
        <w:tc>
          <w:tcPr>
            <w:tcW w:w="3119" w:type="dxa"/>
            <w:shd w:val="clear" w:color="auto" w:fill="auto"/>
          </w:tcPr>
          <w:p w:rsidR="00C133E1" w:rsidRPr="007B1E68" w:rsidRDefault="00C133E1" w:rsidP="007B1E68">
            <w:pPr>
              <w:ind w:left="170" w:right="170"/>
              <w:rPr>
                <w:color w:val="000000"/>
              </w:rPr>
            </w:pPr>
            <w:r w:rsidRPr="007B1E68">
              <w:rPr>
                <w:color w:val="000000"/>
              </w:rPr>
              <w:lastRenderedPageBreak/>
              <w:t>Q1 2016 (Final</w:t>
            </w:r>
            <w:r w:rsidR="002E443E" w:rsidRPr="007B1E68">
              <w:rPr>
                <w:color w:val="000000"/>
              </w:rPr>
              <w:t xml:space="preserve"> </w:t>
            </w:r>
            <w:r w:rsidRPr="007B1E68">
              <w:rPr>
                <w:color w:val="000000"/>
              </w:rPr>
              <w:t>report)</w:t>
            </w:r>
          </w:p>
        </w:tc>
      </w:tr>
      <w:tr w:rsidR="00C133E1" w:rsidRPr="00F16BA7" w:rsidTr="007B1E68">
        <w:tc>
          <w:tcPr>
            <w:tcW w:w="3936" w:type="dxa"/>
            <w:shd w:val="clear" w:color="auto" w:fill="auto"/>
          </w:tcPr>
          <w:p w:rsidR="00C133E1" w:rsidRPr="007B1E68" w:rsidRDefault="00C133E1" w:rsidP="007B1E68">
            <w:pPr>
              <w:ind w:right="170"/>
              <w:rPr>
                <w:rFonts w:cs="Calibri"/>
                <w:color w:val="000000"/>
              </w:rPr>
            </w:pPr>
            <w:r w:rsidRPr="007B1E68">
              <w:rPr>
                <w:rFonts w:cs="Calibri"/>
                <w:color w:val="000000"/>
              </w:rPr>
              <w:lastRenderedPageBreak/>
              <w:t>A Phase I, open-label, two-part study to evaluate the pharmacokinetics of pomalidomide (cc-4047) in hepatically impaired male subjects</w:t>
            </w:r>
            <w:r w:rsidR="002E443E" w:rsidRPr="007B1E68">
              <w:rPr>
                <w:rFonts w:cs="Calibri"/>
                <w:color w:val="000000"/>
              </w:rPr>
              <w:t>.</w:t>
            </w:r>
            <w:r w:rsidR="002E443E" w:rsidRPr="007B1E68">
              <w:rPr>
                <w:rFonts w:cs="Calibri"/>
                <w:color w:val="000000"/>
              </w:rPr>
              <w:br/>
            </w:r>
            <w:r w:rsidRPr="007B1E68">
              <w:rPr>
                <w:rFonts w:cs="Calibri"/>
                <w:color w:val="000000"/>
              </w:rPr>
              <w:t>CC-4047-CP-009</w:t>
            </w:r>
            <w:r w:rsidR="002E443E" w:rsidRPr="007B1E68">
              <w:rPr>
                <w:rFonts w:cs="Calibri"/>
                <w:color w:val="000000"/>
              </w:rPr>
              <w:t>.</w:t>
            </w:r>
            <w:r w:rsidR="002E443E" w:rsidRPr="007B1E68">
              <w:rPr>
                <w:rFonts w:cs="Calibri"/>
                <w:color w:val="000000"/>
              </w:rPr>
              <w:br/>
            </w:r>
            <w:r w:rsidRPr="007B1E68">
              <w:rPr>
                <w:rFonts w:cs="Calibri"/>
                <w:color w:val="000000"/>
              </w:rPr>
              <w:t>Protocol available</w:t>
            </w:r>
            <w:r w:rsidR="002E443E" w:rsidRPr="007B1E68">
              <w:rPr>
                <w:rFonts w:cs="Calibri"/>
                <w:color w:val="000000"/>
              </w:rPr>
              <w:t>.</w:t>
            </w:r>
          </w:p>
        </w:tc>
        <w:tc>
          <w:tcPr>
            <w:tcW w:w="2976" w:type="dxa"/>
            <w:shd w:val="clear" w:color="auto" w:fill="auto"/>
          </w:tcPr>
          <w:p w:rsidR="00C133E1" w:rsidRPr="007B1E68" w:rsidRDefault="00C133E1" w:rsidP="007B1E68">
            <w:pPr>
              <w:pStyle w:val="ListBullet"/>
              <w:ind w:right="170"/>
              <w:rPr>
                <w:rFonts w:cs="Calibri"/>
                <w:color w:val="000000"/>
              </w:rPr>
            </w:pPr>
            <w:r w:rsidRPr="007B1E68">
              <w:rPr>
                <w:rFonts w:cs="Calibri"/>
                <w:color w:val="000000"/>
              </w:rPr>
              <w:t>Use in patients with hepatic impairment</w:t>
            </w:r>
          </w:p>
        </w:tc>
        <w:tc>
          <w:tcPr>
            <w:tcW w:w="4536" w:type="dxa"/>
            <w:shd w:val="clear" w:color="auto" w:fill="auto"/>
          </w:tcPr>
          <w:p w:rsidR="00C133E1" w:rsidRPr="007B1E68" w:rsidRDefault="00C133E1" w:rsidP="007B1E68">
            <w:pPr>
              <w:ind w:left="170" w:right="170"/>
              <w:rPr>
                <w:rFonts w:cs="Calibri"/>
                <w:color w:val="000000"/>
              </w:rPr>
            </w:pPr>
            <w:r w:rsidRPr="007B1E68">
              <w:rPr>
                <w:rFonts w:cs="Calibri"/>
                <w:color w:val="000000"/>
              </w:rPr>
              <w:t>Primary Objectives:</w:t>
            </w:r>
          </w:p>
          <w:p w:rsidR="00C133E1" w:rsidRPr="007B1E68" w:rsidRDefault="00C133E1" w:rsidP="007B1E68">
            <w:pPr>
              <w:pStyle w:val="ListBullet"/>
              <w:ind w:right="170"/>
              <w:rPr>
                <w:color w:val="000000"/>
              </w:rPr>
            </w:pPr>
            <w:r w:rsidRPr="007B1E68">
              <w:rPr>
                <w:color w:val="000000"/>
              </w:rPr>
              <w:t>Part 1: To evaluate the effect of severe hepatic impairment on the pharmacokinetics (PK) of a single oral dose of pomalidomide in male subjects.</w:t>
            </w:r>
          </w:p>
          <w:p w:rsidR="00C133E1" w:rsidRPr="007B1E68" w:rsidRDefault="00C133E1" w:rsidP="007B1E68">
            <w:pPr>
              <w:pStyle w:val="ListBullet"/>
              <w:ind w:right="170"/>
              <w:rPr>
                <w:color w:val="000000"/>
              </w:rPr>
            </w:pPr>
            <w:r w:rsidRPr="007B1E68">
              <w:rPr>
                <w:color w:val="000000"/>
              </w:rPr>
              <w:t>Part 2: To evaluate the effect of moderate and mild hepatic impairment on the PK of a single oral dose of pomalidomide in male subjects.</w:t>
            </w:r>
          </w:p>
          <w:p w:rsidR="00C133E1" w:rsidRPr="007B1E68" w:rsidRDefault="00C133E1" w:rsidP="007B1E68">
            <w:pPr>
              <w:ind w:left="170" w:right="170"/>
              <w:rPr>
                <w:color w:val="000000"/>
              </w:rPr>
            </w:pPr>
            <w:r w:rsidRPr="007B1E68">
              <w:rPr>
                <w:color w:val="000000"/>
              </w:rPr>
              <w:t>Secondary Objectives:</w:t>
            </w:r>
          </w:p>
          <w:p w:rsidR="00C133E1" w:rsidRPr="007B1E68" w:rsidRDefault="00C133E1" w:rsidP="007B1E68">
            <w:pPr>
              <w:pStyle w:val="ListBullet"/>
              <w:ind w:right="170"/>
              <w:rPr>
                <w:color w:val="000000"/>
              </w:rPr>
            </w:pPr>
            <w:r w:rsidRPr="007B1E68">
              <w:rPr>
                <w:color w:val="000000"/>
              </w:rPr>
              <w:t>To evaluate the effect of hepatic impairment on the safety of a single oral dose of pomalidomide in male subjects.</w:t>
            </w:r>
          </w:p>
        </w:tc>
        <w:tc>
          <w:tcPr>
            <w:tcW w:w="3119" w:type="dxa"/>
            <w:shd w:val="clear" w:color="auto" w:fill="auto"/>
          </w:tcPr>
          <w:p w:rsidR="00C133E1" w:rsidRPr="007B1E68" w:rsidRDefault="00C133E1" w:rsidP="007B1E68">
            <w:pPr>
              <w:ind w:left="170" w:right="170"/>
              <w:rPr>
                <w:color w:val="000000"/>
              </w:rPr>
            </w:pPr>
            <w:r w:rsidRPr="007B1E68">
              <w:rPr>
                <w:color w:val="000000"/>
              </w:rPr>
              <w:t>Q1 2016 (Final</w:t>
            </w:r>
            <w:r w:rsidR="002E443E" w:rsidRPr="007B1E68">
              <w:rPr>
                <w:color w:val="000000"/>
              </w:rPr>
              <w:t xml:space="preserve"> </w:t>
            </w:r>
            <w:r w:rsidRPr="007B1E68">
              <w:rPr>
                <w:color w:val="000000"/>
              </w:rPr>
              <w:t>report)</w:t>
            </w:r>
          </w:p>
        </w:tc>
      </w:tr>
      <w:tr w:rsidR="00C133E1" w:rsidRPr="00F16BA7" w:rsidTr="007B1E68">
        <w:tc>
          <w:tcPr>
            <w:tcW w:w="3936" w:type="dxa"/>
            <w:shd w:val="clear" w:color="auto" w:fill="auto"/>
          </w:tcPr>
          <w:p w:rsidR="00C133E1" w:rsidRPr="007B1E68" w:rsidRDefault="00C133E1" w:rsidP="007B1E68">
            <w:pPr>
              <w:ind w:right="170"/>
              <w:rPr>
                <w:rFonts w:cs="Calibri"/>
                <w:color w:val="000000"/>
              </w:rPr>
            </w:pPr>
            <w:r w:rsidRPr="007B1E68">
              <w:rPr>
                <w:rFonts w:cs="Calibri"/>
                <w:color w:val="000000"/>
              </w:rPr>
              <w:t>In vitro assessment of pomalidomide as an inhibitor of P-glycoprotein using Caco-2 cells</w:t>
            </w:r>
            <w:r w:rsidR="002E443E" w:rsidRPr="007B1E68">
              <w:rPr>
                <w:rFonts w:cs="Calibri"/>
                <w:color w:val="000000"/>
              </w:rPr>
              <w:t>.</w:t>
            </w:r>
            <w:r w:rsidR="002E443E" w:rsidRPr="007B1E68">
              <w:rPr>
                <w:rFonts w:cs="Calibri"/>
                <w:color w:val="000000"/>
              </w:rPr>
              <w:br/>
            </w:r>
            <w:r w:rsidRPr="007B1E68">
              <w:rPr>
                <w:rFonts w:cs="Calibri"/>
                <w:color w:val="000000"/>
              </w:rPr>
              <w:t>CC-4047-DMPK-1586</w:t>
            </w:r>
            <w:r w:rsidR="002E443E" w:rsidRPr="007B1E68">
              <w:rPr>
                <w:rFonts w:cs="Calibri"/>
                <w:color w:val="000000"/>
              </w:rPr>
              <w:br/>
            </w:r>
            <w:r w:rsidRPr="007B1E68">
              <w:rPr>
                <w:rFonts w:cs="Calibri"/>
                <w:color w:val="000000"/>
              </w:rPr>
              <w:t>Final report available</w:t>
            </w:r>
          </w:p>
        </w:tc>
        <w:tc>
          <w:tcPr>
            <w:tcW w:w="2976" w:type="dxa"/>
            <w:shd w:val="clear" w:color="auto" w:fill="auto"/>
          </w:tcPr>
          <w:p w:rsidR="00C133E1" w:rsidRPr="007B1E68" w:rsidRDefault="00C133E1" w:rsidP="007B1E68">
            <w:pPr>
              <w:pStyle w:val="ListBullet"/>
              <w:ind w:right="170"/>
              <w:rPr>
                <w:color w:val="000000"/>
              </w:rPr>
            </w:pPr>
            <w:r w:rsidRPr="007B1E68">
              <w:rPr>
                <w:color w:val="000000"/>
              </w:rPr>
              <w:t>Interactions with drugs affecting and metabolised by CYP1A2, 3A4/5 and P-glycoprotein</w:t>
            </w:r>
          </w:p>
        </w:tc>
        <w:tc>
          <w:tcPr>
            <w:tcW w:w="4536" w:type="dxa"/>
            <w:shd w:val="clear" w:color="auto" w:fill="auto"/>
          </w:tcPr>
          <w:p w:rsidR="00C133E1" w:rsidRPr="007B1E68" w:rsidRDefault="00C133E1" w:rsidP="007B1E68">
            <w:pPr>
              <w:ind w:left="170" w:right="170"/>
              <w:rPr>
                <w:color w:val="000000"/>
              </w:rPr>
            </w:pPr>
            <w:r w:rsidRPr="007B1E68">
              <w:rPr>
                <w:color w:val="000000"/>
              </w:rPr>
              <w:t>Conclusion:</w:t>
            </w:r>
          </w:p>
          <w:p w:rsidR="00C133E1" w:rsidRPr="007B1E68" w:rsidRDefault="00C133E1" w:rsidP="005F6C76">
            <w:pPr>
              <w:ind w:left="170" w:right="170"/>
              <w:rPr>
                <w:rFonts w:cs="Calibri"/>
                <w:color w:val="000000"/>
                <w:sz w:val="18"/>
                <w:szCs w:val="18"/>
              </w:rPr>
            </w:pPr>
            <w:r w:rsidRPr="007B1E68">
              <w:rPr>
                <w:color w:val="000000"/>
              </w:rPr>
              <w:t xml:space="preserve">The efflux ratio of digoxin was not reduced in the presence of pomalidomide indicating it is not an inhibitor of P-gp </w:t>
            </w:r>
            <w:r w:rsidRPr="007B1E68">
              <w:rPr>
                <w:i/>
                <w:color w:val="000000"/>
              </w:rPr>
              <w:t>in vitro</w:t>
            </w:r>
            <w:r w:rsidRPr="007B1E68">
              <w:rPr>
                <w:color w:val="000000"/>
              </w:rPr>
              <w:t>.</w:t>
            </w:r>
          </w:p>
        </w:tc>
        <w:tc>
          <w:tcPr>
            <w:tcW w:w="3119" w:type="dxa"/>
            <w:shd w:val="clear" w:color="auto" w:fill="auto"/>
          </w:tcPr>
          <w:p w:rsidR="00C133E1" w:rsidRPr="007B1E68" w:rsidRDefault="00C133E1" w:rsidP="007B1E68">
            <w:pPr>
              <w:ind w:left="170" w:right="170"/>
              <w:rPr>
                <w:color w:val="000000"/>
              </w:rPr>
            </w:pPr>
            <w:r w:rsidRPr="007B1E68">
              <w:rPr>
                <w:color w:val="000000"/>
              </w:rPr>
              <w:t>Q3 2013 (Final</w:t>
            </w:r>
            <w:r w:rsidR="002E443E" w:rsidRPr="007B1E68">
              <w:rPr>
                <w:color w:val="000000"/>
              </w:rPr>
              <w:t xml:space="preserve"> </w:t>
            </w:r>
            <w:r w:rsidRPr="007B1E68">
              <w:rPr>
                <w:color w:val="000000"/>
              </w:rPr>
              <w:t>Report)</w:t>
            </w:r>
          </w:p>
        </w:tc>
      </w:tr>
      <w:tr w:rsidR="00C133E1" w:rsidRPr="00F16BA7" w:rsidTr="007B1E68">
        <w:trPr>
          <w:trHeight w:val="1371"/>
        </w:trPr>
        <w:tc>
          <w:tcPr>
            <w:tcW w:w="3936" w:type="dxa"/>
            <w:shd w:val="clear" w:color="auto" w:fill="auto"/>
          </w:tcPr>
          <w:p w:rsidR="00C133E1" w:rsidRPr="007B1E68" w:rsidRDefault="00C133E1" w:rsidP="007B1E68">
            <w:pPr>
              <w:ind w:right="170"/>
              <w:rPr>
                <w:rFonts w:cs="Calibri"/>
                <w:color w:val="000000"/>
              </w:rPr>
            </w:pPr>
            <w:r w:rsidRPr="007B1E68">
              <w:rPr>
                <w:rFonts w:cs="Calibri"/>
                <w:color w:val="000000"/>
              </w:rPr>
              <w:lastRenderedPageBreak/>
              <w:t>CC-4047: Substrate potential in OATP1B1 and OATP1B3 expressing HEK293 cells</w:t>
            </w:r>
            <w:r w:rsidR="002E443E" w:rsidRPr="007B1E68">
              <w:rPr>
                <w:rFonts w:cs="Calibri"/>
                <w:color w:val="000000"/>
              </w:rPr>
              <w:t>.</w:t>
            </w:r>
            <w:r w:rsidR="002E443E" w:rsidRPr="007B1E68">
              <w:rPr>
                <w:rFonts w:cs="Calibri"/>
                <w:color w:val="000000"/>
              </w:rPr>
              <w:br/>
            </w:r>
            <w:r w:rsidRPr="007B1E68">
              <w:rPr>
                <w:rFonts w:cs="Calibri"/>
                <w:color w:val="000000"/>
              </w:rPr>
              <w:t>CC-4047-DMPK-1653</w:t>
            </w:r>
            <w:r w:rsidR="002E443E" w:rsidRPr="007B1E68">
              <w:rPr>
                <w:rFonts w:cs="Calibri"/>
                <w:color w:val="000000"/>
              </w:rPr>
              <w:br/>
            </w:r>
            <w:r w:rsidRPr="007B1E68">
              <w:rPr>
                <w:rFonts w:cs="Calibri"/>
                <w:color w:val="000000"/>
              </w:rPr>
              <w:t>Protocol synopsis available</w:t>
            </w:r>
          </w:p>
        </w:tc>
        <w:tc>
          <w:tcPr>
            <w:tcW w:w="2976" w:type="dxa"/>
            <w:shd w:val="clear" w:color="auto" w:fill="auto"/>
          </w:tcPr>
          <w:p w:rsidR="00C133E1" w:rsidRPr="007B1E68" w:rsidRDefault="00C133E1" w:rsidP="007B1E68">
            <w:pPr>
              <w:ind w:left="170" w:right="170"/>
              <w:rPr>
                <w:rFonts w:cs="Calibri"/>
                <w:color w:val="000000"/>
              </w:rPr>
            </w:pPr>
            <w:r w:rsidRPr="007B1E68">
              <w:rPr>
                <w:rFonts w:cs="Calibri"/>
                <w:i/>
                <w:color w:val="000000"/>
              </w:rPr>
              <w:t>None assigned.</w:t>
            </w:r>
          </w:p>
        </w:tc>
        <w:tc>
          <w:tcPr>
            <w:tcW w:w="4536" w:type="dxa"/>
            <w:shd w:val="clear" w:color="auto" w:fill="auto"/>
          </w:tcPr>
          <w:p w:rsidR="00C133E1" w:rsidRPr="007B1E68" w:rsidRDefault="00C133E1" w:rsidP="005F6C76">
            <w:pPr>
              <w:pStyle w:val="ListBullet"/>
              <w:ind w:right="170"/>
              <w:rPr>
                <w:rFonts w:cs="Calibri"/>
                <w:color w:val="000000"/>
                <w:sz w:val="18"/>
                <w:szCs w:val="18"/>
              </w:rPr>
            </w:pPr>
            <w:r w:rsidRPr="007B1E68">
              <w:rPr>
                <w:color w:val="000000"/>
              </w:rPr>
              <w:t>To determine if a clinical drug-drug interaction study evaluating pomalidomide as a substrate of OATP1B1 or OATP1B3 may be necessary.</w:t>
            </w:r>
          </w:p>
        </w:tc>
        <w:tc>
          <w:tcPr>
            <w:tcW w:w="3119" w:type="dxa"/>
            <w:shd w:val="clear" w:color="auto" w:fill="auto"/>
          </w:tcPr>
          <w:p w:rsidR="00C133E1" w:rsidRPr="007B1E68" w:rsidRDefault="00C133E1" w:rsidP="007B1E68">
            <w:pPr>
              <w:ind w:left="170" w:right="170"/>
              <w:rPr>
                <w:color w:val="000000"/>
              </w:rPr>
            </w:pPr>
            <w:r w:rsidRPr="007B1E68">
              <w:rPr>
                <w:color w:val="000000"/>
              </w:rPr>
              <w:t>Q4 2013 (Final</w:t>
            </w:r>
            <w:r w:rsidR="002E443E" w:rsidRPr="007B1E68">
              <w:rPr>
                <w:color w:val="000000"/>
              </w:rPr>
              <w:t xml:space="preserve"> </w:t>
            </w:r>
            <w:r w:rsidRPr="007B1E68">
              <w:rPr>
                <w:color w:val="000000"/>
              </w:rPr>
              <w:t>Report)</w:t>
            </w:r>
          </w:p>
        </w:tc>
      </w:tr>
      <w:tr w:rsidR="00C133E1" w:rsidRPr="00F16BA7" w:rsidTr="007B1E68">
        <w:tc>
          <w:tcPr>
            <w:tcW w:w="3936" w:type="dxa"/>
            <w:shd w:val="clear" w:color="auto" w:fill="auto"/>
          </w:tcPr>
          <w:p w:rsidR="00C133E1" w:rsidRPr="007B1E68" w:rsidRDefault="00C133E1" w:rsidP="007B1E68">
            <w:pPr>
              <w:ind w:right="170"/>
              <w:rPr>
                <w:rFonts w:cs="Calibri"/>
                <w:color w:val="000000"/>
              </w:rPr>
            </w:pPr>
            <w:r w:rsidRPr="007B1E68">
              <w:rPr>
                <w:rFonts w:cs="Calibri"/>
                <w:color w:val="000000"/>
              </w:rPr>
              <w:t>Population pharmacokinetics and exposure response analysis plan of pomalidomide</w:t>
            </w:r>
            <w:r w:rsidR="002E443E" w:rsidRPr="007B1E68">
              <w:rPr>
                <w:rFonts w:cs="Calibri"/>
                <w:color w:val="000000"/>
              </w:rPr>
              <w:t>.</w:t>
            </w:r>
            <w:r w:rsidR="002E443E" w:rsidRPr="007B1E68">
              <w:rPr>
                <w:rFonts w:cs="Calibri"/>
                <w:color w:val="000000"/>
              </w:rPr>
              <w:br/>
            </w:r>
            <w:r w:rsidRPr="007B1E68">
              <w:rPr>
                <w:rFonts w:cs="Calibri"/>
                <w:color w:val="000000"/>
              </w:rPr>
              <w:t>Protocol available</w:t>
            </w:r>
          </w:p>
        </w:tc>
        <w:tc>
          <w:tcPr>
            <w:tcW w:w="2976" w:type="dxa"/>
            <w:shd w:val="clear" w:color="auto" w:fill="auto"/>
          </w:tcPr>
          <w:p w:rsidR="00C133E1" w:rsidRPr="007B1E68" w:rsidRDefault="00C133E1" w:rsidP="007B1E68">
            <w:pPr>
              <w:pStyle w:val="ListBullet"/>
              <w:ind w:right="170"/>
              <w:rPr>
                <w:color w:val="000000"/>
              </w:rPr>
            </w:pPr>
            <w:r w:rsidRPr="007B1E68">
              <w:rPr>
                <w:color w:val="000000"/>
              </w:rPr>
              <w:t>Use in patients with renal impairment</w:t>
            </w:r>
          </w:p>
          <w:p w:rsidR="00C133E1" w:rsidRPr="007B1E68" w:rsidRDefault="00C133E1" w:rsidP="007B1E68">
            <w:pPr>
              <w:pStyle w:val="ListBullet"/>
              <w:ind w:right="170"/>
              <w:rPr>
                <w:color w:val="000000"/>
              </w:rPr>
            </w:pPr>
            <w:r w:rsidRPr="007B1E68">
              <w:rPr>
                <w:color w:val="000000"/>
              </w:rPr>
              <w:t>Use in patients with hepatic impairment</w:t>
            </w:r>
          </w:p>
          <w:p w:rsidR="00C133E1" w:rsidRPr="007B1E68" w:rsidRDefault="00C133E1" w:rsidP="007B1E68">
            <w:pPr>
              <w:pStyle w:val="ListBullet"/>
              <w:ind w:right="170"/>
              <w:rPr>
                <w:rFonts w:cs="Calibri"/>
                <w:color w:val="000000"/>
                <w:sz w:val="18"/>
                <w:szCs w:val="18"/>
              </w:rPr>
            </w:pPr>
            <w:r w:rsidRPr="007B1E68">
              <w:rPr>
                <w:color w:val="000000"/>
              </w:rPr>
              <w:t>Use in patients of different racial origin</w:t>
            </w:r>
          </w:p>
        </w:tc>
        <w:tc>
          <w:tcPr>
            <w:tcW w:w="4536" w:type="dxa"/>
            <w:shd w:val="clear" w:color="auto" w:fill="auto"/>
          </w:tcPr>
          <w:p w:rsidR="00C133E1" w:rsidRPr="007B1E68" w:rsidRDefault="00C133E1" w:rsidP="007B1E68">
            <w:pPr>
              <w:pStyle w:val="ListBullet"/>
              <w:ind w:right="170"/>
              <w:rPr>
                <w:color w:val="000000"/>
              </w:rPr>
            </w:pPr>
            <w:r w:rsidRPr="007B1E68">
              <w:rPr>
                <w:color w:val="000000"/>
              </w:rPr>
              <w:t>Pharmacokinetic data from completed studies in healthy subjects and MM patients will be included in a population pharmacokinetic analysis</w:t>
            </w:r>
          </w:p>
          <w:p w:rsidR="00C133E1" w:rsidRPr="007B1E68" w:rsidRDefault="00C133E1" w:rsidP="007B1E68">
            <w:pPr>
              <w:pStyle w:val="ListBullet"/>
              <w:ind w:right="170"/>
              <w:rPr>
                <w:color w:val="000000"/>
              </w:rPr>
            </w:pPr>
            <w:r w:rsidRPr="007B1E68">
              <w:rPr>
                <w:color w:val="000000"/>
              </w:rPr>
              <w:t>The covariates to be included in the analysis will include, but not be limited to, disease state, dose, formulation, fed state, age, weight, race, gender, creatinine clearance (mL/min) and markers of hepatic function, as available.</w:t>
            </w:r>
          </w:p>
        </w:tc>
        <w:tc>
          <w:tcPr>
            <w:tcW w:w="3119" w:type="dxa"/>
            <w:shd w:val="clear" w:color="auto" w:fill="auto"/>
          </w:tcPr>
          <w:p w:rsidR="00C133E1" w:rsidRPr="007B1E68" w:rsidRDefault="00C133E1" w:rsidP="007B1E68">
            <w:pPr>
              <w:ind w:left="170" w:right="170"/>
              <w:rPr>
                <w:color w:val="000000"/>
              </w:rPr>
            </w:pPr>
            <w:r w:rsidRPr="007B1E68">
              <w:rPr>
                <w:color w:val="000000"/>
              </w:rPr>
              <w:t>End of 2013</w:t>
            </w:r>
            <w:r w:rsidR="002E443E" w:rsidRPr="007B1E68">
              <w:rPr>
                <w:color w:val="000000"/>
              </w:rPr>
              <w:t xml:space="preserve"> </w:t>
            </w:r>
            <w:r w:rsidRPr="007B1E68">
              <w:rPr>
                <w:color w:val="000000"/>
              </w:rPr>
              <w:t>(Final Report)</w:t>
            </w:r>
          </w:p>
        </w:tc>
      </w:tr>
    </w:tbl>
    <w:p w:rsidR="00541B7E" w:rsidRPr="00581E18" w:rsidRDefault="00581E18" w:rsidP="00CA05F5">
      <w:pPr>
        <w:pStyle w:val="Heading4"/>
        <w:spacing w:before="120"/>
        <w:rPr>
          <w:b w:val="0"/>
          <w:szCs w:val="20"/>
          <w:lang w:eastAsia="en-AU"/>
        </w:rPr>
        <w:sectPr w:rsidR="00541B7E" w:rsidRPr="00581E18" w:rsidSect="00541B7E">
          <w:footerReference w:type="default" r:id="rId22"/>
          <w:pgSz w:w="16838" w:h="11906" w:orient="landscape" w:code="9"/>
          <w:pgMar w:top="1701" w:right="834" w:bottom="1701" w:left="1191" w:header="907" w:footer="216" w:gutter="0"/>
          <w:cols w:space="708"/>
          <w:docGrid w:linePitch="360"/>
        </w:sectPr>
      </w:pPr>
      <w:r w:rsidRPr="00581E18">
        <w:rPr>
          <w:b w:val="0"/>
          <w:szCs w:val="20"/>
          <w:lang w:eastAsia="en-AU"/>
        </w:rPr>
        <w:t>Q=quarter</w:t>
      </w:r>
    </w:p>
    <w:p w:rsidR="00E548BC" w:rsidRDefault="00C133E1" w:rsidP="00586850">
      <w:pPr>
        <w:pStyle w:val="Heading4"/>
        <w:rPr>
          <w:lang w:eastAsia="en-AU"/>
        </w:rPr>
      </w:pPr>
      <w:r>
        <w:rPr>
          <w:lang w:eastAsia="en-AU"/>
        </w:rPr>
        <w:lastRenderedPageBreak/>
        <w:t>Risk minimisation plan</w:t>
      </w:r>
    </w:p>
    <w:p w:rsidR="00E548BC" w:rsidRPr="00E548BC" w:rsidRDefault="00E548BC" w:rsidP="00586850">
      <w:r w:rsidRPr="00E548BC">
        <w:t>The sponsor proposes routine and additional pharmacovigilance activities for identified risks, important potential risks and missing information.</w:t>
      </w:r>
    </w:p>
    <w:p w:rsidR="00C133E1" w:rsidRPr="00C133E1" w:rsidRDefault="00C133E1" w:rsidP="00586850">
      <w:r w:rsidRPr="00C133E1">
        <w:t>Routine and additional risk minimisation activities are proposed for</w:t>
      </w:r>
      <w:r w:rsidRPr="00C133E1">
        <w:rPr>
          <w:vertAlign w:val="superscript"/>
        </w:rPr>
        <w:t xml:space="preserve"> </w:t>
      </w:r>
      <w:r w:rsidRPr="00C133E1">
        <w:t>pomalidomide.</w:t>
      </w:r>
    </w:p>
    <w:p w:rsidR="00C133E1" w:rsidRPr="00C133E1" w:rsidRDefault="00C133E1" w:rsidP="00586850">
      <w:r w:rsidRPr="00C133E1">
        <w:t>Additional risk minimisation activities have been assigned to teratogenicity, neutropaenia, TEEs, peripheral neuropathy, thrombocytopaenia and bleeding, TLS, somnolence, and off-label use. All the aforementioned risks will be covered by health care professional education materials, the risk of teratogenicity will be additionally covered by a pregnancy prevention programme.</w:t>
      </w:r>
    </w:p>
    <w:p w:rsidR="00C133E1" w:rsidRPr="00C133E1" w:rsidRDefault="00C133E1" w:rsidP="005F6C76">
      <w:pPr>
        <w:pStyle w:val="Heading5"/>
      </w:pPr>
      <w:r w:rsidRPr="00C133E1">
        <w:t xml:space="preserve">Pregnancy </w:t>
      </w:r>
      <w:r w:rsidR="00586850" w:rsidRPr="005F6C76">
        <w:t>p</w:t>
      </w:r>
      <w:r w:rsidRPr="005F6C76">
        <w:t>revention</w:t>
      </w:r>
      <w:r w:rsidRPr="00C133E1">
        <w:t xml:space="preserve"> </w:t>
      </w:r>
      <w:r w:rsidR="00586850">
        <w:rPr>
          <w:lang w:val="en-AU"/>
        </w:rPr>
        <w:t>p</w:t>
      </w:r>
      <w:r w:rsidRPr="00C133E1">
        <w:t>rogramme</w:t>
      </w:r>
    </w:p>
    <w:p w:rsidR="00C133E1" w:rsidRPr="00C133E1" w:rsidRDefault="00C133E1" w:rsidP="00586850">
      <w:r w:rsidRPr="00C133E1">
        <w:t xml:space="preserve">The sponsor is proposing a pregnancy prevention programme for patients on pomalidomide. In Australia, this is facilitated through </w:t>
      </w:r>
      <w:proofErr w:type="gramStart"/>
      <w:r w:rsidRPr="00C133E1">
        <w:t xml:space="preserve">the </w:t>
      </w:r>
      <w:r w:rsidRPr="00C133E1">
        <w:rPr>
          <w:i/>
        </w:rPr>
        <w:t>i</w:t>
      </w:r>
      <w:proofErr w:type="gramEnd"/>
      <w:r w:rsidRPr="00C133E1">
        <w:rPr>
          <w:i/>
        </w:rPr>
        <w:t>-access</w:t>
      </w:r>
      <w:r w:rsidRPr="00C133E1">
        <w:rPr>
          <w:vertAlign w:val="superscript"/>
        </w:rPr>
        <w:t>®</w:t>
      </w:r>
      <w:r w:rsidRPr="00C133E1">
        <w:t xml:space="preserve"> program for pregnancy prevention. The programme involves prescribers, patients, and pharmacist</w:t>
      </w:r>
      <w:r w:rsidR="00DB6CA8">
        <w:t>s</w:t>
      </w:r>
      <w:r w:rsidRPr="00C133E1">
        <w:t>. All parties involved need to be registered with the programme. Flowcharts of the process for prescribers, patients and pharmacists are in Appendix 3 of the submitted ASA for the EU-RMP.</w:t>
      </w:r>
    </w:p>
    <w:p w:rsidR="006F25B8" w:rsidRPr="005F6C76" w:rsidRDefault="006F25B8" w:rsidP="005F6C76">
      <w:pPr>
        <w:pStyle w:val="Heading4"/>
      </w:pPr>
      <w:r w:rsidRPr="006F25B8">
        <w:rPr>
          <w:lang w:eastAsia="en-AU"/>
        </w:rPr>
        <w:t>Reconciliation of is</w:t>
      </w:r>
      <w:r w:rsidR="005F6C76">
        <w:rPr>
          <w:lang w:eastAsia="en-AU"/>
        </w:rPr>
        <w:t>sues outlined in the RMP report</w:t>
      </w:r>
    </w:p>
    <w:p w:rsidR="005F3B93" w:rsidRDefault="005F3B93" w:rsidP="00586850">
      <w:r w:rsidRPr="005D63DD">
        <w:t>Reconciliation of issues outlined in the RMP report</w:t>
      </w:r>
      <w:r>
        <w:t xml:space="preserve"> is as follows.</w:t>
      </w:r>
    </w:p>
    <w:p w:rsidR="00863F46" w:rsidRDefault="00863F46" w:rsidP="00586850">
      <w:pPr>
        <w:pStyle w:val="Heading5"/>
      </w:pPr>
      <w:r w:rsidRPr="00A24C10">
        <w:t xml:space="preserve">Recommendation </w:t>
      </w:r>
      <w:r>
        <w:t xml:space="preserve">#1 </w:t>
      </w:r>
      <w:r w:rsidRPr="00A24C10">
        <w:t>in RMP evaluation report</w:t>
      </w:r>
    </w:p>
    <w:p w:rsidR="00A92FEC" w:rsidRPr="00A92FEC" w:rsidRDefault="00A92FEC" w:rsidP="00586850">
      <w:r w:rsidRPr="00A92FEC">
        <w:t>The following should be added as Ongoing Safety Concerns, or a compelling justification provided:</w:t>
      </w:r>
    </w:p>
    <w:p w:rsidR="00A92FEC" w:rsidRPr="00A92FEC" w:rsidRDefault="00A92FEC" w:rsidP="00586850">
      <w:pPr>
        <w:pStyle w:val="ListBullet"/>
      </w:pPr>
      <w:r w:rsidRPr="00A92FEC">
        <w:t>Anaemia;</w:t>
      </w:r>
    </w:p>
    <w:p w:rsidR="00A92FEC" w:rsidRPr="00A92FEC" w:rsidRDefault="00A92FEC" w:rsidP="00586850">
      <w:pPr>
        <w:pStyle w:val="ListBullet"/>
      </w:pPr>
      <w:r w:rsidRPr="00A92FEC">
        <w:t>Dyspnoea; and</w:t>
      </w:r>
    </w:p>
    <w:p w:rsidR="00863F46" w:rsidRPr="00A92FEC" w:rsidRDefault="00794CFE" w:rsidP="00586850">
      <w:pPr>
        <w:pStyle w:val="ListBullet"/>
      </w:pPr>
      <w:r>
        <w:t>GI</w:t>
      </w:r>
      <w:r w:rsidR="00A92FEC" w:rsidRPr="00A92FEC">
        <w:t xml:space="preserve"> toxicity</w:t>
      </w:r>
      <w:r w:rsidR="00A92FEC">
        <w:t>.</w:t>
      </w:r>
    </w:p>
    <w:p w:rsidR="00863F46" w:rsidRDefault="00863F46" w:rsidP="00586850">
      <w:pPr>
        <w:pStyle w:val="Heading6"/>
      </w:pPr>
      <w:r>
        <w:t>Sponsor response</w:t>
      </w:r>
    </w:p>
    <w:p w:rsidR="00863F46" w:rsidRDefault="00623AA3" w:rsidP="00586850">
      <w:r>
        <w:t>The sponsor</w:t>
      </w:r>
      <w:r w:rsidR="0078620A" w:rsidRPr="0078620A">
        <w:t xml:space="preserve"> closely monitors all </w:t>
      </w:r>
      <w:r w:rsidR="004349FB">
        <w:t>AEs</w:t>
      </w:r>
      <w:r w:rsidR="0078620A" w:rsidRPr="0078620A">
        <w:t xml:space="preserve"> received for pomalidomide on a case by case basis as well as in an aggregate fashion. Based upon experience and medical judg</w:t>
      </w:r>
      <w:r>
        <w:t>e</w:t>
      </w:r>
      <w:r w:rsidR="0078620A" w:rsidRPr="0078620A">
        <w:t>ment</w:t>
      </w:r>
      <w:r>
        <w:t>,</w:t>
      </w:r>
      <w:r w:rsidR="0078620A" w:rsidRPr="0078620A">
        <w:t xml:space="preserve"> </w:t>
      </w:r>
      <w:r>
        <w:t xml:space="preserve">the sponsor </w:t>
      </w:r>
      <w:r w:rsidR="0078620A" w:rsidRPr="0078620A">
        <w:t xml:space="preserve">does not believe that these events need to be incorporation into the RMP, as ongoing safety concerns, at this time. However, </w:t>
      </w:r>
      <w:r w:rsidR="00E8093D">
        <w:t>the sponsor</w:t>
      </w:r>
      <w:r w:rsidR="0078620A" w:rsidRPr="0078620A">
        <w:t xml:space="preserve"> will continue to monitor these events and will update the EU RMP and the </w:t>
      </w:r>
      <w:r w:rsidR="001103EE">
        <w:t xml:space="preserve">ASA </w:t>
      </w:r>
      <w:r w:rsidR="0078620A" w:rsidRPr="0078620A">
        <w:t>should new data be received</w:t>
      </w:r>
      <w:r w:rsidR="0078620A">
        <w:t>.</w:t>
      </w:r>
    </w:p>
    <w:p w:rsidR="00863F46" w:rsidRDefault="00863F46" w:rsidP="00586850">
      <w:pPr>
        <w:pStyle w:val="Heading6"/>
      </w:pPr>
      <w:r>
        <w:t>OPR evaluator’s comment</w:t>
      </w:r>
    </w:p>
    <w:p w:rsidR="00DF5A6E" w:rsidRPr="00966361" w:rsidRDefault="00DF5A6E" w:rsidP="00586850">
      <w:r w:rsidRPr="00966361">
        <w:t>The sponsor has not given a compelling justification why these concerns should not be included.</w:t>
      </w:r>
    </w:p>
    <w:p w:rsidR="00863F46" w:rsidRPr="00966361" w:rsidRDefault="00DF5A6E" w:rsidP="00586850">
      <w:r w:rsidRPr="00966361">
        <w:t>However, at this stage, the sponsor is not required to include these risks, but this will be reviewed in the future.</w:t>
      </w:r>
    </w:p>
    <w:p w:rsidR="00A92FEC" w:rsidRDefault="00A92FEC" w:rsidP="00586850">
      <w:pPr>
        <w:pStyle w:val="Heading5"/>
      </w:pPr>
      <w:r w:rsidRPr="00A24C10">
        <w:t xml:space="preserve">Recommendation </w:t>
      </w:r>
      <w:r>
        <w:t>#</w:t>
      </w:r>
      <w:r w:rsidR="00966361">
        <w:t>2</w:t>
      </w:r>
      <w:r>
        <w:t xml:space="preserve"> </w:t>
      </w:r>
      <w:r w:rsidRPr="00A24C10">
        <w:t>in RMP evaluation report</w:t>
      </w:r>
    </w:p>
    <w:p w:rsidR="00A92FEC" w:rsidRPr="00EC1BD9" w:rsidRDefault="00036A6E" w:rsidP="00586850">
      <w:r w:rsidRPr="00EC1BD9">
        <w:t xml:space="preserve">The sponsor is advised to submit the final study reports with </w:t>
      </w:r>
      <w:r w:rsidR="00E41A82" w:rsidRPr="00E41A82">
        <w:t>Periodic Safety Update Report</w:t>
      </w:r>
      <w:r w:rsidR="00E41A82">
        <w:t>s (</w:t>
      </w:r>
      <w:r w:rsidRPr="00EC1BD9">
        <w:t>PSURs</w:t>
      </w:r>
      <w:r w:rsidR="00E41A82">
        <w:t>)</w:t>
      </w:r>
      <w:r w:rsidR="001E3610">
        <w:t>,</w:t>
      </w:r>
      <w:r w:rsidRPr="00EC1BD9">
        <w:t xml:space="preserve"> when they become available.</w:t>
      </w:r>
    </w:p>
    <w:p w:rsidR="00A92FEC" w:rsidRDefault="00A92FEC" w:rsidP="00586850">
      <w:pPr>
        <w:pStyle w:val="Heading6"/>
      </w:pPr>
      <w:r>
        <w:t>Sponsor response</w:t>
      </w:r>
    </w:p>
    <w:p w:rsidR="00A92FEC" w:rsidRPr="00DD6A16" w:rsidRDefault="00881396" w:rsidP="00586850">
      <w:r>
        <w:t>The sponsor</w:t>
      </w:r>
      <w:r w:rsidR="00EC1BD9" w:rsidRPr="00DD6A16">
        <w:t xml:space="preserve"> agrees to submit the final study reports relating to pharmacovigilance activities with the PSURs, when available.</w:t>
      </w:r>
    </w:p>
    <w:p w:rsidR="00A92FEC" w:rsidRDefault="00A92FEC" w:rsidP="00586850">
      <w:pPr>
        <w:pStyle w:val="Heading6"/>
      </w:pPr>
      <w:r>
        <w:lastRenderedPageBreak/>
        <w:t>OPR evaluator’s comment</w:t>
      </w:r>
    </w:p>
    <w:p w:rsidR="00A92FEC" w:rsidRPr="002312E5" w:rsidRDefault="00DD6A16" w:rsidP="00586850">
      <w:r w:rsidRPr="002312E5">
        <w:t>This is considered acceptable.</w:t>
      </w:r>
    </w:p>
    <w:p w:rsidR="00966361" w:rsidRDefault="00966361" w:rsidP="00586850">
      <w:pPr>
        <w:pStyle w:val="Heading5"/>
      </w:pPr>
      <w:r w:rsidRPr="00A24C10">
        <w:t xml:space="preserve">Recommendation </w:t>
      </w:r>
      <w:r>
        <w:t xml:space="preserve">#3 </w:t>
      </w:r>
      <w:r w:rsidRPr="00A24C10">
        <w:t>in RMP evaluation report</w:t>
      </w:r>
    </w:p>
    <w:p w:rsidR="00F74C90" w:rsidRPr="00F74C90" w:rsidRDefault="00F74C90" w:rsidP="00586850">
      <w:r w:rsidRPr="00F74C90">
        <w:t>The pregnancy prevention programme seems to adequately prevent the risk of pregnancy during therapy with pomalidomide. Some issues require clarification or further recommendations:</w:t>
      </w:r>
    </w:p>
    <w:p w:rsidR="00F74C90" w:rsidRPr="00F74C90" w:rsidRDefault="00F74C90" w:rsidP="005F6C76">
      <w:pPr>
        <w:pStyle w:val="ListBullet"/>
      </w:pPr>
      <w:r w:rsidRPr="00F74C90">
        <w:t>The sponsor should clarify what constitutes a ‘medi</w:t>
      </w:r>
      <w:r w:rsidR="005558D4">
        <w:t>cal practitioner working with a</w:t>
      </w:r>
      <w:r w:rsidRPr="00F74C90">
        <w:t xml:space="preserve"> haematologist/oncologist’.</w:t>
      </w:r>
    </w:p>
    <w:p w:rsidR="00966361" w:rsidRDefault="00966361" w:rsidP="00586850">
      <w:pPr>
        <w:pStyle w:val="Heading6"/>
      </w:pPr>
      <w:r>
        <w:t>Sponsor response</w:t>
      </w:r>
    </w:p>
    <w:p w:rsidR="00966361" w:rsidRPr="009644D9" w:rsidRDefault="009644D9" w:rsidP="00586850">
      <w:r w:rsidRPr="009644D9">
        <w:t xml:space="preserve">The treatment with </w:t>
      </w:r>
      <w:r w:rsidR="0017057E" w:rsidRPr="00F74C90">
        <w:t>pomalidomide</w:t>
      </w:r>
      <w:r w:rsidRPr="009644D9">
        <w:t xml:space="preserve"> can only be initiated by a haematologist/oncologist specialist who is registered with </w:t>
      </w:r>
      <w:proofErr w:type="gramStart"/>
      <w:r w:rsidRPr="009644D9">
        <w:t xml:space="preserve">the </w:t>
      </w:r>
      <w:r w:rsidRPr="004A4D5F">
        <w:rPr>
          <w:i/>
        </w:rPr>
        <w:t>i</w:t>
      </w:r>
      <w:proofErr w:type="gramEnd"/>
      <w:r w:rsidRPr="004A4D5F">
        <w:rPr>
          <w:i/>
        </w:rPr>
        <w:t>-access</w:t>
      </w:r>
      <w:r w:rsidRPr="009644D9">
        <w:t xml:space="preserve"> program. The ongoing management of patients can be conducted by a medical practitioner under the supervision of the haematologist/oncologist specialist. The medical practitioner could be a physician in training to become a specialist in haematology/oncology. He or she could also be a haematology/oncology resident or registrar, working with the specialist at the time, as part of ongoing medical training and experience.</w:t>
      </w:r>
    </w:p>
    <w:p w:rsidR="00966361" w:rsidRDefault="00966361" w:rsidP="00586850">
      <w:pPr>
        <w:pStyle w:val="Heading6"/>
      </w:pPr>
      <w:r>
        <w:t>OPR evaluator’s comment</w:t>
      </w:r>
    </w:p>
    <w:p w:rsidR="001611E7" w:rsidRPr="002312E5" w:rsidRDefault="001611E7" w:rsidP="00586850">
      <w:r w:rsidRPr="002312E5">
        <w:t>This is considered acceptable.</w:t>
      </w:r>
    </w:p>
    <w:p w:rsidR="002312E5" w:rsidRDefault="002312E5" w:rsidP="00586850">
      <w:pPr>
        <w:pStyle w:val="Heading5"/>
      </w:pPr>
      <w:r w:rsidRPr="00A24C10">
        <w:t xml:space="preserve">Recommendation </w:t>
      </w:r>
      <w:r>
        <w:t xml:space="preserve">#4 </w:t>
      </w:r>
      <w:r w:rsidRPr="00A24C10">
        <w:t>in RMP evaluation report</w:t>
      </w:r>
    </w:p>
    <w:p w:rsidR="002312E5" w:rsidRPr="00C55E80" w:rsidRDefault="00E852C1" w:rsidP="00586850">
      <w:r w:rsidRPr="00C55E80">
        <w:t>The sponsor should clarify what constitutes a ‘medically supervised pregnancy test’.</w:t>
      </w:r>
    </w:p>
    <w:p w:rsidR="002312E5" w:rsidRDefault="002312E5" w:rsidP="00586850">
      <w:pPr>
        <w:pStyle w:val="Heading6"/>
      </w:pPr>
      <w:r>
        <w:t>Sponsor response</w:t>
      </w:r>
    </w:p>
    <w:p w:rsidR="002312E5" w:rsidRPr="005B08B7" w:rsidRDefault="00C55E80" w:rsidP="00586850">
      <w:r w:rsidRPr="005B08B7">
        <w:t xml:space="preserve">A medically supervised pregnancy test, as described in the PI, requires a minimum sensitivity </w:t>
      </w:r>
      <w:proofErr w:type="gramStart"/>
      <w:r w:rsidRPr="005B08B7">
        <w:t>of 25 mIU/mL</w:t>
      </w:r>
      <w:proofErr w:type="gramEnd"/>
      <w:r w:rsidRPr="005B08B7">
        <w:t xml:space="preserve"> and needs to be conducted by a healthcare professional in order to ensure that the patient is not pregnant prior to commencement of treatment with </w:t>
      </w:r>
      <w:r w:rsidR="003816E6" w:rsidRPr="00F74C90">
        <w:t>pomalidomide</w:t>
      </w:r>
      <w:r w:rsidRPr="005B08B7">
        <w:t>. These would typically be blood tests.</w:t>
      </w:r>
    </w:p>
    <w:p w:rsidR="002312E5" w:rsidRDefault="002312E5" w:rsidP="00586850">
      <w:pPr>
        <w:pStyle w:val="Heading6"/>
      </w:pPr>
      <w:r>
        <w:t>OPR evaluator’s comment</w:t>
      </w:r>
    </w:p>
    <w:p w:rsidR="002312E5" w:rsidRPr="00EF5A2F" w:rsidRDefault="005B08B7" w:rsidP="00586850">
      <w:r w:rsidRPr="00EF5A2F">
        <w:t>The sponsor should specify that the pregnancy test should be a blood test.</w:t>
      </w:r>
    </w:p>
    <w:p w:rsidR="000D726B" w:rsidRDefault="000D726B" w:rsidP="00586850">
      <w:pPr>
        <w:pStyle w:val="Heading5"/>
      </w:pPr>
      <w:r w:rsidRPr="00A24C10">
        <w:t xml:space="preserve">Recommendation </w:t>
      </w:r>
      <w:r>
        <w:t xml:space="preserve">#5 </w:t>
      </w:r>
      <w:r w:rsidRPr="00A24C10">
        <w:t>in RMP evaluation report</w:t>
      </w:r>
    </w:p>
    <w:p w:rsidR="000D726B" w:rsidRPr="003E0C19" w:rsidRDefault="003E0C19" w:rsidP="00586850">
      <w:r w:rsidRPr="003E0C19">
        <w:t>The sponsor should clarify what patient information material is distributed (other than the CMI document).</w:t>
      </w:r>
    </w:p>
    <w:p w:rsidR="000D726B" w:rsidRDefault="000D726B" w:rsidP="00586850">
      <w:pPr>
        <w:pStyle w:val="Heading6"/>
      </w:pPr>
      <w:r>
        <w:t>Sponsor response</w:t>
      </w:r>
    </w:p>
    <w:p w:rsidR="000D726B" w:rsidRPr="00DB2B14" w:rsidRDefault="003E0C19" w:rsidP="00586850">
      <w:r w:rsidRPr="00DB2B14">
        <w:t xml:space="preserve">The main information document provided to the patients by </w:t>
      </w:r>
      <w:r w:rsidR="008155A2">
        <w:t>the sponsor</w:t>
      </w:r>
      <w:r w:rsidRPr="00DB2B14">
        <w:t xml:space="preserve"> is the CMI. The prescribers, haematologist/oncologist specialists, who are trained on the pregnancy prevention requirements for </w:t>
      </w:r>
      <w:r w:rsidR="00936459" w:rsidRPr="00F74C90">
        <w:t>pomalidomide</w:t>
      </w:r>
      <w:r w:rsidRPr="00DB2B14">
        <w:t xml:space="preserve"> and are registered with </w:t>
      </w:r>
      <w:proofErr w:type="gramStart"/>
      <w:r w:rsidRPr="00DB2B14">
        <w:t xml:space="preserve">the </w:t>
      </w:r>
      <w:r w:rsidRPr="00DB2B14">
        <w:rPr>
          <w:i/>
        </w:rPr>
        <w:t>i</w:t>
      </w:r>
      <w:proofErr w:type="gramEnd"/>
      <w:r w:rsidRPr="00DB2B14">
        <w:rPr>
          <w:i/>
        </w:rPr>
        <w:t xml:space="preserve">-access </w:t>
      </w:r>
      <w:r w:rsidRPr="00DB2B14">
        <w:t>program will educate and counsel all patients (females of child</w:t>
      </w:r>
      <w:r w:rsidR="00D101D9">
        <w:t xml:space="preserve"> </w:t>
      </w:r>
      <w:r w:rsidRPr="00DB2B14">
        <w:t>bearing potenti</w:t>
      </w:r>
      <w:r w:rsidR="00A42FA8">
        <w:t>al, females of non-</w:t>
      </w:r>
      <w:r w:rsidR="00AC6B4D">
        <w:t xml:space="preserve">child </w:t>
      </w:r>
      <w:r w:rsidRPr="00DB2B14">
        <w:t xml:space="preserve">bearing potential and males) on the </w:t>
      </w:r>
      <w:r w:rsidRPr="00DB2B14">
        <w:rPr>
          <w:i/>
        </w:rPr>
        <w:t>i-access</w:t>
      </w:r>
      <w:r w:rsidRPr="00DB2B14">
        <w:t xml:space="preserve"> program and the special requirements of the </w:t>
      </w:r>
      <w:r w:rsidRPr="0003195C">
        <w:rPr>
          <w:i/>
        </w:rPr>
        <w:t>i-access</w:t>
      </w:r>
      <w:r w:rsidRPr="00DB2B14">
        <w:t xml:space="preserve"> program for pregnancy prevention.</w:t>
      </w:r>
    </w:p>
    <w:p w:rsidR="000D726B" w:rsidRDefault="000D726B" w:rsidP="00586850">
      <w:pPr>
        <w:pStyle w:val="Heading6"/>
      </w:pPr>
      <w:r>
        <w:t>OPR evaluator’s comment</w:t>
      </w:r>
    </w:p>
    <w:p w:rsidR="000D726B" w:rsidRPr="00182683" w:rsidRDefault="00355469" w:rsidP="00586850">
      <w:r w:rsidRPr="00182683">
        <w:t>Based on the information given by the sponsor, it is assumed that no patient information material is distributed (other than the CMI document).</w:t>
      </w:r>
    </w:p>
    <w:p w:rsidR="00C63491" w:rsidRDefault="00C63491" w:rsidP="00586850">
      <w:pPr>
        <w:pStyle w:val="Heading5"/>
      </w:pPr>
      <w:r w:rsidRPr="00A24C10">
        <w:t xml:space="preserve">Recommendation </w:t>
      </w:r>
      <w:r>
        <w:t xml:space="preserve">#6 </w:t>
      </w:r>
      <w:r w:rsidRPr="00A24C10">
        <w:t>in RMP evaluation report</w:t>
      </w:r>
    </w:p>
    <w:p w:rsidR="00C63491" w:rsidRPr="003E0897" w:rsidRDefault="008768ED" w:rsidP="00586850">
      <w:r w:rsidRPr="003E0897">
        <w:t>The sponsor should clarify whether the training sessions for health care professionals are delivered online or in person.</w:t>
      </w:r>
    </w:p>
    <w:p w:rsidR="00C63491" w:rsidRDefault="00C63491" w:rsidP="00586850">
      <w:pPr>
        <w:pStyle w:val="Heading6"/>
      </w:pPr>
      <w:r>
        <w:lastRenderedPageBreak/>
        <w:t>Sponsor response</w:t>
      </w:r>
    </w:p>
    <w:p w:rsidR="00C63491" w:rsidRPr="00B02899" w:rsidRDefault="003E0897" w:rsidP="00586850">
      <w:r w:rsidRPr="00B02899">
        <w:t xml:space="preserve">The Celgene Haematology Specialist Representatives (HSRs) provide personal, face to face training to the prescribers (haematologists/oncologists) prior to registration with </w:t>
      </w:r>
      <w:proofErr w:type="gramStart"/>
      <w:r w:rsidRPr="00B02899">
        <w:t xml:space="preserve">the </w:t>
      </w:r>
      <w:r w:rsidRPr="0068365E">
        <w:rPr>
          <w:i/>
        </w:rPr>
        <w:t>i</w:t>
      </w:r>
      <w:proofErr w:type="gramEnd"/>
      <w:r w:rsidRPr="0068365E">
        <w:rPr>
          <w:i/>
        </w:rPr>
        <w:t xml:space="preserve">-access </w:t>
      </w:r>
      <w:r w:rsidRPr="00B02899">
        <w:t>program and on an ongoing basis, as required. The Celgene Risk Management Specialists provide individual in-service training over the telephone to the prescribers</w:t>
      </w:r>
      <w:r w:rsidR="009F0064">
        <w:t xml:space="preserve"> </w:t>
      </w:r>
      <w:r w:rsidRPr="00B02899">
        <w:t xml:space="preserve">(haematologists/oncologists) who cannot be accessed by the </w:t>
      </w:r>
      <w:proofErr w:type="gramStart"/>
      <w:r w:rsidRPr="00B02899">
        <w:t>HSRs,</w:t>
      </w:r>
      <w:proofErr w:type="gramEnd"/>
      <w:r w:rsidRPr="00B02899">
        <w:t xml:space="preserve"> and to the main Pharmacists of each pharmacy prior to registration with the </w:t>
      </w:r>
      <w:r w:rsidRPr="003F276B">
        <w:rPr>
          <w:i/>
        </w:rPr>
        <w:t>i-access</w:t>
      </w:r>
      <w:r w:rsidRPr="00B02899">
        <w:t xml:space="preserve"> program. Once training is completed, the prescribers (haematologists/oncologists) and the pharmacists are also able to access online educational material for easy reference.</w:t>
      </w:r>
    </w:p>
    <w:p w:rsidR="00C63491" w:rsidRDefault="00C63491" w:rsidP="00586850">
      <w:pPr>
        <w:pStyle w:val="Heading6"/>
      </w:pPr>
      <w:r>
        <w:t>OPR evaluator’s comment</w:t>
      </w:r>
    </w:p>
    <w:p w:rsidR="00C63491" w:rsidRPr="009F0064" w:rsidRDefault="00B02899" w:rsidP="00586850">
      <w:r w:rsidRPr="009F0064">
        <w:t>This is considered acceptable.</w:t>
      </w:r>
    </w:p>
    <w:p w:rsidR="008768ED" w:rsidRDefault="008768ED" w:rsidP="00586850">
      <w:pPr>
        <w:pStyle w:val="Heading5"/>
      </w:pPr>
      <w:r w:rsidRPr="00A24C10">
        <w:t xml:space="preserve">Recommendation </w:t>
      </w:r>
      <w:r>
        <w:t xml:space="preserve">#7 </w:t>
      </w:r>
      <w:r w:rsidRPr="00A24C10">
        <w:t>in RMP evaluation report</w:t>
      </w:r>
    </w:p>
    <w:p w:rsidR="008768ED" w:rsidRPr="002F05AA" w:rsidRDefault="009A330A" w:rsidP="00586850">
      <w:r w:rsidRPr="002F05AA">
        <w:t>The sponsor should clarify whether the educational materials (for each prescriber, pharmacist and patients) are supplied in print or online or both.</w:t>
      </w:r>
    </w:p>
    <w:p w:rsidR="008768ED" w:rsidRDefault="008768ED" w:rsidP="00586850">
      <w:pPr>
        <w:pStyle w:val="Heading6"/>
      </w:pPr>
      <w:r>
        <w:t>Sponsor response</w:t>
      </w:r>
    </w:p>
    <w:p w:rsidR="008768ED" w:rsidRPr="002F05AA" w:rsidRDefault="002F05AA" w:rsidP="00586850">
      <w:proofErr w:type="gramStart"/>
      <w:r w:rsidRPr="002F05AA">
        <w:t xml:space="preserve">The </w:t>
      </w:r>
      <w:r w:rsidRPr="002F05AA">
        <w:rPr>
          <w:i/>
        </w:rPr>
        <w:t>i</w:t>
      </w:r>
      <w:proofErr w:type="gramEnd"/>
      <w:r w:rsidRPr="002F05AA">
        <w:rPr>
          <w:i/>
        </w:rPr>
        <w:t>-access</w:t>
      </w:r>
      <w:r w:rsidRPr="002F05AA">
        <w:t xml:space="preserve"> program educational materials for prescribers and pharmacists are available in printed form, and are currently being developed as an online resource.</w:t>
      </w:r>
    </w:p>
    <w:p w:rsidR="008768ED" w:rsidRDefault="008768ED" w:rsidP="00586850">
      <w:pPr>
        <w:pStyle w:val="Heading6"/>
      </w:pPr>
      <w:r>
        <w:t>OPR evaluator’s comment</w:t>
      </w:r>
    </w:p>
    <w:p w:rsidR="008768ED" w:rsidRPr="001D695D" w:rsidRDefault="008F1236" w:rsidP="00586850">
      <w:r w:rsidRPr="001D695D">
        <w:t>This is considered acceptable.</w:t>
      </w:r>
    </w:p>
    <w:p w:rsidR="009A330A" w:rsidRDefault="009A330A" w:rsidP="00586850">
      <w:pPr>
        <w:pStyle w:val="Heading5"/>
      </w:pPr>
      <w:r w:rsidRPr="00A24C10">
        <w:t xml:space="preserve">Recommendation </w:t>
      </w:r>
      <w:r>
        <w:t xml:space="preserve">#8 </w:t>
      </w:r>
      <w:r w:rsidRPr="00A24C10">
        <w:t>in RMP evaluation report</w:t>
      </w:r>
    </w:p>
    <w:p w:rsidR="009A330A" w:rsidRPr="00B46306" w:rsidRDefault="001D695D" w:rsidP="00586850">
      <w:r w:rsidRPr="00B46306">
        <w:t>The programme should incorporate the use of a patient card that contains patient details and core information with regard to pomalidomide therapy. The card will be useful for elderly patients.</w:t>
      </w:r>
    </w:p>
    <w:p w:rsidR="009A330A" w:rsidRDefault="009A330A" w:rsidP="00586850">
      <w:pPr>
        <w:pStyle w:val="Heading6"/>
      </w:pPr>
      <w:r>
        <w:t>Sponsor response</w:t>
      </w:r>
    </w:p>
    <w:p w:rsidR="009E49AB" w:rsidRPr="009E49AB" w:rsidRDefault="008C3A4E" w:rsidP="00586850">
      <w:r>
        <w:t>The sponsor</w:t>
      </w:r>
      <w:r w:rsidR="009E49AB" w:rsidRPr="009E49AB">
        <w:t xml:space="preserve"> believes that all core information included in the Patient Cards are captured, recorded and monitored via </w:t>
      </w:r>
      <w:proofErr w:type="gramStart"/>
      <w:r w:rsidR="009E49AB" w:rsidRPr="009E49AB">
        <w:t xml:space="preserve">the </w:t>
      </w:r>
      <w:r w:rsidR="009E49AB" w:rsidRPr="009E49AB">
        <w:rPr>
          <w:i/>
        </w:rPr>
        <w:t>i</w:t>
      </w:r>
      <w:proofErr w:type="gramEnd"/>
      <w:r w:rsidR="009E49AB" w:rsidRPr="009E49AB">
        <w:rPr>
          <w:i/>
        </w:rPr>
        <w:t>-access</w:t>
      </w:r>
      <w:r w:rsidR="009E49AB" w:rsidRPr="009E49AB">
        <w:t xml:space="preserve"> program and that introduction of such patient cards in Australia will not provide any additional benefit to the patients.</w:t>
      </w:r>
    </w:p>
    <w:p w:rsidR="009A330A" w:rsidRPr="009E49AB" w:rsidRDefault="00760B71" w:rsidP="005F6C76">
      <w:r>
        <w:t>The sponsor</w:t>
      </w:r>
      <w:r w:rsidRPr="009E49AB">
        <w:t xml:space="preserve"> </w:t>
      </w:r>
      <w:r w:rsidR="009E49AB" w:rsidRPr="009E49AB">
        <w:t xml:space="preserve">uses different tools in different territories to monitor key elements of the pregnancy prevention plan (PPP) including indication, dose, patient demographics and compliance to the PPP. In the EU, each National Competent Agency can choose to include the Patient Card or incorporate the key elements from the patient card within other tools such as the Prescription Form. The Australian </w:t>
      </w:r>
      <w:r w:rsidR="00EB5E95" w:rsidRPr="009E49AB">
        <w:rPr>
          <w:i/>
        </w:rPr>
        <w:t>i-access</w:t>
      </w:r>
      <w:r w:rsidR="00EB5E95" w:rsidRPr="009E49AB">
        <w:t xml:space="preserve"> </w:t>
      </w:r>
      <w:r w:rsidR="009E49AB" w:rsidRPr="009E49AB">
        <w:t>program has been developed to capture the key core elements of the PPP, which includes all information captured in the patient cards.</w:t>
      </w:r>
    </w:p>
    <w:p w:rsidR="009A330A" w:rsidRDefault="009A330A" w:rsidP="00586850">
      <w:pPr>
        <w:pStyle w:val="Heading6"/>
      </w:pPr>
      <w:r>
        <w:t>OPR evaluator’s comment</w:t>
      </w:r>
    </w:p>
    <w:p w:rsidR="009A330A" w:rsidRPr="00792652" w:rsidRDefault="002F6AFB" w:rsidP="00586850">
      <w:r w:rsidRPr="00792652">
        <w:t xml:space="preserve">The use of a patient card additional to the other components of </w:t>
      </w:r>
      <w:proofErr w:type="gramStart"/>
      <w:r w:rsidRPr="00792652">
        <w:t xml:space="preserve">the </w:t>
      </w:r>
      <w:r w:rsidRPr="00792652">
        <w:rPr>
          <w:i/>
        </w:rPr>
        <w:t>i</w:t>
      </w:r>
      <w:proofErr w:type="gramEnd"/>
      <w:r w:rsidRPr="00792652">
        <w:rPr>
          <w:i/>
        </w:rPr>
        <w:t>-access</w:t>
      </w:r>
      <w:r w:rsidRPr="00792652">
        <w:t xml:space="preserve"> program is the preferred option for the OPR evaluator.</w:t>
      </w:r>
    </w:p>
    <w:p w:rsidR="001D695D" w:rsidRDefault="001D695D" w:rsidP="00586850">
      <w:pPr>
        <w:pStyle w:val="Heading5"/>
      </w:pPr>
      <w:r w:rsidRPr="00A24C10">
        <w:t xml:space="preserve">Recommendation </w:t>
      </w:r>
      <w:r>
        <w:t xml:space="preserve">#9 </w:t>
      </w:r>
      <w:r w:rsidRPr="00A24C10">
        <w:t>in RMP evaluation report</w:t>
      </w:r>
    </w:p>
    <w:p w:rsidR="001D695D" w:rsidRPr="00011623" w:rsidRDefault="00F66A53" w:rsidP="00586850">
      <w:r w:rsidRPr="00011623">
        <w:t>In regard to patients</w:t>
      </w:r>
      <w:r w:rsidR="00760B71">
        <w:t xml:space="preserve"> who are </w:t>
      </w:r>
      <w:r w:rsidR="0067043B" w:rsidRPr="00731CF3">
        <w:t>females of non</w:t>
      </w:r>
      <w:r w:rsidR="00AD539F">
        <w:t>-</w:t>
      </w:r>
      <w:r w:rsidR="0067043B" w:rsidRPr="00731CF3">
        <w:t>child</w:t>
      </w:r>
      <w:r w:rsidR="0067043B">
        <w:t xml:space="preserve"> </w:t>
      </w:r>
      <w:r w:rsidR="0067043B" w:rsidRPr="00731CF3">
        <w:t>bearing potential</w:t>
      </w:r>
      <w:r w:rsidRPr="00011623">
        <w:t>, the program should only authorise a maximum supply for 12 weeks.</w:t>
      </w:r>
    </w:p>
    <w:p w:rsidR="001D695D" w:rsidRDefault="001D695D" w:rsidP="00586850">
      <w:pPr>
        <w:pStyle w:val="Heading6"/>
      </w:pPr>
      <w:r>
        <w:t>Sponsor response</w:t>
      </w:r>
    </w:p>
    <w:p w:rsidR="001D695D" w:rsidRPr="00731CF3" w:rsidRDefault="002D50FE" w:rsidP="00586850">
      <w:r>
        <w:t xml:space="preserve">The sponsor </w:t>
      </w:r>
      <w:r w:rsidR="00011623" w:rsidRPr="00731CF3">
        <w:t>agrees to only authorise a maximum supply for 12 weeks of treatment for females of non</w:t>
      </w:r>
      <w:r w:rsidR="00AD539F">
        <w:t>-</w:t>
      </w:r>
      <w:r w:rsidR="00011623" w:rsidRPr="00731CF3">
        <w:t>child</w:t>
      </w:r>
      <w:r w:rsidR="00B83850">
        <w:t xml:space="preserve"> </w:t>
      </w:r>
      <w:r w:rsidR="00011623" w:rsidRPr="00731CF3">
        <w:t xml:space="preserve">bearing potential and males via </w:t>
      </w:r>
      <w:proofErr w:type="gramStart"/>
      <w:r w:rsidR="00011623" w:rsidRPr="00731CF3">
        <w:t xml:space="preserve">the </w:t>
      </w:r>
      <w:r w:rsidR="00011623" w:rsidRPr="00731CF3">
        <w:rPr>
          <w:i/>
        </w:rPr>
        <w:t>i</w:t>
      </w:r>
      <w:proofErr w:type="gramEnd"/>
      <w:r w:rsidR="00011623" w:rsidRPr="00731CF3">
        <w:rPr>
          <w:i/>
        </w:rPr>
        <w:t>-access</w:t>
      </w:r>
      <w:r w:rsidR="00011623" w:rsidRPr="00731CF3">
        <w:t xml:space="preserve"> program.</w:t>
      </w:r>
    </w:p>
    <w:p w:rsidR="001D695D" w:rsidRDefault="001D695D" w:rsidP="00586850">
      <w:pPr>
        <w:pStyle w:val="Heading6"/>
      </w:pPr>
      <w:r>
        <w:t>OPR evaluator’s comment</w:t>
      </w:r>
    </w:p>
    <w:p w:rsidR="001D695D" w:rsidRPr="002D6F90" w:rsidRDefault="00731CF3" w:rsidP="00586850">
      <w:r w:rsidRPr="002D6F90">
        <w:t>This is considered acceptable.</w:t>
      </w:r>
    </w:p>
    <w:p w:rsidR="00283000" w:rsidRDefault="00283000" w:rsidP="00586850">
      <w:pPr>
        <w:pStyle w:val="Heading5"/>
      </w:pPr>
      <w:r w:rsidRPr="00A24C10">
        <w:lastRenderedPageBreak/>
        <w:t xml:space="preserve">Recommendation </w:t>
      </w:r>
      <w:r>
        <w:t xml:space="preserve">#10 </w:t>
      </w:r>
      <w:r w:rsidRPr="00A24C10">
        <w:t>in RMP evaluation report</w:t>
      </w:r>
    </w:p>
    <w:p w:rsidR="00283000" w:rsidRPr="00806EC4" w:rsidRDefault="00491DA0" w:rsidP="00586850">
      <w:r w:rsidRPr="00806EC4">
        <w:t>The prescriber should be notified, if a pregnancy test is positive to enable further medical management of the issue. This notification needs to be facilitated by the programme.</w:t>
      </w:r>
    </w:p>
    <w:p w:rsidR="00283000" w:rsidRDefault="00283000" w:rsidP="00586850">
      <w:pPr>
        <w:pStyle w:val="Heading6"/>
      </w:pPr>
      <w:r>
        <w:t>Sponsor response</w:t>
      </w:r>
    </w:p>
    <w:p w:rsidR="00806EC4" w:rsidRPr="005623A3" w:rsidRDefault="00AD539F" w:rsidP="00586850">
      <w:r>
        <w:t>The sponsor</w:t>
      </w:r>
      <w:r w:rsidR="00806EC4" w:rsidRPr="005623A3">
        <w:t xml:space="preserve"> confirms that in an event of a positive pregnancy test the Celgene Risk Management Centre (CRMC) will contact the prescriber to enable further medical management of the issue. The Celgene </w:t>
      </w:r>
      <w:r w:rsidR="002A24B6">
        <w:t>Risk Management specialist will:</w:t>
      </w:r>
    </w:p>
    <w:p w:rsidR="00806EC4" w:rsidRPr="005F6C76" w:rsidRDefault="00806EC4" w:rsidP="005F6C76">
      <w:pPr>
        <w:pStyle w:val="ListBullet"/>
      </w:pPr>
      <w:r w:rsidRPr="005623A3">
        <w:t xml:space="preserve">request </w:t>
      </w:r>
      <w:r w:rsidRPr="005F6C76">
        <w:t>that the prescriber directs the patient to stop therapy immediately</w:t>
      </w:r>
    </w:p>
    <w:p w:rsidR="00806EC4" w:rsidRPr="005F6C76" w:rsidRDefault="00806EC4" w:rsidP="005F6C76">
      <w:pPr>
        <w:pStyle w:val="ListBullet"/>
      </w:pPr>
      <w:r w:rsidRPr="005F6C76">
        <w:t>request the prescriber to confirm if it is a positive/equivocal test</w:t>
      </w:r>
    </w:p>
    <w:p w:rsidR="00806EC4" w:rsidRPr="005F6C76" w:rsidRDefault="00806EC4" w:rsidP="005F6C76">
      <w:pPr>
        <w:pStyle w:val="ListBullet"/>
      </w:pPr>
      <w:r w:rsidRPr="005F6C76">
        <w:t>request the results and clinical interpretation of an additional medically supervised</w:t>
      </w:r>
    </w:p>
    <w:p w:rsidR="00806EC4" w:rsidRPr="005F6C76" w:rsidRDefault="00806EC4" w:rsidP="005F6C76">
      <w:pPr>
        <w:pStyle w:val="ListBullet"/>
      </w:pPr>
      <w:r w:rsidRPr="005F6C76">
        <w:t>pregnancy test conducted</w:t>
      </w:r>
      <w:r w:rsidR="008A37A7" w:rsidRPr="005F6C76">
        <w:t xml:space="preserve"> immediately and within 48 h</w:t>
      </w:r>
      <w:r w:rsidRPr="005F6C76">
        <w:t xml:space="preserve"> of the first test to be sent to Celgene</w:t>
      </w:r>
    </w:p>
    <w:p w:rsidR="00283000" w:rsidRPr="005623A3" w:rsidRDefault="00806EC4" w:rsidP="005F6C76">
      <w:pPr>
        <w:pStyle w:val="ListBullet"/>
      </w:pPr>
      <w:proofErr w:type="gramStart"/>
      <w:r w:rsidRPr="005F6C76">
        <w:t>not</w:t>
      </w:r>
      <w:proofErr w:type="gramEnd"/>
      <w:r w:rsidRPr="005F6C76">
        <w:t xml:space="preserve"> authorise further dispensing of </w:t>
      </w:r>
      <w:r w:rsidR="008A3D72" w:rsidRPr="005F6C76">
        <w:t>pomalidomide</w:t>
      </w:r>
      <w:r w:rsidRPr="005F6C76">
        <w:t xml:space="preserve"> to the patient until a negative pregnancy </w:t>
      </w:r>
      <w:r w:rsidRPr="005623A3">
        <w:t>test</w:t>
      </w:r>
      <w:r w:rsidR="005623A3" w:rsidRPr="005623A3">
        <w:t xml:space="preserve"> result is received by Celgene.</w:t>
      </w:r>
    </w:p>
    <w:p w:rsidR="00283000" w:rsidRDefault="00283000" w:rsidP="00586850">
      <w:pPr>
        <w:pStyle w:val="Heading6"/>
      </w:pPr>
      <w:r>
        <w:t>OPR evaluator’s comment</w:t>
      </w:r>
    </w:p>
    <w:p w:rsidR="00283000" w:rsidRPr="00DE0063" w:rsidRDefault="00EB1CB6" w:rsidP="00586850">
      <w:r w:rsidRPr="00DE0063">
        <w:t>Additional to the actions described by the sponsor in their response with regard to a positive pregnancy test, the sponsor should follow</w:t>
      </w:r>
      <w:r w:rsidR="008A3D72">
        <w:t xml:space="preserve"> </w:t>
      </w:r>
      <w:r w:rsidRPr="00DE0063">
        <w:t>up a continuing pregnancy.</w:t>
      </w:r>
    </w:p>
    <w:p w:rsidR="00EE070C" w:rsidRDefault="00EE070C" w:rsidP="00586850">
      <w:pPr>
        <w:pStyle w:val="Heading5"/>
      </w:pPr>
      <w:r w:rsidRPr="00A24C10">
        <w:t xml:space="preserve">Recommendation </w:t>
      </w:r>
      <w:r>
        <w:t xml:space="preserve">#11 </w:t>
      </w:r>
      <w:r w:rsidRPr="00A24C10">
        <w:t>in RMP evaluation report</w:t>
      </w:r>
    </w:p>
    <w:p w:rsidR="00EE070C" w:rsidRPr="00E65722" w:rsidRDefault="00DE0063" w:rsidP="00586850">
      <w:r w:rsidRPr="00E65722">
        <w:t>The sponsor should provide a plan on how the effectiveness of the education programme measure will be measured.</w:t>
      </w:r>
    </w:p>
    <w:p w:rsidR="00EE070C" w:rsidRDefault="00EE070C" w:rsidP="00586850">
      <w:pPr>
        <w:pStyle w:val="Heading6"/>
      </w:pPr>
      <w:r>
        <w:t>Sponsor response</w:t>
      </w:r>
    </w:p>
    <w:p w:rsidR="00EE070C" w:rsidRPr="002875CD" w:rsidRDefault="00E65722" w:rsidP="00586850">
      <w:proofErr w:type="gramStart"/>
      <w:r w:rsidRPr="002875CD">
        <w:t xml:space="preserve">The </w:t>
      </w:r>
      <w:r w:rsidRPr="002875CD">
        <w:rPr>
          <w:i/>
        </w:rPr>
        <w:t>i</w:t>
      </w:r>
      <w:proofErr w:type="gramEnd"/>
      <w:r w:rsidRPr="002875CD">
        <w:rPr>
          <w:i/>
        </w:rPr>
        <w:t>-access</w:t>
      </w:r>
      <w:r w:rsidRPr="002875CD">
        <w:t xml:space="preserve"> program is well established and controls prescribers, pharmacists and patients for every monthly dispense of product. As every dispense of </w:t>
      </w:r>
      <w:r w:rsidR="009B53E1" w:rsidRPr="00B46306">
        <w:t>pomalidomide</w:t>
      </w:r>
      <w:r w:rsidRPr="002875CD">
        <w:t xml:space="preserve"> requires </w:t>
      </w:r>
      <w:r w:rsidR="00C418C3">
        <w:t>the sponsor’s</w:t>
      </w:r>
      <w:r w:rsidRPr="002875CD">
        <w:t xml:space="preserve"> authorisation before supply, </w:t>
      </w:r>
      <w:r w:rsidR="00C418C3">
        <w:t>the sponsor</w:t>
      </w:r>
      <w:r w:rsidRPr="002875CD">
        <w:t xml:space="preserve"> has tight control and monitoring of compliance of the program and educational effectiveness. The well-established program has met its objectives as no </w:t>
      </w:r>
      <w:r w:rsidR="00F2362E">
        <w:t>fetal</w:t>
      </w:r>
      <w:r w:rsidRPr="002875CD">
        <w:t xml:space="preserve"> exposure has been reported in patients being treated with either Thalomid or Revlimid in Australia; therefore the program and associated education are considered effective and proven in many thousands of patients since the inception of the Pregnancy Prevention </w:t>
      </w:r>
      <w:r w:rsidR="001C275B">
        <w:t>RMP</w:t>
      </w:r>
      <w:r w:rsidRPr="002875CD">
        <w:t xml:space="preserve"> in 2002 for Thalomid and 2008 for Revlimid.</w:t>
      </w:r>
    </w:p>
    <w:p w:rsidR="00EE070C" w:rsidRDefault="00EE070C" w:rsidP="00586850">
      <w:pPr>
        <w:pStyle w:val="Heading6"/>
      </w:pPr>
      <w:r>
        <w:t>OPR evaluator’s comment</w:t>
      </w:r>
    </w:p>
    <w:p w:rsidR="00EE070C" w:rsidRPr="00512181" w:rsidRDefault="002875CD" w:rsidP="00586850">
      <w:r w:rsidRPr="00512181">
        <w:t>This is considered acceptable.</w:t>
      </w:r>
    </w:p>
    <w:p w:rsidR="00DE0063" w:rsidRDefault="00DE0063" w:rsidP="00586850">
      <w:pPr>
        <w:pStyle w:val="Heading5"/>
      </w:pPr>
      <w:r w:rsidRPr="00A24C10">
        <w:t xml:space="preserve">Recommendation </w:t>
      </w:r>
      <w:r>
        <w:t xml:space="preserve">#12 </w:t>
      </w:r>
      <w:r w:rsidRPr="00A24C10">
        <w:t>in RMP evaluation report</w:t>
      </w:r>
    </w:p>
    <w:p w:rsidR="00DE0063" w:rsidRPr="00AC6332" w:rsidRDefault="00AC6332" w:rsidP="00586850">
      <w:r w:rsidRPr="00AC6332">
        <w:t>All draft education materials should be made available to the TGA.</w:t>
      </w:r>
    </w:p>
    <w:p w:rsidR="00DE0063" w:rsidRDefault="00DE0063" w:rsidP="00586850">
      <w:pPr>
        <w:pStyle w:val="Heading6"/>
      </w:pPr>
      <w:r>
        <w:t>Sponsor response</w:t>
      </w:r>
    </w:p>
    <w:p w:rsidR="00AC6332" w:rsidRPr="00AC6332" w:rsidRDefault="00AC6332" w:rsidP="00586850">
      <w:r w:rsidRPr="00AC6332">
        <w:t xml:space="preserve">The accepted and fundamental consumer document specific for </w:t>
      </w:r>
      <w:r w:rsidR="00862197" w:rsidRPr="00B46306">
        <w:t>pomalidomide</w:t>
      </w:r>
      <w:r w:rsidRPr="00AC6332">
        <w:t xml:space="preserve"> is the </w:t>
      </w:r>
      <w:r w:rsidR="00862197">
        <w:t>CMI</w:t>
      </w:r>
      <w:r w:rsidRPr="00AC6332">
        <w:t xml:space="preserve">, which contains educational material and information about the product, disease and </w:t>
      </w:r>
      <w:r w:rsidRPr="00862197">
        <w:rPr>
          <w:i/>
        </w:rPr>
        <w:t>i-access</w:t>
      </w:r>
      <w:r w:rsidRPr="00AC6332">
        <w:t xml:space="preserve"> program. Currently, </w:t>
      </w:r>
      <w:r w:rsidR="009E39F5">
        <w:t>the sponsor</w:t>
      </w:r>
      <w:r w:rsidRPr="00AC6332">
        <w:t xml:space="preserve"> has not developed any product specific educational material for </w:t>
      </w:r>
      <w:r w:rsidR="00823575" w:rsidRPr="00B46306">
        <w:t>pomalidomide</w:t>
      </w:r>
      <w:r w:rsidRPr="00AC6332">
        <w:t xml:space="preserve">. As the </w:t>
      </w:r>
      <w:r w:rsidRPr="008A37A7">
        <w:rPr>
          <w:i/>
        </w:rPr>
        <w:t>i-access</w:t>
      </w:r>
      <w:r w:rsidRPr="00AC6332">
        <w:t xml:space="preserve"> program is a restricted distribution ‘process’ that is common to a number of </w:t>
      </w:r>
      <w:r w:rsidR="003254E8">
        <w:t>the sponsor’s</w:t>
      </w:r>
      <w:r w:rsidR="00D95077">
        <w:t xml:space="preserve"> products, </w:t>
      </w:r>
      <w:r w:rsidRPr="00AC6332">
        <w:t xml:space="preserve">the following </w:t>
      </w:r>
      <w:r w:rsidRPr="008A37A7">
        <w:rPr>
          <w:i/>
        </w:rPr>
        <w:t>i-access</w:t>
      </w:r>
      <w:r w:rsidRPr="00AC6332">
        <w:t xml:space="preserve"> materials currently in use will also be applicable to </w:t>
      </w:r>
      <w:r w:rsidR="00D95077" w:rsidRPr="00B46306">
        <w:t>pomalidomide</w:t>
      </w:r>
      <w:r w:rsidRPr="00AC6332">
        <w:t xml:space="preserve">. These documents (provided) will be updated as relevant, to include </w:t>
      </w:r>
      <w:r w:rsidR="00D95077" w:rsidRPr="00B46306">
        <w:t>pomalidomide</w:t>
      </w:r>
      <w:r w:rsidRPr="00AC6332">
        <w:t xml:space="preserve"> upon TGA approval of the product.</w:t>
      </w:r>
    </w:p>
    <w:p w:rsidR="00AC6332" w:rsidRDefault="00AC6332" w:rsidP="00586850">
      <w:r w:rsidRPr="00AC6332">
        <w:t xml:space="preserve">Introducing </w:t>
      </w:r>
      <w:r w:rsidRPr="008A37A7">
        <w:rPr>
          <w:i/>
        </w:rPr>
        <w:t>i-access</w:t>
      </w:r>
    </w:p>
    <w:p w:rsidR="00AC6332" w:rsidRPr="00AC6332" w:rsidRDefault="00AC6332" w:rsidP="00586850">
      <w:pPr>
        <w:pStyle w:val="ListBullet"/>
      </w:pPr>
      <w:r w:rsidRPr="00AC6332">
        <w:t>Information for prescribers</w:t>
      </w:r>
    </w:p>
    <w:p w:rsidR="00AC6332" w:rsidRPr="00AC6332" w:rsidRDefault="00AC6332" w:rsidP="00586850">
      <w:pPr>
        <w:pStyle w:val="ListBullet"/>
      </w:pPr>
      <w:r w:rsidRPr="00AC6332">
        <w:lastRenderedPageBreak/>
        <w:t>“Prescribing Thalomid or Revlimid for women of childbearing potential”</w:t>
      </w:r>
    </w:p>
    <w:p w:rsidR="00AC6332" w:rsidRPr="00AC6332" w:rsidRDefault="00AC6332" w:rsidP="00586850">
      <w:pPr>
        <w:pStyle w:val="ListBullet"/>
      </w:pPr>
      <w:r w:rsidRPr="00AC6332">
        <w:t xml:space="preserve">Quick guide to using your </w:t>
      </w:r>
      <w:r w:rsidRPr="008A37A7">
        <w:rPr>
          <w:i/>
        </w:rPr>
        <w:t>i-access</w:t>
      </w:r>
      <w:r w:rsidRPr="00AC6332">
        <w:t xml:space="preserve"> online account for Prescribers</w:t>
      </w:r>
    </w:p>
    <w:p w:rsidR="00AC6332" w:rsidRPr="00AC6332" w:rsidRDefault="00AC6332" w:rsidP="00586850">
      <w:pPr>
        <w:pStyle w:val="ListBullet"/>
      </w:pPr>
      <w:r w:rsidRPr="00AC6332">
        <w:t>Qu</w:t>
      </w:r>
      <w:r>
        <w:t xml:space="preserve">ick Guide to Using the </w:t>
      </w:r>
      <w:r w:rsidRPr="008A37A7">
        <w:rPr>
          <w:i/>
        </w:rPr>
        <w:t>i-access</w:t>
      </w:r>
      <w:r w:rsidRPr="00AC6332">
        <w:t xml:space="preserve"> Online Portal</w:t>
      </w:r>
    </w:p>
    <w:p w:rsidR="00AC6332" w:rsidRPr="00AC6332" w:rsidRDefault="00AC6332" w:rsidP="00586850">
      <w:pPr>
        <w:pStyle w:val="ListBullet"/>
      </w:pPr>
      <w:r w:rsidRPr="00AC6332">
        <w:t>Patient consent form</w:t>
      </w:r>
    </w:p>
    <w:p w:rsidR="00DE0063" w:rsidRDefault="00DE0063" w:rsidP="00586850">
      <w:pPr>
        <w:pStyle w:val="Heading6"/>
      </w:pPr>
      <w:r>
        <w:t>OPR evaluator’s comment</w:t>
      </w:r>
    </w:p>
    <w:p w:rsidR="00AC6332" w:rsidRPr="00512181" w:rsidRDefault="00AC6332" w:rsidP="00586850">
      <w:r w:rsidRPr="00512181">
        <w:t>This is considered acceptable.</w:t>
      </w:r>
    </w:p>
    <w:p w:rsidR="008E7846" w:rsidRPr="00792A32" w:rsidRDefault="008E7846" w:rsidP="00586850">
      <w:pPr>
        <w:pStyle w:val="Heading2"/>
      </w:pPr>
      <w:bookmarkStart w:id="129" w:name="_Toc314842510"/>
      <w:bookmarkStart w:id="130" w:name="_Toc404176195"/>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11"/>
      <w:bookmarkEnd w:id="128"/>
      <w:bookmarkEnd w:id="129"/>
      <w:bookmarkEnd w:id="130"/>
    </w:p>
    <w:p w:rsidR="008E7846" w:rsidRDefault="008E7846" w:rsidP="00586850">
      <w:bookmarkStart w:id="131" w:name="_Toc247691528"/>
      <w:r>
        <w:t xml:space="preserve">The submission was summarised in the following </w:t>
      </w:r>
      <w:r w:rsidRPr="00EF5C48">
        <w:t xml:space="preserve">Delegate’s </w:t>
      </w:r>
      <w:r>
        <w:t>overview</w:t>
      </w:r>
      <w:r w:rsidRPr="00EF5C48">
        <w:t xml:space="preserve"> and recommendation</w:t>
      </w:r>
      <w:r>
        <w:t>s:</w:t>
      </w:r>
    </w:p>
    <w:p w:rsidR="008E7846" w:rsidRPr="005F6C76" w:rsidRDefault="008E7846" w:rsidP="005F6C76">
      <w:pPr>
        <w:pStyle w:val="Heading3"/>
      </w:pPr>
      <w:bookmarkStart w:id="132" w:name="_Toc314842511"/>
      <w:bookmarkStart w:id="133" w:name="_Toc404176196"/>
      <w:r>
        <w:t>Quality</w:t>
      </w:r>
      <w:bookmarkEnd w:id="131"/>
      <w:bookmarkEnd w:id="132"/>
      <w:bookmarkEnd w:id="133"/>
    </w:p>
    <w:p w:rsidR="00893455" w:rsidRPr="00893455" w:rsidRDefault="00893455" w:rsidP="00586850">
      <w:r w:rsidRPr="00893455">
        <w:t xml:space="preserve">The </w:t>
      </w:r>
      <w:r w:rsidR="00753D16">
        <w:t>quality evaluator</w:t>
      </w:r>
      <w:r w:rsidRPr="00893455">
        <w:t xml:space="preserve"> had no objections to registration following the </w:t>
      </w:r>
      <w:r w:rsidR="00FA5D57">
        <w:t>s</w:t>
      </w:r>
      <w:r w:rsidRPr="00893455">
        <w:t>ponsor’s response to questions.</w:t>
      </w:r>
    </w:p>
    <w:p w:rsidR="00893455" w:rsidRPr="00893455" w:rsidRDefault="00893455" w:rsidP="00586850">
      <w:r w:rsidRPr="00893455">
        <w:t>The capsule fills all use the same set of excipients, with pomalidomide blended with the diluents mannitol and pregelatinised starch and the lub</w:t>
      </w:r>
      <w:r w:rsidR="005F6C76">
        <w:t>ricant sodium stearyl fumarate.</w:t>
      </w:r>
    </w:p>
    <w:p w:rsidR="00893455" w:rsidRPr="00893455" w:rsidRDefault="00893455" w:rsidP="00586850">
      <w:r w:rsidRPr="00E63036">
        <w:t xml:space="preserve">Bioequivalence </w:t>
      </w:r>
      <w:r w:rsidR="00FA5D57" w:rsidRPr="00E63036">
        <w:t>S</w:t>
      </w:r>
      <w:r w:rsidRPr="00E63036">
        <w:t>tudy CC-4047-CP-007 compared the different Formula 3 capsule fills (same excipients but in different ratios) used fo</w:t>
      </w:r>
      <w:r w:rsidR="00FA5D57" w:rsidRPr="00E63036">
        <w:t>r the different strengths (that is, 1 + 2 mg versus</w:t>
      </w:r>
      <w:r w:rsidRPr="00E63036">
        <w:t xml:space="preserve"> 3 + 4 mg); this showed that a single 4 mg cap</w:t>
      </w:r>
      <w:r w:rsidR="001F1347" w:rsidRPr="00E63036">
        <w:t xml:space="preserve">sule is bioequivalent to two 2 </w:t>
      </w:r>
      <w:r w:rsidRPr="00E63036">
        <w:t>mg capsules and a single 3 mg capsule is bioequivalent to one 1 mg capsule plus one 2 mg capsule when administered under fasted conditions.</w:t>
      </w:r>
    </w:p>
    <w:p w:rsidR="00893455" w:rsidRPr="00893455" w:rsidRDefault="00893455" w:rsidP="00586850">
      <w:r w:rsidRPr="00893455">
        <w:t xml:space="preserve">Pomalidomide has one chiral centre. The drug substance is manufactured as a racemic mixture of the R- and S-enantiomers (like thalidomide and lenalidomide). Use of the racemic mixture rather than a specific enantiomer was justified by the company based on the observation that the two enantiomers interconvert </w:t>
      </w:r>
      <w:r w:rsidRPr="001F1347">
        <w:rPr>
          <w:i/>
        </w:rPr>
        <w:t>in</w:t>
      </w:r>
      <w:r w:rsidR="001F1347" w:rsidRPr="001F1347">
        <w:rPr>
          <w:i/>
        </w:rPr>
        <w:t xml:space="preserve"> </w:t>
      </w:r>
      <w:r w:rsidRPr="001F1347">
        <w:rPr>
          <w:i/>
        </w:rPr>
        <w:t>vitro</w:t>
      </w:r>
      <w:r w:rsidRPr="00893455">
        <w:t xml:space="preserve"> in buffer at neutral pH and in plasma.</w:t>
      </w:r>
    </w:p>
    <w:p w:rsidR="00893455" w:rsidRPr="00893455" w:rsidRDefault="00893455" w:rsidP="00586850">
      <w:r w:rsidRPr="00893455">
        <w:t>The drug substance is pomalidomide free base, a yellow crystalline powder. The aqueous solubility of pomalidomide is low</w:t>
      </w:r>
      <w:r w:rsidR="00CA05F5">
        <w:t>.</w:t>
      </w:r>
      <w:r w:rsidRPr="00893455">
        <w:t xml:space="preserve"> Adequate stability data have been provided to support a retest period for the drug substance of 3</w:t>
      </w:r>
      <w:r w:rsidR="005F6C76">
        <w:t xml:space="preserve"> years with storage below 25°C.</w:t>
      </w:r>
    </w:p>
    <w:p w:rsidR="008E7846" w:rsidRDefault="008E7846" w:rsidP="00800041">
      <w:pPr>
        <w:pStyle w:val="Heading3"/>
      </w:pPr>
      <w:bookmarkStart w:id="134" w:name="_Toc314842512"/>
      <w:bookmarkStart w:id="135" w:name="_Toc404176197"/>
      <w:r w:rsidRPr="00800041">
        <w:t>Nonclinical</w:t>
      </w:r>
      <w:bookmarkEnd w:id="134"/>
      <w:bookmarkEnd w:id="135"/>
    </w:p>
    <w:p w:rsidR="00E7582D" w:rsidRPr="00E7582D" w:rsidRDefault="00E7582D" w:rsidP="00586850">
      <w:r w:rsidRPr="00E7582D">
        <w:t xml:space="preserve">The nonclinical evaluator had no objections to the registration of pomalidomide for the indication sought and recommended the </w:t>
      </w:r>
      <w:r w:rsidR="001F1347">
        <w:t>RMP</w:t>
      </w:r>
      <w:r w:rsidRPr="00E7582D">
        <w:t xml:space="preserve"> and draft </w:t>
      </w:r>
      <w:r w:rsidR="00223116">
        <w:t>PI</w:t>
      </w:r>
      <w:r w:rsidRPr="00E7582D">
        <w:t xml:space="preserve"> </w:t>
      </w:r>
      <w:r w:rsidR="001F1347">
        <w:t>are</w:t>
      </w:r>
      <w:r w:rsidRPr="00E7582D">
        <w:t xml:space="preserve"> amended as directed. The Delegate is in support of the </w:t>
      </w:r>
      <w:r w:rsidR="00581E18">
        <w:t xml:space="preserve">amendments to the </w:t>
      </w:r>
      <w:r w:rsidRPr="00E7582D">
        <w:t>PI recommend</w:t>
      </w:r>
      <w:r w:rsidR="00581E18">
        <w:t>ed</w:t>
      </w:r>
      <w:r w:rsidRPr="00E7582D">
        <w:t xml:space="preserve"> and the OPR evaluator will incorporate any RMP changes deemed necessary.</w:t>
      </w:r>
    </w:p>
    <w:p w:rsidR="00E7582D" w:rsidRPr="00E7582D" w:rsidRDefault="00E7582D" w:rsidP="00586850">
      <w:r w:rsidRPr="00E7582D">
        <w:t>Pomalidomide has a similar pharmacological/toxicological profile to lenalidomide.</w:t>
      </w:r>
    </w:p>
    <w:p w:rsidR="00E7582D" w:rsidRPr="00E7582D" w:rsidRDefault="00E7582D" w:rsidP="00586850">
      <w:r w:rsidRPr="00E7582D">
        <w:t>The primary pharmacology studies support the combined use of pomalidomide with dexamethasone for the treatment of patients with lenalidomide</w:t>
      </w:r>
      <w:r w:rsidR="009E2572">
        <w:t xml:space="preserve"> </w:t>
      </w:r>
      <w:r w:rsidRPr="00E7582D">
        <w:t>resistant MM. No animal studies assessed the efficacy of this combination agai</w:t>
      </w:r>
      <w:r w:rsidR="009E2572">
        <w:t xml:space="preserve">nst lenalidomide and bortezomib </w:t>
      </w:r>
      <w:r w:rsidRPr="00E7582D">
        <w:t>resistant MM.</w:t>
      </w:r>
    </w:p>
    <w:p w:rsidR="00E7582D" w:rsidRPr="00E7582D" w:rsidRDefault="00E7582D" w:rsidP="00586850">
      <w:r w:rsidRPr="00E7582D">
        <w:t>The main toxicity findings of clinical relevance were:</w:t>
      </w:r>
    </w:p>
    <w:p w:rsidR="00E7582D" w:rsidRPr="00E7582D" w:rsidRDefault="00E7582D" w:rsidP="00800041">
      <w:pPr>
        <w:ind w:left="426"/>
        <w:rPr>
          <w:i/>
        </w:rPr>
      </w:pPr>
      <w:proofErr w:type="gramStart"/>
      <w:r w:rsidRPr="00E7582D">
        <w:rPr>
          <w:i/>
        </w:rPr>
        <w:t>immunosuppression</w:t>
      </w:r>
      <w:proofErr w:type="gramEnd"/>
      <w:r w:rsidRPr="00E7582D">
        <w:rPr>
          <w:i/>
        </w:rPr>
        <w:t xml:space="preserve"> and secondary effects (infections, secondary malignancies) teratogenicity and embryo/</w:t>
      </w:r>
      <w:r w:rsidR="00F2362E">
        <w:rPr>
          <w:i/>
        </w:rPr>
        <w:t>fetal</w:t>
      </w:r>
      <w:r w:rsidRPr="00E7582D">
        <w:rPr>
          <w:i/>
        </w:rPr>
        <w:t xml:space="preserve"> lethality, thus warranting a Pregnancy Category X</w:t>
      </w:r>
      <w:r w:rsidR="002531C4">
        <w:rPr>
          <w:i/>
        </w:rPr>
        <w:t>.</w:t>
      </w:r>
    </w:p>
    <w:p w:rsidR="00E7582D" w:rsidRPr="00E7582D" w:rsidRDefault="00E7582D" w:rsidP="00586850">
      <w:r w:rsidRPr="00E7582D">
        <w:lastRenderedPageBreak/>
        <w:t>The pharmacological profile of pomalidomide was similar to the structural analogue, lenalidomide. Pomalidomide inhibited the proliferation of lenalidomide</w:t>
      </w:r>
      <w:r w:rsidR="00281844">
        <w:t xml:space="preserve"> </w:t>
      </w:r>
      <w:r w:rsidRPr="00E7582D">
        <w:t xml:space="preserve">resistant MM cell lines </w:t>
      </w:r>
      <w:r w:rsidRPr="00281844">
        <w:rPr>
          <w:i/>
        </w:rPr>
        <w:t>in vitro</w:t>
      </w:r>
      <w:r w:rsidRPr="00E7582D">
        <w:t xml:space="preserve"> and inhibited tumour growth in mice bearing lenalidomide</w:t>
      </w:r>
      <w:r w:rsidR="00281844">
        <w:t xml:space="preserve"> </w:t>
      </w:r>
      <w:r w:rsidRPr="00E7582D">
        <w:t>resistant MM xenografts. The combination of pomalidomide and dexamethasone was synergistic in both systems. The efficacious doses of pomalidomide and dexamethasone in mice were similar to those proposed to be used clinically. The mechanism of lenalidomide and pomalidomide resistance is similar, but with different thresholds.</w:t>
      </w:r>
    </w:p>
    <w:p w:rsidR="00E7582D" w:rsidRPr="00E7582D" w:rsidRDefault="00E7582D" w:rsidP="00586850">
      <w:r w:rsidRPr="00E7582D">
        <w:t>Based on findings in standard safety pharmacology studies, no adverse effects on CNS, respiratory or cardiovascular function are predicted.</w:t>
      </w:r>
    </w:p>
    <w:p w:rsidR="00E7582D" w:rsidRPr="00E7582D" w:rsidRDefault="00E7582D" w:rsidP="00800041">
      <w:r w:rsidRPr="00E7582D">
        <w:t>Oral absorption of pomalidomide was reasonably rapid. Enantiomeric conversion was shown t</w:t>
      </w:r>
      <w:r w:rsidR="005D0731">
        <w:t xml:space="preserve">o occur in monkeys, </w:t>
      </w:r>
      <w:r w:rsidRPr="00E7582D">
        <w:t>which was similar in monkey and human plasma. Tissue distribution studies in rats were unremarkable. Pomalidomide underwent both non-enzymatic and enzymatic degradation. CYP1A2, 2C19, 2D6 and 3A4 were involved in the enzymatic degradation of pomalidomide. There were no human specific metabolites. Biliary excretion was demonstrated in rats.</w:t>
      </w:r>
    </w:p>
    <w:p w:rsidR="00E7582D" w:rsidRPr="00E7582D" w:rsidRDefault="00E7582D" w:rsidP="00586850">
      <w:r w:rsidRPr="00E7582D">
        <w:t>Pomalidomide is not expected to alter the exposures of CYP450 or P</w:t>
      </w:r>
      <w:r w:rsidRPr="00E7582D">
        <w:noBreakHyphen/>
        <w:t>glycoprotein substrates. Pomalidomide was a substrate of P</w:t>
      </w:r>
      <w:r w:rsidRPr="00E7582D">
        <w:noBreakHyphen/>
        <w:t>glycoprotein, but based on the high oral bioavailability of this drug, P</w:t>
      </w:r>
      <w:r w:rsidRPr="00E7582D">
        <w:noBreakHyphen/>
        <w:t>glycoprotein inhibitors are not expected to alter the pharmacokinetic of pomalidomide.</w:t>
      </w:r>
    </w:p>
    <w:p w:rsidR="00E7582D" w:rsidRPr="00E7582D" w:rsidRDefault="00E7582D" w:rsidP="00586850">
      <w:r w:rsidRPr="00E7582D">
        <w:t>Oral pomalidomide had a low order of single dose toxicity in rodents, and treatment with pomalidomide over 6 months was well tolerated in rats. Monkeys were more sensitive to pomalidomide induced toxicity (likely associated with pharmacological responsiveness). Major target organs in monkeys were the lymphoid and haematopoietic system (lympho</w:t>
      </w:r>
      <w:r w:rsidR="00637AA4">
        <w:t>penia</w:t>
      </w:r>
      <w:r w:rsidRPr="00E7582D">
        <w:t>, thrombocyto</w:t>
      </w:r>
      <w:r w:rsidR="00637AA4">
        <w:t>penia</w:t>
      </w:r>
      <w:r w:rsidRPr="00E7582D">
        <w:t xml:space="preserve">, bone marrow hypocellularity and lymphoid depletion) and the intestinal tract (chronic inflammation of the large intestine and villous atrophy of the small intestine). </w:t>
      </w:r>
      <w:r w:rsidRPr="007234F4">
        <w:rPr>
          <w:i/>
        </w:rPr>
        <w:t>Staphylococcus aureus</w:t>
      </w:r>
      <w:r w:rsidRPr="00E7582D">
        <w:t xml:space="preserve"> infection and </w:t>
      </w:r>
      <w:r w:rsidR="008C6081">
        <w:t>AML</w:t>
      </w:r>
      <w:r w:rsidRPr="00E7582D">
        <w:t xml:space="preserve"> seen in individual animals and was attributed to the immunosuppressant action of pomalidomide. The toxicity profile of pomalidomide was similar to lenalidomide.</w:t>
      </w:r>
    </w:p>
    <w:p w:rsidR="00E7582D" w:rsidRPr="00E7582D" w:rsidRDefault="00E7582D" w:rsidP="00586850">
      <w:r w:rsidRPr="00E7582D">
        <w:t>Pomalidomide was examined for potential genotoxicity in the standard battery of tests with negative results in all assays. Carcinogenicity studies were not conducted and are not required for this anticancer medication. However, given the immunosuppressive activity of pomalidomide and the finding of AML in a pomalidomide</w:t>
      </w:r>
      <w:r w:rsidR="0066576B">
        <w:t xml:space="preserve"> </w:t>
      </w:r>
      <w:r w:rsidRPr="00E7582D">
        <w:t>treated monkey, secondary malignancies may be seen in patients.</w:t>
      </w:r>
    </w:p>
    <w:p w:rsidR="00E7582D" w:rsidRPr="00E7582D" w:rsidRDefault="00E7582D" w:rsidP="00800041">
      <w:r w:rsidRPr="00E7582D">
        <w:t xml:space="preserve">Pomalidomide crossed the placenta and was detected in </w:t>
      </w:r>
      <w:r w:rsidR="00F2362E">
        <w:t>fetal</w:t>
      </w:r>
      <w:r w:rsidRPr="00E7582D">
        <w:t xml:space="preserve"> blood following administration to pregnant rabbits. Maternal exposure to pomalidomide induced embryo/</w:t>
      </w:r>
      <w:r w:rsidR="00F2362E">
        <w:t>fetal</w:t>
      </w:r>
      <w:r w:rsidRPr="00E7582D">
        <w:t xml:space="preserve"> lethality and teratogenicity in rats and rabbits. A NOAEL was not established. Pomalidomide was detected in the milk of lactating rats following administration to the mother. Breast-feeding should be avoided when taking pomalidomide. Adverse embryonic effects following seminal transfer of pomalidomide cannot be ruled out. The animal studies are inadequate to address this.</w:t>
      </w:r>
    </w:p>
    <w:p w:rsidR="00E7582D" w:rsidRPr="00E7582D" w:rsidRDefault="00E7582D" w:rsidP="00586850">
      <w:r w:rsidRPr="00E7582D">
        <w:t>Pomalidomide is an immunomodulator with some immunosuppressant activity. The activity is expected to be similar to that for lenalidomide (based on pharmacological studies).</w:t>
      </w:r>
    </w:p>
    <w:p w:rsidR="008E7846" w:rsidRDefault="008E7846" w:rsidP="00586850">
      <w:pPr>
        <w:pStyle w:val="Heading3"/>
      </w:pPr>
      <w:bookmarkStart w:id="136" w:name="_Toc247691530"/>
      <w:bookmarkStart w:id="137" w:name="_Toc314842513"/>
      <w:bookmarkStart w:id="138" w:name="_Toc404176198"/>
      <w:r>
        <w:t>Clinical</w:t>
      </w:r>
      <w:bookmarkEnd w:id="136"/>
      <w:bookmarkEnd w:id="137"/>
      <w:bookmarkEnd w:id="138"/>
    </w:p>
    <w:p w:rsidR="008E1281" w:rsidRPr="00E71F4A" w:rsidRDefault="008E1281" w:rsidP="00586850">
      <w:bookmarkStart w:id="139" w:name="_Toc314842514"/>
      <w:r w:rsidRPr="00E71F4A">
        <w:t>The clinical evaluator reviewed the submitted data</w:t>
      </w:r>
      <w:r w:rsidR="00E71F4A" w:rsidRPr="00E71F4A">
        <w:t xml:space="preserve"> (see </w:t>
      </w:r>
      <w:r w:rsidR="00E71F4A" w:rsidRPr="00E71F4A">
        <w:rPr>
          <w:i/>
        </w:rPr>
        <w:t>Clinical findings</w:t>
      </w:r>
      <w:r w:rsidR="00E71F4A" w:rsidRPr="00E71F4A">
        <w:t xml:space="preserve"> above and Attachment 2 for the scope of t</w:t>
      </w:r>
      <w:r w:rsidR="00586850">
        <w:t>he sponsor’s clinical dossier).</w:t>
      </w:r>
    </w:p>
    <w:p w:rsidR="008E1281" w:rsidRPr="008E1281" w:rsidRDefault="008E1281" w:rsidP="00586850">
      <w:r w:rsidRPr="008E1281">
        <w:lastRenderedPageBreak/>
        <w:t xml:space="preserve">The submitted data was evaluated using TGA adopted EMA </w:t>
      </w:r>
      <w:r w:rsidR="008C3A63">
        <w:t>g</w:t>
      </w:r>
      <w:r w:rsidRPr="008E1281">
        <w:t>uidelines</w:t>
      </w:r>
      <w:r w:rsidR="001D15D4">
        <w:t>.</w:t>
      </w:r>
      <w:r w:rsidR="002D5E11">
        <w:rPr>
          <w:rStyle w:val="FootnoteReference"/>
        </w:rPr>
        <w:footnoteReference w:id="11"/>
      </w:r>
    </w:p>
    <w:p w:rsidR="008E1281" w:rsidRDefault="008E1281" w:rsidP="00586850">
      <w:pPr>
        <w:pStyle w:val="Heading4"/>
      </w:pPr>
      <w:r w:rsidRPr="007B6132">
        <w:t>Clini</w:t>
      </w:r>
      <w:r>
        <w:t>cal evaluator’s recommendation</w:t>
      </w:r>
    </w:p>
    <w:p w:rsidR="00860EEE" w:rsidRDefault="008E1281" w:rsidP="00586850">
      <w:r w:rsidRPr="00860EEE">
        <w:t xml:space="preserve">The clinical evaluator has recommended registration of pomalidomide for the </w:t>
      </w:r>
      <w:r w:rsidR="00860EEE">
        <w:t>following modified indication:</w:t>
      </w:r>
    </w:p>
    <w:p w:rsidR="008E1281" w:rsidRPr="00860EEE" w:rsidRDefault="008E1281" w:rsidP="00800041">
      <w:pPr>
        <w:ind w:left="426"/>
        <w:rPr>
          <w:i/>
        </w:rPr>
      </w:pPr>
      <w:r w:rsidRPr="00860EEE">
        <w:rPr>
          <w:i/>
        </w:rPr>
        <w:t>Pomalyst in combination with dexamethasone is indicated for the treatment of patients with multiple myeloma who have failed at least two prior therapies including lenali</w:t>
      </w:r>
      <w:r w:rsidR="00860EEE" w:rsidRPr="00860EEE">
        <w:rPr>
          <w:i/>
        </w:rPr>
        <w:t>domide and bortezomib.</w:t>
      </w:r>
    </w:p>
    <w:p w:rsidR="008E1281" w:rsidRPr="008E1281" w:rsidRDefault="008E1281" w:rsidP="00586850">
      <w:pPr>
        <w:pStyle w:val="Heading4"/>
      </w:pPr>
      <w:bookmarkStart w:id="140" w:name="_Toc290846235"/>
      <w:bookmarkStart w:id="141" w:name="_Toc224202687"/>
      <w:r w:rsidRPr="008E1281">
        <w:t>Paediatric data</w:t>
      </w:r>
      <w:bookmarkEnd w:id="140"/>
      <w:bookmarkEnd w:id="141"/>
    </w:p>
    <w:p w:rsidR="008E1281" w:rsidRPr="00A12FB9" w:rsidRDefault="008E1281" w:rsidP="00586850">
      <w:r w:rsidRPr="00A12FB9">
        <w:t>The submission did not include paediatric data.</w:t>
      </w:r>
    </w:p>
    <w:p w:rsidR="00995BA0" w:rsidRPr="00995BA0" w:rsidRDefault="00995BA0" w:rsidP="00995BA0">
      <w:pPr>
        <w:pStyle w:val="Heading4"/>
        <w:rPr>
          <w:lang w:eastAsia="ja-JP"/>
        </w:rPr>
      </w:pPr>
      <w:r w:rsidRPr="00995BA0">
        <w:rPr>
          <w:lang w:eastAsia="ja-JP"/>
        </w:rPr>
        <w:t>Pharmacokinetics/Pharmacodynamics</w:t>
      </w:r>
    </w:p>
    <w:p w:rsidR="00995BA0" w:rsidRPr="00995BA0" w:rsidRDefault="00995BA0" w:rsidP="00586850">
      <w:pPr>
        <w:pStyle w:val="Heading5"/>
      </w:pPr>
      <w:r w:rsidRPr="00995BA0">
        <w:t>Absorption</w:t>
      </w:r>
    </w:p>
    <w:p w:rsidR="00995BA0" w:rsidRPr="00995BA0" w:rsidRDefault="00BB6C96" w:rsidP="00586850">
      <w:r>
        <w:t>The pharmacokinetic</w:t>
      </w:r>
      <w:r w:rsidR="00995BA0" w:rsidRPr="00995BA0">
        <w:t xml:space="preserve"> results were generally similar for healthy and MM subjects following single and multiple dose studies. The oral bioavailability was 73%, and under fasting conditions (and food studies indicated no significant effect of food intak</w:t>
      </w:r>
      <w:r w:rsidR="00964B70">
        <w:t>e), the median T</w:t>
      </w:r>
      <w:r w:rsidR="004F2958">
        <w:t>max was 3 h</w:t>
      </w:r>
      <w:r w:rsidR="00995BA0" w:rsidRPr="00995BA0">
        <w:t xml:space="preserve"> for the dose range used in the clinical studies. The Cmax in the clinical dose range (0.5-5</w:t>
      </w:r>
      <w:r w:rsidR="00C23CD2">
        <w:t xml:space="preserve"> </w:t>
      </w:r>
      <w:r w:rsidR="00995BA0" w:rsidRPr="00995BA0">
        <w:t>mg) increases in a dose</w:t>
      </w:r>
      <w:r w:rsidR="004C0E78">
        <w:t xml:space="preserve"> </w:t>
      </w:r>
      <w:r w:rsidR="00995BA0" w:rsidRPr="00995BA0">
        <w:t>proportional manner, and steady</w:t>
      </w:r>
      <w:r w:rsidR="007B62B6">
        <w:t xml:space="preserve"> </w:t>
      </w:r>
      <w:r w:rsidR="00995BA0" w:rsidRPr="00995BA0">
        <w:t>state is reached by Day 3. The justification for not including an absolute bioavailabili</w:t>
      </w:r>
      <w:r w:rsidR="00C23CD2">
        <w:t>ty study (no plans to develop IV</w:t>
      </w:r>
      <w:r w:rsidR="00995BA0" w:rsidRPr="00995BA0">
        <w:t xml:space="preserve"> or oral solution due to instability at a neutral pH, limited solubility) is considered acceptable. Bioequivalence was demonstrated across the 4 dosage strengths proposed for registration. The </w:t>
      </w:r>
      <w:r w:rsidR="003A553A">
        <w:t>a</w:t>
      </w:r>
      <w:r w:rsidR="003A553A" w:rsidRPr="003A553A">
        <w:t>pparent volume of distribution</w:t>
      </w:r>
      <w:r w:rsidR="003A553A">
        <w:t xml:space="preserve"> (</w:t>
      </w:r>
      <w:r w:rsidR="00995BA0" w:rsidRPr="00995BA0">
        <w:t>Vd</w:t>
      </w:r>
      <w:r w:rsidR="003A553A">
        <w:t>)</w:t>
      </w:r>
      <w:r w:rsidR="00995BA0" w:rsidRPr="00995BA0">
        <w:t xml:space="preserve"> in healthy sub</w:t>
      </w:r>
      <w:r w:rsidR="00185C24">
        <w:t>jects ranged from 102-140 L</w:t>
      </w:r>
      <w:r w:rsidR="00995BA0" w:rsidRPr="00995BA0">
        <w:t xml:space="preserve"> for doses ranging from 1-50</w:t>
      </w:r>
      <w:r w:rsidR="007E1B3F">
        <w:t xml:space="preserve"> </w:t>
      </w:r>
      <w:r w:rsidR="00995BA0" w:rsidRPr="00995BA0">
        <w:t>mg, and plasma protein binding differed for the different enantiomers (R:</w:t>
      </w:r>
      <w:r w:rsidR="00995BA0">
        <w:t xml:space="preserve"> </w:t>
      </w:r>
      <w:r w:rsidR="00995BA0" w:rsidRPr="00995BA0">
        <w:t xml:space="preserve">15.8%; S: 42.2%). No active metabolites have been identified. Tissue distributions in the </w:t>
      </w:r>
      <w:r w:rsidR="002C1DE0">
        <w:t>non</w:t>
      </w:r>
      <w:r w:rsidR="00995BA0" w:rsidRPr="00995BA0">
        <w:t>clinical studies showed detectable levels of radiolabelled pomalidomide in the gastrointestinal tract, organs of excretion (renal tract, bladder and bile) and detectable levels were present in the CNS. In the clinical studies, pomalidomide was measurable in semen.</w:t>
      </w:r>
    </w:p>
    <w:p w:rsidR="00995BA0" w:rsidRPr="00995BA0" w:rsidRDefault="00995BA0" w:rsidP="00586850">
      <w:pPr>
        <w:pStyle w:val="Heading5"/>
      </w:pPr>
      <w:r w:rsidRPr="00995BA0">
        <w:t>Metabolism/</w:t>
      </w:r>
      <w:r w:rsidR="00586850">
        <w:rPr>
          <w:lang w:val="en-AU"/>
        </w:rPr>
        <w:t>e</w:t>
      </w:r>
      <w:r w:rsidRPr="00995BA0">
        <w:t>xcretion</w:t>
      </w:r>
    </w:p>
    <w:p w:rsidR="00995BA0" w:rsidRPr="00995BA0" w:rsidRDefault="00995BA0" w:rsidP="00586850">
      <w:r w:rsidRPr="00B310D7">
        <w:rPr>
          <w:i/>
        </w:rPr>
        <w:t>In vitro</w:t>
      </w:r>
      <w:r w:rsidRPr="00995BA0">
        <w:t>, pomalidomide was metaboli</w:t>
      </w:r>
      <w:r w:rsidR="001703F3">
        <w:t>s</w:t>
      </w:r>
      <w:r w:rsidRPr="00995BA0">
        <w:t>ed to a limited extent in human hepatocytes, and the principal routes of metabolism were hydroxylation followed by glucuronidation, and hydrolysis, with multiple products also formed due to non</w:t>
      </w:r>
      <w:r w:rsidR="002C1DE0">
        <w:t>-</w:t>
      </w:r>
      <w:r w:rsidRPr="00995BA0">
        <w:t xml:space="preserve">enzymatic hydrolysis. </w:t>
      </w:r>
      <w:r w:rsidRPr="00AC442F">
        <w:rPr>
          <w:i/>
        </w:rPr>
        <w:t>In vivo</w:t>
      </w:r>
      <w:r w:rsidRPr="00995BA0">
        <w:t>, pomalidomide was detected intact (70% circulating radioactivity) with metabolites formed by hydroxylation with subsequent glucuronidation, or hydrolysis of the parent compound. In the human A</w:t>
      </w:r>
      <w:r w:rsidR="00342CEB">
        <w:t>D</w:t>
      </w:r>
      <w:r w:rsidRPr="00995BA0">
        <w:t>ME study, CYP dependent metabolites accounted for approximately 43% of the excreted radioactivity, while non</w:t>
      </w:r>
      <w:r w:rsidR="00EB4EC9">
        <w:t xml:space="preserve"> </w:t>
      </w:r>
      <w:r w:rsidRPr="00995BA0">
        <w:t>CYP dependent hydrolytic metabolites accounted for 25%, and excretion of unchanged pomalidomide accounted for 10%. CYP3A4 and CYP1A2 were the primary isoenzymes responsible fo</w:t>
      </w:r>
      <w:r w:rsidR="007C50B0">
        <w:t xml:space="preserve">r CYP-450 mediated metabolism. Less than </w:t>
      </w:r>
      <w:r w:rsidRPr="00995BA0">
        <w:t>5% is excreted unchanged in the urine.</w:t>
      </w:r>
    </w:p>
    <w:p w:rsidR="00995BA0" w:rsidRPr="00995BA0" w:rsidRDefault="00995BA0" w:rsidP="00586850">
      <w:r w:rsidRPr="00995BA0">
        <w:t>Pomalidomide</w:t>
      </w:r>
      <w:r w:rsidR="00342CEB">
        <w:t xml:space="preserve"> is mainly metabolised at extra </w:t>
      </w:r>
      <w:r w:rsidRPr="00995BA0">
        <w:t>renal sites and the metabolites are eliminated predominantly through renal excretion (72.8% of the administered dose but &lt;5% was unchanged drug).</w:t>
      </w:r>
      <w:r w:rsidR="006813F9">
        <w:t xml:space="preserve"> </w:t>
      </w:r>
      <w:r w:rsidRPr="00995BA0">
        <w:t xml:space="preserve">Faecal excretion of radioactivity accounted for 15.5% of the administered dose, with unchanged pomalidomide accounting for 7.7% of the dose. </w:t>
      </w:r>
    </w:p>
    <w:p w:rsidR="00995BA0" w:rsidRPr="00995BA0" w:rsidRDefault="00995BA0" w:rsidP="00586850">
      <w:r w:rsidRPr="00995BA0">
        <w:lastRenderedPageBreak/>
        <w:t>Pomalidomide parent compound is responsible for the</w:t>
      </w:r>
      <w:r w:rsidR="00D86B69">
        <w:t xml:space="preserve"> pharmacological response (for example, </w:t>
      </w:r>
      <w:r w:rsidRPr="00995BA0">
        <w:t>inhibition of MM cell lines, immunomodulatory effects)</w:t>
      </w:r>
      <w:r>
        <w:t>.</w:t>
      </w:r>
    </w:p>
    <w:p w:rsidR="00995BA0" w:rsidRDefault="00995BA0" w:rsidP="00586850">
      <w:pPr>
        <w:pStyle w:val="Heading5"/>
        <w:rPr>
          <w:rFonts w:eastAsia="TimesNewRoman"/>
          <w:lang w:val="en-US"/>
        </w:rPr>
      </w:pPr>
      <w:r w:rsidRPr="007F32CC">
        <w:rPr>
          <w:rFonts w:eastAsia="TimesNewRoman"/>
          <w:lang w:val="en-US"/>
        </w:rPr>
        <w:t>Pharmac</w:t>
      </w:r>
      <w:r w:rsidR="00586850">
        <w:rPr>
          <w:rFonts w:eastAsia="TimesNewRoman"/>
          <w:lang w:val="en-US"/>
        </w:rPr>
        <w:t>okinetic studies in MM patients</w:t>
      </w:r>
    </w:p>
    <w:p w:rsidR="00995BA0" w:rsidRPr="00EB4EC9" w:rsidRDefault="00995BA0" w:rsidP="00586850">
      <w:r w:rsidRPr="00EB4EC9">
        <w:t>While not of sufficient concern to preclude registration, there we</w:t>
      </w:r>
      <w:r w:rsidR="00342CEB">
        <w:t>re several limitations in the pharmacokinetic</w:t>
      </w:r>
      <w:r w:rsidRPr="00EB4EC9">
        <w:t xml:space="preserve"> analyses presented in the submission, which require addressing to characteri</w:t>
      </w:r>
      <w:r w:rsidR="00342CEB">
        <w:t>s</w:t>
      </w:r>
      <w:r w:rsidRPr="00EB4EC9">
        <w:t>e pomalidomide fully for use in the proposed population, and to provide optimal advice about safe prescribing in the PI.</w:t>
      </w:r>
      <w:r w:rsidR="006813F9">
        <w:t xml:space="preserve"> </w:t>
      </w:r>
      <w:r w:rsidRPr="00EB4EC9">
        <w:t>Most of these are being addressed in studies underway and were not available at the time of submission but it is the Delegate’s view that these ought to be submitted, as a condition of registration. These include:</w:t>
      </w:r>
    </w:p>
    <w:p w:rsidR="00995BA0" w:rsidRPr="00EB4EC9" w:rsidRDefault="00040AED" w:rsidP="00800041">
      <w:pPr>
        <w:pStyle w:val="ListBullet"/>
      </w:pPr>
      <w:r>
        <w:t>Studies</w:t>
      </w:r>
      <w:r w:rsidR="00995BA0" w:rsidRPr="00EB4EC9">
        <w:t xml:space="preserve"> in s</w:t>
      </w:r>
      <w:r w:rsidR="00C94794">
        <w:t>ubjects with renal impairment. A</w:t>
      </w:r>
      <w:r w:rsidR="00995BA0" w:rsidRPr="00EB4EC9">
        <w:t xml:space="preserve"> dedicated study in MM patients with renal impairment is underway (Phase I, dose</w:t>
      </w:r>
      <w:r w:rsidR="003F5496">
        <w:t xml:space="preserve"> </w:t>
      </w:r>
      <w:r w:rsidR="00E53DAE">
        <w:t>escalation pharmacokinetic</w:t>
      </w:r>
      <w:r w:rsidR="00995BA0" w:rsidRPr="00EB4EC9">
        <w:t xml:space="preserve"> and safety </w:t>
      </w:r>
      <w:r w:rsidR="003F5496">
        <w:t>S</w:t>
      </w:r>
      <w:r w:rsidR="00995BA0" w:rsidRPr="00EB4EC9">
        <w:t>tudy CC-4047-MM-008). While pomalidomide is extensively metaboli</w:t>
      </w:r>
      <w:r w:rsidR="00E53DAE">
        <w:t>s</w:t>
      </w:r>
      <w:r w:rsidR="00995BA0" w:rsidRPr="00EB4EC9">
        <w:t xml:space="preserve">ed and &lt;5% of the active parent drug is excreted unchanged in the urine, given the incidence of renal impairment in both this disease, the advanced median age at diagnosis (71), and observed cases of renal </w:t>
      </w:r>
      <w:r w:rsidR="00995BA0" w:rsidRPr="00800041">
        <w:t>failure</w:t>
      </w:r>
      <w:r w:rsidR="00995BA0" w:rsidRPr="00EB4EC9">
        <w:t xml:space="preserve"> (see Safety section), submission of this should be a condition of registration (</w:t>
      </w:r>
      <w:r w:rsidR="00E53DAE">
        <w:t>s</w:t>
      </w:r>
      <w:r w:rsidR="00995BA0" w:rsidRPr="00EB4EC9">
        <w:t xml:space="preserve">ee Conditions of registration). The </w:t>
      </w:r>
      <w:r w:rsidR="00E53DAE">
        <w:t>s</w:t>
      </w:r>
      <w:r w:rsidR="00995BA0" w:rsidRPr="00EB4EC9">
        <w:t>ponsor is requested to indicate a likely completion date for this study in the pre</w:t>
      </w:r>
      <w:r w:rsidR="00E53DAE">
        <w:t xml:space="preserve"> </w:t>
      </w:r>
      <w:r w:rsidR="00800041">
        <w:t>ACPM response.</w:t>
      </w:r>
    </w:p>
    <w:p w:rsidR="00995BA0" w:rsidRPr="00EB4EC9" w:rsidRDefault="00FF2653" w:rsidP="00586850">
      <w:pPr>
        <w:pStyle w:val="ListBullet"/>
      </w:pPr>
      <w:r>
        <w:t>D</w:t>
      </w:r>
      <w:r w:rsidR="00995BA0" w:rsidRPr="00EB4EC9">
        <w:t>rug-drug interaction study</w:t>
      </w:r>
      <w:r>
        <w:t>:</w:t>
      </w:r>
      <w:r w:rsidR="00995BA0" w:rsidRPr="00EB4EC9">
        <w:t xml:space="preserve"> information in the PI (mentioned in the EMA E</w:t>
      </w:r>
      <w:r w:rsidR="0044566B">
        <w:t>uropean Public Assessment Report [EPAR]</w:t>
      </w:r>
      <w:r w:rsidR="00995BA0" w:rsidRPr="00EB4EC9">
        <w:t xml:space="preserve"> and </w:t>
      </w:r>
      <w:r w:rsidR="0044566B" w:rsidRPr="0044566B">
        <w:t>Summary of Product Characteristics</w:t>
      </w:r>
      <w:r w:rsidR="00995BA0" w:rsidRPr="00EB4EC9">
        <w:t>) indicates a significant increase in pomalidomide levels (and likely increased efficacy/adverse events) with concurrent administration of a strong CYP3A4 and CYP1A2 inhibitors. There is no discussion about the any potential loss of efficacy with CYP3A4 and CYP1A2 inducers. Data supporting this have not b</w:t>
      </w:r>
      <w:r w:rsidR="009C45F1">
        <w:t>een included in this submission:</w:t>
      </w:r>
      <w:r w:rsidR="00995BA0" w:rsidRPr="00EB4EC9">
        <w:t xml:space="preserve"> the Summary of Clinical Pharmacology states that a trial is completed and under analysis (CC-4047- CP-008). The </w:t>
      </w:r>
      <w:r w:rsidR="009C45F1">
        <w:t>s</w:t>
      </w:r>
      <w:r w:rsidR="00995BA0" w:rsidRPr="00EB4EC9">
        <w:t>ponsor has indicated that they</w:t>
      </w:r>
      <w:r w:rsidR="009C45F1">
        <w:t xml:space="preserve"> plan to submit this study post </w:t>
      </w:r>
      <w:r w:rsidR="00995BA0" w:rsidRPr="00EB4EC9">
        <w:t>registration. As this per</w:t>
      </w:r>
      <w:r w:rsidR="009C45F1">
        <w:t>tains to safe prescribing, the s</w:t>
      </w:r>
      <w:r w:rsidR="00995BA0" w:rsidRPr="00EB4EC9">
        <w:t>ponsor is requested to provide the immediately relevant information to support these findings and submit the study for full clinical evaluation within 3 months of registration (see Conditions of registration).</w:t>
      </w:r>
    </w:p>
    <w:p w:rsidR="00995BA0" w:rsidRPr="00EB4EC9" w:rsidRDefault="009C45F1" w:rsidP="00586850">
      <w:pPr>
        <w:pStyle w:val="ListBullet"/>
      </w:pPr>
      <w:r>
        <w:t>Hepatic impairment: no pharmacokinetic</w:t>
      </w:r>
      <w:r w:rsidR="00995BA0" w:rsidRPr="00EB4EC9">
        <w:t xml:space="preserve"> trials presented in those with hepatic impairment, and patients with transaminases &gt; 3 x </w:t>
      </w:r>
      <w:r w:rsidR="0022311A">
        <w:t>Upper Limit of Normal (</w:t>
      </w:r>
      <w:r w:rsidR="00995BA0" w:rsidRPr="00EB4EC9">
        <w:t>ULN</w:t>
      </w:r>
      <w:r w:rsidR="0022311A">
        <w:t>)</w:t>
      </w:r>
      <w:r w:rsidR="00995BA0" w:rsidRPr="00EB4EC9">
        <w:t xml:space="preserve"> were exclud</w:t>
      </w:r>
      <w:r w:rsidR="00102954">
        <w:t>ed from the Phase II</w:t>
      </w:r>
      <w:r w:rsidR="00995BA0" w:rsidRPr="00EB4EC9">
        <w:t xml:space="preserve"> trials CC-4047-MM-002 and IFM-2009-02. This needs to be reflected in the PI. A clinical trial evaluating </w:t>
      </w:r>
      <w:r w:rsidR="009848B9">
        <w:t>pharmacokinetics</w:t>
      </w:r>
      <w:r w:rsidR="00995BA0" w:rsidRPr="00EB4EC9">
        <w:t xml:space="preserve"> in MM patients otherwise healthy subjects but with hepatic impairment is in progress (CC-4047-CP-009). Again, given the age at median diagnosis and likelihood of co-morbidities, this trial should be submitted to the TGA upon completion and the PI updated accordingly.</w:t>
      </w:r>
    </w:p>
    <w:p w:rsidR="00EB4EC9" w:rsidRDefault="00995BA0" w:rsidP="00586850">
      <w:pPr>
        <w:pStyle w:val="ListBullet"/>
      </w:pPr>
      <w:r w:rsidRPr="00EB4EC9">
        <w:t>There was no formal QT/QTc study submitted.</w:t>
      </w:r>
      <w:r w:rsidR="006813F9">
        <w:t xml:space="preserve"> </w:t>
      </w:r>
      <w:r w:rsidRPr="00EB4EC9">
        <w:t xml:space="preserve">The </w:t>
      </w:r>
      <w:r w:rsidR="002C1DE0">
        <w:t xml:space="preserve">sponsor’s </w:t>
      </w:r>
      <w:r w:rsidRPr="00EB4EC9">
        <w:t xml:space="preserve">Summary </w:t>
      </w:r>
      <w:r w:rsidR="00EB4EC9">
        <w:t>of Clinical Pharmacology states:</w:t>
      </w:r>
    </w:p>
    <w:p w:rsidR="00EB4EC9" w:rsidRDefault="002C1DE0" w:rsidP="002C1DE0">
      <w:pPr>
        <w:pStyle w:val="ListBullet2"/>
        <w:numPr>
          <w:ilvl w:val="0"/>
          <w:numId w:val="0"/>
        </w:numPr>
        <w:ind w:left="720"/>
      </w:pPr>
      <w:r>
        <w:t>‘</w:t>
      </w:r>
      <w:r w:rsidRPr="002C1DE0">
        <w:rPr>
          <w:i/>
        </w:rPr>
        <w:t>T</w:t>
      </w:r>
      <w:r w:rsidR="00995BA0" w:rsidRPr="002C1DE0">
        <w:rPr>
          <w:i/>
        </w:rPr>
        <w:t xml:space="preserve">he </w:t>
      </w:r>
      <w:r w:rsidR="00275A47" w:rsidRPr="002C1DE0">
        <w:rPr>
          <w:i/>
        </w:rPr>
        <w:t>a</w:t>
      </w:r>
      <w:r w:rsidR="00995BA0" w:rsidRPr="002C1DE0">
        <w:rPr>
          <w:i/>
        </w:rPr>
        <w:t>pplicant has been compiling and reviewing QT data on an annual basis. A summary is provided here, and detailed information can be found in the Summary of Clinical Safety. The nonclinical and clinical data reviewed and analy</w:t>
      </w:r>
      <w:r w:rsidR="00275A47" w:rsidRPr="002C1DE0">
        <w:rPr>
          <w:i/>
        </w:rPr>
        <w:t>s</w:t>
      </w:r>
      <w:r w:rsidR="00995BA0" w:rsidRPr="002C1DE0">
        <w:rPr>
          <w:i/>
        </w:rPr>
        <w:t>ed to date do not suggest an apparent signal or potential concern regarding QTc prolongation with pomalidomide. However, a formal thorough QT/QTc study in healthy subjects is planned with a target start date of 3Q</w:t>
      </w:r>
      <w:r w:rsidR="00275A47" w:rsidRPr="002C1DE0">
        <w:rPr>
          <w:i/>
        </w:rPr>
        <w:t xml:space="preserve"> </w:t>
      </w:r>
      <w:r w:rsidR="00995BA0" w:rsidRPr="002C1DE0">
        <w:rPr>
          <w:i/>
        </w:rPr>
        <w:t>2013.</w:t>
      </w:r>
      <w:r w:rsidRPr="002C1DE0">
        <w:rPr>
          <w:i/>
        </w:rPr>
        <w:t>’</w:t>
      </w:r>
    </w:p>
    <w:p w:rsidR="00995BA0" w:rsidRPr="00EB4EC9" w:rsidRDefault="00995BA0" w:rsidP="00586850">
      <w:r w:rsidRPr="00EB4EC9">
        <w:t xml:space="preserve">The </w:t>
      </w:r>
      <w:r w:rsidR="003E790E">
        <w:t>s</w:t>
      </w:r>
      <w:r w:rsidRPr="00EB4EC9">
        <w:t>ponsor is requested to indicate the likely completion date in the pre</w:t>
      </w:r>
      <w:r w:rsidR="0086786C">
        <w:t xml:space="preserve"> </w:t>
      </w:r>
      <w:r w:rsidRPr="00EB4EC9">
        <w:t>ACPM response, and it should be submitted upon completion as a condition of registration.</w:t>
      </w:r>
    </w:p>
    <w:p w:rsidR="00995BA0" w:rsidRPr="00EB4EC9" w:rsidRDefault="0086786C" w:rsidP="00586850">
      <w:r>
        <w:t>Although the pharmacokinetic</w:t>
      </w:r>
      <w:r w:rsidR="00995BA0" w:rsidRPr="00EB4EC9">
        <w:t xml:space="preserve"> measurements were generally similar to the healthy subjects’ results, there were conflicting results at different dose levels for the two </w:t>
      </w:r>
      <w:r>
        <w:t>pharmacokinetic</w:t>
      </w:r>
      <w:r w:rsidR="00995BA0" w:rsidRPr="00EB4EC9">
        <w:t xml:space="preserve"> studies in MM patients at the dose closest to the proposed clinical dose level. In Study CC-4047-MM-001, the small patient numbers and high between patient </w:t>
      </w:r>
      <w:r w:rsidR="00995BA0" w:rsidRPr="00EB4EC9">
        <w:lastRenderedPageBreak/>
        <w:t xml:space="preserve">variability meant no statistical analysis was possible, while the </w:t>
      </w:r>
      <w:r w:rsidR="0045550B">
        <w:t>pharmacokinetic</w:t>
      </w:r>
      <w:r w:rsidR="00995BA0" w:rsidRPr="00EB4EC9">
        <w:t xml:space="preserve"> component </w:t>
      </w:r>
      <w:r w:rsidR="0045550B">
        <w:t xml:space="preserve">of </w:t>
      </w:r>
      <w:r w:rsidR="00562515">
        <w:t xml:space="preserve">the Phase II </w:t>
      </w:r>
      <w:r w:rsidR="0045550B">
        <w:t>St</w:t>
      </w:r>
      <w:r w:rsidR="00562515">
        <w:t>udy CC-4047-MM-002</w:t>
      </w:r>
      <w:r w:rsidR="00995BA0" w:rsidRPr="00EB4EC9">
        <w:t xml:space="preserve"> was only an exploratory objective. The Delegate is in agreement with the clinical evaluator’s conclusions that the clinical significance of the </w:t>
      </w:r>
      <w:r w:rsidR="00346DC4">
        <w:t>pharmacokinetic</w:t>
      </w:r>
      <w:r w:rsidR="00995BA0" w:rsidRPr="00EB4EC9">
        <w:t xml:space="preserve"> differences is uncertain and better assessed on the basis of the safety of the 4</w:t>
      </w:r>
      <w:r w:rsidR="00346DC4">
        <w:t xml:space="preserve"> </w:t>
      </w:r>
      <w:r w:rsidR="00995BA0" w:rsidRPr="00EB4EC9">
        <w:t>mg dose in the clinical studies.</w:t>
      </w:r>
    </w:p>
    <w:p w:rsidR="00995BA0" w:rsidRPr="00B46684" w:rsidRDefault="00995BA0" w:rsidP="00800041">
      <w:pPr>
        <w:pStyle w:val="ListBullet"/>
      </w:pPr>
      <w:r w:rsidRPr="00B46684">
        <w:t>There appeared to be no signific</w:t>
      </w:r>
      <w:r w:rsidR="00546DD2">
        <w:t xml:space="preserve">ant effect of age, body weight, </w:t>
      </w:r>
      <w:r w:rsidRPr="00B46684">
        <w:t>or normal renal</w:t>
      </w:r>
      <w:r w:rsidR="00195AA5">
        <w:t xml:space="preserve"> function on the pomalidomide pharmacokinetics</w:t>
      </w:r>
      <w:r w:rsidRPr="00B46684">
        <w:t xml:space="preserve"> in healthy males or those with MM. Most of these analyses were done in patients on pomalidomide alone, with only 7 patients evaluable who were </w:t>
      </w:r>
      <w:r w:rsidRPr="00800041">
        <w:t>on</w:t>
      </w:r>
      <w:r w:rsidRPr="00B46684">
        <w:t xml:space="preserve"> pomalidomide and dexamethasone. No studies were done in healthy female subjects, but there does not appear likely that this would yield different results and the results in the MM subjects confirm this.</w:t>
      </w:r>
    </w:p>
    <w:p w:rsidR="00995BA0" w:rsidRPr="00B46684" w:rsidRDefault="00995BA0" w:rsidP="00586850">
      <w:r w:rsidRPr="00B46684">
        <w:t>A reduction in serum paraprotein concentration of at least 25% was seen in 39% of MM patients treated with pomalidomide (Study CDC-4047-00-001), while Grade 3 and 4 neutropenia were seen in 2.6% and 15.8%</w:t>
      </w:r>
      <w:r w:rsidR="009C5C3E">
        <w:t>,</w:t>
      </w:r>
      <w:r w:rsidRPr="00B46684">
        <w:t xml:space="preserve"> respectively. The </w:t>
      </w:r>
      <w:r w:rsidR="002C1DE0">
        <w:t>lowest point (</w:t>
      </w:r>
      <w:r w:rsidRPr="00B46684">
        <w:t>nadir</w:t>
      </w:r>
      <w:r w:rsidR="002C1DE0">
        <w:t>)</w:t>
      </w:r>
      <w:r w:rsidRPr="00B46684">
        <w:t xml:space="preserve"> was on </w:t>
      </w:r>
      <w:r w:rsidR="009C5C3E">
        <w:t>Day 22</w:t>
      </w:r>
      <w:r w:rsidRPr="00B46684">
        <w:t xml:space="preserve"> and lasted for 6-8 days. Effects of pomalidomide on the CD4 and CD8 counts in Study 1398/132 in healthy subjects were inconclusive</w:t>
      </w:r>
      <w:r w:rsidR="009C5C3E">
        <w:t>.</w:t>
      </w:r>
    </w:p>
    <w:p w:rsidR="00995BA0" w:rsidRPr="00B46684" w:rsidRDefault="00995BA0" w:rsidP="00586850">
      <w:pPr>
        <w:pStyle w:val="ListBullet"/>
      </w:pPr>
      <w:r w:rsidRPr="00B46684">
        <w:t xml:space="preserve">Efficacy and safety were not shown to be related to </w:t>
      </w:r>
      <w:r w:rsidR="0074059B">
        <w:t>pharmacokinetic</w:t>
      </w:r>
      <w:r w:rsidRPr="00B46684">
        <w:t xml:space="preserve"> data on pomalidomide because of insufficient data</w:t>
      </w:r>
      <w:r w:rsidR="0074059B">
        <w:t>.</w:t>
      </w:r>
    </w:p>
    <w:p w:rsidR="00995BA0" w:rsidRPr="007075D8" w:rsidRDefault="00B46684" w:rsidP="00586850">
      <w:pPr>
        <w:pStyle w:val="Heading4"/>
        <w:rPr>
          <w:lang w:val="en-US"/>
        </w:rPr>
      </w:pPr>
      <w:r>
        <w:rPr>
          <w:lang w:val="en-US"/>
        </w:rPr>
        <w:t>Dosage selection</w:t>
      </w:r>
    </w:p>
    <w:p w:rsidR="00995BA0" w:rsidRPr="00B46684" w:rsidRDefault="00995BA0" w:rsidP="00586850">
      <w:r w:rsidRPr="00B46684">
        <w:t>The 4 mg once daily dose was chosen as there were fewer instances of Grade 4 neutropenia requiring dose reduction than with 5 mg in the pomalidomide alone studies. Pomalidomide is active wh</w:t>
      </w:r>
      <w:r w:rsidR="00DA4735">
        <w:t>en administered alone: ORR 9% (ITT population)</w:t>
      </w:r>
      <w:r w:rsidRPr="00B46684">
        <w:t>, and a response rate of 15.4% in subjects &gt; 65 years old and 23.1% in subjects &gt;75 years old in heavily pre</w:t>
      </w:r>
      <w:r w:rsidR="008D2ECD">
        <w:t>-</w:t>
      </w:r>
      <w:r w:rsidRPr="00B46684">
        <w:t xml:space="preserve">treated subjects in </w:t>
      </w:r>
      <w:r w:rsidR="007E7308" w:rsidRPr="00B46684">
        <w:t xml:space="preserve">Phase </w:t>
      </w:r>
      <w:r w:rsidR="007E7308">
        <w:t>II</w:t>
      </w:r>
      <w:r w:rsidR="007E7308" w:rsidRPr="00B46684">
        <w:t xml:space="preserve"> </w:t>
      </w:r>
      <w:r w:rsidR="007E7308">
        <w:t xml:space="preserve">Study </w:t>
      </w:r>
      <w:r w:rsidRPr="00B46684">
        <w:t xml:space="preserve">CC-4047-MM-002. The proposed usage of pomalidomide is in combination with dexamethasone is supported by </w:t>
      </w:r>
      <w:r w:rsidRPr="008D2ECD">
        <w:rPr>
          <w:i/>
        </w:rPr>
        <w:t>in vitro</w:t>
      </w:r>
      <w:r w:rsidRPr="00B46684">
        <w:t xml:space="preserve"> data, the observed synergy between lenalidomide (pomalidomide is a lenalidomide analogue) and </w:t>
      </w:r>
      <w:r w:rsidR="00CB01DA">
        <w:t>LD</w:t>
      </w:r>
      <w:r w:rsidRPr="00B46684">
        <w:t xml:space="preserve"> dexamethasone and the ORR of 30.1% (ITT population) in subj</w:t>
      </w:r>
      <w:r w:rsidR="0070026C">
        <w:t>ects treated with pomalidomide/</w:t>
      </w:r>
      <w:r w:rsidR="00CB01DA">
        <w:t>LD</w:t>
      </w:r>
      <w:r w:rsidRPr="00B46684">
        <w:t xml:space="preserve"> dexamethasone, versus 9.3% in subjects treated with pomalidomide alone in</w:t>
      </w:r>
      <w:r w:rsidR="00434D3A" w:rsidRPr="00434D3A">
        <w:t xml:space="preserve"> </w:t>
      </w:r>
      <w:r w:rsidR="00434D3A">
        <w:t>Phase II study</w:t>
      </w:r>
      <w:r w:rsidRPr="00B46684">
        <w:t xml:space="preserve"> CC-4047-MM-002. The choice of </w:t>
      </w:r>
      <w:r w:rsidR="00CB01DA">
        <w:t>LD</w:t>
      </w:r>
      <w:r w:rsidRPr="00B46684">
        <w:t xml:space="preserve"> dexamethasone as well as a cyclic regimen schedule comes from studies using lenalidomide, and 21 out of 28 days was well tolerated and as efficacious as </w:t>
      </w:r>
      <w:r w:rsidR="00586850">
        <w:t>28 of 28 days for pomalidomide.</w:t>
      </w:r>
    </w:p>
    <w:p w:rsidR="00995BA0" w:rsidRDefault="00995BA0" w:rsidP="00800041">
      <w:pPr>
        <w:pStyle w:val="Heading4"/>
        <w:rPr>
          <w:sz w:val="24"/>
          <w:szCs w:val="24"/>
        </w:rPr>
      </w:pPr>
      <w:r w:rsidRPr="00800041">
        <w:t>Efficacy</w:t>
      </w:r>
    </w:p>
    <w:p w:rsidR="00995BA0" w:rsidRPr="00B46684" w:rsidRDefault="00995BA0" w:rsidP="00586850">
      <w:bookmarkStart w:id="142" w:name="_Toc371611790"/>
      <w:bookmarkStart w:id="143" w:name="_Toc371612372"/>
      <w:bookmarkStart w:id="144" w:name="_Toc371612636"/>
      <w:bookmarkStart w:id="145" w:name="_Toc371613173"/>
      <w:bookmarkStart w:id="146" w:name="_Ref243301615"/>
      <w:bookmarkStart w:id="147" w:name="_Ref271040927"/>
      <w:bookmarkStart w:id="148" w:name="_Ref271040932"/>
      <w:bookmarkStart w:id="149" w:name="_Toc272414653"/>
      <w:bookmarkStart w:id="150" w:name="_Toc290846275"/>
      <w:bookmarkStart w:id="151" w:name="_Toc290888812"/>
      <w:r w:rsidRPr="00B46684">
        <w:t>Pivotal Study CC-4407-MM-003</w:t>
      </w:r>
      <w:bookmarkEnd w:id="142"/>
      <w:bookmarkEnd w:id="143"/>
      <w:bookmarkEnd w:id="144"/>
      <w:bookmarkEnd w:id="145"/>
      <w:r w:rsidRPr="00B46684">
        <w:t xml:space="preserve"> </w:t>
      </w:r>
      <w:bookmarkEnd w:id="146"/>
      <w:bookmarkEnd w:id="147"/>
      <w:bookmarkEnd w:id="148"/>
      <w:bookmarkEnd w:id="149"/>
      <w:bookmarkEnd w:id="150"/>
      <w:bookmarkEnd w:id="151"/>
      <w:r w:rsidR="00D86BA8">
        <w:t>was a multi</w:t>
      </w:r>
      <w:r w:rsidRPr="00B46684">
        <w:t>centre, randomi</w:t>
      </w:r>
      <w:r w:rsidR="00D86BA8">
        <w:t>s</w:t>
      </w:r>
      <w:r w:rsidRPr="00B46684">
        <w:t>ed, open</w:t>
      </w:r>
      <w:r w:rsidR="00D86BA8">
        <w:t xml:space="preserve"> </w:t>
      </w:r>
      <w:r w:rsidRPr="00B46684">
        <w:t xml:space="preserve">label design to compare PFS as a primary endpoint between </w:t>
      </w:r>
      <w:r w:rsidR="00BE03E5">
        <w:t xml:space="preserve">pomalidomide </w:t>
      </w:r>
      <w:r w:rsidRPr="00B46684">
        <w:t xml:space="preserve">+ </w:t>
      </w:r>
      <w:r w:rsidR="00CB01DA">
        <w:t>LD</w:t>
      </w:r>
      <w:r w:rsidR="00FD67B1">
        <w:t xml:space="preserve"> dexamethasone</w:t>
      </w:r>
      <w:r w:rsidRPr="00B46684">
        <w:t xml:space="preserve"> versus </w:t>
      </w:r>
      <w:r w:rsidR="00CB01DA">
        <w:t>HD</w:t>
      </w:r>
      <w:r w:rsidR="00FD67B1">
        <w:t xml:space="preserve"> dexamethasone alone</w:t>
      </w:r>
      <w:r w:rsidRPr="00B46684">
        <w:t xml:space="preserve"> in patients with refractory MM or relapsed and refractory MM. In addition, the study was also powered to show an advantage in OS. The control arm was </w:t>
      </w:r>
      <w:r w:rsidR="006830EC">
        <w:t>HD dexamethasone</w:t>
      </w:r>
      <w:r w:rsidRPr="00B46684">
        <w:t xml:space="preserve">, a treatment widely used as a comparator to test novel agents in </w:t>
      </w:r>
      <w:r w:rsidR="006830EC">
        <w:t>RR</w:t>
      </w:r>
      <w:r w:rsidRPr="00B46684">
        <w:t xml:space="preserve">MM. For subjects in the </w:t>
      </w:r>
      <w:r w:rsidR="006830EC">
        <w:t xml:space="preserve">HD dexamethasone </w:t>
      </w:r>
      <w:r w:rsidRPr="00B46684">
        <w:t>arm who had confirmed disease progression, the option to enrol into an ongoing companion study (CC-4047-MM-003C) to receive po</w:t>
      </w:r>
      <w:r w:rsidR="00586850">
        <w:t>malidomide alone was available.</w:t>
      </w:r>
    </w:p>
    <w:p w:rsidR="00995BA0" w:rsidRPr="00B46684" w:rsidRDefault="00995BA0" w:rsidP="00586850">
      <w:r w:rsidRPr="00B46684">
        <w:t>The primary efficacy endpoint was PFS (as per Internatio</w:t>
      </w:r>
      <w:r w:rsidR="00406A3C">
        <w:t>nal Myeloma Working Group [IMWG]</w:t>
      </w:r>
      <w:r w:rsidRPr="00B46684">
        <w:t xml:space="preserve"> criteria) of </w:t>
      </w:r>
      <w:r w:rsidR="00BE03E5">
        <w:t xml:space="preserve">pomalidomide </w:t>
      </w:r>
      <w:r w:rsidR="00BC578D">
        <w:t xml:space="preserve">+ </w:t>
      </w:r>
      <w:r w:rsidR="00391B2D">
        <w:t xml:space="preserve">LD dexamethasone </w:t>
      </w:r>
      <w:r w:rsidR="00BC578D">
        <w:t>versus</w:t>
      </w:r>
      <w:r w:rsidRPr="00B46684">
        <w:t xml:space="preserve"> </w:t>
      </w:r>
      <w:r w:rsidR="00391B2D">
        <w:t>HD dexamethasone</w:t>
      </w:r>
      <w:r w:rsidRPr="00B46684">
        <w:t xml:space="preserve">. Secondary efficacy endpoints included: </w:t>
      </w:r>
      <w:r w:rsidR="00D7199D">
        <w:t>OS</w:t>
      </w:r>
      <w:r w:rsidRPr="00B46684">
        <w:t xml:space="preserve">; Overall Response (using the new IMWG response criteria per IRAC); Objective Response (using </w:t>
      </w:r>
      <w:r w:rsidR="00D332FB" w:rsidRPr="00D332FB">
        <w:t>European Group for Blood and Marrow Transplantation</w:t>
      </w:r>
      <w:r w:rsidR="0042560D">
        <w:t xml:space="preserve"> criteria per i</w:t>
      </w:r>
      <w:r w:rsidRPr="00B46684">
        <w:t xml:space="preserve">nvestigators); Time to progression (TTP); Time to response; Duration of response; Clinical benefit responses (Time to increased haemoglobin value, time to improvement of bone pain, time to improvement of renal function, time to improvement of </w:t>
      </w:r>
      <w:r w:rsidR="00193551" w:rsidRPr="00193551">
        <w:t xml:space="preserve">Eastern Cooperative Oncology Group </w:t>
      </w:r>
      <w:r w:rsidR="00193551">
        <w:t>[</w:t>
      </w:r>
      <w:r w:rsidRPr="00B46684">
        <w:t>ECOG</w:t>
      </w:r>
      <w:r w:rsidR="00193551">
        <w:t>]</w:t>
      </w:r>
      <w:r w:rsidRPr="00B46684">
        <w:t xml:space="preserve"> performance status) and the European Organi</w:t>
      </w:r>
      <w:r w:rsidR="00E66739">
        <w:t>s</w:t>
      </w:r>
      <w:r w:rsidRPr="00B46684">
        <w:t xml:space="preserve">ation for Research and Treatment of Cancer </w:t>
      </w:r>
      <w:r w:rsidRPr="00B46684">
        <w:lastRenderedPageBreak/>
        <w:t>QoL Questionnaire for Patients with Multiple Myeloma (EORTC QLQ-MY20) Module, the Cancer QoL Questionnaire for Patients with Cancer (EORTC QLQ-C30) Module, and the d</w:t>
      </w:r>
      <w:r w:rsidR="00586850">
        <w:t>escriptive system of the EQ-5D.</w:t>
      </w:r>
    </w:p>
    <w:p w:rsidR="00995BA0" w:rsidRPr="00B46684" w:rsidRDefault="00995BA0" w:rsidP="00586850">
      <w:r w:rsidRPr="00B46684">
        <w:t xml:space="preserve">The secondary objective was to determine the safety of the treatment in the study population. Exploratory objectives of the study were to explore the relationship between MM response and cytogenetic abnormalities; to determine the population </w:t>
      </w:r>
      <w:r w:rsidR="00E66739">
        <w:t>pharmacokinetic</w:t>
      </w:r>
      <w:r w:rsidR="00D6045F">
        <w:t>s</w:t>
      </w:r>
      <w:r w:rsidRPr="00B46684">
        <w:t xml:space="preserve"> of pomalidomide when administered along with </w:t>
      </w:r>
      <w:r w:rsidR="00C51285">
        <w:t xml:space="preserve">LD dexamethasone </w:t>
      </w:r>
      <w:r w:rsidRPr="00B46684">
        <w:t xml:space="preserve">in subjects with refractory MM or </w:t>
      </w:r>
      <w:r w:rsidR="00B925EF">
        <w:t>RR</w:t>
      </w:r>
      <w:r w:rsidRPr="00B46684">
        <w:t>MM; to explore the pomalidomide exposure and response relationship, and to explore the mechanism of action of pomalidomide</w:t>
      </w:r>
      <w:r w:rsidR="002209A1">
        <w:t xml:space="preserve"> (Figure 2)</w:t>
      </w:r>
      <w:r w:rsidR="00586850">
        <w:t>.</w:t>
      </w:r>
    </w:p>
    <w:p w:rsidR="00901286" w:rsidRDefault="00901286" w:rsidP="00586850">
      <w:pPr>
        <w:pStyle w:val="FigureTitle"/>
      </w:pPr>
      <w:r>
        <w:t>Figure 2:</w:t>
      </w:r>
      <w:r w:rsidRPr="004C5C28">
        <w:t xml:space="preserve"> </w:t>
      </w:r>
      <w:r w:rsidR="00AD6C66">
        <w:t xml:space="preserve">Design of </w:t>
      </w:r>
      <w:r w:rsidR="00AD6C66" w:rsidRPr="00B46684">
        <w:t>Study CC-4407-MM-003</w:t>
      </w:r>
      <w:r>
        <w:t>.</w:t>
      </w:r>
    </w:p>
    <w:p w:rsidR="006D6A1E" w:rsidRDefault="00D41715" w:rsidP="00586850">
      <w:r>
        <w:rPr>
          <w:noProof/>
          <w:lang w:eastAsia="en-AU"/>
        </w:rPr>
        <w:drawing>
          <wp:inline distT="0" distB="0" distL="0" distR="0" wp14:anchorId="60F9A298" wp14:editId="63DF7EE1">
            <wp:extent cx="5391150" cy="3562350"/>
            <wp:effectExtent l="0" t="0" r="0" b="0"/>
            <wp:docPr id="4" name="Picture 4" descr="Figure 2: Design of Study CC-4407-MM-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 Design of Study CC-4407-MM-0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562350"/>
                    </a:xfrm>
                    <a:prstGeom prst="rect">
                      <a:avLst/>
                    </a:prstGeom>
                    <a:noFill/>
                    <a:ln>
                      <a:noFill/>
                    </a:ln>
                  </pic:spPr>
                </pic:pic>
              </a:graphicData>
            </a:graphic>
          </wp:inline>
        </w:drawing>
      </w:r>
    </w:p>
    <w:p w:rsidR="00584596" w:rsidRPr="00584596" w:rsidRDefault="00584596" w:rsidP="00586850">
      <w:r w:rsidRPr="00584596">
        <w:t xml:space="preserve">The inclusion and exclusion criteria are </w:t>
      </w:r>
      <w:r w:rsidR="00C34200">
        <w:t>provided</w:t>
      </w:r>
      <w:r w:rsidRPr="00584596">
        <w:t xml:space="preserve"> but k</w:t>
      </w:r>
      <w:r w:rsidR="00800041">
        <w:t>ey inclusion criteria included:</w:t>
      </w:r>
    </w:p>
    <w:p w:rsidR="00584596" w:rsidRPr="00584596" w:rsidRDefault="002C1DE0" w:rsidP="00586850">
      <w:pPr>
        <w:pStyle w:val="ListBullet"/>
      </w:pPr>
      <w:r>
        <w:t>≥</w:t>
      </w:r>
      <w:r w:rsidR="00FF6E3D">
        <w:t xml:space="preserve"> </w:t>
      </w:r>
      <w:r w:rsidR="00584596" w:rsidRPr="00584596">
        <w:t xml:space="preserve">2 regimens that included lenalidomide and bortezomib, </w:t>
      </w:r>
      <w:r w:rsidR="00C24A9C">
        <w:t>either alone or in combination</w:t>
      </w:r>
    </w:p>
    <w:p w:rsidR="00584596" w:rsidRPr="00584596" w:rsidRDefault="00584596" w:rsidP="00586850">
      <w:pPr>
        <w:pStyle w:val="ListBullet"/>
      </w:pPr>
      <w:r w:rsidRPr="00584596">
        <w:t>adequate prior alkylator therapy, and to have had either refractory or relapsed and refractory disease defined as documented disease progression during or within 60 days of completing thei</w:t>
      </w:r>
      <w:r w:rsidR="00C24A9C">
        <w:t>r last myeloma therapy</w:t>
      </w:r>
    </w:p>
    <w:p w:rsidR="00584596" w:rsidRPr="00584596" w:rsidRDefault="00C322F4" w:rsidP="00586850">
      <w:pPr>
        <w:pStyle w:val="ListBullet"/>
      </w:pPr>
      <w:proofErr w:type="gramStart"/>
      <w:r>
        <w:t>a</w:t>
      </w:r>
      <w:proofErr w:type="gramEnd"/>
      <w:r>
        <w:t xml:space="preserve"> </w:t>
      </w:r>
      <w:r w:rsidR="002C1DE0">
        <w:t>≥</w:t>
      </w:r>
      <w:r>
        <w:t xml:space="preserve"> MR</w:t>
      </w:r>
      <w:r w:rsidR="00584596" w:rsidRPr="00584596">
        <w:t xml:space="preserve"> response and had developed intolerance/toxicity after </w:t>
      </w:r>
      <w:r w:rsidR="002C1DE0">
        <w:t>≥</w:t>
      </w:r>
      <w:r w:rsidR="00563A55">
        <w:t xml:space="preserve"> </w:t>
      </w:r>
      <w:r w:rsidR="00584596" w:rsidRPr="00584596">
        <w:t>2</w:t>
      </w:r>
      <w:r w:rsidR="00563A55">
        <w:t xml:space="preserve"> </w:t>
      </w:r>
      <w:r>
        <w:t xml:space="preserve">cycles of a bortezomib </w:t>
      </w:r>
      <w:r w:rsidR="00584596" w:rsidRPr="00584596">
        <w:t>containing regimen.</w:t>
      </w:r>
    </w:p>
    <w:p w:rsidR="00584596" w:rsidRPr="00584596" w:rsidRDefault="00584596" w:rsidP="00584596">
      <w:pPr>
        <w:ind w:left="360"/>
        <w:rPr>
          <w:i/>
        </w:rPr>
      </w:pPr>
      <w:r w:rsidRPr="00584596">
        <w:rPr>
          <w:i/>
        </w:rPr>
        <w:t>Comment: this pivotal efficacy trial specified bortezomib rather than the more general term,</w:t>
      </w:r>
      <w:r w:rsidR="00B309FC">
        <w:rPr>
          <w:i/>
        </w:rPr>
        <w:t xml:space="preserve"> </w:t>
      </w:r>
      <w:r w:rsidRPr="00584596">
        <w:rPr>
          <w:i/>
        </w:rPr>
        <w:t>“proteasome inhibitor” as sought in the proposed indication.</w:t>
      </w:r>
    </w:p>
    <w:p w:rsidR="00584596" w:rsidRPr="00A219E9" w:rsidRDefault="00584596" w:rsidP="00586850">
      <w:r w:rsidRPr="00A219E9">
        <w:t>Key exclusion criteria</w:t>
      </w:r>
      <w:r w:rsidR="00A219E9">
        <w:t>:</w:t>
      </w:r>
    </w:p>
    <w:p w:rsidR="00584596" w:rsidRPr="00B12111" w:rsidRDefault="00584596" w:rsidP="00586850">
      <w:pPr>
        <w:pStyle w:val="ListBullet"/>
      </w:pPr>
      <w:r w:rsidRPr="00B12111">
        <w:t>absolute neutrophil count (ANC) &lt; 1,000/</w:t>
      </w:r>
      <w:r w:rsidR="00B12111">
        <w:t>µ</w:t>
      </w:r>
      <w:r w:rsidR="00C74203">
        <w:t>l, p</w:t>
      </w:r>
      <w:r w:rsidRPr="00B12111">
        <w:t>latelets &lt; 75,000/</w:t>
      </w:r>
      <w:r w:rsidR="00B12111">
        <w:t>µ</w:t>
      </w:r>
      <w:r w:rsidRPr="00B12111">
        <w:t>L for subjects in whom &lt; 50% of bone marrow nucleated cells were plasma cells; or a platelets &lt; 30,000/</w:t>
      </w:r>
      <w:r w:rsidR="00B12111">
        <w:t>µ</w:t>
      </w:r>
      <w:r w:rsidRPr="00B12111">
        <w:t xml:space="preserve">L for subjects in whom </w:t>
      </w:r>
      <w:r w:rsidR="00106E15">
        <w:t>≥</w:t>
      </w:r>
      <w:r w:rsidRPr="00B12111">
        <w:t xml:space="preserve"> 50% of bone marrow n</w:t>
      </w:r>
      <w:r w:rsidR="00BF49CB">
        <w:t xml:space="preserve">ucleated cells were plasma cells, </w:t>
      </w:r>
      <w:r w:rsidR="00604BA4">
        <w:t>Hb &lt; 80 g/L (prior red blood cell</w:t>
      </w:r>
      <w:r w:rsidRPr="00B12111">
        <w:t xml:space="preserve"> transfusion or recombinant human erythropoietin use was permitted)</w:t>
      </w:r>
    </w:p>
    <w:p w:rsidR="00584596" w:rsidRPr="00B12111" w:rsidRDefault="00604BA4" w:rsidP="00586850">
      <w:pPr>
        <w:pStyle w:val="ListBullet"/>
      </w:pPr>
      <w:r>
        <w:lastRenderedPageBreak/>
        <w:t>c</w:t>
      </w:r>
      <w:r w:rsidRPr="00604BA4">
        <w:t>reatinine clearance</w:t>
      </w:r>
      <w:r w:rsidRPr="00B12111">
        <w:t xml:space="preserve"> </w:t>
      </w:r>
      <w:r>
        <w:t>(</w:t>
      </w:r>
      <w:r w:rsidR="00584596" w:rsidRPr="00B12111">
        <w:t>CrCl</w:t>
      </w:r>
      <w:r>
        <w:t>)</w:t>
      </w:r>
      <w:r w:rsidR="00584596" w:rsidRPr="00B12111">
        <w:t xml:space="preserve"> &lt; 45 mL</w:t>
      </w:r>
      <w:r w:rsidR="00267AB9">
        <w:t>/min by Cockcroft-Gault formula:</w:t>
      </w:r>
      <w:r w:rsidR="00584596" w:rsidRPr="00B12111">
        <w:t xml:space="preserve"> eligible</w:t>
      </w:r>
      <w:r w:rsidR="00E91BA4">
        <w:t xml:space="preserve"> if CrCl calculated from the 24 </w:t>
      </w:r>
      <w:r w:rsidR="00584596" w:rsidRPr="00B12111">
        <w:t xml:space="preserve">h urine sample was </w:t>
      </w:r>
      <w:r w:rsidR="00895F6E">
        <w:t>≥</w:t>
      </w:r>
      <w:r w:rsidR="003B2976">
        <w:t xml:space="preserve"> </w:t>
      </w:r>
      <w:r w:rsidR="00584596" w:rsidRPr="00B12111">
        <w:t>45 ml/min</w:t>
      </w:r>
    </w:p>
    <w:p w:rsidR="00584596" w:rsidRPr="00B12111" w:rsidRDefault="00584596" w:rsidP="00586850">
      <w:pPr>
        <w:pStyle w:val="ListBullet"/>
      </w:pPr>
      <w:r w:rsidRPr="00B12111">
        <w:t>Corrected serum calcium &gt; 3.5 mmol/L</w:t>
      </w:r>
    </w:p>
    <w:p w:rsidR="00584596" w:rsidRPr="00B12111" w:rsidRDefault="00584596" w:rsidP="00586850">
      <w:pPr>
        <w:pStyle w:val="ListBullet"/>
      </w:pPr>
      <w:r w:rsidRPr="00B12111">
        <w:t xml:space="preserve">Serum AST or ALT &gt; 3.0 x </w:t>
      </w:r>
      <w:r w:rsidR="00632F1F">
        <w:t>ULN</w:t>
      </w:r>
    </w:p>
    <w:p w:rsidR="00584596" w:rsidRPr="00B12111" w:rsidRDefault="00584596" w:rsidP="00586850">
      <w:pPr>
        <w:pStyle w:val="ListBullet"/>
      </w:pPr>
      <w:r w:rsidRPr="00B12111">
        <w:t xml:space="preserve">Serum total bilirubin &gt; 34.2 </w:t>
      </w:r>
      <w:r w:rsidR="00C724AD">
        <w:t>µ</w:t>
      </w:r>
      <w:r w:rsidRPr="00B12111">
        <w:t>mol/L; or &gt; 3.0 x ULN if hereditary benign hyperbilirubinaemia</w:t>
      </w:r>
    </w:p>
    <w:p w:rsidR="00584596" w:rsidRPr="00B12111" w:rsidRDefault="00584596" w:rsidP="00586850">
      <w:pPr>
        <w:pStyle w:val="ListBullet"/>
      </w:pPr>
      <w:r w:rsidRPr="00B12111">
        <w:t xml:space="preserve">Prior resistance to </w:t>
      </w:r>
      <w:r w:rsidR="00632F1F">
        <w:t>HD</w:t>
      </w:r>
      <w:r w:rsidR="00632F1F" w:rsidRPr="00B12111">
        <w:t xml:space="preserve"> dexamethasone</w:t>
      </w:r>
      <w:r w:rsidRPr="00B12111">
        <w:t xml:space="preserve">, defined as disease progression on or within 60 days of receiving the last dose of </w:t>
      </w:r>
      <w:r w:rsidR="00CB01DA">
        <w:t>HD</w:t>
      </w:r>
      <w:r w:rsidRPr="00B12111">
        <w:t xml:space="preserve"> dexamethasone used in the last line of therapy, either as single agent or in combination</w:t>
      </w:r>
    </w:p>
    <w:p w:rsidR="00584596" w:rsidRPr="00B12111" w:rsidRDefault="0007630D" w:rsidP="00586850">
      <w:pPr>
        <w:pStyle w:val="ListBullet"/>
      </w:pPr>
      <w:r>
        <w:t>P</w:t>
      </w:r>
      <w:r w:rsidR="00584596" w:rsidRPr="00B12111">
        <w:t>rior allogeneic bone marrow or allogeneic peripheral blood stem cell transplant &lt; 12 months prior who had not discontinued immunosuppressive treatment for &gt; 4 weeks prior to initiation of study treatment and were curren</w:t>
      </w:r>
      <w:r>
        <w:t>tly dependent on such treatment</w:t>
      </w:r>
      <w:r w:rsidR="00C24A9C">
        <w:t>.</w:t>
      </w:r>
    </w:p>
    <w:p w:rsidR="00584596" w:rsidRPr="00C724AD" w:rsidRDefault="00584596" w:rsidP="00800041">
      <w:r w:rsidRPr="00C724AD">
        <w:t>Response (efficacy) assessments performed at central laboratories at the start of each cycle are described.</w:t>
      </w:r>
    </w:p>
    <w:p w:rsidR="00584596" w:rsidRPr="00C724AD" w:rsidRDefault="00584596" w:rsidP="00586850">
      <w:r w:rsidRPr="00C724AD">
        <w:t>Randomi</w:t>
      </w:r>
      <w:r w:rsidR="00C724AD">
        <w:t>s</w:t>
      </w:r>
      <w:r w:rsidRPr="00C724AD">
        <w:t>ation was stratified according to the following:</w:t>
      </w:r>
    </w:p>
    <w:p w:rsidR="00584596" w:rsidRPr="00800041" w:rsidRDefault="00584596" w:rsidP="00800041">
      <w:pPr>
        <w:pStyle w:val="ListBullet"/>
      </w:pPr>
      <w:r w:rsidRPr="003E47BF">
        <w:t>age (</w:t>
      </w:r>
      <w:r w:rsidR="002C1DE0">
        <w:t>≤</w:t>
      </w:r>
      <w:r w:rsidR="003E47BF">
        <w:t xml:space="preserve"> </w:t>
      </w:r>
      <w:r w:rsidR="00BE03E5" w:rsidRPr="00800041">
        <w:t>75 years old versus</w:t>
      </w:r>
      <w:r w:rsidRPr="00800041">
        <w:t xml:space="preserve"> &gt; 75 years old)</w:t>
      </w:r>
    </w:p>
    <w:p w:rsidR="00584596" w:rsidRPr="00800041" w:rsidRDefault="00584596" w:rsidP="00800041">
      <w:pPr>
        <w:pStyle w:val="ListBullet"/>
      </w:pPr>
      <w:proofErr w:type="gramStart"/>
      <w:r w:rsidRPr="00800041">
        <w:t>number</w:t>
      </w:r>
      <w:proofErr w:type="gramEnd"/>
      <w:r w:rsidRPr="00800041">
        <w:t xml:space="preserve"> of prior anti</w:t>
      </w:r>
      <w:r w:rsidR="00DE7816" w:rsidRPr="00800041">
        <w:t xml:space="preserve"> </w:t>
      </w:r>
      <w:r w:rsidRPr="00800041">
        <w:t>MM therapies (2 prior anti</w:t>
      </w:r>
      <w:r w:rsidR="00BE03E5" w:rsidRPr="00800041">
        <w:t xml:space="preserve"> </w:t>
      </w:r>
      <w:r w:rsidRPr="00800041">
        <w:t xml:space="preserve">MM therapies </w:t>
      </w:r>
      <w:r w:rsidR="00BE03E5" w:rsidRPr="00800041">
        <w:t xml:space="preserve">versus &gt; 2 prior anti </w:t>
      </w:r>
      <w:r w:rsidRPr="00800041">
        <w:t>MM therapies).</w:t>
      </w:r>
    </w:p>
    <w:p w:rsidR="00584596" w:rsidRPr="003E47BF" w:rsidRDefault="00584596" w:rsidP="00800041">
      <w:pPr>
        <w:pStyle w:val="ListBullet"/>
      </w:pPr>
      <w:r w:rsidRPr="00800041">
        <w:t>disease population</w:t>
      </w:r>
    </w:p>
    <w:p w:rsidR="00584596" w:rsidRPr="003E47BF" w:rsidRDefault="00584596" w:rsidP="00800041">
      <w:pPr>
        <w:pStyle w:val="ListBullet2"/>
      </w:pPr>
      <w:r w:rsidRPr="00292F39">
        <w:rPr>
          <w:b/>
        </w:rPr>
        <w:t>refractory</w:t>
      </w:r>
      <w:r w:rsidRPr="003E47BF">
        <w:t xml:space="preserve"> subjects who had progressed on or within 60 days of both </w:t>
      </w:r>
      <w:r w:rsidRPr="00800041">
        <w:t>lenalidomide</w:t>
      </w:r>
      <w:r w:rsidRPr="003E47BF">
        <w:t xml:space="preserve"> and bortezomib</w:t>
      </w:r>
      <w:r w:rsidR="00BE03E5">
        <w:t xml:space="preserve"> </w:t>
      </w:r>
      <w:r w:rsidRPr="003E47BF">
        <w:t>based treatments</w:t>
      </w:r>
    </w:p>
    <w:p w:rsidR="00584596" w:rsidRPr="003E47BF" w:rsidRDefault="00BE03E5" w:rsidP="00586850">
      <w:pPr>
        <w:pStyle w:val="ListBullet2"/>
      </w:pPr>
      <w:r>
        <w:t>versus</w:t>
      </w:r>
      <w:r w:rsidR="00584596" w:rsidRPr="003E47BF">
        <w:t xml:space="preserve"> </w:t>
      </w:r>
      <w:r w:rsidR="00584596" w:rsidRPr="00292F39">
        <w:rPr>
          <w:b/>
        </w:rPr>
        <w:t>relapsed</w:t>
      </w:r>
      <w:r w:rsidR="00584596" w:rsidRPr="003E47BF">
        <w:t xml:space="preserve"> and </w:t>
      </w:r>
      <w:r w:rsidR="00584596" w:rsidRPr="00292F39">
        <w:rPr>
          <w:b/>
        </w:rPr>
        <w:t>refractory</w:t>
      </w:r>
      <w:r w:rsidR="00584596" w:rsidRPr="003E47BF">
        <w:t xml:space="preserve"> subjects who achieved at least PR and progressed within 6 months after stopping treatment with lenalidomide and/or bortezomib</w:t>
      </w:r>
    </w:p>
    <w:p w:rsidR="00584596" w:rsidRPr="003E47BF" w:rsidRDefault="00BE03E5" w:rsidP="00586850">
      <w:pPr>
        <w:pStyle w:val="ListBullet2"/>
      </w:pPr>
      <w:r>
        <w:t>versus</w:t>
      </w:r>
      <w:r w:rsidRPr="00292F39">
        <w:rPr>
          <w:b/>
        </w:rPr>
        <w:t xml:space="preserve"> </w:t>
      </w:r>
      <w:r w:rsidR="00584596" w:rsidRPr="00292F39">
        <w:rPr>
          <w:b/>
        </w:rPr>
        <w:t>refractory/intolerant</w:t>
      </w:r>
      <w:r w:rsidR="00584596" w:rsidRPr="003E47BF">
        <w:t xml:space="preserve"> subjects who had developed intolerance/toxicity after a minimum of 2 cycles of bortezomib)</w:t>
      </w:r>
    </w:p>
    <w:p w:rsidR="00584596" w:rsidRPr="00AE3FB0" w:rsidRDefault="00361FDA" w:rsidP="00586850">
      <w:r w:rsidRPr="00AE3FB0">
        <w:t xml:space="preserve">A total of </w:t>
      </w:r>
      <w:r w:rsidR="00584596" w:rsidRPr="00AE3FB0">
        <w:t>455 subjects were randomi</w:t>
      </w:r>
      <w:r w:rsidR="00DE7816">
        <w:t>s</w:t>
      </w:r>
      <w:r w:rsidR="00584596" w:rsidRPr="00AE3FB0">
        <w:t xml:space="preserve">ed in the study: 302 in the </w:t>
      </w:r>
      <w:r w:rsidR="002C1DE0">
        <w:t xml:space="preserve">pomalidomide + </w:t>
      </w:r>
      <w:r w:rsidR="002C1DE0">
        <w:rPr>
          <w:rFonts w:eastAsia="TimesNewRoman"/>
          <w:lang w:val="en-US"/>
        </w:rPr>
        <w:t xml:space="preserve">LD dexamethasone </w:t>
      </w:r>
      <w:r w:rsidR="00584596" w:rsidRPr="00AE3FB0">
        <w:t xml:space="preserve">arm and 153 in the </w:t>
      </w:r>
      <w:r w:rsidR="00DE7816">
        <w:t xml:space="preserve">HD dexamethasone </w:t>
      </w:r>
      <w:r w:rsidR="00584596" w:rsidRPr="00AE3FB0">
        <w:t>arm.</w:t>
      </w:r>
      <w:r w:rsidR="00A162DA">
        <w:t xml:space="preserve"> As of the data cut</w:t>
      </w:r>
      <w:r w:rsidR="002C1DE0">
        <w:t>-</w:t>
      </w:r>
      <w:r w:rsidR="00A162DA">
        <w:t xml:space="preserve">off date of </w:t>
      </w:r>
      <w:r w:rsidR="00584596" w:rsidRPr="00AE3FB0">
        <w:t>7 Sep</w:t>
      </w:r>
      <w:r w:rsidR="002C1DE0">
        <w:t>tember</w:t>
      </w:r>
      <w:r w:rsidR="00584596" w:rsidRPr="00AE3FB0">
        <w:t xml:space="preserve"> 2012, 136 (45.0%) subjects in the </w:t>
      </w:r>
      <w:r w:rsidR="00BE03E5">
        <w:t xml:space="preserve">pomalidomide </w:t>
      </w:r>
      <w:r w:rsidR="00584596" w:rsidRPr="00AE3FB0">
        <w:t xml:space="preserve">+ </w:t>
      </w:r>
      <w:r w:rsidR="00DE7816">
        <w:t xml:space="preserve">LD dexamethasone </w:t>
      </w:r>
      <w:r w:rsidR="00584596" w:rsidRPr="00AE3FB0">
        <w:t xml:space="preserve">arm and 38 (24.8%) subjects in the </w:t>
      </w:r>
      <w:r w:rsidR="00930378">
        <w:t xml:space="preserve">HD dexamethasone </w:t>
      </w:r>
      <w:r w:rsidR="00584596" w:rsidRPr="00AE3FB0">
        <w:t xml:space="preserve">arm were still on treatment. The most common reason for discontinuation was disease progression (35.4% for subjects in the </w:t>
      </w:r>
      <w:r w:rsidR="00BE03E5">
        <w:t xml:space="preserve">pomalidomide </w:t>
      </w:r>
      <w:r w:rsidR="00584596" w:rsidRPr="00AE3FB0">
        <w:t xml:space="preserve">+ </w:t>
      </w:r>
      <w:r w:rsidR="00DE7816">
        <w:t xml:space="preserve">LD dexamethasone </w:t>
      </w:r>
      <w:r w:rsidR="00584596" w:rsidRPr="00AE3FB0">
        <w:t xml:space="preserve">arm; 49.0% in the </w:t>
      </w:r>
      <w:r w:rsidR="00930378">
        <w:t xml:space="preserve">HD dexamethasone </w:t>
      </w:r>
      <w:r w:rsidR="00584596" w:rsidRPr="00AE3FB0">
        <w:t>arm).</w:t>
      </w:r>
    </w:p>
    <w:p w:rsidR="00584596" w:rsidRPr="00AE3FB0" w:rsidRDefault="00513FC6" w:rsidP="00586850">
      <w:r>
        <w:t xml:space="preserve">There were </w:t>
      </w:r>
      <w:r w:rsidR="00584596" w:rsidRPr="00AE3FB0">
        <w:t xml:space="preserve">59% of subjects in the ITT population </w:t>
      </w:r>
      <w:r>
        <w:t xml:space="preserve">who </w:t>
      </w:r>
      <w:r w:rsidR="00584596" w:rsidRPr="00AE3FB0">
        <w:t>were male, and the median age was 63 (range 35-87) with 8% &gt;75 years of age. Over 80% of subjects in each treatment arm were refractory, 94% of subjects had &gt; 2 prior anti</w:t>
      </w:r>
      <w:r w:rsidR="00930378">
        <w:t xml:space="preserve"> </w:t>
      </w:r>
      <w:r w:rsidR="00584596" w:rsidRPr="00AE3FB0">
        <w:t>MM therapies (median number of treatments was 5). The proteosome inhibitor used was mainly with bortezomib (99.8% of total patient population) with only 7 of the total 455 patients treated with carfilzomib.</w:t>
      </w:r>
    </w:p>
    <w:p w:rsidR="00584596" w:rsidRPr="00AE3FB0" w:rsidRDefault="00584596" w:rsidP="00586850">
      <w:r w:rsidRPr="00AE3FB0">
        <w:t>The demographic and disease characteristics were balanced in the two arms with the following excepti</w:t>
      </w:r>
      <w:r w:rsidR="006C5FC2">
        <w:t>ons that favoured the pomalidomide + LD dexamethasone</w:t>
      </w:r>
      <w:r w:rsidR="00A45B7A">
        <w:t xml:space="preserve"> arm:</w:t>
      </w:r>
      <w:r w:rsidRPr="00AE3FB0">
        <w:t xml:space="preserve"> fewer patients with Stage III disease, a shorter median time since diagnosis, a lower incidence of light chain disease, and more s</w:t>
      </w:r>
      <w:r w:rsidR="00C24A9C">
        <w:t xml:space="preserve">ubjects with </w:t>
      </w:r>
      <w:r w:rsidR="002C1DE0">
        <w:t xml:space="preserve">Eastern Cooperative Oncology Group </w:t>
      </w:r>
      <w:r w:rsidR="002C1DE0">
        <w:lastRenderedPageBreak/>
        <w:t>Performance Status (</w:t>
      </w:r>
      <w:r w:rsidR="00C24A9C">
        <w:t>ECOG PS</w:t>
      </w:r>
      <w:r w:rsidR="002C1DE0">
        <w:t>)</w:t>
      </w:r>
      <w:r w:rsidR="002C1DE0">
        <w:rPr>
          <w:rStyle w:val="FootnoteReference"/>
        </w:rPr>
        <w:footnoteReference w:id="12"/>
      </w:r>
      <w:r w:rsidR="00C24A9C">
        <w:t xml:space="preserve"> 0 (36.4% compared with</w:t>
      </w:r>
      <w:r w:rsidRPr="00AE3FB0">
        <w:t xml:space="preserve"> 23.5%).</w:t>
      </w:r>
      <w:r w:rsidR="006813F9">
        <w:t xml:space="preserve"> </w:t>
      </w:r>
      <w:r w:rsidRPr="00AE3FB0">
        <w:t xml:space="preserve">However, the clinical evaluator also noted there were more high risk/modified high risk subjects based on cytogenetics in the </w:t>
      </w:r>
      <w:r w:rsidR="006C5FC2">
        <w:t>pomalidomide</w:t>
      </w:r>
      <w:r w:rsidR="00682475">
        <w:t xml:space="preserve"> </w:t>
      </w:r>
      <w:r w:rsidRPr="00AE3FB0">
        <w:t>+</w:t>
      </w:r>
      <w:r w:rsidR="00682475">
        <w:t xml:space="preserve"> LD dexamethasone </w:t>
      </w:r>
      <w:r w:rsidRPr="00AE3FB0">
        <w:t>arm (43%</w:t>
      </w:r>
      <w:r w:rsidR="00C24A9C">
        <w:t xml:space="preserve"> </w:t>
      </w:r>
      <w:r w:rsidRPr="00AE3FB0">
        <w:t>+</w:t>
      </w:r>
      <w:r w:rsidR="00C24A9C">
        <w:t xml:space="preserve"> </w:t>
      </w:r>
      <w:r w:rsidRPr="00AE3FB0">
        <w:t xml:space="preserve">25.5%) than in the </w:t>
      </w:r>
      <w:r w:rsidR="00772802">
        <w:t xml:space="preserve">HD dexamethasone </w:t>
      </w:r>
      <w:r w:rsidRPr="00AE3FB0">
        <w:t>arm (37.3%</w:t>
      </w:r>
      <w:r w:rsidR="00C24A9C">
        <w:t xml:space="preserve"> </w:t>
      </w:r>
      <w:r w:rsidRPr="00AE3FB0">
        <w:t>+ 22.9%).</w:t>
      </w:r>
    </w:p>
    <w:p w:rsidR="00584596" w:rsidRDefault="0071095E" w:rsidP="00586850">
      <w:r>
        <w:t>As of the 7</w:t>
      </w:r>
      <w:r w:rsidR="00584596" w:rsidRPr="00AE3FB0">
        <w:t xml:space="preserve"> Sep</w:t>
      </w:r>
      <w:r>
        <w:t>tember</w:t>
      </w:r>
      <w:r w:rsidR="00584596" w:rsidRPr="00AE3FB0">
        <w:t xml:space="preserve"> 2012 data cut</w:t>
      </w:r>
      <w:r w:rsidR="002C1DE0">
        <w:t>-</w:t>
      </w:r>
      <w:r w:rsidR="00584596" w:rsidRPr="00AE3FB0">
        <w:t xml:space="preserve">off, in the ITT population, PFS by was significantly longer with </w:t>
      </w:r>
      <w:r w:rsidR="00BE03E5">
        <w:t xml:space="preserve">pomalidomide </w:t>
      </w:r>
      <w:r w:rsidR="00584596" w:rsidRPr="00AE3FB0">
        <w:t xml:space="preserve">+ </w:t>
      </w:r>
      <w:r w:rsidR="00991D58">
        <w:t xml:space="preserve">LD dexamethasone </w:t>
      </w:r>
      <w:r w:rsidR="00584596" w:rsidRPr="00AE3FB0">
        <w:t xml:space="preserve">arm compared with the </w:t>
      </w:r>
      <w:r w:rsidR="00991D58">
        <w:t xml:space="preserve">HD dexamethasone </w:t>
      </w:r>
      <w:r w:rsidR="00584596" w:rsidRPr="00AE3FB0">
        <w:t xml:space="preserve">arm (median 15.7 </w:t>
      </w:r>
      <w:r w:rsidR="009C6DF1">
        <w:t>[</w:t>
      </w:r>
      <w:r w:rsidR="00584596" w:rsidRPr="00AE3FB0">
        <w:t>95% CI: 13,</w:t>
      </w:r>
      <w:r w:rsidR="009C6DF1">
        <w:t xml:space="preserve"> </w:t>
      </w:r>
      <w:r w:rsidR="00584596" w:rsidRPr="00AE3FB0">
        <w:t>20.1</w:t>
      </w:r>
      <w:r w:rsidR="009C6DF1">
        <w:t>]</w:t>
      </w:r>
      <w:r w:rsidR="00D223E6">
        <w:t xml:space="preserve"> </w:t>
      </w:r>
      <w:r w:rsidR="00584596" w:rsidRPr="00AE3FB0">
        <w:t>v</w:t>
      </w:r>
      <w:r w:rsidR="00D223E6">
        <w:t>ersus</w:t>
      </w:r>
      <w:r w:rsidR="00584596" w:rsidRPr="00AE3FB0">
        <w:t xml:space="preserve"> 8.0 weeks </w:t>
      </w:r>
      <w:r w:rsidR="009C6DF1">
        <w:t>[</w:t>
      </w:r>
      <w:r w:rsidR="00584596" w:rsidRPr="00AE3FB0">
        <w:t>95% CI: 7-9</w:t>
      </w:r>
      <w:r w:rsidR="009C6DF1">
        <w:t xml:space="preserve">]; Hazard Ratio [HR] </w:t>
      </w:r>
      <w:r w:rsidR="00584596" w:rsidRPr="00AE3FB0">
        <w:t>0.45 ; p &lt; 0.001). The PFS in the two arms of the EE population were very similar.</w:t>
      </w:r>
      <w:r w:rsidR="00F72F1B">
        <w:t xml:space="preserve"> An updated PFS (cut-off 1 March </w:t>
      </w:r>
      <w:r w:rsidR="00584596" w:rsidRPr="00AE3FB0">
        <w:t>2013) was provided although was not the primary endpoint and confirmed the median values of 16 weeks (13-19.6 weeks) for the test arm and 8.1</w:t>
      </w:r>
      <w:r w:rsidR="00C2201E">
        <w:t xml:space="preserve"> </w:t>
      </w:r>
      <w:r w:rsidR="00584596" w:rsidRPr="00AE3FB0">
        <w:t>weeks (7.1-9.4 weeks) for the control arm with a HR of 0.49 (0.39-0</w:t>
      </w:r>
      <w:r w:rsidR="001A53D8">
        <w:t>.61), and a p value &lt;0.001 (Figure 3).</w:t>
      </w:r>
    </w:p>
    <w:p w:rsidR="00294E30" w:rsidRDefault="00294E30" w:rsidP="002F1C74">
      <w:pPr>
        <w:pStyle w:val="FigureTitle"/>
      </w:pPr>
      <w:r>
        <w:t>Figure 3:</w:t>
      </w:r>
      <w:r w:rsidRPr="004C5C28">
        <w:t xml:space="preserve"> </w:t>
      </w:r>
      <w:r w:rsidR="005641FE" w:rsidRPr="005641FE">
        <w:t>Progression Free Survival based on IRAC Review of Response by IMWG Criter</w:t>
      </w:r>
      <w:r w:rsidR="00692A26">
        <w:t xml:space="preserve">ia (Stratified Log Rank Test); </w:t>
      </w:r>
      <w:r w:rsidR="005641FE" w:rsidRPr="005641FE">
        <w:t>ITT Population</w:t>
      </w:r>
      <w:r>
        <w:t>.</w:t>
      </w:r>
    </w:p>
    <w:p w:rsidR="00294E30" w:rsidRPr="00AE3FB0" w:rsidRDefault="00D41715" w:rsidP="002F1C74">
      <w:r>
        <w:rPr>
          <w:noProof/>
          <w:lang w:eastAsia="en-AU"/>
        </w:rPr>
        <w:drawing>
          <wp:inline distT="0" distB="0" distL="0" distR="0" wp14:anchorId="10135987" wp14:editId="515E5713">
            <wp:extent cx="4756150" cy="2863850"/>
            <wp:effectExtent l="0" t="0" r="6350" b="0"/>
            <wp:docPr id="5" name="Picture 5" descr="Figure 3: Progression Free Survival based on IRAC Review of Response by IMWG Criteria (Stratified Log Rank Tes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3: Progression Free Survival based on IRAC Review of Response by IMWG Criteria (Stratified Log Rank Test); ITT Popul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6150" cy="2863850"/>
                    </a:xfrm>
                    <a:prstGeom prst="rect">
                      <a:avLst/>
                    </a:prstGeom>
                    <a:noFill/>
                    <a:ln>
                      <a:noFill/>
                    </a:ln>
                  </pic:spPr>
                </pic:pic>
              </a:graphicData>
            </a:graphic>
          </wp:inline>
        </w:drawing>
      </w:r>
    </w:p>
    <w:p w:rsidR="0070026C" w:rsidRPr="0070026C" w:rsidRDefault="0070026C" w:rsidP="00503777">
      <w:r w:rsidRPr="0070026C">
        <w:t xml:space="preserve">The median time to progression was 20.1 weeks for the </w:t>
      </w:r>
      <w:r w:rsidR="00C2201E">
        <w:t xml:space="preserve">pomalidomide </w:t>
      </w:r>
      <w:r w:rsidRPr="0070026C">
        <w:t>+</w:t>
      </w:r>
      <w:r w:rsidR="00C2201E" w:rsidRPr="00C2201E">
        <w:t xml:space="preserve"> </w:t>
      </w:r>
      <w:r w:rsidR="00C2201E">
        <w:t xml:space="preserve">LD dexamethasone </w:t>
      </w:r>
      <w:r w:rsidRPr="0070026C">
        <w:t xml:space="preserve">arm, and 8.3 weeks for the </w:t>
      </w:r>
      <w:r w:rsidR="00C2201E">
        <w:t xml:space="preserve">HD dexamethasone </w:t>
      </w:r>
      <w:r w:rsidRPr="0070026C">
        <w:t>arm, and the median time to treatment failure (</w:t>
      </w:r>
      <w:r w:rsidR="00C322F4">
        <w:t>PD</w:t>
      </w:r>
      <w:r w:rsidRPr="0070026C">
        <w:t>, discontinuation, death or start of another treatment) was 15.3 weeks in the treatment arm (95% CI: 12.1, 18.1) compared with 8.0 weeks (95% CI: 4.9, 8.1) for the control arm, HR was 0.441 (95% CI: 0.349, 0.557, p &lt; 0.001).</w:t>
      </w:r>
    </w:p>
    <w:p w:rsidR="00A9109C" w:rsidRDefault="0070026C" w:rsidP="002F1C74">
      <w:pPr>
        <w:pStyle w:val="Heading5"/>
      </w:pPr>
      <w:r w:rsidRPr="0070026C">
        <w:t>Subgroup analyses</w:t>
      </w:r>
    </w:p>
    <w:p w:rsidR="0070026C" w:rsidRPr="00A9109C" w:rsidRDefault="00A9109C" w:rsidP="002F1C74">
      <w:r w:rsidRPr="00A9109C">
        <w:t>T</w:t>
      </w:r>
      <w:r w:rsidR="0070026C" w:rsidRPr="00A9109C">
        <w:t>hese were generally limited by small numbers, but the following emerged:</w:t>
      </w:r>
    </w:p>
    <w:p w:rsidR="0070026C" w:rsidRPr="00A9109C" w:rsidRDefault="00663430" w:rsidP="002F1C74">
      <w:r>
        <w:lastRenderedPageBreak/>
        <w:t>HR</w:t>
      </w:r>
      <w:r w:rsidR="00A9109C">
        <w:t xml:space="preserve">: </w:t>
      </w:r>
      <w:r w:rsidR="0070026C" w:rsidRPr="00A9109C">
        <w:t>generally in favour of the treatment arm apart f</w:t>
      </w:r>
      <w:r w:rsidR="006C493C">
        <w:t xml:space="preserve">rom three subgroups </w:t>
      </w:r>
      <w:r w:rsidR="0070026C" w:rsidRPr="00A9109C">
        <w:t>but the numbers were only sufficient for those whose CrCL was &lt;45 ml/minute (48 patients, 30 in trea</w:t>
      </w:r>
      <w:r w:rsidR="002F1C74">
        <w:t>tment arm).</w:t>
      </w:r>
    </w:p>
    <w:p w:rsidR="0070026C" w:rsidRPr="0065708F" w:rsidRDefault="0070026C" w:rsidP="00503777">
      <w:pPr>
        <w:ind w:left="426"/>
        <w:rPr>
          <w:i/>
        </w:rPr>
      </w:pPr>
      <w:r w:rsidRPr="0065708F">
        <w:rPr>
          <w:i/>
        </w:rPr>
        <w:t>Comment: patients with CrCL</w:t>
      </w:r>
      <w:r w:rsidR="00CA05F5">
        <w:rPr>
          <w:i/>
        </w:rPr>
        <w:t xml:space="preserve"> &lt;</w:t>
      </w:r>
      <w:r w:rsidR="00B25D26">
        <w:rPr>
          <w:i/>
        </w:rPr>
        <w:t xml:space="preserve"> </w:t>
      </w:r>
      <w:r w:rsidRPr="0065708F">
        <w:rPr>
          <w:i/>
        </w:rPr>
        <w:t xml:space="preserve">45ml/min were ineligible and the </w:t>
      </w:r>
      <w:r w:rsidR="005F4957">
        <w:rPr>
          <w:i/>
        </w:rPr>
        <w:t>s</w:t>
      </w:r>
      <w:r w:rsidRPr="0065708F">
        <w:rPr>
          <w:i/>
        </w:rPr>
        <w:t xml:space="preserve">ponsor did not address the </w:t>
      </w:r>
      <w:r w:rsidR="005F4957">
        <w:rPr>
          <w:i/>
        </w:rPr>
        <w:t>c</w:t>
      </w:r>
      <w:r w:rsidRPr="0065708F">
        <w:rPr>
          <w:i/>
        </w:rPr>
        <w:t xml:space="preserve">linical </w:t>
      </w:r>
      <w:r w:rsidR="005F4957">
        <w:rPr>
          <w:i/>
        </w:rPr>
        <w:t>e</w:t>
      </w:r>
      <w:r w:rsidRPr="0065708F">
        <w:rPr>
          <w:i/>
        </w:rPr>
        <w:t xml:space="preserve">valuator’s question about the inclusion of these 48 patients, nor how their CrCL </w:t>
      </w:r>
      <w:r w:rsidR="006C493C">
        <w:rPr>
          <w:i/>
        </w:rPr>
        <w:t>was measured (Cockcroft-Gault versus</w:t>
      </w:r>
      <w:r w:rsidRPr="0065708F">
        <w:rPr>
          <w:i/>
        </w:rPr>
        <w:t xml:space="preserve"> 24</w:t>
      </w:r>
      <w:r w:rsidR="005F4957">
        <w:rPr>
          <w:i/>
        </w:rPr>
        <w:t xml:space="preserve"> </w:t>
      </w:r>
      <w:r w:rsidRPr="0065708F">
        <w:rPr>
          <w:i/>
        </w:rPr>
        <w:t xml:space="preserve">h urine CrCl). Rather the </w:t>
      </w:r>
      <w:r w:rsidR="005F4957">
        <w:rPr>
          <w:i/>
        </w:rPr>
        <w:t>s</w:t>
      </w:r>
      <w:r w:rsidRPr="0065708F">
        <w:rPr>
          <w:i/>
        </w:rPr>
        <w:t>ponsor reasserted the HR of 0.67 still supported a degree of PFS benefit, but there are wide confidence intervals crossing 1. Significant uncertainty remains about any benefit of the study treatment in this group w</w:t>
      </w:r>
      <w:r w:rsidR="008F6C68">
        <w:rPr>
          <w:i/>
        </w:rPr>
        <w:t xml:space="preserve">ith impaired renal function; </w:t>
      </w:r>
      <w:r w:rsidR="005F4957">
        <w:rPr>
          <w:i/>
        </w:rPr>
        <w:t xml:space="preserve">this </w:t>
      </w:r>
      <w:r w:rsidRPr="0065708F">
        <w:rPr>
          <w:i/>
        </w:rPr>
        <w:t>needs to be reflected in the PI under Special Populations/Precautions.</w:t>
      </w:r>
    </w:p>
    <w:p w:rsidR="0070026C" w:rsidRPr="00AC4529" w:rsidRDefault="0070026C" w:rsidP="002F1C74">
      <w:r w:rsidRPr="00AC4529">
        <w:t>The improvement in PFS observed in the ITT population was similar across the groups analysed by the stratification factors, a</w:t>
      </w:r>
      <w:r w:rsidR="00503777">
        <w:t>lthough the numbers were small.</w:t>
      </w:r>
    </w:p>
    <w:p w:rsidR="0070026C" w:rsidRPr="0070026C" w:rsidRDefault="00D7199D" w:rsidP="002F1C74">
      <w:pPr>
        <w:pStyle w:val="Heading5"/>
      </w:pPr>
      <w:r>
        <w:t>OS</w:t>
      </w:r>
    </w:p>
    <w:p w:rsidR="0070026C" w:rsidRPr="00AC4529" w:rsidRDefault="0070026C" w:rsidP="002F1C74">
      <w:r w:rsidRPr="00AC4529">
        <w:t xml:space="preserve">At the interim analysis (primary endpoint), the median OS had not been reached for the </w:t>
      </w:r>
      <w:r w:rsidR="00A4654C">
        <w:t xml:space="preserve">pomalidomide </w:t>
      </w:r>
      <w:r w:rsidR="00A4654C" w:rsidRPr="0070026C">
        <w:t>+</w:t>
      </w:r>
      <w:r w:rsidR="00A4654C" w:rsidRPr="00C2201E">
        <w:t xml:space="preserve"> </w:t>
      </w:r>
      <w:r w:rsidR="00A4654C">
        <w:t>LD dexamethasone</w:t>
      </w:r>
      <w:r w:rsidRPr="00AC4529">
        <w:t xml:space="preserve">, but had been in the </w:t>
      </w:r>
      <w:r w:rsidR="00A4654C">
        <w:t xml:space="preserve">HD dexamethasone </w:t>
      </w:r>
      <w:r w:rsidRPr="00AC4529">
        <w:t>arm. At the time of the upda</w:t>
      </w:r>
      <w:r w:rsidR="00A4654C">
        <w:t>ted analysis (</w:t>
      </w:r>
      <w:r w:rsidRPr="00AC4529">
        <w:t>1 Mar 2013 cut</w:t>
      </w:r>
      <w:r w:rsidR="00A4654C">
        <w:t>-</w:t>
      </w:r>
      <w:r w:rsidRPr="00AC4529">
        <w:t xml:space="preserve">off date), 227 had died (49.9% of the total population: 48% in the </w:t>
      </w:r>
      <w:r w:rsidR="00A4654C">
        <w:t xml:space="preserve">pomalidomide </w:t>
      </w:r>
      <w:r w:rsidR="00A4654C" w:rsidRPr="0070026C">
        <w:t>+</w:t>
      </w:r>
      <w:r w:rsidR="00A4654C" w:rsidRPr="00C2201E">
        <w:t xml:space="preserve"> </w:t>
      </w:r>
      <w:r w:rsidR="00A4654C">
        <w:t xml:space="preserve">LD dexamethasone </w:t>
      </w:r>
      <w:r w:rsidRPr="00AC4529">
        <w:t xml:space="preserve">arm, 53.6% in the </w:t>
      </w:r>
      <w:r w:rsidR="00A4654C">
        <w:t xml:space="preserve">HD dexamethasone </w:t>
      </w:r>
      <w:r w:rsidRPr="00AC4529">
        <w:t xml:space="preserve">arm); median OS was 55.4 weeks (95% CI 45.3, 67.3 weeks) for </w:t>
      </w:r>
      <w:r w:rsidR="00BE03E5">
        <w:t xml:space="preserve">pomalidomide </w:t>
      </w:r>
      <w:r w:rsidRPr="00AC4529">
        <w:t xml:space="preserve">+ </w:t>
      </w:r>
      <w:r w:rsidR="008F6C68">
        <w:t xml:space="preserve">LD dexamethasone </w:t>
      </w:r>
      <w:r w:rsidRPr="00AC4529">
        <w:t xml:space="preserve">and 35.1 weeks (95% CI 29.9, 47.1 weeks) for </w:t>
      </w:r>
      <w:r w:rsidR="00A4654C">
        <w:t xml:space="preserve">HD dexamethasone </w:t>
      </w:r>
      <w:r w:rsidRPr="00AC4529">
        <w:t xml:space="preserve">(HR = 0.74 [0.56-0.97], log-rank p = 0.028), favouring </w:t>
      </w:r>
      <w:r w:rsidR="00A4654C">
        <w:t xml:space="preserve">pomalidomide </w:t>
      </w:r>
      <w:r w:rsidR="00A4654C" w:rsidRPr="0070026C">
        <w:t>+</w:t>
      </w:r>
      <w:r w:rsidR="00A4654C" w:rsidRPr="00C2201E">
        <w:t xml:space="preserve"> </w:t>
      </w:r>
      <w:r w:rsidR="00A4654C">
        <w:t xml:space="preserve">LD dexamethasone </w:t>
      </w:r>
      <w:r w:rsidR="009B7BAE">
        <w:t>although the confidence intervals</w:t>
      </w:r>
      <w:r w:rsidRPr="00AC4529">
        <w:t xml:space="preserve"> overlap. There was substantial cross over to pomalidomide alone (49.7%) at this analysis with a median follow-up of 43.4 weeks limiting the ability to demonstrate OS.</w:t>
      </w:r>
    </w:p>
    <w:p w:rsidR="0070026C" w:rsidRPr="00AC4529" w:rsidRDefault="0070026C" w:rsidP="002F1C74">
      <w:r w:rsidRPr="00AC4529">
        <w:t>A subgroup analysis of OS was carried out but using the interim analysis cut-off date when median OS had not been determined for the treatment group. While these are exploratory secondary objectives, a notable finding was the decreased OS for those with CrCl</w:t>
      </w:r>
      <w:r w:rsidR="00A4654C">
        <w:t xml:space="preserve"> </w:t>
      </w:r>
      <w:r w:rsidRPr="00AC4529">
        <w:t>&lt;4</w:t>
      </w:r>
      <w:r w:rsidR="00EA21FD">
        <w:t>5 ml/minute.</w:t>
      </w:r>
    </w:p>
    <w:p w:rsidR="00AC4529" w:rsidRDefault="0070026C" w:rsidP="002F1C74">
      <w:pPr>
        <w:pStyle w:val="Heading5"/>
      </w:pPr>
      <w:r w:rsidRPr="0070026C">
        <w:t>Response rate</w:t>
      </w:r>
    </w:p>
    <w:p w:rsidR="0070026C" w:rsidRPr="00AC4529" w:rsidRDefault="00AC4529" w:rsidP="002F1C74">
      <w:r>
        <w:t xml:space="preserve">At the </w:t>
      </w:r>
      <w:r w:rsidR="0070026C" w:rsidRPr="00AC4529">
        <w:t>7 Sep</w:t>
      </w:r>
      <w:r w:rsidR="002C1DE0">
        <w:t>tember</w:t>
      </w:r>
      <w:r w:rsidR="0070026C" w:rsidRPr="00AC4529">
        <w:t xml:space="preserve"> 2012 data cut</w:t>
      </w:r>
      <w:r w:rsidR="00A4654C">
        <w:t>-</w:t>
      </w:r>
      <w:r w:rsidR="0070026C" w:rsidRPr="00AC4529">
        <w:t xml:space="preserve">off, CR was observed in one subject in the </w:t>
      </w:r>
      <w:r w:rsidR="00A4654C">
        <w:t xml:space="preserve">pomalidomide </w:t>
      </w:r>
      <w:r w:rsidR="00A4654C" w:rsidRPr="0070026C">
        <w:t>+</w:t>
      </w:r>
      <w:r w:rsidR="00A4654C" w:rsidRPr="00C2201E">
        <w:t xml:space="preserve"> </w:t>
      </w:r>
      <w:r w:rsidR="00A4654C">
        <w:t>LD dexamethasone</w:t>
      </w:r>
      <w:r w:rsidR="00A4654C" w:rsidRPr="00AC4529">
        <w:t xml:space="preserve"> </w:t>
      </w:r>
      <w:r w:rsidR="0070026C" w:rsidRPr="00AC4529">
        <w:t>arm. Objective responses were observed in 16.6% (</w:t>
      </w:r>
      <w:r w:rsidR="00F0468B">
        <w:t xml:space="preserve">pomalidomide </w:t>
      </w:r>
      <w:r w:rsidR="00F0468B" w:rsidRPr="0070026C">
        <w:t>+</w:t>
      </w:r>
      <w:r w:rsidR="00F0468B" w:rsidRPr="00C2201E">
        <w:t xml:space="preserve"> </w:t>
      </w:r>
      <w:r w:rsidR="00F0468B">
        <w:t>LD dexamethasone) versus</w:t>
      </w:r>
      <w:r w:rsidR="0070026C" w:rsidRPr="00AC4529">
        <w:t xml:space="preserve"> 3.9%</w:t>
      </w:r>
      <w:r w:rsidR="00A4654C">
        <w:t xml:space="preserve"> (HD dexamethasone). At a later cut-off, </w:t>
      </w:r>
      <w:r w:rsidR="0070026C" w:rsidRPr="00AC4529">
        <w:t>9 Nov</w:t>
      </w:r>
      <w:r w:rsidR="00FF7A57">
        <w:t>ember</w:t>
      </w:r>
      <w:r w:rsidR="0070026C" w:rsidRPr="00AC4529">
        <w:t xml:space="preserve"> 2012, the ORR based on IMWG criteria in</w:t>
      </w:r>
      <w:r w:rsidR="00BE03E5">
        <w:t xml:space="preserve"> the ITT population was 21.2% (</w:t>
      </w:r>
      <w:r w:rsidR="00A4654C">
        <w:t xml:space="preserve">pomalidomide </w:t>
      </w:r>
      <w:r w:rsidR="00A4654C" w:rsidRPr="0070026C">
        <w:t>+</w:t>
      </w:r>
      <w:r w:rsidR="00A4654C" w:rsidRPr="00C2201E">
        <w:t xml:space="preserve"> </w:t>
      </w:r>
      <w:r w:rsidR="00A4654C">
        <w:t>LD dexamethasone</w:t>
      </w:r>
      <w:r w:rsidR="00D06CAE">
        <w:t>) versus</w:t>
      </w:r>
      <w:r w:rsidR="0070026C" w:rsidRPr="00AC4529">
        <w:t xml:space="preserve"> 2.6% (</w:t>
      </w:r>
      <w:r w:rsidR="00F0468B">
        <w:t>HD dexamethasone</w:t>
      </w:r>
      <w:r w:rsidR="002F1C74">
        <w:t>).</w:t>
      </w:r>
    </w:p>
    <w:p w:rsidR="0070026C" w:rsidRPr="007973B1" w:rsidRDefault="0070026C" w:rsidP="002F1C74">
      <w:r w:rsidRPr="007973B1">
        <w:rPr>
          <w:b/>
        </w:rPr>
        <w:t>Median duration of response (IMWG criteria):</w:t>
      </w:r>
      <w:r w:rsidRPr="007973B1">
        <w:t xml:space="preserve"> 32.0 weeks (95% CI: 24.1, NE) in the </w:t>
      </w:r>
      <w:r w:rsidR="00692BC1">
        <w:t xml:space="preserve">pomalidomide </w:t>
      </w:r>
      <w:r w:rsidR="00692BC1" w:rsidRPr="0070026C">
        <w:t>+</w:t>
      </w:r>
      <w:r w:rsidR="00692BC1" w:rsidRPr="00C2201E">
        <w:t xml:space="preserve"> </w:t>
      </w:r>
      <w:r w:rsidR="00692BC1">
        <w:t>LD dexamethasone</w:t>
      </w:r>
      <w:r w:rsidR="00692BC1" w:rsidRPr="007973B1">
        <w:t xml:space="preserve"> </w:t>
      </w:r>
      <w:r w:rsidRPr="007973B1">
        <w:t xml:space="preserve">arm and 28.6 weeks (95% CI: 20.1, 37.1) in the </w:t>
      </w:r>
      <w:r w:rsidR="00E80F6E">
        <w:t>HD dexamethasone</w:t>
      </w:r>
      <w:r w:rsidRPr="007973B1">
        <w:t xml:space="preserve"> arm.</w:t>
      </w:r>
    </w:p>
    <w:p w:rsidR="0070026C" w:rsidRPr="0070026C" w:rsidRDefault="0070026C" w:rsidP="002F1C74">
      <w:pPr>
        <w:pStyle w:val="Heading5"/>
      </w:pPr>
      <w:bookmarkStart w:id="152" w:name="_Toc290846278"/>
      <w:bookmarkStart w:id="153" w:name="_Toc290888815"/>
      <w:bookmarkStart w:id="154" w:name="_Toc371611811"/>
      <w:bookmarkStart w:id="155" w:name="_Toc371612393"/>
      <w:bookmarkStart w:id="156" w:name="_Toc371612657"/>
      <w:bookmarkStart w:id="157" w:name="_Toc371613188"/>
      <w:r w:rsidRPr="0070026C">
        <w:t xml:space="preserve">Study </w:t>
      </w:r>
      <w:bookmarkEnd w:id="152"/>
      <w:bookmarkEnd w:id="153"/>
      <w:r w:rsidRPr="0070026C">
        <w:t>CC-4047-MM-002 (Phase I/II)</w:t>
      </w:r>
      <w:bookmarkEnd w:id="154"/>
      <w:bookmarkEnd w:id="155"/>
      <w:bookmarkEnd w:id="156"/>
      <w:bookmarkEnd w:id="157"/>
    </w:p>
    <w:p w:rsidR="0070026C" w:rsidRPr="00AC4529" w:rsidRDefault="0070026C" w:rsidP="002F1C74">
      <w:r w:rsidRPr="00AC4529">
        <w:t xml:space="preserve">The Phase II part of the study compared </w:t>
      </w:r>
      <w:r w:rsidR="00497282">
        <w:t xml:space="preserve">pomalidomide </w:t>
      </w:r>
      <w:r w:rsidR="00497282" w:rsidRPr="0070026C">
        <w:t>+</w:t>
      </w:r>
      <w:r w:rsidR="00497282" w:rsidRPr="00C2201E">
        <w:t xml:space="preserve"> </w:t>
      </w:r>
      <w:r w:rsidR="00497282">
        <w:t>LD dexamethasone</w:t>
      </w:r>
      <w:r w:rsidR="00497282" w:rsidRPr="007973B1">
        <w:t xml:space="preserve"> </w:t>
      </w:r>
      <w:r w:rsidRPr="00AC4529">
        <w:t xml:space="preserve">with </w:t>
      </w:r>
      <w:r w:rsidR="00BE03E5">
        <w:t xml:space="preserve">pomalidomide </w:t>
      </w:r>
      <w:r w:rsidRPr="00AC4529">
        <w:t xml:space="preserve">alone (same </w:t>
      </w:r>
      <w:r w:rsidR="00BE03E5">
        <w:t xml:space="preserve">pomalidomide </w:t>
      </w:r>
      <w:r w:rsidRPr="00AC4529">
        <w:t>dose regimen) so is not directly comparable with the Phase III study. In the Phase II part, a total of 221 subjects were randomi</w:t>
      </w:r>
      <w:r w:rsidR="00FF7A57">
        <w:t>s</w:t>
      </w:r>
      <w:r w:rsidRPr="00AC4529">
        <w:t xml:space="preserve">ed: 113 subjects in the </w:t>
      </w:r>
      <w:r w:rsidR="00BE03E5">
        <w:t xml:space="preserve">pomalidomide </w:t>
      </w:r>
      <w:r w:rsidRPr="00AC4529">
        <w:t xml:space="preserve">+ </w:t>
      </w:r>
      <w:r w:rsidR="00E127D8">
        <w:t>dexamethasone</w:t>
      </w:r>
      <w:r w:rsidRPr="00AC4529">
        <w:t xml:space="preserve"> arm and 108 subjects in the pomalidomide arm.</w:t>
      </w:r>
      <w:r w:rsidR="006813F9">
        <w:t xml:space="preserve"> </w:t>
      </w:r>
      <w:r w:rsidRPr="00AC4529">
        <w:t xml:space="preserve">The </w:t>
      </w:r>
      <w:r w:rsidR="00BE14B2">
        <w:t xml:space="preserve">pomalidomide </w:t>
      </w:r>
      <w:r w:rsidR="00BE14B2" w:rsidRPr="0070026C">
        <w:t>+</w:t>
      </w:r>
      <w:r w:rsidR="00BE14B2" w:rsidRPr="00C2201E">
        <w:t xml:space="preserve"> </w:t>
      </w:r>
      <w:r w:rsidR="00BE14B2">
        <w:t>LD dexamethasone</w:t>
      </w:r>
      <w:r w:rsidR="00BE14B2" w:rsidRPr="007973B1">
        <w:t xml:space="preserve"> </w:t>
      </w:r>
      <w:r w:rsidRPr="00AC4529">
        <w:t>dosing was as per the Phase III trial, with the reduced 20</w:t>
      </w:r>
      <w:r w:rsidR="00BE14B2">
        <w:t xml:space="preserve"> </w:t>
      </w:r>
      <w:r w:rsidRPr="00AC4529">
        <w:t xml:space="preserve">mg </w:t>
      </w:r>
      <w:r w:rsidR="008860CD">
        <w:t>dexamethasone</w:t>
      </w:r>
      <w:r w:rsidRPr="00AC4529">
        <w:t xml:space="preserve"> regimen for those &gt;75. Subjects with PD on the pomalidomide arm could choose to have dexamethasone added to their treatment. The inclusion criteria were similar to Study CC-0407-MM-003.</w:t>
      </w:r>
    </w:p>
    <w:p w:rsidR="0070026C" w:rsidRPr="00AC4529" w:rsidRDefault="0070026C" w:rsidP="002F1C74">
      <w:r w:rsidRPr="00AC4529">
        <w:t xml:space="preserve">The primary study endpoint was PFS and secondary efficacy endpoints objective response, time to response, duration of response, </w:t>
      </w:r>
      <w:r w:rsidR="00D7199D">
        <w:t>OS</w:t>
      </w:r>
      <w:r w:rsidRPr="00AC4529">
        <w:t xml:space="preserve">, </w:t>
      </w:r>
      <w:r w:rsidR="009656AA">
        <w:t xml:space="preserve">overall </w:t>
      </w:r>
      <w:r w:rsidRPr="00AC4529">
        <w:t>response (IMWG</w:t>
      </w:r>
      <w:r w:rsidR="00A1478E">
        <w:t xml:space="preserve"> </w:t>
      </w:r>
      <w:r w:rsidRPr="00AC4529">
        <w:t>criteria).</w:t>
      </w:r>
    </w:p>
    <w:p w:rsidR="00B52153" w:rsidRDefault="00B52153" w:rsidP="002F1C74">
      <w:pPr>
        <w:pStyle w:val="Heading5"/>
      </w:pPr>
      <w:r>
        <w:lastRenderedPageBreak/>
        <w:t>Median PFS times</w:t>
      </w:r>
    </w:p>
    <w:p w:rsidR="0070026C" w:rsidRPr="00AC4529" w:rsidRDefault="0070026C" w:rsidP="002F1C74">
      <w:r w:rsidRPr="00AC4529">
        <w:t xml:space="preserve">The median PFS time in the </w:t>
      </w:r>
      <w:r w:rsidR="00B52153">
        <w:t xml:space="preserve">pomalidomide </w:t>
      </w:r>
      <w:r w:rsidR="00B52153" w:rsidRPr="00AC4529">
        <w:t xml:space="preserve">+ </w:t>
      </w:r>
      <w:r w:rsidR="00B52153">
        <w:t>dexamethasone</w:t>
      </w:r>
      <w:r w:rsidR="00B52153" w:rsidRPr="00AC4529">
        <w:t xml:space="preserve"> </w:t>
      </w:r>
      <w:r w:rsidRPr="00AC4529">
        <w:t>arm was 16.6 weeks (14.1-21.1 weeks) compared with 12 weeks (CI 8.4-16.1 weeks) for single</w:t>
      </w:r>
      <w:r w:rsidR="004F6133">
        <w:t xml:space="preserve"> </w:t>
      </w:r>
      <w:r w:rsidRPr="00AC4529">
        <w:t xml:space="preserve">agent pomalidomide (prior to the addition of dexamethasone). At this time 76% of subjects in the </w:t>
      </w:r>
      <w:r w:rsidR="00B52153">
        <w:t xml:space="preserve">pomalidomide </w:t>
      </w:r>
      <w:r w:rsidR="00B52153" w:rsidRPr="00AC4529">
        <w:t xml:space="preserve">+ </w:t>
      </w:r>
      <w:r w:rsidR="00B52153">
        <w:t>dexamethasone</w:t>
      </w:r>
      <w:r w:rsidR="00B52153" w:rsidRPr="00AC4529">
        <w:t xml:space="preserve"> </w:t>
      </w:r>
      <w:r w:rsidRPr="00AC4529">
        <w:t xml:space="preserve">arm had progressed or died, and 75% in the Pomalidomide </w:t>
      </w:r>
      <w:proofErr w:type="gramStart"/>
      <w:r w:rsidRPr="00AC4529">
        <w:t>overall,</w:t>
      </w:r>
      <w:proofErr w:type="gramEnd"/>
      <w:r w:rsidRPr="00AC4529">
        <w:t xml:space="preserve"> and 69.4% in the pomalidomide arm prior to dexamethasone. The requisite number of deaths had not been reached for median OS, and the pre-planned analysis at the cut-off date (1 April 2011) demonstrated no statistically significant differences. Partial responses were observed in 29% of subjects in the </w:t>
      </w:r>
      <w:r w:rsidR="0082233F">
        <w:t xml:space="preserve">pomalidomide </w:t>
      </w:r>
      <w:r w:rsidR="0082233F" w:rsidRPr="00AC4529">
        <w:t xml:space="preserve">+ </w:t>
      </w:r>
      <w:r w:rsidR="0082233F">
        <w:t>dexamethasone</w:t>
      </w:r>
      <w:r w:rsidRPr="00AC4529">
        <w:t xml:space="preserve"> arm and in 9% of subjects in the pomalidomide arm. Objective responses (CR + PR) were observed in 30% of subjects in </w:t>
      </w:r>
      <w:r w:rsidR="00B52153">
        <w:t xml:space="preserve">pomalidomide </w:t>
      </w:r>
      <w:r w:rsidR="00B52153" w:rsidRPr="00AC4529">
        <w:t xml:space="preserve">+ </w:t>
      </w:r>
      <w:r w:rsidR="00B52153">
        <w:t>dexamethasone</w:t>
      </w:r>
      <w:r w:rsidR="00B52153" w:rsidRPr="00AC4529">
        <w:t xml:space="preserve"> </w:t>
      </w:r>
      <w:r w:rsidRPr="00AC4529">
        <w:t xml:space="preserve">arm and 9% of subjects in the pomalidomide arm. Addition of dexamethasone to pomalidomide (for subjects in the pomalidomide arm) did not change the overall best response rate for </w:t>
      </w:r>
      <w:r w:rsidR="002F1C74">
        <w:t>subjects in this treatment arm.</w:t>
      </w:r>
    </w:p>
    <w:p w:rsidR="0070026C" w:rsidRPr="00AC4529" w:rsidRDefault="0070026C" w:rsidP="00EA21FD">
      <w:pPr>
        <w:ind w:left="426"/>
        <w:rPr>
          <w:i/>
        </w:rPr>
      </w:pPr>
      <w:r w:rsidRPr="00AC4529">
        <w:rPr>
          <w:i/>
        </w:rPr>
        <w:t xml:space="preserve">Comment: The Delegate is in agreement with the </w:t>
      </w:r>
      <w:r w:rsidR="004F6133">
        <w:rPr>
          <w:i/>
        </w:rPr>
        <w:t>c</w:t>
      </w:r>
      <w:r w:rsidRPr="00AC4529">
        <w:rPr>
          <w:i/>
        </w:rPr>
        <w:t xml:space="preserve">linical </w:t>
      </w:r>
      <w:r w:rsidR="004F6133">
        <w:rPr>
          <w:i/>
        </w:rPr>
        <w:t>e</w:t>
      </w:r>
      <w:r w:rsidRPr="00AC4529">
        <w:rPr>
          <w:i/>
        </w:rPr>
        <w:t>valuator that the PFS time difference of 4 weeks found in the study is of doubtful clinical significance, and there is no quality of life data in support. Although the differ</w:t>
      </w:r>
      <w:r w:rsidR="00A21611">
        <w:rPr>
          <w:i/>
        </w:rPr>
        <w:t>ence in PFS is stated in the Clinical Safety Report to be significant, the 95% confidence</w:t>
      </w:r>
      <w:r w:rsidRPr="00AC4529">
        <w:rPr>
          <w:i/>
        </w:rPr>
        <w:t xml:space="preserve"> intervals overlap, and the upper limit of the HR is 0.99 [0.54-0.99]. The p value was shown as 0.019 in Table 20 of </w:t>
      </w:r>
      <w:r w:rsidR="00990ECD">
        <w:rPr>
          <w:i/>
        </w:rPr>
        <w:t>Clinical Safety Report</w:t>
      </w:r>
      <w:r w:rsidRPr="00AC4529">
        <w:rPr>
          <w:i/>
        </w:rPr>
        <w:t xml:space="preserve"> and 0.037 in Figure 2</w:t>
      </w:r>
      <w:r w:rsidR="00990ECD">
        <w:rPr>
          <w:i/>
        </w:rPr>
        <w:t xml:space="preserve"> of the Clinical Safety Report</w:t>
      </w:r>
      <w:r w:rsidRPr="00AC4529">
        <w:rPr>
          <w:i/>
        </w:rPr>
        <w:t>. The statistical analysis</w:t>
      </w:r>
      <w:r w:rsidR="006D6C90">
        <w:rPr>
          <w:i/>
        </w:rPr>
        <w:t xml:space="preserve"> plan (SAP) for the study (16 January 20</w:t>
      </w:r>
      <w:r w:rsidRPr="00AC4529">
        <w:rPr>
          <w:i/>
        </w:rPr>
        <w:t xml:space="preserve">09) based the sample size on an expected value of 10 months PFS in the </w:t>
      </w:r>
      <w:r w:rsidR="006831AA" w:rsidRPr="006831AA">
        <w:rPr>
          <w:i/>
        </w:rPr>
        <w:t>pomalidomide + dexamethasone</w:t>
      </w:r>
      <w:r w:rsidRPr="00AC4529">
        <w:rPr>
          <w:i/>
        </w:rPr>
        <w:t xml:space="preserve"> arm and 6 months in the </w:t>
      </w:r>
      <w:r w:rsidR="00BE03E5">
        <w:rPr>
          <w:i/>
        </w:rPr>
        <w:t xml:space="preserve">pomalidomide </w:t>
      </w:r>
      <w:r w:rsidRPr="00AC4529">
        <w:rPr>
          <w:i/>
        </w:rPr>
        <w:t xml:space="preserve">arm. At the time of this analysis, the number of events, 167, (progression and death) had exceeded the requirement of the SAP (139 events). </w:t>
      </w:r>
    </w:p>
    <w:p w:rsidR="0070026C" w:rsidRPr="00AC4529" w:rsidRDefault="0070026C" w:rsidP="00EA21FD">
      <w:pPr>
        <w:ind w:left="426"/>
      </w:pPr>
      <w:r w:rsidRPr="00AC4529">
        <w:rPr>
          <w:i/>
        </w:rPr>
        <w:t xml:space="preserve">Although there was no control non-pomalidomide treatment arm, this study supports pomalidomide being effective in treating relapsed and refractory MM. The addition </w:t>
      </w:r>
      <w:r w:rsidRPr="006831AA">
        <w:rPr>
          <w:i/>
        </w:rPr>
        <w:t xml:space="preserve">of </w:t>
      </w:r>
      <w:r w:rsidR="006831AA" w:rsidRPr="006831AA">
        <w:rPr>
          <w:i/>
        </w:rPr>
        <w:t xml:space="preserve">LD dexamethasone </w:t>
      </w:r>
      <w:r w:rsidRPr="006831AA">
        <w:rPr>
          <w:i/>
        </w:rPr>
        <w:t>increased</w:t>
      </w:r>
      <w:r w:rsidRPr="00AC4529">
        <w:rPr>
          <w:i/>
        </w:rPr>
        <w:t xml:space="preserve"> the PFS compared with </w:t>
      </w:r>
      <w:r w:rsidR="00BE03E5">
        <w:rPr>
          <w:i/>
        </w:rPr>
        <w:t xml:space="preserve">pomalidomide </w:t>
      </w:r>
      <w:r w:rsidRPr="00AC4529">
        <w:rPr>
          <w:i/>
        </w:rPr>
        <w:t xml:space="preserve">alone, but the increase was of marginal clinical significance. Although the response rate to the combination was greater than with pomalidomide alone, added dexamethasone did not increase OS. </w:t>
      </w:r>
    </w:p>
    <w:p w:rsidR="0070026C" w:rsidRPr="00496A6F" w:rsidRDefault="0070026C" w:rsidP="00EA21FD">
      <w:pPr>
        <w:pStyle w:val="Heading5"/>
      </w:pPr>
      <w:bookmarkStart w:id="158" w:name="_Toc290846279"/>
      <w:bookmarkStart w:id="159" w:name="_Toc290888816"/>
      <w:bookmarkStart w:id="160" w:name="_Toc371611812"/>
      <w:bookmarkStart w:id="161" w:name="_Toc371612394"/>
      <w:bookmarkStart w:id="162" w:name="_Toc371612658"/>
      <w:bookmarkStart w:id="163" w:name="_Toc371613189"/>
      <w:r w:rsidRPr="00496A6F">
        <w:t>Study IFM-</w:t>
      </w:r>
      <w:r w:rsidRPr="00EA21FD">
        <w:t>2009</w:t>
      </w:r>
      <w:r w:rsidRPr="00496A6F">
        <w:t>-02</w:t>
      </w:r>
      <w:bookmarkEnd w:id="158"/>
      <w:bookmarkEnd w:id="159"/>
      <w:bookmarkEnd w:id="160"/>
      <w:bookmarkEnd w:id="161"/>
      <w:bookmarkEnd w:id="162"/>
      <w:bookmarkEnd w:id="163"/>
    </w:p>
    <w:p w:rsidR="0070026C" w:rsidRPr="00496A6F" w:rsidRDefault="0070026C" w:rsidP="002F1C74">
      <w:r w:rsidRPr="00496A6F">
        <w:t xml:space="preserve">This </w:t>
      </w:r>
      <w:r w:rsidRPr="00496A6F">
        <w:rPr>
          <w:rFonts w:hint="eastAsia"/>
        </w:rPr>
        <w:t>Phase II study</w:t>
      </w:r>
      <w:r w:rsidR="00AC0BDC">
        <w:t xml:space="preserve"> was </w:t>
      </w:r>
      <w:r w:rsidRPr="00496A6F">
        <w:t>m</w:t>
      </w:r>
      <w:r w:rsidRPr="00496A6F">
        <w:rPr>
          <w:rFonts w:hint="eastAsia"/>
        </w:rPr>
        <w:t>ulticent</w:t>
      </w:r>
      <w:r w:rsidRPr="00496A6F">
        <w:t>r</w:t>
      </w:r>
      <w:r w:rsidRPr="00496A6F">
        <w:rPr>
          <w:rFonts w:hint="eastAsia"/>
        </w:rPr>
        <w:t>e</w:t>
      </w:r>
      <w:r w:rsidRPr="00496A6F">
        <w:t>,</w:t>
      </w:r>
      <w:r w:rsidRPr="00496A6F">
        <w:rPr>
          <w:rFonts w:hint="eastAsia"/>
        </w:rPr>
        <w:t xml:space="preserve"> </w:t>
      </w:r>
      <w:r w:rsidRPr="00496A6F">
        <w:t>r</w:t>
      </w:r>
      <w:r w:rsidRPr="00496A6F">
        <w:rPr>
          <w:rFonts w:hint="eastAsia"/>
        </w:rPr>
        <w:t>andomi</w:t>
      </w:r>
      <w:r w:rsidR="00BE56DB">
        <w:t>s</w:t>
      </w:r>
      <w:r w:rsidRPr="00496A6F">
        <w:rPr>
          <w:rFonts w:hint="eastAsia"/>
        </w:rPr>
        <w:t>ed</w:t>
      </w:r>
      <w:r w:rsidRPr="00496A6F">
        <w:t>,</w:t>
      </w:r>
      <w:r w:rsidRPr="00496A6F">
        <w:rPr>
          <w:rFonts w:hint="eastAsia"/>
        </w:rPr>
        <w:t xml:space="preserve"> </w:t>
      </w:r>
      <w:r w:rsidRPr="00496A6F">
        <w:t>o</w:t>
      </w:r>
      <w:r w:rsidRPr="00496A6F">
        <w:rPr>
          <w:rFonts w:hint="eastAsia"/>
        </w:rPr>
        <w:t>pen label</w:t>
      </w:r>
      <w:r w:rsidRPr="00496A6F">
        <w:t>,</w:t>
      </w:r>
      <w:r w:rsidRPr="00496A6F">
        <w:rPr>
          <w:rFonts w:hint="eastAsia"/>
        </w:rPr>
        <w:t xml:space="preserve"> </w:t>
      </w:r>
      <w:r w:rsidRPr="00496A6F">
        <w:t>compared the efficacy of d</w:t>
      </w:r>
      <w:r w:rsidR="00BE56DB">
        <w:t>aily pomalidomide for 21 days versus</w:t>
      </w:r>
      <w:r w:rsidRPr="00496A6F">
        <w:t xml:space="preserve"> 28 days, (each with dexamethasone) </w:t>
      </w:r>
      <w:r w:rsidRPr="00496A6F">
        <w:rPr>
          <w:rFonts w:hint="eastAsia"/>
        </w:rPr>
        <w:t>in</w:t>
      </w:r>
      <w:r w:rsidRPr="00496A6F">
        <w:t xml:space="preserve"> MM </w:t>
      </w:r>
      <w:r w:rsidRPr="00496A6F">
        <w:rPr>
          <w:rFonts w:hint="eastAsia"/>
        </w:rPr>
        <w:t xml:space="preserve">patients </w:t>
      </w:r>
      <w:r w:rsidRPr="00496A6F">
        <w:t xml:space="preserve">who had </w:t>
      </w:r>
      <w:r w:rsidRPr="00496A6F">
        <w:rPr>
          <w:rFonts w:hint="eastAsia"/>
        </w:rPr>
        <w:t>relapse</w:t>
      </w:r>
      <w:r w:rsidRPr="00496A6F">
        <w:t>d</w:t>
      </w:r>
      <w:r w:rsidRPr="00496A6F">
        <w:rPr>
          <w:rFonts w:hint="eastAsia"/>
        </w:rPr>
        <w:t xml:space="preserve"> and </w:t>
      </w:r>
      <w:r w:rsidRPr="00496A6F">
        <w:t xml:space="preserve">who had </w:t>
      </w:r>
      <w:r w:rsidRPr="00496A6F">
        <w:rPr>
          <w:rFonts w:hint="eastAsia"/>
        </w:rPr>
        <w:t xml:space="preserve">refractory </w:t>
      </w:r>
      <w:r w:rsidRPr="00496A6F">
        <w:t>disease</w:t>
      </w:r>
      <w:r w:rsidRPr="00496A6F">
        <w:rPr>
          <w:rFonts w:hint="eastAsia"/>
        </w:rPr>
        <w:t xml:space="preserve"> </w:t>
      </w:r>
      <w:r w:rsidRPr="00496A6F">
        <w:t>which was</w:t>
      </w:r>
      <w:r w:rsidRPr="00496A6F">
        <w:rPr>
          <w:rFonts w:hint="eastAsia"/>
        </w:rPr>
        <w:t xml:space="preserve"> progressive</w:t>
      </w:r>
      <w:r w:rsidRPr="00496A6F">
        <w:t>,</w:t>
      </w:r>
      <w:r w:rsidRPr="00496A6F">
        <w:rPr>
          <w:rFonts w:hint="eastAsia"/>
        </w:rPr>
        <w:t xml:space="preserve"> and </w:t>
      </w:r>
      <w:r w:rsidRPr="00496A6F">
        <w:t xml:space="preserve">who had </w:t>
      </w:r>
      <w:r w:rsidRPr="00496A6F">
        <w:rPr>
          <w:rFonts w:hint="eastAsia"/>
        </w:rPr>
        <w:t>achieve</w:t>
      </w:r>
      <w:r w:rsidRPr="00496A6F">
        <w:t>d</w:t>
      </w:r>
      <w:r w:rsidRPr="00496A6F">
        <w:rPr>
          <w:rFonts w:hint="eastAsia"/>
        </w:rPr>
        <w:t xml:space="preserve"> at least a partial</w:t>
      </w:r>
      <w:r w:rsidRPr="00496A6F">
        <w:t xml:space="preserve"> </w:t>
      </w:r>
      <w:r w:rsidRPr="00496A6F">
        <w:rPr>
          <w:rFonts w:hint="eastAsia"/>
        </w:rPr>
        <w:t xml:space="preserve">response to </w:t>
      </w:r>
      <w:r w:rsidRPr="00496A6F">
        <w:t>b</w:t>
      </w:r>
      <w:r w:rsidRPr="00496A6F">
        <w:rPr>
          <w:rFonts w:hint="eastAsia"/>
        </w:rPr>
        <w:t xml:space="preserve">ortezomib and </w:t>
      </w:r>
      <w:r w:rsidRPr="00496A6F">
        <w:t>l</w:t>
      </w:r>
      <w:r w:rsidRPr="00496A6F">
        <w:rPr>
          <w:rFonts w:hint="eastAsia"/>
        </w:rPr>
        <w:t>enalidomide</w:t>
      </w:r>
      <w:r w:rsidR="002F1C74">
        <w:t>.</w:t>
      </w:r>
    </w:p>
    <w:p w:rsidR="0070026C" w:rsidRPr="00496A6F" w:rsidRDefault="005514BD" w:rsidP="002F1C74">
      <w:r>
        <w:t xml:space="preserve">A total of </w:t>
      </w:r>
      <w:r w:rsidR="0070026C" w:rsidRPr="00496A6F">
        <w:t>84 p</w:t>
      </w:r>
      <w:r w:rsidR="0070026C" w:rsidRPr="00496A6F">
        <w:rPr>
          <w:rFonts w:hint="eastAsia"/>
        </w:rPr>
        <w:t>atients were randomi</w:t>
      </w:r>
      <w:r w:rsidR="00A20FD6">
        <w:t>s</w:t>
      </w:r>
      <w:r w:rsidR="0070026C" w:rsidRPr="00496A6F">
        <w:rPr>
          <w:rFonts w:hint="eastAsia"/>
        </w:rPr>
        <w:t>ed (1:1) to receive</w:t>
      </w:r>
      <w:r w:rsidR="0070026C" w:rsidRPr="00496A6F">
        <w:t xml:space="preserve"> either </w:t>
      </w:r>
      <w:r w:rsidR="0070026C" w:rsidRPr="00496A6F">
        <w:rPr>
          <w:rFonts w:hint="eastAsia"/>
        </w:rPr>
        <w:t>4 mg/day pomalidomide on Days 1 to 21, plus dexamethasone 40 mg on Days 1, 8, 15, and 22 of each 28</w:t>
      </w:r>
      <w:r w:rsidR="00F16CEB">
        <w:t xml:space="preserve"> </w:t>
      </w:r>
      <w:r w:rsidR="0070026C" w:rsidRPr="00496A6F">
        <w:rPr>
          <w:rFonts w:hint="eastAsia"/>
        </w:rPr>
        <w:t>day cycle</w:t>
      </w:r>
      <w:r w:rsidR="0070026C" w:rsidRPr="00496A6F">
        <w:t xml:space="preserve"> (Arm A) OR</w:t>
      </w:r>
      <w:r w:rsidR="006813F9">
        <w:t xml:space="preserve"> </w:t>
      </w:r>
      <w:r w:rsidR="0070026C" w:rsidRPr="00496A6F">
        <w:rPr>
          <w:rFonts w:hint="eastAsia"/>
        </w:rPr>
        <w:t>4 mg/day pomalidomide on Days 1 to 28 plus dexamethasone 40 mg on Days 1, 8, 15, and 22 of each 28</w:t>
      </w:r>
      <w:r w:rsidR="00F16CEB">
        <w:t xml:space="preserve"> </w:t>
      </w:r>
      <w:r w:rsidR="0070026C" w:rsidRPr="00496A6F">
        <w:rPr>
          <w:rFonts w:hint="eastAsia"/>
        </w:rPr>
        <w:t>day cycle</w:t>
      </w:r>
      <w:r w:rsidR="0070026C" w:rsidRPr="00496A6F">
        <w:t xml:space="preserve"> (Arm B). The primary endpoint was </w:t>
      </w:r>
      <w:r w:rsidR="0070026C" w:rsidRPr="00496A6F">
        <w:rPr>
          <w:rFonts w:hint="eastAsia"/>
        </w:rPr>
        <w:t>the response rate (PR+CR) to pomalidomide and</w:t>
      </w:r>
      <w:r w:rsidR="0070026C" w:rsidRPr="00496A6F">
        <w:t xml:space="preserve"> </w:t>
      </w:r>
      <w:r w:rsidR="0070026C" w:rsidRPr="00496A6F">
        <w:rPr>
          <w:rFonts w:hint="eastAsia"/>
        </w:rPr>
        <w:t>dexamethasone using IMWG response</w:t>
      </w:r>
      <w:r w:rsidR="0070026C" w:rsidRPr="00496A6F">
        <w:t xml:space="preserve"> criteria</w:t>
      </w:r>
      <w:r w:rsidR="0070026C" w:rsidRPr="00496A6F">
        <w:rPr>
          <w:rFonts w:hint="eastAsia"/>
        </w:rPr>
        <w:t>.</w:t>
      </w:r>
      <w:r w:rsidR="0070026C" w:rsidRPr="00496A6F">
        <w:t xml:space="preserve"> Secondary endpoints included PFS</w:t>
      </w:r>
      <w:r w:rsidR="006813F9">
        <w:t xml:space="preserve"> </w:t>
      </w:r>
      <w:r w:rsidR="0070026C" w:rsidRPr="00496A6F">
        <w:t>and OS. The study was non-comparative and the response rate assessed separately for each arm.</w:t>
      </w:r>
    </w:p>
    <w:p w:rsidR="00496A6F" w:rsidRDefault="0070026C" w:rsidP="002F1C74">
      <w:r w:rsidRPr="00496A6F">
        <w:rPr>
          <w:rFonts w:hint="eastAsia"/>
        </w:rPr>
        <w:t xml:space="preserve">The median age was 60 (range 42-83), with </w:t>
      </w:r>
      <w:r w:rsidRPr="00496A6F">
        <w:t>68%</w:t>
      </w:r>
      <w:r w:rsidRPr="00496A6F">
        <w:rPr>
          <w:rFonts w:hint="eastAsia"/>
        </w:rPr>
        <w:t xml:space="preserve"> male patients</w:t>
      </w:r>
      <w:r w:rsidRPr="00496A6F">
        <w:t xml:space="preserve">, </w:t>
      </w:r>
      <w:r w:rsidRPr="00496A6F">
        <w:rPr>
          <w:rFonts w:hint="eastAsia"/>
        </w:rPr>
        <w:t>ECOG PS values of 0/1/2/3 were reported in</w:t>
      </w:r>
      <w:r w:rsidRPr="00496A6F">
        <w:t xml:space="preserve"> </w:t>
      </w:r>
      <w:r w:rsidR="00FE7FB1">
        <w:rPr>
          <w:rFonts w:hint="eastAsia"/>
        </w:rPr>
        <w:t>39/41/19/</w:t>
      </w:r>
      <w:r w:rsidRPr="00496A6F">
        <w:rPr>
          <w:rFonts w:hint="eastAsia"/>
        </w:rPr>
        <w:t>1% of patients, overall.</w:t>
      </w:r>
      <w:r w:rsidRPr="00496A6F">
        <w:t xml:space="preserve"> </w:t>
      </w:r>
      <w:r w:rsidRPr="00496A6F">
        <w:rPr>
          <w:rFonts w:hint="eastAsia"/>
        </w:rPr>
        <w:t>Patients had received a median of 5 prior lines of treatment, with 23% of patients</w:t>
      </w:r>
      <w:r w:rsidRPr="00496A6F">
        <w:t xml:space="preserve"> </w:t>
      </w:r>
      <w:r w:rsidRPr="00496A6F">
        <w:rPr>
          <w:rFonts w:hint="eastAsia"/>
        </w:rPr>
        <w:t>having received more than 6 prior lines. All patients had received prior treatment with</w:t>
      </w:r>
      <w:r w:rsidRPr="00496A6F">
        <w:t xml:space="preserve"> </w:t>
      </w:r>
      <w:r w:rsidRPr="00496A6F">
        <w:rPr>
          <w:rFonts w:hint="eastAsia"/>
        </w:rPr>
        <w:t>bortezomib and with lenalidomide</w:t>
      </w:r>
      <w:r w:rsidR="00496A6F">
        <w:t>.</w:t>
      </w:r>
    </w:p>
    <w:p w:rsidR="0070026C" w:rsidRPr="00905B9D" w:rsidRDefault="0070026C" w:rsidP="00EA21FD">
      <w:pPr>
        <w:ind w:left="426"/>
        <w:rPr>
          <w:i/>
        </w:rPr>
      </w:pPr>
      <w:r w:rsidRPr="00905B9D">
        <w:rPr>
          <w:i/>
        </w:rPr>
        <w:t>Comment: sim</w:t>
      </w:r>
      <w:r w:rsidR="00156148">
        <w:rPr>
          <w:i/>
        </w:rPr>
        <w:t xml:space="preserve">ilar to Phase III patients, that is, </w:t>
      </w:r>
      <w:r w:rsidRPr="00905B9D">
        <w:rPr>
          <w:i/>
        </w:rPr>
        <w:t>bortezomib used</w:t>
      </w:r>
      <w:r w:rsidR="00AD758B" w:rsidRPr="00905B9D">
        <w:rPr>
          <w:i/>
        </w:rPr>
        <w:t xml:space="preserve"> no other proteasome inhibitor.</w:t>
      </w:r>
    </w:p>
    <w:p w:rsidR="00905B9D" w:rsidRDefault="00905B9D" w:rsidP="002F1C74">
      <w:pPr>
        <w:pStyle w:val="Heading5"/>
        <w:rPr>
          <w:rFonts w:eastAsia="TimesNewRoman"/>
          <w:lang w:val="en-US"/>
        </w:rPr>
      </w:pPr>
      <w:r>
        <w:rPr>
          <w:rFonts w:eastAsia="TimesNewRoman"/>
          <w:lang w:val="en-US"/>
        </w:rPr>
        <w:lastRenderedPageBreak/>
        <w:t>Response rate, PFS, OS</w:t>
      </w:r>
    </w:p>
    <w:p w:rsidR="0070026C" w:rsidRPr="00905B9D" w:rsidRDefault="0070026C" w:rsidP="002F1C74">
      <w:r w:rsidRPr="00905B9D">
        <w:rPr>
          <w:rFonts w:hint="eastAsia"/>
        </w:rPr>
        <w:t>Based on assessment by the IRC, the overall response rate (CR, VGPR, PR) in the ITT</w:t>
      </w:r>
      <w:r w:rsidRPr="00905B9D">
        <w:t xml:space="preserve"> </w:t>
      </w:r>
      <w:r w:rsidRPr="00905B9D">
        <w:rPr>
          <w:rFonts w:hint="eastAsia"/>
        </w:rPr>
        <w:t>po</w:t>
      </w:r>
      <w:r w:rsidR="00FE7FB1">
        <w:rPr>
          <w:rFonts w:hint="eastAsia"/>
        </w:rPr>
        <w:t>pulation was 35% (95% CI: 25</w:t>
      </w:r>
      <w:r w:rsidR="00FE7FB1">
        <w:t>-</w:t>
      </w:r>
      <w:r w:rsidRPr="00905B9D">
        <w:rPr>
          <w:rFonts w:hint="eastAsia"/>
        </w:rPr>
        <w:t>46%); no significant difference was observed</w:t>
      </w:r>
      <w:r w:rsidRPr="00905B9D">
        <w:t xml:space="preserve"> </w:t>
      </w:r>
      <w:r w:rsidRPr="00905B9D">
        <w:rPr>
          <w:rFonts w:hint="eastAsia"/>
        </w:rPr>
        <w:t xml:space="preserve">between response rates in </w:t>
      </w:r>
      <w:r w:rsidRPr="00905B9D">
        <w:t>either arm. There was no difference in PFS or OS between the arms.</w:t>
      </w:r>
    </w:p>
    <w:p w:rsidR="0070026C" w:rsidRPr="00905B9D" w:rsidRDefault="0070026C" w:rsidP="00EA21FD">
      <w:pPr>
        <w:ind w:left="426"/>
        <w:rPr>
          <w:i/>
        </w:rPr>
      </w:pPr>
      <w:r w:rsidRPr="00905B9D">
        <w:rPr>
          <w:i/>
        </w:rPr>
        <w:t>Comment: The Delegate is in agreement with the clinical evaluator that the study was underpowered to compare the differences between the regimens, and the width of the CI for all endpoints indicates high patient variability in response. It is supportive of</w:t>
      </w:r>
      <w:r w:rsidR="006813F9">
        <w:rPr>
          <w:i/>
        </w:rPr>
        <w:t xml:space="preserve"> </w:t>
      </w:r>
      <w:r w:rsidRPr="00905B9D">
        <w:rPr>
          <w:i/>
        </w:rPr>
        <w:t>pomalidomide with dexamethasone being active in producing responses in this group o</w:t>
      </w:r>
      <w:r w:rsidR="002F1C74">
        <w:rPr>
          <w:i/>
        </w:rPr>
        <w:t>f heavily pre-treated patients.</w:t>
      </w:r>
    </w:p>
    <w:p w:rsidR="0070026C" w:rsidRPr="006D0DA1" w:rsidRDefault="0070026C" w:rsidP="002F1C74">
      <w:pPr>
        <w:pStyle w:val="Heading5"/>
      </w:pPr>
      <w:bookmarkStart w:id="164" w:name="_Toc371611813"/>
      <w:bookmarkStart w:id="165" w:name="_Toc371612395"/>
      <w:bookmarkStart w:id="166" w:name="_Toc371612659"/>
      <w:bookmarkStart w:id="167" w:name="_Toc371613190"/>
      <w:r w:rsidRPr="006D0DA1">
        <w:t>Comparison of efficacy results of pivotal and supportive trials</w:t>
      </w:r>
      <w:bookmarkEnd w:id="164"/>
      <w:bookmarkEnd w:id="165"/>
      <w:bookmarkEnd w:id="166"/>
      <w:bookmarkEnd w:id="167"/>
    </w:p>
    <w:p w:rsidR="0070026C" w:rsidRPr="007973B1" w:rsidRDefault="0070026C" w:rsidP="002F1C74">
      <w:r w:rsidRPr="007973B1">
        <w:t xml:space="preserve">The efficacy results of the three trials are shown Table </w:t>
      </w:r>
      <w:r w:rsidR="00512BD0">
        <w:t>8</w:t>
      </w:r>
      <w:r w:rsidRPr="007973B1">
        <w:t>.</w:t>
      </w:r>
      <w:r w:rsidR="00CA6728" w:rsidRPr="00CA6728">
        <w:rPr>
          <w:lang w:eastAsia="en-AU"/>
        </w:rPr>
        <w:t xml:space="preserve"> </w:t>
      </w:r>
      <w:r w:rsidR="00CA6728" w:rsidRPr="00923493">
        <w:rPr>
          <w:lang w:eastAsia="en-AU"/>
        </w:rPr>
        <w:t>Note that the results for the pivotal study were based on the updated data (1 Mar</w:t>
      </w:r>
      <w:r w:rsidR="00586FAE">
        <w:rPr>
          <w:lang w:eastAsia="en-AU"/>
        </w:rPr>
        <w:t>ch</w:t>
      </w:r>
      <w:r w:rsidR="00CA6728" w:rsidRPr="00923493">
        <w:rPr>
          <w:lang w:eastAsia="en-AU"/>
        </w:rPr>
        <w:t xml:space="preserve"> 2013) and not the primary analysis in the application</w:t>
      </w:r>
      <w:r w:rsidR="00CA6728">
        <w:rPr>
          <w:lang w:eastAsia="en-AU"/>
        </w:rPr>
        <w:t>.</w:t>
      </w:r>
    </w:p>
    <w:p w:rsidR="00923493" w:rsidRDefault="00923493" w:rsidP="002F1C74">
      <w:pPr>
        <w:pStyle w:val="TableTitle"/>
      </w:pPr>
      <w:r>
        <w:t xml:space="preserve">Table </w:t>
      </w:r>
      <w:r w:rsidR="00512BD0">
        <w:t>8</w:t>
      </w:r>
      <w:r>
        <w:t>:</w:t>
      </w:r>
      <w:r w:rsidRPr="004C5C28">
        <w:t xml:space="preserve"> </w:t>
      </w:r>
      <w:r w:rsidRPr="00923493">
        <w:rPr>
          <w:lang w:eastAsia="en-AU"/>
        </w:rPr>
        <w:t>Summary of Key Efficacy Endpoints (based on Best Response Assessment using EBM</w:t>
      </w:r>
      <w:r w:rsidR="00CA6728">
        <w:rPr>
          <w:lang w:eastAsia="en-AU"/>
        </w:rPr>
        <w:t>T/IMWG Criteria; ITT population).</w:t>
      </w:r>
    </w:p>
    <w:p w:rsidR="00901286" w:rsidRDefault="00D41715" w:rsidP="002F1C74">
      <w:r>
        <w:rPr>
          <w:noProof/>
          <w:lang w:eastAsia="en-AU"/>
        </w:rPr>
        <w:drawing>
          <wp:inline distT="0" distB="0" distL="0" distR="0" wp14:anchorId="2B3F553C" wp14:editId="37B5B6C3">
            <wp:extent cx="5397500" cy="2152650"/>
            <wp:effectExtent l="0" t="0" r="0" b="0"/>
            <wp:docPr id="6" name="Picture 6" descr="Table 8: Summary of Key Efficacy Endpoints (based on Best Response Assessment using EBMT/IMWG Criteria;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8: Summary of Key Efficacy Endpoints (based on Best Response Assessment using EBMT/IMWG Criteria; ITT popul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0" cy="2152650"/>
                    </a:xfrm>
                    <a:prstGeom prst="rect">
                      <a:avLst/>
                    </a:prstGeom>
                    <a:noFill/>
                    <a:ln>
                      <a:noFill/>
                    </a:ln>
                  </pic:spPr>
                </pic:pic>
              </a:graphicData>
            </a:graphic>
          </wp:inline>
        </w:drawing>
      </w:r>
    </w:p>
    <w:p w:rsidR="00865AF5" w:rsidRDefault="00865AF5" w:rsidP="002F1C74">
      <w:pPr>
        <w:pStyle w:val="Heading6"/>
      </w:pPr>
      <w:r>
        <w:t>PFS</w:t>
      </w:r>
    </w:p>
    <w:p w:rsidR="008D6D5D" w:rsidRPr="00865AF5" w:rsidRDefault="008D6D5D" w:rsidP="002F1C74">
      <w:r w:rsidRPr="00865AF5">
        <w:t>PFS was similar between Studies MM-002 and MM-003.</w:t>
      </w:r>
      <w:r w:rsidRPr="00865AF5">
        <w:rPr>
          <w:rFonts w:hint="eastAsia"/>
        </w:rPr>
        <w:t xml:space="preserve"> </w:t>
      </w:r>
      <w:r w:rsidR="00DB1EC9">
        <w:t>PFS</w:t>
      </w:r>
      <w:r w:rsidRPr="00865AF5">
        <w:rPr>
          <w:rFonts w:hint="eastAsia"/>
        </w:rPr>
        <w:t xml:space="preserve"> was longer in</w:t>
      </w:r>
      <w:r w:rsidRPr="00865AF5">
        <w:t xml:space="preserve"> </w:t>
      </w:r>
      <w:r w:rsidRPr="00865AF5">
        <w:rPr>
          <w:rFonts w:hint="eastAsia"/>
        </w:rPr>
        <w:t>Arm A of study IFM-2009-02 (25.1 weeks) although the study population was smaller</w:t>
      </w:r>
      <w:r w:rsidRPr="00865AF5">
        <w:t xml:space="preserve"> </w:t>
      </w:r>
      <w:r w:rsidRPr="00865AF5">
        <w:rPr>
          <w:rFonts w:hint="eastAsia"/>
        </w:rPr>
        <w:t xml:space="preserve">and differed from those in </w:t>
      </w:r>
      <w:r w:rsidR="00195939">
        <w:t>S</w:t>
      </w:r>
      <w:r w:rsidRPr="00865AF5">
        <w:rPr>
          <w:rFonts w:hint="eastAsia"/>
        </w:rPr>
        <w:t>tudies CC-4047-MM-002 and CC-4047-MM-003 in terms of</w:t>
      </w:r>
      <w:r w:rsidRPr="00865AF5">
        <w:t xml:space="preserve"> </w:t>
      </w:r>
      <w:r w:rsidRPr="00865AF5">
        <w:rPr>
          <w:rFonts w:hint="eastAsia"/>
        </w:rPr>
        <w:t>baseline disease characteristics.</w:t>
      </w:r>
      <w:r w:rsidRPr="00865AF5">
        <w:t xml:space="preserve"> Note that the PFS given in </w:t>
      </w:r>
      <w:r w:rsidR="004A572B">
        <w:t xml:space="preserve">Table </w:t>
      </w:r>
      <w:r w:rsidR="00512BD0">
        <w:t>8</w:t>
      </w:r>
      <w:r w:rsidR="00D66AAF">
        <w:t xml:space="preserve"> for the MM-002 </w:t>
      </w:r>
      <w:r w:rsidRPr="00865AF5">
        <w:t xml:space="preserve">was for patients treated in the </w:t>
      </w:r>
      <w:r w:rsidR="00BE03E5">
        <w:t xml:space="preserve">pomalidomide </w:t>
      </w:r>
      <w:r w:rsidRPr="00865AF5">
        <w:t xml:space="preserve">arm who had had </w:t>
      </w:r>
      <w:r w:rsidR="00BE03E5">
        <w:t xml:space="preserve">pomalidomide </w:t>
      </w:r>
      <w:r w:rsidRPr="00865AF5">
        <w:t>alone and those who had added dexamethasone on request. The PFS for those who had pomalidomide alone was a median of 12 weeks (CI 8.4-</w:t>
      </w:r>
      <w:r w:rsidR="002F1C74">
        <w:t>16.1).</w:t>
      </w:r>
    </w:p>
    <w:p w:rsidR="008D6D5D" w:rsidRPr="00865AF5" w:rsidRDefault="008D6D5D" w:rsidP="002E7EAE">
      <w:pPr>
        <w:ind w:left="426"/>
        <w:rPr>
          <w:i/>
        </w:rPr>
      </w:pPr>
      <w:r w:rsidRPr="00865AF5">
        <w:rPr>
          <w:i/>
        </w:rPr>
        <w:t xml:space="preserve">Comment: The baseline disease characteristics of subjects in IFM-2009-02 differed from those in the pivotal </w:t>
      </w:r>
      <w:r w:rsidR="00062576">
        <w:rPr>
          <w:i/>
        </w:rPr>
        <w:t xml:space="preserve">Study </w:t>
      </w:r>
      <w:r w:rsidRPr="00865AF5">
        <w:rPr>
          <w:i/>
        </w:rPr>
        <w:t>CC-4407-MM-003. The finding of a longer PFS in the former trial is at odds with the higher rates of poor prognostic factors in trial subjects (more pa</w:t>
      </w:r>
      <w:r w:rsidR="00062576">
        <w:rPr>
          <w:i/>
        </w:rPr>
        <w:t>tients had high (≥5.5 mg/L) β</w:t>
      </w:r>
      <w:r w:rsidRPr="00865AF5">
        <w:rPr>
          <w:i/>
        </w:rPr>
        <w:t>-2 microglobulin levels (50% cf 33%), and low albumin (&lt;3.5g/L) (50% v</w:t>
      </w:r>
      <w:r w:rsidR="00062576">
        <w:rPr>
          <w:i/>
        </w:rPr>
        <w:t>ersus</w:t>
      </w:r>
      <w:r w:rsidRPr="00865AF5">
        <w:rPr>
          <w:i/>
        </w:rPr>
        <w:t xml:space="preserve"> 36%). The Delegate is in agreement with the Clinical Evaluator that the better PFS and RR outcomes for the IFM trial are difficult to interpret. To assess the effect of adding dexamethasone to pomalidomide treatment, the figures to compare are 12 weeks and 16.6weeks. From these figures</w:t>
      </w:r>
      <w:r w:rsidR="00286FBD">
        <w:rPr>
          <w:i/>
        </w:rPr>
        <w:t>,</w:t>
      </w:r>
      <w:r w:rsidRPr="00865AF5">
        <w:rPr>
          <w:i/>
        </w:rPr>
        <w:t xml:space="preserve"> the clinical benefit to the patient of 4.6 weeks is small. The p value of 0.019 was calculated from a comparison of</w:t>
      </w:r>
      <w:r w:rsidR="006813F9">
        <w:rPr>
          <w:i/>
        </w:rPr>
        <w:t xml:space="preserve"> </w:t>
      </w:r>
      <w:r w:rsidRPr="00865AF5">
        <w:rPr>
          <w:i/>
        </w:rPr>
        <w:t>10.7 and 16.6 weeks, not 12 and 16.6 weeks, so the statistical significance applies to the two treatments used in the study, both with dexamethasone, and not to the effect of adding dexamethasone to pomalidomide treatment.</w:t>
      </w:r>
    </w:p>
    <w:p w:rsidR="00865AF5" w:rsidRDefault="00D66AAF" w:rsidP="002F1C74">
      <w:pPr>
        <w:pStyle w:val="Heading6"/>
        <w:rPr>
          <w:rFonts w:eastAsia="TimesNewRoman"/>
          <w:lang w:val="en-US"/>
        </w:rPr>
      </w:pPr>
      <w:r>
        <w:rPr>
          <w:rFonts w:eastAsia="TimesNewRoman"/>
          <w:lang w:val="en-US"/>
        </w:rPr>
        <w:lastRenderedPageBreak/>
        <w:t xml:space="preserve">Overall </w:t>
      </w:r>
      <w:r w:rsidR="002F1C74">
        <w:rPr>
          <w:rFonts w:eastAsia="TimesNewRoman"/>
          <w:lang w:val="en-US"/>
        </w:rPr>
        <w:t>S</w:t>
      </w:r>
      <w:r>
        <w:rPr>
          <w:rFonts w:eastAsia="TimesNewRoman"/>
          <w:lang w:val="en-US"/>
        </w:rPr>
        <w:t>urvival (OS)</w:t>
      </w:r>
    </w:p>
    <w:p w:rsidR="008D6D5D" w:rsidRPr="00865AF5" w:rsidRDefault="008D6D5D" w:rsidP="002F1C74">
      <w:r w:rsidRPr="00865AF5">
        <w:t xml:space="preserve">While there is a lower OS for patients treated with </w:t>
      </w:r>
      <w:r w:rsidR="00EF1844">
        <w:t xml:space="preserve">pomalidomide </w:t>
      </w:r>
      <w:r w:rsidR="00EF1844" w:rsidRPr="0070026C">
        <w:t>+</w:t>
      </w:r>
      <w:r w:rsidR="00EF1844" w:rsidRPr="00C2201E">
        <w:t xml:space="preserve"> </w:t>
      </w:r>
      <w:r w:rsidR="00EF1844">
        <w:t>LD dexamethasone</w:t>
      </w:r>
      <w:r w:rsidR="00EF1844" w:rsidRPr="007973B1">
        <w:t xml:space="preserve"> </w:t>
      </w:r>
      <w:r w:rsidRPr="00865AF5">
        <w:t>in the pivotal Phase III trial compared with the Phase II studies, this is still better at</w:t>
      </w:r>
      <w:r w:rsidRPr="00865AF5">
        <w:rPr>
          <w:rFonts w:hint="eastAsia"/>
        </w:rPr>
        <w:t xml:space="preserve"> 55.4 weeks (95% CI: 45.3, 67.3) </w:t>
      </w:r>
      <w:r w:rsidR="00286FBD">
        <w:t>compared with</w:t>
      </w:r>
      <w:r w:rsidRPr="00865AF5">
        <w:rPr>
          <w:rFonts w:hint="eastAsia"/>
        </w:rPr>
        <w:t xml:space="preserve"> 35.1 weeks</w:t>
      </w:r>
      <w:r w:rsidRPr="00865AF5">
        <w:t xml:space="preserve"> </w:t>
      </w:r>
      <w:r w:rsidRPr="00865AF5">
        <w:rPr>
          <w:rFonts w:hint="eastAsia"/>
        </w:rPr>
        <w:t>(95% CI: 29.9, 47.1)</w:t>
      </w:r>
      <w:r w:rsidRPr="00865AF5">
        <w:t xml:space="preserve"> with </w:t>
      </w:r>
      <w:r w:rsidR="00CB717B">
        <w:t>HD dexamethasone</w:t>
      </w:r>
      <w:r w:rsidRPr="00865AF5">
        <w:t>, despite cross over from the control arm</w:t>
      </w:r>
      <w:r w:rsidR="002F1C74">
        <w:rPr>
          <w:rFonts w:hint="eastAsia"/>
        </w:rPr>
        <w:t>.</w:t>
      </w:r>
    </w:p>
    <w:p w:rsidR="00865AF5" w:rsidRDefault="008D6D5D" w:rsidP="002F1C74">
      <w:pPr>
        <w:pStyle w:val="Heading6"/>
        <w:rPr>
          <w:rFonts w:eastAsia="TimesNewRoman"/>
          <w:lang w:val="en-US"/>
        </w:rPr>
      </w:pPr>
      <w:r>
        <w:rPr>
          <w:rFonts w:eastAsia="TimesNewRoman"/>
          <w:lang w:val="en-US"/>
        </w:rPr>
        <w:t>Res</w:t>
      </w:r>
      <w:r w:rsidR="00865AF5">
        <w:rPr>
          <w:rFonts w:eastAsia="TimesNewRoman"/>
          <w:lang w:val="en-US"/>
        </w:rPr>
        <w:t xml:space="preserve">ponse </w:t>
      </w:r>
      <w:r w:rsidR="004A033E">
        <w:rPr>
          <w:rFonts w:eastAsia="TimesNewRoman"/>
          <w:lang w:val="en-US"/>
        </w:rPr>
        <w:t>R</w:t>
      </w:r>
      <w:r w:rsidR="00865AF5">
        <w:rPr>
          <w:rFonts w:eastAsia="TimesNewRoman"/>
          <w:lang w:val="en-US"/>
        </w:rPr>
        <w:t>ate (RR)</w:t>
      </w:r>
    </w:p>
    <w:p w:rsidR="008D6D5D" w:rsidRPr="00865AF5" w:rsidRDefault="008D6D5D" w:rsidP="002E7EAE">
      <w:r w:rsidRPr="00865AF5">
        <w:t xml:space="preserve">Similarly the </w:t>
      </w:r>
      <w:r w:rsidRPr="00865AF5">
        <w:rPr>
          <w:rFonts w:hint="eastAsia"/>
        </w:rPr>
        <w:t>23.5%</w:t>
      </w:r>
      <w:r w:rsidRPr="00865AF5">
        <w:t xml:space="preserve"> RR </w:t>
      </w:r>
      <w:r w:rsidRPr="00865AF5">
        <w:rPr>
          <w:rFonts w:hint="eastAsia"/>
        </w:rPr>
        <w:t>in Study</w:t>
      </w:r>
      <w:r w:rsidRPr="00865AF5">
        <w:t xml:space="preserve"> </w:t>
      </w:r>
      <w:r w:rsidRPr="00865AF5">
        <w:rPr>
          <w:rFonts w:hint="eastAsia"/>
        </w:rPr>
        <w:t xml:space="preserve">CC-4047-MM-003, in the </w:t>
      </w:r>
      <w:r w:rsidR="00EF1844">
        <w:t xml:space="preserve">pomalidomide </w:t>
      </w:r>
      <w:r w:rsidR="00EF1844" w:rsidRPr="0070026C">
        <w:t>+</w:t>
      </w:r>
      <w:r w:rsidR="00EF1844" w:rsidRPr="00C2201E">
        <w:t xml:space="preserve"> </w:t>
      </w:r>
      <w:r w:rsidR="00EF1844">
        <w:t>LD dexamethasone</w:t>
      </w:r>
      <w:r w:rsidR="00EF1844" w:rsidRPr="007973B1">
        <w:t xml:space="preserve"> </w:t>
      </w:r>
      <w:r w:rsidRPr="00865AF5">
        <w:rPr>
          <w:rFonts w:hint="eastAsia"/>
        </w:rPr>
        <w:t>arm</w:t>
      </w:r>
      <w:r w:rsidRPr="00865AF5">
        <w:t xml:space="preserve"> was </w:t>
      </w:r>
      <w:r w:rsidRPr="00865AF5">
        <w:rPr>
          <w:rFonts w:hint="eastAsia"/>
        </w:rPr>
        <w:t>lower</w:t>
      </w:r>
      <w:r w:rsidRPr="00865AF5">
        <w:t xml:space="preserve"> </w:t>
      </w:r>
      <w:r w:rsidRPr="00865AF5">
        <w:rPr>
          <w:rFonts w:hint="eastAsia"/>
        </w:rPr>
        <w:t xml:space="preserve">than that of </w:t>
      </w:r>
      <w:r w:rsidR="00F545C1">
        <w:t>S</w:t>
      </w:r>
      <w:r w:rsidRPr="00865AF5">
        <w:rPr>
          <w:rFonts w:hint="eastAsia"/>
        </w:rPr>
        <w:t xml:space="preserve">tudy CC-4047-MM-002 and IFM-2009-02, although </w:t>
      </w:r>
      <w:r w:rsidR="00B27F60">
        <w:t>RR</w:t>
      </w:r>
      <w:r w:rsidRPr="00865AF5">
        <w:rPr>
          <w:rFonts w:hint="eastAsia"/>
        </w:rPr>
        <w:t xml:space="preserve"> was still</w:t>
      </w:r>
      <w:r w:rsidRPr="00865AF5">
        <w:t xml:space="preserve"> </w:t>
      </w:r>
      <w:r w:rsidRPr="00865AF5">
        <w:rPr>
          <w:rFonts w:hint="eastAsia"/>
        </w:rPr>
        <w:t xml:space="preserve">significantly higher than that of the </w:t>
      </w:r>
      <w:r w:rsidR="00EF1844">
        <w:t>HD dexamethasone</w:t>
      </w:r>
      <w:r w:rsidR="00EF1844" w:rsidRPr="007973B1">
        <w:t xml:space="preserve"> </w:t>
      </w:r>
      <w:r w:rsidRPr="00865AF5">
        <w:rPr>
          <w:rFonts w:hint="eastAsia"/>
        </w:rPr>
        <w:t>arm (3.9%)</w:t>
      </w:r>
      <w:r w:rsidRPr="00865AF5">
        <w:t>.</w:t>
      </w:r>
    </w:p>
    <w:p w:rsidR="008D6D5D" w:rsidRPr="0086188E" w:rsidRDefault="0022331C" w:rsidP="004A033E">
      <w:pPr>
        <w:pStyle w:val="Heading5"/>
      </w:pPr>
      <w:r>
        <w:t>Efficacy s</w:t>
      </w:r>
      <w:r w:rsidR="008D6D5D" w:rsidRPr="0086188E">
        <w:t>ummary</w:t>
      </w:r>
    </w:p>
    <w:p w:rsidR="008D6D5D" w:rsidRPr="00865AF5" w:rsidRDefault="008D6D5D" w:rsidP="004A033E">
      <w:r w:rsidRPr="00865AF5">
        <w:t>In the pivotal t</w:t>
      </w:r>
      <w:r w:rsidR="0022331C">
        <w:t xml:space="preserve">rial, </w:t>
      </w:r>
      <w:r w:rsidR="00EF1844">
        <w:t xml:space="preserve">pomalidomide </w:t>
      </w:r>
      <w:r w:rsidR="00EF1844" w:rsidRPr="0070026C">
        <w:t>+</w:t>
      </w:r>
      <w:r w:rsidR="00EF1844" w:rsidRPr="00C2201E">
        <w:t xml:space="preserve"> </w:t>
      </w:r>
      <w:r w:rsidR="00EF1844">
        <w:t>LD dexamethasone</w:t>
      </w:r>
      <w:r w:rsidR="00EF1844" w:rsidRPr="007973B1">
        <w:t xml:space="preserve"> </w:t>
      </w:r>
      <w:r w:rsidRPr="00865AF5">
        <w:t xml:space="preserve">significantly increased both the PFS and OS of patients with </w:t>
      </w:r>
      <w:r w:rsidR="00B639BE">
        <w:t>MM</w:t>
      </w:r>
      <w:r w:rsidRPr="00865AF5">
        <w:t xml:space="preserve"> who had failed at least two prior therapies including lenalidomide and bortezomib.</w:t>
      </w:r>
      <w:r w:rsidR="006813F9">
        <w:t xml:space="preserve"> </w:t>
      </w:r>
      <w:r w:rsidRPr="00865AF5">
        <w:t xml:space="preserve">The inclusion criteria </w:t>
      </w:r>
      <w:r w:rsidR="00B27F60">
        <w:t>for the Phase II and III trials</w:t>
      </w:r>
      <w:r w:rsidRPr="00865AF5">
        <w:t xml:space="preserve"> specified bortezomib as the prior treatment, and only 7 patients (0.02%) had received a different pro</w:t>
      </w:r>
      <w:r w:rsidR="00EA5F17">
        <w:t>teasome inhibitor (carfilzomib);</w:t>
      </w:r>
      <w:r w:rsidRPr="00865AF5">
        <w:t xml:space="preserve"> therefore</w:t>
      </w:r>
      <w:r w:rsidR="00EA5F17">
        <w:t>,</w:t>
      </w:r>
      <w:r w:rsidRPr="00865AF5">
        <w:t xml:space="preserve"> the Delegate is in agreement with the </w:t>
      </w:r>
      <w:r w:rsidR="00B27F60">
        <w:t>c</w:t>
      </w:r>
      <w:r w:rsidRPr="00865AF5">
        <w:t xml:space="preserve">linical </w:t>
      </w:r>
      <w:r w:rsidR="00B27F60">
        <w:t>e</w:t>
      </w:r>
      <w:r w:rsidRPr="00865AF5">
        <w:t xml:space="preserve">valuator that the proposed indication needs to be modified to state bortezomib rather than </w:t>
      </w:r>
      <w:r w:rsidR="00C80F42">
        <w:t>‘</w:t>
      </w:r>
      <w:r w:rsidRPr="00865AF5">
        <w:t>a proteasome inhibitor</w:t>
      </w:r>
      <w:r w:rsidR="00C80F42">
        <w:t>’</w:t>
      </w:r>
      <w:r w:rsidRPr="00865AF5">
        <w:t>. It is also noted that this modified indication is that approved by the other regulatory agencies mentioned above.</w:t>
      </w:r>
    </w:p>
    <w:p w:rsidR="008D6D5D" w:rsidRPr="00865AF5" w:rsidRDefault="008D6D5D" w:rsidP="004A033E">
      <w:r w:rsidRPr="00865AF5">
        <w:t xml:space="preserve">The combination of </w:t>
      </w:r>
      <w:r w:rsidR="00065B76">
        <w:t xml:space="preserve">pomalidomide </w:t>
      </w:r>
      <w:r w:rsidR="00065B76" w:rsidRPr="0070026C">
        <w:t>+</w:t>
      </w:r>
      <w:r w:rsidR="00065B76" w:rsidRPr="00C2201E">
        <w:t xml:space="preserve"> </w:t>
      </w:r>
      <w:r w:rsidR="00065B76">
        <w:t>LD dexamethasone</w:t>
      </w:r>
      <w:r w:rsidR="00065B76" w:rsidRPr="00865AF5">
        <w:t xml:space="preserve"> </w:t>
      </w:r>
      <w:r w:rsidRPr="00865AF5">
        <w:t xml:space="preserve">resulted in a clinically significant improvement of 7.7 weeks in PFS, of more than 12 weeks in OS (20 weeks in the </w:t>
      </w:r>
      <w:r w:rsidR="007C1DDD">
        <w:t>updated analysis), and 12.7% in</w:t>
      </w:r>
      <w:r w:rsidRPr="00865AF5">
        <w:t xml:space="preserve"> </w:t>
      </w:r>
      <w:r w:rsidR="00166F24">
        <w:t>RR</w:t>
      </w:r>
      <w:r w:rsidRPr="00865AF5">
        <w:t>.</w:t>
      </w:r>
      <w:r w:rsidR="006813F9">
        <w:t xml:space="preserve"> </w:t>
      </w:r>
      <w:r w:rsidRPr="00865AF5">
        <w:t>The positive effects were shown in most subgroups, but one subgroup with an adequate number of subjects was those with poor renal function (CrCl &lt;45ml/min) where there was no significant improvement in PFS or OS, but these patients met the exclusion criteria.</w:t>
      </w:r>
    </w:p>
    <w:p w:rsidR="008D6D5D" w:rsidRPr="00865AF5" w:rsidRDefault="008D6D5D" w:rsidP="004A033E">
      <w:r w:rsidRPr="00865AF5">
        <w:t xml:space="preserve">The Delegate agrees with the </w:t>
      </w:r>
      <w:r w:rsidR="00DC74AA">
        <w:t>c</w:t>
      </w:r>
      <w:r w:rsidRPr="00865AF5">
        <w:t xml:space="preserve">linical </w:t>
      </w:r>
      <w:r w:rsidR="00DC74AA">
        <w:t>e</w:t>
      </w:r>
      <w:r w:rsidRPr="00865AF5">
        <w:t>valua</w:t>
      </w:r>
      <w:r w:rsidR="00065B76">
        <w:t xml:space="preserve">tor that the contribution of LD </w:t>
      </w:r>
      <w:r w:rsidRPr="00865AF5">
        <w:t xml:space="preserve">dexamethasone to the combination of </w:t>
      </w:r>
      <w:r w:rsidR="00065B76">
        <w:t xml:space="preserve">pomalidomide </w:t>
      </w:r>
      <w:r w:rsidR="00065B76" w:rsidRPr="0070026C">
        <w:t>+</w:t>
      </w:r>
      <w:r w:rsidR="00065B76" w:rsidRPr="00C2201E">
        <w:t xml:space="preserve"> </w:t>
      </w:r>
      <w:r w:rsidR="00065B76">
        <w:t>LD dexamethasone</w:t>
      </w:r>
      <w:r w:rsidR="00065B76" w:rsidRPr="00865AF5">
        <w:t xml:space="preserve"> </w:t>
      </w:r>
      <w:r w:rsidRPr="00865AF5">
        <w:t xml:space="preserve">remains uncertain in this population of patients. Only </w:t>
      </w:r>
      <w:r w:rsidR="00DC74AA">
        <w:t xml:space="preserve">Study </w:t>
      </w:r>
      <w:r w:rsidRPr="00865AF5">
        <w:t xml:space="preserve">CC-4047-MM-002 examined this effect and showed a small clinical benefit of adding dexamethasone with an increase of 4.6 weeks in the PFS in the </w:t>
      </w:r>
      <w:r w:rsidR="004566B9">
        <w:t>pomalidomide + dexamethasone</w:t>
      </w:r>
      <w:r w:rsidR="004566B9" w:rsidRPr="00865AF5">
        <w:t xml:space="preserve"> </w:t>
      </w:r>
      <w:r w:rsidRPr="00865AF5">
        <w:t xml:space="preserve">arm (16.6 weeks) compared to the </w:t>
      </w:r>
      <w:r w:rsidR="00BE03E5">
        <w:t xml:space="preserve">pomalidomide </w:t>
      </w:r>
      <w:r w:rsidRPr="00865AF5">
        <w:t>arm (12 weeks) before dexamethasone was added to Arm B, and 6.6 weeks a</w:t>
      </w:r>
      <w:r w:rsidR="00DC74AA">
        <w:t>fter the addition (16.6 weeks compared with</w:t>
      </w:r>
      <w:r w:rsidRPr="00865AF5">
        <w:t xml:space="preserve"> 10 weeks PFS). However</w:t>
      </w:r>
      <w:r w:rsidR="00DC74AA">
        <w:t>,</w:t>
      </w:r>
      <w:r w:rsidRPr="00865AF5">
        <w:t xml:space="preserve"> the OS was the same in each arm, and the addition of dexamethasone to the pomalidomide treatment in the pomalidomide alone arm did </w:t>
      </w:r>
      <w:r w:rsidR="004A033E">
        <w:t>not increase the response rate.</w:t>
      </w:r>
    </w:p>
    <w:p w:rsidR="008D6D5D" w:rsidRPr="00865AF5" w:rsidRDefault="008D6D5D" w:rsidP="004A033E">
      <w:r w:rsidRPr="00865AF5">
        <w:t>Despite being stat</w:t>
      </w:r>
      <w:r w:rsidR="004566B9">
        <w:t>ed in the p</w:t>
      </w:r>
      <w:r w:rsidRPr="00865AF5">
        <w:t>rotocol, there w</w:t>
      </w:r>
      <w:r w:rsidR="00293D60">
        <w:t>as</w:t>
      </w:r>
      <w:r w:rsidRPr="00865AF5">
        <w:t xml:space="preserve"> no quality of life data included. Given this is a palliative treatment, it is important to establish that there is no loss of quality of life with the treatment. The </w:t>
      </w:r>
      <w:r w:rsidR="00293D60">
        <w:t>s</w:t>
      </w:r>
      <w:r w:rsidRPr="00865AF5">
        <w:t>ponsor has been asked to address this in the pre</w:t>
      </w:r>
      <w:r w:rsidR="00293D60">
        <w:t xml:space="preserve"> </w:t>
      </w:r>
      <w:r w:rsidRPr="00865AF5">
        <w:t>ACPM response.</w:t>
      </w:r>
    </w:p>
    <w:p w:rsidR="00923493" w:rsidRDefault="008D6D5D" w:rsidP="004A033E">
      <w:pPr>
        <w:pStyle w:val="Heading4"/>
      </w:pPr>
      <w:r>
        <w:t>Safety</w:t>
      </w:r>
    </w:p>
    <w:p w:rsidR="00352902" w:rsidRPr="00352902" w:rsidRDefault="00352902" w:rsidP="004A033E">
      <w:r w:rsidRPr="00352902">
        <w:t>Safety was evaluated from 5 trials in the myeloma development program, and the other non-myeloma trials included in the dossier were checked for additional safety sign</w:t>
      </w:r>
      <w:r w:rsidR="004A033E">
        <w:t>als but not formally evaluated.</w:t>
      </w:r>
    </w:p>
    <w:p w:rsidR="00352902" w:rsidRPr="00352902" w:rsidRDefault="00352902" w:rsidP="002E7EAE">
      <w:pPr>
        <w:pStyle w:val="ListBullet"/>
      </w:pPr>
      <w:r w:rsidRPr="00352902">
        <w:t xml:space="preserve">The </w:t>
      </w:r>
      <w:r w:rsidRPr="002E7EAE">
        <w:t>classification</w:t>
      </w:r>
      <w:r w:rsidRPr="00352902">
        <w:t xml:space="preserve"> of the </w:t>
      </w:r>
      <w:r w:rsidR="00293D60">
        <w:t>AEs</w:t>
      </w:r>
      <w:r w:rsidR="004A033E">
        <w:t xml:space="preserve"> is described.</w:t>
      </w:r>
    </w:p>
    <w:p w:rsidR="00352902" w:rsidRPr="00352902" w:rsidRDefault="00352902" w:rsidP="004A033E">
      <w:r w:rsidRPr="00352902">
        <w:t xml:space="preserve">The total numbers of subjects exposed to pomalidomide in the MM studies providing safety data in this review are shown in Table </w:t>
      </w:r>
      <w:r w:rsidR="00512BD0">
        <w:t>9</w:t>
      </w:r>
      <w:r w:rsidRPr="00352902">
        <w:t xml:space="preserve"> by pomalidomide dose.</w:t>
      </w:r>
    </w:p>
    <w:p w:rsidR="00422BB0" w:rsidRDefault="00422BB0" w:rsidP="004A033E">
      <w:pPr>
        <w:pStyle w:val="TableTitle"/>
      </w:pPr>
      <w:r>
        <w:lastRenderedPageBreak/>
        <w:t xml:space="preserve">Table </w:t>
      </w:r>
      <w:r w:rsidR="00512BD0">
        <w:t>9</w:t>
      </w:r>
      <w:r>
        <w:t>:</w:t>
      </w:r>
      <w:r w:rsidRPr="004C5C28">
        <w:t xml:space="preserve"> </w:t>
      </w:r>
      <w:r w:rsidR="00707D1E">
        <w:t xml:space="preserve">Number of </w:t>
      </w:r>
      <w:r w:rsidR="00B47FDC">
        <w:t>s</w:t>
      </w:r>
      <w:r w:rsidR="00707D1E">
        <w:t xml:space="preserve">ubjects </w:t>
      </w:r>
      <w:r w:rsidR="00B47FDC">
        <w:t>e</w:t>
      </w:r>
      <w:r w:rsidR="00707D1E">
        <w:t xml:space="preserve">xposed in </w:t>
      </w:r>
      <w:r w:rsidR="00B639BE">
        <w:t>MM</w:t>
      </w:r>
      <w:r w:rsidR="00707D1E">
        <w:t xml:space="preserve"> </w:t>
      </w:r>
      <w:r w:rsidR="00B47FDC">
        <w:t>s</w:t>
      </w:r>
      <w:r w:rsidR="00707D1E">
        <w:t xml:space="preserve">tudies by </w:t>
      </w:r>
      <w:r w:rsidR="00B47FDC">
        <w:t>p</w:t>
      </w:r>
      <w:r w:rsidR="00707D1E">
        <w:t xml:space="preserve">omalidomide </w:t>
      </w:r>
      <w:r w:rsidR="00B47FDC">
        <w:t>s</w:t>
      </w:r>
      <w:r w:rsidR="00707D1E">
        <w:t xml:space="preserve">tarting </w:t>
      </w:r>
      <w:r w:rsidR="00B47FDC">
        <w:t>d</w:t>
      </w:r>
      <w:r w:rsidR="00707D1E">
        <w:t>ose (Safety Population)</w:t>
      </w:r>
      <w:r>
        <w:rPr>
          <w:lang w:eastAsia="en-AU"/>
        </w:rPr>
        <w:t>.</w:t>
      </w:r>
    </w:p>
    <w:p w:rsidR="008D6D5D" w:rsidRDefault="00D41715" w:rsidP="004A033E">
      <w:r>
        <w:rPr>
          <w:noProof/>
          <w:lang w:eastAsia="en-AU"/>
        </w:rPr>
        <w:drawing>
          <wp:inline distT="0" distB="0" distL="0" distR="0" wp14:anchorId="51313A1E" wp14:editId="688F8496">
            <wp:extent cx="5397500" cy="1028700"/>
            <wp:effectExtent l="0" t="0" r="0" b="0"/>
            <wp:docPr id="7" name="Picture 7" descr="Table 9: Number of subjects exposed in MM studies by pomalidomide starting dos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9: Number of subjects exposed in MM studies by pomalidomide starting dose (Safety Popul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7500" cy="1028700"/>
                    </a:xfrm>
                    <a:prstGeom prst="rect">
                      <a:avLst/>
                    </a:prstGeom>
                    <a:noFill/>
                    <a:ln>
                      <a:noFill/>
                    </a:ln>
                  </pic:spPr>
                </pic:pic>
              </a:graphicData>
            </a:graphic>
          </wp:inline>
        </w:drawing>
      </w:r>
    </w:p>
    <w:p w:rsidR="00585A06" w:rsidRDefault="00585A06" w:rsidP="0041754F">
      <w:pPr>
        <w:pStyle w:val="Heading5"/>
      </w:pPr>
      <w:r>
        <w:t>Pivotal Study CC-4047-MM-003</w:t>
      </w:r>
    </w:p>
    <w:p w:rsidR="00585A06" w:rsidRDefault="00585A06" w:rsidP="0041754F">
      <w:pPr>
        <w:rPr>
          <w:rFonts w:cs="Cambria"/>
        </w:rPr>
      </w:pPr>
      <w:r>
        <w:rPr>
          <w:lang w:val="en-US"/>
        </w:rPr>
        <w:t xml:space="preserve">The median duration of treatment in the </w:t>
      </w:r>
      <w:r w:rsidR="006C5846">
        <w:t xml:space="preserve">pomalidomide </w:t>
      </w:r>
      <w:r w:rsidR="006C5846" w:rsidRPr="0070026C">
        <w:t>+</w:t>
      </w:r>
      <w:r w:rsidR="006C5846" w:rsidRPr="00C2201E">
        <w:t xml:space="preserve"> </w:t>
      </w:r>
      <w:r w:rsidR="006C5846">
        <w:t>LD dexamethasone</w:t>
      </w:r>
      <w:r w:rsidR="006C5846">
        <w:rPr>
          <w:lang w:val="en-US"/>
        </w:rPr>
        <w:t xml:space="preserve"> </w:t>
      </w:r>
      <w:r>
        <w:rPr>
          <w:lang w:val="en-US"/>
        </w:rPr>
        <w:t>arm was 12.4 weeks c</w:t>
      </w:r>
      <w:r w:rsidR="00EF5B5D">
        <w:rPr>
          <w:lang w:val="en-US"/>
        </w:rPr>
        <w:t>ompared with</w:t>
      </w:r>
      <w:r>
        <w:rPr>
          <w:lang w:val="en-US"/>
        </w:rPr>
        <w:t xml:space="preserve"> 8 weeks in the </w:t>
      </w:r>
      <w:r w:rsidR="006C5846">
        <w:t>HD dexamethasone</w:t>
      </w:r>
      <w:r>
        <w:rPr>
          <w:lang w:val="en-US"/>
        </w:rPr>
        <w:t xml:space="preserve">, and the median number of treatment cycles was 3.0 in the </w:t>
      </w:r>
      <w:r w:rsidR="006C5846">
        <w:t xml:space="preserve">pomalidomide </w:t>
      </w:r>
      <w:r w:rsidR="006C5846" w:rsidRPr="0070026C">
        <w:t>+</w:t>
      </w:r>
      <w:r w:rsidR="006C5846" w:rsidRPr="00C2201E">
        <w:t xml:space="preserve"> </w:t>
      </w:r>
      <w:r w:rsidR="006C5846">
        <w:t>LD dexamethasone</w:t>
      </w:r>
      <w:r w:rsidR="006C5846">
        <w:rPr>
          <w:lang w:val="en-US"/>
        </w:rPr>
        <w:t xml:space="preserve"> </w:t>
      </w:r>
      <w:r>
        <w:rPr>
          <w:lang w:val="en-US"/>
        </w:rPr>
        <w:t xml:space="preserve">arm (range 1-16 cycles) and 2.0 in the </w:t>
      </w:r>
      <w:r w:rsidR="008912BA">
        <w:t>HD dexamethasone</w:t>
      </w:r>
      <w:r w:rsidR="008912BA">
        <w:rPr>
          <w:lang w:val="en-US"/>
        </w:rPr>
        <w:t xml:space="preserve"> </w:t>
      </w:r>
      <w:r>
        <w:rPr>
          <w:lang w:val="en-US"/>
        </w:rPr>
        <w:t xml:space="preserve">arm (min, max: 1, 12 cycles) due to the lower rate of discontinuation from treatment seen in the </w:t>
      </w:r>
      <w:r w:rsidR="006C5846">
        <w:t xml:space="preserve">pomalidomide </w:t>
      </w:r>
      <w:r w:rsidR="006C5846" w:rsidRPr="0070026C">
        <w:t>+</w:t>
      </w:r>
      <w:r w:rsidR="006C5846" w:rsidRPr="00C2201E">
        <w:t xml:space="preserve"> </w:t>
      </w:r>
      <w:r w:rsidR="006C5846">
        <w:t>LD dexamethasone</w:t>
      </w:r>
      <w:r w:rsidR="006C5846">
        <w:rPr>
          <w:lang w:val="en-US"/>
        </w:rPr>
        <w:t xml:space="preserve"> </w:t>
      </w:r>
      <w:r>
        <w:rPr>
          <w:lang w:val="en-US"/>
        </w:rPr>
        <w:t>arm.</w:t>
      </w:r>
    </w:p>
    <w:p w:rsidR="00585A06" w:rsidRDefault="00585A06" w:rsidP="0041754F">
      <w:pPr>
        <w:rPr>
          <w:rFonts w:eastAsia="TimesNewRoman"/>
          <w:lang w:val="en-US"/>
        </w:rPr>
      </w:pPr>
      <w:r>
        <w:rPr>
          <w:rFonts w:eastAsia="TimesNewRoman"/>
          <w:lang w:val="en-US"/>
        </w:rPr>
        <w:t xml:space="preserve">In the </w:t>
      </w:r>
      <w:r w:rsidR="006C5846">
        <w:t xml:space="preserve">pomalidomide </w:t>
      </w:r>
      <w:r w:rsidR="006C5846" w:rsidRPr="0070026C">
        <w:t>+</w:t>
      </w:r>
      <w:r w:rsidR="006C5846" w:rsidRPr="00C2201E">
        <w:t xml:space="preserve"> </w:t>
      </w:r>
      <w:r w:rsidR="006C5846">
        <w:t>LD dexamethasone</w:t>
      </w:r>
      <w:r w:rsidR="006C5846">
        <w:rPr>
          <w:rFonts w:eastAsia="TimesNewRoman"/>
          <w:lang w:val="en-US"/>
        </w:rPr>
        <w:t xml:space="preserve"> </w:t>
      </w:r>
      <w:r>
        <w:rPr>
          <w:rFonts w:eastAsia="TimesNewRoman"/>
          <w:lang w:val="en-US"/>
        </w:rPr>
        <w:t>arm:</w:t>
      </w:r>
    </w:p>
    <w:p w:rsidR="00585A06" w:rsidRPr="002E7EAE" w:rsidRDefault="00585A06" w:rsidP="002E7EAE">
      <w:pPr>
        <w:pStyle w:val="ListBullet"/>
      </w:pPr>
      <w:r w:rsidRPr="002E7EAE">
        <w:t xml:space="preserve">24% required at least 1 pomalidomide dose reduction </w:t>
      </w:r>
    </w:p>
    <w:p w:rsidR="00585A06" w:rsidRPr="002E7EAE" w:rsidRDefault="00585A06" w:rsidP="002E7EAE">
      <w:pPr>
        <w:pStyle w:val="ListBullet"/>
      </w:pPr>
      <w:r w:rsidRPr="002E7EAE">
        <w:t>16.7% required at least 1</w:t>
      </w:r>
      <w:r w:rsidR="00820691" w:rsidRPr="002E7EAE">
        <w:t xml:space="preserve"> dexamethasone dose reduction compared with</w:t>
      </w:r>
      <w:r w:rsidRPr="002E7EAE">
        <w:t xml:space="preserve"> 26.2% in the higher dose comparator arm</w:t>
      </w:r>
    </w:p>
    <w:p w:rsidR="00585A06" w:rsidRPr="002E7EAE" w:rsidRDefault="00585A06" w:rsidP="002E7EAE">
      <w:pPr>
        <w:pStyle w:val="ListBullet"/>
      </w:pPr>
      <w:r w:rsidRPr="002E7EAE">
        <w:t>58% of subjects required at least 1 pomalidomide dose interruption, mostly due to neutropenia (45.3% incidence); median number of dose interruptions per subject was 2 (min, max: 1 to 14); median time to the first interrupt</w:t>
      </w:r>
      <w:r w:rsidR="007D3544" w:rsidRPr="002E7EAE">
        <w:t>ion was 29 days (range: 2-</w:t>
      </w:r>
      <w:r w:rsidR="0041754F" w:rsidRPr="002E7EAE">
        <w:t>253 days)).</w:t>
      </w:r>
    </w:p>
    <w:p w:rsidR="00585A06" w:rsidRPr="00585A06" w:rsidRDefault="00585A06" w:rsidP="002E7EAE">
      <w:pPr>
        <w:pStyle w:val="ListBullet"/>
      </w:pPr>
      <w:r w:rsidRPr="002E7EAE">
        <w:t>37% required a dose i</w:t>
      </w:r>
      <w:r w:rsidR="00820691" w:rsidRPr="002E7EAE">
        <w:t>nterruption for dexamethasone compared with</w:t>
      </w:r>
      <w:r w:rsidRPr="002E7EAE">
        <w:t xml:space="preserve"> 22.1% in comparator</w:t>
      </w:r>
      <w:r w:rsidRPr="00585A06">
        <w:t xml:space="preserve"> </w:t>
      </w:r>
      <w:r w:rsidR="00CB01DA">
        <w:t>HD</w:t>
      </w:r>
      <w:r w:rsidRPr="00585A06">
        <w:t xml:space="preserve"> arm</w:t>
      </w:r>
    </w:p>
    <w:p w:rsidR="00585A06" w:rsidRPr="00A623B4" w:rsidRDefault="00585A06" w:rsidP="002E7EAE">
      <w:pPr>
        <w:ind w:left="426"/>
        <w:rPr>
          <w:i/>
        </w:rPr>
      </w:pPr>
      <w:r w:rsidRPr="00A623B4">
        <w:rPr>
          <w:i/>
        </w:rPr>
        <w:t>Comment: the higher rates of dexamethasone dose interruption likely reflect the greater toxicity of the combined treatment arm and need to discontinue all treatment to allow recovery rather than dexamethasone toxicity per se.</w:t>
      </w:r>
    </w:p>
    <w:p w:rsidR="00585A06" w:rsidRDefault="0005263F" w:rsidP="0041754F">
      <w:pPr>
        <w:pStyle w:val="Heading5"/>
        <w:rPr>
          <w:rFonts w:eastAsia="TimesNewRoman"/>
          <w:lang w:val="en-US"/>
        </w:rPr>
      </w:pPr>
      <w:r>
        <w:rPr>
          <w:rFonts w:eastAsia="TimesNewRoman"/>
          <w:lang w:val="en-US"/>
        </w:rPr>
        <w:t>Study CC-4047-002 Phase II</w:t>
      </w:r>
    </w:p>
    <w:p w:rsidR="00585A06" w:rsidRDefault="00795C2D" w:rsidP="0041754F">
      <w:r>
        <w:rPr>
          <w:lang w:val="en-US"/>
        </w:rPr>
        <w:t xml:space="preserve">A total of </w:t>
      </w:r>
      <w:r w:rsidR="00585A06">
        <w:rPr>
          <w:lang w:val="en-US"/>
        </w:rPr>
        <w:t xml:space="preserve">27.4 % of all subjects required a dose reduction, with a similar rate in the </w:t>
      </w:r>
      <w:r w:rsidR="00BE03E5">
        <w:rPr>
          <w:lang w:val="en-US"/>
        </w:rPr>
        <w:t xml:space="preserve">pomalidomide </w:t>
      </w:r>
      <w:r w:rsidR="00585A06">
        <w:rPr>
          <w:lang w:val="en-US"/>
        </w:rPr>
        <w:t xml:space="preserve">+ </w:t>
      </w:r>
      <w:r w:rsidR="007D3544">
        <w:t>dexamethasone</w:t>
      </w:r>
      <w:r w:rsidR="00585A06">
        <w:rPr>
          <w:lang w:val="en-US"/>
        </w:rPr>
        <w:t xml:space="preserve"> arm (23.2%) and the pomalidomide arm (31.2%).</w:t>
      </w:r>
    </w:p>
    <w:p w:rsidR="00585A06" w:rsidRDefault="00585A06" w:rsidP="0041754F">
      <w:pPr>
        <w:pStyle w:val="Heading5"/>
        <w:rPr>
          <w:rFonts w:eastAsia="TimesNewRoman"/>
          <w:lang w:val="en-US"/>
        </w:rPr>
      </w:pPr>
      <w:r>
        <w:rPr>
          <w:rFonts w:eastAsia="TimesNewRoman"/>
        </w:rPr>
        <w:t>Study IFM-2009-02</w:t>
      </w:r>
    </w:p>
    <w:p w:rsidR="00585A06" w:rsidRDefault="00585A06" w:rsidP="0041754F">
      <w:pPr>
        <w:rPr>
          <w:rFonts w:cs="Cambria"/>
          <w:b/>
          <w:bCs/>
        </w:rPr>
      </w:pPr>
      <w:r>
        <w:rPr>
          <w:rFonts w:hint="eastAsia"/>
          <w:lang w:val="en-US"/>
        </w:rPr>
        <w:t>Patients remained on treatment for an average of 6 treatment cycles</w:t>
      </w:r>
      <w:r>
        <w:rPr>
          <w:lang w:val="en-US"/>
        </w:rPr>
        <w:t xml:space="preserve"> </w:t>
      </w:r>
      <w:r>
        <w:rPr>
          <w:rFonts w:hint="eastAsia"/>
          <w:lang w:val="en-US"/>
        </w:rPr>
        <w:t>overall</w:t>
      </w:r>
      <w:r>
        <w:rPr>
          <w:lang w:val="en-US"/>
        </w:rPr>
        <w:t>, with more dose reductions required in the less intense 21/28 treatment arm (</w:t>
      </w:r>
      <w:r>
        <w:rPr>
          <w:rFonts w:hint="eastAsia"/>
          <w:lang w:val="en-US"/>
        </w:rPr>
        <w:t>44%</w:t>
      </w:r>
      <w:r w:rsidR="00C80F42">
        <w:rPr>
          <w:lang w:val="en-US"/>
        </w:rPr>
        <w:t xml:space="preserve"> compared </w:t>
      </w:r>
      <w:proofErr w:type="gramStart"/>
      <w:r w:rsidR="00C80F42">
        <w:rPr>
          <w:lang w:val="en-US"/>
        </w:rPr>
        <w:t xml:space="preserve">to </w:t>
      </w:r>
      <w:r>
        <w:rPr>
          <w:rFonts w:hint="eastAsia"/>
          <w:lang w:val="en-US"/>
        </w:rPr>
        <w:t xml:space="preserve"> 34</w:t>
      </w:r>
      <w:proofErr w:type="gramEnd"/>
      <w:r>
        <w:rPr>
          <w:rFonts w:hint="eastAsia"/>
          <w:lang w:val="en-US"/>
        </w:rPr>
        <w:t>%)</w:t>
      </w:r>
      <w:r>
        <w:rPr>
          <w:lang w:val="en-US"/>
        </w:rPr>
        <w:t>.</w:t>
      </w:r>
    </w:p>
    <w:p w:rsidR="00585A06" w:rsidRPr="00AB32E6" w:rsidRDefault="00585A06" w:rsidP="0041754F">
      <w:pPr>
        <w:pStyle w:val="Heading5"/>
      </w:pPr>
      <w:bookmarkStart w:id="168" w:name="_Toc241374319"/>
      <w:bookmarkStart w:id="169" w:name="_Ref271044764"/>
      <w:bookmarkStart w:id="170" w:name="_Toc272414663"/>
      <w:bookmarkStart w:id="171" w:name="_Toc290846301"/>
      <w:bookmarkStart w:id="172" w:name="_Toc290888838"/>
      <w:bookmarkStart w:id="173" w:name="_Toc371611821"/>
      <w:bookmarkStart w:id="174" w:name="_Toc371612403"/>
      <w:bookmarkStart w:id="175" w:name="_Toc371612667"/>
      <w:bookmarkStart w:id="176" w:name="_Toc371613196"/>
      <w:r w:rsidRPr="00AB32E6">
        <w:t>Adverse events</w:t>
      </w:r>
      <w:bookmarkEnd w:id="168"/>
      <w:bookmarkEnd w:id="169"/>
      <w:bookmarkEnd w:id="170"/>
      <w:bookmarkEnd w:id="171"/>
      <w:bookmarkEnd w:id="172"/>
      <w:bookmarkEnd w:id="173"/>
      <w:bookmarkEnd w:id="174"/>
      <w:bookmarkEnd w:id="175"/>
      <w:bookmarkEnd w:id="176"/>
    </w:p>
    <w:p w:rsidR="00585A06" w:rsidRPr="00E52F6D" w:rsidRDefault="00585A06" w:rsidP="0041754F">
      <w:pPr>
        <w:pStyle w:val="Heading6"/>
      </w:pPr>
      <w:bookmarkStart w:id="177" w:name="_Toc371611823"/>
      <w:bookmarkStart w:id="178" w:name="_Toc371612405"/>
      <w:bookmarkStart w:id="179" w:name="_Toc371612669"/>
      <w:bookmarkStart w:id="180" w:name="_Toc371613198"/>
      <w:r w:rsidRPr="00E52F6D">
        <w:t>Pivotal stud</w:t>
      </w:r>
      <w:bookmarkEnd w:id="177"/>
      <w:bookmarkEnd w:id="178"/>
      <w:bookmarkEnd w:id="179"/>
      <w:bookmarkEnd w:id="180"/>
      <w:r>
        <w:t>y</w:t>
      </w:r>
    </w:p>
    <w:p w:rsidR="00585A06" w:rsidRPr="00AB32E6" w:rsidRDefault="00585A06" w:rsidP="0041754F">
      <w:r w:rsidRPr="00AB32E6">
        <w:t xml:space="preserve">More subjects in the </w:t>
      </w:r>
      <w:r w:rsidR="00B96A79">
        <w:t xml:space="preserve">pomalidomide </w:t>
      </w:r>
      <w:r w:rsidR="00B96A79" w:rsidRPr="0070026C">
        <w:t>+</w:t>
      </w:r>
      <w:r w:rsidR="00B96A79" w:rsidRPr="00C2201E">
        <w:t xml:space="preserve"> </w:t>
      </w:r>
      <w:r w:rsidR="00B96A79">
        <w:t>LD dexamethasone</w:t>
      </w:r>
      <w:r w:rsidR="00B96A79" w:rsidRPr="00865AF5">
        <w:t xml:space="preserve"> </w:t>
      </w:r>
      <w:r w:rsidRPr="00AB32E6">
        <w:t>arm r</w:t>
      </w:r>
      <w:r w:rsidR="00142DEA">
        <w:t>equired discontinuation (9.7% compared with</w:t>
      </w:r>
      <w:r w:rsidRPr="00AB32E6">
        <w:t xml:space="preserve"> 5.4%), dose reductions (23.7% </w:t>
      </w:r>
      <w:r w:rsidR="00142DEA">
        <w:t>compared with</w:t>
      </w:r>
      <w:r w:rsidR="00142DEA" w:rsidRPr="00AB32E6">
        <w:t xml:space="preserve"> </w:t>
      </w:r>
      <w:r w:rsidRPr="00AB32E6">
        <w:t xml:space="preserve">16%) and dose interruptions (61.3% </w:t>
      </w:r>
      <w:r w:rsidR="00142DEA">
        <w:t>compared with</w:t>
      </w:r>
      <w:r w:rsidRPr="00AB32E6">
        <w:t xml:space="preserve"> 50.3%) than the </w:t>
      </w:r>
      <w:r w:rsidR="00142DEA">
        <w:t>HD dexamethasone</w:t>
      </w:r>
      <w:r w:rsidR="00142DEA">
        <w:rPr>
          <w:rFonts w:eastAsia="TimesNewRoman"/>
          <w:lang w:val="en-US"/>
        </w:rPr>
        <w:t xml:space="preserve"> </w:t>
      </w:r>
      <w:r w:rsidRPr="00AB32E6">
        <w:t>arm.</w:t>
      </w:r>
    </w:p>
    <w:p w:rsidR="00585A06" w:rsidRDefault="00585A06" w:rsidP="0041754F">
      <w:pPr>
        <w:rPr>
          <w:lang w:val="en-US"/>
        </w:rPr>
      </w:pPr>
      <w:r w:rsidRPr="004B22E0">
        <w:rPr>
          <w:b/>
          <w:bCs/>
          <w:lang w:val="en-US"/>
        </w:rPr>
        <w:t>Severe TEAEs (Grades 3 and 4):</w:t>
      </w:r>
      <w:r>
        <w:rPr>
          <w:b/>
          <w:bCs/>
          <w:lang w:val="en-US"/>
        </w:rPr>
        <w:t xml:space="preserve"> </w:t>
      </w:r>
      <w:r>
        <w:rPr>
          <w:lang w:val="en-US"/>
        </w:rPr>
        <w:t xml:space="preserve">Similar percentages of subjects in each treatment arm had at least 1 Grade 3/4 TEAE (78.0% of </w:t>
      </w:r>
      <w:r w:rsidR="00B96A79">
        <w:t xml:space="preserve">pomalidomide </w:t>
      </w:r>
      <w:r w:rsidR="00B96A79" w:rsidRPr="0070026C">
        <w:t>+</w:t>
      </w:r>
      <w:r w:rsidR="00B96A79" w:rsidRPr="00C2201E">
        <w:t xml:space="preserve"> </w:t>
      </w:r>
      <w:r w:rsidR="00B96A79">
        <w:t>LD dexamethasone</w:t>
      </w:r>
      <w:r w:rsidR="00B96A79" w:rsidRPr="00865AF5">
        <w:t xml:space="preserve"> </w:t>
      </w:r>
      <w:r>
        <w:rPr>
          <w:lang w:val="en-US"/>
        </w:rPr>
        <w:t xml:space="preserve">subjects and 75.8% of </w:t>
      </w:r>
      <w:r w:rsidR="00E26120">
        <w:t>HD dexamethasone</w:t>
      </w:r>
      <w:r w:rsidR="00E26120">
        <w:rPr>
          <w:lang w:val="en-US"/>
        </w:rPr>
        <w:t xml:space="preserve"> </w:t>
      </w:r>
      <w:r>
        <w:rPr>
          <w:lang w:val="en-US"/>
        </w:rPr>
        <w:t>subjects). Many of thes</w:t>
      </w:r>
      <w:r w:rsidR="00B96A79">
        <w:rPr>
          <w:lang w:val="en-US"/>
        </w:rPr>
        <w:t>e events</w:t>
      </w:r>
      <w:r w:rsidR="00EA5A52" w:rsidRPr="00EA5A52">
        <w:rPr>
          <w:lang w:val="en-US"/>
        </w:rPr>
        <w:t xml:space="preserve"> </w:t>
      </w:r>
      <w:r w:rsidR="00EA5A52">
        <w:rPr>
          <w:lang w:val="en-US"/>
        </w:rPr>
        <w:t>occurred in similar proportions of subjects in the 2 treatment arms</w:t>
      </w:r>
      <w:r w:rsidR="00B96A79">
        <w:rPr>
          <w:lang w:val="en-US"/>
        </w:rPr>
        <w:t xml:space="preserve"> including anaemia and </w:t>
      </w:r>
      <w:r>
        <w:rPr>
          <w:lang w:val="en-US"/>
        </w:rPr>
        <w:t>thrombocyto</w:t>
      </w:r>
      <w:r w:rsidR="00637AA4">
        <w:rPr>
          <w:lang w:val="en-US"/>
        </w:rPr>
        <w:t>penia</w:t>
      </w:r>
      <w:r>
        <w:rPr>
          <w:lang w:val="en-US"/>
        </w:rPr>
        <w:t xml:space="preserve"> (the most frequently occurring Grade 3/4 events).</w:t>
      </w:r>
    </w:p>
    <w:p w:rsidR="00585A06" w:rsidRDefault="00585A06" w:rsidP="0041754F">
      <w:pPr>
        <w:rPr>
          <w:lang w:val="en-US"/>
        </w:rPr>
      </w:pPr>
      <w:r>
        <w:rPr>
          <w:lang w:val="en-US"/>
        </w:rPr>
        <w:lastRenderedPageBreak/>
        <w:t xml:space="preserve">There were predictable increases in </w:t>
      </w:r>
      <w:r w:rsidR="0029788F">
        <w:rPr>
          <w:lang w:val="en-US"/>
        </w:rPr>
        <w:t>AEs</w:t>
      </w:r>
      <w:r>
        <w:rPr>
          <w:lang w:val="en-US"/>
        </w:rPr>
        <w:t xml:space="preserve"> based on </w:t>
      </w:r>
      <w:r w:rsidR="00CA05F5">
        <w:rPr>
          <w:lang w:val="en-US"/>
        </w:rPr>
        <w:t xml:space="preserve">the </w:t>
      </w:r>
      <w:r>
        <w:rPr>
          <w:lang w:val="en-US"/>
        </w:rPr>
        <w:t xml:space="preserve">mechanism of action </w:t>
      </w:r>
      <w:r w:rsidR="00CA05F5">
        <w:rPr>
          <w:lang w:val="en-US"/>
        </w:rPr>
        <w:t xml:space="preserve">of pomalidomide </w:t>
      </w:r>
      <w:r>
        <w:rPr>
          <w:lang w:val="en-US"/>
        </w:rPr>
        <w:t xml:space="preserve">and the differing doses of dexamethasone. In the </w:t>
      </w:r>
      <w:r w:rsidR="003C47DF">
        <w:t xml:space="preserve">pomalidomide </w:t>
      </w:r>
      <w:r w:rsidR="003C47DF" w:rsidRPr="0070026C">
        <w:t>+</w:t>
      </w:r>
      <w:r w:rsidR="003C47DF" w:rsidRPr="00C2201E">
        <w:t xml:space="preserve"> </w:t>
      </w:r>
      <w:r w:rsidR="003C47DF">
        <w:t>LD dexamethasone</w:t>
      </w:r>
      <w:r w:rsidR="003C47DF" w:rsidRPr="00865AF5">
        <w:t xml:space="preserve"> </w:t>
      </w:r>
      <w:r>
        <w:rPr>
          <w:lang w:val="en-US"/>
        </w:rPr>
        <w:t xml:space="preserve">arm, these included Grade 3/4 neutropenia (41.7% </w:t>
      </w:r>
      <w:r w:rsidR="0029788F">
        <w:rPr>
          <w:lang w:val="en-US"/>
        </w:rPr>
        <w:t>versus</w:t>
      </w:r>
      <w:r>
        <w:rPr>
          <w:lang w:val="en-US"/>
        </w:rPr>
        <w:t xml:space="preserve"> 14.8%); Grade 3/4 febrile neutropenia (6.7% </w:t>
      </w:r>
      <w:r w:rsidR="0029788F">
        <w:rPr>
          <w:lang w:val="en-US"/>
        </w:rPr>
        <w:t>versus</w:t>
      </w:r>
      <w:r>
        <w:rPr>
          <w:lang w:val="en-US"/>
        </w:rPr>
        <w:t xml:space="preserve"> 0%); Grade 3/4 bone pain (6.3% </w:t>
      </w:r>
      <w:r w:rsidR="0029788F">
        <w:rPr>
          <w:lang w:val="en-US"/>
        </w:rPr>
        <w:t>versus</w:t>
      </w:r>
      <w:r>
        <w:rPr>
          <w:lang w:val="en-US"/>
        </w:rPr>
        <w:t xml:space="preserve"> 2.7%); neutrophil count decreased (4.0% </w:t>
      </w:r>
      <w:r w:rsidR="0029788F">
        <w:rPr>
          <w:lang w:val="en-US"/>
        </w:rPr>
        <w:t>versus</w:t>
      </w:r>
      <w:r>
        <w:rPr>
          <w:lang w:val="en-US"/>
        </w:rPr>
        <w:t xml:space="preserve"> 0.7%).</w:t>
      </w:r>
    </w:p>
    <w:p w:rsidR="00585A06" w:rsidRDefault="00585A06" w:rsidP="0041754F">
      <w:pPr>
        <w:rPr>
          <w:lang w:val="en-US"/>
        </w:rPr>
      </w:pPr>
      <w:r>
        <w:rPr>
          <w:lang w:val="en-US"/>
        </w:rPr>
        <w:t xml:space="preserve">Events that occurred more frequently in the </w:t>
      </w:r>
      <w:r w:rsidR="00473A5D">
        <w:t>HD dexamethasone</w:t>
      </w:r>
      <w:r w:rsidR="00473A5D" w:rsidRPr="00865AF5">
        <w:t xml:space="preserve"> </w:t>
      </w:r>
      <w:r>
        <w:rPr>
          <w:lang w:val="en-US"/>
        </w:rPr>
        <w:t>arm</w:t>
      </w:r>
      <w:r w:rsidR="003C4CDE">
        <w:rPr>
          <w:lang w:val="en-US"/>
        </w:rPr>
        <w:t xml:space="preserve"> included hyperglycemia (6.7% versus</w:t>
      </w:r>
      <w:r>
        <w:rPr>
          <w:lang w:val="en-US"/>
        </w:rPr>
        <w:t xml:space="preserve"> 3.0%)</w:t>
      </w:r>
      <w:r w:rsidR="00B25D26">
        <w:rPr>
          <w:lang w:val="en-US"/>
        </w:rPr>
        <w:t>,</w:t>
      </w:r>
      <w:r>
        <w:rPr>
          <w:lang w:val="en-US"/>
        </w:rPr>
        <w:t xml:space="preserve"> asthenia (6.0% </w:t>
      </w:r>
      <w:r w:rsidR="003C4CDE">
        <w:rPr>
          <w:lang w:val="en-US"/>
        </w:rPr>
        <w:t>versus</w:t>
      </w:r>
      <w:r>
        <w:rPr>
          <w:lang w:val="en-US"/>
        </w:rPr>
        <w:t xml:space="preserve"> 3.3%) and myopathy (3.4% </w:t>
      </w:r>
      <w:r w:rsidR="003C4CDE">
        <w:rPr>
          <w:lang w:val="en-US"/>
        </w:rPr>
        <w:t>versus</w:t>
      </w:r>
      <w:r w:rsidR="002E7EAE">
        <w:rPr>
          <w:lang w:val="en-US"/>
        </w:rPr>
        <w:t xml:space="preserve"> 0.0%).</w:t>
      </w:r>
    </w:p>
    <w:p w:rsidR="00585A06" w:rsidRPr="004B22E0" w:rsidRDefault="0065402F" w:rsidP="002E7EAE">
      <w:pPr>
        <w:pStyle w:val="Heading6"/>
        <w:rPr>
          <w:rFonts w:eastAsia="TimesNewRoman"/>
        </w:rPr>
      </w:pPr>
      <w:bookmarkStart w:id="181" w:name="_Toc371611826"/>
      <w:bookmarkStart w:id="182" w:name="_Toc371612408"/>
      <w:bookmarkStart w:id="183" w:name="_Toc371612672"/>
      <w:bookmarkStart w:id="184" w:name="_Toc371613201"/>
      <w:r>
        <w:rPr>
          <w:rFonts w:eastAsia="TimesNewRoman"/>
        </w:rPr>
        <w:t>AEs</w:t>
      </w:r>
      <w:r w:rsidR="00585A06" w:rsidRPr="004B22E0">
        <w:rPr>
          <w:rFonts w:eastAsia="TimesNewRoman"/>
        </w:rPr>
        <w:t xml:space="preserve"> of </w:t>
      </w:r>
      <w:r w:rsidR="00DA3336">
        <w:rPr>
          <w:rFonts w:eastAsia="TimesNewRoman"/>
        </w:rPr>
        <w:t>s</w:t>
      </w:r>
      <w:r w:rsidR="00585A06" w:rsidRPr="004B22E0">
        <w:rPr>
          <w:rFonts w:eastAsia="TimesNewRoman"/>
        </w:rPr>
        <w:t xml:space="preserve">pecial </w:t>
      </w:r>
      <w:r w:rsidR="00DA3336" w:rsidRPr="002E7EAE">
        <w:rPr>
          <w:rFonts w:eastAsia="TimesNewRoman"/>
        </w:rPr>
        <w:t>i</w:t>
      </w:r>
      <w:r w:rsidR="00585A06" w:rsidRPr="002E7EAE">
        <w:rPr>
          <w:rFonts w:eastAsia="TimesNewRoman"/>
        </w:rPr>
        <w:t>nterest</w:t>
      </w:r>
      <w:bookmarkEnd w:id="181"/>
      <w:bookmarkEnd w:id="182"/>
      <w:bookmarkEnd w:id="183"/>
      <w:bookmarkEnd w:id="184"/>
    </w:p>
    <w:p w:rsidR="00585A06" w:rsidRDefault="00585A06" w:rsidP="0041754F">
      <w:pPr>
        <w:rPr>
          <w:lang w:val="en-US"/>
        </w:rPr>
      </w:pPr>
      <w:r w:rsidRPr="00CB0E1C">
        <w:rPr>
          <w:b/>
          <w:lang w:val="en-US"/>
        </w:rPr>
        <w:t>TEAEs potentially associated with pomalidomide:</w:t>
      </w:r>
      <w:r w:rsidRPr="00CB0E1C">
        <w:rPr>
          <w:lang w:val="en-US"/>
        </w:rPr>
        <w:t xml:space="preserve"> </w:t>
      </w:r>
      <w:r>
        <w:rPr>
          <w:lang w:val="en-US"/>
        </w:rPr>
        <w:t>neutropenia and febrile neutropenia; infection; thrombocytopenia; hemorrhage and bleeding; peripheral neuropathy; thromboembolic events; cardiovascular e</w:t>
      </w:r>
      <w:r w:rsidR="00DB02DC">
        <w:rPr>
          <w:lang w:val="en-US"/>
        </w:rPr>
        <w:t xml:space="preserve">vents/dysrhythmia; </w:t>
      </w:r>
      <w:r w:rsidR="00EA2940">
        <w:rPr>
          <w:lang w:val="en-US"/>
        </w:rPr>
        <w:t>SPMs</w:t>
      </w:r>
      <w:r>
        <w:rPr>
          <w:lang w:val="en-US"/>
        </w:rPr>
        <w:t>;</w:t>
      </w:r>
      <w:r w:rsidR="00426434">
        <w:rPr>
          <w:lang w:val="en-US"/>
        </w:rPr>
        <w:t xml:space="preserve"> acute renal failure; cataract.</w:t>
      </w:r>
    </w:p>
    <w:p w:rsidR="00585A06" w:rsidRPr="002B6CDB" w:rsidRDefault="00585A06" w:rsidP="0041754F">
      <w:pPr>
        <w:rPr>
          <w:lang w:val="en-US"/>
        </w:rPr>
      </w:pPr>
      <w:r w:rsidRPr="00CB0E1C">
        <w:rPr>
          <w:b/>
          <w:lang w:val="en-US"/>
        </w:rPr>
        <w:t>TEAEs associated with dexamethasone:</w:t>
      </w:r>
      <w:r>
        <w:rPr>
          <w:lang w:val="en-US"/>
        </w:rPr>
        <w:t xml:space="preserve"> glucose intolerance; fluid retention/edema; muscular weakness; mood alteration.</w:t>
      </w:r>
    </w:p>
    <w:p w:rsidR="00585A06" w:rsidRDefault="00585A06" w:rsidP="0041754F">
      <w:pPr>
        <w:rPr>
          <w:lang w:val="en-US"/>
        </w:rPr>
      </w:pPr>
      <w:r>
        <w:rPr>
          <w:b/>
          <w:bCs/>
          <w:lang w:val="en-US"/>
        </w:rPr>
        <w:t xml:space="preserve">Neutropenia: </w:t>
      </w:r>
      <w:r>
        <w:rPr>
          <w:lang w:val="en-US"/>
        </w:rPr>
        <w:t>Overall, a large majority of neutropenic events were Grade 3/4 events; however, few were severe or complicated by infection and no subject in either treatment arm discontinued due to neutropenia.</w:t>
      </w:r>
    </w:p>
    <w:p w:rsidR="00585A06" w:rsidRDefault="00585A06" w:rsidP="0041754F">
      <w:r>
        <w:t xml:space="preserve">Febrile neutropenia occurred only in </w:t>
      </w:r>
      <w:r w:rsidR="0016052F">
        <w:t xml:space="preserve">pomalidomide </w:t>
      </w:r>
      <w:r w:rsidR="0016052F" w:rsidRPr="0070026C">
        <w:t>+</w:t>
      </w:r>
      <w:r w:rsidR="0016052F" w:rsidRPr="00C2201E">
        <w:t xml:space="preserve"> </w:t>
      </w:r>
      <w:r w:rsidR="0016052F">
        <w:t>LD dexamethasone</w:t>
      </w:r>
      <w:r w:rsidR="0016052F" w:rsidRPr="00865AF5">
        <w:t xml:space="preserve"> </w:t>
      </w:r>
      <w:r>
        <w:t>subjects (6.7%).</w:t>
      </w:r>
    </w:p>
    <w:p w:rsidR="00585A06" w:rsidRPr="00EE31CC" w:rsidRDefault="00585A06" w:rsidP="002E7EAE">
      <w:pPr>
        <w:ind w:left="426"/>
        <w:rPr>
          <w:i/>
        </w:rPr>
      </w:pPr>
      <w:r w:rsidRPr="00EE31CC">
        <w:rPr>
          <w:i/>
        </w:rPr>
        <w:t>Comment: the symptoms +/-</w:t>
      </w:r>
      <w:r w:rsidR="0020481E">
        <w:rPr>
          <w:i/>
        </w:rPr>
        <w:t xml:space="preserve"> </w:t>
      </w:r>
      <w:r w:rsidRPr="00EE31CC">
        <w:rPr>
          <w:i/>
        </w:rPr>
        <w:t>reporting rates of febrile neutropenia are likely to be lowered by the temperature</w:t>
      </w:r>
      <w:r w:rsidR="0020481E">
        <w:rPr>
          <w:i/>
        </w:rPr>
        <w:t xml:space="preserve"> </w:t>
      </w:r>
      <w:r w:rsidRPr="00EE31CC">
        <w:rPr>
          <w:i/>
        </w:rPr>
        <w:t>masking effect of dexamethasone. This merits inclusion in the PI, as there were deaths from infection.</w:t>
      </w:r>
    </w:p>
    <w:p w:rsidR="00585A06" w:rsidRDefault="00585A06" w:rsidP="0041754F">
      <w:r>
        <w:rPr>
          <w:b/>
          <w:bCs/>
        </w:rPr>
        <w:t xml:space="preserve">Infection rates </w:t>
      </w:r>
      <w:r w:rsidRPr="00A6015B">
        <w:rPr>
          <w:bCs/>
        </w:rPr>
        <w:t>were higher in the</w:t>
      </w:r>
      <w:r>
        <w:rPr>
          <w:lang w:val="en-US"/>
        </w:rPr>
        <w:t xml:space="preserve"> </w:t>
      </w:r>
      <w:r w:rsidR="0016052F">
        <w:t xml:space="preserve">pomalidomide </w:t>
      </w:r>
      <w:r w:rsidR="0016052F" w:rsidRPr="0070026C">
        <w:t>+</w:t>
      </w:r>
      <w:r w:rsidR="0016052F" w:rsidRPr="00C2201E">
        <w:t xml:space="preserve"> </w:t>
      </w:r>
      <w:r w:rsidR="0016052F">
        <w:t>LD dexamethasone</w:t>
      </w:r>
      <w:r w:rsidR="0016052F" w:rsidRPr="00865AF5">
        <w:t xml:space="preserve"> </w:t>
      </w:r>
      <w:r w:rsidR="002A7459">
        <w:rPr>
          <w:lang w:val="en-US"/>
        </w:rPr>
        <w:t xml:space="preserve">arm, 55% compared with </w:t>
      </w:r>
      <w:r>
        <w:rPr>
          <w:lang w:val="en-US"/>
        </w:rPr>
        <w:t xml:space="preserve">48.3%; but the Grade 3/4 infection rates were similar in the 2 treatment arms, 24% and 22.8%. Deaths due to infections occurred more frequently in the </w:t>
      </w:r>
      <w:r w:rsidR="0016052F">
        <w:t>HD dexamethasone</w:t>
      </w:r>
      <w:r w:rsidR="0016052F" w:rsidRPr="00865AF5">
        <w:t xml:space="preserve"> </w:t>
      </w:r>
      <w:r>
        <w:rPr>
          <w:lang w:val="en-US"/>
        </w:rPr>
        <w:t xml:space="preserve">arm (7.4%) than in the </w:t>
      </w:r>
      <w:r w:rsidR="0016052F">
        <w:t xml:space="preserve">pomalidomide </w:t>
      </w:r>
      <w:r w:rsidR="0016052F" w:rsidRPr="0070026C">
        <w:t>+</w:t>
      </w:r>
      <w:r w:rsidR="0016052F" w:rsidRPr="00C2201E">
        <w:t xml:space="preserve"> </w:t>
      </w:r>
      <w:r w:rsidR="0016052F">
        <w:t>LD dexamethasone</w:t>
      </w:r>
      <w:r w:rsidR="0016052F" w:rsidRPr="00865AF5">
        <w:t xml:space="preserve"> </w:t>
      </w:r>
      <w:r>
        <w:rPr>
          <w:lang w:val="en-US"/>
        </w:rPr>
        <w:t xml:space="preserve">arm (2.7%), largely due to higher frequencies of death due to septic shock and sepsis in this arm. Among subjects with Grade 3+ infections, the majority of subjects in each treatment arm had no concurrent </w:t>
      </w:r>
      <w:r>
        <w:t>neutropenia.</w:t>
      </w:r>
    </w:p>
    <w:p w:rsidR="00585A06" w:rsidRPr="00EE31CC" w:rsidRDefault="00585A06" w:rsidP="002E7EAE">
      <w:pPr>
        <w:ind w:left="426"/>
        <w:rPr>
          <w:i/>
        </w:rPr>
      </w:pPr>
      <w:r w:rsidRPr="00EE31CC">
        <w:rPr>
          <w:i/>
        </w:rPr>
        <w:t>Comment: MM patients are prone to infection due to the underlying disease</w:t>
      </w:r>
      <w:r w:rsidR="002A7459">
        <w:rPr>
          <w:i/>
        </w:rPr>
        <w:t xml:space="preserve"> </w:t>
      </w:r>
      <w:r w:rsidRPr="00EE31CC">
        <w:rPr>
          <w:i/>
        </w:rPr>
        <w:t>related immunosuppression, independent of the immunosuppressive effect of any treatment.</w:t>
      </w:r>
    </w:p>
    <w:p w:rsidR="00585A06" w:rsidRDefault="00585A06" w:rsidP="0041754F">
      <w:pPr>
        <w:rPr>
          <w:lang w:val="en-US"/>
        </w:rPr>
      </w:pPr>
      <w:r>
        <w:rPr>
          <w:rFonts w:cs="Cambria"/>
          <w:b/>
          <w:bCs/>
        </w:rPr>
        <w:t>Thrombocytopenia</w:t>
      </w:r>
      <w:r>
        <w:rPr>
          <w:lang w:val="en-US"/>
        </w:rPr>
        <w:t xml:space="preserve"> occurred in </w:t>
      </w:r>
      <w:r w:rsidR="00C80F42">
        <w:t xml:space="preserve">approximately </w:t>
      </w:r>
      <w:r>
        <w:rPr>
          <w:lang w:val="en-US"/>
        </w:rPr>
        <w:t>30% of subjects in each treatment arm. Most of these events were Grade 3/4 events; however, few resulted in treatment</w:t>
      </w:r>
      <w:r w:rsidR="0041754F">
        <w:rPr>
          <w:lang w:val="en-US"/>
        </w:rPr>
        <w:t xml:space="preserve"> discontinuation in either arm.</w:t>
      </w:r>
    </w:p>
    <w:p w:rsidR="00585A06" w:rsidRDefault="00585A06" w:rsidP="0041754F">
      <w:pPr>
        <w:rPr>
          <w:rFonts w:cs="Cambria"/>
        </w:rPr>
      </w:pPr>
      <w:r>
        <w:rPr>
          <w:rFonts w:cs="Cambria"/>
          <w:b/>
          <w:bCs/>
        </w:rPr>
        <w:t xml:space="preserve">Haemorrhage and </w:t>
      </w:r>
      <w:r w:rsidR="002E7EAE">
        <w:rPr>
          <w:rFonts w:cs="Cambria"/>
          <w:b/>
          <w:bCs/>
        </w:rPr>
        <w:t>b</w:t>
      </w:r>
      <w:r>
        <w:rPr>
          <w:rFonts w:cs="Cambria"/>
          <w:b/>
          <w:bCs/>
        </w:rPr>
        <w:t>leeding</w:t>
      </w:r>
      <w:r>
        <w:rPr>
          <w:lang w:val="en-US"/>
        </w:rPr>
        <w:t xml:space="preserve"> (particularly epistaxis or haematoma) occurred in 16.3% of </w:t>
      </w:r>
      <w:r w:rsidR="0016052F">
        <w:t xml:space="preserve">pomalidomide </w:t>
      </w:r>
      <w:r w:rsidR="0016052F" w:rsidRPr="0070026C">
        <w:t>+</w:t>
      </w:r>
      <w:r w:rsidR="0016052F" w:rsidRPr="00C2201E">
        <w:t xml:space="preserve"> </w:t>
      </w:r>
      <w:r w:rsidR="0016052F">
        <w:t>LD dexamethasone</w:t>
      </w:r>
      <w:r w:rsidR="0016052F" w:rsidRPr="00865AF5">
        <w:t xml:space="preserve"> </w:t>
      </w:r>
      <w:r>
        <w:rPr>
          <w:lang w:val="en-US"/>
        </w:rPr>
        <w:t xml:space="preserve">subjects and 21.5% of </w:t>
      </w:r>
      <w:r w:rsidR="004554BA">
        <w:t>HD dexamethasone</w:t>
      </w:r>
      <w:r w:rsidR="004554BA" w:rsidRPr="00865AF5">
        <w:t xml:space="preserve"> </w:t>
      </w:r>
      <w:r>
        <w:rPr>
          <w:lang w:val="en-US"/>
        </w:rPr>
        <w:t xml:space="preserve">subjects. Serious hemorrhage occurred in 2.7% of </w:t>
      </w:r>
      <w:r w:rsidR="0016052F">
        <w:t xml:space="preserve">pomalidomide </w:t>
      </w:r>
      <w:r w:rsidR="0016052F" w:rsidRPr="0070026C">
        <w:t>+</w:t>
      </w:r>
      <w:r w:rsidR="0016052F" w:rsidRPr="00C2201E">
        <w:t xml:space="preserve"> </w:t>
      </w:r>
      <w:r w:rsidR="0016052F">
        <w:t>LD dexamethasone</w:t>
      </w:r>
      <w:r w:rsidR="0016052F" w:rsidRPr="00865AF5">
        <w:t xml:space="preserve"> </w:t>
      </w:r>
      <w:r>
        <w:rPr>
          <w:lang w:val="en-US"/>
        </w:rPr>
        <w:t xml:space="preserve">subjects and 2.7% of </w:t>
      </w:r>
      <w:r w:rsidR="0083615C">
        <w:t>HD dexamethasone</w:t>
      </w:r>
      <w:r w:rsidR="0083615C" w:rsidRPr="00865AF5">
        <w:t xml:space="preserve"> </w:t>
      </w:r>
      <w:r>
        <w:rPr>
          <w:lang w:val="en-US"/>
        </w:rPr>
        <w:t xml:space="preserve">subjects, and was the cause of death in 2 </w:t>
      </w:r>
      <w:r w:rsidR="0016052F">
        <w:t xml:space="preserve">pomalidomide </w:t>
      </w:r>
      <w:r w:rsidR="0016052F" w:rsidRPr="0070026C">
        <w:t>+</w:t>
      </w:r>
      <w:r w:rsidR="0016052F" w:rsidRPr="00C2201E">
        <w:t xml:space="preserve"> </w:t>
      </w:r>
      <w:r w:rsidR="0016052F">
        <w:t>LD dexamethasone</w:t>
      </w:r>
      <w:r>
        <w:rPr>
          <w:lang w:val="en-US"/>
        </w:rPr>
        <w:t xml:space="preserve"> subjects (1 subarachnoid hemorrhage with no concurrent thrombocytopenia; and 1 subdural hematoma with concurre</w:t>
      </w:r>
      <w:r w:rsidR="0016052F">
        <w:rPr>
          <w:lang w:val="en-US"/>
        </w:rPr>
        <w:t>nt thrombocytopenia); and 1 H</w:t>
      </w:r>
      <w:r w:rsidR="0016052F">
        <w:t>D dexamethasone</w:t>
      </w:r>
      <w:r w:rsidR="0016052F" w:rsidRPr="00865AF5">
        <w:t xml:space="preserve"> </w:t>
      </w:r>
      <w:r>
        <w:rPr>
          <w:lang w:val="en-US"/>
        </w:rPr>
        <w:t>subject (gastrointestinal hemorrhage with concurrent thrombocytopenia).</w:t>
      </w:r>
    </w:p>
    <w:p w:rsidR="00585A06" w:rsidRDefault="00E1262C" w:rsidP="0041754F">
      <w:pPr>
        <w:rPr>
          <w:lang w:val="en-US"/>
        </w:rPr>
      </w:pPr>
      <w:r>
        <w:rPr>
          <w:lang w:val="en-US"/>
        </w:rPr>
        <w:t xml:space="preserve">A total </w:t>
      </w:r>
      <w:r w:rsidR="00585A06">
        <w:rPr>
          <w:lang w:val="en-US"/>
        </w:rPr>
        <w:t xml:space="preserve">42.9% of </w:t>
      </w:r>
      <w:r w:rsidR="0016052F">
        <w:t xml:space="preserve">pomalidomide </w:t>
      </w:r>
      <w:r w:rsidR="0016052F" w:rsidRPr="0070026C">
        <w:t>+</w:t>
      </w:r>
      <w:r w:rsidR="0016052F" w:rsidRPr="00C2201E">
        <w:t xml:space="preserve"> </w:t>
      </w:r>
      <w:r w:rsidR="0016052F">
        <w:t>LD dexamethasone</w:t>
      </w:r>
      <w:r w:rsidR="0016052F" w:rsidRPr="00865AF5">
        <w:t xml:space="preserve"> </w:t>
      </w:r>
      <w:r w:rsidR="00585A06">
        <w:rPr>
          <w:lang w:val="en-US"/>
        </w:rPr>
        <w:t xml:space="preserve">subjects and 31.3% </w:t>
      </w:r>
      <w:r w:rsidR="0016052F">
        <w:t>HD dexamethasone</w:t>
      </w:r>
      <w:r w:rsidR="0016052F" w:rsidRPr="00865AF5">
        <w:t xml:space="preserve"> </w:t>
      </w:r>
      <w:r w:rsidR="00585A06">
        <w:rPr>
          <w:lang w:val="en-US"/>
        </w:rPr>
        <w:t>subjects had thrombocyto</w:t>
      </w:r>
      <w:r w:rsidR="00637AA4">
        <w:rPr>
          <w:lang w:val="en-US"/>
        </w:rPr>
        <w:t>penia</w:t>
      </w:r>
      <w:r w:rsidR="00585A06">
        <w:rPr>
          <w:lang w:val="en-US"/>
        </w:rPr>
        <w:t xml:space="preserve"> co</w:t>
      </w:r>
      <w:r w:rsidR="0041754F">
        <w:rPr>
          <w:lang w:val="en-US"/>
        </w:rPr>
        <w:t>ncurrently with the hemorrhage.</w:t>
      </w:r>
    </w:p>
    <w:p w:rsidR="00585A06" w:rsidRPr="00EE31CC" w:rsidRDefault="00585A06" w:rsidP="002E7EAE">
      <w:pPr>
        <w:ind w:left="426"/>
        <w:rPr>
          <w:i/>
        </w:rPr>
      </w:pPr>
      <w:r w:rsidRPr="00EE31CC">
        <w:rPr>
          <w:i/>
        </w:rPr>
        <w:t>Comment: Two subjects, one in each treatment group, died of h</w:t>
      </w:r>
      <w:r w:rsidR="00C871B1">
        <w:rPr>
          <w:i/>
        </w:rPr>
        <w:t>a</w:t>
      </w:r>
      <w:r w:rsidRPr="00EE31CC">
        <w:rPr>
          <w:i/>
        </w:rPr>
        <w:t xml:space="preserve">emorrhage and concurrent thrombocytopenia. The Delegate is in agreement with the </w:t>
      </w:r>
      <w:r w:rsidR="00E1262C">
        <w:rPr>
          <w:i/>
        </w:rPr>
        <w:t>c</w:t>
      </w:r>
      <w:r w:rsidRPr="00EE31CC">
        <w:rPr>
          <w:i/>
        </w:rPr>
        <w:t xml:space="preserve">linical </w:t>
      </w:r>
      <w:r w:rsidR="00E1262C">
        <w:rPr>
          <w:i/>
        </w:rPr>
        <w:t>e</w:t>
      </w:r>
      <w:r w:rsidRPr="00EE31CC">
        <w:rPr>
          <w:i/>
        </w:rPr>
        <w:t xml:space="preserve">valuator that the thrombocytopenia is attributable mostly to the disease process. However, the use of aspirin as the stipulated DVT prophylaxis agent, in combination with the </w:t>
      </w:r>
      <w:r w:rsidRPr="00EE31CC">
        <w:rPr>
          <w:i/>
        </w:rPr>
        <w:lastRenderedPageBreak/>
        <w:t>dexamethasone will also contributed to the risk of haemorrhage, particularly GI. In the PI, aspirin is the recommended agent and it should be added that consideration be given to GI ulcer prophylaxis.</w:t>
      </w:r>
    </w:p>
    <w:p w:rsidR="00585A06" w:rsidRDefault="00585A06" w:rsidP="0041754F">
      <w:pPr>
        <w:rPr>
          <w:lang w:val="en-US"/>
        </w:rPr>
      </w:pPr>
      <w:r>
        <w:rPr>
          <w:b/>
          <w:bCs/>
          <w:lang w:val="en-US"/>
        </w:rPr>
        <w:t xml:space="preserve">Thromboembolic Events: </w:t>
      </w:r>
      <w:r>
        <w:rPr>
          <w:lang w:val="en-US"/>
        </w:rPr>
        <w:t xml:space="preserve">All subjects in the </w:t>
      </w:r>
      <w:r w:rsidR="00DE08F1">
        <w:t xml:space="preserve">pomalidomide </w:t>
      </w:r>
      <w:r w:rsidR="00DE08F1" w:rsidRPr="0070026C">
        <w:t>+</w:t>
      </w:r>
      <w:r w:rsidR="00DE08F1" w:rsidRPr="00C2201E">
        <w:t xml:space="preserve"> </w:t>
      </w:r>
      <w:r w:rsidR="00DE08F1">
        <w:t>LD dexamethasone</w:t>
      </w:r>
      <w:r w:rsidR="00DE08F1" w:rsidRPr="00865AF5">
        <w:t xml:space="preserve"> </w:t>
      </w:r>
      <w:r>
        <w:rPr>
          <w:lang w:val="en-US"/>
        </w:rPr>
        <w:t xml:space="preserve">arm as well as subjects in the </w:t>
      </w:r>
      <w:r w:rsidR="00C871B1">
        <w:t>HD dexamethasone</w:t>
      </w:r>
      <w:r w:rsidR="00C871B1" w:rsidRPr="00865AF5">
        <w:t xml:space="preserve"> </w:t>
      </w:r>
      <w:r>
        <w:rPr>
          <w:lang w:val="en-US"/>
        </w:rPr>
        <w:t xml:space="preserve">arm who had a prior history of DVT or PE were to receive VTE prophylaxis. Serious VTEs occurred in 1.7% of </w:t>
      </w:r>
      <w:r w:rsidR="00C871B1">
        <w:t xml:space="preserve">pomalidomide </w:t>
      </w:r>
      <w:r w:rsidR="00C871B1" w:rsidRPr="0070026C">
        <w:t>+</w:t>
      </w:r>
      <w:r w:rsidR="00C871B1" w:rsidRPr="00C2201E">
        <w:t xml:space="preserve"> </w:t>
      </w:r>
      <w:r w:rsidR="00C871B1">
        <w:t>LD dexamethasone</w:t>
      </w:r>
      <w:r w:rsidR="00C871B1" w:rsidRPr="00865AF5">
        <w:t xml:space="preserve"> </w:t>
      </w:r>
      <w:r>
        <w:rPr>
          <w:lang w:val="en-US"/>
        </w:rPr>
        <w:t xml:space="preserve">subjects and in no </w:t>
      </w:r>
      <w:r w:rsidR="00C871B1">
        <w:t>HD dexamethasone</w:t>
      </w:r>
      <w:r w:rsidR="00C871B1" w:rsidRPr="00865AF5">
        <w:t xml:space="preserve"> </w:t>
      </w:r>
      <w:r>
        <w:rPr>
          <w:lang w:val="en-US"/>
        </w:rPr>
        <w:t xml:space="preserve">subjects, but did not lead to death or discontinuation. </w:t>
      </w:r>
      <w:r w:rsidR="00006BB1">
        <w:rPr>
          <w:lang w:val="en-US"/>
        </w:rPr>
        <w:t>ATEs</w:t>
      </w:r>
      <w:r>
        <w:rPr>
          <w:lang w:val="en-US"/>
        </w:rPr>
        <w:t xml:space="preserve"> occurred in 1.0% of </w:t>
      </w:r>
      <w:r w:rsidR="00C871B1">
        <w:t xml:space="preserve">pomalidomide </w:t>
      </w:r>
      <w:r w:rsidR="00C871B1" w:rsidRPr="0070026C">
        <w:t>+</w:t>
      </w:r>
      <w:r w:rsidR="00C871B1" w:rsidRPr="00C2201E">
        <w:t xml:space="preserve"> </w:t>
      </w:r>
      <w:r w:rsidR="00C871B1">
        <w:t>LD dexamethasone</w:t>
      </w:r>
      <w:r w:rsidR="00C871B1" w:rsidRPr="00865AF5">
        <w:t xml:space="preserve"> </w:t>
      </w:r>
      <w:r>
        <w:rPr>
          <w:lang w:val="en-US"/>
        </w:rPr>
        <w:t xml:space="preserve">subjects and 0.7% </w:t>
      </w:r>
      <w:r w:rsidR="00C871B1">
        <w:t>HD dexamethasone</w:t>
      </w:r>
      <w:r w:rsidR="00C871B1" w:rsidRPr="00865AF5">
        <w:t xml:space="preserve"> </w:t>
      </w:r>
      <w:r>
        <w:rPr>
          <w:lang w:val="en-US"/>
        </w:rPr>
        <w:t>subjects, but no deaths resulted.</w:t>
      </w:r>
    </w:p>
    <w:p w:rsidR="00585A06" w:rsidRPr="00966796" w:rsidRDefault="00585A06" w:rsidP="0041754F">
      <w:pPr>
        <w:rPr>
          <w:rFonts w:eastAsia="TimesNewRoman"/>
          <w:lang w:val="en-US"/>
        </w:rPr>
      </w:pPr>
      <w:r>
        <w:rPr>
          <w:rFonts w:cs="Cambria"/>
          <w:b/>
          <w:bCs/>
        </w:rPr>
        <w:t xml:space="preserve">Peripheral Neuropathy: </w:t>
      </w:r>
      <w:r w:rsidRPr="00BA7595">
        <w:rPr>
          <w:rFonts w:cs="Cambria"/>
          <w:bCs/>
        </w:rPr>
        <w:t xml:space="preserve">Those with a pre-existing </w:t>
      </w:r>
      <w:r w:rsidRPr="00BA7595">
        <w:rPr>
          <w:rFonts w:cs="Cambria"/>
        </w:rPr>
        <w:t>p</w:t>
      </w:r>
      <w:r w:rsidRPr="00BA7595">
        <w:t xml:space="preserve">eripheral neuropathy </w:t>
      </w:r>
      <w:r w:rsidRPr="00BA7595">
        <w:rPr>
          <w:rFonts w:cs="Cambria"/>
          <w:bCs/>
        </w:rPr>
        <w:t xml:space="preserve">Grade </w:t>
      </w:r>
      <w:r w:rsidR="00C80F42">
        <w:rPr>
          <w:rFonts w:cs="Cambria"/>
          <w:bCs/>
        </w:rPr>
        <w:t>≥</w:t>
      </w:r>
      <w:r w:rsidRPr="00BA7595">
        <w:rPr>
          <w:rFonts w:cs="Cambria"/>
          <w:bCs/>
        </w:rPr>
        <w:t>2</w:t>
      </w:r>
      <w:r>
        <w:rPr>
          <w:rFonts w:cs="Cambria"/>
        </w:rPr>
        <w:t xml:space="preserve"> </w:t>
      </w:r>
      <w:r>
        <w:t xml:space="preserve">were excluded from the pivotal study. Neuropathy occurred in similar proportions of subjects in the 2 treatment </w:t>
      </w:r>
      <w:r>
        <w:rPr>
          <w:rFonts w:eastAsia="TimesNewRoman"/>
          <w:lang w:val="en-US"/>
        </w:rPr>
        <w:t>arms, 12.3% and 10.7%. Few occurrence</w:t>
      </w:r>
      <w:r w:rsidR="002E7EAE">
        <w:rPr>
          <w:rFonts w:eastAsia="TimesNewRoman"/>
          <w:lang w:val="en-US"/>
        </w:rPr>
        <w:t>s in either arm were Grade 3/4.</w:t>
      </w:r>
    </w:p>
    <w:p w:rsidR="00585A06" w:rsidRDefault="00585A06" w:rsidP="0041754F">
      <w:pPr>
        <w:rPr>
          <w:lang w:val="en-US"/>
        </w:rPr>
      </w:pPr>
      <w:r>
        <w:rPr>
          <w:b/>
          <w:bCs/>
          <w:lang w:val="en-US"/>
        </w:rPr>
        <w:t>Glucose intolerance, hyperglycemia and new onset diabetes:</w:t>
      </w:r>
      <w:r>
        <w:rPr>
          <w:lang w:val="en-US"/>
        </w:rPr>
        <w:t xml:space="preserve"> TEAEs related to glucose intolerance, hyperglycemia</w:t>
      </w:r>
      <w:r w:rsidR="00ED25B3">
        <w:rPr>
          <w:lang w:val="en-US"/>
        </w:rPr>
        <w:t>,</w:t>
      </w:r>
      <w:r>
        <w:rPr>
          <w:lang w:val="en-US"/>
        </w:rPr>
        <w:t xml:space="preserve"> and new onset diabetes occurred in 16.0% of subjects in the </w:t>
      </w:r>
      <w:r w:rsidR="00DE08F1">
        <w:t xml:space="preserve">pomalidomide </w:t>
      </w:r>
      <w:r w:rsidR="00DE08F1" w:rsidRPr="0070026C">
        <w:t>+</w:t>
      </w:r>
      <w:r w:rsidR="00DE08F1" w:rsidRPr="00C2201E">
        <w:t xml:space="preserve"> </w:t>
      </w:r>
      <w:r w:rsidR="00DE08F1">
        <w:t>LD dexamethasone</w:t>
      </w:r>
      <w:r w:rsidR="00DE08F1" w:rsidRPr="00865AF5">
        <w:t xml:space="preserve"> </w:t>
      </w:r>
      <w:r>
        <w:rPr>
          <w:lang w:val="en-US"/>
        </w:rPr>
        <w:t xml:space="preserve">arm and in 22.1% of subjects in the </w:t>
      </w:r>
      <w:r w:rsidR="00DE08F1">
        <w:rPr>
          <w:lang w:val="en-US"/>
        </w:rPr>
        <w:t>H</w:t>
      </w:r>
      <w:r w:rsidR="00DE08F1">
        <w:t>D dexamethasone</w:t>
      </w:r>
      <w:r w:rsidR="00DE08F1" w:rsidRPr="00865AF5">
        <w:t xml:space="preserve"> </w:t>
      </w:r>
      <w:r w:rsidR="00DE08F1">
        <w:rPr>
          <w:lang w:val="en-US"/>
        </w:rPr>
        <w:t>arm. Grade 3/4</w:t>
      </w:r>
      <w:r>
        <w:rPr>
          <w:lang w:val="en-US"/>
        </w:rPr>
        <w:t xml:space="preserve"> hyperglycemia and new onset diabetes mellitus occurred in 5.3% of </w:t>
      </w:r>
      <w:r w:rsidR="00DE08F1">
        <w:t xml:space="preserve">pomalidomide </w:t>
      </w:r>
      <w:r w:rsidR="00DE08F1" w:rsidRPr="0070026C">
        <w:t>+</w:t>
      </w:r>
      <w:r w:rsidR="00DE08F1" w:rsidRPr="00C2201E">
        <w:t xml:space="preserve"> </w:t>
      </w:r>
      <w:r w:rsidR="00DE08F1">
        <w:t>LD dexamethasone</w:t>
      </w:r>
      <w:r w:rsidR="00DE08F1" w:rsidRPr="00865AF5">
        <w:t xml:space="preserve"> </w:t>
      </w:r>
      <w:r>
        <w:rPr>
          <w:lang w:val="en-US"/>
        </w:rPr>
        <w:t xml:space="preserve">subjects and 8.1% of </w:t>
      </w:r>
      <w:r w:rsidR="00DE08F1">
        <w:rPr>
          <w:lang w:val="en-US"/>
        </w:rPr>
        <w:t>H</w:t>
      </w:r>
      <w:r w:rsidR="00DE08F1">
        <w:t>D dexamethasone</w:t>
      </w:r>
      <w:r w:rsidR="00DE08F1">
        <w:rPr>
          <w:lang w:val="en-US"/>
        </w:rPr>
        <w:t xml:space="preserve"> </w:t>
      </w:r>
      <w:r>
        <w:rPr>
          <w:lang w:val="en-US"/>
        </w:rPr>
        <w:t>subjects.</w:t>
      </w:r>
    </w:p>
    <w:p w:rsidR="00585A06" w:rsidRDefault="00585A06" w:rsidP="0041754F">
      <w:pPr>
        <w:rPr>
          <w:lang w:val="en-US"/>
        </w:rPr>
      </w:pPr>
      <w:r>
        <w:rPr>
          <w:b/>
          <w:bCs/>
          <w:lang w:val="en-US"/>
        </w:rPr>
        <w:t>Muscular Weakness:</w:t>
      </w:r>
      <w:r>
        <w:rPr>
          <w:lang w:val="en-US"/>
        </w:rPr>
        <w:t xml:space="preserve"> Muscular weakness occurred more frequently in the </w:t>
      </w:r>
      <w:r w:rsidR="00826DF4">
        <w:rPr>
          <w:lang w:val="en-US"/>
        </w:rPr>
        <w:t>H</w:t>
      </w:r>
      <w:r w:rsidR="00826DF4">
        <w:t>D dexamethasone</w:t>
      </w:r>
      <w:r w:rsidR="00826DF4">
        <w:rPr>
          <w:lang w:val="en-US"/>
        </w:rPr>
        <w:t xml:space="preserve"> </w:t>
      </w:r>
      <w:r>
        <w:rPr>
          <w:lang w:val="en-US"/>
        </w:rPr>
        <w:t xml:space="preserve">arm (10.7%) than in the </w:t>
      </w:r>
      <w:r w:rsidR="00826DF4">
        <w:t xml:space="preserve">pomalidomide </w:t>
      </w:r>
      <w:r w:rsidR="00826DF4" w:rsidRPr="0070026C">
        <w:t>+</w:t>
      </w:r>
      <w:r w:rsidR="00826DF4" w:rsidRPr="00C2201E">
        <w:t xml:space="preserve"> </w:t>
      </w:r>
      <w:r w:rsidR="00826DF4">
        <w:t>LD dexamethasone</w:t>
      </w:r>
      <w:r w:rsidR="00826DF4" w:rsidRPr="00865AF5">
        <w:t xml:space="preserve"> </w:t>
      </w:r>
      <w:r>
        <w:rPr>
          <w:lang w:val="en-US"/>
        </w:rPr>
        <w:t xml:space="preserve">arm (2.7%). No subject in the </w:t>
      </w:r>
      <w:r w:rsidR="00826DF4">
        <w:t xml:space="preserve">pomalidomide </w:t>
      </w:r>
      <w:r w:rsidR="00826DF4" w:rsidRPr="0070026C">
        <w:t>+</w:t>
      </w:r>
      <w:r w:rsidR="00826DF4" w:rsidRPr="00C2201E">
        <w:t xml:space="preserve"> </w:t>
      </w:r>
      <w:r w:rsidR="00826DF4">
        <w:t>LD dexamethasone</w:t>
      </w:r>
      <w:r w:rsidR="00826DF4" w:rsidRPr="00865AF5">
        <w:t xml:space="preserve"> </w:t>
      </w:r>
      <w:r>
        <w:rPr>
          <w:lang w:val="en-US"/>
        </w:rPr>
        <w:t xml:space="preserve">arm and 2 subjects in the </w:t>
      </w:r>
      <w:r w:rsidR="00826DF4">
        <w:rPr>
          <w:lang w:val="en-US"/>
        </w:rPr>
        <w:t>H</w:t>
      </w:r>
      <w:r w:rsidR="00826DF4">
        <w:t>D dexamethasone</w:t>
      </w:r>
      <w:r w:rsidR="00826DF4">
        <w:rPr>
          <w:lang w:val="en-US"/>
        </w:rPr>
        <w:t xml:space="preserve"> </w:t>
      </w:r>
      <w:r>
        <w:rPr>
          <w:lang w:val="en-US"/>
        </w:rPr>
        <w:t>arm (1.3%) had TEAEs of muscu</w:t>
      </w:r>
      <w:r w:rsidR="002E7EAE">
        <w:rPr>
          <w:lang w:val="en-US"/>
        </w:rPr>
        <w:t>lar weakness that were serious.</w:t>
      </w:r>
    </w:p>
    <w:p w:rsidR="00585A06" w:rsidRPr="00F1060C" w:rsidRDefault="00585A06" w:rsidP="0041754F">
      <w:pPr>
        <w:rPr>
          <w:lang w:val="en-US"/>
        </w:rPr>
      </w:pPr>
      <w:r>
        <w:rPr>
          <w:b/>
          <w:bCs/>
          <w:lang w:val="en-US"/>
        </w:rPr>
        <w:t>Acute renal failure:</w:t>
      </w:r>
      <w:r>
        <w:rPr>
          <w:lang w:val="en-US"/>
        </w:rPr>
        <w:t xml:space="preserve"> Acute renal failure occurred with similar frequency in the 2 treatment arms (13.0% in the </w:t>
      </w:r>
      <w:r w:rsidR="00537472">
        <w:t xml:space="preserve">pomalidomide </w:t>
      </w:r>
      <w:r w:rsidR="00537472" w:rsidRPr="0070026C">
        <w:t>+</w:t>
      </w:r>
      <w:r w:rsidR="00537472" w:rsidRPr="00C2201E">
        <w:t xml:space="preserve"> </w:t>
      </w:r>
      <w:r w:rsidR="00537472">
        <w:t>LD dexamethasone</w:t>
      </w:r>
      <w:r w:rsidR="00537472" w:rsidRPr="00865AF5">
        <w:t xml:space="preserve"> </w:t>
      </w:r>
      <w:r>
        <w:rPr>
          <w:lang w:val="en-US"/>
        </w:rPr>
        <w:t xml:space="preserve">arm and 13.4% in the </w:t>
      </w:r>
      <w:r w:rsidR="00ED25B3">
        <w:t>HD dexamethasone</w:t>
      </w:r>
      <w:r w:rsidR="00ED25B3" w:rsidRPr="00865AF5">
        <w:t xml:space="preserve"> </w:t>
      </w:r>
      <w:r>
        <w:rPr>
          <w:lang w:val="en-US"/>
        </w:rPr>
        <w:t xml:space="preserve">arm). Grade 3/4 acute renal failure occurred in 7.0% of </w:t>
      </w:r>
      <w:r w:rsidR="00537472">
        <w:t xml:space="preserve">pomalidomide </w:t>
      </w:r>
      <w:r w:rsidR="00537472" w:rsidRPr="0070026C">
        <w:t>+</w:t>
      </w:r>
      <w:r w:rsidR="00537472" w:rsidRPr="00C2201E">
        <w:t xml:space="preserve"> </w:t>
      </w:r>
      <w:r w:rsidR="00537472">
        <w:t>LD dexamethasone</w:t>
      </w:r>
      <w:r w:rsidR="00537472" w:rsidRPr="00865AF5">
        <w:t xml:space="preserve"> </w:t>
      </w:r>
      <w:r>
        <w:rPr>
          <w:lang w:val="en-US"/>
        </w:rPr>
        <w:t xml:space="preserve">subjects and 5.4% of </w:t>
      </w:r>
      <w:r w:rsidR="00537472">
        <w:t>HD dexamethasone</w:t>
      </w:r>
      <w:r w:rsidR="00537472" w:rsidRPr="00865AF5">
        <w:t xml:space="preserve"> </w:t>
      </w:r>
      <w:r>
        <w:rPr>
          <w:lang w:val="en-US"/>
        </w:rPr>
        <w:t xml:space="preserve">subjects. Serious acute renal failure occurred in 6.7% of subjects in each treatment arm. Renal failure and acute renal failure were the cause of death in 1.0% of </w:t>
      </w:r>
      <w:r w:rsidR="00537472">
        <w:t xml:space="preserve">pomalidomide </w:t>
      </w:r>
      <w:r w:rsidR="00537472" w:rsidRPr="0070026C">
        <w:t>+</w:t>
      </w:r>
      <w:r w:rsidR="00537472" w:rsidRPr="00C2201E">
        <w:t xml:space="preserve"> </w:t>
      </w:r>
      <w:r w:rsidR="00537472">
        <w:t>LD dexamethasone</w:t>
      </w:r>
      <w:r w:rsidR="00537472" w:rsidRPr="00865AF5">
        <w:t xml:space="preserve"> </w:t>
      </w:r>
      <w:r>
        <w:rPr>
          <w:lang w:val="en-US"/>
        </w:rPr>
        <w:t xml:space="preserve">subjects and in no </w:t>
      </w:r>
      <w:r w:rsidR="00537472">
        <w:t>HD dexamethasone</w:t>
      </w:r>
      <w:r w:rsidR="00537472" w:rsidRPr="00865AF5">
        <w:t xml:space="preserve"> </w:t>
      </w:r>
      <w:r>
        <w:rPr>
          <w:lang w:val="en-US"/>
        </w:rPr>
        <w:t>subjects.</w:t>
      </w:r>
    </w:p>
    <w:p w:rsidR="00585A06" w:rsidRPr="00634EE3" w:rsidRDefault="00537472" w:rsidP="0041754F">
      <w:pPr>
        <w:pStyle w:val="Heading5"/>
      </w:pPr>
      <w:bookmarkStart w:id="185" w:name="_Ref272333567"/>
      <w:bookmarkStart w:id="186" w:name="_Toc272414665"/>
      <w:bookmarkStart w:id="187" w:name="_Toc290846303"/>
      <w:bookmarkStart w:id="188" w:name="_Toc290888840"/>
      <w:bookmarkStart w:id="189" w:name="_Toc371611828"/>
      <w:bookmarkStart w:id="190" w:name="_Toc371612410"/>
      <w:bookmarkStart w:id="191" w:name="_Toc371612674"/>
      <w:bookmarkStart w:id="192" w:name="_Toc371613203"/>
      <w:r>
        <w:t>TEAEs</w:t>
      </w:r>
      <w:r w:rsidR="00585A06" w:rsidRPr="00634EE3">
        <w:t xml:space="preserve"> (adverse drug reactions)</w:t>
      </w:r>
      <w:bookmarkEnd w:id="185"/>
      <w:bookmarkEnd w:id="186"/>
      <w:bookmarkEnd w:id="187"/>
      <w:bookmarkEnd w:id="188"/>
      <w:bookmarkEnd w:id="189"/>
      <w:bookmarkEnd w:id="190"/>
      <w:bookmarkEnd w:id="191"/>
      <w:bookmarkEnd w:id="192"/>
    </w:p>
    <w:p w:rsidR="00585A06" w:rsidRPr="00634EE3" w:rsidRDefault="00585A06" w:rsidP="0041754F">
      <w:pPr>
        <w:pStyle w:val="Heading6"/>
      </w:pPr>
      <w:bookmarkStart w:id="193" w:name="_Toc371611829"/>
      <w:bookmarkStart w:id="194" w:name="_Toc371612411"/>
      <w:bookmarkStart w:id="195" w:name="_Toc371612675"/>
      <w:bookmarkStart w:id="196" w:name="_Toc371613204"/>
      <w:r w:rsidRPr="00634EE3">
        <w:t>Pivotal stud</w:t>
      </w:r>
      <w:bookmarkEnd w:id="193"/>
      <w:bookmarkEnd w:id="194"/>
      <w:bookmarkEnd w:id="195"/>
      <w:bookmarkEnd w:id="196"/>
      <w:r w:rsidRPr="00634EE3">
        <w:t>y</w:t>
      </w:r>
    </w:p>
    <w:p w:rsidR="00585A06" w:rsidRDefault="004F4239" w:rsidP="0041754F">
      <w:pPr>
        <w:rPr>
          <w:lang w:val="en-US"/>
        </w:rPr>
      </w:pPr>
      <w:r>
        <w:rPr>
          <w:lang w:val="en-US"/>
        </w:rPr>
        <w:t>TE</w:t>
      </w:r>
      <w:r w:rsidR="00585A06">
        <w:rPr>
          <w:lang w:val="en-US"/>
        </w:rPr>
        <w:t xml:space="preserve">AEs considered by the investigator to be related to pomalidomide treatment that occurred in </w:t>
      </w:r>
      <w:r w:rsidR="00EE31CC">
        <w:rPr>
          <w:lang w:val="en-US"/>
        </w:rPr>
        <w:t>≥</w:t>
      </w:r>
      <w:r w:rsidR="00585A06">
        <w:rPr>
          <w:lang w:val="en-US"/>
        </w:rPr>
        <w:t xml:space="preserve"> 5% of subjects in the </w:t>
      </w:r>
      <w:r w:rsidR="00850B88">
        <w:t xml:space="preserve">pomalidomide </w:t>
      </w:r>
      <w:r w:rsidR="00850B88" w:rsidRPr="0070026C">
        <w:t>+</w:t>
      </w:r>
      <w:r w:rsidR="00850B88" w:rsidRPr="00C2201E">
        <w:t xml:space="preserve"> </w:t>
      </w:r>
      <w:r w:rsidR="00850B88">
        <w:t>LD dexamethasone</w:t>
      </w:r>
      <w:r w:rsidR="00850B88" w:rsidRPr="00865AF5">
        <w:t xml:space="preserve"> </w:t>
      </w:r>
      <w:r w:rsidR="00585A06">
        <w:rPr>
          <w:lang w:val="en-US"/>
        </w:rPr>
        <w:t xml:space="preserve">are presented in Table </w:t>
      </w:r>
      <w:r w:rsidR="00512BD0">
        <w:rPr>
          <w:lang w:val="en-US"/>
        </w:rPr>
        <w:t>10</w:t>
      </w:r>
      <w:r w:rsidR="00585A06">
        <w:rPr>
          <w:lang w:val="en-US"/>
        </w:rPr>
        <w:t xml:space="preserve">. Severe TEAEs related to pomalidomide are presented below in Table </w:t>
      </w:r>
      <w:r w:rsidR="00512BD0">
        <w:rPr>
          <w:lang w:val="en-US"/>
        </w:rPr>
        <w:t>11</w:t>
      </w:r>
      <w:r w:rsidR="00585A06">
        <w:rPr>
          <w:lang w:val="en-US"/>
        </w:rPr>
        <w:t>. The most frequently occurring TEAEs considered by the investigator to be related to pomalidomide included neutropenia (38.7%), an</w:t>
      </w:r>
      <w:r w:rsidR="00B26F75">
        <w:rPr>
          <w:lang w:val="en-US"/>
        </w:rPr>
        <w:t>a</w:t>
      </w:r>
      <w:r w:rsidR="00585A06">
        <w:rPr>
          <w:lang w:val="en-US"/>
        </w:rPr>
        <w:t>emia (22.7%), thrombocytopeni</w:t>
      </w:r>
      <w:r w:rsidR="0041754F">
        <w:rPr>
          <w:lang w:val="en-US"/>
        </w:rPr>
        <w:t>a (18.7%), and fatigue (17.7%).</w:t>
      </w:r>
    </w:p>
    <w:p w:rsidR="00403B5D" w:rsidRDefault="00403B5D" w:rsidP="0041754F">
      <w:pPr>
        <w:pStyle w:val="TableTitle"/>
      </w:pPr>
      <w:r>
        <w:lastRenderedPageBreak/>
        <w:t xml:space="preserve">Table </w:t>
      </w:r>
      <w:r w:rsidR="00512BD0">
        <w:t>10</w:t>
      </w:r>
      <w:r>
        <w:t>:</w:t>
      </w:r>
      <w:r w:rsidRPr="004C5C28">
        <w:t xml:space="preserve"> </w:t>
      </w:r>
      <w:r w:rsidR="00BA433D" w:rsidRPr="00BA433D">
        <w:t xml:space="preserve">TEAEs </w:t>
      </w:r>
      <w:r w:rsidR="00372E0F">
        <w:t>c</w:t>
      </w:r>
      <w:r w:rsidR="00BA433D" w:rsidRPr="00BA433D">
        <w:t xml:space="preserve">onsidered </w:t>
      </w:r>
      <w:r w:rsidR="00372E0F">
        <w:t>r</w:t>
      </w:r>
      <w:r w:rsidR="00BA433D" w:rsidRPr="00BA433D">
        <w:t xml:space="preserve">elated to </w:t>
      </w:r>
      <w:r w:rsidR="00372E0F">
        <w:t>p</w:t>
      </w:r>
      <w:r w:rsidR="0035470B">
        <w:t>omalidomide by the i</w:t>
      </w:r>
      <w:r w:rsidR="00BA433D" w:rsidRPr="00BA433D">
        <w:t xml:space="preserve">nvestigator in at least 5% of </w:t>
      </w:r>
      <w:r w:rsidR="00372E0F">
        <w:t>s</w:t>
      </w:r>
      <w:r w:rsidR="00BA433D" w:rsidRPr="00BA433D">
        <w:t>ubjects by SOC and Preferred Term (Safety Population)</w:t>
      </w:r>
      <w:r>
        <w:rPr>
          <w:lang w:eastAsia="en-AU"/>
        </w:rPr>
        <w:t>.</w:t>
      </w:r>
    </w:p>
    <w:p w:rsidR="00403B5D" w:rsidRPr="00FD280E" w:rsidRDefault="00D41715" w:rsidP="0041754F">
      <w:r>
        <w:rPr>
          <w:noProof/>
          <w:lang w:eastAsia="en-AU"/>
        </w:rPr>
        <w:drawing>
          <wp:inline distT="0" distB="0" distL="0" distR="0" wp14:anchorId="64DE59B6" wp14:editId="4124988C">
            <wp:extent cx="4197350" cy="4794250"/>
            <wp:effectExtent l="0" t="0" r="0" b="6350"/>
            <wp:docPr id="8" name="Picture 8" descr="Table 10: TEAEs considered related to pomalidomide by the investigator in at least 5% of subjects by SOC and Preferred Term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10: TEAEs considered related to pomalidomide by the investigator in at least 5% of subjects by SOC and Preferred Term (Safety Popul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7350" cy="4794250"/>
                    </a:xfrm>
                    <a:prstGeom prst="rect">
                      <a:avLst/>
                    </a:prstGeom>
                    <a:noFill/>
                    <a:ln>
                      <a:noFill/>
                    </a:ln>
                  </pic:spPr>
                </pic:pic>
              </a:graphicData>
            </a:graphic>
          </wp:inline>
        </w:drawing>
      </w:r>
    </w:p>
    <w:p w:rsidR="00A254F5" w:rsidRDefault="00A254F5" w:rsidP="0041754F">
      <w:pPr>
        <w:pStyle w:val="TableTitle"/>
      </w:pPr>
      <w:r>
        <w:lastRenderedPageBreak/>
        <w:t xml:space="preserve">Table </w:t>
      </w:r>
      <w:r w:rsidR="00512BD0">
        <w:t>11</w:t>
      </w:r>
      <w:r>
        <w:t>:</w:t>
      </w:r>
      <w:r w:rsidRPr="004C5C28">
        <w:t xml:space="preserve"> </w:t>
      </w:r>
      <w:r w:rsidR="002277D1" w:rsidRPr="002277D1">
        <w:t xml:space="preserve">TEAEs with CTCAE Grade 3 or 4 </w:t>
      </w:r>
      <w:r w:rsidR="00FC6B45">
        <w:t>c</w:t>
      </w:r>
      <w:r w:rsidR="002277D1" w:rsidRPr="002277D1">
        <w:t xml:space="preserve">onsidered by the </w:t>
      </w:r>
      <w:r w:rsidR="00FC6B45">
        <w:t>i</w:t>
      </w:r>
      <w:r w:rsidR="002277D1" w:rsidRPr="002277D1">
        <w:t xml:space="preserve">nvestigator </w:t>
      </w:r>
      <w:r w:rsidR="00FC6B45">
        <w:t>r</w:t>
      </w:r>
      <w:r w:rsidR="002277D1" w:rsidRPr="002277D1">
        <w:t xml:space="preserve">elated to </w:t>
      </w:r>
      <w:r w:rsidR="00FC6B45">
        <w:t>p</w:t>
      </w:r>
      <w:r w:rsidR="002277D1" w:rsidRPr="002277D1">
        <w:t xml:space="preserve">omalidomide in at least 2% of </w:t>
      </w:r>
      <w:r w:rsidR="00FC6B45">
        <w:t>s</w:t>
      </w:r>
      <w:r w:rsidR="002277D1" w:rsidRPr="002277D1">
        <w:t>ubjects by SOC and Preferred Term (Safety Population)</w:t>
      </w:r>
      <w:r>
        <w:rPr>
          <w:lang w:eastAsia="en-AU"/>
        </w:rPr>
        <w:t>.</w:t>
      </w:r>
    </w:p>
    <w:p w:rsidR="00403B5D" w:rsidRDefault="00D41715" w:rsidP="0041754F">
      <w:r>
        <w:rPr>
          <w:noProof/>
          <w:lang w:eastAsia="en-AU"/>
        </w:rPr>
        <w:drawing>
          <wp:inline distT="0" distB="0" distL="0" distR="0" wp14:anchorId="33FD0F3F" wp14:editId="0E3EBC4E">
            <wp:extent cx="4508500" cy="3397250"/>
            <wp:effectExtent l="0" t="0" r="6350" b="0"/>
            <wp:docPr id="9" name="Picture 9" descr="Table 11: TEAEs with CTCAE Grade 3 or 4 considered by the investigator related to pomalidomide in at least 2% of subjects by SOC and Preferred Term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11: TEAEs with CTCAE Grade 3 or 4 considered by the investigator related to pomalidomide in at least 2% of subjects by SOC and Preferred Term (Safety Popul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8500" cy="3397250"/>
                    </a:xfrm>
                    <a:prstGeom prst="rect">
                      <a:avLst/>
                    </a:prstGeom>
                    <a:noFill/>
                    <a:ln>
                      <a:noFill/>
                    </a:ln>
                  </pic:spPr>
                </pic:pic>
              </a:graphicData>
            </a:graphic>
          </wp:inline>
        </w:drawing>
      </w:r>
    </w:p>
    <w:p w:rsidR="00853633" w:rsidRDefault="00853633" w:rsidP="0041754F">
      <w:r>
        <w:rPr>
          <w:b/>
          <w:bCs/>
        </w:rPr>
        <w:t xml:space="preserve">Severe TEAEs considered </w:t>
      </w:r>
      <w:proofErr w:type="gramStart"/>
      <w:r>
        <w:rPr>
          <w:b/>
          <w:bCs/>
        </w:rPr>
        <w:t>to be</w:t>
      </w:r>
      <w:proofErr w:type="gramEnd"/>
      <w:r>
        <w:rPr>
          <w:b/>
          <w:bCs/>
        </w:rPr>
        <w:t xml:space="preserve"> treatment</w:t>
      </w:r>
      <w:r w:rsidR="00515007">
        <w:rPr>
          <w:b/>
          <w:bCs/>
        </w:rPr>
        <w:t xml:space="preserve"> </w:t>
      </w:r>
      <w:r>
        <w:rPr>
          <w:b/>
          <w:bCs/>
        </w:rPr>
        <w:t>related:</w:t>
      </w:r>
      <w:r>
        <w:rPr>
          <w:lang w:val="en-US"/>
        </w:rPr>
        <w:t xml:space="preserve"> 56.7% of subjects in the </w:t>
      </w:r>
      <w:r w:rsidR="00850B88">
        <w:t xml:space="preserve">pomalidomide </w:t>
      </w:r>
      <w:r w:rsidR="00850B88" w:rsidRPr="0070026C">
        <w:t>+</w:t>
      </w:r>
      <w:r w:rsidR="00850B88" w:rsidRPr="00C2201E">
        <w:t xml:space="preserve"> </w:t>
      </w:r>
      <w:r w:rsidR="00850B88">
        <w:t>LD dexamethasone</w:t>
      </w:r>
      <w:r w:rsidR="00850B88" w:rsidRPr="00865AF5">
        <w:t xml:space="preserve"> </w:t>
      </w:r>
      <w:r>
        <w:rPr>
          <w:lang w:val="en-US"/>
        </w:rPr>
        <w:t xml:space="preserve">arm had at least one Grade 3/4 TEAE considered by the investigator to be related to pomalidomide. The most frequently occurring of these TEAEs included neutropenia (35.7%), thrombocytopenia (13.7%) and anaemia </w:t>
      </w:r>
      <w:r>
        <w:t>(13.0%).</w:t>
      </w:r>
    </w:p>
    <w:p w:rsidR="00F60ACB" w:rsidRDefault="00F60ACB" w:rsidP="0041754F">
      <w:pPr>
        <w:pStyle w:val="Heading5"/>
      </w:pPr>
      <w:bookmarkStart w:id="197" w:name="_Toc371611834"/>
      <w:bookmarkStart w:id="198" w:name="_Toc371612416"/>
      <w:bookmarkStart w:id="199" w:name="_Toc371612680"/>
      <w:bookmarkStart w:id="200" w:name="_Toc371613205"/>
      <w:bookmarkStart w:id="201" w:name="_Ref371690806"/>
      <w:r>
        <w:t>Other studies</w:t>
      </w:r>
      <w:bookmarkEnd w:id="197"/>
      <w:bookmarkEnd w:id="198"/>
      <w:bookmarkEnd w:id="199"/>
      <w:bookmarkEnd w:id="200"/>
      <w:bookmarkEnd w:id="201"/>
    </w:p>
    <w:p w:rsidR="00F60ACB" w:rsidRPr="00E923D9" w:rsidRDefault="00F60ACB" w:rsidP="0041754F">
      <w:pPr>
        <w:pStyle w:val="Heading6"/>
      </w:pPr>
      <w:bookmarkStart w:id="202" w:name="_Toc371611835"/>
      <w:bookmarkStart w:id="203" w:name="_Toc371612417"/>
      <w:bookmarkStart w:id="204" w:name="_Toc371612681"/>
      <w:bookmarkStart w:id="205" w:name="_Toc371613206"/>
      <w:bookmarkStart w:id="206" w:name="_Ref371690848"/>
      <w:r w:rsidRPr="00E923D9">
        <w:t xml:space="preserve">Study CC-4047-MM-02 Phase </w:t>
      </w:r>
      <w:bookmarkEnd w:id="202"/>
      <w:bookmarkEnd w:id="203"/>
      <w:bookmarkEnd w:id="204"/>
      <w:bookmarkEnd w:id="205"/>
      <w:bookmarkEnd w:id="206"/>
      <w:r w:rsidRPr="00E923D9">
        <w:t>II</w:t>
      </w:r>
    </w:p>
    <w:p w:rsidR="00F60ACB" w:rsidRDefault="00F60ACB" w:rsidP="0041754F">
      <w:pPr>
        <w:rPr>
          <w:lang w:val="en-US"/>
        </w:rPr>
      </w:pPr>
      <w:r>
        <w:rPr>
          <w:b/>
          <w:bCs/>
        </w:rPr>
        <w:t xml:space="preserve">Pomalidomide related adverse events occurred in </w:t>
      </w:r>
      <w:r>
        <w:rPr>
          <w:lang w:val="en-US"/>
        </w:rPr>
        <w:t xml:space="preserve">89.3% of subjects in the </w:t>
      </w:r>
      <w:r w:rsidR="00BE03E5">
        <w:rPr>
          <w:lang w:val="en-US"/>
        </w:rPr>
        <w:t xml:space="preserve">pomalidomide </w:t>
      </w:r>
      <w:r>
        <w:rPr>
          <w:lang w:val="en-US"/>
        </w:rPr>
        <w:t xml:space="preserve">+ </w:t>
      </w:r>
      <w:r w:rsidR="00170C6D">
        <w:t>dexamethasone</w:t>
      </w:r>
      <w:r>
        <w:rPr>
          <w:lang w:val="en-US"/>
        </w:rPr>
        <w:t xml:space="preserve"> arm and 88.8% of subjects in the pomalidomide alone arm. </w:t>
      </w:r>
      <w:r>
        <w:t xml:space="preserve">While the pattern of AEs occurring in ≥10% of subjects was the same as for the pivotal trial, there were higher rates in the </w:t>
      </w:r>
      <w:r w:rsidR="000677FC">
        <w:t xml:space="preserve">pomalidomide </w:t>
      </w:r>
      <w:r w:rsidR="000677FC" w:rsidRPr="0070026C">
        <w:t>+</w:t>
      </w:r>
      <w:r w:rsidR="000677FC" w:rsidRPr="00C2201E">
        <w:t xml:space="preserve"> </w:t>
      </w:r>
      <w:r w:rsidR="000677FC">
        <w:t>LD dexamethasone</w:t>
      </w:r>
      <w:r w:rsidR="000677FC" w:rsidRPr="00865AF5">
        <w:t xml:space="preserve"> </w:t>
      </w:r>
      <w:r>
        <w:t>subjects in this trial as follows:</w:t>
      </w:r>
      <w:r w:rsidR="006813F9">
        <w:t xml:space="preserve"> </w:t>
      </w:r>
      <w:r w:rsidR="000677FC">
        <w:t>neutropenia (45.5% versus</w:t>
      </w:r>
      <w:r>
        <w:t xml:space="preserve"> 37.7) fatigue (38.4% and 17.7), Infections and Infestations (SOC) (23.2% &lt;5%), anaemia (25% and 22.7</w:t>
      </w:r>
      <w:r w:rsidR="0029702B">
        <w:t>) and thrombocytopenia (20.5% versus</w:t>
      </w:r>
      <w:r>
        <w:t xml:space="preserve"> 18.7%). </w:t>
      </w:r>
      <w:r w:rsidRPr="00515BA8">
        <w:rPr>
          <w:bCs/>
        </w:rPr>
        <w:t>This did not translate into significantly higher rates of severe events (Grade 3/ 4) between the Phase II and II</w:t>
      </w:r>
      <w:r w:rsidR="00CA05F5">
        <w:rPr>
          <w:bCs/>
        </w:rPr>
        <w:t>I</w:t>
      </w:r>
      <w:r w:rsidRPr="00515BA8">
        <w:rPr>
          <w:bCs/>
        </w:rPr>
        <w:t xml:space="preserve"> trials</w:t>
      </w:r>
      <w:r w:rsidRPr="00515BA8">
        <w:rPr>
          <w:lang w:val="en-US"/>
        </w:rPr>
        <w:t>.</w:t>
      </w:r>
    </w:p>
    <w:p w:rsidR="00F60ACB" w:rsidRPr="00515BA8" w:rsidRDefault="00F60ACB" w:rsidP="0041754F">
      <w:pPr>
        <w:rPr>
          <w:lang w:val="en-US"/>
        </w:rPr>
      </w:pPr>
      <w:r>
        <w:rPr>
          <w:lang w:val="en-US"/>
        </w:rPr>
        <w:t xml:space="preserve">Recovery rates from neutropenia and thrombocytopenia were faster in the </w:t>
      </w:r>
      <w:r w:rsidR="00193126">
        <w:rPr>
          <w:lang w:val="en-US"/>
        </w:rPr>
        <w:t xml:space="preserve">pomalidomide + </w:t>
      </w:r>
      <w:r w:rsidR="00193126">
        <w:t>dexamethasone</w:t>
      </w:r>
      <w:r w:rsidR="00193126">
        <w:rPr>
          <w:lang w:val="en-US"/>
        </w:rPr>
        <w:t xml:space="preserve"> </w:t>
      </w:r>
      <w:r>
        <w:rPr>
          <w:lang w:val="en-US"/>
        </w:rPr>
        <w:t xml:space="preserve">arm compared with </w:t>
      </w:r>
      <w:r w:rsidR="00232AAB">
        <w:t>HD dexamethasone</w:t>
      </w:r>
      <w:r>
        <w:rPr>
          <w:lang w:val="en-US"/>
        </w:rPr>
        <w:t>.</w:t>
      </w:r>
    </w:p>
    <w:p w:rsidR="00F60ACB" w:rsidRPr="006D4024" w:rsidRDefault="00F60ACB" w:rsidP="00C9067B">
      <w:pPr>
        <w:ind w:left="426"/>
        <w:rPr>
          <w:rFonts w:eastAsia="TimesNewRoman"/>
          <w:i/>
          <w:lang w:val="en-US"/>
        </w:rPr>
      </w:pPr>
      <w:r w:rsidRPr="006D4024">
        <w:rPr>
          <w:rFonts w:eastAsia="TimesNewRoman"/>
          <w:i/>
          <w:lang w:val="en-US"/>
        </w:rPr>
        <w:t xml:space="preserve">Comment: </w:t>
      </w:r>
      <w:r>
        <w:rPr>
          <w:rFonts w:eastAsia="TimesNewRoman"/>
          <w:i/>
          <w:lang w:val="en-US"/>
        </w:rPr>
        <w:t>there are</w:t>
      </w:r>
      <w:r w:rsidRPr="006D4024">
        <w:rPr>
          <w:rFonts w:eastAsia="TimesNewRoman"/>
          <w:i/>
          <w:lang w:val="en-US"/>
        </w:rPr>
        <w:t xml:space="preserve"> higher rates of </w:t>
      </w:r>
      <w:r w:rsidR="00277D66">
        <w:rPr>
          <w:rFonts w:eastAsia="TimesNewRoman"/>
          <w:i/>
          <w:lang w:val="en-US"/>
        </w:rPr>
        <w:t>AEs</w:t>
      </w:r>
      <w:r w:rsidRPr="006D4024">
        <w:rPr>
          <w:rFonts w:eastAsia="TimesNewRoman"/>
          <w:i/>
          <w:lang w:val="en-US"/>
        </w:rPr>
        <w:t xml:space="preserve">, particularly for </w:t>
      </w:r>
      <w:r>
        <w:rPr>
          <w:rFonts w:eastAsia="TimesNewRoman"/>
          <w:i/>
          <w:lang w:val="en-US"/>
        </w:rPr>
        <w:t xml:space="preserve">neutropenia, </w:t>
      </w:r>
      <w:r w:rsidRPr="006D4024">
        <w:rPr>
          <w:rFonts w:eastAsia="TimesNewRoman"/>
          <w:i/>
          <w:lang w:val="en-US"/>
        </w:rPr>
        <w:t>fatigue and infection rates in the Phase II trial</w:t>
      </w:r>
      <w:r>
        <w:rPr>
          <w:rFonts w:eastAsia="TimesNewRoman"/>
          <w:i/>
          <w:lang w:val="en-US"/>
        </w:rPr>
        <w:t>, which may be attributable to the longer median treatment time in this group</w:t>
      </w:r>
      <w:r w:rsidRPr="006D4024">
        <w:rPr>
          <w:rFonts w:eastAsia="TimesNewRoman"/>
          <w:i/>
          <w:lang w:val="en-US"/>
        </w:rPr>
        <w:t>.</w:t>
      </w:r>
      <w:r>
        <w:rPr>
          <w:rFonts w:eastAsia="TimesNewRoman"/>
          <w:i/>
          <w:lang w:val="en-US"/>
        </w:rPr>
        <w:t xml:space="preserve"> A Quality of Life assessment would have helped determine the impact and importance of some of these factors especially fatigue. The </w:t>
      </w:r>
      <w:r w:rsidR="00890896">
        <w:rPr>
          <w:rFonts w:eastAsia="TimesNewRoman"/>
          <w:i/>
          <w:lang w:val="en-US"/>
        </w:rPr>
        <w:t>s</w:t>
      </w:r>
      <w:r>
        <w:rPr>
          <w:rFonts w:eastAsia="TimesNewRoman"/>
          <w:i/>
          <w:lang w:val="en-US"/>
        </w:rPr>
        <w:t xml:space="preserve">ponsor has been requested to provide the outcome of these assessments for the Phase III study protocol but analysis were not included in the submission (see Questions for </w:t>
      </w:r>
      <w:r w:rsidR="00E923D9">
        <w:rPr>
          <w:rFonts w:eastAsia="TimesNewRoman"/>
          <w:i/>
          <w:lang w:val="en-US"/>
        </w:rPr>
        <w:t>s</w:t>
      </w:r>
      <w:r>
        <w:rPr>
          <w:rFonts w:eastAsia="TimesNewRoman"/>
          <w:i/>
          <w:lang w:val="en-US"/>
        </w:rPr>
        <w:t>ponsor).</w:t>
      </w:r>
    </w:p>
    <w:p w:rsidR="00F60ACB" w:rsidRPr="00E923D9" w:rsidRDefault="00F60ACB" w:rsidP="0041754F">
      <w:pPr>
        <w:pStyle w:val="Heading6"/>
        <w:rPr>
          <w:rFonts w:eastAsia="TimesNewRoman"/>
        </w:rPr>
      </w:pPr>
      <w:bookmarkStart w:id="207" w:name="_Toc371611836"/>
      <w:bookmarkStart w:id="208" w:name="_Toc371612418"/>
      <w:bookmarkStart w:id="209" w:name="_Toc371612682"/>
      <w:bookmarkStart w:id="210" w:name="_Toc371613207"/>
      <w:r w:rsidRPr="00E923D9">
        <w:rPr>
          <w:rFonts w:eastAsia="TimesNewRoman"/>
        </w:rPr>
        <w:t>Study IFM-2009-02</w:t>
      </w:r>
      <w:bookmarkEnd w:id="207"/>
      <w:bookmarkEnd w:id="208"/>
      <w:bookmarkEnd w:id="209"/>
      <w:bookmarkEnd w:id="210"/>
    </w:p>
    <w:p w:rsidR="00F60ACB" w:rsidRPr="0060362C" w:rsidRDefault="008C5BBA" w:rsidP="0041754F">
      <w:pPr>
        <w:rPr>
          <w:lang w:val="en-US"/>
        </w:rPr>
      </w:pPr>
      <w:r>
        <w:rPr>
          <w:lang w:val="en-US"/>
        </w:rPr>
        <w:t xml:space="preserve">A total </w:t>
      </w:r>
      <w:r w:rsidR="00F60ACB">
        <w:rPr>
          <w:rFonts w:hint="eastAsia"/>
          <w:lang w:val="en-US"/>
        </w:rPr>
        <w:t>94%</w:t>
      </w:r>
      <w:r w:rsidR="00F60ACB">
        <w:rPr>
          <w:lang w:val="en-US"/>
        </w:rPr>
        <w:t xml:space="preserve"> </w:t>
      </w:r>
      <w:r w:rsidR="00F60ACB">
        <w:rPr>
          <w:rFonts w:hint="eastAsia"/>
          <w:lang w:val="en-US"/>
        </w:rPr>
        <w:t xml:space="preserve">experienced at least one </w:t>
      </w:r>
      <w:r w:rsidR="00F60ACB">
        <w:rPr>
          <w:lang w:val="en-US"/>
        </w:rPr>
        <w:t>drug</w:t>
      </w:r>
      <w:r>
        <w:rPr>
          <w:lang w:val="en-US"/>
        </w:rPr>
        <w:t xml:space="preserve"> </w:t>
      </w:r>
      <w:r w:rsidR="00F60ACB">
        <w:rPr>
          <w:lang w:val="en-US"/>
        </w:rPr>
        <w:t xml:space="preserve">related </w:t>
      </w:r>
      <w:r w:rsidR="00F60ACB">
        <w:rPr>
          <w:rFonts w:hint="eastAsia"/>
          <w:lang w:val="en-US"/>
        </w:rPr>
        <w:t>TEAE</w:t>
      </w:r>
      <w:r w:rsidR="00F60ACB">
        <w:rPr>
          <w:lang w:val="en-US"/>
        </w:rPr>
        <w:t>, and the pattern of the TEAEs and severe drug</w:t>
      </w:r>
      <w:r>
        <w:rPr>
          <w:lang w:val="en-US"/>
        </w:rPr>
        <w:t xml:space="preserve"> </w:t>
      </w:r>
      <w:r w:rsidR="00F60ACB">
        <w:rPr>
          <w:lang w:val="en-US"/>
        </w:rPr>
        <w:t>related TEAEs related to pomalidomide was similar to the other trials. Neutropenia rates were much higher (62.8%) than in patients treated similarly (21/28) in Study CC-4047-MM-02 (45.5%) and in the pivotal trial (</w:t>
      </w:r>
      <w:r w:rsidR="002B4E60">
        <w:rPr>
          <w:lang w:val="en-US"/>
        </w:rPr>
        <w:t xml:space="preserve">38.7%). One case (2.3%) of drug </w:t>
      </w:r>
      <w:r w:rsidR="00F60ACB">
        <w:rPr>
          <w:lang w:val="en-US"/>
        </w:rPr>
        <w:t>related acute renal failure occurred in the 21/28 day group. Although r</w:t>
      </w:r>
      <w:r w:rsidR="00F60ACB">
        <w:rPr>
          <w:rFonts w:hint="eastAsia"/>
          <w:lang w:val="en-US"/>
        </w:rPr>
        <w:t>enal failure was</w:t>
      </w:r>
      <w:r w:rsidR="00F60ACB">
        <w:rPr>
          <w:lang w:val="en-US"/>
        </w:rPr>
        <w:t xml:space="preserve"> </w:t>
      </w:r>
      <w:r w:rsidR="00F60ACB">
        <w:rPr>
          <w:rFonts w:hint="eastAsia"/>
          <w:lang w:val="en-US"/>
        </w:rPr>
        <w:lastRenderedPageBreak/>
        <w:t>reported in 16 patients (19%)</w:t>
      </w:r>
      <w:r w:rsidR="00F60ACB">
        <w:rPr>
          <w:lang w:val="en-US"/>
        </w:rPr>
        <w:t xml:space="preserve">, these were </w:t>
      </w:r>
      <w:r w:rsidR="00F60ACB">
        <w:rPr>
          <w:rFonts w:hint="eastAsia"/>
          <w:lang w:val="en-US"/>
        </w:rPr>
        <w:t>primarily considered to be unrelated to study treatment.</w:t>
      </w:r>
      <w:bookmarkStart w:id="211" w:name="_Toc241374320"/>
      <w:bookmarkStart w:id="212" w:name="_Ref272333507"/>
      <w:bookmarkStart w:id="213" w:name="_Toc272414666"/>
      <w:bookmarkStart w:id="214" w:name="_Toc290846304"/>
      <w:bookmarkStart w:id="215" w:name="_Toc290888841"/>
      <w:bookmarkStart w:id="216" w:name="_Toc371611837"/>
      <w:bookmarkStart w:id="217" w:name="_Toc371612419"/>
      <w:bookmarkStart w:id="218" w:name="_Toc371612683"/>
      <w:bookmarkStart w:id="219" w:name="_Toc371613208"/>
    </w:p>
    <w:p w:rsidR="00F60ACB" w:rsidRPr="00A2723A" w:rsidRDefault="00F60ACB" w:rsidP="0041754F">
      <w:pPr>
        <w:pStyle w:val="Heading5"/>
      </w:pPr>
      <w:r w:rsidRPr="00A2723A">
        <w:t xml:space="preserve">Deaths and other </w:t>
      </w:r>
      <w:bookmarkEnd w:id="211"/>
      <w:bookmarkEnd w:id="212"/>
      <w:bookmarkEnd w:id="213"/>
      <w:bookmarkEnd w:id="214"/>
      <w:bookmarkEnd w:id="215"/>
      <w:bookmarkEnd w:id="216"/>
      <w:bookmarkEnd w:id="217"/>
      <w:bookmarkEnd w:id="218"/>
      <w:bookmarkEnd w:id="219"/>
      <w:r w:rsidR="00AB5CFB">
        <w:t>SAEs</w:t>
      </w:r>
    </w:p>
    <w:p w:rsidR="00F60ACB" w:rsidRDefault="00F60ACB" w:rsidP="0041754F">
      <w:pPr>
        <w:pStyle w:val="Heading6"/>
      </w:pPr>
      <w:bookmarkStart w:id="220" w:name="_Toc371611839"/>
      <w:bookmarkStart w:id="221" w:name="_Toc371612421"/>
      <w:bookmarkStart w:id="222" w:name="_Toc371612685"/>
      <w:bookmarkStart w:id="223" w:name="_Toc371613210"/>
      <w:r>
        <w:t>Deaths</w:t>
      </w:r>
      <w:bookmarkEnd w:id="220"/>
      <w:bookmarkEnd w:id="221"/>
      <w:bookmarkEnd w:id="222"/>
      <w:bookmarkEnd w:id="223"/>
    </w:p>
    <w:p w:rsidR="00F60ACB" w:rsidRPr="00FB47CC" w:rsidRDefault="00F60ACB" w:rsidP="0041754F">
      <w:pPr>
        <w:rPr>
          <w:rFonts w:cs="Cambria"/>
          <w:b/>
          <w:bCs/>
        </w:rPr>
      </w:pPr>
      <w:r>
        <w:rPr>
          <w:lang w:val="en-US"/>
        </w:rPr>
        <w:t>At the pivotal study cut-off (Sept</w:t>
      </w:r>
      <w:r w:rsidR="00E23A61">
        <w:rPr>
          <w:lang w:val="en-US"/>
        </w:rPr>
        <w:t>ember</w:t>
      </w:r>
      <w:r>
        <w:rPr>
          <w:lang w:val="en-US"/>
        </w:rPr>
        <w:t xml:space="preserve"> 2012), 25% of subjects in the </w:t>
      </w:r>
      <w:r w:rsidR="00E23A61">
        <w:t xml:space="preserve">pomalidomide </w:t>
      </w:r>
      <w:r w:rsidR="00E23A61" w:rsidRPr="0070026C">
        <w:t>+</w:t>
      </w:r>
      <w:r w:rsidR="00E23A61" w:rsidRPr="00C2201E">
        <w:t xml:space="preserve"> </w:t>
      </w:r>
      <w:r w:rsidR="00E23A61">
        <w:t>LD dexamethasone</w:t>
      </w:r>
      <w:r w:rsidR="00C62AD0">
        <w:rPr>
          <w:lang w:val="en-US"/>
        </w:rPr>
        <w:t xml:space="preserve"> arm had died compared to</w:t>
      </w:r>
      <w:r>
        <w:rPr>
          <w:lang w:val="en-US"/>
        </w:rPr>
        <w:t xml:space="preserve"> 37.6% in the </w:t>
      </w:r>
      <w:r w:rsidR="009972F9">
        <w:t>HD dexamethasone</w:t>
      </w:r>
      <w:r w:rsidR="009972F9">
        <w:rPr>
          <w:lang w:val="en-US"/>
        </w:rPr>
        <w:t xml:space="preserve"> </w:t>
      </w:r>
      <w:r>
        <w:rPr>
          <w:lang w:val="en-US"/>
        </w:rPr>
        <w:t>arm, most commonly from MM</w:t>
      </w:r>
      <w:r w:rsidRPr="00AC0F2B">
        <w:rPr>
          <w:lang w:val="en-US"/>
        </w:rPr>
        <w:t xml:space="preserve">. </w:t>
      </w:r>
      <w:r w:rsidRPr="00AC0F2B">
        <w:rPr>
          <w:rFonts w:cs="Cambria"/>
          <w:bCs/>
        </w:rPr>
        <w:t xml:space="preserve">Grade 5 </w:t>
      </w:r>
      <w:r w:rsidR="00352218">
        <w:rPr>
          <w:rFonts w:cs="Cambria"/>
          <w:bCs/>
        </w:rPr>
        <w:t>AEs</w:t>
      </w:r>
      <w:r w:rsidRPr="00AC0F2B">
        <w:rPr>
          <w:rFonts w:cs="Cambria"/>
          <w:bCs/>
        </w:rPr>
        <w:t xml:space="preserve"> (death related to an AE on or within 28 days of discontinuation):</w:t>
      </w:r>
      <w:r>
        <w:rPr>
          <w:rFonts w:cs="Cambria"/>
          <w:b/>
          <w:bCs/>
        </w:rPr>
        <w:t xml:space="preserve"> </w:t>
      </w:r>
      <w:r>
        <w:rPr>
          <w:lang w:val="en-US"/>
        </w:rPr>
        <w:t xml:space="preserve">12.3% in the </w:t>
      </w:r>
      <w:r w:rsidR="00BE03E5">
        <w:rPr>
          <w:lang w:val="en-US"/>
        </w:rPr>
        <w:t xml:space="preserve">pomalidomide </w:t>
      </w:r>
      <w:r>
        <w:rPr>
          <w:lang w:val="en-US"/>
        </w:rPr>
        <w:t xml:space="preserve">+ </w:t>
      </w:r>
      <w:r w:rsidR="008E4B63">
        <w:t>LD dexamethasone</w:t>
      </w:r>
      <w:r w:rsidR="008E4B63">
        <w:rPr>
          <w:lang w:val="en-US"/>
        </w:rPr>
        <w:t xml:space="preserve"> </w:t>
      </w:r>
      <w:r>
        <w:rPr>
          <w:lang w:val="en-US"/>
        </w:rPr>
        <w:t xml:space="preserve">arm and 14.8% in the </w:t>
      </w:r>
      <w:r w:rsidR="008E4B63">
        <w:t>HD dexamethasone</w:t>
      </w:r>
      <w:r w:rsidR="008E4B63">
        <w:rPr>
          <w:lang w:val="en-US"/>
        </w:rPr>
        <w:t xml:space="preserve"> </w:t>
      </w:r>
      <w:r>
        <w:rPr>
          <w:lang w:val="en-US"/>
        </w:rPr>
        <w:t xml:space="preserve">arm died due to an AE while on treatment. Notable differences between the arms were more deaths from infections in the </w:t>
      </w:r>
      <w:r w:rsidR="00A95AF6">
        <w:t>HD dexamethasone</w:t>
      </w:r>
      <w:r w:rsidR="00A95AF6">
        <w:rPr>
          <w:lang w:val="en-US"/>
        </w:rPr>
        <w:t xml:space="preserve"> group (7.4% compared to</w:t>
      </w:r>
      <w:r>
        <w:rPr>
          <w:lang w:val="en-US"/>
        </w:rPr>
        <w:t xml:space="preserve"> 2.3%), and from renal failure in the </w:t>
      </w:r>
      <w:r w:rsidR="00BE03E5">
        <w:rPr>
          <w:lang w:val="en-US"/>
        </w:rPr>
        <w:t xml:space="preserve">pomalidomide </w:t>
      </w:r>
      <w:r>
        <w:rPr>
          <w:lang w:val="en-US"/>
        </w:rPr>
        <w:t xml:space="preserve">+ </w:t>
      </w:r>
      <w:r w:rsidR="00D17B3B">
        <w:t>LD dexamethasone</w:t>
      </w:r>
      <w:r w:rsidR="00D17B3B">
        <w:rPr>
          <w:lang w:val="en-US"/>
        </w:rPr>
        <w:t xml:space="preserve"> </w:t>
      </w:r>
      <w:r>
        <w:rPr>
          <w:lang w:val="en-US"/>
        </w:rPr>
        <w:t xml:space="preserve">arm (1% </w:t>
      </w:r>
      <w:r w:rsidR="00DE51EC">
        <w:rPr>
          <w:lang w:val="en-US"/>
        </w:rPr>
        <w:t>compared to</w:t>
      </w:r>
      <w:r>
        <w:rPr>
          <w:lang w:val="en-US"/>
        </w:rPr>
        <w:t xml:space="preserve"> 0%). Deaths from other TEAEs occurred in 1 or 2 subjects in each treatment arm.</w:t>
      </w:r>
    </w:p>
    <w:p w:rsidR="00F60ACB" w:rsidRDefault="00F60ACB" w:rsidP="00C9067B">
      <w:pPr>
        <w:rPr>
          <w:lang w:val="en-US"/>
        </w:rPr>
      </w:pPr>
      <w:r>
        <w:rPr>
          <w:lang w:val="en-US"/>
        </w:rPr>
        <w:t>In the Phase II M-002 study, 8% of total deaths were suspected to be r</w:t>
      </w:r>
      <w:r w:rsidR="003830F3">
        <w:rPr>
          <w:lang w:val="en-US"/>
        </w:rPr>
        <w:t xml:space="preserve">elated to pomalidomide, due to </w:t>
      </w:r>
      <w:r>
        <w:rPr>
          <w:lang w:val="en-US"/>
        </w:rPr>
        <w:t>staphylococcal sepsis, pneumonia, MM progression, respiratory failur</w:t>
      </w:r>
      <w:r w:rsidR="0041754F">
        <w:rPr>
          <w:lang w:val="en-US"/>
        </w:rPr>
        <w:t>e, and sepsis.</w:t>
      </w:r>
    </w:p>
    <w:p w:rsidR="00F60ACB" w:rsidRPr="00A2723A" w:rsidRDefault="00F60ACB" w:rsidP="0041754F">
      <w:pPr>
        <w:rPr>
          <w:b/>
        </w:rPr>
      </w:pPr>
      <w:r w:rsidRPr="00A2723A">
        <w:rPr>
          <w:lang w:val="en-US"/>
        </w:rPr>
        <w:t>In IFM</w:t>
      </w:r>
      <w:bookmarkStart w:id="224" w:name="_Toc371611844"/>
      <w:bookmarkStart w:id="225" w:name="_Toc371612426"/>
      <w:bookmarkStart w:id="226" w:name="_Toc371612690"/>
      <w:bookmarkStart w:id="227" w:name="_Toc371613214"/>
      <w:r w:rsidRPr="00A2723A">
        <w:t xml:space="preserve"> Study IFM-2009-02</w:t>
      </w:r>
      <w:bookmarkEnd w:id="224"/>
      <w:bookmarkEnd w:id="225"/>
      <w:bookmarkEnd w:id="226"/>
      <w:bookmarkEnd w:id="227"/>
      <w:r w:rsidRPr="00A2723A">
        <w:t xml:space="preserve">, 95% of deaths were considered due to MM. </w:t>
      </w:r>
      <w:r w:rsidR="00C80F42">
        <w:rPr>
          <w:lang w:val="en-US"/>
        </w:rPr>
        <w:t>Two</w:t>
      </w:r>
      <w:r w:rsidRPr="00A2723A">
        <w:rPr>
          <w:lang w:val="en-US"/>
        </w:rPr>
        <w:t xml:space="preserve"> deaths on treatment occurred:</w:t>
      </w:r>
      <w:r w:rsidRPr="00A2723A">
        <w:t xml:space="preserve"> one with respiratory disease (considered treatment related), and the second with pneumonia and neutropenia (not considered drug related) although both the </w:t>
      </w:r>
      <w:r w:rsidR="00C80F42" w:rsidRPr="00A2723A">
        <w:t xml:space="preserve">clinical evaluator </w:t>
      </w:r>
      <w:r w:rsidRPr="00A2723A">
        <w:t>and the Delegate consider treatment could potentially be related as the patient developed pneumonia and was neutropenic at the time of death.</w:t>
      </w:r>
    </w:p>
    <w:p w:rsidR="00F60ACB" w:rsidRPr="00680D47" w:rsidRDefault="00F60ACB" w:rsidP="00C9067B">
      <w:pPr>
        <w:ind w:left="426"/>
        <w:rPr>
          <w:i/>
        </w:rPr>
      </w:pPr>
      <w:r w:rsidRPr="00680D47">
        <w:rPr>
          <w:i/>
        </w:rPr>
        <w:t xml:space="preserve">Comment: the </w:t>
      </w:r>
      <w:r w:rsidR="007E1DF5">
        <w:rPr>
          <w:i/>
        </w:rPr>
        <w:t>c</w:t>
      </w:r>
      <w:r w:rsidRPr="00680D47">
        <w:rPr>
          <w:i/>
        </w:rPr>
        <w:t xml:space="preserve">linical </w:t>
      </w:r>
      <w:r w:rsidR="007E1DF5">
        <w:rPr>
          <w:i/>
        </w:rPr>
        <w:t>e</w:t>
      </w:r>
      <w:r w:rsidRPr="00680D47">
        <w:rPr>
          <w:i/>
        </w:rPr>
        <w:t>valuator and Delegate are uncertain why MM progression is included as a Grade 5 AE.</w:t>
      </w:r>
    </w:p>
    <w:p w:rsidR="00F60ACB" w:rsidRDefault="00F60ACB" w:rsidP="0041754F">
      <w:pPr>
        <w:pStyle w:val="Heading6"/>
      </w:pPr>
      <w:bookmarkStart w:id="228" w:name="_Toc371611841"/>
      <w:bookmarkStart w:id="229" w:name="_Toc371612423"/>
      <w:bookmarkStart w:id="230" w:name="_Toc371612687"/>
      <w:bookmarkStart w:id="231" w:name="_Toc371613211"/>
      <w:r>
        <w:t xml:space="preserve">Other </w:t>
      </w:r>
      <w:bookmarkEnd w:id="228"/>
      <w:bookmarkEnd w:id="229"/>
      <w:bookmarkEnd w:id="230"/>
      <w:bookmarkEnd w:id="231"/>
      <w:r w:rsidR="003000F3">
        <w:t>SAEs</w:t>
      </w:r>
    </w:p>
    <w:p w:rsidR="00F60ACB" w:rsidRDefault="00F60ACB" w:rsidP="0041754F">
      <w:pPr>
        <w:rPr>
          <w:lang w:val="en-US"/>
        </w:rPr>
      </w:pPr>
      <w:r>
        <w:rPr>
          <w:lang w:val="en-US"/>
        </w:rPr>
        <w:t xml:space="preserve">In the pivotal study, SAEs (≥ 2% subjects) occurred in approximately half of all patients, most commonly pneumonia and general physical deterioration. The only notable difference between the arms were that febrile neutropenia only occurred in the </w:t>
      </w:r>
      <w:r w:rsidR="00676045">
        <w:t xml:space="preserve">pomalidomide </w:t>
      </w:r>
      <w:r w:rsidR="00676045" w:rsidRPr="0070026C">
        <w:t>+</w:t>
      </w:r>
      <w:r w:rsidR="00676045" w:rsidRPr="00C2201E">
        <w:t xml:space="preserve"> </w:t>
      </w:r>
      <w:r w:rsidR="00676045">
        <w:t>LD dexamethasone</w:t>
      </w:r>
      <w:r>
        <w:rPr>
          <w:lang w:val="en-US"/>
        </w:rPr>
        <w:t xml:space="preserve"> arm, and septic shock occurred more often in </w:t>
      </w:r>
      <w:r w:rsidR="002D0E77">
        <w:t>HD dexamethasone</w:t>
      </w:r>
      <w:r w:rsidR="002D0E77">
        <w:rPr>
          <w:lang w:val="en-US"/>
        </w:rPr>
        <w:t xml:space="preserve"> (4% versus</w:t>
      </w:r>
      <w:r>
        <w:rPr>
          <w:lang w:val="en-US"/>
        </w:rPr>
        <w:t xml:space="preserve"> 1%).</w:t>
      </w:r>
    </w:p>
    <w:p w:rsidR="00F60ACB" w:rsidRPr="00A64329" w:rsidRDefault="00F60ACB" w:rsidP="0041754F">
      <w:r w:rsidRPr="008715B5">
        <w:rPr>
          <w:bCs/>
        </w:rPr>
        <w:t xml:space="preserve">In the Phase II Study MM-002, </w:t>
      </w:r>
      <w:r>
        <w:rPr>
          <w:bCs/>
        </w:rPr>
        <w:t xml:space="preserve">total </w:t>
      </w:r>
      <w:r w:rsidRPr="008715B5">
        <w:rPr>
          <w:bCs/>
        </w:rPr>
        <w:t xml:space="preserve">SAEs </w:t>
      </w:r>
      <w:r>
        <w:rPr>
          <w:bCs/>
        </w:rPr>
        <w:t>were more frequent</w:t>
      </w:r>
      <w:r w:rsidRPr="008715B5">
        <w:rPr>
          <w:lang w:val="en-US"/>
        </w:rPr>
        <w:t xml:space="preserve"> in the </w:t>
      </w:r>
      <w:r w:rsidR="003E75E0">
        <w:t xml:space="preserve">pomalidomide </w:t>
      </w:r>
      <w:r w:rsidR="003E75E0" w:rsidRPr="0070026C">
        <w:t>+</w:t>
      </w:r>
      <w:r w:rsidR="003E75E0" w:rsidRPr="00C2201E">
        <w:t xml:space="preserve"> </w:t>
      </w:r>
      <w:r w:rsidR="003E75E0">
        <w:t>dexamethasone</w:t>
      </w:r>
      <w:r w:rsidR="003E75E0" w:rsidRPr="008715B5">
        <w:rPr>
          <w:lang w:val="en-US"/>
        </w:rPr>
        <w:t xml:space="preserve"> </w:t>
      </w:r>
      <w:r w:rsidRPr="008715B5">
        <w:rPr>
          <w:lang w:val="en-US"/>
        </w:rPr>
        <w:t>arm (61.6%)</w:t>
      </w:r>
      <w:r>
        <w:rPr>
          <w:lang w:val="en-US"/>
        </w:rPr>
        <w:t xml:space="preserve"> than in the pomalidomide alone arm before </w:t>
      </w:r>
      <w:r w:rsidR="003E75E0">
        <w:t>dexamethasone</w:t>
      </w:r>
      <w:r>
        <w:rPr>
          <w:lang w:val="en-US"/>
        </w:rPr>
        <w:t xml:space="preserve"> (46.7%). Pneumonia occurred twice the frequency in the </w:t>
      </w:r>
      <w:r w:rsidR="00BE03E5">
        <w:rPr>
          <w:lang w:val="en-US"/>
        </w:rPr>
        <w:t xml:space="preserve">pomalidomide </w:t>
      </w:r>
      <w:r>
        <w:rPr>
          <w:lang w:val="en-US"/>
        </w:rPr>
        <w:t xml:space="preserve">+ </w:t>
      </w:r>
      <w:r w:rsidR="003E75E0">
        <w:t>dexamethasone</w:t>
      </w:r>
      <w:r>
        <w:rPr>
          <w:lang w:val="en-US"/>
        </w:rPr>
        <w:t xml:space="preserve"> arm </w:t>
      </w:r>
      <w:r w:rsidR="003E75E0">
        <w:t>(18.8% versus</w:t>
      </w:r>
      <w:r>
        <w:t xml:space="preserve"> 9.3%</w:t>
      </w:r>
      <w:r w:rsidR="00DE7071">
        <w:t>)</w:t>
      </w:r>
      <w:r>
        <w:t>, and notably, acute renal failure occurred more commonly than in the pivotal study.</w:t>
      </w:r>
      <w:r w:rsidR="006813F9">
        <w:t xml:space="preserve"> </w:t>
      </w:r>
      <w:r>
        <w:rPr>
          <w:lang w:val="en-US"/>
        </w:rPr>
        <w:t>Pneumonia and neutropenia were the most common SAEs suspected by the investigator to be related to pomalidomide.</w:t>
      </w:r>
    </w:p>
    <w:p w:rsidR="00F60ACB" w:rsidRPr="009D4320" w:rsidRDefault="00F60ACB" w:rsidP="0041754F">
      <w:pPr>
        <w:rPr>
          <w:lang w:val="en-US"/>
        </w:rPr>
      </w:pPr>
      <w:r>
        <w:rPr>
          <w:lang w:val="en-US"/>
        </w:rPr>
        <w:t xml:space="preserve">The most serious </w:t>
      </w:r>
      <w:r w:rsidR="00BF2345">
        <w:rPr>
          <w:lang w:val="en-US"/>
        </w:rPr>
        <w:t>AE</w:t>
      </w:r>
      <w:r>
        <w:rPr>
          <w:lang w:val="en-US"/>
        </w:rPr>
        <w:t xml:space="preserve"> attributable to pomalidomide treatment is febrile neutropenic and the results from all the studies suggest renal failure may be an issue.</w:t>
      </w:r>
    </w:p>
    <w:p w:rsidR="00F60ACB" w:rsidRPr="0022331C" w:rsidRDefault="00F60ACB" w:rsidP="00C9067B">
      <w:pPr>
        <w:ind w:left="426" w:firstLine="11"/>
        <w:rPr>
          <w:i/>
        </w:rPr>
      </w:pPr>
      <w:r w:rsidRPr="0022331C">
        <w:rPr>
          <w:i/>
        </w:rPr>
        <w:t>Comment:</w:t>
      </w:r>
      <w:r w:rsidR="00BF2345">
        <w:rPr>
          <w:i/>
        </w:rPr>
        <w:t xml:space="preserve"> 3 SAEs appear to be prominent:</w:t>
      </w:r>
      <w:r w:rsidRPr="0022331C">
        <w:rPr>
          <w:i/>
        </w:rPr>
        <w:t xml:space="preserve"> infection, neutropenia</w:t>
      </w:r>
      <w:r w:rsidR="00605F79">
        <w:rPr>
          <w:i/>
        </w:rPr>
        <w:t>,</w:t>
      </w:r>
      <w:r w:rsidRPr="0022331C">
        <w:rPr>
          <w:i/>
        </w:rPr>
        <w:t xml:space="preserve"> and renal failure.</w:t>
      </w:r>
    </w:p>
    <w:p w:rsidR="00F60ACB" w:rsidRPr="007E1E1A" w:rsidRDefault="00F60ACB" w:rsidP="0041754F">
      <w:pPr>
        <w:pStyle w:val="Heading5"/>
      </w:pPr>
      <w:bookmarkStart w:id="232" w:name="_Toc241374325"/>
      <w:bookmarkStart w:id="233" w:name="_Ref272333477"/>
      <w:bookmarkStart w:id="234" w:name="_Toc272414667"/>
      <w:bookmarkStart w:id="235" w:name="_Toc290846305"/>
      <w:bookmarkStart w:id="236" w:name="_Toc290888842"/>
      <w:bookmarkStart w:id="237" w:name="_Toc371611845"/>
      <w:bookmarkStart w:id="238" w:name="_Toc371612427"/>
      <w:bookmarkStart w:id="239" w:name="_Toc371612691"/>
      <w:bookmarkStart w:id="240" w:name="_Toc371613215"/>
      <w:r w:rsidRPr="007E1E1A">
        <w:t>Discontinuation due to adverse events</w:t>
      </w:r>
      <w:bookmarkEnd w:id="232"/>
      <w:bookmarkEnd w:id="233"/>
      <w:bookmarkEnd w:id="234"/>
      <w:bookmarkEnd w:id="235"/>
      <w:bookmarkEnd w:id="236"/>
      <w:bookmarkEnd w:id="237"/>
      <w:bookmarkEnd w:id="238"/>
      <w:bookmarkEnd w:id="239"/>
      <w:bookmarkEnd w:id="240"/>
    </w:p>
    <w:p w:rsidR="00F60ACB" w:rsidRPr="007E1E1A" w:rsidRDefault="00F60ACB" w:rsidP="0041754F">
      <w:pPr>
        <w:pStyle w:val="Heading6"/>
      </w:pPr>
      <w:bookmarkStart w:id="241" w:name="_Toc371611846"/>
      <w:bookmarkStart w:id="242" w:name="_Toc371612428"/>
      <w:bookmarkStart w:id="243" w:name="_Toc371612692"/>
      <w:bookmarkStart w:id="244" w:name="_Toc371613216"/>
      <w:r w:rsidRPr="007E1E1A">
        <w:t>Pivotal stud</w:t>
      </w:r>
      <w:bookmarkEnd w:id="241"/>
      <w:bookmarkEnd w:id="242"/>
      <w:bookmarkEnd w:id="243"/>
      <w:bookmarkEnd w:id="244"/>
      <w:r>
        <w:t>y</w:t>
      </w:r>
    </w:p>
    <w:p w:rsidR="00F60ACB" w:rsidRDefault="00F60ACB" w:rsidP="0041754F">
      <w:pPr>
        <w:rPr>
          <w:lang w:val="en-US"/>
        </w:rPr>
      </w:pPr>
      <w:r>
        <w:rPr>
          <w:lang w:val="en-US"/>
        </w:rPr>
        <w:t xml:space="preserve">In the pivotal study, pomalidomide was discontinued in 8.0% in the </w:t>
      </w:r>
      <w:r w:rsidR="00605F79">
        <w:rPr>
          <w:lang w:val="en-US"/>
        </w:rPr>
        <w:t xml:space="preserve">pomalidomide + </w:t>
      </w:r>
      <w:r w:rsidR="00605F79">
        <w:t>LD dexamethasone</w:t>
      </w:r>
      <w:r>
        <w:rPr>
          <w:lang w:val="en-US"/>
        </w:rPr>
        <w:t xml:space="preserve"> arm mostly due to infections (2%) and renal disorders (1.3%). In the Phase II study (MM-002), 10% discontinued pomalidomide in the </w:t>
      </w:r>
      <w:r w:rsidR="001B3265">
        <w:rPr>
          <w:lang w:val="en-US"/>
        </w:rPr>
        <w:t xml:space="preserve">pomalidomide + </w:t>
      </w:r>
      <w:r w:rsidR="001B3265">
        <w:t>LD dexamethasone</w:t>
      </w:r>
      <w:r>
        <w:rPr>
          <w:lang w:val="en-US"/>
        </w:rPr>
        <w:t xml:space="preserve">, and 12.1% in the </w:t>
      </w:r>
      <w:r w:rsidR="00BE03E5">
        <w:rPr>
          <w:lang w:val="en-US"/>
        </w:rPr>
        <w:t xml:space="preserve">pomalidomide </w:t>
      </w:r>
      <w:r>
        <w:rPr>
          <w:lang w:val="en-US"/>
        </w:rPr>
        <w:t>alone arm. The main rea</w:t>
      </w:r>
      <w:r w:rsidR="005761A5">
        <w:rPr>
          <w:lang w:val="en-US"/>
        </w:rPr>
        <w:t>sons were renal failure (</w:t>
      </w:r>
      <w:r>
        <w:rPr>
          <w:lang w:val="en-US"/>
        </w:rPr>
        <w:t xml:space="preserve">acute in a total of 1.4% </w:t>
      </w:r>
      <w:r w:rsidR="00A27134">
        <w:rPr>
          <w:lang w:val="en-US"/>
        </w:rPr>
        <w:t>and rise in creatinine in 0.9%)</w:t>
      </w:r>
      <w:r>
        <w:rPr>
          <w:lang w:val="en-US"/>
        </w:rPr>
        <w:t xml:space="preserve"> and thrombocytopenia, and fatigue, each in 0.9%.</w:t>
      </w:r>
    </w:p>
    <w:p w:rsidR="00F60ACB" w:rsidRDefault="00F60ACB" w:rsidP="0041754F">
      <w:pPr>
        <w:rPr>
          <w:lang w:val="en-US"/>
        </w:rPr>
      </w:pPr>
      <w:r>
        <w:rPr>
          <w:lang w:val="en-US"/>
        </w:rPr>
        <w:lastRenderedPageBreak/>
        <w:t xml:space="preserve">Dexamethasone was discontinued in 8.3% in the </w:t>
      </w:r>
      <w:r w:rsidR="00BE03E5">
        <w:rPr>
          <w:lang w:val="en-US"/>
        </w:rPr>
        <w:t xml:space="preserve">pomalidomide </w:t>
      </w:r>
      <w:r>
        <w:rPr>
          <w:lang w:val="en-US"/>
        </w:rPr>
        <w:t xml:space="preserve">+ </w:t>
      </w:r>
      <w:r w:rsidR="00E273EA">
        <w:t>LD dexamethasone</w:t>
      </w:r>
      <w:r w:rsidR="00E273EA">
        <w:rPr>
          <w:lang w:val="en-US"/>
        </w:rPr>
        <w:t xml:space="preserve"> </w:t>
      </w:r>
      <w:r>
        <w:rPr>
          <w:lang w:val="en-US"/>
        </w:rPr>
        <w:t xml:space="preserve">arm and 5.4% in the </w:t>
      </w:r>
      <w:r w:rsidR="004C5EEC">
        <w:t>HD dexamethasone</w:t>
      </w:r>
      <w:r w:rsidR="004C5EEC">
        <w:rPr>
          <w:lang w:val="en-US"/>
        </w:rPr>
        <w:t xml:space="preserve"> </w:t>
      </w:r>
      <w:r>
        <w:rPr>
          <w:lang w:val="en-US"/>
        </w:rPr>
        <w:t>arm, and the only notable cause of discontinuation was pneumonia.</w:t>
      </w:r>
    </w:p>
    <w:p w:rsidR="00F60ACB" w:rsidRPr="00CA05F5" w:rsidRDefault="00F60ACB" w:rsidP="0041754F">
      <w:pPr>
        <w:rPr>
          <w:rFonts w:eastAsia="TimesNewRoman"/>
          <w:b/>
        </w:rPr>
      </w:pPr>
      <w:bookmarkStart w:id="245" w:name="_Toc371611849"/>
      <w:bookmarkStart w:id="246" w:name="_Toc371612431"/>
      <w:bookmarkStart w:id="247" w:name="_Toc371612695"/>
      <w:bookmarkStart w:id="248" w:name="_Toc371613219"/>
      <w:r w:rsidRPr="00CA05F5">
        <w:rPr>
          <w:rFonts w:eastAsia="TimesNewRoman"/>
        </w:rPr>
        <w:t>Study IFM-2009-02</w:t>
      </w:r>
      <w:bookmarkEnd w:id="245"/>
      <w:bookmarkEnd w:id="246"/>
      <w:bookmarkEnd w:id="247"/>
      <w:bookmarkEnd w:id="248"/>
      <w:r w:rsidRPr="00CA05F5">
        <w:rPr>
          <w:rFonts w:eastAsia="TimesNewRoman"/>
        </w:rPr>
        <w:t xml:space="preserve"> and the Phase I studies’ </w:t>
      </w:r>
      <w:r w:rsidRPr="00CA05F5">
        <w:t xml:space="preserve">safety assessments did not show any new patterns of adverse events not seen in the larger Phase </w:t>
      </w:r>
      <w:r w:rsidR="007F3582" w:rsidRPr="00CA05F5">
        <w:t>II</w:t>
      </w:r>
      <w:r w:rsidRPr="00CA05F5">
        <w:t xml:space="preserve"> and </w:t>
      </w:r>
      <w:r w:rsidR="007F3582" w:rsidRPr="00CA05F5">
        <w:t>III</w:t>
      </w:r>
      <w:r w:rsidRPr="00CA05F5">
        <w:t xml:space="preserve"> studies.</w:t>
      </w:r>
    </w:p>
    <w:p w:rsidR="00F60ACB" w:rsidRPr="005738F9" w:rsidRDefault="00F60ACB" w:rsidP="0041754F">
      <w:pPr>
        <w:pStyle w:val="Heading5"/>
      </w:pPr>
      <w:bookmarkStart w:id="249" w:name="_Toc241374321"/>
      <w:bookmarkStart w:id="250" w:name="_Ref271044780"/>
      <w:bookmarkStart w:id="251" w:name="_Ref271196640"/>
      <w:bookmarkStart w:id="252" w:name="_Ref272333085"/>
      <w:bookmarkStart w:id="253" w:name="_Toc272414668"/>
      <w:bookmarkStart w:id="254" w:name="_Toc290846306"/>
      <w:bookmarkStart w:id="255" w:name="_Toc290888843"/>
      <w:bookmarkStart w:id="256" w:name="_Toc371611851"/>
      <w:bookmarkStart w:id="257" w:name="_Toc371612433"/>
      <w:bookmarkStart w:id="258" w:name="_Toc371612697"/>
      <w:bookmarkStart w:id="259" w:name="_Toc371613221"/>
      <w:r w:rsidRPr="005738F9">
        <w:t>Laboratory tests</w:t>
      </w:r>
      <w:bookmarkEnd w:id="249"/>
      <w:bookmarkEnd w:id="250"/>
      <w:bookmarkEnd w:id="251"/>
      <w:bookmarkEnd w:id="252"/>
      <w:bookmarkEnd w:id="253"/>
      <w:bookmarkEnd w:id="254"/>
      <w:bookmarkEnd w:id="255"/>
      <w:bookmarkEnd w:id="256"/>
      <w:bookmarkEnd w:id="257"/>
      <w:bookmarkEnd w:id="258"/>
      <w:bookmarkEnd w:id="259"/>
    </w:p>
    <w:p w:rsidR="00F60ACB" w:rsidRPr="005738F9" w:rsidRDefault="00F60ACB" w:rsidP="0041754F">
      <w:pPr>
        <w:pStyle w:val="Heading6"/>
      </w:pPr>
      <w:bookmarkStart w:id="260" w:name="_Toc272414669"/>
      <w:bookmarkStart w:id="261" w:name="_Toc290846307"/>
      <w:bookmarkStart w:id="262" w:name="_Toc290888844"/>
      <w:bookmarkStart w:id="263" w:name="_Toc371611852"/>
      <w:bookmarkStart w:id="264" w:name="_Toc371612434"/>
      <w:bookmarkStart w:id="265" w:name="_Toc371612698"/>
      <w:bookmarkStart w:id="266" w:name="_Toc371613222"/>
      <w:r w:rsidRPr="005738F9">
        <w:t>Liver function</w:t>
      </w:r>
      <w:bookmarkEnd w:id="260"/>
      <w:bookmarkEnd w:id="261"/>
      <w:bookmarkEnd w:id="262"/>
      <w:bookmarkEnd w:id="263"/>
      <w:bookmarkEnd w:id="264"/>
      <w:bookmarkEnd w:id="265"/>
      <w:bookmarkEnd w:id="266"/>
    </w:p>
    <w:p w:rsidR="00F60ACB" w:rsidRPr="00D8410D" w:rsidRDefault="00F60ACB" w:rsidP="0041754F">
      <w:r>
        <w:t xml:space="preserve">There did not appear to be any significant changes in </w:t>
      </w:r>
      <w:r w:rsidR="004C5EEC">
        <w:t>liver function tests</w:t>
      </w:r>
      <w:r>
        <w:t xml:space="preserve"> with the study treatment in any of the trials.</w:t>
      </w:r>
    </w:p>
    <w:p w:rsidR="00F60ACB" w:rsidRPr="00A2723A" w:rsidRDefault="00F60ACB" w:rsidP="0041754F">
      <w:pPr>
        <w:pStyle w:val="Heading6"/>
      </w:pPr>
      <w:bookmarkStart w:id="267" w:name="_Toc272414670"/>
      <w:bookmarkStart w:id="268" w:name="_Toc290846308"/>
      <w:bookmarkStart w:id="269" w:name="_Toc290888845"/>
      <w:bookmarkStart w:id="270" w:name="_Toc371611857"/>
      <w:bookmarkStart w:id="271" w:name="_Toc371612439"/>
      <w:bookmarkStart w:id="272" w:name="_Toc371612703"/>
      <w:bookmarkStart w:id="273" w:name="_Toc371613227"/>
      <w:r w:rsidRPr="00A2723A">
        <w:t>Kidney function</w:t>
      </w:r>
      <w:bookmarkEnd w:id="267"/>
      <w:bookmarkEnd w:id="268"/>
      <w:bookmarkEnd w:id="269"/>
      <w:bookmarkEnd w:id="270"/>
      <w:bookmarkEnd w:id="271"/>
      <w:bookmarkEnd w:id="272"/>
      <w:bookmarkEnd w:id="273"/>
    </w:p>
    <w:p w:rsidR="00F60ACB" w:rsidRDefault="00F60ACB" w:rsidP="0041754F">
      <w:r>
        <w:t xml:space="preserve">Baseline serum creatinine concentration was normal in the </w:t>
      </w:r>
      <w:r w:rsidR="004C5EEC">
        <w:rPr>
          <w:rFonts w:eastAsia="TimesNewRoman"/>
          <w:lang w:val="en-US"/>
        </w:rPr>
        <w:t xml:space="preserve">pomalidomide + </w:t>
      </w:r>
      <w:r w:rsidR="004C5EEC">
        <w:t>LD dexamethasone</w:t>
      </w:r>
      <w:r w:rsidR="004C5EEC">
        <w:rPr>
          <w:rFonts w:eastAsia="TimesNewRoman"/>
          <w:lang w:val="en-US"/>
        </w:rPr>
        <w:t xml:space="preserve"> </w:t>
      </w:r>
      <w:r>
        <w:t xml:space="preserve">arm was 65% and in the HD </w:t>
      </w:r>
      <w:r w:rsidR="005939E2">
        <w:t xml:space="preserve">dexamethasone </w:t>
      </w:r>
      <w:r w:rsidR="00E77442">
        <w:t>arm 60.8%, while</w:t>
      </w:r>
      <w:r>
        <w:t xml:space="preserve"> a change to Grade 3/4 abnormalities occurred in 1.2% a</w:t>
      </w:r>
      <w:r w:rsidR="00E77442">
        <w:t>nd</w:t>
      </w:r>
      <w:r>
        <w:t xml:space="preserve"> 2.8%</w:t>
      </w:r>
      <w:r w:rsidR="00E77442">
        <w:t>,</w:t>
      </w:r>
      <w:r>
        <w:t xml:space="preserve"> respectively. CrCl measurements were normal at baseline in 60.2% in the </w:t>
      </w:r>
      <w:r w:rsidR="000C3F19">
        <w:rPr>
          <w:rFonts w:eastAsia="TimesNewRoman"/>
          <w:lang w:val="en-US"/>
        </w:rPr>
        <w:t xml:space="preserve">pomalidomide + </w:t>
      </w:r>
      <w:r w:rsidR="000C3F19">
        <w:t>LD dexamethasone</w:t>
      </w:r>
      <w:r w:rsidR="000C3F19">
        <w:rPr>
          <w:rFonts w:eastAsia="TimesNewRoman"/>
          <w:lang w:val="en-US"/>
        </w:rPr>
        <w:t xml:space="preserve"> </w:t>
      </w:r>
      <w:r>
        <w:t xml:space="preserve">and 53.3% of subjects in the </w:t>
      </w:r>
      <w:r w:rsidR="00242322">
        <w:t xml:space="preserve">HD dexamethasone </w:t>
      </w:r>
      <w:r>
        <w:t>arms, worsening to Grade 3/4 abnormalities in 4.6% and 11.6% respectively.</w:t>
      </w:r>
    </w:p>
    <w:p w:rsidR="00F60ACB" w:rsidRPr="007E6A2E" w:rsidRDefault="00F60ACB" w:rsidP="0041754F">
      <w:r>
        <w:rPr>
          <w:rFonts w:cs="Cambria"/>
        </w:rPr>
        <w:t xml:space="preserve">In the Phase II study (MM-002) </w:t>
      </w:r>
      <w:r>
        <w:rPr>
          <w:rFonts w:eastAsia="TimesNewRoman"/>
          <w:lang w:val="en-US"/>
        </w:rPr>
        <w:t xml:space="preserve">change to a Grade 3 serum creatinine abnormality </w:t>
      </w:r>
      <w:r w:rsidRPr="007E6A2E">
        <w:rPr>
          <w:rFonts w:eastAsia="TimesNewRoman"/>
          <w:lang w:val="en-US"/>
        </w:rPr>
        <w:t xml:space="preserve">occurred in </w:t>
      </w:r>
      <w:r w:rsidRPr="007E6A2E">
        <w:t xml:space="preserve">2.0% from </w:t>
      </w:r>
      <w:r w:rsidR="005E5932">
        <w:t>G</w:t>
      </w:r>
      <w:r w:rsidRPr="007E6A2E">
        <w:t xml:space="preserve">rade 1, and 2.5% from </w:t>
      </w:r>
      <w:r w:rsidR="005E5932">
        <w:t>G</w:t>
      </w:r>
      <w:r w:rsidRPr="007E6A2E">
        <w:t>rade 2.</w:t>
      </w:r>
    </w:p>
    <w:p w:rsidR="00F60ACB" w:rsidRPr="00C9067B" w:rsidRDefault="00F60ACB" w:rsidP="0041754F">
      <w:r w:rsidRPr="00CA05F5">
        <w:t>The results from</w:t>
      </w:r>
      <w:bookmarkStart w:id="274" w:name="_Toc371611861"/>
      <w:bookmarkStart w:id="275" w:name="_Toc371612443"/>
      <w:bookmarkStart w:id="276" w:name="_Toc371612707"/>
      <w:bookmarkStart w:id="277" w:name="_Toc371613231"/>
      <w:r w:rsidRPr="00CA05F5">
        <w:t xml:space="preserve"> Study CC-IFM-2029-002</w:t>
      </w:r>
      <w:bookmarkEnd w:id="274"/>
      <w:bookmarkEnd w:id="275"/>
      <w:bookmarkEnd w:id="276"/>
      <w:bookmarkEnd w:id="277"/>
      <w:r w:rsidRPr="00CA05F5">
        <w:t xml:space="preserve"> were difficult to interpret due to differing baseline creatinine levels in the arms. But during the course of the study, equal numbers (</w:t>
      </w:r>
      <w:r w:rsidRPr="00CA05F5">
        <w:rPr>
          <w:rFonts w:eastAsia="TimesNewRoman" w:hint="eastAsia"/>
          <w:lang w:val="en-US"/>
        </w:rPr>
        <w:t>5</w:t>
      </w:r>
      <w:r w:rsidRPr="00CA05F5">
        <w:rPr>
          <w:rFonts w:eastAsia="TimesNewRoman"/>
          <w:lang w:val="en-US"/>
        </w:rPr>
        <w:t>%)</w:t>
      </w:r>
      <w:r w:rsidRPr="00CA05F5">
        <w:rPr>
          <w:rFonts w:eastAsia="TimesNewRoman" w:hint="eastAsia"/>
          <w:lang w:val="en-US"/>
        </w:rPr>
        <w:t xml:space="preserve"> </w:t>
      </w:r>
      <w:r w:rsidRPr="00CA05F5">
        <w:rPr>
          <w:rFonts w:eastAsia="TimesNewRoman"/>
          <w:lang w:val="en-US"/>
        </w:rPr>
        <w:t>had a</w:t>
      </w:r>
      <w:r w:rsidRPr="00CA05F5">
        <w:rPr>
          <w:rFonts w:eastAsia="TimesNewRoman" w:hint="eastAsia"/>
          <w:lang w:val="en-US"/>
        </w:rPr>
        <w:t xml:space="preserve"> </w:t>
      </w:r>
      <w:r w:rsidR="00F75090" w:rsidRPr="00CA05F5">
        <w:rPr>
          <w:rFonts w:eastAsia="TimesNewRoman"/>
          <w:lang w:val="en-US"/>
        </w:rPr>
        <w:t>G</w:t>
      </w:r>
      <w:r w:rsidRPr="00CA05F5">
        <w:rPr>
          <w:rFonts w:eastAsia="TimesNewRoman" w:hint="eastAsia"/>
          <w:lang w:val="en-US"/>
        </w:rPr>
        <w:t>rade 3-4 elevated</w:t>
      </w:r>
      <w:r w:rsidRPr="00CA05F5">
        <w:rPr>
          <w:rFonts w:eastAsia="TimesNewRoman"/>
          <w:lang w:val="en-US"/>
        </w:rPr>
        <w:t xml:space="preserve"> </w:t>
      </w:r>
      <w:r w:rsidRPr="00CA05F5">
        <w:rPr>
          <w:rFonts w:eastAsia="TimesNewRoman" w:hint="eastAsia"/>
          <w:lang w:val="en-US"/>
        </w:rPr>
        <w:t>serum creatinine</w:t>
      </w:r>
      <w:r w:rsidRPr="00A2723A">
        <w:rPr>
          <w:rFonts w:eastAsia="TimesNewRoman"/>
          <w:i/>
          <w:lang w:val="en-US"/>
        </w:rPr>
        <w:t>.</w:t>
      </w:r>
    </w:p>
    <w:p w:rsidR="00F60ACB" w:rsidRPr="0022331C" w:rsidRDefault="00F60ACB" w:rsidP="00C9067B">
      <w:pPr>
        <w:ind w:left="426"/>
        <w:rPr>
          <w:i/>
        </w:rPr>
      </w:pPr>
      <w:r w:rsidRPr="0022331C">
        <w:rPr>
          <w:i/>
        </w:rPr>
        <w:t xml:space="preserve">Comment: there </w:t>
      </w:r>
      <w:r w:rsidR="00F75090" w:rsidRPr="0022331C">
        <w:rPr>
          <w:i/>
        </w:rPr>
        <w:t>were</w:t>
      </w:r>
      <w:r w:rsidRPr="0022331C">
        <w:rPr>
          <w:i/>
        </w:rPr>
        <w:t xml:space="preserve"> a significant proportion of patients with renal impairment at baseline, and it is difficult to determine whether the rise in serum creatinine and decrease in CrCl is due to the underlying disease progressing, concomitant medications or related to the study drug.</w:t>
      </w:r>
    </w:p>
    <w:p w:rsidR="00F60ACB" w:rsidRPr="00A2723A" w:rsidRDefault="00F60ACB" w:rsidP="0041754F">
      <w:pPr>
        <w:pStyle w:val="Heading5"/>
      </w:pPr>
      <w:bookmarkStart w:id="278" w:name="_Toc272414671"/>
      <w:bookmarkStart w:id="279" w:name="_Toc290846309"/>
      <w:bookmarkStart w:id="280" w:name="_Toc290888846"/>
      <w:bookmarkStart w:id="281" w:name="_Toc371611862"/>
      <w:bookmarkStart w:id="282" w:name="_Toc371612444"/>
      <w:bookmarkStart w:id="283" w:name="_Toc371612708"/>
      <w:bookmarkStart w:id="284" w:name="_Toc371613232"/>
      <w:r w:rsidRPr="00A2723A">
        <w:t>Other clinical chemistry</w:t>
      </w:r>
      <w:bookmarkEnd w:id="278"/>
      <w:bookmarkEnd w:id="279"/>
      <w:bookmarkEnd w:id="280"/>
      <w:bookmarkEnd w:id="281"/>
      <w:bookmarkEnd w:id="282"/>
      <w:bookmarkEnd w:id="283"/>
      <w:bookmarkEnd w:id="284"/>
    </w:p>
    <w:p w:rsidR="00F60ACB" w:rsidRPr="00A2723A" w:rsidRDefault="00F60ACB" w:rsidP="0041754F">
      <w:pPr>
        <w:pStyle w:val="Heading6"/>
      </w:pPr>
      <w:bookmarkStart w:id="285" w:name="_Toc371611863"/>
      <w:bookmarkStart w:id="286" w:name="_Toc371612445"/>
      <w:bookmarkStart w:id="287" w:name="_Toc371612709"/>
      <w:bookmarkStart w:id="288" w:name="_Toc371613233"/>
      <w:r w:rsidRPr="00A2723A">
        <w:t>Pivotal stud</w:t>
      </w:r>
      <w:bookmarkEnd w:id="285"/>
      <w:bookmarkEnd w:id="286"/>
      <w:bookmarkEnd w:id="287"/>
      <w:bookmarkEnd w:id="288"/>
      <w:r>
        <w:t>y</w:t>
      </w:r>
    </w:p>
    <w:p w:rsidR="00F60ACB" w:rsidRPr="00780E86" w:rsidRDefault="00F60ACB" w:rsidP="0041754F">
      <w:pPr>
        <w:rPr>
          <w:lang w:val="en-US"/>
        </w:rPr>
      </w:pPr>
      <w:r>
        <w:rPr>
          <w:lang w:val="en-US"/>
        </w:rPr>
        <w:t>In the pivotal study, serum glucose levels rose predictably with dexamethasone, but there were no other biochemical abnormalities that could be predictably attributable to the different treatments received.</w:t>
      </w:r>
    </w:p>
    <w:p w:rsidR="00F60ACB" w:rsidRPr="00385256" w:rsidRDefault="00F60ACB" w:rsidP="0041754F">
      <w:pPr>
        <w:pStyle w:val="Heading6"/>
      </w:pPr>
      <w:bookmarkStart w:id="289" w:name="_Toc272414672"/>
      <w:bookmarkStart w:id="290" w:name="_Toc290846310"/>
      <w:bookmarkStart w:id="291" w:name="_Toc290888847"/>
      <w:bookmarkStart w:id="292" w:name="_Toc371611867"/>
      <w:bookmarkStart w:id="293" w:name="_Toc371612449"/>
      <w:bookmarkStart w:id="294" w:name="_Toc371612713"/>
      <w:bookmarkStart w:id="295" w:name="_Toc371613237"/>
      <w:r w:rsidRPr="00385256">
        <w:t>Haematology</w:t>
      </w:r>
      <w:bookmarkEnd w:id="289"/>
      <w:bookmarkEnd w:id="290"/>
      <w:bookmarkEnd w:id="291"/>
      <w:bookmarkEnd w:id="292"/>
      <w:bookmarkEnd w:id="293"/>
      <w:bookmarkEnd w:id="294"/>
      <w:bookmarkEnd w:id="295"/>
    </w:p>
    <w:p w:rsidR="00F60ACB" w:rsidRDefault="00F60ACB" w:rsidP="0041754F">
      <w:pPr>
        <w:rPr>
          <w:lang w:val="en-US"/>
        </w:rPr>
      </w:pPr>
      <w:r>
        <w:rPr>
          <w:lang w:val="en-US"/>
        </w:rPr>
        <w:t xml:space="preserve">In the pivotal study, many more patients in the </w:t>
      </w:r>
      <w:r w:rsidR="001A3775">
        <w:t xml:space="preserve">pomalidomide </w:t>
      </w:r>
      <w:r w:rsidR="001A3775" w:rsidRPr="0070026C">
        <w:t>+</w:t>
      </w:r>
      <w:r w:rsidR="001A3775" w:rsidRPr="00C2201E">
        <w:t xml:space="preserve"> </w:t>
      </w:r>
      <w:r w:rsidR="001A3775">
        <w:t>LD dexamethasone</w:t>
      </w:r>
      <w:r w:rsidR="001A3775" w:rsidRPr="00865AF5">
        <w:t xml:space="preserve"> </w:t>
      </w:r>
      <w:r>
        <w:rPr>
          <w:lang w:val="en-US"/>
        </w:rPr>
        <w:t xml:space="preserve">arm than in the </w:t>
      </w:r>
      <w:r w:rsidR="00CB0FF9">
        <w:t>HD dexamethasone</w:t>
      </w:r>
      <w:r w:rsidR="00CB0FF9" w:rsidRPr="00865AF5">
        <w:t xml:space="preserve"> </w:t>
      </w:r>
      <w:r>
        <w:rPr>
          <w:lang w:val="en-US"/>
        </w:rPr>
        <w:t xml:space="preserve">arm experienced Grade 3 </w:t>
      </w:r>
      <w:r w:rsidR="001A3775">
        <w:rPr>
          <w:lang w:val="en-US"/>
        </w:rPr>
        <w:t>or 4 leukocyte levels (44.6% versus</w:t>
      </w:r>
      <w:r>
        <w:rPr>
          <w:lang w:val="en-US"/>
        </w:rPr>
        <w:t xml:space="preserve"> 12.4%). Haemoglobin levels were similar across the arms.</w:t>
      </w:r>
    </w:p>
    <w:p w:rsidR="00F60ACB" w:rsidRPr="00C6115C" w:rsidRDefault="00F60ACB" w:rsidP="0041754F">
      <w:pPr>
        <w:rPr>
          <w:lang w:val="en-US"/>
        </w:rPr>
      </w:pPr>
      <w:r>
        <w:rPr>
          <w:lang w:val="en-US"/>
        </w:rPr>
        <w:t>Neutro</w:t>
      </w:r>
      <w:r w:rsidR="00637AA4">
        <w:rPr>
          <w:lang w:val="en-US"/>
        </w:rPr>
        <w:t>penia</w:t>
      </w:r>
      <w:r>
        <w:rPr>
          <w:lang w:val="en-US"/>
        </w:rPr>
        <w:t xml:space="preserve"> and thrombocyto</w:t>
      </w:r>
      <w:r w:rsidR="00637AA4">
        <w:rPr>
          <w:lang w:val="en-US"/>
        </w:rPr>
        <w:t>penia</w:t>
      </w:r>
      <w:r w:rsidR="0041754F">
        <w:rPr>
          <w:lang w:val="en-US"/>
        </w:rPr>
        <w:t xml:space="preserve"> have already been described.</w:t>
      </w:r>
    </w:p>
    <w:p w:rsidR="00F60ACB" w:rsidRPr="00385256" w:rsidRDefault="00F60ACB" w:rsidP="0041754F">
      <w:pPr>
        <w:pStyle w:val="Heading5"/>
      </w:pPr>
      <w:bookmarkStart w:id="296" w:name="_Toc272414675"/>
      <w:bookmarkStart w:id="297" w:name="_Toc290846313"/>
      <w:bookmarkStart w:id="298" w:name="_Toc290888850"/>
      <w:bookmarkStart w:id="299" w:name="_Toc371611872"/>
      <w:bookmarkStart w:id="300" w:name="_Toc371612454"/>
      <w:bookmarkStart w:id="301" w:name="_Toc371612718"/>
      <w:bookmarkStart w:id="302" w:name="_Toc371613242"/>
      <w:r w:rsidRPr="00385256">
        <w:t>Electrocardiograph</w:t>
      </w:r>
      <w:bookmarkEnd w:id="296"/>
      <w:bookmarkEnd w:id="297"/>
      <w:bookmarkEnd w:id="298"/>
      <w:bookmarkEnd w:id="299"/>
      <w:bookmarkEnd w:id="300"/>
      <w:bookmarkEnd w:id="301"/>
      <w:bookmarkEnd w:id="302"/>
    </w:p>
    <w:p w:rsidR="00F60ACB" w:rsidRPr="0022331C" w:rsidRDefault="00F60ACB" w:rsidP="0041754F">
      <w:pPr>
        <w:pStyle w:val="Heading6"/>
      </w:pPr>
      <w:bookmarkStart w:id="303" w:name="_Toc371611873"/>
      <w:bookmarkStart w:id="304" w:name="_Toc371612455"/>
      <w:bookmarkStart w:id="305" w:name="_Toc371612719"/>
      <w:bookmarkStart w:id="306" w:name="_Toc371613243"/>
      <w:r w:rsidRPr="0022331C">
        <w:t>Pivotal study CC-4047-MM-003</w:t>
      </w:r>
      <w:bookmarkEnd w:id="303"/>
      <w:bookmarkEnd w:id="304"/>
      <w:bookmarkEnd w:id="305"/>
      <w:bookmarkEnd w:id="306"/>
    </w:p>
    <w:p w:rsidR="00F60ACB" w:rsidRDefault="00F60ACB" w:rsidP="0041754F">
      <w:pPr>
        <w:rPr>
          <w:lang w:val="en-US"/>
        </w:rPr>
      </w:pPr>
      <w:r>
        <w:rPr>
          <w:lang w:val="en-US"/>
        </w:rPr>
        <w:t xml:space="preserve">Mean and median changes from baseline in QT intervals (corrected) were all under 30 msec. Two subjects in the </w:t>
      </w:r>
      <w:r w:rsidR="00F317B8">
        <w:t xml:space="preserve">pomalidomide </w:t>
      </w:r>
      <w:r w:rsidR="00F317B8" w:rsidRPr="0070026C">
        <w:t>+</w:t>
      </w:r>
      <w:r w:rsidR="00F317B8" w:rsidRPr="00C2201E">
        <w:t xml:space="preserve"> </w:t>
      </w:r>
      <w:r w:rsidR="00F317B8">
        <w:t>LD dexamethasone</w:t>
      </w:r>
      <w:r w:rsidR="00F317B8" w:rsidRPr="00865AF5">
        <w:t xml:space="preserve"> </w:t>
      </w:r>
      <w:r>
        <w:rPr>
          <w:lang w:val="en-US"/>
        </w:rPr>
        <w:t xml:space="preserve">arm (0.7%) and no subject in the </w:t>
      </w:r>
      <w:r w:rsidR="00F317B8">
        <w:t>HD dexamethasone</w:t>
      </w:r>
      <w:r w:rsidR="00F317B8" w:rsidRPr="00865AF5">
        <w:t xml:space="preserve"> </w:t>
      </w:r>
      <w:r>
        <w:rPr>
          <w:lang w:val="en-US"/>
        </w:rPr>
        <w:t>arm had a TEAE of QT prolonged. One event w</w:t>
      </w:r>
      <w:r w:rsidR="00EA6C10">
        <w:rPr>
          <w:lang w:val="en-US"/>
        </w:rPr>
        <w:t xml:space="preserve">as Grade 2 and one was Grade 3; </w:t>
      </w:r>
      <w:r>
        <w:rPr>
          <w:lang w:val="en-US"/>
        </w:rPr>
        <w:t xml:space="preserve">both events resolved, and neither recurred despite continued treatment. One subject in the </w:t>
      </w:r>
      <w:r w:rsidR="00F317B8">
        <w:t xml:space="preserve">pomalidomide </w:t>
      </w:r>
      <w:r w:rsidR="00F317B8" w:rsidRPr="0070026C">
        <w:t>+</w:t>
      </w:r>
      <w:r w:rsidR="00F317B8" w:rsidRPr="00C2201E">
        <w:t xml:space="preserve"> </w:t>
      </w:r>
      <w:r w:rsidR="00F317B8">
        <w:t>LD dexamethasone</w:t>
      </w:r>
      <w:r w:rsidR="00F317B8" w:rsidRPr="00865AF5">
        <w:t xml:space="preserve"> </w:t>
      </w:r>
      <w:r>
        <w:rPr>
          <w:lang w:val="en-US"/>
        </w:rPr>
        <w:t xml:space="preserve">arm (0.3%) and no subject in the </w:t>
      </w:r>
      <w:r w:rsidR="00F317B8">
        <w:t>HD dexamethasone</w:t>
      </w:r>
      <w:r w:rsidR="00F317B8" w:rsidRPr="00865AF5">
        <w:t xml:space="preserve"> </w:t>
      </w:r>
      <w:r>
        <w:rPr>
          <w:lang w:val="en-US"/>
        </w:rPr>
        <w:t>arm had a TEAE of ST segment depression. No other ECG</w:t>
      </w:r>
      <w:r w:rsidR="00457B37">
        <w:rPr>
          <w:lang w:val="en-US"/>
        </w:rPr>
        <w:t xml:space="preserve"> </w:t>
      </w:r>
      <w:r>
        <w:rPr>
          <w:lang w:val="en-US"/>
        </w:rPr>
        <w:t>related TEAEs were reported.</w:t>
      </w:r>
    </w:p>
    <w:p w:rsidR="00F60ACB" w:rsidRPr="007E39DA" w:rsidRDefault="00F60ACB" w:rsidP="00C9067B">
      <w:pPr>
        <w:ind w:left="426"/>
        <w:rPr>
          <w:rFonts w:eastAsia="TimesNewRoman"/>
          <w:i/>
          <w:lang w:val="en-US"/>
        </w:rPr>
      </w:pPr>
      <w:r w:rsidRPr="007E39DA">
        <w:rPr>
          <w:rFonts w:eastAsia="TimesNewRoman"/>
          <w:i/>
          <w:lang w:val="en-US"/>
        </w:rPr>
        <w:lastRenderedPageBreak/>
        <w:t>Comment: while there does not appear to be a safety signal to date, a study of QT/QTc in healthy subjects has been done and this should be submitted as a condition of registration.</w:t>
      </w:r>
    </w:p>
    <w:p w:rsidR="00F60ACB" w:rsidRPr="00385256" w:rsidRDefault="00F60ACB" w:rsidP="0041754F">
      <w:pPr>
        <w:pStyle w:val="Heading5"/>
      </w:pPr>
      <w:bookmarkStart w:id="307" w:name="_Toc241374322"/>
      <w:bookmarkStart w:id="308" w:name="_Ref272331212"/>
      <w:bookmarkStart w:id="309" w:name="_Toc272414687"/>
      <w:bookmarkStart w:id="310" w:name="_Toc290846325"/>
      <w:bookmarkStart w:id="311" w:name="_Toc290888862"/>
      <w:bookmarkStart w:id="312" w:name="_Toc371611880"/>
      <w:bookmarkStart w:id="313" w:name="_Toc371612462"/>
      <w:bookmarkStart w:id="314" w:name="_Toc371612726"/>
      <w:bookmarkStart w:id="315" w:name="_Toc371613250"/>
      <w:r w:rsidRPr="00385256">
        <w:t>Safety in special populations</w:t>
      </w:r>
      <w:bookmarkEnd w:id="307"/>
      <w:bookmarkEnd w:id="308"/>
      <w:bookmarkEnd w:id="309"/>
      <w:bookmarkEnd w:id="310"/>
      <w:bookmarkEnd w:id="311"/>
      <w:bookmarkEnd w:id="312"/>
      <w:bookmarkEnd w:id="313"/>
      <w:bookmarkEnd w:id="314"/>
      <w:bookmarkEnd w:id="315"/>
    </w:p>
    <w:p w:rsidR="00F60ACB" w:rsidRPr="00C324CE" w:rsidRDefault="00F60ACB" w:rsidP="0041754F">
      <w:pPr>
        <w:rPr>
          <w:lang w:val="en-US"/>
        </w:rPr>
      </w:pPr>
      <w:r>
        <w:rPr>
          <w:lang w:val="en-US"/>
        </w:rPr>
        <w:t xml:space="preserve">Overall, the safety profile of </w:t>
      </w:r>
      <w:r w:rsidR="00BE03E5">
        <w:rPr>
          <w:lang w:val="en-US"/>
        </w:rPr>
        <w:t xml:space="preserve">pomalidomide </w:t>
      </w:r>
      <w:r>
        <w:rPr>
          <w:lang w:val="en-US"/>
        </w:rPr>
        <w:t xml:space="preserve">+ </w:t>
      </w:r>
      <w:r w:rsidR="00B860BD">
        <w:t>LD dexamethasone</w:t>
      </w:r>
      <w:r w:rsidR="00B860BD" w:rsidRPr="00865AF5">
        <w:t xml:space="preserve"> </w:t>
      </w:r>
      <w:r>
        <w:rPr>
          <w:lang w:val="en-US"/>
        </w:rPr>
        <w:t xml:space="preserve">remained was unaffected by age (&gt; 65 or </w:t>
      </w:r>
      <w:r w:rsidR="00D219D0">
        <w:rPr>
          <w:lang w:val="en-US"/>
        </w:rPr>
        <w:t>≤</w:t>
      </w:r>
      <w:r>
        <w:rPr>
          <w:lang w:val="en-US"/>
        </w:rPr>
        <w:t xml:space="preserve"> 65 years old), gender, ECOG performance status, disease populati</w:t>
      </w:r>
      <w:r w:rsidR="0041754F">
        <w:rPr>
          <w:lang w:val="en-US"/>
        </w:rPr>
        <w:t>on, or baseline renal function.</w:t>
      </w:r>
    </w:p>
    <w:p w:rsidR="00F60ACB" w:rsidRPr="00385256" w:rsidRDefault="00F60ACB" w:rsidP="0041754F">
      <w:pPr>
        <w:pStyle w:val="Heading5"/>
      </w:pPr>
      <w:bookmarkStart w:id="316" w:name="_Toc241374324"/>
      <w:bookmarkStart w:id="317" w:name="_Ref272331214"/>
      <w:bookmarkStart w:id="318" w:name="_Toc272414688"/>
      <w:bookmarkStart w:id="319" w:name="_Toc290846326"/>
      <w:bookmarkStart w:id="320" w:name="_Toc290888863"/>
      <w:bookmarkStart w:id="321" w:name="_Toc371611881"/>
      <w:bookmarkStart w:id="322" w:name="_Toc371612463"/>
      <w:bookmarkStart w:id="323" w:name="_Toc371612727"/>
      <w:bookmarkStart w:id="324" w:name="_Toc371613251"/>
      <w:r w:rsidRPr="00385256">
        <w:t>Safety related to drug-drug interactions and other interactions</w:t>
      </w:r>
      <w:bookmarkEnd w:id="316"/>
      <w:bookmarkEnd w:id="317"/>
      <w:bookmarkEnd w:id="318"/>
      <w:bookmarkEnd w:id="319"/>
      <w:bookmarkEnd w:id="320"/>
      <w:bookmarkEnd w:id="321"/>
      <w:bookmarkEnd w:id="322"/>
      <w:bookmarkEnd w:id="323"/>
      <w:bookmarkEnd w:id="324"/>
    </w:p>
    <w:p w:rsidR="00F60ACB" w:rsidRDefault="00F60ACB" w:rsidP="0041754F">
      <w:pPr>
        <w:rPr>
          <w:rFonts w:cs="Cambria"/>
        </w:rPr>
      </w:pPr>
      <w:r>
        <w:rPr>
          <w:lang w:val="en-US"/>
        </w:rPr>
        <w:t xml:space="preserve">The </w:t>
      </w:r>
      <w:r w:rsidR="009D137F">
        <w:rPr>
          <w:lang w:val="en-US"/>
        </w:rPr>
        <w:t>s</w:t>
      </w:r>
      <w:r>
        <w:rPr>
          <w:lang w:val="en-US"/>
        </w:rPr>
        <w:t xml:space="preserve">ponsor has included warnings in the PI about administration of the pomalidomide with strong inhibitors of CYPs 3A4 and 1A2. The top line data for this has been requested for safety reasons, and the </w:t>
      </w:r>
      <w:r w:rsidR="009D137F">
        <w:rPr>
          <w:lang w:val="en-US"/>
        </w:rPr>
        <w:t>s</w:t>
      </w:r>
      <w:r>
        <w:rPr>
          <w:lang w:val="en-US"/>
        </w:rPr>
        <w:t>ponsor has indicated th</w:t>
      </w:r>
      <w:r w:rsidR="009D137F">
        <w:rPr>
          <w:lang w:val="en-US"/>
        </w:rPr>
        <w:t xml:space="preserve">is study will be submitted post </w:t>
      </w:r>
      <w:r>
        <w:rPr>
          <w:lang w:val="en-US"/>
        </w:rPr>
        <w:t>registration, and is a condition of registration.</w:t>
      </w:r>
    </w:p>
    <w:p w:rsidR="00F60ACB" w:rsidRPr="00385256" w:rsidRDefault="00F60ACB" w:rsidP="0041754F">
      <w:pPr>
        <w:pStyle w:val="Heading5"/>
      </w:pPr>
      <w:bookmarkStart w:id="325" w:name="_Toc272414689"/>
      <w:bookmarkStart w:id="326" w:name="_Toc290846327"/>
      <w:bookmarkStart w:id="327" w:name="_Toc290888864"/>
      <w:bookmarkStart w:id="328" w:name="_Toc371611882"/>
      <w:bookmarkStart w:id="329" w:name="_Toc371612464"/>
      <w:bookmarkStart w:id="330" w:name="_Toc371612728"/>
      <w:bookmarkStart w:id="331" w:name="_Toc371613252"/>
      <w:r w:rsidRPr="00385256">
        <w:t xml:space="preserve">Use in </w:t>
      </w:r>
      <w:r w:rsidR="00EE7ED1">
        <w:t>p</w:t>
      </w:r>
      <w:r w:rsidRPr="00385256">
        <w:t xml:space="preserve">regnancy and </w:t>
      </w:r>
      <w:r w:rsidR="00EE7ED1">
        <w:t>l</w:t>
      </w:r>
      <w:r w:rsidRPr="00385256">
        <w:t>actation</w:t>
      </w:r>
      <w:bookmarkEnd w:id="325"/>
      <w:bookmarkEnd w:id="326"/>
      <w:bookmarkEnd w:id="327"/>
      <w:bookmarkEnd w:id="328"/>
      <w:bookmarkEnd w:id="329"/>
      <w:bookmarkEnd w:id="330"/>
      <w:bookmarkEnd w:id="331"/>
    </w:p>
    <w:p w:rsidR="00F60ACB" w:rsidRPr="00287354" w:rsidRDefault="00F60ACB" w:rsidP="0041754F">
      <w:pPr>
        <w:rPr>
          <w:lang w:val="en-US"/>
        </w:rPr>
      </w:pPr>
      <w:r>
        <w:rPr>
          <w:lang w:val="en-US"/>
        </w:rPr>
        <w:t>Pomalidomide is a thalidomide analogue, and was teratogenic in rats and rabbits. It is not known if pomalidomide is excreted in human milk, but was detected in the milk of lactating rats following administration to the mother.</w:t>
      </w:r>
    </w:p>
    <w:p w:rsidR="00F60ACB" w:rsidRDefault="00F60ACB" w:rsidP="0041754F">
      <w:r>
        <w:t>Appropriate warnings based on the above are important in the Product Information and CMI documents.</w:t>
      </w:r>
    </w:p>
    <w:p w:rsidR="00F60ACB" w:rsidRPr="00385256" w:rsidRDefault="00F60ACB" w:rsidP="0041754F">
      <w:pPr>
        <w:pStyle w:val="Heading5"/>
      </w:pPr>
      <w:bookmarkStart w:id="332" w:name="_Toc371611883"/>
      <w:bookmarkStart w:id="333" w:name="_Toc371612465"/>
      <w:bookmarkStart w:id="334" w:name="_Toc371612729"/>
      <w:bookmarkStart w:id="335" w:name="_Toc371613253"/>
      <w:r w:rsidRPr="00385256">
        <w:t>Second Primary Malignancies (SPM</w:t>
      </w:r>
      <w:bookmarkEnd w:id="332"/>
      <w:bookmarkEnd w:id="333"/>
      <w:bookmarkEnd w:id="334"/>
      <w:bookmarkEnd w:id="335"/>
      <w:r w:rsidRPr="00385256">
        <w:t>s)</w:t>
      </w:r>
    </w:p>
    <w:p w:rsidR="00F60ACB" w:rsidRDefault="00CA3DBB" w:rsidP="0041754F">
      <w:pPr>
        <w:rPr>
          <w:lang w:val="en-US"/>
        </w:rPr>
      </w:pPr>
      <w:r>
        <w:rPr>
          <w:lang w:val="en-US"/>
        </w:rPr>
        <w:t>A total of 32</w:t>
      </w:r>
      <w:r w:rsidR="00F60ACB">
        <w:rPr>
          <w:lang w:val="en-US"/>
        </w:rPr>
        <w:t xml:space="preserve"> subjects have experienced a total of 40 SPMs across all programs. This represents a current</w:t>
      </w:r>
      <w:r w:rsidR="000E4827">
        <w:rPr>
          <w:lang w:val="en-US"/>
        </w:rPr>
        <w:t xml:space="preserve"> reporting rate of </w:t>
      </w:r>
      <w:r w:rsidR="00C80F42">
        <w:t xml:space="preserve">approximately </w:t>
      </w:r>
      <w:r w:rsidR="00F60ACB">
        <w:rPr>
          <w:lang w:val="en-US"/>
        </w:rPr>
        <w:t xml:space="preserve">1% among the </w:t>
      </w:r>
      <w:r w:rsidR="00C80F42">
        <w:t xml:space="preserve">approximately </w:t>
      </w:r>
      <w:r w:rsidR="00F60ACB">
        <w:rPr>
          <w:lang w:val="en-US"/>
        </w:rPr>
        <w:t>3000 subjects exposed to pomalidomide in all contexts against an age</w:t>
      </w:r>
      <w:r w:rsidR="00EC3494">
        <w:rPr>
          <w:lang w:val="en-US"/>
        </w:rPr>
        <w:t xml:space="preserve"> </w:t>
      </w:r>
      <w:r w:rsidR="00F60ACB">
        <w:rPr>
          <w:lang w:val="en-US"/>
        </w:rPr>
        <w:t>expected background of for those ≥ 65 years of 2.1/100 patient</w:t>
      </w:r>
      <w:r w:rsidR="00EC3494">
        <w:rPr>
          <w:lang w:val="en-US"/>
        </w:rPr>
        <w:t xml:space="preserve"> </w:t>
      </w:r>
      <w:r w:rsidR="00F60ACB">
        <w:rPr>
          <w:lang w:val="en-US"/>
        </w:rPr>
        <w:t xml:space="preserve">years. Calculation of an overall SPM incidence rate was not possible due to incomplete data on duration of </w:t>
      </w:r>
      <w:r w:rsidR="00856CC5">
        <w:rPr>
          <w:lang w:val="en-US"/>
        </w:rPr>
        <w:t xml:space="preserve">exposure outside of the Celgene </w:t>
      </w:r>
      <w:r w:rsidR="00F60ACB">
        <w:rPr>
          <w:lang w:val="en-US"/>
        </w:rPr>
        <w:t>s</w:t>
      </w:r>
      <w:r w:rsidR="0041754F">
        <w:rPr>
          <w:lang w:val="en-US"/>
        </w:rPr>
        <w:t>ponsored studies.</w:t>
      </w:r>
    </w:p>
    <w:p w:rsidR="00F60ACB" w:rsidRPr="002A142C" w:rsidRDefault="00F60ACB" w:rsidP="0041754F">
      <w:pPr>
        <w:rPr>
          <w:lang w:val="en-US"/>
        </w:rPr>
      </w:pPr>
      <w:r>
        <w:rPr>
          <w:lang w:val="en-US"/>
        </w:rPr>
        <w:t>AML cases have been reported in the myelofibrosis patients treated with pomalidomide, most likely related to the underlying condition, and were also identified in a monkey in the nonclinical studies. No cases were identified in the MM population but the numbers are small and this is an important area for pharmacovigilance.</w:t>
      </w:r>
    </w:p>
    <w:p w:rsidR="00BD5BA2" w:rsidRPr="0086188E" w:rsidRDefault="00BD5BA2" w:rsidP="0041754F">
      <w:pPr>
        <w:pStyle w:val="Heading5"/>
      </w:pPr>
      <w:r>
        <w:t>Safety s</w:t>
      </w:r>
      <w:r w:rsidRPr="0086188E">
        <w:t>ummary</w:t>
      </w:r>
    </w:p>
    <w:p w:rsidR="00F60ACB" w:rsidRPr="002C7CD1" w:rsidRDefault="00F60ACB" w:rsidP="0041754F">
      <w:r w:rsidRPr="002C7CD1">
        <w:t>Overall, the most frequently occurring severe TEAEs related to pomalidomide included neutropenia (35.7%), thrombocytopenia (13.7%) and anaemia (13.0%). Febrile neutropeni</w:t>
      </w:r>
      <w:r w:rsidR="0041754F">
        <w:t>a occurred in 4.7% of subjects.</w:t>
      </w:r>
    </w:p>
    <w:p w:rsidR="00F60ACB" w:rsidRPr="002C7CD1" w:rsidRDefault="00F60ACB" w:rsidP="0041754F">
      <w:r w:rsidRPr="002C7CD1">
        <w:t>Neutropenia was the most significant treatment</w:t>
      </w:r>
      <w:r w:rsidR="00296ACE">
        <w:t xml:space="preserve"> </w:t>
      </w:r>
      <w:r w:rsidRPr="002C7CD1">
        <w:t xml:space="preserve">related effect and the increasing rates of adverse events with longer treatment duration (up to 62% of such subjects) raise the question of a cumulative effect of pomalidomide treatment, particularly myelosuppression, rather than just a longer duration of treatment leading to increased reporting rates. A potential cumulative effect would not be captured by the reporting system as </w:t>
      </w:r>
      <w:r w:rsidR="00826038">
        <w:t>AEs</w:t>
      </w:r>
      <w:r w:rsidRPr="002C7CD1">
        <w:t xml:space="preserve"> were only recorded once for a given individual, regardl</w:t>
      </w:r>
      <w:r w:rsidR="0041754F">
        <w:t>ess of how often they occurred.</w:t>
      </w:r>
    </w:p>
    <w:p w:rsidR="00F60ACB" w:rsidRPr="002C7CD1" w:rsidRDefault="00F60ACB" w:rsidP="0041754F">
      <w:r w:rsidRPr="002C7CD1">
        <w:t>Although there were high rates of neutropenia, these were generally manageable as indicated by the low discontinuation rates, and few deaths with concurrent neutropenia. The advice in the PI differs from the information regarding neutropenia rates and management and needs to be addressed (see PI section).</w:t>
      </w:r>
    </w:p>
    <w:p w:rsidR="00F60ACB" w:rsidRPr="002C7CD1" w:rsidRDefault="00F60ACB" w:rsidP="0041754F">
      <w:r w:rsidRPr="002C7CD1">
        <w:t xml:space="preserve">The main </w:t>
      </w:r>
      <w:r w:rsidR="005515F6">
        <w:t>AEs</w:t>
      </w:r>
      <w:r w:rsidRPr="002C7CD1">
        <w:t xml:space="preserve"> seen can be attributed to the disease itself (or its progression) which makes it difficult to determine whether there is a contribution from pomalidomide usage to the observed bone marrow failure, renal impairment, fat</w:t>
      </w:r>
      <w:r w:rsidR="0041754F">
        <w:t>igue and general deterioration.</w:t>
      </w:r>
    </w:p>
    <w:p w:rsidR="00F60ACB" w:rsidRPr="002C7CD1" w:rsidRDefault="00F60ACB" w:rsidP="0041754F">
      <w:r w:rsidRPr="002C7CD1">
        <w:lastRenderedPageBreak/>
        <w:t xml:space="preserve">There was a relatively high rate of baseline impairment in renal function, but there were also episodes of acute renal failure in all trials, including as a cause of death. While renal abnormalities (both TEAEs and severe TEAEs) were less frequent in the </w:t>
      </w:r>
      <w:r w:rsidR="00C177FB">
        <w:rPr>
          <w:rFonts w:eastAsia="TimesNewRoman"/>
          <w:lang w:val="en-US"/>
        </w:rPr>
        <w:t xml:space="preserve">pomalidomide + </w:t>
      </w:r>
      <w:r w:rsidR="00C177FB">
        <w:t>LD dexamethasone</w:t>
      </w:r>
      <w:r w:rsidR="00C177FB" w:rsidRPr="00865AF5">
        <w:t xml:space="preserve"> </w:t>
      </w:r>
      <w:r w:rsidRPr="002C7CD1">
        <w:t>group of s</w:t>
      </w:r>
      <w:r w:rsidR="00C177FB">
        <w:t>ubjects than in those receiving HD dexamethasone</w:t>
      </w:r>
      <w:r w:rsidRPr="002C7CD1">
        <w:t>, there were cases reported in the Phase II studies. It was also the second most common TEAE leading to treatment discontinuation, after infections. It is difficult to determine whether acute or worsening renal failure is a pomalidomide effect, secondary to other adverse events such as sepsis, or due to the disease itself (including progression). There are sufficient cases of emergent renal failure for this risk to be included in the RMP, and in the PI until i</w:t>
      </w:r>
      <w:r w:rsidRPr="00C9067B">
        <w:t>t</w:t>
      </w:r>
      <w:r w:rsidRPr="002C7CD1">
        <w:t xml:space="preserve"> is clearer, and for the study on pomalidomide in renally impaired subjects which may provide clearer prescribing instructions to be submitted as a condition of registration. It is noted, despite being an exclusion criterion, subjects with CrCl&lt;45 ml/min were included in the Phase III trial, with no apparent improvement in PFS and OS (see PI section</w:t>
      </w:r>
      <w:r w:rsidR="0041754F">
        <w:t>).</w:t>
      </w:r>
    </w:p>
    <w:p w:rsidR="00F60ACB" w:rsidRPr="002C7CD1" w:rsidRDefault="00F60ACB" w:rsidP="0041754F">
      <w:r w:rsidRPr="002C7CD1">
        <w:t xml:space="preserve">The proposed PI includes a risk of delayed pomalidomide metabolism with co-administration with strong inhibitors of CYP3A4 and CYP1A2. The </w:t>
      </w:r>
      <w:r w:rsidR="00C80F42">
        <w:t>s</w:t>
      </w:r>
      <w:r w:rsidRPr="002C7CD1">
        <w:t>ponsor has indicated that submission of the trial that contained this data is planned for submission post-registration. A brief summary pertaining to the positive findings regarding these particular drug-drug interactions is requested in the pre</w:t>
      </w:r>
      <w:r w:rsidR="00FC6C55">
        <w:t xml:space="preserve"> </w:t>
      </w:r>
      <w:r w:rsidRPr="002C7CD1">
        <w:t>ACPM response, with submission of the study for full evaluation as a Category 1 application as a condition of registration.</w:t>
      </w:r>
    </w:p>
    <w:p w:rsidR="00F60ACB" w:rsidRPr="002C7CD1" w:rsidRDefault="00F60ACB" w:rsidP="0041754F">
      <w:r w:rsidRPr="002C7CD1">
        <w:t>While no specific safety signals have been detected in the populations in the clinical tr</w:t>
      </w:r>
      <w:r w:rsidR="00BB3796">
        <w:t>ials, overall</w:t>
      </w:r>
      <w:r w:rsidRPr="002C7CD1">
        <w:t xml:space="preserve"> the total numbers are relatively small and the submission of the studies in hepatically impaired subjects and the QT/QTc studies are important in establishing the safety profile of a new chemical entity. These should be submitted upon completion as Category 1 applications as they become available.</w:t>
      </w:r>
    </w:p>
    <w:p w:rsidR="008E7846" w:rsidRDefault="000E55BF" w:rsidP="0041754F">
      <w:pPr>
        <w:pStyle w:val="Heading3"/>
        <w:rPr>
          <w:lang w:eastAsia="en-AU"/>
        </w:rPr>
      </w:pPr>
      <w:bookmarkStart w:id="336" w:name="_Toc404176199"/>
      <w:r>
        <w:rPr>
          <w:lang w:eastAsia="en-AU"/>
        </w:rPr>
        <w:t xml:space="preserve">Risk </w:t>
      </w:r>
      <w:r w:rsidR="0041754F">
        <w:rPr>
          <w:lang w:val="en-AU" w:eastAsia="en-AU"/>
        </w:rPr>
        <w:t>m</w:t>
      </w:r>
      <w:r w:rsidR="008E7846">
        <w:rPr>
          <w:lang w:eastAsia="en-AU"/>
        </w:rPr>
        <w:t xml:space="preserve">anagement </w:t>
      </w:r>
      <w:r w:rsidR="0041754F">
        <w:rPr>
          <w:lang w:val="en-AU" w:eastAsia="en-AU"/>
        </w:rPr>
        <w:t>p</w:t>
      </w:r>
      <w:r w:rsidR="008E7846">
        <w:rPr>
          <w:lang w:eastAsia="en-AU"/>
        </w:rPr>
        <w:t>lan</w:t>
      </w:r>
      <w:bookmarkEnd w:id="139"/>
      <w:bookmarkEnd w:id="336"/>
    </w:p>
    <w:p w:rsidR="002C7CD1" w:rsidRPr="002C7CD1" w:rsidRDefault="002C7CD1" w:rsidP="0041754F">
      <w:r w:rsidRPr="002C7CD1">
        <w:t xml:space="preserve">The </w:t>
      </w:r>
      <w:r w:rsidR="002306F2">
        <w:t>OPR</w:t>
      </w:r>
      <w:r w:rsidR="00267508">
        <w:t xml:space="preserve"> has accepted the EU-RMP Version 6.0 (dated 5 June 2</w:t>
      </w:r>
      <w:r w:rsidRPr="002C7CD1">
        <w:t xml:space="preserve">013; DLP </w:t>
      </w:r>
      <w:r w:rsidR="00267508">
        <w:t>24 May 2</w:t>
      </w:r>
      <w:r w:rsidRPr="002C7CD1">
        <w:t xml:space="preserve">013) and </w:t>
      </w:r>
      <w:r w:rsidR="00DD4C0D">
        <w:t>ASA</w:t>
      </w:r>
      <w:r w:rsidR="00267508">
        <w:t xml:space="preserve"> Version 1.0 (dated 11 September </w:t>
      </w:r>
      <w:r w:rsidRPr="002C7CD1">
        <w:t>2013; no DLP given); the implementation of this and any future updates (where TGA approved) as a condition of registration.</w:t>
      </w:r>
    </w:p>
    <w:p w:rsidR="002C7CD1" w:rsidRPr="002C7CD1" w:rsidRDefault="002C7CD1" w:rsidP="0041754F">
      <w:r w:rsidRPr="002C7CD1">
        <w:t xml:space="preserve">The </w:t>
      </w:r>
      <w:r w:rsidR="00F17D65">
        <w:t>s</w:t>
      </w:r>
      <w:r w:rsidRPr="002C7CD1">
        <w:t>ponsor should form a registry of patients treated with pomalidomide for the proposed usage to monitor, characteri</w:t>
      </w:r>
      <w:r w:rsidR="00C80F42">
        <w:t>s</w:t>
      </w:r>
      <w:r w:rsidRPr="002C7CD1">
        <w:t>e and determine the incidence of adverse reactions and to monitor compliance with the RMP and off-label use (supported by the Advisory Committee for the Safety of Medicines).</w:t>
      </w:r>
    </w:p>
    <w:p w:rsidR="002C7CD1" w:rsidRPr="002C7CD1" w:rsidRDefault="002C7CD1" w:rsidP="0041754F">
      <w:r w:rsidRPr="002C7CD1">
        <w:t>It is considered that the sponsor’s response to the TGA</w:t>
      </w:r>
      <w:r w:rsidR="00C80F42">
        <w:t>’s request for further information has</w:t>
      </w:r>
      <w:r w:rsidRPr="002C7CD1">
        <w:t xml:space="preserve"> adequately addressed all of the issues identified in the RMP evaluation report, with the exception of the </w:t>
      </w:r>
      <w:r w:rsidR="00FE2400">
        <w:t>o</w:t>
      </w:r>
      <w:r w:rsidRPr="002C7CD1">
        <w:t>utstanding issues below.</w:t>
      </w:r>
    </w:p>
    <w:p w:rsidR="002C7CD1" w:rsidRPr="002C7CD1" w:rsidRDefault="002C7CD1" w:rsidP="0041754F">
      <w:r w:rsidRPr="002C7CD1">
        <w:t xml:space="preserve">Parts of the sponsor’s response to the </w:t>
      </w:r>
      <w:r w:rsidR="00C80F42">
        <w:t>TGA’s</w:t>
      </w:r>
      <w:r w:rsidRPr="002C7CD1">
        <w:t xml:space="preserve"> request with regard to </w:t>
      </w:r>
      <w:proofErr w:type="gramStart"/>
      <w:r w:rsidRPr="002C7CD1">
        <w:t xml:space="preserve">the </w:t>
      </w:r>
      <w:r w:rsidRPr="00FE2400">
        <w:rPr>
          <w:i/>
        </w:rPr>
        <w:t>i</w:t>
      </w:r>
      <w:proofErr w:type="gramEnd"/>
      <w:r w:rsidRPr="00FE2400">
        <w:rPr>
          <w:i/>
        </w:rPr>
        <w:t>-access</w:t>
      </w:r>
      <w:r w:rsidRPr="002C7CD1">
        <w:t xml:space="preserve"> program are not entirely satisfactory. The Delegate is in agreement with the RMP evaluator that given the potential teratogenic effect of pomalidomide in humans:</w:t>
      </w:r>
    </w:p>
    <w:p w:rsidR="002C7CD1" w:rsidRPr="00C9067B" w:rsidRDefault="002C7CD1" w:rsidP="00C9067B">
      <w:pPr>
        <w:pStyle w:val="ListBullet"/>
      </w:pPr>
      <w:r w:rsidRPr="002C7CD1">
        <w:t xml:space="preserve">The sponsor should specify that the </w:t>
      </w:r>
      <w:r w:rsidR="001F0F53">
        <w:t>pregnancy test should be a β</w:t>
      </w:r>
      <w:r w:rsidR="00314AEB">
        <w:t xml:space="preserve"> </w:t>
      </w:r>
      <w:r w:rsidR="00314AEB" w:rsidRPr="00314AEB">
        <w:t xml:space="preserve">Human Chorionic </w:t>
      </w:r>
      <w:r w:rsidR="00314AEB" w:rsidRPr="00C9067B">
        <w:t>Gonadotropin (</w:t>
      </w:r>
      <w:r w:rsidRPr="00C9067B">
        <w:t>HCG</w:t>
      </w:r>
      <w:r w:rsidR="00314AEB" w:rsidRPr="00C9067B">
        <w:t>)</w:t>
      </w:r>
      <w:r w:rsidRPr="00C9067B">
        <w:t xml:space="preserve"> blood test.</w:t>
      </w:r>
    </w:p>
    <w:p w:rsidR="002C7CD1" w:rsidRPr="002C7CD1" w:rsidRDefault="002C7CD1" w:rsidP="00C9067B">
      <w:pPr>
        <w:pStyle w:val="ListBullet"/>
      </w:pPr>
      <w:r w:rsidRPr="00C9067B">
        <w:t>Additional</w:t>
      </w:r>
      <w:r w:rsidRPr="002C7CD1">
        <w:t xml:space="preserve"> to the actions described by the sponsor in their response with regard to a positive pregnancy test, the sponsor should follow-up a continuing pregnancy.</w:t>
      </w:r>
    </w:p>
    <w:p w:rsidR="002C7CD1" w:rsidRPr="002C7CD1" w:rsidRDefault="002C7CD1" w:rsidP="0041754F">
      <w:r w:rsidRPr="002C7CD1">
        <w:t xml:space="preserve">The OPR recommended a range </w:t>
      </w:r>
      <w:r w:rsidR="00A24D2E">
        <w:t>of PI changes in the RMP report</w:t>
      </w:r>
      <w:r w:rsidR="00C80F42">
        <w:t xml:space="preserve"> but the details of these are beyond the scope of this AusPAR</w:t>
      </w:r>
      <w:r w:rsidRPr="002C7CD1">
        <w:t>.</w:t>
      </w:r>
    </w:p>
    <w:p w:rsidR="008E7846" w:rsidRDefault="00AA0ED0" w:rsidP="00C9067B">
      <w:pPr>
        <w:pStyle w:val="Heading3"/>
      </w:pPr>
      <w:bookmarkStart w:id="337" w:name="_Toc247691531"/>
      <w:bookmarkStart w:id="338" w:name="_Toc314842515"/>
      <w:bookmarkStart w:id="339" w:name="_Toc196046505"/>
      <w:bookmarkStart w:id="340" w:name="_Toc196046949"/>
      <w:bookmarkStart w:id="341" w:name="_Toc404176200"/>
      <w:r>
        <w:lastRenderedPageBreak/>
        <w:t>Risk-</w:t>
      </w:r>
      <w:r w:rsidR="0041754F" w:rsidRPr="00C9067B">
        <w:t>b</w:t>
      </w:r>
      <w:r w:rsidRPr="00C9067B">
        <w:t>enefit</w:t>
      </w:r>
      <w:r>
        <w:t xml:space="preserve"> </w:t>
      </w:r>
      <w:r w:rsidR="0041754F">
        <w:rPr>
          <w:lang w:val="en-AU"/>
        </w:rPr>
        <w:t>a</w:t>
      </w:r>
      <w:r w:rsidR="008E7846">
        <w:t>nalysis</w:t>
      </w:r>
      <w:bookmarkEnd w:id="337"/>
      <w:bookmarkEnd w:id="338"/>
      <w:bookmarkEnd w:id="341"/>
    </w:p>
    <w:p w:rsidR="00D23139" w:rsidRPr="0041754F" w:rsidRDefault="0041754F" w:rsidP="0041754F">
      <w:pPr>
        <w:pStyle w:val="Heading4"/>
        <w:rPr>
          <w:lang w:val="en-AU"/>
        </w:rPr>
      </w:pPr>
      <w:r>
        <w:t>Delegate’s considerations</w:t>
      </w:r>
    </w:p>
    <w:p w:rsidR="0044199C" w:rsidRPr="0044199C" w:rsidRDefault="0044199C" w:rsidP="0041754F">
      <w:r w:rsidRPr="0044199C">
        <w:t>The Delegate believes that efficacy has been satisfactorily demonstrated and that the safety studies indicate that overall, the safety of pomalidomide is satisfactory (but this will be further established by the specified studies being submitted for evaluation as per the Conditions of Registration), for the following modified indication:</w:t>
      </w:r>
    </w:p>
    <w:p w:rsidR="0044199C" w:rsidRPr="00904627" w:rsidRDefault="0044199C" w:rsidP="00C9067B">
      <w:pPr>
        <w:ind w:left="426"/>
        <w:rPr>
          <w:i/>
        </w:rPr>
      </w:pPr>
      <w:r w:rsidRPr="00904627">
        <w:rPr>
          <w:i/>
        </w:rPr>
        <w:t>Pomalidomide in combination with dexamethasone is indicated in the treatment of patients with relapsed and refractory multiple myeloma who have received at least two prior treatment regimens, including both lenalidomide and bortezomib, and have demonstrated disease p</w:t>
      </w:r>
      <w:r w:rsidR="00904627" w:rsidRPr="00904627">
        <w:rPr>
          <w:i/>
        </w:rPr>
        <w:t>rogression on the last therapy.</w:t>
      </w:r>
    </w:p>
    <w:p w:rsidR="0044199C" w:rsidRPr="0044199C" w:rsidRDefault="0044199C" w:rsidP="0041754F">
      <w:r w:rsidRPr="0044199C">
        <w:t xml:space="preserve">The Delegate does not believe that it is necessary to restrict the indication to adults as although rare in those </w:t>
      </w:r>
      <w:proofErr w:type="gramStart"/>
      <w:r w:rsidRPr="0044199C">
        <w:t>under</w:t>
      </w:r>
      <w:proofErr w:type="gramEnd"/>
      <w:r w:rsidRPr="0044199C">
        <w:t xml:space="preserve"> 18 years of age, there is no reason to assume that there would be any difference in efficacy and safety for </w:t>
      </w:r>
      <w:r w:rsidR="00B639BE">
        <w:t>MM</w:t>
      </w:r>
      <w:r w:rsidRPr="0044199C">
        <w:t xml:space="preserve"> in this age group, and this would be a valid palliative treatment option in an incurable setting.</w:t>
      </w:r>
    </w:p>
    <w:p w:rsidR="0044199C" w:rsidRPr="00F60ACB" w:rsidRDefault="0044199C" w:rsidP="002004E7">
      <w:pPr>
        <w:pStyle w:val="Heading4"/>
        <w:rPr>
          <w:lang w:eastAsia="ja-JP"/>
        </w:rPr>
      </w:pPr>
      <w:r w:rsidRPr="00F60ACB">
        <w:rPr>
          <w:lang w:eastAsia="ja-JP"/>
        </w:rPr>
        <w:t xml:space="preserve">Data </w:t>
      </w:r>
      <w:r>
        <w:rPr>
          <w:lang w:eastAsia="ja-JP"/>
        </w:rPr>
        <w:t>d</w:t>
      </w:r>
      <w:r w:rsidRPr="00F60ACB">
        <w:rPr>
          <w:lang w:eastAsia="ja-JP"/>
        </w:rPr>
        <w:t>eficiencies</w:t>
      </w:r>
    </w:p>
    <w:p w:rsidR="0044199C" w:rsidRPr="0044199C" w:rsidRDefault="0044199C" w:rsidP="002004E7">
      <w:r w:rsidRPr="0044199C">
        <w:t>The studies listed in the condition of registration are important in establishing the safety for the proposed usage.</w:t>
      </w:r>
    </w:p>
    <w:p w:rsidR="0044199C" w:rsidRPr="00F60ACB" w:rsidRDefault="0044199C" w:rsidP="002004E7">
      <w:pPr>
        <w:pStyle w:val="Heading4"/>
        <w:rPr>
          <w:lang w:eastAsia="ja-JP"/>
        </w:rPr>
      </w:pPr>
      <w:r w:rsidRPr="00F60ACB">
        <w:rPr>
          <w:lang w:eastAsia="ja-JP"/>
        </w:rPr>
        <w:t xml:space="preserve">Questions for the </w:t>
      </w:r>
      <w:r>
        <w:rPr>
          <w:lang w:eastAsia="ja-JP"/>
        </w:rPr>
        <w:t>s</w:t>
      </w:r>
      <w:r w:rsidRPr="00F60ACB">
        <w:rPr>
          <w:lang w:eastAsia="ja-JP"/>
        </w:rPr>
        <w:t>ponsor</w:t>
      </w:r>
    </w:p>
    <w:p w:rsidR="0044199C" w:rsidRPr="002004E7" w:rsidRDefault="0044199C" w:rsidP="00C9067B">
      <w:pPr>
        <w:pStyle w:val="Numberbullet0"/>
        <w:numPr>
          <w:ilvl w:val="0"/>
          <w:numId w:val="49"/>
        </w:numPr>
      </w:pPr>
      <w:r w:rsidRPr="002004E7">
        <w:t xml:space="preserve">The </w:t>
      </w:r>
      <w:r w:rsidR="00C96FE6" w:rsidRPr="002004E7">
        <w:t>s</w:t>
      </w:r>
      <w:r w:rsidRPr="002004E7">
        <w:t>ponsor is requested to provide dates of completion for the studies listed below, and timeframes for submission following completion.</w:t>
      </w:r>
    </w:p>
    <w:p w:rsidR="0044199C" w:rsidRPr="002004E7" w:rsidRDefault="0044199C" w:rsidP="00C9067B">
      <w:pPr>
        <w:pStyle w:val="Numberbullet0"/>
        <w:numPr>
          <w:ilvl w:val="0"/>
          <w:numId w:val="49"/>
        </w:numPr>
      </w:pPr>
      <w:r w:rsidRPr="002004E7">
        <w:t xml:space="preserve">The </w:t>
      </w:r>
      <w:r w:rsidR="00C96FE6" w:rsidRPr="002004E7">
        <w:t>s</w:t>
      </w:r>
      <w:r w:rsidRPr="002004E7">
        <w:t>ponsor is requested to provide a summary of the quality of life outcomes undertaken as per the study protocol, including the proportion of patients who completed these assessments fully (with a denominator of all evaluable patients) as part of Study CC-4047-MM-003 in the pre</w:t>
      </w:r>
      <w:r w:rsidR="00E621B5" w:rsidRPr="002004E7">
        <w:t xml:space="preserve"> </w:t>
      </w:r>
      <w:r w:rsidRPr="002004E7">
        <w:t>ACPM response.</w:t>
      </w:r>
    </w:p>
    <w:p w:rsidR="0044199C" w:rsidRPr="002004E7" w:rsidRDefault="00AD3D6F" w:rsidP="00C9067B">
      <w:pPr>
        <w:pStyle w:val="Numberbullet0"/>
        <w:numPr>
          <w:ilvl w:val="0"/>
          <w:numId w:val="49"/>
        </w:numPr>
      </w:pPr>
      <w:r w:rsidRPr="002004E7">
        <w:t>In the PI, the rate of febrile neutropenia</w:t>
      </w:r>
      <w:r w:rsidR="0044199C" w:rsidRPr="002004E7">
        <w:t xml:space="preserve"> was said to be 6.7% (4% “serious”), yet the dose interruptions were only 3.7% and dose reductions only occurred in 1.3%. This statement and the data underpinning it require explanation please as this is inconsistent with the recommendations for dose modification in t</w:t>
      </w:r>
      <w:r w:rsidRPr="002004E7">
        <w:t xml:space="preserve">he PI. Was </w:t>
      </w:r>
      <w:r w:rsidR="00C03DBB" w:rsidRPr="002004E7">
        <w:t>granulocyte colony stimulating factor (</w:t>
      </w:r>
      <w:r w:rsidRPr="002004E7">
        <w:t>GCSF</w:t>
      </w:r>
      <w:r w:rsidR="00C03DBB" w:rsidRPr="002004E7">
        <w:t>)</w:t>
      </w:r>
      <w:r w:rsidRPr="002004E7">
        <w:t xml:space="preserve"> used? Did the febrile neutropenia</w:t>
      </w:r>
      <w:r w:rsidR="0044199C" w:rsidRPr="002004E7">
        <w:t xml:space="preserve"> occur during the week off of the 4</w:t>
      </w:r>
      <w:r w:rsidR="00C02D13" w:rsidRPr="002004E7">
        <w:t xml:space="preserve"> </w:t>
      </w:r>
      <w:r w:rsidR="0044199C" w:rsidRPr="002004E7">
        <w:t xml:space="preserve">week cycle? </w:t>
      </w:r>
    </w:p>
    <w:p w:rsidR="0044199C" w:rsidRPr="002004E7" w:rsidRDefault="0044199C" w:rsidP="00C9067B">
      <w:pPr>
        <w:pStyle w:val="Numberbullet0"/>
        <w:numPr>
          <w:ilvl w:val="0"/>
          <w:numId w:val="49"/>
        </w:numPr>
      </w:pPr>
      <w:r w:rsidRPr="002004E7">
        <w:t xml:space="preserve">There is information about the co-administration of fluvoxamine of CYP1A2 in presence of ketoconazole increasing the levels and potential effects of pomalidomide. It is noted that the </w:t>
      </w:r>
      <w:r w:rsidR="005523CA" w:rsidRPr="002004E7">
        <w:t>s</w:t>
      </w:r>
      <w:r w:rsidRPr="002004E7">
        <w:t xml:space="preserve">ponsor plans to submit the relevant drug-drug study after registration. In the meantime, the </w:t>
      </w:r>
      <w:r w:rsidR="00C80F42" w:rsidRPr="002004E7">
        <w:t>s</w:t>
      </w:r>
      <w:r w:rsidRPr="002004E7">
        <w:t>ponsor is requested to provide top line dat</w:t>
      </w:r>
      <w:r w:rsidR="005523CA" w:rsidRPr="002004E7">
        <w:t xml:space="preserve">a to support this finding (that is, </w:t>
      </w:r>
      <w:r w:rsidRPr="002004E7">
        <w:t>not the whole study as this will need to be evaluated) as this should be included in the PI now as it pertains to safety (subsequent PI modifications may be required following a formal submission and evaluation of this study post</w:t>
      </w:r>
      <w:r w:rsidR="005523CA" w:rsidRPr="002004E7">
        <w:t xml:space="preserve"> </w:t>
      </w:r>
      <w:r w:rsidRPr="002004E7">
        <w:t>registration).</w:t>
      </w:r>
    </w:p>
    <w:p w:rsidR="0044199C" w:rsidRDefault="0044199C" w:rsidP="002004E7">
      <w:pPr>
        <w:pStyle w:val="Heading4"/>
        <w:rPr>
          <w:lang w:eastAsia="ja-JP"/>
        </w:rPr>
      </w:pPr>
      <w:r w:rsidRPr="00F60ACB">
        <w:rPr>
          <w:lang w:eastAsia="ja-JP"/>
        </w:rPr>
        <w:t>Conditions of registration</w:t>
      </w:r>
    </w:p>
    <w:p w:rsidR="0044199C" w:rsidRPr="00A001EF" w:rsidRDefault="0044199C" w:rsidP="002004E7">
      <w:r w:rsidRPr="00A001EF">
        <w:t>The following are proposed as conditions of registration:</w:t>
      </w:r>
    </w:p>
    <w:p w:rsidR="0044199C" w:rsidRPr="00A001EF" w:rsidRDefault="0044199C" w:rsidP="002004E7">
      <w:pPr>
        <w:pStyle w:val="ListBullet"/>
      </w:pPr>
      <w:r w:rsidRPr="00A001EF">
        <w:t>Submission of the following studies:</w:t>
      </w:r>
    </w:p>
    <w:p w:rsidR="0044199C" w:rsidRPr="00A001EF" w:rsidRDefault="00975985" w:rsidP="002004E7">
      <w:pPr>
        <w:pStyle w:val="ListBullet2"/>
      </w:pPr>
      <w:r>
        <w:t>S</w:t>
      </w:r>
      <w:r w:rsidR="0044199C" w:rsidRPr="00A001EF">
        <w:t>afety study in patients with MM with renal impairment as a Category 1 submission upon completion (Study CC-4047-MM-008).</w:t>
      </w:r>
    </w:p>
    <w:p w:rsidR="0044199C" w:rsidRPr="00A001EF" w:rsidRDefault="00DF205B" w:rsidP="002004E7">
      <w:pPr>
        <w:pStyle w:val="ListBullet2"/>
      </w:pPr>
      <w:r>
        <w:lastRenderedPageBreak/>
        <w:t>D</w:t>
      </w:r>
      <w:r w:rsidR="0044199C" w:rsidRPr="00A001EF">
        <w:t>rug-drug interaction study from which PI information regarding CYP3A4 and 1A2 derived (interim information has been requested) as a Category 1 submission within 3 months of registration.</w:t>
      </w:r>
    </w:p>
    <w:p w:rsidR="0044199C" w:rsidRPr="00A001EF" w:rsidRDefault="00DF205B" w:rsidP="002004E7">
      <w:pPr>
        <w:pStyle w:val="ListBullet2"/>
      </w:pPr>
      <w:r>
        <w:t>S</w:t>
      </w:r>
      <w:r w:rsidR="0044199C" w:rsidRPr="00A001EF">
        <w:t>afety study in hepatically impaired males as Category 1 submission</w:t>
      </w:r>
    </w:p>
    <w:p w:rsidR="0044199C" w:rsidRPr="00A001EF" w:rsidRDefault="0044199C" w:rsidP="002004E7">
      <w:pPr>
        <w:pStyle w:val="ListBullet2"/>
      </w:pPr>
      <w:r w:rsidRPr="00A001EF">
        <w:t>QT/QTc study in healthy volunteers as a Category 1 submission</w:t>
      </w:r>
    </w:p>
    <w:p w:rsidR="0044199C" w:rsidRPr="00A001EF" w:rsidRDefault="0044199C" w:rsidP="002004E7">
      <w:pPr>
        <w:pStyle w:val="ListBullet"/>
      </w:pPr>
      <w:r w:rsidRPr="00A001EF">
        <w:t>Implementation of the EU-RMP Version 6.0 (</w:t>
      </w:r>
      <w:r w:rsidR="005523CA">
        <w:t>dated 5 June 2</w:t>
      </w:r>
      <w:r w:rsidR="005523CA" w:rsidRPr="002C7CD1">
        <w:t xml:space="preserve">013; DLP </w:t>
      </w:r>
      <w:r w:rsidR="005523CA">
        <w:t>24 May 2</w:t>
      </w:r>
      <w:r w:rsidR="005523CA" w:rsidRPr="002C7CD1">
        <w:t>013</w:t>
      </w:r>
      <w:r w:rsidRPr="00A001EF">
        <w:t xml:space="preserve">) and </w:t>
      </w:r>
      <w:r w:rsidR="000C0A12">
        <w:t>ASA</w:t>
      </w:r>
      <w:r w:rsidR="005523CA">
        <w:t xml:space="preserve"> Version 1.0 (dated 11 September </w:t>
      </w:r>
      <w:r w:rsidRPr="00A001EF">
        <w:t>2013; no DLP given), and any future updates (where TGA approved)</w:t>
      </w:r>
    </w:p>
    <w:p w:rsidR="0044199C" w:rsidRPr="00A001EF" w:rsidRDefault="0044199C" w:rsidP="002004E7">
      <w:pPr>
        <w:pStyle w:val="ListBullet"/>
      </w:pPr>
      <w:r w:rsidRPr="00A001EF">
        <w:t xml:space="preserve">The </w:t>
      </w:r>
      <w:r w:rsidR="00A45A93">
        <w:t>s</w:t>
      </w:r>
      <w:r w:rsidRPr="00A001EF">
        <w:t>ponsor should form a registry of patients treated with pomalidomide for the proposed usage to monitor, characteri</w:t>
      </w:r>
      <w:r w:rsidR="00A45A93">
        <w:t>s</w:t>
      </w:r>
      <w:r w:rsidRPr="00A001EF">
        <w:t>e and determine the incidence of adverse reactions and to monitor compliance with the RMP and off-label use.</w:t>
      </w:r>
    </w:p>
    <w:p w:rsidR="00C56025" w:rsidRDefault="00C56025" w:rsidP="002004E7">
      <w:pPr>
        <w:pStyle w:val="Heading4"/>
      </w:pPr>
      <w:r>
        <w:t>Summary of issues</w:t>
      </w:r>
    </w:p>
    <w:p w:rsidR="00C56025" w:rsidRPr="00C56025" w:rsidRDefault="00C56025" w:rsidP="002004E7">
      <w:r w:rsidRPr="00C56025">
        <w:t xml:space="preserve">Efficacy has been satisfactorily demonstrated for pomalidomide in relapsed and refractory </w:t>
      </w:r>
      <w:r w:rsidR="00B639BE">
        <w:t>MM</w:t>
      </w:r>
      <w:r w:rsidRPr="00C56025">
        <w:t>, although the benefit of including dexamethasone in the regimen is not clear.</w:t>
      </w:r>
    </w:p>
    <w:p w:rsidR="00C56025" w:rsidRPr="00C56025" w:rsidRDefault="00C56025" w:rsidP="002004E7">
      <w:r w:rsidRPr="00C56025">
        <w:t>Safety has been adequately demonstrated, with the majority of adverse events being manageable.</w:t>
      </w:r>
    </w:p>
    <w:p w:rsidR="00C56025" w:rsidRPr="00C56025" w:rsidRDefault="00C56025" w:rsidP="002004E7">
      <w:r w:rsidRPr="00C56025">
        <w:t>No quality of life data were submitted, despite being described in the protocol for the Phase III study.</w:t>
      </w:r>
    </w:p>
    <w:p w:rsidR="00C56025" w:rsidRPr="00C56025" w:rsidRDefault="00C56025" w:rsidP="002004E7">
      <w:r w:rsidRPr="00C56025">
        <w:t>There are some PK studies which have not been submitted that would inform the prescriber about the safe use of pomalidomide. Submission of these has been included in the conditions of registration.</w:t>
      </w:r>
    </w:p>
    <w:p w:rsidR="00D23139" w:rsidRDefault="00D23139" w:rsidP="00C9067B">
      <w:pPr>
        <w:pStyle w:val="Heading4"/>
      </w:pPr>
      <w:r w:rsidRPr="00D23139">
        <w:t xml:space="preserve">Proposed </w:t>
      </w:r>
      <w:r w:rsidRPr="00C9067B">
        <w:t>action</w:t>
      </w:r>
    </w:p>
    <w:p w:rsidR="00C56025" w:rsidRPr="00C56025" w:rsidRDefault="00C56025" w:rsidP="002004E7">
      <w:r>
        <w:t xml:space="preserve">The Delegate </w:t>
      </w:r>
      <w:r w:rsidRPr="00C56025">
        <w:t>ha</w:t>
      </w:r>
      <w:r>
        <w:t>s</w:t>
      </w:r>
      <w:r w:rsidRPr="00C56025">
        <w:t xml:space="preserve"> no reason to say, at this time, that the application </w:t>
      </w:r>
      <w:r w:rsidRPr="00DF3301">
        <w:t xml:space="preserve">for </w:t>
      </w:r>
      <w:r w:rsidR="00DF3301">
        <w:t>p</w:t>
      </w:r>
      <w:r w:rsidR="00DF3301" w:rsidRPr="00DF3301">
        <w:t>omalidomide</w:t>
      </w:r>
      <w:r w:rsidRPr="00C56025">
        <w:t xml:space="preserve"> should not be approved for registration for the following modified indication:</w:t>
      </w:r>
    </w:p>
    <w:p w:rsidR="006D6A1E" w:rsidRPr="00C56025" w:rsidRDefault="00C56025" w:rsidP="00C9067B">
      <w:pPr>
        <w:ind w:left="426"/>
        <w:rPr>
          <w:i/>
        </w:rPr>
      </w:pPr>
      <w:r w:rsidRPr="00C56025">
        <w:rPr>
          <w:i/>
        </w:rPr>
        <w:t>Pomalidomide, in combination with dexamethasone, is indicated in the treatment of patients with relapsed and refractory multiple myeloma who have received at least two prior treatment regimens, including both lenalidomide and bortezomib, and have demonstrated disease progression on the last therapy.</w:t>
      </w:r>
    </w:p>
    <w:p w:rsidR="00D23139" w:rsidRDefault="00D23139" w:rsidP="002004E7">
      <w:pPr>
        <w:pStyle w:val="Heading4"/>
      </w:pPr>
      <w:r w:rsidRPr="00D23139">
        <w:t>Request for ACPM advice</w:t>
      </w:r>
    </w:p>
    <w:p w:rsidR="00C56025" w:rsidRPr="00C56025" w:rsidRDefault="00C56025" w:rsidP="002004E7">
      <w:r w:rsidRPr="00C56025">
        <w:t>The committee is requested to provide advice on the following specific issues:</w:t>
      </w:r>
    </w:p>
    <w:p w:rsidR="00C56025" w:rsidRPr="00C56025" w:rsidRDefault="00C56025" w:rsidP="0054281C">
      <w:pPr>
        <w:pStyle w:val="ListBullet"/>
      </w:pPr>
      <w:r w:rsidRPr="00C56025">
        <w:t xml:space="preserve">Whether efficacy and safety </w:t>
      </w:r>
      <w:r w:rsidRPr="0054281C">
        <w:t>have</w:t>
      </w:r>
      <w:r w:rsidRPr="00C56025">
        <w:t xml:space="preserve"> been adequately demonstrated.</w:t>
      </w:r>
    </w:p>
    <w:p w:rsidR="006D6A1E" w:rsidRPr="00C56025" w:rsidRDefault="00C56025" w:rsidP="002004E7">
      <w:r w:rsidRPr="00C56025">
        <w:t>The committee is (also) requested to provide advice on any other issues that it thinks may be relevant to a decision on whether or not to approve this application.</w:t>
      </w:r>
    </w:p>
    <w:p w:rsidR="00D23139" w:rsidRPr="002004E7" w:rsidRDefault="00D23139" w:rsidP="002004E7">
      <w:pPr>
        <w:pStyle w:val="Heading4"/>
        <w:rPr>
          <w:lang w:val="en-AU"/>
        </w:rPr>
      </w:pPr>
      <w:r w:rsidRPr="00D23139">
        <w:t xml:space="preserve">Response from </w:t>
      </w:r>
      <w:r w:rsidR="000E55BF">
        <w:t>s</w:t>
      </w:r>
      <w:r w:rsidR="002004E7">
        <w:t>ponsor</w:t>
      </w:r>
    </w:p>
    <w:p w:rsidR="00610083" w:rsidRDefault="00FF4B69" w:rsidP="002004E7">
      <w:r>
        <w:t>In this</w:t>
      </w:r>
      <w:r w:rsidR="00610083" w:rsidRPr="00610083">
        <w:t xml:space="preserve"> Category 1 </w:t>
      </w:r>
      <w:r w:rsidR="005D5FA6">
        <w:t xml:space="preserve">(New Chemical Entity) </w:t>
      </w:r>
      <w:r w:rsidR="00610083" w:rsidRPr="00610083">
        <w:t xml:space="preserve">submission, </w:t>
      </w:r>
      <w:r w:rsidR="008F4E7C">
        <w:t>the sponsor</w:t>
      </w:r>
      <w:r w:rsidR="00610083" w:rsidRPr="00610083">
        <w:t xml:space="preserve"> proposed for the following indication:</w:t>
      </w:r>
    </w:p>
    <w:p w:rsidR="00610083" w:rsidRPr="00610083" w:rsidRDefault="00610083" w:rsidP="0054281C">
      <w:pPr>
        <w:ind w:left="426"/>
        <w:rPr>
          <w:i/>
        </w:rPr>
      </w:pPr>
      <w:r w:rsidRPr="00610083">
        <w:rPr>
          <w:i/>
        </w:rPr>
        <w:t>Pomalyst in combination with dexamethasone is indicated for the treatment of patients with multiple myeloma who have failed at least two prior therapies including lenalidomide and a proteasome inhibitor.</w:t>
      </w:r>
    </w:p>
    <w:p w:rsidR="00610083" w:rsidRPr="00610083" w:rsidRDefault="00610083" w:rsidP="002004E7">
      <w:r w:rsidRPr="00610083">
        <w:t>In the Delegate’s preliminary assessment</w:t>
      </w:r>
      <w:r w:rsidR="00894964">
        <w:t>,</w:t>
      </w:r>
      <w:r w:rsidRPr="00610083">
        <w:t xml:space="preserve"> a modified indication is suggested:</w:t>
      </w:r>
    </w:p>
    <w:p w:rsidR="00610083" w:rsidRPr="00610083" w:rsidRDefault="00894964" w:rsidP="002004E7">
      <w:r>
        <w:lastRenderedPageBreak/>
        <w:t xml:space="preserve">The Delegate </w:t>
      </w:r>
      <w:r w:rsidRPr="00C56025">
        <w:t>ha</w:t>
      </w:r>
      <w:r>
        <w:t>s</w:t>
      </w:r>
      <w:r w:rsidRPr="00C56025">
        <w:t xml:space="preserve"> </w:t>
      </w:r>
      <w:r w:rsidR="00610083" w:rsidRPr="00610083">
        <w:t>no reason to say, at this</w:t>
      </w:r>
      <w:r w:rsidR="00E6239C">
        <w:t xml:space="preserve"> time, that the application for p</w:t>
      </w:r>
      <w:r w:rsidR="00E6239C" w:rsidRPr="00E6239C">
        <w:t>omalidomide</w:t>
      </w:r>
      <w:r w:rsidR="00610083" w:rsidRPr="00E6239C">
        <w:t xml:space="preserve"> should</w:t>
      </w:r>
      <w:r w:rsidR="00610083" w:rsidRPr="00610083">
        <w:t xml:space="preserve"> not be</w:t>
      </w:r>
      <w:r>
        <w:t xml:space="preserve"> </w:t>
      </w:r>
      <w:r w:rsidR="00610083" w:rsidRPr="00610083">
        <w:t xml:space="preserve">approved for registration for the following </w:t>
      </w:r>
      <w:r w:rsidR="00610083" w:rsidRPr="00FF4B69">
        <w:rPr>
          <w:b/>
        </w:rPr>
        <w:t>modified indication</w:t>
      </w:r>
      <w:r w:rsidR="00610083" w:rsidRPr="00610083">
        <w:t>:</w:t>
      </w:r>
    </w:p>
    <w:p w:rsidR="00D23139" w:rsidRPr="00894964" w:rsidRDefault="00610083" w:rsidP="0054281C">
      <w:pPr>
        <w:ind w:left="426"/>
        <w:rPr>
          <w:i/>
        </w:rPr>
      </w:pPr>
      <w:r w:rsidRPr="00894964">
        <w:rPr>
          <w:i/>
        </w:rPr>
        <w:t>Pomalidomide, in combination with dexamethasone, i</w:t>
      </w:r>
      <w:r w:rsidR="00894964" w:rsidRPr="00894964">
        <w:rPr>
          <w:i/>
        </w:rPr>
        <w:t xml:space="preserve">s indicated in the treatment of </w:t>
      </w:r>
      <w:r w:rsidRPr="00894964">
        <w:rPr>
          <w:i/>
        </w:rPr>
        <w:t>patients with relapsed and refractory multiple myeloma who have received at least two prior</w:t>
      </w:r>
      <w:r w:rsidR="00894964" w:rsidRPr="00894964">
        <w:rPr>
          <w:i/>
        </w:rPr>
        <w:t xml:space="preserve"> </w:t>
      </w:r>
      <w:r w:rsidRPr="00894964">
        <w:rPr>
          <w:i/>
        </w:rPr>
        <w:t>treatment regimens, including both lenalidomide and bo</w:t>
      </w:r>
      <w:r w:rsidR="00894964" w:rsidRPr="00894964">
        <w:rPr>
          <w:i/>
        </w:rPr>
        <w:t xml:space="preserve">rtezomib, and have demonstrated </w:t>
      </w:r>
      <w:r w:rsidRPr="00894964">
        <w:rPr>
          <w:i/>
        </w:rPr>
        <w:t>disease p</w:t>
      </w:r>
      <w:r w:rsidR="00894964" w:rsidRPr="00894964">
        <w:rPr>
          <w:i/>
        </w:rPr>
        <w:t>rogression on the last therapy.</w:t>
      </w:r>
    </w:p>
    <w:p w:rsidR="00B6181A" w:rsidRPr="00B6181A" w:rsidRDefault="00B6181A" w:rsidP="002004E7">
      <w:r w:rsidRPr="00B6181A">
        <w:t xml:space="preserve">The issues raised </w:t>
      </w:r>
      <w:r w:rsidR="000F0414">
        <w:t xml:space="preserve">in the Delegate’s overview </w:t>
      </w:r>
      <w:r w:rsidRPr="00B6181A">
        <w:t>are addressed in the following pages.</w:t>
      </w:r>
    </w:p>
    <w:p w:rsidR="00B6181A" w:rsidRPr="00B6181A" w:rsidRDefault="00B6181A" w:rsidP="002004E7">
      <w:pPr>
        <w:pStyle w:val="Heading5"/>
      </w:pPr>
      <w:r w:rsidRPr="00B6181A">
        <w:t xml:space="preserve">Delegate’s </w:t>
      </w:r>
      <w:r w:rsidR="00AA391D">
        <w:t>c</w:t>
      </w:r>
      <w:r w:rsidRPr="00B6181A">
        <w:t>omment</w:t>
      </w:r>
      <w:r w:rsidR="00381D09">
        <w:t xml:space="preserve"> #1</w:t>
      </w:r>
    </w:p>
    <w:p w:rsidR="00B6181A" w:rsidRPr="000F0414" w:rsidRDefault="002303FD" w:rsidP="002004E7">
      <w:pPr>
        <w:pStyle w:val="ListBullet"/>
      </w:pPr>
      <w:r>
        <w:t xml:space="preserve">Renal study: </w:t>
      </w:r>
      <w:r w:rsidR="00B6181A" w:rsidRPr="000F0414">
        <w:t>A dedicated study in MM patients wi</w:t>
      </w:r>
      <w:r w:rsidR="000F0414" w:rsidRPr="000F0414">
        <w:t xml:space="preserve">th renal impairment is underway </w:t>
      </w:r>
      <w:r>
        <w:t>(Phase I, dose</w:t>
      </w:r>
      <w:r w:rsidR="004E0D16">
        <w:t xml:space="preserve"> </w:t>
      </w:r>
      <w:r>
        <w:t>escalation pharmacokinetic</w:t>
      </w:r>
      <w:r w:rsidR="00B6181A" w:rsidRPr="000F0414">
        <w:t xml:space="preserve"> and safety study CC</w:t>
      </w:r>
      <w:r w:rsidR="000F0414" w:rsidRPr="000F0414">
        <w:t xml:space="preserve">-4047-MM-008) … The </w:t>
      </w:r>
      <w:r w:rsidR="00404018">
        <w:t>s</w:t>
      </w:r>
      <w:r w:rsidR="000F0414" w:rsidRPr="000F0414">
        <w:t xml:space="preserve">ponsor is </w:t>
      </w:r>
      <w:r w:rsidR="00B6181A" w:rsidRPr="000F0414">
        <w:t>requested to indicate a likely completion date for this study in the pre</w:t>
      </w:r>
      <w:r w:rsidR="00404018">
        <w:t xml:space="preserve"> </w:t>
      </w:r>
      <w:r w:rsidR="00B6181A" w:rsidRPr="000F0414">
        <w:t>ACPM response.</w:t>
      </w:r>
    </w:p>
    <w:p w:rsidR="00B6181A" w:rsidRPr="00B6181A" w:rsidRDefault="007930E5" w:rsidP="002004E7">
      <w:pPr>
        <w:pStyle w:val="Heading6"/>
      </w:pPr>
      <w:r>
        <w:t>Response</w:t>
      </w:r>
    </w:p>
    <w:p w:rsidR="00B6181A" w:rsidRPr="00B6181A" w:rsidRDefault="00B6181A" w:rsidP="002004E7">
      <w:r w:rsidRPr="00B6181A">
        <w:t xml:space="preserve">The </w:t>
      </w:r>
      <w:r w:rsidR="00093282">
        <w:t>pharmacokinetic</w:t>
      </w:r>
      <w:r w:rsidRPr="00B6181A">
        <w:t xml:space="preserve"> and safety study of MM subjects with renal</w:t>
      </w:r>
      <w:r w:rsidR="000F0414">
        <w:t xml:space="preserve"> impairment (CC-4047-MM-008) is</w:t>
      </w:r>
      <w:r w:rsidR="00E317CC">
        <w:t xml:space="preserve"> </w:t>
      </w:r>
      <w:r w:rsidRPr="00B6181A">
        <w:t xml:space="preserve">currently ongoing and </w:t>
      </w:r>
      <w:r w:rsidR="00E317CC">
        <w:t>the sponsor</w:t>
      </w:r>
      <w:r w:rsidRPr="00B6181A">
        <w:t xml:space="preserve"> anticipates to have the study report finalised in 1Q</w:t>
      </w:r>
      <w:r w:rsidR="00353AAB">
        <w:t xml:space="preserve"> </w:t>
      </w:r>
      <w:r w:rsidRPr="00B6181A">
        <w:t>2016.</w:t>
      </w:r>
    </w:p>
    <w:p w:rsidR="00381D09" w:rsidRPr="00B6181A" w:rsidRDefault="00381D09" w:rsidP="002004E7">
      <w:pPr>
        <w:pStyle w:val="Heading5"/>
      </w:pPr>
      <w:r w:rsidRPr="00B6181A">
        <w:t xml:space="preserve">Delegate’s </w:t>
      </w:r>
      <w:r>
        <w:t>c</w:t>
      </w:r>
      <w:r w:rsidRPr="00B6181A">
        <w:t>omment</w:t>
      </w:r>
      <w:r>
        <w:t xml:space="preserve"> #2</w:t>
      </w:r>
    </w:p>
    <w:p w:rsidR="00B6181A" w:rsidRPr="002004E7" w:rsidRDefault="00B6181A" w:rsidP="002004E7">
      <w:pPr>
        <w:pStyle w:val="ListBullet"/>
        <w:rPr>
          <w:i/>
        </w:rPr>
      </w:pPr>
      <w:r w:rsidRPr="002004E7">
        <w:rPr>
          <w:i/>
        </w:rPr>
        <w:t>Drug-drug interaction study</w:t>
      </w:r>
      <w:r w:rsidR="002004E7" w:rsidRPr="002004E7">
        <w:rPr>
          <w:i/>
        </w:rPr>
        <w:t xml:space="preserve"> - </w:t>
      </w:r>
      <w:r w:rsidRPr="002004E7">
        <w:rPr>
          <w:i/>
        </w:rPr>
        <w:t>The Summary of Clinical P</w:t>
      </w:r>
      <w:r w:rsidR="000F0414" w:rsidRPr="002004E7">
        <w:rPr>
          <w:i/>
        </w:rPr>
        <w:t xml:space="preserve">harmacology states that a trial </w:t>
      </w:r>
      <w:r w:rsidRPr="002004E7">
        <w:rPr>
          <w:i/>
        </w:rPr>
        <w:t>is completed a</w:t>
      </w:r>
      <w:r w:rsidR="00CF43B6" w:rsidRPr="002004E7">
        <w:rPr>
          <w:i/>
        </w:rPr>
        <w:t>nd under analysis (CC-4047-CP-</w:t>
      </w:r>
      <w:r w:rsidRPr="002004E7">
        <w:rPr>
          <w:i/>
        </w:rPr>
        <w:t>008</w:t>
      </w:r>
      <w:r w:rsidR="000F0414" w:rsidRPr="002004E7">
        <w:rPr>
          <w:i/>
        </w:rPr>
        <w:t>)</w:t>
      </w:r>
      <w:r w:rsidR="00CB7850" w:rsidRPr="002004E7">
        <w:rPr>
          <w:i/>
        </w:rPr>
        <w:t xml:space="preserve"> … </w:t>
      </w:r>
      <w:r w:rsidR="000F0414" w:rsidRPr="002004E7">
        <w:rPr>
          <w:i/>
        </w:rPr>
        <w:t xml:space="preserve">The </w:t>
      </w:r>
      <w:r w:rsidR="00CF43B6" w:rsidRPr="002004E7">
        <w:rPr>
          <w:i/>
        </w:rPr>
        <w:t>s</w:t>
      </w:r>
      <w:r w:rsidR="000F0414" w:rsidRPr="002004E7">
        <w:rPr>
          <w:i/>
        </w:rPr>
        <w:t xml:space="preserve">ponsor is requested to </w:t>
      </w:r>
      <w:r w:rsidRPr="002004E7">
        <w:rPr>
          <w:i/>
        </w:rPr>
        <w:t>provide the immediately relevant information to suppor</w:t>
      </w:r>
      <w:r w:rsidR="000F0414" w:rsidRPr="002004E7">
        <w:rPr>
          <w:i/>
        </w:rPr>
        <w:t xml:space="preserve">t these findings and submit the </w:t>
      </w:r>
      <w:r w:rsidRPr="002004E7">
        <w:rPr>
          <w:i/>
        </w:rPr>
        <w:t>study for full clinical evaluation within 3 months of registration.</w:t>
      </w:r>
    </w:p>
    <w:p w:rsidR="00B6181A" w:rsidRPr="00B6181A" w:rsidRDefault="007930E5" w:rsidP="002004E7">
      <w:pPr>
        <w:pStyle w:val="Heading6"/>
      </w:pPr>
      <w:r>
        <w:t>Response</w:t>
      </w:r>
    </w:p>
    <w:p w:rsidR="00B6181A" w:rsidRPr="00B6181A" w:rsidRDefault="00CB7850" w:rsidP="002004E7">
      <w:r>
        <w:t>The report for S</w:t>
      </w:r>
      <w:r w:rsidR="00B6181A" w:rsidRPr="00B6181A">
        <w:t>tudy CC-4047-CP-008 was completed after t</w:t>
      </w:r>
      <w:r w:rsidR="000F0414">
        <w:t xml:space="preserve">he pre-submission stage for </w:t>
      </w:r>
      <w:r w:rsidR="000F0414" w:rsidRPr="006E6BE5">
        <w:t xml:space="preserve">the </w:t>
      </w:r>
      <w:r w:rsidR="006E6BE5">
        <w:t>p</w:t>
      </w:r>
      <w:r w:rsidR="006E6BE5" w:rsidRPr="006E6BE5">
        <w:t>omalidomide</w:t>
      </w:r>
      <w:r w:rsidR="005105AA">
        <w:t xml:space="preserve"> Category 1 application. H</w:t>
      </w:r>
      <w:r w:rsidR="00B6181A" w:rsidRPr="00B6181A">
        <w:t>owever</w:t>
      </w:r>
      <w:r w:rsidR="005105AA">
        <w:t>,</w:t>
      </w:r>
      <w:r w:rsidR="00B6181A" w:rsidRPr="00B6181A">
        <w:t xml:space="preserve"> key clinical ob</w:t>
      </w:r>
      <w:r w:rsidR="000F0414">
        <w:t xml:space="preserve">servations from this study were </w:t>
      </w:r>
      <w:r w:rsidR="00B6181A" w:rsidRPr="00B6181A">
        <w:t>included in the PI at the time of pre-submission. A copy of th</w:t>
      </w:r>
      <w:r w:rsidR="000F0414">
        <w:t xml:space="preserve">e study synopsis is provided in </w:t>
      </w:r>
      <w:r w:rsidR="00113B94">
        <w:t>the a</w:t>
      </w:r>
      <w:r w:rsidR="00B6181A" w:rsidRPr="00B6181A">
        <w:t>tt</w:t>
      </w:r>
      <w:r w:rsidR="00113B94">
        <w:t>achment</w:t>
      </w:r>
      <w:r w:rsidR="00B6181A" w:rsidRPr="00B6181A">
        <w:t xml:space="preserve"> and the conclusions from the study report are listed below.</w:t>
      </w:r>
    </w:p>
    <w:p w:rsidR="00B6181A" w:rsidRPr="00B6181A" w:rsidRDefault="00B6181A" w:rsidP="002004E7">
      <w:pPr>
        <w:pStyle w:val="ListBullet"/>
      </w:pPr>
      <w:r w:rsidRPr="00B6181A">
        <w:t>Co-administration of a strong CYP3A4/</w:t>
      </w:r>
      <w:r w:rsidR="001B61FA">
        <w:t>P-glycoprotein</w:t>
      </w:r>
      <w:r w:rsidRPr="00B6181A">
        <w:t xml:space="preserve"> inh</w:t>
      </w:r>
      <w:r>
        <w:t xml:space="preserve">ibitor (ketoconazole) or CYP3A4 </w:t>
      </w:r>
      <w:r w:rsidRPr="00B6181A">
        <w:t>inducer (carbamazepine) with pomalidomide had no clinically relevant effect on mean</w:t>
      </w:r>
      <w:r>
        <w:t xml:space="preserve"> </w:t>
      </w:r>
      <w:r w:rsidRPr="00B6181A">
        <w:t>exposure to pomalidomide.</w:t>
      </w:r>
    </w:p>
    <w:p w:rsidR="00894964" w:rsidRDefault="00B6181A" w:rsidP="002004E7">
      <w:pPr>
        <w:pStyle w:val="ListBullet"/>
      </w:pPr>
      <w:r w:rsidRPr="00B6181A">
        <w:t>Co-administration of a strong CYP1A2 inhibitor (fl</w:t>
      </w:r>
      <w:r>
        <w:t xml:space="preserve">uvoxamine) with pomalidomide in </w:t>
      </w:r>
      <w:r w:rsidRPr="00B6181A">
        <w:t>the presence of a strong CYP3A4 inhibitor approximately doubled the mean exposure to</w:t>
      </w:r>
      <w:r>
        <w:t xml:space="preserve"> </w:t>
      </w:r>
      <w:r w:rsidRPr="00B6181A">
        <w:t>pomalidomide.</w:t>
      </w:r>
    </w:p>
    <w:p w:rsidR="000F0414" w:rsidRPr="000F0414" w:rsidRDefault="000F0414" w:rsidP="002004E7">
      <w:pPr>
        <w:pStyle w:val="ListBullet"/>
      </w:pPr>
      <w:r w:rsidRPr="000F0414">
        <w:t>The majority of TEAEs in this study were judged by the investigator as not suspected of</w:t>
      </w:r>
      <w:r>
        <w:t xml:space="preserve"> </w:t>
      </w:r>
      <w:r w:rsidRPr="000F0414">
        <w:t>being related to pomalidomide. With the exception o</w:t>
      </w:r>
      <w:r>
        <w:t xml:space="preserve">f 1 subject with low glomerular </w:t>
      </w:r>
      <w:r w:rsidRPr="000F0414">
        <w:t>filtration rate and a mild TEAE of increased blood creat</w:t>
      </w:r>
      <w:r>
        <w:t xml:space="preserve">inine, there were no remarkable </w:t>
      </w:r>
      <w:r w:rsidRPr="000F0414">
        <w:t>findings or changes in laboratory assessments, vi</w:t>
      </w:r>
      <w:r>
        <w:t xml:space="preserve">tal sign measurements, ECGs, or </w:t>
      </w:r>
      <w:r w:rsidRPr="000F0414">
        <w:t>physical examinations.</w:t>
      </w:r>
    </w:p>
    <w:p w:rsidR="000F0414" w:rsidRPr="000F0414" w:rsidRDefault="000F0414" w:rsidP="002004E7">
      <w:pPr>
        <w:pStyle w:val="ListBullet"/>
      </w:pPr>
      <w:r w:rsidRPr="000F0414">
        <w:t>Single doses of pomalidomide were generally well tol</w:t>
      </w:r>
      <w:r>
        <w:t xml:space="preserve">erated by healthy subjects when </w:t>
      </w:r>
      <w:r w:rsidRPr="000F0414">
        <w:t>administered as single 4</w:t>
      </w:r>
      <w:r w:rsidR="00A31B5D">
        <w:t xml:space="preserve"> </w:t>
      </w:r>
      <w:r w:rsidRPr="000F0414">
        <w:t>mg oral doses with multi</w:t>
      </w:r>
      <w:r>
        <w:t xml:space="preserve">ple oral doses of ketoconazole, </w:t>
      </w:r>
      <w:r w:rsidRPr="000F0414">
        <w:t>fluvoxamine, and/or carbamazepine.</w:t>
      </w:r>
    </w:p>
    <w:p w:rsidR="00B6181A" w:rsidRDefault="000F0414" w:rsidP="002004E7">
      <w:r w:rsidRPr="000F0414">
        <w:t>The effect of inducing the CYP1A2 isozyme will b</w:t>
      </w:r>
      <w:r>
        <w:t xml:space="preserve">e assessed from the comparative </w:t>
      </w:r>
      <w:r w:rsidRPr="000F0414">
        <w:t xml:space="preserve">exposures to pomalidomide in smokers and non-smokers in the </w:t>
      </w:r>
      <w:r w:rsidR="00A31B5D">
        <w:t>S</w:t>
      </w:r>
      <w:r w:rsidRPr="000F0414">
        <w:t>tudy CC-4047-CP-011.</w:t>
      </w:r>
      <w:r>
        <w:t xml:space="preserve"> </w:t>
      </w:r>
      <w:r w:rsidR="00CD768D">
        <w:t>The sponsor anticipates the Clinical Safety Report</w:t>
      </w:r>
      <w:r w:rsidRPr="000F0414">
        <w:t xml:space="preserve"> to be finali</w:t>
      </w:r>
      <w:r w:rsidR="00A31B5D">
        <w:t>s</w:t>
      </w:r>
      <w:r w:rsidRPr="000F0414">
        <w:t xml:space="preserve">ed in </w:t>
      </w:r>
      <w:r w:rsidR="00F513B1">
        <w:t xml:space="preserve">the fourth quarter of </w:t>
      </w:r>
      <w:r w:rsidRPr="000F0414">
        <w:t>2015.</w:t>
      </w:r>
    </w:p>
    <w:p w:rsidR="00381D09" w:rsidRPr="00B6181A" w:rsidRDefault="00381D09" w:rsidP="002004E7">
      <w:pPr>
        <w:pStyle w:val="Heading5"/>
      </w:pPr>
      <w:r w:rsidRPr="00B6181A">
        <w:lastRenderedPageBreak/>
        <w:t xml:space="preserve">Delegate’s </w:t>
      </w:r>
      <w:r>
        <w:t>c</w:t>
      </w:r>
      <w:r w:rsidRPr="00B6181A">
        <w:t>omment</w:t>
      </w:r>
      <w:r>
        <w:t xml:space="preserve"> #3</w:t>
      </w:r>
    </w:p>
    <w:p w:rsidR="00A31B5D" w:rsidRPr="007930E5" w:rsidRDefault="00A31B5D" w:rsidP="002004E7">
      <w:pPr>
        <w:pStyle w:val="ListBullet"/>
      </w:pPr>
      <w:r w:rsidRPr="007930E5">
        <w:t>Hepatic impairment</w:t>
      </w:r>
      <w:r w:rsidR="007930E5" w:rsidRPr="007930E5">
        <w:t xml:space="preserve"> </w:t>
      </w:r>
      <w:r w:rsidRPr="007930E5">
        <w:t xml:space="preserve">... A </w:t>
      </w:r>
      <w:r w:rsidR="00BA18CA">
        <w:t>clinical trial evaluating pharmacokinetics</w:t>
      </w:r>
      <w:r w:rsidRPr="007930E5">
        <w:t xml:space="preserve"> i</w:t>
      </w:r>
      <w:r w:rsidR="007930E5" w:rsidRPr="007930E5">
        <w:t xml:space="preserve">n MM patients otherwise healthy </w:t>
      </w:r>
      <w:r w:rsidRPr="007930E5">
        <w:t>subjects but with hepatic impairment is in progress (CC-4047-CP-009). Agai</w:t>
      </w:r>
      <w:r w:rsidR="007930E5" w:rsidRPr="007930E5">
        <w:t xml:space="preserve">n, given the </w:t>
      </w:r>
      <w:r w:rsidRPr="007930E5">
        <w:t xml:space="preserve">age at median </w:t>
      </w:r>
      <w:r w:rsidR="007930E5">
        <w:t>diagnosis and likelihood of co-</w:t>
      </w:r>
      <w:r w:rsidRPr="007930E5">
        <w:t>morbidities, this trial should be submitted to</w:t>
      </w:r>
      <w:r w:rsidR="007930E5">
        <w:t xml:space="preserve"> </w:t>
      </w:r>
      <w:r w:rsidRPr="007930E5">
        <w:t>the TGA upon completion and the PI updated accordingly.</w:t>
      </w:r>
    </w:p>
    <w:p w:rsidR="00A31B5D" w:rsidRPr="007930E5" w:rsidRDefault="007930E5" w:rsidP="002004E7">
      <w:pPr>
        <w:pStyle w:val="Heading6"/>
      </w:pPr>
      <w:r>
        <w:t>Response</w:t>
      </w:r>
    </w:p>
    <w:p w:rsidR="00A31B5D" w:rsidRPr="007930E5" w:rsidRDefault="00A31B5D" w:rsidP="002004E7">
      <w:r w:rsidRPr="007930E5">
        <w:t>Study CC-4047-CP-009 is ongoing and consists of two parts: Part 1 in MM subjects wit</w:t>
      </w:r>
      <w:r w:rsidR="007930E5">
        <w:t xml:space="preserve">h </w:t>
      </w:r>
      <w:r w:rsidRPr="007930E5">
        <w:t>severe hepatic impairment and Part 2 in</w:t>
      </w:r>
      <w:r w:rsidR="00F513B1">
        <w:t xml:space="preserve"> </w:t>
      </w:r>
      <w:r w:rsidRPr="007930E5">
        <w:t>MM subjec</w:t>
      </w:r>
      <w:r w:rsidR="007930E5">
        <w:t xml:space="preserve">ts with mild/moderate hepatic </w:t>
      </w:r>
      <w:r w:rsidRPr="007930E5">
        <w:t xml:space="preserve">impairment. </w:t>
      </w:r>
      <w:r w:rsidR="008C4300">
        <w:t>The sponsor anticipates the Clinical Safety Report</w:t>
      </w:r>
      <w:r w:rsidRPr="007930E5">
        <w:t xml:space="preserve"> to be finalised in </w:t>
      </w:r>
      <w:r w:rsidR="00F513B1">
        <w:t xml:space="preserve">the first quarter of </w:t>
      </w:r>
      <w:r w:rsidRPr="007930E5">
        <w:t>2016.</w:t>
      </w:r>
    </w:p>
    <w:p w:rsidR="00381D09" w:rsidRPr="00B6181A" w:rsidRDefault="00381D09" w:rsidP="002004E7">
      <w:pPr>
        <w:pStyle w:val="Heading5"/>
      </w:pPr>
      <w:r w:rsidRPr="00B6181A">
        <w:t xml:space="preserve">Delegate’s </w:t>
      </w:r>
      <w:r>
        <w:t>c</w:t>
      </w:r>
      <w:r w:rsidRPr="00B6181A">
        <w:t>omment</w:t>
      </w:r>
      <w:r>
        <w:t xml:space="preserve"> #4</w:t>
      </w:r>
    </w:p>
    <w:p w:rsidR="00A31B5D" w:rsidRPr="002004E7" w:rsidRDefault="00A31B5D" w:rsidP="002004E7">
      <w:pPr>
        <w:pStyle w:val="ListBullet"/>
        <w:rPr>
          <w:i/>
        </w:rPr>
      </w:pPr>
      <w:r w:rsidRPr="002004E7">
        <w:rPr>
          <w:i/>
        </w:rPr>
        <w:t>Thorough QT/QTc... A formal thorough QT/QTc study in healthy s</w:t>
      </w:r>
      <w:r w:rsidR="007930E5" w:rsidRPr="002004E7">
        <w:rPr>
          <w:i/>
        </w:rPr>
        <w:t xml:space="preserve">ubjects is planned with </w:t>
      </w:r>
      <w:r w:rsidRPr="002004E7">
        <w:rPr>
          <w:i/>
        </w:rPr>
        <w:t>a target start date of 3Q</w:t>
      </w:r>
      <w:r w:rsidR="00614F39" w:rsidRPr="002004E7">
        <w:rPr>
          <w:i/>
        </w:rPr>
        <w:t xml:space="preserve"> </w:t>
      </w:r>
      <w:r w:rsidRPr="002004E7">
        <w:rPr>
          <w:i/>
        </w:rPr>
        <w:t xml:space="preserve">2013. The </w:t>
      </w:r>
      <w:r w:rsidR="008C4300" w:rsidRPr="002004E7">
        <w:rPr>
          <w:i/>
        </w:rPr>
        <w:t>s</w:t>
      </w:r>
      <w:r w:rsidRPr="002004E7">
        <w:rPr>
          <w:i/>
        </w:rPr>
        <w:t>ponsor is requested to</w:t>
      </w:r>
      <w:r w:rsidR="007930E5" w:rsidRPr="002004E7">
        <w:rPr>
          <w:i/>
        </w:rPr>
        <w:t xml:space="preserve"> indicate the likely completion </w:t>
      </w:r>
      <w:r w:rsidRPr="002004E7">
        <w:rPr>
          <w:i/>
        </w:rPr>
        <w:t>date in the pre</w:t>
      </w:r>
      <w:r w:rsidR="008C4300" w:rsidRPr="002004E7">
        <w:rPr>
          <w:i/>
        </w:rPr>
        <w:t xml:space="preserve"> </w:t>
      </w:r>
      <w:r w:rsidRPr="002004E7">
        <w:rPr>
          <w:i/>
        </w:rPr>
        <w:t>ACPM response, and it should be</w:t>
      </w:r>
      <w:r w:rsidR="007930E5" w:rsidRPr="002004E7">
        <w:rPr>
          <w:i/>
        </w:rPr>
        <w:t xml:space="preserve"> submitted upon completion as a </w:t>
      </w:r>
      <w:r w:rsidRPr="002004E7">
        <w:rPr>
          <w:i/>
        </w:rPr>
        <w:t>condition of registration.</w:t>
      </w:r>
    </w:p>
    <w:p w:rsidR="00A31B5D" w:rsidRPr="007930E5" w:rsidRDefault="007930E5" w:rsidP="002004E7">
      <w:pPr>
        <w:pStyle w:val="Heading6"/>
      </w:pPr>
      <w:r>
        <w:t>Response</w:t>
      </w:r>
    </w:p>
    <w:p w:rsidR="00A31B5D" w:rsidRPr="007930E5" w:rsidRDefault="00A31B5D" w:rsidP="002004E7">
      <w:r w:rsidRPr="007930E5">
        <w:t>The report for the QT/QTc study in healthy subjects (CC-40</w:t>
      </w:r>
      <w:r w:rsidR="007930E5">
        <w:t xml:space="preserve">47-CP-010) is anticipated to be </w:t>
      </w:r>
      <w:r w:rsidRPr="007930E5">
        <w:t xml:space="preserve">finalised in </w:t>
      </w:r>
      <w:r w:rsidR="00F513B1">
        <w:t>first quarter of</w:t>
      </w:r>
      <w:r w:rsidR="008C4300">
        <w:t xml:space="preserve"> </w:t>
      </w:r>
      <w:r w:rsidRPr="007930E5">
        <w:t>2015.</w:t>
      </w:r>
    </w:p>
    <w:p w:rsidR="00381D09" w:rsidRPr="00B6181A" w:rsidRDefault="00381D09" w:rsidP="002004E7">
      <w:pPr>
        <w:pStyle w:val="Heading5"/>
      </w:pPr>
      <w:r w:rsidRPr="00B6181A">
        <w:t xml:space="preserve">Delegate’s </w:t>
      </w:r>
      <w:r>
        <w:t>c</w:t>
      </w:r>
      <w:r w:rsidRPr="00B6181A">
        <w:t>omment</w:t>
      </w:r>
      <w:r>
        <w:t xml:space="preserve"> #5</w:t>
      </w:r>
    </w:p>
    <w:p w:rsidR="00A31B5D" w:rsidRPr="002004E7" w:rsidRDefault="00A31B5D" w:rsidP="002004E7">
      <w:pPr>
        <w:pStyle w:val="ListBullet"/>
        <w:rPr>
          <w:i/>
        </w:rPr>
      </w:pPr>
      <w:r w:rsidRPr="002004E7">
        <w:rPr>
          <w:i/>
        </w:rPr>
        <w:t>Patients with CrCL</w:t>
      </w:r>
      <w:r w:rsidR="008C4300" w:rsidRPr="002004E7">
        <w:rPr>
          <w:i/>
        </w:rPr>
        <w:t xml:space="preserve"> </w:t>
      </w:r>
      <w:r w:rsidRPr="002004E7">
        <w:rPr>
          <w:i/>
        </w:rPr>
        <w:t xml:space="preserve">&lt;45ml/min were ineligible and the Sponsor did not </w:t>
      </w:r>
      <w:r w:rsidR="007930E5" w:rsidRPr="002004E7">
        <w:rPr>
          <w:i/>
        </w:rPr>
        <w:t xml:space="preserve">address the </w:t>
      </w:r>
      <w:r w:rsidR="00121567" w:rsidRPr="002004E7">
        <w:rPr>
          <w:i/>
        </w:rPr>
        <w:t>c</w:t>
      </w:r>
      <w:r w:rsidRPr="002004E7">
        <w:rPr>
          <w:i/>
        </w:rPr>
        <w:t xml:space="preserve">linical </w:t>
      </w:r>
      <w:r w:rsidR="00121567" w:rsidRPr="002004E7">
        <w:rPr>
          <w:i/>
        </w:rPr>
        <w:t>e</w:t>
      </w:r>
      <w:r w:rsidRPr="002004E7">
        <w:rPr>
          <w:i/>
        </w:rPr>
        <w:t>valuator's question about the inclusion of these 48 patients, nor how their CrCL</w:t>
      </w:r>
      <w:r w:rsidR="007930E5" w:rsidRPr="002004E7">
        <w:rPr>
          <w:i/>
        </w:rPr>
        <w:t xml:space="preserve"> </w:t>
      </w:r>
      <w:r w:rsidRPr="002004E7">
        <w:rPr>
          <w:i/>
        </w:rPr>
        <w:t>was measured (Cock</w:t>
      </w:r>
      <w:r w:rsidR="008C4300" w:rsidRPr="002004E7">
        <w:rPr>
          <w:i/>
        </w:rPr>
        <w:t xml:space="preserve">croft-Gault versus 24 </w:t>
      </w:r>
      <w:r w:rsidR="007930E5" w:rsidRPr="002004E7">
        <w:rPr>
          <w:i/>
        </w:rPr>
        <w:t>h urine CrCl)</w:t>
      </w:r>
      <w:r w:rsidRPr="002004E7">
        <w:rPr>
          <w:i/>
        </w:rPr>
        <w:t xml:space="preserve"> ... Significant uncertainty remains</w:t>
      </w:r>
      <w:r w:rsidR="007930E5" w:rsidRPr="002004E7">
        <w:rPr>
          <w:i/>
        </w:rPr>
        <w:t xml:space="preserve"> </w:t>
      </w:r>
      <w:r w:rsidRPr="002004E7">
        <w:rPr>
          <w:i/>
        </w:rPr>
        <w:t>about any benefit of the study treatment in this group with impaired renal function and</w:t>
      </w:r>
      <w:r w:rsidR="007930E5" w:rsidRPr="002004E7">
        <w:rPr>
          <w:i/>
        </w:rPr>
        <w:t xml:space="preserve"> </w:t>
      </w:r>
      <w:r w:rsidRPr="002004E7">
        <w:rPr>
          <w:i/>
        </w:rPr>
        <w:t>this needs to be reflected in the PI under Special Populations/Precautions.</w:t>
      </w:r>
    </w:p>
    <w:p w:rsidR="007930E5" w:rsidRDefault="00CF43B6" w:rsidP="002004E7">
      <w:pPr>
        <w:pStyle w:val="Heading6"/>
      </w:pPr>
      <w:r>
        <w:t>Response</w:t>
      </w:r>
    </w:p>
    <w:p w:rsidR="00220A62" w:rsidRPr="00220A62" w:rsidRDefault="00CF43B6" w:rsidP="00EE2943">
      <w:r w:rsidRPr="00CF43B6">
        <w:t xml:space="preserve">As noted by the </w:t>
      </w:r>
      <w:r w:rsidR="00614F39">
        <w:t>clinical evaluator</w:t>
      </w:r>
      <w:r w:rsidRPr="00CF43B6">
        <w:t xml:space="preserve">, there </w:t>
      </w:r>
      <w:proofErr w:type="gramStart"/>
      <w:r w:rsidRPr="00CF43B6">
        <w:t>were</w:t>
      </w:r>
      <w:proofErr w:type="gramEnd"/>
      <w:r w:rsidRPr="00CF43B6">
        <w:t xml:space="preserve"> no protocol violations</w:t>
      </w:r>
      <w:r>
        <w:t xml:space="preserve"> </w:t>
      </w:r>
      <w:r w:rsidRPr="00CF43B6">
        <w:t>recorded in the CC-4047-MM-003 study as the sub-group of subjects described</w:t>
      </w:r>
      <w:r>
        <w:t xml:space="preserve"> above met </w:t>
      </w:r>
      <w:r w:rsidRPr="00CF43B6">
        <w:t>all of the inclusion/exclusion criteria. The CrCL for t</w:t>
      </w:r>
      <w:r>
        <w:t xml:space="preserve">hese 48 subjects was within the </w:t>
      </w:r>
      <w:r w:rsidRPr="00CF43B6">
        <w:t>inclusion criteria of &gt;</w:t>
      </w:r>
      <w:r w:rsidR="00B36505">
        <w:t xml:space="preserve"> </w:t>
      </w:r>
      <w:r w:rsidRPr="00CF43B6">
        <w:t>45ml/min at the screening stage (</w:t>
      </w:r>
      <w:r>
        <w:t xml:space="preserve">measured by the Cockcroft-Gault </w:t>
      </w:r>
      <w:r w:rsidR="00730106">
        <w:t>method as per the protocol</w:t>
      </w:r>
      <w:r w:rsidRPr="00CF43B6">
        <w:t>)</w:t>
      </w:r>
      <w:proofErr w:type="gramStart"/>
      <w:r w:rsidRPr="00CF43B6">
        <w:t>,</w:t>
      </w:r>
      <w:proofErr w:type="gramEnd"/>
      <w:r w:rsidRPr="00CF43B6">
        <w:t xml:space="preserve"> howev</w:t>
      </w:r>
      <w:r>
        <w:t xml:space="preserve">er fell below </w:t>
      </w:r>
      <w:r w:rsidRPr="00CF43B6">
        <w:t>45</w:t>
      </w:r>
      <w:r w:rsidR="00730106">
        <w:t xml:space="preserve"> </w:t>
      </w:r>
      <w:r w:rsidRPr="00CF43B6">
        <w:t>ml/min (measured by Cockcroft-Gault method) at the las</w:t>
      </w:r>
      <w:r>
        <w:t xml:space="preserve">t assessment prior to the study </w:t>
      </w:r>
      <w:r w:rsidRPr="00CF43B6">
        <w:t xml:space="preserve">treatment (used as the baseline for the study). As per the </w:t>
      </w:r>
      <w:r>
        <w:t xml:space="preserve">protocol, only the subjects who </w:t>
      </w:r>
      <w:r w:rsidRPr="00CF43B6">
        <w:t>had a creatinine clearance &lt;45 mL/min measured by Cockcroft-Gau</w:t>
      </w:r>
      <w:r>
        <w:t xml:space="preserve">lt method at screening </w:t>
      </w:r>
      <w:r w:rsidRPr="00CF43B6">
        <w:t>and/or on the first day of treatment would have a 24</w:t>
      </w:r>
      <w:r w:rsidR="00FC5271">
        <w:t xml:space="preserve"> </w:t>
      </w:r>
      <w:r>
        <w:t xml:space="preserve">h urine sample measurement. </w:t>
      </w:r>
      <w:r w:rsidR="00FC5271">
        <w:t>Although a sub</w:t>
      </w:r>
      <w:r w:rsidRPr="00CF43B6">
        <w:t>group analysis of these 48 patients</w:t>
      </w:r>
      <w:r>
        <w:t xml:space="preserve"> was conducted, the results are non-conclusive </w:t>
      </w:r>
      <w:r w:rsidRPr="00CF43B6">
        <w:t>and no firm conclusions can be made as the patient numbers are low and the</w:t>
      </w:r>
      <w:r>
        <w:t xml:space="preserve"> </w:t>
      </w:r>
      <w:r w:rsidRPr="00CF43B6">
        <w:t>study was not powered to measure the efficacy outcomes in such a small group. As</w:t>
      </w:r>
      <w:r w:rsidR="00220A62">
        <w:t xml:space="preserve"> </w:t>
      </w:r>
      <w:r w:rsidR="00220A62" w:rsidRPr="00220A62">
        <w:t xml:space="preserve">requested by the RMP </w:t>
      </w:r>
      <w:r w:rsidR="00FC5271">
        <w:t>evaluator, the sponsor</w:t>
      </w:r>
      <w:r w:rsidR="00220A62" w:rsidRPr="00220A62">
        <w:t xml:space="preserve"> has added a new Renal Impairment heading in the</w:t>
      </w:r>
      <w:r w:rsidR="00220A62">
        <w:t xml:space="preserve"> </w:t>
      </w:r>
      <w:r w:rsidR="00FC5271">
        <w:t>‘</w:t>
      </w:r>
      <w:r w:rsidR="00220A62" w:rsidRPr="00220A62">
        <w:t>Dosage and Administration</w:t>
      </w:r>
      <w:r w:rsidR="00FC5271">
        <w:t>’</w:t>
      </w:r>
      <w:r w:rsidR="00220A62" w:rsidRPr="00220A62">
        <w:t xml:space="preserve"> section of the PI on treatment of patien</w:t>
      </w:r>
      <w:r w:rsidR="00220A62">
        <w:t xml:space="preserve">ts with renal impairment. </w:t>
      </w:r>
      <w:r w:rsidR="00FC5271">
        <w:t>The sponsor</w:t>
      </w:r>
      <w:r w:rsidR="00220A62" w:rsidRPr="00220A62">
        <w:t xml:space="preserve"> believes this is sufficient to inform prescribers and advise them to monitor patients</w:t>
      </w:r>
      <w:r w:rsidR="00220A62">
        <w:t xml:space="preserve"> </w:t>
      </w:r>
      <w:r w:rsidR="00220A62" w:rsidRPr="00220A62">
        <w:t>with renal impairment.</w:t>
      </w:r>
    </w:p>
    <w:p w:rsidR="00381D09" w:rsidRPr="00B6181A" w:rsidRDefault="00381D09" w:rsidP="002004E7">
      <w:pPr>
        <w:pStyle w:val="Heading5"/>
      </w:pPr>
      <w:r w:rsidRPr="00B6181A">
        <w:t xml:space="preserve">Delegate’s </w:t>
      </w:r>
      <w:r>
        <w:t>c</w:t>
      </w:r>
      <w:r w:rsidRPr="00B6181A">
        <w:t>omment</w:t>
      </w:r>
      <w:r>
        <w:t xml:space="preserve"> #6</w:t>
      </w:r>
    </w:p>
    <w:p w:rsidR="00220A62" w:rsidRPr="00EC2915" w:rsidRDefault="00220A62" w:rsidP="00EC2915">
      <w:pPr>
        <w:pStyle w:val="ListBullet"/>
        <w:rPr>
          <w:i/>
        </w:rPr>
      </w:pPr>
      <w:r w:rsidRPr="00EC2915">
        <w:rPr>
          <w:i/>
        </w:rPr>
        <w:t xml:space="preserve">Despite being stated in the </w:t>
      </w:r>
      <w:r w:rsidR="00FC5271">
        <w:rPr>
          <w:i/>
        </w:rPr>
        <w:t>p</w:t>
      </w:r>
      <w:r w:rsidRPr="00EC2915">
        <w:rPr>
          <w:i/>
        </w:rPr>
        <w:t>rotocol, there w</w:t>
      </w:r>
      <w:r w:rsidR="00FC5271">
        <w:rPr>
          <w:i/>
        </w:rPr>
        <w:t>as</w:t>
      </w:r>
      <w:r w:rsidRPr="00EC2915">
        <w:rPr>
          <w:i/>
        </w:rPr>
        <w:t xml:space="preserve"> no quality of life data included. Given this</w:t>
      </w:r>
      <w:r w:rsidR="00EC2915" w:rsidRPr="00EC2915">
        <w:rPr>
          <w:i/>
        </w:rPr>
        <w:t xml:space="preserve"> </w:t>
      </w:r>
      <w:r w:rsidRPr="00EC2915">
        <w:rPr>
          <w:i/>
        </w:rPr>
        <w:t>is a palliative treatment, it is important to establish that ther</w:t>
      </w:r>
      <w:r w:rsidR="00EC2915" w:rsidRPr="00EC2915">
        <w:rPr>
          <w:i/>
        </w:rPr>
        <w:t xml:space="preserve">e is no loss of quality of life </w:t>
      </w:r>
      <w:r w:rsidRPr="00EC2915">
        <w:rPr>
          <w:i/>
        </w:rPr>
        <w:t xml:space="preserve">with the treatment. The </w:t>
      </w:r>
      <w:r w:rsidR="00FC5271">
        <w:rPr>
          <w:i/>
        </w:rPr>
        <w:t>s</w:t>
      </w:r>
      <w:r w:rsidRPr="00EC2915">
        <w:rPr>
          <w:i/>
        </w:rPr>
        <w:t xml:space="preserve">ponsor has been asked </w:t>
      </w:r>
      <w:r w:rsidR="00EC2915" w:rsidRPr="00EC2915">
        <w:rPr>
          <w:i/>
        </w:rPr>
        <w:t>to address this in the pre</w:t>
      </w:r>
      <w:r w:rsidR="00FC5271">
        <w:rPr>
          <w:i/>
        </w:rPr>
        <w:t xml:space="preserve"> </w:t>
      </w:r>
      <w:r w:rsidR="00EC2915" w:rsidRPr="00EC2915">
        <w:rPr>
          <w:i/>
        </w:rPr>
        <w:t xml:space="preserve">ACPM </w:t>
      </w:r>
      <w:r w:rsidRPr="00EC2915">
        <w:rPr>
          <w:i/>
        </w:rPr>
        <w:t>response.</w:t>
      </w:r>
    </w:p>
    <w:p w:rsidR="00220A62" w:rsidRDefault="008B0AF9" w:rsidP="002004E7">
      <w:pPr>
        <w:pStyle w:val="Heading6"/>
        <w:rPr>
          <w:lang w:eastAsia="en-AU"/>
        </w:rPr>
      </w:pPr>
      <w:r>
        <w:rPr>
          <w:lang w:eastAsia="en-AU"/>
        </w:rPr>
        <w:t>Response</w:t>
      </w:r>
    </w:p>
    <w:p w:rsidR="00220A62" w:rsidRPr="008B0AF9" w:rsidRDefault="00220A62" w:rsidP="002004E7">
      <w:r w:rsidRPr="008B0AF9">
        <w:t xml:space="preserve">An updated study report for the pivotal </w:t>
      </w:r>
      <w:r w:rsidR="00FC5271">
        <w:t>S</w:t>
      </w:r>
      <w:r w:rsidRPr="008B0AF9">
        <w:t>tudy CC-4</w:t>
      </w:r>
      <w:r w:rsidR="00FC5271">
        <w:t xml:space="preserve">047-MM-003 with data cut-off </w:t>
      </w:r>
      <w:r w:rsidR="008B0AF9" w:rsidRPr="008B0AF9">
        <w:t xml:space="preserve">1 March </w:t>
      </w:r>
      <w:r w:rsidRPr="008B0AF9">
        <w:t>2013 was completed during the evaluation of the current application. Health related quality</w:t>
      </w:r>
      <w:r w:rsidR="008B0AF9" w:rsidRPr="008B0AF9">
        <w:t xml:space="preserve"> </w:t>
      </w:r>
      <w:r w:rsidRPr="008B0AF9">
        <w:t xml:space="preserve">of life (HRQoL) outcomes are included in this updated study </w:t>
      </w:r>
      <w:r w:rsidRPr="00674904">
        <w:t xml:space="preserve">report. </w:t>
      </w:r>
      <w:r w:rsidR="00F513B1" w:rsidRPr="00674904">
        <w:t>The r</w:t>
      </w:r>
      <w:r w:rsidRPr="00674904">
        <w:t xml:space="preserve">elevant </w:t>
      </w:r>
      <w:r w:rsidRPr="00674904">
        <w:lastRenderedPageBreak/>
        <w:t>sec</w:t>
      </w:r>
      <w:r w:rsidR="007C716F" w:rsidRPr="00674904">
        <w:t>tion from the updated Clinical Safety Report</w:t>
      </w:r>
      <w:r w:rsidRPr="00674904">
        <w:t xml:space="preserve"> and an</w:t>
      </w:r>
      <w:r w:rsidR="008B0AF9" w:rsidRPr="00674904">
        <w:t xml:space="preserve"> </w:t>
      </w:r>
      <w:r w:rsidRPr="00674904">
        <w:t xml:space="preserve">abstract from a publication summarising the outcomes </w:t>
      </w:r>
      <w:r w:rsidR="00F513B1" w:rsidRPr="00674904">
        <w:t>were included with this response</w:t>
      </w:r>
      <w:r w:rsidRPr="00674904">
        <w:t>.</w:t>
      </w:r>
    </w:p>
    <w:p w:rsidR="00220A62" w:rsidRPr="008B0AF9" w:rsidRDefault="00220A62" w:rsidP="002004E7">
      <w:r w:rsidRPr="008B0AF9">
        <w:t>In heavily pre</w:t>
      </w:r>
      <w:r w:rsidR="007C716F">
        <w:t>-</w:t>
      </w:r>
      <w:r w:rsidRPr="008B0AF9">
        <w:t>treated RRMM patients who have exhaus</w:t>
      </w:r>
      <w:r w:rsidR="008B0AF9">
        <w:t xml:space="preserve">ted lenalidomide and bortezomib </w:t>
      </w:r>
      <w:r w:rsidRPr="008B0AF9">
        <w:t>treatment, in addition to providing survival benefits and a manageable safety profile:</w:t>
      </w:r>
    </w:p>
    <w:p w:rsidR="00220A62" w:rsidRPr="008B0AF9" w:rsidRDefault="002B7A7F" w:rsidP="002004E7">
      <w:pPr>
        <w:pStyle w:val="ListBullet"/>
      </w:pPr>
      <w:r>
        <w:rPr>
          <w:rFonts w:eastAsia="TimesNewRoman"/>
          <w:lang w:val="en-US"/>
        </w:rPr>
        <w:t xml:space="preserve">Pomalidomide + </w:t>
      </w:r>
      <w:r>
        <w:t>LD dexamethasone</w:t>
      </w:r>
      <w:r w:rsidRPr="00865AF5">
        <w:t xml:space="preserve"> </w:t>
      </w:r>
      <w:r w:rsidR="00220A62" w:rsidRPr="008B0AF9">
        <w:t xml:space="preserve">consistently </w:t>
      </w:r>
      <w:r w:rsidR="00216C72">
        <w:t>resulted in favourable HRQoL versus</w:t>
      </w:r>
      <w:r w:rsidR="00020C71">
        <w:t xml:space="preserve"> points</w:t>
      </w:r>
      <w:r w:rsidR="00220A62" w:rsidRPr="008B0AF9">
        <w:t xml:space="preserve"> treated with</w:t>
      </w:r>
      <w:r w:rsidR="008B0AF9">
        <w:t xml:space="preserve"> </w:t>
      </w:r>
      <w:r>
        <w:t>HD dexamethasone</w:t>
      </w:r>
      <w:r w:rsidR="00220A62" w:rsidRPr="008B0AF9">
        <w:t xml:space="preserve"> in cross-sectional and mixed model analyses.</w:t>
      </w:r>
    </w:p>
    <w:p w:rsidR="00220A62" w:rsidRPr="008B0AF9" w:rsidRDefault="00220A62" w:rsidP="002004E7">
      <w:pPr>
        <w:pStyle w:val="ListBullet"/>
      </w:pPr>
      <w:r w:rsidRPr="008B0AF9">
        <w:t>Time to first worsening analyses confirmed that p</w:t>
      </w:r>
      <w:r w:rsidR="008B0AF9">
        <w:t>atients randomi</w:t>
      </w:r>
      <w:r w:rsidR="00020C71">
        <w:t>s</w:t>
      </w:r>
      <w:r w:rsidR="008B0AF9">
        <w:t xml:space="preserve">ed to </w:t>
      </w:r>
      <w:r w:rsidR="002B7A7F">
        <w:rPr>
          <w:rFonts w:eastAsia="TimesNewRoman"/>
          <w:lang w:val="en-US"/>
        </w:rPr>
        <w:t xml:space="preserve">pomalidomide + </w:t>
      </w:r>
      <w:r w:rsidR="002B7A7F">
        <w:t>LD dexamethasone</w:t>
      </w:r>
      <w:r w:rsidR="002B7A7F" w:rsidRPr="00865AF5">
        <w:t xml:space="preserve"> </w:t>
      </w:r>
      <w:r w:rsidRPr="008B0AF9">
        <w:t>maintain HRQoL fo</w:t>
      </w:r>
      <w:r w:rsidR="007C716F">
        <w:t>r an extended period of time versus</w:t>
      </w:r>
      <w:r w:rsidRPr="008B0AF9">
        <w:t xml:space="preserve"> </w:t>
      </w:r>
      <w:r w:rsidR="002B7A7F">
        <w:t>HD dexamethasone</w:t>
      </w:r>
      <w:r w:rsidR="00130047">
        <w:t>.</w:t>
      </w:r>
    </w:p>
    <w:p w:rsidR="00CF43B6" w:rsidRDefault="002B7A7F" w:rsidP="002004E7">
      <w:pPr>
        <w:pStyle w:val="ListBullet"/>
      </w:pPr>
      <w:r>
        <w:rPr>
          <w:rFonts w:eastAsia="TimesNewRoman"/>
          <w:lang w:val="en-US"/>
        </w:rPr>
        <w:t xml:space="preserve">Pomalidomide + </w:t>
      </w:r>
      <w:r>
        <w:t>LD dexamethasone</w:t>
      </w:r>
      <w:r w:rsidRPr="00865AF5">
        <w:t xml:space="preserve"> </w:t>
      </w:r>
      <w:r w:rsidR="00220A62" w:rsidRPr="008B0AF9">
        <w:t xml:space="preserve">should be considered a standard of </w:t>
      </w:r>
      <w:r w:rsidR="00E6190A">
        <w:t>care in RRMM point</w:t>
      </w:r>
      <w:r w:rsidR="008B0AF9" w:rsidRPr="008B0AF9">
        <w:t xml:space="preserve">s, as it confers </w:t>
      </w:r>
      <w:r w:rsidR="00220A62" w:rsidRPr="008B0AF9">
        <w:t>survival advantages as well as HRQoL benefits.</w:t>
      </w:r>
    </w:p>
    <w:p w:rsidR="00381D09" w:rsidRPr="00B6181A" w:rsidRDefault="00381D09" w:rsidP="002004E7">
      <w:pPr>
        <w:pStyle w:val="Heading5"/>
      </w:pPr>
      <w:r w:rsidRPr="00B6181A">
        <w:t xml:space="preserve">Delegate’s </w:t>
      </w:r>
      <w:r>
        <w:t>c</w:t>
      </w:r>
      <w:r w:rsidRPr="00B6181A">
        <w:t>omment</w:t>
      </w:r>
      <w:r>
        <w:t xml:space="preserve"> #7</w:t>
      </w:r>
    </w:p>
    <w:p w:rsidR="00455CF2" w:rsidRPr="00455CF2" w:rsidRDefault="00455CF2" w:rsidP="00455CF2">
      <w:pPr>
        <w:pStyle w:val="ListBullet"/>
        <w:rPr>
          <w:i/>
        </w:rPr>
      </w:pPr>
      <w:r w:rsidRPr="00455CF2">
        <w:rPr>
          <w:i/>
        </w:rPr>
        <w:t>The symptoms +/-</w:t>
      </w:r>
      <w:r w:rsidR="00C52E95">
        <w:rPr>
          <w:i/>
        </w:rPr>
        <w:t xml:space="preserve"> </w:t>
      </w:r>
      <w:r w:rsidRPr="00455CF2">
        <w:rPr>
          <w:i/>
        </w:rPr>
        <w:t>reporting rates of febrile neutropenia are likely to be lowered by the temperature</w:t>
      </w:r>
      <w:r w:rsidR="00130047">
        <w:rPr>
          <w:i/>
        </w:rPr>
        <w:t xml:space="preserve"> </w:t>
      </w:r>
      <w:r w:rsidRPr="00455CF2">
        <w:rPr>
          <w:i/>
        </w:rPr>
        <w:t>masking effect of dexamethasone. This merits inclusion in the PI, as there were deaths from infection.</w:t>
      </w:r>
    </w:p>
    <w:p w:rsidR="00455CF2" w:rsidRDefault="00455CF2" w:rsidP="002004E7">
      <w:pPr>
        <w:pStyle w:val="Heading6"/>
        <w:rPr>
          <w:lang w:eastAsia="en-AU"/>
        </w:rPr>
      </w:pPr>
      <w:r>
        <w:rPr>
          <w:lang w:eastAsia="en-AU"/>
        </w:rPr>
        <w:t>Response</w:t>
      </w:r>
    </w:p>
    <w:p w:rsidR="00455CF2" w:rsidRPr="00455CF2" w:rsidRDefault="00455CF2" w:rsidP="00EE2943">
      <w:r w:rsidRPr="00455CF2">
        <w:t>The proposed PI already includes a warning statement advising prescribers to monitor and</w:t>
      </w:r>
      <w:r>
        <w:t xml:space="preserve"> </w:t>
      </w:r>
      <w:r w:rsidRPr="00455CF2">
        <w:t>manage cases of febrile neutropenia. Additionally, treatm</w:t>
      </w:r>
      <w:r>
        <w:t xml:space="preserve">ent is restricted to specialist </w:t>
      </w:r>
      <w:r w:rsidRPr="00455CF2">
        <w:t>haematologists who are experienced regarding the potent</w:t>
      </w:r>
      <w:r>
        <w:t xml:space="preserve">ial for febrile neutropenia and </w:t>
      </w:r>
      <w:r w:rsidRPr="00455CF2">
        <w:t xml:space="preserve">treatment effects of dexamethasone. As monitoring of </w:t>
      </w:r>
      <w:r>
        <w:t xml:space="preserve">such events is standard medical </w:t>
      </w:r>
      <w:r w:rsidRPr="00455CF2">
        <w:t>management of patients with late stage myeloma,</w:t>
      </w:r>
      <w:r>
        <w:t xml:space="preserve"> </w:t>
      </w:r>
      <w:r w:rsidR="00753FB9">
        <w:t>the sponsor</w:t>
      </w:r>
      <w:r>
        <w:t xml:space="preserve"> does not consider that additional </w:t>
      </w:r>
      <w:r w:rsidRPr="00455CF2">
        <w:t>warnings on the effects of dexamethasone are warranted. Adverse effects that may occur</w:t>
      </w:r>
      <w:r>
        <w:t xml:space="preserve"> </w:t>
      </w:r>
      <w:r w:rsidRPr="00455CF2">
        <w:t>during treatment with corticosteroids would be managed under general patient care.</w:t>
      </w:r>
    </w:p>
    <w:p w:rsidR="00381D09" w:rsidRPr="00B6181A" w:rsidRDefault="00381D09" w:rsidP="002004E7">
      <w:pPr>
        <w:pStyle w:val="Heading5"/>
      </w:pPr>
      <w:r w:rsidRPr="00B6181A">
        <w:t xml:space="preserve">Delegate’s </w:t>
      </w:r>
      <w:r>
        <w:t>c</w:t>
      </w:r>
      <w:r w:rsidRPr="00B6181A">
        <w:t>omment</w:t>
      </w:r>
      <w:r>
        <w:t xml:space="preserve"> #8</w:t>
      </w:r>
    </w:p>
    <w:p w:rsidR="00455CF2" w:rsidRPr="002004E7" w:rsidRDefault="00455CF2" w:rsidP="002004E7">
      <w:pPr>
        <w:pStyle w:val="ListBullet"/>
        <w:rPr>
          <w:i/>
        </w:rPr>
      </w:pPr>
      <w:r w:rsidRPr="002004E7">
        <w:rPr>
          <w:i/>
        </w:rPr>
        <w:t>The use of aspirin as the stipulated DVT prophylaxis agent, in combination with the dexamethasone will also contribute to the risk of haemorrhage, particularly Gl. In the PI, aspirin is the recommended agent and it should be added that consideration be given to GI ulcer prophylaxis.</w:t>
      </w:r>
    </w:p>
    <w:p w:rsidR="00455CF2" w:rsidRPr="00455CF2" w:rsidRDefault="00455CF2" w:rsidP="002004E7">
      <w:pPr>
        <w:pStyle w:val="Heading6"/>
      </w:pPr>
      <w:r w:rsidRPr="00455CF2">
        <w:t>Response</w:t>
      </w:r>
    </w:p>
    <w:p w:rsidR="00614F39" w:rsidRPr="00D20C8D" w:rsidRDefault="00305C94" w:rsidP="002004E7">
      <w:r>
        <w:t xml:space="preserve">The sponsor </w:t>
      </w:r>
      <w:r w:rsidR="00455CF2" w:rsidRPr="00D20C8D">
        <w:t>wishes to clarify that numerous agents are recommended in the PI for DVT prophylaxis in addition to aspirin, including warfarin, heparin</w:t>
      </w:r>
      <w:r w:rsidR="00CB3D0C">
        <w:t>,</w:t>
      </w:r>
      <w:r w:rsidR="00455CF2" w:rsidRPr="00D20C8D">
        <w:t xml:space="preserve"> or clopidogrel. The potential for haemorrhage is a known outcome from aspirin treatment and is managed by the specialist under general patient care. </w:t>
      </w:r>
      <w:r w:rsidR="00CB3D0C">
        <w:t>The sponsor</w:t>
      </w:r>
      <w:r w:rsidR="00455CF2" w:rsidRPr="00D20C8D">
        <w:t xml:space="preserve"> therefore does not consider it appropriate to add additional warnings to the PI on potential side </w:t>
      </w:r>
      <w:r w:rsidR="000216E6" w:rsidRPr="00D20C8D">
        <w:t xml:space="preserve">effects of aspirin. Furthermore, </w:t>
      </w:r>
      <w:r w:rsidR="00CB3D0C">
        <w:t>the sponsor</w:t>
      </w:r>
      <w:r w:rsidR="00455CF2" w:rsidRPr="00D20C8D">
        <w:t xml:space="preserve"> believes that the current VTE warning in the PI stating </w:t>
      </w:r>
      <w:r w:rsidR="00F513B1">
        <w:t>‘</w:t>
      </w:r>
      <w:r w:rsidR="00455CF2" w:rsidRPr="00F513B1">
        <w:rPr>
          <w:i/>
        </w:rPr>
        <w:t>A decision to take prophylactic</w:t>
      </w:r>
      <w:r w:rsidR="00D20C8D" w:rsidRPr="00F513B1">
        <w:rPr>
          <w:i/>
        </w:rPr>
        <w:t xml:space="preserve"> </w:t>
      </w:r>
      <w:r w:rsidR="00614F39" w:rsidRPr="00F513B1">
        <w:rPr>
          <w:i/>
        </w:rPr>
        <w:t>measures should be made carefully after an assessment of an individual patient’s underlying</w:t>
      </w:r>
      <w:r w:rsidR="00D20C8D" w:rsidRPr="00F513B1">
        <w:rPr>
          <w:i/>
        </w:rPr>
        <w:t xml:space="preserve"> </w:t>
      </w:r>
      <w:r w:rsidR="00614F39" w:rsidRPr="00F513B1">
        <w:rPr>
          <w:i/>
        </w:rPr>
        <w:t>risk factors</w:t>
      </w:r>
      <w:r w:rsidR="00F513B1">
        <w:rPr>
          <w:i/>
        </w:rPr>
        <w:t>’</w:t>
      </w:r>
      <w:r w:rsidR="00614F39" w:rsidRPr="00D20C8D">
        <w:t xml:space="preserve"> addresses the </w:t>
      </w:r>
      <w:r w:rsidR="00D20C8D" w:rsidRPr="00D20C8D">
        <w:t>D</w:t>
      </w:r>
      <w:r w:rsidR="00614F39" w:rsidRPr="00D20C8D">
        <w:t>elegate’s concerns.</w:t>
      </w:r>
    </w:p>
    <w:p w:rsidR="00381D09" w:rsidRPr="00B6181A" w:rsidRDefault="00381D09" w:rsidP="002004E7">
      <w:pPr>
        <w:pStyle w:val="Heading5"/>
      </w:pPr>
      <w:r w:rsidRPr="00B6181A">
        <w:t xml:space="preserve">Delegate’s </w:t>
      </w:r>
      <w:r>
        <w:t>c</w:t>
      </w:r>
      <w:r w:rsidRPr="00B6181A">
        <w:t>omment</w:t>
      </w:r>
      <w:r>
        <w:t xml:space="preserve"> #9</w:t>
      </w:r>
    </w:p>
    <w:p w:rsidR="00614F39" w:rsidRPr="002004E7" w:rsidRDefault="00614F39" w:rsidP="002004E7">
      <w:pPr>
        <w:pStyle w:val="ListBullet"/>
        <w:rPr>
          <w:i/>
        </w:rPr>
      </w:pPr>
      <w:r w:rsidRPr="002004E7">
        <w:rPr>
          <w:i/>
        </w:rPr>
        <w:t xml:space="preserve">The </w:t>
      </w:r>
      <w:r w:rsidR="00B94E63" w:rsidRPr="002004E7">
        <w:rPr>
          <w:i/>
        </w:rPr>
        <w:t>c</w:t>
      </w:r>
      <w:r w:rsidRPr="002004E7">
        <w:rPr>
          <w:i/>
        </w:rPr>
        <w:t xml:space="preserve">linical </w:t>
      </w:r>
      <w:r w:rsidR="00B94E63" w:rsidRPr="002004E7">
        <w:rPr>
          <w:i/>
        </w:rPr>
        <w:t>e</w:t>
      </w:r>
      <w:r w:rsidRPr="002004E7">
        <w:rPr>
          <w:i/>
        </w:rPr>
        <w:t>valuator and Delegate are uncertain why MM progression is included as a</w:t>
      </w:r>
      <w:r w:rsidR="00D20C8D" w:rsidRPr="002004E7">
        <w:rPr>
          <w:i/>
        </w:rPr>
        <w:t xml:space="preserve"> G</w:t>
      </w:r>
      <w:r w:rsidRPr="002004E7">
        <w:rPr>
          <w:i/>
        </w:rPr>
        <w:t>rade 5AE.</w:t>
      </w:r>
    </w:p>
    <w:p w:rsidR="00614F39" w:rsidRDefault="00536359" w:rsidP="004948E4">
      <w:pPr>
        <w:pStyle w:val="Heading6"/>
        <w:rPr>
          <w:lang w:eastAsia="en-AU"/>
        </w:rPr>
      </w:pPr>
      <w:r>
        <w:rPr>
          <w:lang w:eastAsia="en-AU"/>
        </w:rPr>
        <w:t>Response</w:t>
      </w:r>
    </w:p>
    <w:p w:rsidR="00614F39" w:rsidRPr="00536359" w:rsidRDefault="00B94E63" w:rsidP="004948E4">
      <w:r>
        <w:t>The sponsor</w:t>
      </w:r>
      <w:r w:rsidR="00614F39" w:rsidRPr="00536359">
        <w:t xml:space="preserve"> wishes to clarify that it is </w:t>
      </w:r>
      <w:r>
        <w:t>the sponsor</w:t>
      </w:r>
      <w:r w:rsidR="00614F39" w:rsidRPr="00536359">
        <w:t>’s policy to</w:t>
      </w:r>
      <w:r w:rsidR="00633FA8">
        <w:t xml:space="preserve"> never remove a Grade 5 AE (that is, </w:t>
      </w:r>
      <w:r w:rsidR="00614F39" w:rsidRPr="00536359">
        <w:t>death event reported on study) from an analysis for completeness sake; as a consequence</w:t>
      </w:r>
      <w:r w:rsidR="00536359">
        <w:t xml:space="preserve"> </w:t>
      </w:r>
      <w:r w:rsidR="00614F39" w:rsidRPr="00536359">
        <w:t>disease progression is included as a Grade 5 AE, w</w:t>
      </w:r>
      <w:r w:rsidR="00536359">
        <w:t xml:space="preserve">hich usually means that disease </w:t>
      </w:r>
      <w:r w:rsidR="00614F39" w:rsidRPr="00536359">
        <w:t>progression eventually led to the death of the patient.</w:t>
      </w:r>
    </w:p>
    <w:p w:rsidR="00381D09" w:rsidRPr="00B6181A" w:rsidRDefault="00381D09" w:rsidP="004948E4">
      <w:pPr>
        <w:pStyle w:val="Heading5"/>
      </w:pPr>
      <w:r w:rsidRPr="00B6181A">
        <w:lastRenderedPageBreak/>
        <w:t xml:space="preserve">Delegate’s </w:t>
      </w:r>
      <w:r>
        <w:t>c</w:t>
      </w:r>
      <w:r w:rsidRPr="00B6181A">
        <w:t>omment</w:t>
      </w:r>
      <w:r>
        <w:t xml:space="preserve"> #10</w:t>
      </w:r>
    </w:p>
    <w:p w:rsidR="00614F39" w:rsidRPr="006549A1" w:rsidRDefault="00614F39" w:rsidP="004948E4">
      <w:pPr>
        <w:pStyle w:val="ListBullet"/>
      </w:pPr>
      <w:r w:rsidRPr="006549A1">
        <w:t xml:space="preserve">The </w:t>
      </w:r>
      <w:r w:rsidR="006549A1">
        <w:t>s</w:t>
      </w:r>
      <w:r w:rsidRPr="006549A1">
        <w:t>ponsor should form a registry of patients treated with pomalidomide for the</w:t>
      </w:r>
      <w:r w:rsidR="006549A1" w:rsidRPr="006549A1">
        <w:t xml:space="preserve"> </w:t>
      </w:r>
      <w:r w:rsidRPr="006549A1">
        <w:t>proposed usage to monitor, characteri</w:t>
      </w:r>
      <w:r w:rsidR="009F5CC7">
        <w:t>s</w:t>
      </w:r>
      <w:r w:rsidRPr="006549A1">
        <w:t>e and determine the incidence of adverse reactions</w:t>
      </w:r>
      <w:r w:rsidR="006549A1" w:rsidRPr="006549A1">
        <w:t xml:space="preserve"> </w:t>
      </w:r>
      <w:r w:rsidRPr="006549A1">
        <w:t>and to monitor compliance with the RMP and off-label use.</w:t>
      </w:r>
    </w:p>
    <w:p w:rsidR="00614F39" w:rsidRDefault="006549A1" w:rsidP="004948E4">
      <w:pPr>
        <w:pStyle w:val="Heading6"/>
        <w:rPr>
          <w:lang w:eastAsia="en-AU"/>
        </w:rPr>
      </w:pPr>
      <w:r>
        <w:rPr>
          <w:lang w:eastAsia="en-AU"/>
        </w:rPr>
        <w:t>Response</w:t>
      </w:r>
    </w:p>
    <w:p w:rsidR="00614F39" w:rsidRPr="00F14414" w:rsidRDefault="000A3BC2" w:rsidP="004948E4">
      <w:r>
        <w:t>The sponsor</w:t>
      </w:r>
      <w:r w:rsidR="00614F39" w:rsidRPr="00F14414">
        <w:t xml:space="preserve"> does not consider that a separate patient registry is warranted in Australia as:</w:t>
      </w:r>
    </w:p>
    <w:p w:rsidR="00614F39" w:rsidRPr="00F14414" w:rsidRDefault="00614F39" w:rsidP="004948E4">
      <w:pPr>
        <w:pStyle w:val="ListBullet"/>
      </w:pPr>
      <w:r w:rsidRPr="00F14414">
        <w:t>sufficient controls already exist that cover the use of pomalidomide,</w:t>
      </w:r>
    </w:p>
    <w:p w:rsidR="00614F39" w:rsidRPr="00F14414" w:rsidRDefault="00614F39" w:rsidP="004948E4">
      <w:pPr>
        <w:pStyle w:val="ListBullet"/>
      </w:pPr>
      <w:r w:rsidRPr="00F14414">
        <w:t>small numbers of local patients with significant confound</w:t>
      </w:r>
      <w:r w:rsidR="00F14414">
        <w:t xml:space="preserve">ing co-morbidities are unlikely </w:t>
      </w:r>
      <w:r w:rsidRPr="00F14414">
        <w:t>to provide meaningful data, and</w:t>
      </w:r>
    </w:p>
    <w:p w:rsidR="00614F39" w:rsidRPr="00F14414" w:rsidRDefault="00614F39" w:rsidP="004948E4">
      <w:pPr>
        <w:pStyle w:val="ListBullet"/>
      </w:pPr>
      <w:proofErr w:type="gramStart"/>
      <w:r w:rsidRPr="00F14414">
        <w:t>access</w:t>
      </w:r>
      <w:proofErr w:type="gramEnd"/>
      <w:r w:rsidRPr="00F14414">
        <w:t xml:space="preserve"> to larger global registries will be more informativ</w:t>
      </w:r>
      <w:r w:rsidR="00F14414">
        <w:t xml:space="preserve">e regarding the potential risks </w:t>
      </w:r>
      <w:r w:rsidRPr="00F14414">
        <w:t>associated with treatment.</w:t>
      </w:r>
    </w:p>
    <w:p w:rsidR="00614F39" w:rsidRPr="00EE2943" w:rsidRDefault="00614F39" w:rsidP="004948E4">
      <w:pPr>
        <w:pStyle w:val="Heading6"/>
        <w:rPr>
          <w:lang w:val="en-AU"/>
        </w:rPr>
      </w:pPr>
      <w:r w:rsidRPr="00F14414">
        <w:t xml:space="preserve">Existing </w:t>
      </w:r>
      <w:r w:rsidR="004948E4">
        <w:rPr>
          <w:lang w:val="en-AU"/>
        </w:rPr>
        <w:t>c</w:t>
      </w:r>
      <w:r w:rsidR="00EE2943">
        <w:t>ontrols</w:t>
      </w:r>
    </w:p>
    <w:p w:rsidR="00D34137" w:rsidRPr="00D34137" w:rsidRDefault="000654CD" w:rsidP="004948E4">
      <w:r>
        <w:t>The sponsor</w:t>
      </w:r>
      <w:r w:rsidR="00D34137" w:rsidRPr="00D34137">
        <w:t xml:space="preserve"> does not believe that a registry is required to manage off-label use in Australia</w:t>
      </w:r>
      <w:r w:rsidR="00582B30">
        <w:t xml:space="preserve"> </w:t>
      </w:r>
      <w:r w:rsidR="00D34137" w:rsidRPr="00D34137">
        <w:t>because access to pomalidomide is highly controlled.</w:t>
      </w:r>
      <w:r w:rsidR="00582B30">
        <w:t xml:space="preserve"> Every patient who will receive </w:t>
      </w:r>
      <w:r w:rsidR="00D34137" w:rsidRPr="00D34137">
        <w:t xml:space="preserve">pomalidomide must be enrolled in </w:t>
      </w:r>
      <w:proofErr w:type="gramStart"/>
      <w:r w:rsidR="00D34137" w:rsidRPr="00D34137">
        <w:t xml:space="preserve">the </w:t>
      </w:r>
      <w:r w:rsidR="00D34137" w:rsidRPr="007F1A6F">
        <w:rPr>
          <w:i/>
        </w:rPr>
        <w:t>i</w:t>
      </w:r>
      <w:proofErr w:type="gramEnd"/>
      <w:r w:rsidR="00D34137" w:rsidRPr="007F1A6F">
        <w:rPr>
          <w:i/>
        </w:rPr>
        <w:t xml:space="preserve">-access </w:t>
      </w:r>
      <w:r w:rsidR="007F1A6F">
        <w:t>RMP</w:t>
      </w:r>
      <w:r w:rsidR="00582B30">
        <w:t xml:space="preserve">. The treatment </w:t>
      </w:r>
      <w:r w:rsidR="00D34137" w:rsidRPr="00D34137">
        <w:t xml:space="preserve">indication for every patient is recorded prior to his or her acceptance into </w:t>
      </w:r>
      <w:proofErr w:type="gramStart"/>
      <w:r w:rsidR="00D34137" w:rsidRPr="00D34137">
        <w:t xml:space="preserve">the </w:t>
      </w:r>
      <w:r w:rsidR="00D34137" w:rsidRPr="00CA05F5">
        <w:rPr>
          <w:i/>
        </w:rPr>
        <w:t>i</w:t>
      </w:r>
      <w:proofErr w:type="gramEnd"/>
      <w:r w:rsidR="00D34137" w:rsidRPr="00CA05F5">
        <w:rPr>
          <w:i/>
        </w:rPr>
        <w:t>-acces</w:t>
      </w:r>
      <w:r w:rsidR="00582B30" w:rsidRPr="00CA05F5">
        <w:rPr>
          <w:i/>
        </w:rPr>
        <w:t>s</w:t>
      </w:r>
      <w:r w:rsidR="00582B30">
        <w:t xml:space="preserve"> </w:t>
      </w:r>
      <w:r w:rsidR="00D34137" w:rsidRPr="00D34137">
        <w:t xml:space="preserve">program. For an unapproved indication, </w:t>
      </w:r>
      <w:r w:rsidR="006D0B59">
        <w:t>the sponsor</w:t>
      </w:r>
      <w:r w:rsidR="00D34137" w:rsidRPr="00D34137">
        <w:t xml:space="preserve"> only </w:t>
      </w:r>
      <w:r w:rsidR="00582B30">
        <w:t xml:space="preserve">authorises supply after a valid </w:t>
      </w:r>
      <w:r w:rsidR="00D34137" w:rsidRPr="00D34137">
        <w:t>Special Access Scheme (SAS) notification has been sub</w:t>
      </w:r>
      <w:r w:rsidR="00582B30">
        <w:t>mitted to the TGA. Therefore</w:t>
      </w:r>
      <w:r w:rsidR="006D0B59">
        <w:t>,</w:t>
      </w:r>
      <w:r w:rsidR="00582B30">
        <w:t xml:space="preserve"> no </w:t>
      </w:r>
      <w:r w:rsidR="00D34137" w:rsidRPr="00D34137">
        <w:t xml:space="preserve">supply occurs until the correct TGA authority is available, </w:t>
      </w:r>
      <w:r w:rsidR="00582B30">
        <w:t xml:space="preserve">and </w:t>
      </w:r>
      <w:r w:rsidR="006D0B59">
        <w:t>the sponsor</w:t>
      </w:r>
      <w:r w:rsidR="00582B30">
        <w:t xml:space="preserve"> has the capacity to </w:t>
      </w:r>
      <w:r w:rsidR="00D34137" w:rsidRPr="00D34137">
        <w:t>monitor the small number of patients who may access po</w:t>
      </w:r>
      <w:r w:rsidR="00582B30">
        <w:t xml:space="preserve">malidomide treatment outside of </w:t>
      </w:r>
      <w:r w:rsidR="00D34137" w:rsidRPr="00D34137">
        <w:t xml:space="preserve">the TGA approved indication. Furthermore, it is </w:t>
      </w:r>
      <w:r w:rsidR="006D0B59">
        <w:t>the sponsor</w:t>
      </w:r>
      <w:r w:rsidR="00D34137" w:rsidRPr="00D34137">
        <w:t>’s</w:t>
      </w:r>
      <w:r w:rsidR="00582B30">
        <w:t xml:space="preserve"> experience that use outside of </w:t>
      </w:r>
      <w:r w:rsidR="009E2640" w:rsidRPr="009E2640">
        <w:t xml:space="preserve">Pharmaceutical Benefits Scheme </w:t>
      </w:r>
      <w:r w:rsidR="00D34137" w:rsidRPr="00D34137">
        <w:t>reimbursed indications is minimal due to the persona</w:t>
      </w:r>
      <w:r w:rsidR="00582B30">
        <w:t xml:space="preserve">l cost of treatment. Therefore, </w:t>
      </w:r>
      <w:r w:rsidR="00977513">
        <w:t>the sponsor</w:t>
      </w:r>
      <w:r w:rsidR="00D34137" w:rsidRPr="00D34137">
        <w:t xml:space="preserve"> believes that no further measures are required to inform about off-label use.</w:t>
      </w:r>
    </w:p>
    <w:p w:rsidR="00D34137" w:rsidRPr="00D34137" w:rsidRDefault="00D34137" w:rsidP="004948E4">
      <w:r w:rsidRPr="00D34137">
        <w:t xml:space="preserve">Under </w:t>
      </w:r>
      <w:proofErr w:type="gramStart"/>
      <w:r w:rsidRPr="00D34137">
        <w:t xml:space="preserve">the </w:t>
      </w:r>
      <w:r w:rsidRPr="006D0B59">
        <w:rPr>
          <w:i/>
        </w:rPr>
        <w:t>i</w:t>
      </w:r>
      <w:proofErr w:type="gramEnd"/>
      <w:r w:rsidRPr="006D0B59">
        <w:rPr>
          <w:i/>
        </w:rPr>
        <w:t>-access</w:t>
      </w:r>
      <w:r w:rsidRPr="00D34137">
        <w:t xml:space="preserve"> program, every monthly dispense of po</w:t>
      </w:r>
      <w:r w:rsidR="00582B30">
        <w:t xml:space="preserve">malidomide to each patient must </w:t>
      </w:r>
      <w:r w:rsidRPr="00D34137">
        <w:t xml:space="preserve">be authorised by </w:t>
      </w:r>
      <w:r w:rsidR="00905CDF">
        <w:t>the sponsor</w:t>
      </w:r>
      <w:r w:rsidRPr="00D34137">
        <w:t xml:space="preserve"> and assigned a unique verification number before the product is</w:t>
      </w:r>
      <w:r w:rsidR="00582B30">
        <w:t xml:space="preserve"> </w:t>
      </w:r>
      <w:r w:rsidRPr="00D34137">
        <w:t>supplied to the patient. This is a closed loop process where supply to pharmacy is</w:t>
      </w:r>
      <w:r w:rsidR="00582B30">
        <w:t xml:space="preserve"> </w:t>
      </w:r>
      <w:r w:rsidRPr="00D34137">
        <w:t>reconciled with patient’s verifications to ensure compliance with the restrictions specified in</w:t>
      </w:r>
      <w:r w:rsidR="00582B30">
        <w:t xml:space="preserve"> </w:t>
      </w:r>
      <w:proofErr w:type="gramStart"/>
      <w:r w:rsidRPr="00D34137">
        <w:t xml:space="preserve">the </w:t>
      </w:r>
      <w:r w:rsidRPr="00905CDF">
        <w:rPr>
          <w:i/>
        </w:rPr>
        <w:t>i</w:t>
      </w:r>
      <w:proofErr w:type="gramEnd"/>
      <w:r w:rsidRPr="00905CDF">
        <w:rPr>
          <w:i/>
        </w:rPr>
        <w:t>-access</w:t>
      </w:r>
      <w:r w:rsidRPr="00D34137">
        <w:t xml:space="preserve"> program. Under this highly developed and controlled system, </w:t>
      </w:r>
      <w:r w:rsidR="00905CDF">
        <w:t>the sponsor</w:t>
      </w:r>
      <w:r w:rsidRPr="00D34137">
        <w:t xml:space="preserve"> can</w:t>
      </w:r>
      <w:r w:rsidR="00582B30">
        <w:t xml:space="preserve"> </w:t>
      </w:r>
      <w:r w:rsidRPr="00D34137">
        <w:t xml:space="preserve">determine when patients commence, </w:t>
      </w:r>
      <w:r w:rsidR="00F513B1" w:rsidRPr="00D34137">
        <w:t xml:space="preserve">interrupt </w:t>
      </w:r>
      <w:r w:rsidRPr="00D34137">
        <w:t xml:space="preserve">dose, </w:t>
      </w:r>
      <w:r w:rsidR="00F513B1" w:rsidRPr="00D34137">
        <w:t>a</w:t>
      </w:r>
      <w:r w:rsidR="00F513B1">
        <w:t xml:space="preserve">djust </w:t>
      </w:r>
      <w:r w:rsidRPr="00D34137">
        <w:t xml:space="preserve">dose </w:t>
      </w:r>
      <w:r w:rsidR="00582B30">
        <w:t xml:space="preserve">and complete pomalidomide </w:t>
      </w:r>
      <w:r w:rsidRPr="00D34137">
        <w:t>treatment. Pharmacovigilance practices conducted b</w:t>
      </w:r>
      <w:r w:rsidR="00582B30">
        <w:t xml:space="preserve">y the local Celgene Drug Safety </w:t>
      </w:r>
      <w:r w:rsidRPr="00D34137">
        <w:t>department ensure all AE reports received are followed up</w:t>
      </w:r>
      <w:r w:rsidR="00582B30">
        <w:t xml:space="preserve"> with the reporter and data are </w:t>
      </w:r>
      <w:r w:rsidRPr="00D34137">
        <w:t>fed back into the consolidated, global Celgene patient safety database for analysis. A</w:t>
      </w:r>
      <w:r w:rsidR="00582B30">
        <w:t xml:space="preserve"> </w:t>
      </w:r>
      <w:r w:rsidRPr="00D34137">
        <w:t xml:space="preserve">combination of </w:t>
      </w:r>
      <w:r w:rsidRPr="00515CDB">
        <w:rPr>
          <w:i/>
        </w:rPr>
        <w:t>i-access</w:t>
      </w:r>
      <w:r w:rsidRPr="00D34137">
        <w:t xml:space="preserve"> controlled supply and pharmacovi</w:t>
      </w:r>
      <w:r w:rsidR="00582B30">
        <w:t xml:space="preserve">gilance activities ensures that </w:t>
      </w:r>
      <w:r w:rsidR="00515CDB">
        <w:t>the sponsor</w:t>
      </w:r>
      <w:r w:rsidRPr="00D34137">
        <w:t xml:space="preserve"> is well informed about the use of pomalidomide.</w:t>
      </w:r>
    </w:p>
    <w:p w:rsidR="0053602B" w:rsidRPr="0053602B" w:rsidRDefault="00D34137" w:rsidP="00EE2943">
      <w:r w:rsidRPr="00D34137">
        <w:t>The potential and identified risks associated with pomalidomide are already addressed with</w:t>
      </w:r>
      <w:r w:rsidR="00530137">
        <w:t xml:space="preserve"> </w:t>
      </w:r>
      <w:r w:rsidRPr="00D34137">
        <w:t>warnings, precautions and advice to the prescriber in the PI. These treatment effects are</w:t>
      </w:r>
      <w:r w:rsidR="00530137">
        <w:t xml:space="preserve"> </w:t>
      </w:r>
      <w:r w:rsidRPr="00D34137">
        <w:t>typically consistent with those seen with thalidomide and lenalidomide, treatments that the</w:t>
      </w:r>
      <w:r w:rsidR="0053602B">
        <w:t xml:space="preserve"> </w:t>
      </w:r>
      <w:r w:rsidR="0053602B" w:rsidRPr="0053602B">
        <w:t>patient will have already received. Management of patients is restricted to specialist</w:t>
      </w:r>
      <w:r w:rsidR="0053602B">
        <w:t xml:space="preserve"> </w:t>
      </w:r>
      <w:r w:rsidR="0053602B" w:rsidRPr="0053602B">
        <w:t>haematologists who are vigilant and experienced in managing risks that are typical of this</w:t>
      </w:r>
      <w:r w:rsidR="0053602B">
        <w:t xml:space="preserve"> </w:t>
      </w:r>
      <w:r w:rsidR="0053602B" w:rsidRPr="0053602B">
        <w:t>class of compound. As the potential and identified risks are predictable, preventable and</w:t>
      </w:r>
      <w:r w:rsidR="0053602B">
        <w:t xml:space="preserve"> </w:t>
      </w:r>
      <w:r w:rsidR="0053602B" w:rsidRPr="0053602B">
        <w:t>manageable based on the information already included in the PI, Celgene does not believe</w:t>
      </w:r>
      <w:r w:rsidR="0053602B">
        <w:t xml:space="preserve"> </w:t>
      </w:r>
      <w:r w:rsidR="0053602B" w:rsidRPr="0053602B">
        <w:t>that establishing a local registry is warranted.</w:t>
      </w:r>
    </w:p>
    <w:p w:rsidR="0053602B" w:rsidRPr="00EE2943" w:rsidRDefault="0053602B" w:rsidP="004948E4">
      <w:pPr>
        <w:pStyle w:val="Heading6"/>
        <w:rPr>
          <w:lang w:val="en-AU"/>
        </w:rPr>
      </w:pPr>
      <w:r w:rsidRPr="0053602B">
        <w:t xml:space="preserve">Meaningful </w:t>
      </w:r>
      <w:r w:rsidR="004948E4">
        <w:rPr>
          <w:lang w:val="en-AU"/>
        </w:rPr>
        <w:t>o</w:t>
      </w:r>
      <w:r w:rsidR="00EE2943">
        <w:t>utcomes</w:t>
      </w:r>
    </w:p>
    <w:p w:rsidR="0053602B" w:rsidRPr="0053602B" w:rsidRDefault="0053602B" w:rsidP="004948E4">
      <w:r w:rsidRPr="0053602B">
        <w:t xml:space="preserve">Outcomes from events detected in an Australian patient </w:t>
      </w:r>
      <w:r>
        <w:t xml:space="preserve">registry are not expected to be </w:t>
      </w:r>
      <w:r w:rsidRPr="0053602B">
        <w:t>meaningful due to the anticipated modest number of p</w:t>
      </w:r>
      <w:r>
        <w:t xml:space="preserve">omalidomide patients treated at any </w:t>
      </w:r>
      <w:r w:rsidRPr="0053602B">
        <w:t>one time (not expected to exceed a few hundred patients). This is because treatment will be</w:t>
      </w:r>
      <w:r>
        <w:t xml:space="preserve"> </w:t>
      </w:r>
      <w:r w:rsidRPr="0053602B">
        <w:t xml:space="preserve">limited to the forth or later line of treatment for the following reasons: the </w:t>
      </w:r>
      <w:r w:rsidRPr="0053602B">
        <w:lastRenderedPageBreak/>
        <w:t>restriction in the</w:t>
      </w:r>
      <w:r>
        <w:t xml:space="preserve"> </w:t>
      </w:r>
      <w:r w:rsidRPr="0053602B">
        <w:t>proposed pomalidomide indication requires prior treatment with lenalidomide and</w:t>
      </w:r>
      <w:r>
        <w:t xml:space="preserve"> </w:t>
      </w:r>
      <w:r w:rsidRPr="0053602B">
        <w:t>bortezomib; and reimbursement restrictions in Australia dictate that a patient must have</w:t>
      </w:r>
      <w:r>
        <w:t xml:space="preserve"> </w:t>
      </w:r>
      <w:r w:rsidRPr="0053602B">
        <w:t>been treated with thalidomide prior to qualifying for reimbursed lenalidomide treatment.</w:t>
      </w:r>
    </w:p>
    <w:p w:rsidR="0053602B" w:rsidRPr="0053602B" w:rsidRDefault="0053602B" w:rsidP="004948E4">
      <w:r w:rsidRPr="0053602B">
        <w:t>This ensures a patient will receive a minimum of 3 prior tr</w:t>
      </w:r>
      <w:r>
        <w:t xml:space="preserve">eatments. Consequently patients </w:t>
      </w:r>
      <w:r w:rsidRPr="0053602B">
        <w:t>typically present themselves with advanced disease and significan</w:t>
      </w:r>
      <w:r>
        <w:t xml:space="preserve">t co-morbidities. This </w:t>
      </w:r>
      <w:r w:rsidRPr="0053602B">
        <w:t>combined with the expected small number of patients will confound outcomes from an</w:t>
      </w:r>
      <w:r>
        <w:t xml:space="preserve"> </w:t>
      </w:r>
      <w:r w:rsidRPr="0053602B">
        <w:t>Australia registry, making meaningful conclusions unlikel</w:t>
      </w:r>
      <w:r>
        <w:t xml:space="preserve">y. A more robust dataset can be </w:t>
      </w:r>
      <w:r w:rsidRPr="0053602B">
        <w:t>accessed from global use which includes sufficient patient numbers to be meaningful.</w:t>
      </w:r>
    </w:p>
    <w:p w:rsidR="00530137" w:rsidRDefault="0053602B" w:rsidP="004948E4">
      <w:r w:rsidRPr="0053602B">
        <w:t xml:space="preserve">In Europe, there is not an equivalent unified </w:t>
      </w:r>
      <w:r w:rsidRPr="00BE127A">
        <w:rPr>
          <w:i/>
        </w:rPr>
        <w:t>i-access</w:t>
      </w:r>
      <w:r w:rsidRPr="0053602B">
        <w:t xml:space="preserve"> progra</w:t>
      </w:r>
      <w:r>
        <w:t xml:space="preserve">m for all EU Member States that </w:t>
      </w:r>
      <w:r w:rsidRPr="0053602B">
        <w:t>collects the level of data available from Australian pa</w:t>
      </w:r>
      <w:r>
        <w:t>tients. Consequently</w:t>
      </w:r>
      <w:r w:rsidR="00D4482C">
        <w:t>,</w:t>
      </w:r>
      <w:r>
        <w:t xml:space="preserve"> Europe has </w:t>
      </w:r>
      <w:r w:rsidRPr="0053602B">
        <w:t xml:space="preserve">established a patient registry to monitor and manage the </w:t>
      </w:r>
      <w:r>
        <w:t xml:space="preserve">use of pomalidomide. Cases from </w:t>
      </w:r>
      <w:r w:rsidRPr="0053602B">
        <w:t>Australia cannot be included in the European registry. Gi</w:t>
      </w:r>
      <w:r>
        <w:t xml:space="preserve">ven the similarities in patient </w:t>
      </w:r>
      <w:r w:rsidRPr="0053602B">
        <w:t>populations and indications in the two regions, finding</w:t>
      </w:r>
      <w:r>
        <w:t xml:space="preserve">s from the EU registry that are </w:t>
      </w:r>
      <w:r w:rsidRPr="0053602B">
        <w:t>applicable to Australia will be adopted as part of a br</w:t>
      </w:r>
      <w:r>
        <w:t xml:space="preserve">oader ongoing management of the safe </w:t>
      </w:r>
      <w:r w:rsidRPr="0053602B">
        <w:t>use of pomalid</w:t>
      </w:r>
      <w:r w:rsidR="00D4482C">
        <w:t xml:space="preserve">omide. In addition, global post </w:t>
      </w:r>
      <w:r w:rsidRPr="0053602B">
        <w:t>marketin</w:t>
      </w:r>
      <w:r>
        <w:t xml:space="preserve">g surveillance and the analyses </w:t>
      </w:r>
      <w:r w:rsidRPr="0053602B">
        <w:t>presented in the PSURs ensures that the use of pomali</w:t>
      </w:r>
      <w:r>
        <w:t xml:space="preserve">domide and outcomes are closely </w:t>
      </w:r>
      <w:r w:rsidRPr="0053602B">
        <w:t>tracked and tightly managed.</w:t>
      </w:r>
    </w:p>
    <w:p w:rsidR="0053602B" w:rsidRPr="00EE2943" w:rsidRDefault="00EE2943" w:rsidP="004948E4">
      <w:pPr>
        <w:pStyle w:val="Heading6"/>
        <w:rPr>
          <w:lang w:val="en-AU"/>
        </w:rPr>
      </w:pPr>
      <w:r>
        <w:t>Local registry not warranted</w:t>
      </w:r>
    </w:p>
    <w:p w:rsidR="0053602B" w:rsidRPr="0053602B" w:rsidRDefault="0053602B" w:rsidP="00EE2943">
      <w:r w:rsidRPr="0053602B">
        <w:t>Patients accessing pomalidomide typically present with advanced dis</w:t>
      </w:r>
      <w:r>
        <w:t xml:space="preserve">ease, significant comorbidities </w:t>
      </w:r>
      <w:r w:rsidRPr="0053602B">
        <w:t>and a poor prognosis with few treatment options. Consequently</w:t>
      </w:r>
      <w:r w:rsidR="0090786D">
        <w:t>,</w:t>
      </w:r>
      <w:r w:rsidRPr="0053602B">
        <w:t xml:space="preserve"> they are closely</w:t>
      </w:r>
      <w:r>
        <w:t xml:space="preserve"> </w:t>
      </w:r>
      <w:r w:rsidRPr="0053602B">
        <w:t>managed by the treating specialist haematologist who will be vigilant to emerging AEs as</w:t>
      </w:r>
      <w:r>
        <w:t xml:space="preserve"> </w:t>
      </w:r>
      <w:r w:rsidRPr="0053602B">
        <w:t xml:space="preserve">part of the standard level of care. Therefore, </w:t>
      </w:r>
      <w:r w:rsidR="00F0631B">
        <w:t>the sponsor</w:t>
      </w:r>
      <w:r w:rsidRPr="0053602B">
        <w:t xml:space="preserve"> contends that an Australian registry is</w:t>
      </w:r>
      <w:r>
        <w:t xml:space="preserve"> </w:t>
      </w:r>
      <w:r w:rsidRPr="0053602B">
        <w:t xml:space="preserve">not required due to the high level of control already present in </w:t>
      </w:r>
      <w:proofErr w:type="gramStart"/>
      <w:r w:rsidRPr="0053602B">
        <w:t xml:space="preserve">the </w:t>
      </w:r>
      <w:r w:rsidRPr="0090786D">
        <w:rPr>
          <w:i/>
        </w:rPr>
        <w:t>i</w:t>
      </w:r>
      <w:proofErr w:type="gramEnd"/>
      <w:r w:rsidRPr="0090786D">
        <w:rPr>
          <w:i/>
        </w:rPr>
        <w:t>-access</w:t>
      </w:r>
      <w:r w:rsidRPr="0053602B">
        <w:t xml:space="preserve"> program, poor</w:t>
      </w:r>
      <w:r>
        <w:t xml:space="preserve"> </w:t>
      </w:r>
      <w:r w:rsidRPr="0053602B">
        <w:t>quality of data expected from a small number of patients who typically have significant comorbidities,</w:t>
      </w:r>
      <w:r>
        <w:t xml:space="preserve"> </w:t>
      </w:r>
      <w:r w:rsidRPr="0053602B">
        <w:t>and utilisation of more meaningful datasets from global exposure.</w:t>
      </w:r>
    </w:p>
    <w:p w:rsidR="00381D09" w:rsidRPr="00B6181A" w:rsidRDefault="00381D09" w:rsidP="004948E4">
      <w:pPr>
        <w:pStyle w:val="Heading5"/>
      </w:pPr>
      <w:r w:rsidRPr="00B6181A">
        <w:t xml:space="preserve">Delegate’s </w:t>
      </w:r>
      <w:r>
        <w:t>c</w:t>
      </w:r>
      <w:r w:rsidRPr="00B6181A">
        <w:t>omment</w:t>
      </w:r>
      <w:r>
        <w:t xml:space="preserve"> #11</w:t>
      </w:r>
    </w:p>
    <w:p w:rsidR="0053602B" w:rsidRPr="004948E4" w:rsidRDefault="0053602B" w:rsidP="004948E4">
      <w:pPr>
        <w:pStyle w:val="ListBullet"/>
        <w:rPr>
          <w:i/>
        </w:rPr>
      </w:pPr>
      <w:r w:rsidRPr="004948E4">
        <w:rPr>
          <w:i/>
        </w:rPr>
        <w:t xml:space="preserve">The sponsor should specify that the </w:t>
      </w:r>
      <w:r w:rsidR="0090786D" w:rsidRPr="004948E4">
        <w:rPr>
          <w:i/>
        </w:rPr>
        <w:t xml:space="preserve">pregnancy test should be a </w:t>
      </w:r>
      <w:r w:rsidR="00F52986" w:rsidRPr="004948E4">
        <w:rPr>
          <w:i/>
        </w:rPr>
        <w:t>β</w:t>
      </w:r>
      <w:r w:rsidR="0090786D" w:rsidRPr="004948E4">
        <w:rPr>
          <w:i/>
        </w:rPr>
        <w:t xml:space="preserve"> </w:t>
      </w:r>
      <w:r w:rsidRPr="004948E4">
        <w:rPr>
          <w:i/>
        </w:rPr>
        <w:t>HCG blood test.</w:t>
      </w:r>
    </w:p>
    <w:p w:rsidR="0053602B" w:rsidRDefault="0053602B" w:rsidP="004948E4">
      <w:pPr>
        <w:pStyle w:val="Heading6"/>
        <w:rPr>
          <w:lang w:eastAsia="en-AU"/>
        </w:rPr>
      </w:pPr>
      <w:r>
        <w:rPr>
          <w:lang w:eastAsia="en-AU"/>
        </w:rPr>
        <w:t>Response</w:t>
      </w:r>
    </w:p>
    <w:p w:rsidR="0053602B" w:rsidRPr="0053602B" w:rsidRDefault="0053602B" w:rsidP="004948E4">
      <w:r w:rsidRPr="0053602B">
        <w:t xml:space="preserve">Within the Pomalyst </w:t>
      </w:r>
      <w:r w:rsidR="00275302">
        <w:t>PI</w:t>
      </w:r>
      <w:r w:rsidRPr="0053602B">
        <w:t xml:space="preserve"> and as a core component of </w:t>
      </w:r>
      <w:proofErr w:type="gramStart"/>
      <w:r w:rsidRPr="0053602B">
        <w:t xml:space="preserve">the </w:t>
      </w:r>
      <w:r w:rsidRPr="00275302">
        <w:rPr>
          <w:i/>
        </w:rPr>
        <w:t>i</w:t>
      </w:r>
      <w:proofErr w:type="gramEnd"/>
      <w:r w:rsidRPr="00275302">
        <w:rPr>
          <w:i/>
        </w:rPr>
        <w:t>-access</w:t>
      </w:r>
      <w:r w:rsidRPr="0053602B">
        <w:t xml:space="preserve"> </w:t>
      </w:r>
      <w:r w:rsidR="00275302">
        <w:t>RMP</w:t>
      </w:r>
      <w:r w:rsidRPr="0053602B">
        <w:t xml:space="preserve">, </w:t>
      </w:r>
      <w:r w:rsidR="00275302">
        <w:t>the sponsor</w:t>
      </w:r>
      <w:r w:rsidRPr="0053602B">
        <w:t xml:space="preserve"> mandates that a medically</w:t>
      </w:r>
      <w:r>
        <w:t xml:space="preserve"> supervised pregnancy test that </w:t>
      </w:r>
      <w:r w:rsidRPr="0053602B">
        <w:t xml:space="preserve">has a minimum sensitivity of 25 mIU/mL is conducted. The </w:t>
      </w:r>
      <w:r>
        <w:t xml:space="preserve">majority of the pregnancy tests </w:t>
      </w:r>
      <w:r w:rsidRPr="0053602B">
        <w:t>are blood tests. Under certain circumstances and at the discr</w:t>
      </w:r>
      <w:r>
        <w:t xml:space="preserve">etion of the trained healthcare </w:t>
      </w:r>
      <w:r w:rsidRPr="0053602B">
        <w:t>professional, the pregnancy test may also be conducted on urine samples. A negative</w:t>
      </w:r>
      <w:r>
        <w:t xml:space="preserve"> </w:t>
      </w:r>
      <w:r w:rsidRPr="0053602B">
        <w:t xml:space="preserve">pregnancy test result </w:t>
      </w:r>
      <w:r w:rsidRPr="0053602B">
        <w:rPr>
          <w:b/>
        </w:rPr>
        <w:t>must</w:t>
      </w:r>
      <w:r w:rsidRPr="0053602B">
        <w:t xml:space="preserve"> be recorded before </w:t>
      </w:r>
      <w:r w:rsidR="00707865">
        <w:t>the sponsor</w:t>
      </w:r>
      <w:r>
        <w:t xml:space="preserve"> will approve the supply of </w:t>
      </w:r>
      <w:r w:rsidRPr="0053602B">
        <w:t>pomalidomide to the patient. It is the responsibility of the</w:t>
      </w:r>
      <w:r>
        <w:t xml:space="preserve"> medically trained professional </w:t>
      </w:r>
      <w:r w:rsidRPr="0053602B">
        <w:t xml:space="preserve">to ensure the pregnancy test is conducted appropriately and meets the minimum sensitivity requirements </w:t>
      </w:r>
      <w:proofErr w:type="gramStart"/>
      <w:r w:rsidRPr="0053602B">
        <w:t>of 25 mIU/mL</w:t>
      </w:r>
      <w:proofErr w:type="gramEnd"/>
      <w:r w:rsidRPr="0053602B">
        <w:t xml:space="preserve">. This test may be from either a blood or a urine sample, at the discretion of the healthcare professional, and would fulfil </w:t>
      </w:r>
      <w:proofErr w:type="gramStart"/>
      <w:r w:rsidRPr="0053602B">
        <w:t xml:space="preserve">the </w:t>
      </w:r>
      <w:r w:rsidRPr="00CF42BD">
        <w:rPr>
          <w:i/>
        </w:rPr>
        <w:t>i</w:t>
      </w:r>
      <w:proofErr w:type="gramEnd"/>
      <w:r w:rsidRPr="00CF42BD">
        <w:rPr>
          <w:i/>
        </w:rPr>
        <w:t>-access</w:t>
      </w:r>
      <w:r w:rsidRPr="0053602B">
        <w:t xml:space="preserve"> program requirements. It is also noteworthy that </w:t>
      </w:r>
      <w:proofErr w:type="gramStart"/>
      <w:r w:rsidRPr="0053602B">
        <w:t xml:space="preserve">the </w:t>
      </w:r>
      <w:r w:rsidRPr="00C277A4">
        <w:rPr>
          <w:i/>
        </w:rPr>
        <w:t>i</w:t>
      </w:r>
      <w:proofErr w:type="gramEnd"/>
      <w:r w:rsidRPr="00C277A4">
        <w:rPr>
          <w:i/>
        </w:rPr>
        <w:t>-access</w:t>
      </w:r>
      <w:r w:rsidRPr="0053602B">
        <w:t xml:space="preserve"> program has been effective in Australia for controlling lenalidomide since 2008 with no recorded incidence of a positive pregnancy.</w:t>
      </w:r>
      <w:r>
        <w:t xml:space="preserve"> </w:t>
      </w:r>
      <w:r w:rsidR="00C277A4">
        <w:t>The sponsor</w:t>
      </w:r>
      <w:r w:rsidRPr="0053602B">
        <w:t xml:space="preserve"> proposes to keep the minimum sensitivity </w:t>
      </w:r>
      <w:proofErr w:type="gramStart"/>
      <w:r w:rsidRPr="0053602B">
        <w:t>of 25 mIU/ml</w:t>
      </w:r>
      <w:proofErr w:type="gramEnd"/>
      <w:r w:rsidRPr="0053602B">
        <w:t xml:space="preserve"> and the method of blood or</w:t>
      </w:r>
      <w:r>
        <w:t xml:space="preserve"> </w:t>
      </w:r>
      <w:r w:rsidRPr="0053602B">
        <w:t>urine testing at the medical discretion of the healthcare</w:t>
      </w:r>
      <w:r>
        <w:t xml:space="preserve"> professional due to the points </w:t>
      </w:r>
      <w:r w:rsidRPr="0053602B">
        <w:t>mentioned above.</w:t>
      </w:r>
    </w:p>
    <w:p w:rsidR="0053602B" w:rsidRPr="004948E4" w:rsidRDefault="0053602B" w:rsidP="004948E4">
      <w:pPr>
        <w:pStyle w:val="ListBullet"/>
        <w:rPr>
          <w:i/>
        </w:rPr>
      </w:pPr>
      <w:r w:rsidRPr="004948E4">
        <w:rPr>
          <w:i/>
        </w:rPr>
        <w:t>Additional to the actions described by the sponsor in their response with regard to a positive pregnancy test, the sponsor should follow-up a continuing pregnancy</w:t>
      </w:r>
    </w:p>
    <w:p w:rsidR="0053602B" w:rsidRDefault="0053602B" w:rsidP="004948E4">
      <w:pPr>
        <w:pStyle w:val="Heading6"/>
        <w:rPr>
          <w:lang w:eastAsia="en-AU"/>
        </w:rPr>
      </w:pPr>
      <w:r>
        <w:rPr>
          <w:lang w:eastAsia="en-AU"/>
        </w:rPr>
        <w:lastRenderedPageBreak/>
        <w:t>Response</w:t>
      </w:r>
    </w:p>
    <w:p w:rsidR="0053602B" w:rsidRPr="0053602B" w:rsidRDefault="000106EE" w:rsidP="004948E4">
      <w:r>
        <w:t>The sponsor</w:t>
      </w:r>
      <w:r w:rsidR="0053602B" w:rsidRPr="0053602B">
        <w:t xml:space="preserve"> confirms that in addition to the action items outlined in an event of a positive</w:t>
      </w:r>
      <w:r w:rsidR="0053602B">
        <w:t xml:space="preserve"> </w:t>
      </w:r>
      <w:r w:rsidR="0053602B" w:rsidRPr="0053602B">
        <w:t>pregnancy test, Celgene Drug Safety procedures on pregna</w:t>
      </w:r>
      <w:r w:rsidR="0053602B">
        <w:t xml:space="preserve">ncy reporting include assessing </w:t>
      </w:r>
      <w:r w:rsidR="0053602B" w:rsidRPr="0053602B">
        <w:t xml:space="preserve">the root cause failure of </w:t>
      </w:r>
      <w:proofErr w:type="gramStart"/>
      <w:r w:rsidR="0053602B" w:rsidRPr="0053602B">
        <w:t xml:space="preserve">the </w:t>
      </w:r>
      <w:r w:rsidR="0053602B" w:rsidRPr="0034037F">
        <w:rPr>
          <w:i/>
        </w:rPr>
        <w:t>i</w:t>
      </w:r>
      <w:proofErr w:type="gramEnd"/>
      <w:r w:rsidR="0053602B" w:rsidRPr="0034037F">
        <w:rPr>
          <w:i/>
        </w:rPr>
        <w:t>-access</w:t>
      </w:r>
      <w:r w:rsidR="0053602B" w:rsidRPr="0053602B">
        <w:t xml:space="preserve"> program for a conf</w:t>
      </w:r>
      <w:r w:rsidR="0053602B">
        <w:t xml:space="preserve">irmed pregnancy in a patient or </w:t>
      </w:r>
      <w:r w:rsidR="0053602B" w:rsidRPr="0053602B">
        <w:t>female partner of a male patient who is exposed to</w:t>
      </w:r>
      <w:r w:rsidR="0053602B">
        <w:t xml:space="preserve"> pomalidomide, and follow-up on </w:t>
      </w:r>
      <w:r w:rsidR="0053602B" w:rsidRPr="0053602B">
        <w:t>pregnancies reported.</w:t>
      </w:r>
    </w:p>
    <w:p w:rsidR="00381D09" w:rsidRPr="00B6181A" w:rsidRDefault="00381D09" w:rsidP="004948E4">
      <w:pPr>
        <w:pStyle w:val="Heading5"/>
      </w:pPr>
      <w:r w:rsidRPr="00B6181A">
        <w:t xml:space="preserve">Delegate’s </w:t>
      </w:r>
      <w:r>
        <w:t>c</w:t>
      </w:r>
      <w:r w:rsidRPr="00B6181A">
        <w:t>omment</w:t>
      </w:r>
      <w:r>
        <w:t xml:space="preserve"> #12</w:t>
      </w:r>
    </w:p>
    <w:p w:rsidR="0053602B" w:rsidRPr="0053602B" w:rsidRDefault="0053602B" w:rsidP="0053602B">
      <w:pPr>
        <w:pStyle w:val="ListBullet"/>
        <w:rPr>
          <w:i/>
        </w:rPr>
      </w:pPr>
      <w:r w:rsidRPr="0053602B">
        <w:rPr>
          <w:i/>
        </w:rPr>
        <w:t xml:space="preserve">The PI states that DVT prophylaxis was mandatory for all patients in the studies whereas it was stated elsewhere that this was for patients with previous venous or arterial thromboembolic events. The </w:t>
      </w:r>
      <w:r w:rsidR="002F3861">
        <w:rPr>
          <w:i/>
        </w:rPr>
        <w:t>s</w:t>
      </w:r>
      <w:r w:rsidRPr="0053602B">
        <w:rPr>
          <w:i/>
        </w:rPr>
        <w:t>ponsor is requested to clarify this.</w:t>
      </w:r>
    </w:p>
    <w:p w:rsidR="0053602B" w:rsidRDefault="00573522" w:rsidP="004948E4">
      <w:pPr>
        <w:pStyle w:val="Heading6"/>
        <w:rPr>
          <w:b/>
          <w:lang w:eastAsia="en-AU"/>
        </w:rPr>
      </w:pPr>
      <w:r>
        <w:rPr>
          <w:lang w:eastAsia="en-AU"/>
        </w:rPr>
        <w:t>Response</w:t>
      </w:r>
    </w:p>
    <w:p w:rsidR="0053602B" w:rsidRDefault="002F3861" w:rsidP="004948E4">
      <w:r>
        <w:t>The sponsor</w:t>
      </w:r>
      <w:r w:rsidR="0053602B" w:rsidRPr="00573522">
        <w:t xml:space="preserve"> wishes to clarify that DVT prophylaxis was man</w:t>
      </w:r>
      <w:r w:rsidR="00573522" w:rsidRPr="00573522">
        <w:t xml:space="preserve">datory for all patients treated </w:t>
      </w:r>
      <w:r w:rsidR="0053602B" w:rsidRPr="00573522">
        <w:t>with</w:t>
      </w:r>
      <w:r w:rsidR="00573522">
        <w:t xml:space="preserve"> </w:t>
      </w:r>
      <w:r w:rsidR="0053602B" w:rsidRPr="00573522">
        <w:t>pomalidomide. The subjects who had a prior histo</w:t>
      </w:r>
      <w:r w:rsidR="00573522">
        <w:t xml:space="preserve">ry of DVT or pulmonary embolism </w:t>
      </w:r>
      <w:r w:rsidR="0053602B" w:rsidRPr="00573522">
        <w:t>during the study, regardless of the treatment ar</w:t>
      </w:r>
      <w:r w:rsidR="00573522">
        <w:t xml:space="preserve">m assigned, were also given DVT </w:t>
      </w:r>
      <w:r w:rsidR="0053602B" w:rsidRPr="00573522">
        <w:t>prophylaxis. As DVT prophylaxis was mandatory for all po</w:t>
      </w:r>
      <w:r w:rsidR="00573522">
        <w:t xml:space="preserve">malidomide patients, the second </w:t>
      </w:r>
      <w:r w:rsidR="0053602B" w:rsidRPr="00573522">
        <w:t>requirement mainly applies to the subjects assigned to the comparator arm.</w:t>
      </w:r>
    </w:p>
    <w:p w:rsidR="00093854" w:rsidRDefault="00381D09" w:rsidP="004948E4">
      <w:pPr>
        <w:pStyle w:val="Heading5"/>
      </w:pPr>
      <w:r w:rsidRPr="00B6181A">
        <w:t xml:space="preserve">Delegate’s </w:t>
      </w:r>
      <w:r>
        <w:t>c</w:t>
      </w:r>
      <w:r w:rsidRPr="00B6181A">
        <w:t>omment</w:t>
      </w:r>
      <w:r>
        <w:t xml:space="preserve"> #13: </w:t>
      </w:r>
      <w:r w:rsidR="00093854">
        <w:rPr>
          <w:lang w:eastAsia="en-AU"/>
        </w:rPr>
        <w:t>Secondary primary malignancies</w:t>
      </w:r>
    </w:p>
    <w:p w:rsidR="00093854" w:rsidRPr="00093854" w:rsidRDefault="00093854" w:rsidP="00093854">
      <w:pPr>
        <w:pStyle w:val="ListBullet"/>
        <w:rPr>
          <w:i/>
        </w:rPr>
      </w:pPr>
      <w:r w:rsidRPr="00093854">
        <w:rPr>
          <w:i/>
        </w:rPr>
        <w:t>This needs to state that a case of AML was observed (in) nonclinical studies and to state what second cancers were observed in the clinical studies. Any such cases need to be presented under a separate heading, "Description of selected adverse events."</w:t>
      </w:r>
    </w:p>
    <w:p w:rsidR="00EE550F" w:rsidRDefault="00EE550F" w:rsidP="004948E4">
      <w:pPr>
        <w:pStyle w:val="Heading6"/>
        <w:rPr>
          <w:b/>
          <w:lang w:eastAsia="en-AU"/>
        </w:rPr>
      </w:pPr>
      <w:r>
        <w:rPr>
          <w:lang w:eastAsia="en-AU"/>
        </w:rPr>
        <w:t>Response</w:t>
      </w:r>
    </w:p>
    <w:p w:rsidR="00093854" w:rsidRPr="00EE550F" w:rsidRDefault="00093854" w:rsidP="004948E4">
      <w:r w:rsidRPr="00EE550F">
        <w:t xml:space="preserve">Despite a small number of </w:t>
      </w:r>
      <w:r w:rsidR="002F3861">
        <w:t>SPMs</w:t>
      </w:r>
      <w:r w:rsidR="00EE550F" w:rsidRPr="00EE550F">
        <w:t xml:space="preserve"> having been reported in </w:t>
      </w:r>
      <w:r w:rsidRPr="00EE550F">
        <w:t xml:space="preserve">patients receiving pomalidomide, </w:t>
      </w:r>
      <w:r w:rsidR="002F3861">
        <w:t>the sponsor</w:t>
      </w:r>
      <w:r w:rsidRPr="00EE550F">
        <w:t xml:space="preserve"> believes that the clinical significance of these</w:t>
      </w:r>
      <w:r w:rsidR="00EE550F" w:rsidRPr="00EE550F">
        <w:t xml:space="preserve"> </w:t>
      </w:r>
      <w:r w:rsidRPr="00EE550F">
        <w:t>observations is inconclusive, especially against an expected higher background incidence of</w:t>
      </w:r>
      <w:r w:rsidR="00EE550F" w:rsidRPr="00EE550F">
        <w:t xml:space="preserve"> </w:t>
      </w:r>
      <w:r w:rsidRPr="00EE550F">
        <w:t>SPMs in this patient population. The proposed PI already includes a warning in the</w:t>
      </w:r>
      <w:r w:rsidR="00EE550F" w:rsidRPr="00EE550F">
        <w:t xml:space="preserve"> </w:t>
      </w:r>
      <w:r w:rsidRPr="00EE550F">
        <w:t xml:space="preserve">Precautions section for prescribers to be vigilant for the </w:t>
      </w:r>
      <w:r w:rsidR="00EE550F" w:rsidRPr="00EE550F">
        <w:t xml:space="preserve">occurrence of SPMs, and as such </w:t>
      </w:r>
      <w:r w:rsidRPr="00EE550F">
        <w:t xml:space="preserve">inclusion of further detail in the PI is not presently warranted. </w:t>
      </w:r>
      <w:r w:rsidR="008108FE">
        <w:t>The sponsor</w:t>
      </w:r>
      <w:r w:rsidRPr="00EE550F">
        <w:t xml:space="preserve"> will continue to</w:t>
      </w:r>
      <w:r w:rsidR="00EE550F" w:rsidRPr="00EE550F">
        <w:t xml:space="preserve"> </w:t>
      </w:r>
      <w:r w:rsidRPr="00EE550F">
        <w:t>monitor the occurrence of SPMs and will update the PI should new data be received.</w:t>
      </w:r>
    </w:p>
    <w:p w:rsidR="00093854" w:rsidRDefault="00381D09" w:rsidP="004948E4">
      <w:pPr>
        <w:pStyle w:val="Heading5"/>
        <w:rPr>
          <w:lang w:eastAsia="en-AU"/>
        </w:rPr>
      </w:pPr>
      <w:r w:rsidRPr="00B6181A">
        <w:t xml:space="preserve">Delegate’s </w:t>
      </w:r>
      <w:r>
        <w:t>c</w:t>
      </w:r>
      <w:r w:rsidRPr="00B6181A">
        <w:t>omment</w:t>
      </w:r>
      <w:r>
        <w:t xml:space="preserve"> #14: </w:t>
      </w:r>
      <w:r w:rsidR="00093854">
        <w:rPr>
          <w:lang w:eastAsia="en-AU"/>
        </w:rPr>
        <w:t>Rate of febrile neutropenia</w:t>
      </w:r>
    </w:p>
    <w:p w:rsidR="00093854" w:rsidRPr="00EE550F" w:rsidRDefault="00AD3D6F" w:rsidP="00EE550F">
      <w:pPr>
        <w:pStyle w:val="ListBullet"/>
        <w:rPr>
          <w:i/>
        </w:rPr>
      </w:pPr>
      <w:proofErr w:type="gramStart"/>
      <w:r>
        <w:rPr>
          <w:i/>
        </w:rPr>
        <w:t>the</w:t>
      </w:r>
      <w:proofErr w:type="gramEnd"/>
      <w:r>
        <w:rPr>
          <w:i/>
        </w:rPr>
        <w:t xml:space="preserve"> rate of </w:t>
      </w:r>
      <w:r w:rsidRPr="00AD3D6F">
        <w:rPr>
          <w:i/>
        </w:rPr>
        <w:t>febrile neutropenia</w:t>
      </w:r>
      <w:r w:rsidR="00093854" w:rsidRPr="00AD3D6F">
        <w:rPr>
          <w:i/>
        </w:rPr>
        <w:t xml:space="preserve"> was</w:t>
      </w:r>
      <w:r w:rsidR="00093854" w:rsidRPr="00EE550F">
        <w:rPr>
          <w:i/>
        </w:rPr>
        <w:t xml:space="preserve"> said to be 6.7% (4% "serious"), yet the dose interruptions were only</w:t>
      </w:r>
      <w:r w:rsidR="00EE550F" w:rsidRPr="00EE550F">
        <w:rPr>
          <w:i/>
        </w:rPr>
        <w:t xml:space="preserve"> </w:t>
      </w:r>
      <w:r w:rsidR="00093854" w:rsidRPr="00EE550F">
        <w:rPr>
          <w:i/>
        </w:rPr>
        <w:t>3.7% and dose reductions only occurred in 1.</w:t>
      </w:r>
      <w:r w:rsidR="00EE550F" w:rsidRPr="00EE550F">
        <w:rPr>
          <w:i/>
        </w:rPr>
        <w:t xml:space="preserve">3%. This statement and the data </w:t>
      </w:r>
      <w:r w:rsidR="00093854" w:rsidRPr="00EE550F">
        <w:rPr>
          <w:i/>
        </w:rPr>
        <w:t>underpinning it require explanation….</w:t>
      </w:r>
    </w:p>
    <w:p w:rsidR="00EE550F" w:rsidRDefault="00EE550F" w:rsidP="004948E4">
      <w:pPr>
        <w:pStyle w:val="Heading6"/>
        <w:rPr>
          <w:b/>
          <w:lang w:eastAsia="en-AU"/>
        </w:rPr>
      </w:pPr>
      <w:r>
        <w:rPr>
          <w:lang w:eastAsia="en-AU"/>
        </w:rPr>
        <w:t>Response</w:t>
      </w:r>
    </w:p>
    <w:p w:rsidR="00573522" w:rsidRPr="00EE550F" w:rsidRDefault="00093854" w:rsidP="004948E4">
      <w:r w:rsidRPr="00EE550F">
        <w:t>Per protocol (Protocol CC-4047-MM-003 Amendment 4), GCSF was allowed</w:t>
      </w:r>
      <w:r w:rsidR="00EE550F">
        <w:t xml:space="preserve"> </w:t>
      </w:r>
      <w:r w:rsidRPr="00EE550F">
        <w:t xml:space="preserve">anytime during the study. </w:t>
      </w:r>
      <w:r w:rsidR="008108FE">
        <w:t>The sponsor</w:t>
      </w:r>
      <w:r w:rsidRPr="00EE550F">
        <w:t xml:space="preserve"> has not conducted an</w:t>
      </w:r>
      <w:r w:rsidR="00EE550F">
        <w:t xml:space="preserve"> analysis to determine how many </w:t>
      </w:r>
      <w:r w:rsidR="00AD3D6F">
        <w:t>subjects with f</w:t>
      </w:r>
      <w:r w:rsidR="00AD3D6F" w:rsidRPr="00AD3D6F">
        <w:t xml:space="preserve">ebrile </w:t>
      </w:r>
      <w:r w:rsidR="00AD3D6F">
        <w:t>n</w:t>
      </w:r>
      <w:r w:rsidR="00AD3D6F" w:rsidRPr="00AD3D6F">
        <w:t>eutropenia</w:t>
      </w:r>
      <w:r w:rsidRPr="00EE550F">
        <w:t xml:space="preserve"> were treated with GCSF or to determine</w:t>
      </w:r>
      <w:r w:rsidR="00AD3D6F">
        <w:t xml:space="preserve"> when the f</w:t>
      </w:r>
      <w:r w:rsidR="00AD3D6F" w:rsidRPr="00AD3D6F">
        <w:t xml:space="preserve">ebrile </w:t>
      </w:r>
      <w:r w:rsidR="00AD3D6F">
        <w:t>n</w:t>
      </w:r>
      <w:r w:rsidR="00AD3D6F" w:rsidRPr="00AD3D6F">
        <w:t>eutropenia</w:t>
      </w:r>
      <w:r w:rsidR="00EE550F">
        <w:t xml:space="preserve"> episodes occurred. </w:t>
      </w:r>
      <w:r w:rsidRPr="00EE550F">
        <w:t>The dose modifications in the PI are recommended by</w:t>
      </w:r>
      <w:r w:rsidR="00EE550F">
        <w:t xml:space="preserve"> </w:t>
      </w:r>
      <w:r w:rsidR="008108FE">
        <w:t>the sponsor</w:t>
      </w:r>
      <w:r w:rsidR="00EE550F">
        <w:t xml:space="preserve">’s in-house haematology </w:t>
      </w:r>
      <w:r w:rsidRPr="00EE550F">
        <w:t>medical team on evaluation of available clinical data.</w:t>
      </w:r>
    </w:p>
    <w:p w:rsidR="008E7846" w:rsidRDefault="00EE2943" w:rsidP="004948E4">
      <w:pPr>
        <w:pStyle w:val="Heading4"/>
      </w:pPr>
      <w:r>
        <w:t xml:space="preserve">Advisory </w:t>
      </w:r>
      <w:r>
        <w:rPr>
          <w:lang w:val="en-AU"/>
        </w:rPr>
        <w:t>c</w:t>
      </w:r>
      <w:r w:rsidR="008E7846">
        <w:t xml:space="preserve">ommittee </w:t>
      </w:r>
      <w:r>
        <w:rPr>
          <w:lang w:val="en-AU"/>
        </w:rPr>
        <w:t>c</w:t>
      </w:r>
      <w:r w:rsidR="008E7846">
        <w:t>onsiderations</w:t>
      </w:r>
    </w:p>
    <w:p w:rsidR="00766E31" w:rsidRPr="00766E31" w:rsidRDefault="00766E31" w:rsidP="004948E4">
      <w:r w:rsidRPr="00766E31">
        <w:t>The submission seeks to register a new chemical entity.</w:t>
      </w:r>
    </w:p>
    <w:p w:rsidR="00766E31" w:rsidRPr="00766E31" w:rsidRDefault="00766E31" w:rsidP="004948E4">
      <w:r w:rsidRPr="00766E31">
        <w:t xml:space="preserve">The ACPM, taking into account the submitted evidence of efficacy, safety and quality, agreed with the </w:t>
      </w:r>
      <w:r w:rsidR="00E02C7D">
        <w:t>D</w:t>
      </w:r>
      <w:r w:rsidRPr="00766E31">
        <w:t>elegate and considered P</w:t>
      </w:r>
      <w:r w:rsidR="0056243E">
        <w:t>omalyst</w:t>
      </w:r>
      <w:r w:rsidRPr="00766E31">
        <w:t xml:space="preserve"> capsule containing 1 mg, 2 mg, 3 mg and 4 mg of </w:t>
      </w:r>
      <w:r w:rsidR="005976F2">
        <w:t>p</w:t>
      </w:r>
      <w:r w:rsidRPr="00766E31">
        <w:t>omalidomide to h</w:t>
      </w:r>
      <w:r w:rsidR="00676DBF">
        <w:t>ave an overall positive benefit-</w:t>
      </w:r>
      <w:r w:rsidRPr="00766E31">
        <w:t xml:space="preserve">risk profile for the </w:t>
      </w:r>
      <w:r w:rsidR="00F513B1">
        <w:t>D</w:t>
      </w:r>
      <w:r w:rsidRPr="00766E31">
        <w:t>elegate’s amended indication</w:t>
      </w:r>
      <w:r>
        <w:t>:</w:t>
      </w:r>
    </w:p>
    <w:p w:rsidR="00766E31" w:rsidRPr="00461FF7" w:rsidRDefault="00766E31" w:rsidP="00EE2943">
      <w:pPr>
        <w:ind w:left="426"/>
        <w:rPr>
          <w:i/>
        </w:rPr>
      </w:pPr>
      <w:r w:rsidRPr="00461FF7">
        <w:rPr>
          <w:i/>
        </w:rPr>
        <w:t xml:space="preserve">Pomalidomide, in combination with dexamethasone, is indicated in the treatment of patients with relapsed and refractory multiple myeloma who have received at least two </w:t>
      </w:r>
      <w:r w:rsidRPr="00461FF7">
        <w:rPr>
          <w:i/>
        </w:rPr>
        <w:lastRenderedPageBreak/>
        <w:t>prior treatment regimens, including both lenalidomide and bortezomib, and have demonstrated disease progression on the last therapy.</w:t>
      </w:r>
    </w:p>
    <w:p w:rsidR="00766E31" w:rsidRPr="002848CC" w:rsidRDefault="00766E31" w:rsidP="004948E4">
      <w:pPr>
        <w:pStyle w:val="Heading5"/>
      </w:pPr>
      <w:r w:rsidRPr="002848CC">
        <w:t>Prop</w:t>
      </w:r>
      <w:r w:rsidR="002947A1">
        <w:t>osed conditions of registration</w:t>
      </w:r>
    </w:p>
    <w:p w:rsidR="00766E31" w:rsidRPr="002947A1" w:rsidRDefault="00766E31" w:rsidP="004948E4">
      <w:r w:rsidRPr="002947A1">
        <w:t xml:space="preserve">The ACPM agreed with the </w:t>
      </w:r>
      <w:r w:rsidR="00F513B1">
        <w:t>D</w:t>
      </w:r>
      <w:r w:rsidRPr="002947A1">
        <w:t>elegate on the proposed conditions of registration, particularly the submission of the ongoing and proposed trials to clarify</w:t>
      </w:r>
      <w:r w:rsidR="004948E4">
        <w:t xml:space="preserve"> important missing information.</w:t>
      </w:r>
    </w:p>
    <w:p w:rsidR="00766E31" w:rsidRPr="00F74690" w:rsidRDefault="00766E31" w:rsidP="004948E4">
      <w:pPr>
        <w:pStyle w:val="Heading5"/>
        <w:rPr>
          <w:u w:val="single"/>
        </w:rPr>
      </w:pPr>
      <w:r w:rsidRPr="00F74690">
        <w:t xml:space="preserve">Proposed </w:t>
      </w:r>
      <w:r>
        <w:t>Product Information (</w:t>
      </w:r>
      <w:r w:rsidRPr="00F74690">
        <w:t>PI</w:t>
      </w:r>
      <w:r>
        <w:t>)</w:t>
      </w:r>
      <w:r w:rsidRPr="00F74690">
        <w:t>/</w:t>
      </w:r>
      <w:r>
        <w:t>Consumer Medicine Information (</w:t>
      </w:r>
      <w:r w:rsidRPr="00F74690">
        <w:t>CMI</w:t>
      </w:r>
      <w:r>
        <w:t>)</w:t>
      </w:r>
      <w:r w:rsidR="002947A1">
        <w:t xml:space="preserve"> amendments</w:t>
      </w:r>
    </w:p>
    <w:p w:rsidR="00766E31" w:rsidRPr="002947A1" w:rsidRDefault="00F513B1" w:rsidP="004948E4">
      <w:r>
        <w:t>The ACPM agreed with the D</w:t>
      </w:r>
      <w:r w:rsidR="00766E31" w:rsidRPr="002947A1">
        <w:t xml:space="preserve">elegate to the proposed amendments to the </w:t>
      </w:r>
      <w:r w:rsidR="00830AD3">
        <w:t>PI</w:t>
      </w:r>
      <w:r w:rsidR="00766E31" w:rsidRPr="002947A1">
        <w:t xml:space="preserve"> and </w:t>
      </w:r>
      <w:r w:rsidR="00830AD3">
        <w:t>CMI</w:t>
      </w:r>
      <w:r w:rsidR="00766E31" w:rsidRPr="002947A1">
        <w:t xml:space="preserve"> and specifically advised on </w:t>
      </w:r>
      <w:r w:rsidR="004948E4">
        <w:t>the inclusion of the following:</w:t>
      </w:r>
    </w:p>
    <w:p w:rsidR="00766E31" w:rsidRPr="002947A1" w:rsidRDefault="00766E31" w:rsidP="004948E4">
      <w:pPr>
        <w:pStyle w:val="ListBullet"/>
      </w:pPr>
      <w:r w:rsidRPr="002947A1">
        <w:t xml:space="preserve">In the </w:t>
      </w:r>
      <w:r w:rsidR="00314E54">
        <w:t>‘Adverse Events’</w:t>
      </w:r>
      <w:r w:rsidR="00D91A2C">
        <w:t xml:space="preserve"> section the table comparing p</w:t>
      </w:r>
      <w:r w:rsidRPr="002947A1">
        <w:t xml:space="preserve">omalidomide with </w:t>
      </w:r>
      <w:r w:rsidR="00CB01DA">
        <w:t>LD</w:t>
      </w:r>
      <w:r w:rsidRPr="002947A1">
        <w:t xml:space="preserve"> dexamethasone and HD dexamethasone glucose intolerance, hyperglycaemia</w:t>
      </w:r>
      <w:r w:rsidR="00345405">
        <w:t>,</w:t>
      </w:r>
      <w:r w:rsidRPr="002947A1">
        <w:t xml:space="preserve"> and new onset diabetes rates should be included.</w:t>
      </w:r>
    </w:p>
    <w:p w:rsidR="00766E31" w:rsidRPr="002947A1" w:rsidRDefault="00766E31" w:rsidP="004948E4">
      <w:pPr>
        <w:pStyle w:val="ListBullet"/>
      </w:pPr>
      <w:r w:rsidRPr="002947A1">
        <w:t xml:space="preserve">A statement in the </w:t>
      </w:r>
      <w:r w:rsidR="001A2446">
        <w:t>‘Adverse Events’</w:t>
      </w:r>
      <w:r w:rsidR="001A2446" w:rsidRPr="002947A1">
        <w:t xml:space="preserve"> </w:t>
      </w:r>
      <w:r w:rsidRPr="002947A1">
        <w:t>section on arterial thrombotic events should be included.</w:t>
      </w:r>
    </w:p>
    <w:p w:rsidR="00766E31" w:rsidRPr="00E951DE" w:rsidRDefault="002947A1" w:rsidP="004948E4">
      <w:pPr>
        <w:pStyle w:val="Heading5"/>
      </w:pPr>
      <w:r>
        <w:t>Specific advice</w:t>
      </w:r>
    </w:p>
    <w:p w:rsidR="00766E31" w:rsidRPr="00766E31" w:rsidRDefault="00766E31" w:rsidP="004948E4">
      <w:r w:rsidRPr="00766E31">
        <w:t>The ACPM advised the followi</w:t>
      </w:r>
      <w:r w:rsidR="002947A1">
        <w:t>ng in response to the specific D</w:t>
      </w:r>
      <w:r w:rsidRPr="00766E31">
        <w:t>elegate’s questions on this submission:</w:t>
      </w:r>
    </w:p>
    <w:p w:rsidR="00766E31" w:rsidRPr="00766E31" w:rsidRDefault="00766E31" w:rsidP="004948E4">
      <w:pPr>
        <w:pStyle w:val="ListBullet"/>
      </w:pPr>
      <w:r w:rsidRPr="00766E31">
        <w:t>Whether efficacy and safety have been adequately demonstrated.</w:t>
      </w:r>
    </w:p>
    <w:p w:rsidR="00766E31" w:rsidRPr="00643C64" w:rsidRDefault="00766E31" w:rsidP="004948E4">
      <w:r w:rsidRPr="00643C64">
        <w:t>The ACPM advised that efficacy had been clearly demonstrated in a heavily pre-treated population with significant comorbidities. There may be some exceptions in patient subgroups where efficacy has not yet been established; but these are populations with small numbers. There were no unexpected safety issues reported in the trial populations and the ACPM noted that when considering adverse events it is difficult to differentiate treatment from disease. Nonetheless, there remains some concern with the issue of the cumulative effect of pomalidomide exposure on myelosuppression and also concern with the impact on renal function. The ACPM noted the study in renally impaired subjects is not yet completed.</w:t>
      </w:r>
    </w:p>
    <w:p w:rsidR="00766E31" w:rsidRPr="00643C64" w:rsidRDefault="00766E31" w:rsidP="004948E4">
      <w:r w:rsidRPr="00643C64">
        <w:t>The ACPM further advised that it considered the request by the RMP evaluator to specify that pregnancy test be a blood test is r</w:t>
      </w:r>
      <w:r w:rsidR="004948E4">
        <w:t>easonable in the circumstances.</w:t>
      </w:r>
    </w:p>
    <w:p w:rsidR="00766E31" w:rsidRPr="00643C64" w:rsidRDefault="00766E31" w:rsidP="004948E4">
      <w:r w:rsidRPr="00643C64">
        <w:t>The ACPM advised that the implementation by the sponsor of the recommendations outlined above to the satisfaction of the TGA, in addition to the evidence of efficacy and safety provided would support the safe and</w:t>
      </w:r>
      <w:r w:rsidR="004948E4">
        <w:t xml:space="preserve"> effective use of this product.</w:t>
      </w:r>
    </w:p>
    <w:p w:rsidR="008E7846" w:rsidRPr="002E238E" w:rsidRDefault="008E7846" w:rsidP="004948E4">
      <w:pPr>
        <w:pStyle w:val="Heading3"/>
      </w:pPr>
      <w:bookmarkStart w:id="342" w:name="_Toc247691532"/>
      <w:bookmarkStart w:id="343" w:name="_Toc314842516"/>
      <w:bookmarkStart w:id="344" w:name="_Toc404176201"/>
      <w:bookmarkEnd w:id="112"/>
      <w:bookmarkEnd w:id="339"/>
      <w:bookmarkEnd w:id="340"/>
      <w:r>
        <w:t>Outcome</w:t>
      </w:r>
      <w:bookmarkEnd w:id="342"/>
      <w:bookmarkEnd w:id="343"/>
      <w:bookmarkEnd w:id="344"/>
    </w:p>
    <w:p w:rsidR="00D23139" w:rsidRPr="00D23139" w:rsidRDefault="00D23139" w:rsidP="004948E4">
      <w:bookmarkStart w:id="345" w:name="_Toc247691533"/>
      <w:bookmarkStart w:id="346" w:name="_Toc314842517"/>
      <w:r w:rsidRPr="00D23139">
        <w:t xml:space="preserve">Based on a review of quality, safety and efficacy, TGA approved the registration of </w:t>
      </w:r>
      <w:r w:rsidR="00643C64">
        <w:t>Pomalyst</w:t>
      </w:r>
      <w:r w:rsidR="00643C64" w:rsidRPr="00643C64">
        <w:t xml:space="preserve"> capsules containing pomalidomide 1</w:t>
      </w:r>
      <w:r w:rsidR="00643C64">
        <w:t xml:space="preserve"> </w:t>
      </w:r>
      <w:r w:rsidR="00643C64" w:rsidRPr="00643C64">
        <w:t>mg, 2</w:t>
      </w:r>
      <w:r w:rsidR="00643C64">
        <w:t xml:space="preserve"> </w:t>
      </w:r>
      <w:r w:rsidR="00643C64" w:rsidRPr="00643C64">
        <w:t>mg, 3</w:t>
      </w:r>
      <w:r w:rsidR="00643C64">
        <w:t xml:space="preserve"> </w:t>
      </w:r>
      <w:r w:rsidR="00643C64" w:rsidRPr="00643C64">
        <w:t>mg and 4</w:t>
      </w:r>
      <w:r w:rsidR="00643C64">
        <w:t xml:space="preserve"> </w:t>
      </w:r>
      <w:r w:rsidR="00643C64" w:rsidRPr="00643C64">
        <w:t xml:space="preserve">mg </w:t>
      </w:r>
      <w:r w:rsidR="007302C3">
        <w:t xml:space="preserve">for </w:t>
      </w:r>
      <w:r w:rsidRPr="00D23139">
        <w:t>indicated for:</w:t>
      </w:r>
    </w:p>
    <w:p w:rsidR="007302C3" w:rsidRPr="007302C3" w:rsidRDefault="007302C3" w:rsidP="00EE2943">
      <w:pPr>
        <w:ind w:left="426"/>
        <w:rPr>
          <w:i/>
        </w:rPr>
      </w:pPr>
      <w:r w:rsidRPr="007302C3">
        <w:rPr>
          <w:i/>
        </w:rPr>
        <w:t>Pomalidomide, in combination with dexamethasone, is indicated for the treatment of patients with relapsed and refractory multiple myeloma who have received at least two prior treatment regimens, including both lenalidomide and bortezomib, and have demonstrated disease progression on the last therapy</w:t>
      </w:r>
      <w:r>
        <w:rPr>
          <w:i/>
        </w:rPr>
        <w:t>.</w:t>
      </w:r>
    </w:p>
    <w:p w:rsidR="00D23139" w:rsidRPr="00D23139" w:rsidRDefault="00D23139" w:rsidP="004948E4">
      <w:pPr>
        <w:pStyle w:val="Heading4"/>
      </w:pPr>
      <w:r w:rsidRPr="00D23139">
        <w:t>Specific conditions of registration applying to these goods</w:t>
      </w:r>
    </w:p>
    <w:p w:rsidR="00D23139" w:rsidRPr="00383B81" w:rsidRDefault="00717916" w:rsidP="004948E4">
      <w:pPr>
        <w:pStyle w:val="ListBullet"/>
      </w:pPr>
      <w:r>
        <w:t>The Pomalyst</w:t>
      </w:r>
      <w:r w:rsidRPr="00717916">
        <w:t xml:space="preserve"> EU Risk Management Plan (EU-RMP), version 6.0, dated 5 June 2013; DLP 24 May 2013 and </w:t>
      </w:r>
      <w:r w:rsidR="00B03AF0">
        <w:t>ASA</w:t>
      </w:r>
      <w:r w:rsidRPr="00717916">
        <w:t xml:space="preserve"> Version 1.0 dated 11 September 2013; no DLP given, included with submission PM-2013-02037-1-4, and any subsequent revisions, as agreed with the TGA will be implemented in Australia</w:t>
      </w:r>
      <w:r w:rsidR="00592505">
        <w:t>.</w:t>
      </w:r>
    </w:p>
    <w:p w:rsidR="008E7846" w:rsidRDefault="008E7846" w:rsidP="00D23139">
      <w:pPr>
        <w:pStyle w:val="Heading2"/>
      </w:pPr>
      <w:bookmarkStart w:id="347" w:name="_Toc404176202"/>
      <w:r>
        <w:lastRenderedPageBreak/>
        <w:t>Attachment 1.</w:t>
      </w:r>
      <w:r>
        <w:tab/>
        <w:t xml:space="preserve">Product </w:t>
      </w:r>
      <w:r w:rsidR="00AA0ED0">
        <w:t>I</w:t>
      </w:r>
      <w:r>
        <w:t>nformation</w:t>
      </w:r>
      <w:bookmarkEnd w:id="345"/>
      <w:bookmarkEnd w:id="346"/>
      <w:bookmarkEnd w:id="347"/>
    </w:p>
    <w:p w:rsidR="00C80137" w:rsidRDefault="002B3624" w:rsidP="00C80137">
      <w:pPr>
        <w:rPr>
          <w:color w:val="000000"/>
          <w:lang w:eastAsia="en-AU"/>
        </w:rPr>
      </w:pPr>
      <w:r w:rsidRPr="002B3624">
        <w:t xml:space="preserve">The Product Information approved for </w:t>
      </w:r>
      <w:r w:rsidR="00383B81">
        <w:t>Pomalyst</w:t>
      </w:r>
      <w:r w:rsidRPr="002B3624">
        <w:t xml:space="preserve"> at the time this AusPAR was published is at Attachment 1. For the most recent </w:t>
      </w:r>
      <w:r w:rsidR="00383B81">
        <w:t>PI,</w:t>
      </w:r>
      <w:r w:rsidRPr="002B3624">
        <w:t xml:space="preserve"> please refer to the TGA website at &lt;</w:t>
      </w:r>
      <w:hyperlink r:id="rId29" w:history="1">
        <w:r w:rsidRPr="000734D8">
          <w:rPr>
            <w:rStyle w:val="Hyperlink"/>
          </w:rPr>
          <w:t>http://www.tga.gov.au/hp/information-medicines-pi.htm</w:t>
        </w:r>
      </w:hyperlink>
      <w:r w:rsidR="00383B81">
        <w:t>&gt;.</w:t>
      </w:r>
    </w:p>
    <w:p w:rsidR="00C80137" w:rsidRPr="001D043B" w:rsidRDefault="00C80137" w:rsidP="00E71F4A">
      <w:pPr>
        <w:pStyle w:val="Heading2"/>
        <w:sectPr w:rsidR="00C80137" w:rsidRPr="001D043B" w:rsidSect="00541B7E">
          <w:footerReference w:type="default" r:id="rId30"/>
          <w:pgSz w:w="11906" w:h="16838" w:code="9"/>
          <w:pgMar w:top="834" w:right="1701" w:bottom="1191" w:left="1701" w:header="907" w:footer="216" w:gutter="0"/>
          <w:cols w:space="708"/>
          <w:docGrid w:linePitch="360"/>
        </w:sectPr>
      </w:pPr>
      <w:bookmarkStart w:id="348" w:name="_Toc404176203"/>
      <w:r>
        <w:rPr>
          <w:lang w:eastAsia="en-AU"/>
        </w:rPr>
        <w:t>Attachment 2. Extract from the Clinical Evaluation Report</w:t>
      </w:r>
      <w:bookmarkEnd w:id="348"/>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250F61">
        <w:trPr>
          <w:trHeight w:hRule="exact" w:val="704"/>
        </w:trPr>
        <w:tc>
          <w:tcPr>
            <w:tcW w:w="9175" w:type="dxa"/>
          </w:tcPr>
          <w:p w:rsidR="001C32CD" w:rsidRPr="00487162" w:rsidRDefault="001C32CD" w:rsidP="00250F61">
            <w:pPr>
              <w:pStyle w:val="TGASignoff"/>
            </w:pPr>
            <w:r w:rsidRPr="00487162">
              <w:lastRenderedPageBreak/>
              <w:t>Therapeutic Goods Administration</w:t>
            </w:r>
          </w:p>
        </w:tc>
      </w:tr>
      <w:tr w:rsidR="001C32CD" w:rsidRPr="004C239D" w:rsidTr="00250F61">
        <w:trPr>
          <w:trHeight w:val="1221"/>
        </w:trPr>
        <w:tc>
          <w:tcPr>
            <w:tcW w:w="9175" w:type="dxa"/>
            <w:tcMar>
              <w:top w:w="28" w:type="dxa"/>
            </w:tcMar>
          </w:tcPr>
          <w:p w:rsidR="001C32CD" w:rsidRPr="00487162" w:rsidRDefault="001C32CD" w:rsidP="00250F61">
            <w:pPr>
              <w:pStyle w:val="Address"/>
            </w:pPr>
            <w:r w:rsidRPr="00487162">
              <w:t>PO Box 100 Woden ACT 2606 Australia</w:t>
            </w:r>
          </w:p>
          <w:p w:rsidR="001C32CD" w:rsidRPr="00487162" w:rsidRDefault="001C32CD" w:rsidP="00250F61">
            <w:pPr>
              <w:pStyle w:val="Address"/>
            </w:pPr>
            <w:r w:rsidRPr="00487162">
              <w:t xml:space="preserve">Email: </w:t>
            </w:r>
            <w:hyperlink r:id="rId31" w:history="1">
              <w:r w:rsidRPr="004C239D">
                <w:rPr>
                  <w:rStyle w:val="Hyperlink"/>
                </w:rPr>
                <w:t>info@tga.gov.au</w:t>
              </w:r>
            </w:hyperlink>
            <w:r w:rsidR="006813F9">
              <w:t xml:space="preserve"> </w:t>
            </w:r>
            <w:r w:rsidR="00EE2943">
              <w:t xml:space="preserve"> </w:t>
            </w:r>
            <w:r w:rsidRPr="00487162">
              <w:t>Phone: 1800 020 653</w:t>
            </w:r>
            <w:r w:rsidR="006813F9">
              <w:t xml:space="preserve"> </w:t>
            </w:r>
            <w:r w:rsidR="00EE2943">
              <w:t xml:space="preserve"> </w:t>
            </w:r>
            <w:r w:rsidRPr="00487162">
              <w:t>Fax: 02 6232 8605</w:t>
            </w:r>
          </w:p>
          <w:p w:rsidR="001C32CD" w:rsidRPr="004C239D" w:rsidRDefault="00D27A29" w:rsidP="00250F61">
            <w:pPr>
              <w:pStyle w:val="Address"/>
              <w:spacing w:line="260" w:lineRule="atLeast"/>
              <w:rPr>
                <w:b/>
                <w:color w:val="0000FF"/>
                <w:u w:val="single"/>
              </w:rPr>
            </w:pPr>
            <w:hyperlink r:id="rId32" w:history="1">
              <w:r w:rsidR="001C32CD" w:rsidRPr="00607888">
                <w:rPr>
                  <w:rStyle w:val="Hyperlink"/>
                  <w:b/>
                </w:rPr>
                <w:t>http://www.tga.gov.au</w:t>
              </w:r>
            </w:hyperlink>
          </w:p>
        </w:tc>
      </w:tr>
    </w:tbl>
    <w:p w:rsidR="00774E1D" w:rsidRPr="008A5E0B" w:rsidRDefault="00774E1D" w:rsidP="004C239D"/>
    <w:sectPr w:rsidR="00774E1D" w:rsidRPr="008A5E0B" w:rsidSect="000E55BF">
      <w:headerReference w:type="even" r:id="rId33"/>
      <w:headerReference w:type="default" r:id="rId34"/>
      <w:footerReference w:type="default" r:id="rId35"/>
      <w:headerReference w:type="first" r:id="rId36"/>
      <w:footerReference w:type="first" r:id="rId37"/>
      <w:pgSz w:w="11906" w:h="16838" w:code="9"/>
      <w:pgMar w:top="14005"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B53" w:rsidRDefault="00B17B53" w:rsidP="00C40A36">
      <w:pPr>
        <w:spacing w:after="0"/>
      </w:pPr>
      <w:r>
        <w:separator/>
      </w:r>
    </w:p>
  </w:endnote>
  <w:endnote w:type="continuationSeparator" w:id="0">
    <w:p w:rsidR="00B17B53" w:rsidRDefault="00B17B5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00"/>
    <w:family w:val="roman"/>
    <w:notTrueType/>
    <w:pitch w:val="default"/>
    <w:sig w:usb0="00000003" w:usb1="08070000" w:usb2="00000010" w:usb3="00000000" w:csb0="00020001" w:csb1="00000000"/>
  </w:font>
  <w:font w:name="TimesNewRoman,Bold">
    <w:altName w:val="Arial Unicode 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B17B53" w:rsidRPr="00487162" w:rsidTr="00DB750B">
      <w:trPr>
        <w:trHeight w:val="269"/>
      </w:trPr>
      <w:tc>
        <w:tcPr>
          <w:tcW w:w="7371" w:type="dxa"/>
          <w:tcMar>
            <w:top w:w="142" w:type="dxa"/>
            <w:bottom w:w="0" w:type="dxa"/>
          </w:tcMar>
        </w:tcPr>
        <w:p w:rsidR="00B17B53" w:rsidRPr="005E2616" w:rsidRDefault="00B17B53" w:rsidP="00794EDC">
          <w:pPr>
            <w:pStyle w:val="Footer"/>
            <w:rPr>
              <w:szCs w:val="22"/>
              <w:lang w:val="en-AU" w:eastAsia="en-US"/>
            </w:rPr>
          </w:pPr>
          <w:r w:rsidRPr="005E2616">
            <w:rPr>
              <w:szCs w:val="22"/>
              <w:lang w:val="en-AU" w:eastAsia="en-US"/>
            </w:rPr>
            <w:t>AusPAR Pomalyst Celgene Australia P</w:t>
          </w:r>
          <w:r>
            <w:rPr>
              <w:szCs w:val="22"/>
              <w:lang w:val="en-AU" w:eastAsia="en-US"/>
            </w:rPr>
            <w:t>ty Ltd PM-2013-02037-1-4</w:t>
          </w:r>
          <w:r>
            <w:rPr>
              <w:szCs w:val="22"/>
              <w:lang w:val="en-AU" w:eastAsia="en-US"/>
            </w:rPr>
            <w:br/>
            <w:t>Final 13 October 2014</w:t>
          </w:r>
        </w:p>
      </w:tc>
      <w:tc>
        <w:tcPr>
          <w:tcW w:w="1490" w:type="dxa"/>
          <w:tcMar>
            <w:top w:w="142" w:type="dxa"/>
            <w:bottom w:w="0" w:type="dxa"/>
          </w:tcMar>
        </w:tcPr>
        <w:p w:rsidR="00B17B53" w:rsidRPr="005E2616" w:rsidRDefault="00B17B53" w:rsidP="00DB750B">
          <w:pPr>
            <w:pStyle w:val="Footer"/>
            <w:jc w:val="right"/>
            <w:rPr>
              <w:szCs w:val="22"/>
              <w:lang w:val="en-AU" w:eastAsia="en-US"/>
            </w:rPr>
          </w:pPr>
          <w:r w:rsidRPr="005E2616">
            <w:rPr>
              <w:szCs w:val="22"/>
              <w:lang w:val="en-AU" w:eastAsia="en-US"/>
            </w:rPr>
            <w:t xml:space="preserve">Page </w:t>
          </w:r>
          <w:r w:rsidRPr="005E2616">
            <w:rPr>
              <w:szCs w:val="22"/>
              <w:lang w:val="en-AU" w:eastAsia="en-US"/>
            </w:rPr>
            <w:fldChar w:fldCharType="begin"/>
          </w:r>
          <w:r w:rsidRPr="005E2616">
            <w:rPr>
              <w:szCs w:val="22"/>
              <w:lang w:val="en-AU" w:eastAsia="en-US"/>
            </w:rPr>
            <w:instrText xml:space="preserve"> PAGE  \* Arabic </w:instrText>
          </w:r>
          <w:r w:rsidRPr="005E2616">
            <w:rPr>
              <w:szCs w:val="22"/>
              <w:lang w:val="en-AU" w:eastAsia="en-US"/>
            </w:rPr>
            <w:fldChar w:fldCharType="separate"/>
          </w:r>
          <w:r w:rsidR="00D27A29">
            <w:rPr>
              <w:noProof/>
              <w:szCs w:val="22"/>
              <w:lang w:val="en-AU" w:eastAsia="en-US"/>
            </w:rPr>
            <w:t>5</w:t>
          </w:r>
          <w:r w:rsidRPr="005E2616">
            <w:rPr>
              <w:szCs w:val="22"/>
              <w:lang w:val="en-AU" w:eastAsia="en-US"/>
            </w:rPr>
            <w:fldChar w:fldCharType="end"/>
          </w:r>
          <w:r w:rsidRPr="005E2616">
            <w:rPr>
              <w:szCs w:val="22"/>
              <w:lang w:val="en-AU" w:eastAsia="en-US"/>
            </w:rPr>
            <w:t xml:space="preserve"> of </w:t>
          </w:r>
          <w:r w:rsidRPr="005E2616">
            <w:rPr>
              <w:szCs w:val="22"/>
              <w:lang w:val="en-AU" w:eastAsia="en-US"/>
            </w:rPr>
            <w:fldChar w:fldCharType="begin"/>
          </w:r>
          <w:r w:rsidRPr="005E2616">
            <w:rPr>
              <w:szCs w:val="22"/>
              <w:lang w:val="en-AU" w:eastAsia="en-US"/>
            </w:rPr>
            <w:instrText xml:space="preserve"> NUMPAGES  \* Arabic </w:instrText>
          </w:r>
          <w:r w:rsidRPr="005E2616">
            <w:rPr>
              <w:szCs w:val="22"/>
              <w:lang w:val="en-AU" w:eastAsia="en-US"/>
            </w:rPr>
            <w:fldChar w:fldCharType="separate"/>
          </w:r>
          <w:r w:rsidR="00D27A29">
            <w:rPr>
              <w:noProof/>
              <w:szCs w:val="22"/>
              <w:lang w:val="en-AU" w:eastAsia="en-US"/>
            </w:rPr>
            <w:t>82</w:t>
          </w:r>
          <w:r w:rsidRPr="005E2616">
            <w:rPr>
              <w:noProof/>
              <w:szCs w:val="22"/>
              <w:lang w:val="en-AU" w:eastAsia="en-US"/>
            </w:rPr>
            <w:fldChar w:fldCharType="end"/>
          </w:r>
        </w:p>
      </w:tc>
    </w:tr>
  </w:tbl>
  <w:p w:rsidR="00B17B53" w:rsidRDefault="00B17B53"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17B53" w:rsidRPr="00487162" w:rsidTr="00E45619">
      <w:trPr>
        <w:trHeight w:val="269"/>
      </w:trPr>
      <w:tc>
        <w:tcPr>
          <w:tcW w:w="4519" w:type="dxa"/>
          <w:tcBorders>
            <w:top w:val="single" w:sz="4" w:space="0" w:color="auto"/>
          </w:tcBorders>
          <w:tcMar>
            <w:top w:w="142" w:type="dxa"/>
            <w:bottom w:w="0" w:type="dxa"/>
          </w:tcMar>
        </w:tcPr>
        <w:p w:rsidR="00B17B53" w:rsidRPr="005E2616" w:rsidRDefault="00B17B53" w:rsidP="00FE1DEE">
          <w:pPr>
            <w:pStyle w:val="Footer"/>
            <w:rPr>
              <w:szCs w:val="22"/>
              <w:lang w:val="en-AU" w:eastAsia="en-US"/>
            </w:rPr>
          </w:pPr>
          <w:r w:rsidRPr="005E2616">
            <w:rPr>
              <w:szCs w:val="22"/>
              <w:lang w:val="en-AU" w:eastAsia="en-US"/>
            </w:rPr>
            <w:t>Document title, Part #, Section # - Section title</w:t>
          </w:r>
        </w:p>
        <w:p w:rsidR="00B17B53" w:rsidRPr="005E2616" w:rsidRDefault="00B17B53" w:rsidP="00FE1DEE">
          <w:pPr>
            <w:pStyle w:val="Footer"/>
            <w:rPr>
              <w:szCs w:val="22"/>
              <w:lang w:val="en-AU" w:eastAsia="en-US"/>
            </w:rPr>
          </w:pPr>
          <w:r w:rsidRPr="005E2616">
            <w:rPr>
              <w:szCs w:val="22"/>
              <w:lang w:val="en-AU" w:eastAsia="en-US"/>
            </w:rPr>
            <w:t>V1.0 October 2010</w:t>
          </w:r>
        </w:p>
      </w:tc>
      <w:tc>
        <w:tcPr>
          <w:tcW w:w="4342" w:type="dxa"/>
          <w:tcBorders>
            <w:top w:val="single" w:sz="4" w:space="0" w:color="auto"/>
          </w:tcBorders>
          <w:tcMar>
            <w:top w:w="142" w:type="dxa"/>
            <w:bottom w:w="0" w:type="dxa"/>
          </w:tcMar>
        </w:tcPr>
        <w:p w:rsidR="00B17B53" w:rsidRPr="005E2616" w:rsidRDefault="00B17B53" w:rsidP="00E45619">
          <w:pPr>
            <w:pStyle w:val="Footer"/>
            <w:jc w:val="right"/>
            <w:rPr>
              <w:szCs w:val="22"/>
              <w:lang w:val="en-AU" w:eastAsia="en-US"/>
            </w:rPr>
          </w:pPr>
          <w:r w:rsidRPr="005E2616">
            <w:rPr>
              <w:szCs w:val="22"/>
              <w:lang w:val="en-AU" w:eastAsia="en-US"/>
            </w:rPr>
            <w:t xml:space="preserve">Page </w:t>
          </w:r>
          <w:r w:rsidRPr="005E2616">
            <w:rPr>
              <w:szCs w:val="22"/>
              <w:lang w:val="en-AU" w:eastAsia="en-US"/>
            </w:rPr>
            <w:fldChar w:fldCharType="begin"/>
          </w:r>
          <w:r w:rsidRPr="005E2616">
            <w:rPr>
              <w:szCs w:val="22"/>
              <w:lang w:val="en-AU" w:eastAsia="en-US"/>
            </w:rPr>
            <w:instrText xml:space="preserve"> PAGE   \* MERGEFORMAT </w:instrText>
          </w:r>
          <w:r w:rsidRPr="005E2616">
            <w:rPr>
              <w:szCs w:val="22"/>
              <w:lang w:val="en-AU" w:eastAsia="en-US"/>
            </w:rPr>
            <w:fldChar w:fldCharType="separate"/>
          </w:r>
          <w:r w:rsidRPr="005E2616">
            <w:rPr>
              <w:noProof/>
              <w:szCs w:val="22"/>
              <w:lang w:val="en-AU" w:eastAsia="en-US"/>
            </w:rPr>
            <w:t>3</w:t>
          </w:r>
          <w:r w:rsidRPr="005E2616">
            <w:rPr>
              <w:noProof/>
              <w:szCs w:val="22"/>
              <w:lang w:val="en-AU" w:eastAsia="en-US"/>
            </w:rPr>
            <w:fldChar w:fldCharType="end"/>
          </w:r>
          <w:r w:rsidRPr="005E2616">
            <w:rPr>
              <w:szCs w:val="22"/>
              <w:lang w:val="en-AU" w:eastAsia="en-US"/>
            </w:rPr>
            <w:t xml:space="preserve"> of </w:t>
          </w:r>
          <w:r w:rsidRPr="005E2616">
            <w:rPr>
              <w:szCs w:val="22"/>
              <w:lang w:val="en-AU" w:eastAsia="en-US"/>
            </w:rPr>
            <w:fldChar w:fldCharType="begin"/>
          </w:r>
          <w:r w:rsidRPr="005E2616">
            <w:rPr>
              <w:szCs w:val="22"/>
              <w:lang w:val="en-AU" w:eastAsia="en-US"/>
            </w:rPr>
            <w:instrText xml:space="preserve"> NUMPAGES  </w:instrText>
          </w:r>
          <w:r w:rsidRPr="005E2616">
            <w:rPr>
              <w:szCs w:val="22"/>
              <w:lang w:val="en-AU" w:eastAsia="en-US"/>
            </w:rPr>
            <w:fldChar w:fldCharType="separate"/>
          </w:r>
          <w:r>
            <w:rPr>
              <w:noProof/>
              <w:szCs w:val="22"/>
              <w:lang w:val="en-AU" w:eastAsia="en-US"/>
            </w:rPr>
            <w:t>1</w:t>
          </w:r>
          <w:r w:rsidRPr="005E2616">
            <w:rPr>
              <w:noProof/>
              <w:szCs w:val="22"/>
              <w:lang w:val="en-AU" w:eastAsia="en-US"/>
            </w:rPr>
            <w:fldChar w:fldCharType="end"/>
          </w:r>
        </w:p>
      </w:tc>
    </w:tr>
  </w:tbl>
  <w:p w:rsidR="00B17B53" w:rsidRDefault="00B17B5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506"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12067"/>
      <w:gridCol w:w="2439"/>
    </w:tblGrid>
    <w:tr w:rsidR="005F6C76" w:rsidRPr="00487162" w:rsidTr="005F6C76">
      <w:trPr>
        <w:trHeight w:val="240"/>
      </w:trPr>
      <w:tc>
        <w:tcPr>
          <w:tcW w:w="12067" w:type="dxa"/>
          <w:tcMar>
            <w:top w:w="142" w:type="dxa"/>
            <w:bottom w:w="0" w:type="dxa"/>
          </w:tcMar>
        </w:tcPr>
        <w:p w:rsidR="005F6C76" w:rsidRPr="005E2616" w:rsidRDefault="005F6C76" w:rsidP="00794EDC">
          <w:pPr>
            <w:pStyle w:val="Footer"/>
            <w:rPr>
              <w:szCs w:val="22"/>
              <w:lang w:val="en-AU" w:eastAsia="en-US"/>
            </w:rPr>
          </w:pPr>
          <w:r w:rsidRPr="005E2616">
            <w:rPr>
              <w:szCs w:val="22"/>
              <w:lang w:val="en-AU" w:eastAsia="en-US"/>
            </w:rPr>
            <w:t>AusPAR Pomalyst Celgene Australia P</w:t>
          </w:r>
          <w:r>
            <w:rPr>
              <w:szCs w:val="22"/>
              <w:lang w:val="en-AU" w:eastAsia="en-US"/>
            </w:rPr>
            <w:t>ty Ltd PM-2013-02037-1-4</w:t>
          </w:r>
          <w:r>
            <w:rPr>
              <w:szCs w:val="22"/>
              <w:lang w:val="en-AU" w:eastAsia="en-US"/>
            </w:rPr>
            <w:br/>
            <w:t>Final 13 October 2014</w:t>
          </w:r>
        </w:p>
      </w:tc>
      <w:tc>
        <w:tcPr>
          <w:tcW w:w="2439" w:type="dxa"/>
          <w:tcMar>
            <w:top w:w="142" w:type="dxa"/>
            <w:bottom w:w="0" w:type="dxa"/>
          </w:tcMar>
        </w:tcPr>
        <w:p w:rsidR="005F6C76" w:rsidRPr="005E2616" w:rsidRDefault="005F6C76" w:rsidP="00DB750B">
          <w:pPr>
            <w:pStyle w:val="Footer"/>
            <w:jc w:val="right"/>
            <w:rPr>
              <w:szCs w:val="22"/>
              <w:lang w:val="en-AU" w:eastAsia="en-US"/>
            </w:rPr>
          </w:pPr>
          <w:r w:rsidRPr="005E2616">
            <w:rPr>
              <w:szCs w:val="22"/>
              <w:lang w:val="en-AU" w:eastAsia="en-US"/>
            </w:rPr>
            <w:t xml:space="preserve">Page </w:t>
          </w:r>
          <w:r w:rsidRPr="005E2616">
            <w:rPr>
              <w:szCs w:val="22"/>
              <w:lang w:val="en-AU" w:eastAsia="en-US"/>
            </w:rPr>
            <w:fldChar w:fldCharType="begin"/>
          </w:r>
          <w:r w:rsidRPr="005E2616">
            <w:rPr>
              <w:szCs w:val="22"/>
              <w:lang w:val="en-AU" w:eastAsia="en-US"/>
            </w:rPr>
            <w:instrText xml:space="preserve"> PAGE  \* Arabic </w:instrText>
          </w:r>
          <w:r w:rsidRPr="005E2616">
            <w:rPr>
              <w:szCs w:val="22"/>
              <w:lang w:val="en-AU" w:eastAsia="en-US"/>
            </w:rPr>
            <w:fldChar w:fldCharType="separate"/>
          </w:r>
          <w:r w:rsidR="00D27A29">
            <w:rPr>
              <w:noProof/>
              <w:szCs w:val="22"/>
              <w:lang w:val="en-AU" w:eastAsia="en-US"/>
            </w:rPr>
            <w:t>46</w:t>
          </w:r>
          <w:r w:rsidRPr="005E2616">
            <w:rPr>
              <w:szCs w:val="22"/>
              <w:lang w:val="en-AU" w:eastAsia="en-US"/>
            </w:rPr>
            <w:fldChar w:fldCharType="end"/>
          </w:r>
          <w:r w:rsidRPr="005E2616">
            <w:rPr>
              <w:szCs w:val="22"/>
              <w:lang w:val="en-AU" w:eastAsia="en-US"/>
            </w:rPr>
            <w:t xml:space="preserve"> of </w:t>
          </w:r>
          <w:r w:rsidRPr="005E2616">
            <w:rPr>
              <w:szCs w:val="22"/>
              <w:lang w:val="en-AU" w:eastAsia="en-US"/>
            </w:rPr>
            <w:fldChar w:fldCharType="begin"/>
          </w:r>
          <w:r w:rsidRPr="005E2616">
            <w:rPr>
              <w:szCs w:val="22"/>
              <w:lang w:val="en-AU" w:eastAsia="en-US"/>
            </w:rPr>
            <w:instrText xml:space="preserve"> NUMPAGES  \* Arabic </w:instrText>
          </w:r>
          <w:r w:rsidRPr="005E2616">
            <w:rPr>
              <w:szCs w:val="22"/>
              <w:lang w:val="en-AU" w:eastAsia="en-US"/>
            </w:rPr>
            <w:fldChar w:fldCharType="separate"/>
          </w:r>
          <w:r w:rsidR="00D27A29">
            <w:rPr>
              <w:noProof/>
              <w:szCs w:val="22"/>
              <w:lang w:val="en-AU" w:eastAsia="en-US"/>
            </w:rPr>
            <w:t>82</w:t>
          </w:r>
          <w:r w:rsidRPr="005E2616">
            <w:rPr>
              <w:noProof/>
              <w:szCs w:val="22"/>
              <w:lang w:val="en-AU" w:eastAsia="en-US"/>
            </w:rPr>
            <w:fldChar w:fldCharType="end"/>
          </w:r>
        </w:p>
      </w:tc>
    </w:tr>
  </w:tbl>
  <w:p w:rsidR="005F6C76" w:rsidRDefault="005F6C76" w:rsidP="003D1E6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5F6C76" w:rsidRPr="00487162" w:rsidTr="00DB750B">
      <w:trPr>
        <w:trHeight w:val="269"/>
      </w:trPr>
      <w:tc>
        <w:tcPr>
          <w:tcW w:w="7371" w:type="dxa"/>
          <w:tcMar>
            <w:top w:w="142" w:type="dxa"/>
            <w:bottom w:w="0" w:type="dxa"/>
          </w:tcMar>
        </w:tcPr>
        <w:p w:rsidR="005F6C76" w:rsidRPr="005E2616" w:rsidRDefault="005F6C76" w:rsidP="00794EDC">
          <w:pPr>
            <w:pStyle w:val="Footer"/>
            <w:rPr>
              <w:szCs w:val="22"/>
              <w:lang w:val="en-AU" w:eastAsia="en-US"/>
            </w:rPr>
          </w:pPr>
          <w:r w:rsidRPr="005E2616">
            <w:rPr>
              <w:szCs w:val="22"/>
              <w:lang w:val="en-AU" w:eastAsia="en-US"/>
            </w:rPr>
            <w:t>AusPAR Pomalyst Celgene Australia P</w:t>
          </w:r>
          <w:r>
            <w:rPr>
              <w:szCs w:val="22"/>
              <w:lang w:val="en-AU" w:eastAsia="en-US"/>
            </w:rPr>
            <w:t>ty Ltd PM-2013-02037-1-4</w:t>
          </w:r>
          <w:r>
            <w:rPr>
              <w:szCs w:val="22"/>
              <w:lang w:val="en-AU" w:eastAsia="en-US"/>
            </w:rPr>
            <w:br/>
            <w:t>Final 13 October 2014</w:t>
          </w:r>
        </w:p>
      </w:tc>
      <w:tc>
        <w:tcPr>
          <w:tcW w:w="1490" w:type="dxa"/>
          <w:tcMar>
            <w:top w:w="142" w:type="dxa"/>
            <w:bottom w:w="0" w:type="dxa"/>
          </w:tcMar>
        </w:tcPr>
        <w:p w:rsidR="005F6C76" w:rsidRPr="005E2616" w:rsidRDefault="005F6C76" w:rsidP="00DB750B">
          <w:pPr>
            <w:pStyle w:val="Footer"/>
            <w:jc w:val="right"/>
            <w:rPr>
              <w:szCs w:val="22"/>
              <w:lang w:val="en-AU" w:eastAsia="en-US"/>
            </w:rPr>
          </w:pPr>
          <w:r w:rsidRPr="005E2616">
            <w:rPr>
              <w:szCs w:val="22"/>
              <w:lang w:val="en-AU" w:eastAsia="en-US"/>
            </w:rPr>
            <w:t xml:space="preserve">Page </w:t>
          </w:r>
          <w:r w:rsidRPr="005E2616">
            <w:rPr>
              <w:szCs w:val="22"/>
              <w:lang w:val="en-AU" w:eastAsia="en-US"/>
            </w:rPr>
            <w:fldChar w:fldCharType="begin"/>
          </w:r>
          <w:r w:rsidRPr="005E2616">
            <w:rPr>
              <w:szCs w:val="22"/>
              <w:lang w:val="en-AU" w:eastAsia="en-US"/>
            </w:rPr>
            <w:instrText xml:space="preserve"> PAGE  \* Arabic </w:instrText>
          </w:r>
          <w:r w:rsidRPr="005E2616">
            <w:rPr>
              <w:szCs w:val="22"/>
              <w:lang w:val="en-AU" w:eastAsia="en-US"/>
            </w:rPr>
            <w:fldChar w:fldCharType="separate"/>
          </w:r>
          <w:r w:rsidR="00D27A29">
            <w:rPr>
              <w:noProof/>
              <w:szCs w:val="22"/>
              <w:lang w:val="en-AU" w:eastAsia="en-US"/>
            </w:rPr>
            <w:t>81</w:t>
          </w:r>
          <w:r w:rsidRPr="005E2616">
            <w:rPr>
              <w:szCs w:val="22"/>
              <w:lang w:val="en-AU" w:eastAsia="en-US"/>
            </w:rPr>
            <w:fldChar w:fldCharType="end"/>
          </w:r>
          <w:r w:rsidRPr="005E2616">
            <w:rPr>
              <w:szCs w:val="22"/>
              <w:lang w:val="en-AU" w:eastAsia="en-US"/>
            </w:rPr>
            <w:t xml:space="preserve"> of </w:t>
          </w:r>
          <w:r w:rsidRPr="005E2616">
            <w:rPr>
              <w:szCs w:val="22"/>
              <w:lang w:val="en-AU" w:eastAsia="en-US"/>
            </w:rPr>
            <w:fldChar w:fldCharType="begin"/>
          </w:r>
          <w:r w:rsidRPr="005E2616">
            <w:rPr>
              <w:szCs w:val="22"/>
              <w:lang w:val="en-AU" w:eastAsia="en-US"/>
            </w:rPr>
            <w:instrText xml:space="preserve"> NUMPAGES  \* Arabic </w:instrText>
          </w:r>
          <w:r w:rsidRPr="005E2616">
            <w:rPr>
              <w:szCs w:val="22"/>
              <w:lang w:val="en-AU" w:eastAsia="en-US"/>
            </w:rPr>
            <w:fldChar w:fldCharType="separate"/>
          </w:r>
          <w:r w:rsidR="00D27A29">
            <w:rPr>
              <w:noProof/>
              <w:szCs w:val="22"/>
              <w:lang w:val="en-AU" w:eastAsia="en-US"/>
            </w:rPr>
            <w:t>82</w:t>
          </w:r>
          <w:r w:rsidRPr="005E2616">
            <w:rPr>
              <w:noProof/>
              <w:szCs w:val="22"/>
              <w:lang w:val="en-AU" w:eastAsia="en-US"/>
            </w:rPr>
            <w:fldChar w:fldCharType="end"/>
          </w:r>
        </w:p>
      </w:tc>
    </w:tr>
  </w:tbl>
  <w:p w:rsidR="005F6C76" w:rsidRDefault="005F6C76" w:rsidP="003D1E6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B53" w:rsidRPr="001C32CD" w:rsidRDefault="00B17B53" w:rsidP="001C32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17B53" w:rsidTr="0010601F">
      <w:trPr>
        <w:trHeight w:val="108"/>
      </w:trPr>
      <w:tc>
        <w:tcPr>
          <w:tcW w:w="8875" w:type="dxa"/>
          <w:gridSpan w:val="2"/>
          <w:tcBorders>
            <w:bottom w:val="single" w:sz="4" w:space="0" w:color="auto"/>
          </w:tcBorders>
          <w:tcMar>
            <w:right w:w="284" w:type="dxa"/>
          </w:tcMar>
        </w:tcPr>
        <w:p w:rsidR="00B17B53" w:rsidRPr="005E2616" w:rsidRDefault="00B17B53" w:rsidP="006E08B3">
          <w:pPr>
            <w:pStyle w:val="Heading3"/>
            <w:rPr>
              <w:sz w:val="22"/>
              <w:lang w:val="en-AU" w:eastAsia="en-US"/>
            </w:rPr>
          </w:pPr>
          <w:r w:rsidRPr="005E2616">
            <w:rPr>
              <w:sz w:val="22"/>
              <w:lang w:val="en-AU" w:eastAsia="en-US"/>
            </w:rPr>
            <w:t>Copyright</w:t>
          </w:r>
        </w:p>
        <w:p w:rsidR="00B17B53" w:rsidRDefault="00B17B53" w:rsidP="006E08B3">
          <w:r>
            <w:rPr>
              <w:rFonts w:cs="Arial"/>
            </w:rPr>
            <w:t>©</w:t>
          </w:r>
          <w:r>
            <w:t xml:space="preserve"> Commonwealth of Australia [add year]</w:t>
          </w:r>
        </w:p>
        <w:p w:rsidR="00B17B53" w:rsidRDefault="00B17B53" w:rsidP="006E08B3"/>
        <w:p w:rsidR="00B17B53" w:rsidRDefault="00B17B5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17B53" w:rsidRDefault="00B17B53" w:rsidP="006E08B3"/>
        <w:p w:rsidR="00B17B53" w:rsidRPr="005E2616" w:rsidRDefault="00B17B53" w:rsidP="006E08B3">
          <w:pPr>
            <w:pStyle w:val="Heading3"/>
            <w:rPr>
              <w:sz w:val="22"/>
              <w:lang w:val="en-AU" w:eastAsia="en-US"/>
            </w:rPr>
          </w:pPr>
          <w:r w:rsidRPr="005E2616">
            <w:rPr>
              <w:sz w:val="22"/>
              <w:lang w:val="en-AU" w:eastAsia="en-US"/>
            </w:rPr>
            <w:t>Confidentiality</w:t>
          </w:r>
        </w:p>
        <w:p w:rsidR="00B17B53" w:rsidRDefault="00B17B5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17B53" w:rsidRDefault="00B17B53" w:rsidP="006E08B3"/>
        <w:p w:rsidR="00B17B53" w:rsidRDefault="00B17B53" w:rsidP="006E08B3">
          <w:r>
            <w:t>For submission made by individuals, all personal details, other than your name, will be removed from your submission before it is published on the TGA’s Internet site.</w:t>
          </w:r>
        </w:p>
        <w:p w:rsidR="00B17B53" w:rsidRDefault="00B17B53" w:rsidP="006E08B3"/>
        <w:p w:rsidR="00B17B53" w:rsidRDefault="00B17B53" w:rsidP="006E08B3">
          <w:r>
            <w:t>In addition, a list of parties making submissions will be published. If you do not wish to be identified with your submission you must specifically request this in the space provided ib the submission coversheet.</w:t>
          </w:r>
        </w:p>
      </w:tc>
    </w:tr>
    <w:tr w:rsidR="00B17B53" w:rsidTr="0010601F">
      <w:trPr>
        <w:trHeight w:val="417"/>
      </w:trPr>
      <w:tc>
        <w:tcPr>
          <w:tcW w:w="4519" w:type="dxa"/>
          <w:tcBorders>
            <w:top w:val="single" w:sz="4" w:space="0" w:color="auto"/>
          </w:tcBorders>
          <w:tcMar>
            <w:top w:w="142" w:type="dxa"/>
            <w:bottom w:w="0" w:type="dxa"/>
          </w:tcMar>
        </w:tcPr>
        <w:p w:rsidR="00B17B53" w:rsidRDefault="00B17B53" w:rsidP="006E08B3">
          <w:r>
            <w:t>Document title, Part #, Section # - Section title</w:t>
          </w:r>
        </w:p>
        <w:p w:rsidR="00B17B53" w:rsidRDefault="00B17B53" w:rsidP="006E08B3">
          <w:r>
            <w:t>V1.0 October 2010</w:t>
          </w:r>
        </w:p>
      </w:tc>
      <w:tc>
        <w:tcPr>
          <w:tcW w:w="4356" w:type="dxa"/>
          <w:tcBorders>
            <w:top w:val="single" w:sz="4" w:space="0" w:color="auto"/>
          </w:tcBorders>
          <w:tcMar>
            <w:top w:w="142" w:type="dxa"/>
            <w:bottom w:w="0" w:type="dxa"/>
          </w:tcMar>
        </w:tcPr>
        <w:p w:rsidR="00B17B53" w:rsidRDefault="00B17B5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rsidR="00B17B53" w:rsidRDefault="00B17B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B53" w:rsidRDefault="00B17B53" w:rsidP="00C40A36">
      <w:pPr>
        <w:spacing w:after="0"/>
      </w:pPr>
      <w:r>
        <w:separator/>
      </w:r>
    </w:p>
  </w:footnote>
  <w:footnote w:type="continuationSeparator" w:id="0">
    <w:p w:rsidR="00B17B53" w:rsidRDefault="00B17B53" w:rsidP="00C40A36">
      <w:pPr>
        <w:spacing w:after="0"/>
      </w:pPr>
      <w:r>
        <w:continuationSeparator/>
      </w:r>
    </w:p>
  </w:footnote>
  <w:footnote w:id="1">
    <w:p w:rsidR="00B17B53" w:rsidRDefault="00B17B53" w:rsidP="00B17B53">
      <w:pPr>
        <w:pStyle w:val="FootnoteText"/>
      </w:pPr>
      <w:r>
        <w:rPr>
          <w:rStyle w:val="FootnoteReference"/>
        </w:rPr>
        <w:footnoteRef/>
      </w:r>
      <w:r>
        <w:t xml:space="preserve"> </w:t>
      </w:r>
      <w:r w:rsidRPr="00264719">
        <w:t xml:space="preserve">European Medicines </w:t>
      </w:r>
      <w:r w:rsidRPr="00E86CA1">
        <w:t>Agency, “</w:t>
      </w:r>
      <w:r w:rsidRPr="0027574D">
        <w:t>ICH Topic S 9 Nonclinical Evaluation for Anticancer Pharmaceuticals</w:t>
      </w:r>
      <w:r>
        <w:t xml:space="preserve">, Step 3: Note </w:t>
      </w:r>
      <w:r w:rsidRPr="00B17B53">
        <w:t>for</w:t>
      </w:r>
      <w:r>
        <w:t xml:space="preserve"> Guidance on </w:t>
      </w:r>
      <w:r w:rsidRPr="0027574D">
        <w:t>Nonclinical Evaluation for Anticancer Pharmaceuticals</w:t>
      </w:r>
      <w:r>
        <w:t xml:space="preserve"> (</w:t>
      </w:r>
      <w:r w:rsidRPr="0027574D">
        <w:t>EMEA/CHMP/ICH/646107/2008</w:t>
      </w:r>
      <w:r>
        <w:t>)</w:t>
      </w:r>
      <w:r w:rsidRPr="00E86CA1">
        <w:t xml:space="preserve">”, </w:t>
      </w:r>
      <w:r>
        <w:t>December 2008.</w:t>
      </w:r>
    </w:p>
  </w:footnote>
  <w:footnote w:id="2">
    <w:p w:rsidR="00B17B53" w:rsidRDefault="00B17B53" w:rsidP="008B0D0A">
      <w:pPr>
        <w:pStyle w:val="FootnoteText"/>
      </w:pPr>
      <w:r>
        <w:rPr>
          <w:rStyle w:val="FootnoteReference"/>
        </w:rPr>
        <w:footnoteRef/>
      </w:r>
      <w:r>
        <w:t xml:space="preserve"> </w:t>
      </w:r>
      <w:r w:rsidRPr="009160AD">
        <w:t>Based on pharmacokinetic data in the 7 day repeat</w:t>
      </w:r>
      <w:r>
        <w:t xml:space="preserve"> </w:t>
      </w:r>
      <w:r w:rsidRPr="009160AD">
        <w:t>dose toxicity study (Study 1398/114)</w:t>
      </w:r>
      <w:r>
        <w:t>.</w:t>
      </w:r>
    </w:p>
  </w:footnote>
  <w:footnote w:id="3">
    <w:p w:rsidR="00B17B53" w:rsidRDefault="00B17B53" w:rsidP="00B17B53">
      <w:pPr>
        <w:pStyle w:val="FootnoteText"/>
      </w:pPr>
      <w:r>
        <w:rPr>
          <w:rStyle w:val="FootnoteReference"/>
        </w:rPr>
        <w:footnoteRef/>
      </w:r>
      <w:r>
        <w:t xml:space="preserve"> In cardiology, the QT interval is a measure of the time between the start of the Q wave and the end of the T wave in the heart’s electrical cycle.</w:t>
      </w:r>
    </w:p>
  </w:footnote>
  <w:footnote w:id="4">
    <w:p w:rsidR="00B17B53" w:rsidRDefault="00B17B53" w:rsidP="008B0D0A">
      <w:pPr>
        <w:pStyle w:val="FootnoteText"/>
      </w:pPr>
      <w:r>
        <w:rPr>
          <w:rStyle w:val="FootnoteReference"/>
        </w:rPr>
        <w:footnoteRef/>
      </w:r>
      <w:r>
        <w:t xml:space="preserve"> </w:t>
      </w:r>
      <w:r w:rsidRPr="009160AD">
        <w:t>Based on pharmacokinetic data in the absorption study (Study CC-4047-DMPK-021)</w:t>
      </w:r>
      <w:r>
        <w:t>.</w:t>
      </w:r>
    </w:p>
  </w:footnote>
  <w:footnote w:id="5">
    <w:p w:rsidR="00B17B53" w:rsidRDefault="00B17B53" w:rsidP="00B17B53">
      <w:pPr>
        <w:pStyle w:val="FootnoteText"/>
      </w:pPr>
      <w:r>
        <w:rPr>
          <w:rStyle w:val="FootnoteReference"/>
        </w:rPr>
        <w:footnoteRef/>
      </w:r>
      <w:r>
        <w:t xml:space="preserve"> </w:t>
      </w:r>
      <w:r w:rsidRPr="00264719">
        <w:t xml:space="preserve">European Medicines </w:t>
      </w:r>
      <w:r w:rsidRPr="00E86CA1">
        <w:t>Agency, “</w:t>
      </w:r>
      <w:r w:rsidRPr="0027574D">
        <w:t>ICH Topic S 9 Nonclinical Evaluation for Anticancer Pharmaceuticals</w:t>
      </w:r>
      <w:r>
        <w:t xml:space="preserve">, Step 3: Note for Guidance on </w:t>
      </w:r>
      <w:r w:rsidRPr="00B17B53">
        <w:t>Nonclinical</w:t>
      </w:r>
      <w:r w:rsidRPr="0027574D">
        <w:t xml:space="preserve"> Evaluation for Anticancer Pharmaceuticals</w:t>
      </w:r>
      <w:r>
        <w:t xml:space="preserve"> (</w:t>
      </w:r>
      <w:r w:rsidRPr="0027574D">
        <w:t>EMEA/CHMP/ICH/646107/2008</w:t>
      </w:r>
      <w:r>
        <w:t>)</w:t>
      </w:r>
      <w:r w:rsidRPr="00E86CA1">
        <w:t xml:space="preserve">”, </w:t>
      </w:r>
      <w:r>
        <w:t>December 2008.</w:t>
      </w:r>
    </w:p>
  </w:footnote>
  <w:footnote w:id="6">
    <w:p w:rsidR="00B17B53" w:rsidRDefault="00B17B53" w:rsidP="00CB197B">
      <w:pPr>
        <w:pStyle w:val="FootnoteText"/>
      </w:pPr>
      <w:r>
        <w:rPr>
          <w:rStyle w:val="FootnoteReference"/>
        </w:rPr>
        <w:footnoteRef/>
      </w:r>
      <w:r>
        <w:t xml:space="preserve"> </w:t>
      </w:r>
      <w:r w:rsidRPr="00A91490">
        <w:t>Based on pharmacokinetic data in the 7 day repeat-dose toxicity study (Study 1398/114)</w:t>
      </w:r>
      <w:r>
        <w:t>.</w:t>
      </w:r>
    </w:p>
  </w:footnote>
  <w:footnote w:id="7">
    <w:p w:rsidR="00B17B53" w:rsidRDefault="00B17B53" w:rsidP="00B17B53">
      <w:pPr>
        <w:pStyle w:val="FootnoteText"/>
      </w:pPr>
      <w:r>
        <w:rPr>
          <w:rStyle w:val="FootnoteReference"/>
        </w:rPr>
        <w:footnoteRef/>
      </w:r>
      <w:r>
        <w:t xml:space="preserve"> </w:t>
      </w:r>
      <w:r w:rsidRPr="00264719">
        <w:t xml:space="preserve">European </w:t>
      </w:r>
      <w:r w:rsidRPr="00B17B53">
        <w:t>Medicines</w:t>
      </w:r>
      <w:r w:rsidRPr="00264719">
        <w:t xml:space="preserve"> </w:t>
      </w:r>
      <w:r w:rsidRPr="00E86CA1">
        <w:t>Agency, “</w:t>
      </w:r>
      <w:r w:rsidRPr="0027574D">
        <w:t>ICH Topic S 9 Nonclinical Evaluation for Anticancer Pharmaceuticals</w:t>
      </w:r>
      <w:r>
        <w:t xml:space="preserve">, Step 3: Note for Guidance on </w:t>
      </w:r>
      <w:r w:rsidRPr="0027574D">
        <w:t>Nonclinical Evaluation for Anticancer Pharmaceuticals</w:t>
      </w:r>
      <w:r>
        <w:t xml:space="preserve"> (</w:t>
      </w:r>
      <w:r w:rsidRPr="0027574D">
        <w:t>EMEA/CHMP/ICH/646107/2008</w:t>
      </w:r>
      <w:r>
        <w:t>)</w:t>
      </w:r>
      <w:r w:rsidRPr="00E86CA1">
        <w:t xml:space="preserve">”, </w:t>
      </w:r>
      <w:r>
        <w:t>December 2008.</w:t>
      </w:r>
    </w:p>
  </w:footnote>
  <w:footnote w:id="8">
    <w:p w:rsidR="00B17B53" w:rsidRDefault="00B17B53" w:rsidP="00B17B53">
      <w:pPr>
        <w:pStyle w:val="FootnoteText"/>
      </w:pPr>
      <w:r>
        <w:rPr>
          <w:rStyle w:val="FootnoteReference"/>
        </w:rPr>
        <w:footnoteRef/>
      </w:r>
      <w:r>
        <w:t xml:space="preserve"> </w:t>
      </w:r>
      <w:r w:rsidRPr="00276DB4">
        <w:t>Klemmt L, Scialli AR.</w:t>
      </w:r>
      <w:r>
        <w:t xml:space="preserve"> (2005) </w:t>
      </w:r>
      <w:r w:rsidRPr="00276DB4">
        <w:t>The transport of chemicals in semen.</w:t>
      </w:r>
      <w:r>
        <w:t xml:space="preserve"> </w:t>
      </w:r>
      <w:r w:rsidRPr="00276DB4">
        <w:rPr>
          <w:i/>
        </w:rPr>
        <w:t xml:space="preserve">Birth Defects Res B Dev Reprod Toxicol. </w:t>
      </w:r>
      <w:r>
        <w:t>74</w:t>
      </w:r>
      <w:r w:rsidRPr="00276DB4">
        <w:t>:</w:t>
      </w:r>
      <w:r>
        <w:t xml:space="preserve"> </w:t>
      </w:r>
      <w:r w:rsidRPr="00276DB4">
        <w:t>119-</w:t>
      </w:r>
      <w:r>
        <w:t>1</w:t>
      </w:r>
      <w:r w:rsidRPr="00276DB4">
        <w:t>31.</w:t>
      </w:r>
    </w:p>
  </w:footnote>
  <w:footnote w:id="9">
    <w:p w:rsidR="00B17B53" w:rsidRDefault="00B17B53" w:rsidP="00B17B53">
      <w:pPr>
        <w:pStyle w:val="FootnoteText"/>
      </w:pPr>
      <w:r>
        <w:rPr>
          <w:rStyle w:val="FootnoteReference"/>
        </w:rPr>
        <w:footnoteRef/>
      </w:r>
      <w:r>
        <w:t xml:space="preserve"> </w:t>
      </w:r>
      <w:r w:rsidRPr="00264719">
        <w:t xml:space="preserve">European Medicines </w:t>
      </w:r>
      <w:r w:rsidRPr="00E86CA1">
        <w:t>Agency, “</w:t>
      </w:r>
      <w:r w:rsidRPr="0027574D">
        <w:t>ICH Topic S 9 Nonclinical Evaluation for Anticancer Pharmaceuticals</w:t>
      </w:r>
      <w:r>
        <w:t xml:space="preserve">, Step 3: Note for Guidance on </w:t>
      </w:r>
      <w:r w:rsidRPr="0027574D">
        <w:t>Nonclinical Evaluation for Anticancer Pharmaceuticals</w:t>
      </w:r>
      <w:r>
        <w:t xml:space="preserve"> (</w:t>
      </w:r>
      <w:r w:rsidRPr="0027574D">
        <w:t>EMEA/CHMP/ICH/646107/2008</w:t>
      </w:r>
      <w:r>
        <w:t>)</w:t>
      </w:r>
      <w:r w:rsidRPr="00E86CA1">
        <w:t xml:space="preserve">”, </w:t>
      </w:r>
      <w:r>
        <w:t>December 2008.</w:t>
      </w:r>
    </w:p>
  </w:footnote>
  <w:footnote w:id="10">
    <w:p w:rsidR="00B17B53" w:rsidRDefault="00B17B53" w:rsidP="007348A7">
      <w:pPr>
        <w:pStyle w:val="FootnoteText"/>
      </w:pPr>
      <w:r>
        <w:rPr>
          <w:rStyle w:val="FootnoteReference"/>
        </w:rPr>
        <w:footnoteRef/>
      </w:r>
      <w:r>
        <w:t xml:space="preserve"> </w:t>
      </w:r>
      <w:r w:rsidRPr="00264719">
        <w:t xml:space="preserve">European Medicines </w:t>
      </w:r>
      <w:r w:rsidRPr="00E86CA1">
        <w:t>Agency, “</w:t>
      </w:r>
      <w:r w:rsidRPr="007F4A4E">
        <w:t>ICH Topic E 6 (R1) Guideline for Good Clinical Practice</w:t>
      </w:r>
      <w:r>
        <w:t>, Step 5: Note for Guidance on Good Clinical Practice (</w:t>
      </w:r>
      <w:r w:rsidRPr="007F4A4E">
        <w:t>CPMP/ICH/135/95</w:t>
      </w:r>
      <w:r>
        <w:t>)</w:t>
      </w:r>
      <w:r w:rsidRPr="00E86CA1">
        <w:t xml:space="preserve">”, </w:t>
      </w:r>
      <w:r>
        <w:t>July 2002.</w:t>
      </w:r>
    </w:p>
  </w:footnote>
  <w:footnote w:id="11">
    <w:p w:rsidR="00B17B53" w:rsidRPr="00800041" w:rsidRDefault="00B17B53" w:rsidP="00800041">
      <w:pPr>
        <w:pStyle w:val="FootnoteText"/>
        <w:rPr>
          <w:lang w:val="en-AU"/>
        </w:rPr>
      </w:pPr>
      <w:r>
        <w:rPr>
          <w:rStyle w:val="FootnoteReference"/>
        </w:rPr>
        <w:footnoteRef/>
      </w:r>
      <w:r>
        <w:t xml:space="preserve"> </w:t>
      </w:r>
      <w:r w:rsidRPr="00264719">
        <w:t xml:space="preserve">European Medicines </w:t>
      </w:r>
      <w:r w:rsidRPr="00E86CA1">
        <w:t>Agency, “</w:t>
      </w:r>
      <w:r w:rsidRPr="00AD7872">
        <w:t>Guideline on the evaluation of anticancer medicinal products in man</w:t>
      </w:r>
      <w:r>
        <w:t xml:space="preserve"> (</w:t>
      </w:r>
      <w:r w:rsidRPr="00AD7872">
        <w:t>EMA/CHMP/205/95/Rev.4</w:t>
      </w:r>
      <w:r>
        <w:t>)</w:t>
      </w:r>
      <w:r w:rsidRPr="00E86CA1">
        <w:t xml:space="preserve">”, </w:t>
      </w:r>
      <w:r>
        <w:t xml:space="preserve">13 December 2012; </w:t>
      </w:r>
      <w:r w:rsidRPr="00264719">
        <w:t xml:space="preserve">European Medicines </w:t>
      </w:r>
      <w:r w:rsidRPr="00E86CA1">
        <w:t>Agency, “</w:t>
      </w:r>
      <w:r>
        <w:t xml:space="preserve">Committee for Proprietary Medicinal Products (CPMP), Points to Consider on Application with </w:t>
      </w:r>
      <w:r w:rsidRPr="008E1281">
        <w:t>1. Meta-analyses; 2. One pivotal study</w:t>
      </w:r>
      <w:r>
        <w:t xml:space="preserve"> (CPMP/EWP/2330/99)</w:t>
      </w:r>
      <w:r w:rsidRPr="00E86CA1">
        <w:t xml:space="preserve">”, </w:t>
      </w:r>
      <w:r w:rsidR="00800041">
        <w:t>31 May 2001.</w:t>
      </w:r>
    </w:p>
  </w:footnote>
  <w:footnote w:id="12">
    <w:p w:rsidR="00B17B53" w:rsidRDefault="00B17B53" w:rsidP="00503777">
      <w:pPr>
        <w:pStyle w:val="FootnoteText"/>
      </w:pPr>
      <w:r>
        <w:rPr>
          <w:rStyle w:val="FootnoteReference"/>
        </w:rPr>
        <w:footnoteRef/>
      </w:r>
      <w:r>
        <w:t xml:space="preserve"> </w:t>
      </w:r>
      <w:r w:rsidRPr="00503777">
        <w:rPr>
          <w:noProof/>
          <w:lang w:val="en-AU" w:eastAsia="en-AU"/>
        </w:rPr>
        <w:drawing>
          <wp:inline distT="0" distB="0" distL="0" distR="0" wp14:anchorId="697F3BF0" wp14:editId="512B4F03">
            <wp:extent cx="5943600" cy="1371600"/>
            <wp:effectExtent l="0" t="0" r="0" b="0"/>
            <wp:docPr id="11" name="Picture 1" descr="Definition of scale ECOG 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inition of scale ECOG 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B53" w:rsidRDefault="00B17B53"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B53" w:rsidRDefault="00B17B53">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-585470</wp:posOffset>
          </wp:positionV>
          <wp:extent cx="7572375" cy="10706100"/>
          <wp:effectExtent l="0" t="0" r="9525" b="0"/>
          <wp:wrapNone/>
          <wp:docPr id="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B53" w:rsidRDefault="00B17B53" w:rsidP="00593AD1">
    <w:pPr>
      <w:pStyle w:val="HeaderNoLine"/>
    </w:pPr>
    <w:r>
      <w:rPr>
        <w:noProof/>
        <w:lang w:val="en-AU" w:eastAsia="en-AU"/>
      </w:rPr>
      <w:drawing>
        <wp:inline distT="0" distB="0" distL="0" distR="0">
          <wp:extent cx="5397500" cy="7632700"/>
          <wp:effectExtent l="0" t="0" r="0" b="6350"/>
          <wp:docPr id="10" name="Picture 10"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7500" cy="76327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B53" w:rsidRDefault="00B17B5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B53" w:rsidRDefault="00B17B53">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B53" w:rsidRDefault="00B17B53">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B53" w:rsidRDefault="00B17B5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B53" w:rsidRDefault="00B17B53"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B53" w:rsidRDefault="00B17B53" w:rsidP="006E08B3">
    <w:r>
      <w:t>Therapeutic Goods Administration</w:t>
    </w:r>
  </w:p>
  <w:p w:rsidR="00B17B53" w:rsidRDefault="00B17B5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3094F3DA"/>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67A37C1"/>
    <w:multiLevelType w:val="hybridMultilevel"/>
    <w:tmpl w:val="5A3646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7305A92"/>
    <w:multiLevelType w:val="hybridMultilevel"/>
    <w:tmpl w:val="B8E82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01D5593"/>
    <w:multiLevelType w:val="hybridMultilevel"/>
    <w:tmpl w:val="4D82D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6074C84"/>
    <w:multiLevelType w:val="hybridMultilevel"/>
    <w:tmpl w:val="7C7C215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16B54B8C"/>
    <w:multiLevelType w:val="hybridMultilevel"/>
    <w:tmpl w:val="4BCE8CCC"/>
    <w:lvl w:ilvl="0" w:tplc="C4600C5E">
      <w:start w:val="1"/>
      <w:numFmt w:val="decimal"/>
      <w:lvlText w:val="%1."/>
      <w:lvlJc w:val="left"/>
      <w:pPr>
        <w:ind w:left="644" w:hanging="360"/>
      </w:pPr>
    </w:lvl>
    <w:lvl w:ilvl="1" w:tplc="E8800802">
      <w:start w:val="1"/>
      <w:numFmt w:val="lowerLetter"/>
      <w:lvlText w:val="%2."/>
      <w:lvlJc w:val="left"/>
      <w:pPr>
        <w:ind w:left="1364" w:hanging="360"/>
      </w:pPr>
    </w:lvl>
    <w:lvl w:ilvl="2" w:tplc="85605320">
      <w:start w:val="1"/>
      <w:numFmt w:val="lowerRoman"/>
      <w:lvlText w:val="%3."/>
      <w:lvlJc w:val="right"/>
      <w:pPr>
        <w:ind w:left="2084" w:hanging="180"/>
      </w:pPr>
    </w:lvl>
    <w:lvl w:ilvl="3" w:tplc="8DA2F316">
      <w:start w:val="1"/>
      <w:numFmt w:val="decimal"/>
      <w:lvlText w:val="%4."/>
      <w:lvlJc w:val="left"/>
      <w:pPr>
        <w:ind w:left="2804" w:hanging="360"/>
      </w:pPr>
    </w:lvl>
    <w:lvl w:ilvl="4" w:tplc="18468208" w:tentative="1">
      <w:start w:val="1"/>
      <w:numFmt w:val="lowerLetter"/>
      <w:lvlText w:val="%5."/>
      <w:lvlJc w:val="left"/>
      <w:pPr>
        <w:ind w:left="3524" w:hanging="360"/>
      </w:pPr>
    </w:lvl>
    <w:lvl w:ilvl="5" w:tplc="D470802A" w:tentative="1">
      <w:start w:val="1"/>
      <w:numFmt w:val="lowerRoman"/>
      <w:lvlText w:val="%6."/>
      <w:lvlJc w:val="right"/>
      <w:pPr>
        <w:ind w:left="4244" w:hanging="180"/>
      </w:pPr>
    </w:lvl>
    <w:lvl w:ilvl="6" w:tplc="518840D8" w:tentative="1">
      <w:start w:val="1"/>
      <w:numFmt w:val="decimal"/>
      <w:lvlText w:val="%7."/>
      <w:lvlJc w:val="left"/>
      <w:pPr>
        <w:ind w:left="4964" w:hanging="360"/>
      </w:pPr>
    </w:lvl>
    <w:lvl w:ilvl="7" w:tplc="F85C8670" w:tentative="1">
      <w:start w:val="1"/>
      <w:numFmt w:val="lowerLetter"/>
      <w:lvlText w:val="%8."/>
      <w:lvlJc w:val="left"/>
      <w:pPr>
        <w:ind w:left="5684" w:hanging="360"/>
      </w:pPr>
    </w:lvl>
    <w:lvl w:ilvl="8" w:tplc="1CA8AD22" w:tentative="1">
      <w:start w:val="1"/>
      <w:numFmt w:val="lowerRoman"/>
      <w:lvlText w:val="%9."/>
      <w:lvlJc w:val="right"/>
      <w:pPr>
        <w:ind w:left="6404" w:hanging="180"/>
      </w:pPr>
    </w:lvl>
  </w:abstractNum>
  <w:abstractNum w:abstractNumId="11">
    <w:nsid w:val="1BDE371D"/>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EFD0A2F"/>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3911D43"/>
    <w:multiLevelType w:val="hybridMultilevel"/>
    <w:tmpl w:val="9AC613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85B7269"/>
    <w:multiLevelType w:val="hybridMultilevel"/>
    <w:tmpl w:val="CB86783A"/>
    <w:lvl w:ilvl="0" w:tplc="7E4CCBC4">
      <w:start w:val="1"/>
      <w:numFmt w:val="decimal"/>
      <w:lvlText w:val="%1."/>
      <w:lvlJc w:val="left"/>
      <w:pPr>
        <w:ind w:left="720" w:hanging="360"/>
      </w:pPr>
      <w:rPr>
        <w:rFonts w:eastAsia="Cambria"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cs="Times New Roman" w:hint="default"/>
      </w:rPr>
    </w:lvl>
    <w:lvl w:ilvl="3" w:tplc="0C090001">
      <w:start w:val="1"/>
      <w:numFmt w:val="bullet"/>
      <w:lvlText w:val=""/>
      <w:lvlJc w:val="left"/>
      <w:pPr>
        <w:tabs>
          <w:tab w:val="num" w:pos="3164"/>
        </w:tabs>
        <w:ind w:left="3164" w:hanging="360"/>
      </w:pPr>
      <w:rPr>
        <w:rFonts w:ascii="Symbol" w:hAnsi="Symbol" w:cs="Times New Roman"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cs="Times New Roman" w:hint="default"/>
      </w:rPr>
    </w:lvl>
    <w:lvl w:ilvl="6" w:tplc="0C090001">
      <w:start w:val="1"/>
      <w:numFmt w:val="bullet"/>
      <w:lvlText w:val=""/>
      <w:lvlJc w:val="left"/>
      <w:pPr>
        <w:tabs>
          <w:tab w:val="num" w:pos="5324"/>
        </w:tabs>
        <w:ind w:left="5324" w:hanging="360"/>
      </w:pPr>
      <w:rPr>
        <w:rFonts w:ascii="Symbol" w:hAnsi="Symbol" w:cs="Times New Roman"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cs="Times New Roman" w:hint="default"/>
      </w:rPr>
    </w:lvl>
  </w:abstractNum>
  <w:abstractNum w:abstractNumId="16">
    <w:nsid w:val="32BC2695"/>
    <w:multiLevelType w:val="hybridMultilevel"/>
    <w:tmpl w:val="8B582A3C"/>
    <w:lvl w:ilvl="0" w:tplc="5964DEDC">
      <w:numFmt w:val="bullet"/>
      <w:lvlText w:val="•"/>
      <w:lvlJc w:val="left"/>
      <w:pPr>
        <w:ind w:left="72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cs="Times New Roman" w:hint="default"/>
      </w:rPr>
    </w:lvl>
    <w:lvl w:ilvl="3" w:tplc="0C090001">
      <w:start w:val="1"/>
      <w:numFmt w:val="bullet"/>
      <w:lvlText w:val=""/>
      <w:lvlJc w:val="left"/>
      <w:pPr>
        <w:tabs>
          <w:tab w:val="num" w:pos="3164"/>
        </w:tabs>
        <w:ind w:left="3164" w:hanging="360"/>
      </w:pPr>
      <w:rPr>
        <w:rFonts w:ascii="Symbol" w:hAnsi="Symbol" w:cs="Times New Roman"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cs="Times New Roman" w:hint="default"/>
      </w:rPr>
    </w:lvl>
    <w:lvl w:ilvl="6" w:tplc="0C090001">
      <w:start w:val="1"/>
      <w:numFmt w:val="bullet"/>
      <w:lvlText w:val=""/>
      <w:lvlJc w:val="left"/>
      <w:pPr>
        <w:tabs>
          <w:tab w:val="num" w:pos="5324"/>
        </w:tabs>
        <w:ind w:left="5324" w:hanging="360"/>
      </w:pPr>
      <w:rPr>
        <w:rFonts w:ascii="Symbol" w:hAnsi="Symbol" w:cs="Times New Roman"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cs="Times New Roman" w:hint="default"/>
      </w:rPr>
    </w:lvl>
  </w:abstractNum>
  <w:abstractNum w:abstractNumId="18">
    <w:nsid w:val="3D4C4961"/>
    <w:multiLevelType w:val="hybridMultilevel"/>
    <w:tmpl w:val="8B28F646"/>
    <w:lvl w:ilvl="0" w:tplc="6D08503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nsid w:val="44622695"/>
    <w:multiLevelType w:val="hybridMultilevel"/>
    <w:tmpl w:val="6DB2A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55054B7"/>
    <w:multiLevelType w:val="hybridMultilevel"/>
    <w:tmpl w:val="BEA2E1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49EC2199"/>
    <w:multiLevelType w:val="hybridMultilevel"/>
    <w:tmpl w:val="8B28F646"/>
    <w:lvl w:ilvl="0" w:tplc="6D08503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nsid w:val="643B6F1B"/>
    <w:multiLevelType w:val="hybridMultilevel"/>
    <w:tmpl w:val="6C8CD19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1353"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7A15C4A"/>
    <w:multiLevelType w:val="multilevel"/>
    <w:tmpl w:val="94004B64"/>
    <w:lvl w:ilvl="0">
      <w:start w:val="1997"/>
      <w:numFmt w:val="decimal"/>
      <w:lvlText w:val="%1"/>
      <w:lvlJc w:val="left"/>
      <w:pPr>
        <w:tabs>
          <w:tab w:val="num" w:pos="1125"/>
        </w:tabs>
        <w:ind w:left="1125" w:hanging="1125"/>
      </w:pPr>
      <w:rPr>
        <w:rFonts w:hint="default"/>
      </w:rPr>
    </w:lvl>
    <w:lvl w:ilvl="1">
      <w:start w:val="2000"/>
      <w:numFmt w:val="decimal"/>
      <w:lvlText w:val="%1-%2"/>
      <w:lvlJc w:val="left"/>
      <w:pPr>
        <w:tabs>
          <w:tab w:val="num" w:pos="1269"/>
        </w:tabs>
        <w:ind w:left="1269" w:hanging="1125"/>
      </w:pPr>
      <w:rPr>
        <w:rFonts w:hint="default"/>
      </w:rPr>
    </w:lvl>
    <w:lvl w:ilvl="2">
      <w:start w:val="1"/>
      <w:numFmt w:val="decimal"/>
      <w:lvlText w:val="%1-%2.%3"/>
      <w:lvlJc w:val="left"/>
      <w:pPr>
        <w:tabs>
          <w:tab w:val="num" w:pos="1413"/>
        </w:tabs>
        <w:ind w:left="1413" w:hanging="1125"/>
      </w:pPr>
      <w:rPr>
        <w:rFonts w:hint="default"/>
      </w:rPr>
    </w:lvl>
    <w:lvl w:ilvl="3">
      <w:start w:val="1"/>
      <w:numFmt w:val="decimal"/>
      <w:lvlText w:val="%1-%2.%3.%4"/>
      <w:lvlJc w:val="left"/>
      <w:pPr>
        <w:tabs>
          <w:tab w:val="num" w:pos="1557"/>
        </w:tabs>
        <w:ind w:left="1557" w:hanging="1125"/>
      </w:pPr>
      <w:rPr>
        <w:rFonts w:hint="default"/>
      </w:rPr>
    </w:lvl>
    <w:lvl w:ilvl="4">
      <w:start w:val="1"/>
      <w:numFmt w:val="decimal"/>
      <w:lvlText w:val="%1-%2.%3.%4.%5"/>
      <w:lvlJc w:val="left"/>
      <w:pPr>
        <w:tabs>
          <w:tab w:val="num" w:pos="1701"/>
        </w:tabs>
        <w:ind w:left="1701" w:hanging="1125"/>
      </w:pPr>
      <w:rPr>
        <w:rFonts w:hint="default"/>
      </w:rPr>
    </w:lvl>
    <w:lvl w:ilvl="5">
      <w:start w:val="1"/>
      <w:numFmt w:val="decimal"/>
      <w:lvlText w:val="%1-%2.%3.%4.%5.%6"/>
      <w:lvlJc w:val="left"/>
      <w:pPr>
        <w:tabs>
          <w:tab w:val="num" w:pos="1845"/>
        </w:tabs>
        <w:ind w:left="1845" w:hanging="1125"/>
      </w:pPr>
      <w:rPr>
        <w:rFonts w:hint="default"/>
      </w:rPr>
    </w:lvl>
    <w:lvl w:ilvl="6">
      <w:start w:val="1"/>
      <w:numFmt w:val="decimal"/>
      <w:lvlText w:val="%1-%2.%3.%4.%5.%6.%7"/>
      <w:lvlJc w:val="left"/>
      <w:pPr>
        <w:tabs>
          <w:tab w:val="num" w:pos="2304"/>
        </w:tabs>
        <w:ind w:left="2304" w:hanging="1440"/>
      </w:pPr>
      <w:rPr>
        <w:rFonts w:hint="default"/>
      </w:rPr>
    </w:lvl>
    <w:lvl w:ilvl="7">
      <w:start w:val="1"/>
      <w:numFmt w:val="decimal"/>
      <w:lvlText w:val="%1-%2.%3.%4.%5.%6.%7.%8"/>
      <w:lvlJc w:val="left"/>
      <w:pPr>
        <w:tabs>
          <w:tab w:val="num" w:pos="2448"/>
        </w:tabs>
        <w:ind w:left="2448" w:hanging="1440"/>
      </w:pPr>
      <w:rPr>
        <w:rFonts w:hint="default"/>
      </w:rPr>
    </w:lvl>
    <w:lvl w:ilvl="8">
      <w:start w:val="1"/>
      <w:numFmt w:val="decimal"/>
      <w:lvlText w:val="%1-%2.%3.%4.%5.%6.%7.%8.%9"/>
      <w:lvlJc w:val="left"/>
      <w:pPr>
        <w:tabs>
          <w:tab w:val="num" w:pos="2952"/>
        </w:tabs>
        <w:ind w:left="2952" w:hanging="1800"/>
      </w:pPr>
      <w:rPr>
        <w:rFonts w:hint="default"/>
      </w:rPr>
    </w:lvl>
  </w:abstractNum>
  <w:abstractNum w:abstractNumId="25">
    <w:nsid w:val="6A394F96"/>
    <w:multiLevelType w:val="hybridMultilevel"/>
    <w:tmpl w:val="89E69C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5B74582"/>
    <w:multiLevelType w:val="hybridMultilevel"/>
    <w:tmpl w:val="2B6AF6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6"/>
  </w:num>
  <w:num w:numId="17">
    <w:abstractNumId w:val="6"/>
  </w:num>
  <w:num w:numId="18">
    <w:abstractNumId w:val="6"/>
  </w:num>
  <w:num w:numId="19">
    <w:abstractNumId w:val="9"/>
  </w:num>
  <w:num w:numId="20">
    <w:abstractNumId w:val="9"/>
  </w:num>
  <w:num w:numId="21">
    <w:abstractNumId w:val="9"/>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5"/>
  </w:num>
  <w:num w:numId="28">
    <w:abstractNumId w:val="21"/>
  </w:num>
  <w:num w:numId="29">
    <w:abstractNumId w:val="12"/>
  </w:num>
  <w:num w:numId="30">
    <w:abstractNumId w:val="24"/>
  </w:num>
  <w:num w:numId="31">
    <w:abstractNumId w:val="17"/>
  </w:num>
  <w:num w:numId="32">
    <w:abstractNumId w:val="10"/>
  </w:num>
  <w:num w:numId="33">
    <w:abstractNumId w:val="16"/>
  </w:num>
  <w:num w:numId="34">
    <w:abstractNumId w:val="18"/>
  </w:num>
  <w:num w:numId="35">
    <w:abstractNumId w:val="22"/>
  </w:num>
  <w:num w:numId="36">
    <w:abstractNumId w:val="13"/>
  </w:num>
  <w:num w:numId="37">
    <w:abstractNumId w:val="26"/>
  </w:num>
  <w:num w:numId="38">
    <w:abstractNumId w:val="14"/>
  </w:num>
  <w:num w:numId="39">
    <w:abstractNumId w:val="20"/>
  </w:num>
  <w:num w:numId="40">
    <w:abstractNumId w:val="7"/>
  </w:num>
  <w:num w:numId="41">
    <w:abstractNumId w:val="8"/>
  </w:num>
  <w:num w:numId="42">
    <w:abstractNumId w:val="25"/>
  </w:num>
  <w:num w:numId="43">
    <w:abstractNumId w:val="23"/>
  </w:num>
  <w:num w:numId="44">
    <w:abstractNumId w:val="5"/>
  </w:num>
  <w:num w:numId="45">
    <w:abstractNumId w:val="11"/>
  </w:num>
  <w:num w:numId="46">
    <w:abstractNumId w:val="19"/>
  </w:num>
  <w:num w:numId="47">
    <w:abstractNumId w:val="4"/>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6"/>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05C"/>
    <w:rsid w:val="00002031"/>
    <w:rsid w:val="00002505"/>
    <w:rsid w:val="0000416E"/>
    <w:rsid w:val="00004734"/>
    <w:rsid w:val="00005A2D"/>
    <w:rsid w:val="00006B22"/>
    <w:rsid w:val="00006BB1"/>
    <w:rsid w:val="0001035F"/>
    <w:rsid w:val="000106EE"/>
    <w:rsid w:val="00010A90"/>
    <w:rsid w:val="00010FB1"/>
    <w:rsid w:val="00011623"/>
    <w:rsid w:val="0001276A"/>
    <w:rsid w:val="00016EF7"/>
    <w:rsid w:val="00017AA1"/>
    <w:rsid w:val="00020C71"/>
    <w:rsid w:val="000216E6"/>
    <w:rsid w:val="00022F5F"/>
    <w:rsid w:val="000246AE"/>
    <w:rsid w:val="00024A4D"/>
    <w:rsid w:val="00025C67"/>
    <w:rsid w:val="00027D8A"/>
    <w:rsid w:val="000317AE"/>
    <w:rsid w:val="0003195C"/>
    <w:rsid w:val="00031E36"/>
    <w:rsid w:val="00033A4F"/>
    <w:rsid w:val="00036A6E"/>
    <w:rsid w:val="00040367"/>
    <w:rsid w:val="0004056B"/>
    <w:rsid w:val="00040AED"/>
    <w:rsid w:val="00041C78"/>
    <w:rsid w:val="000442D1"/>
    <w:rsid w:val="00044772"/>
    <w:rsid w:val="00044EEC"/>
    <w:rsid w:val="000453E7"/>
    <w:rsid w:val="00046248"/>
    <w:rsid w:val="0005263F"/>
    <w:rsid w:val="000547C0"/>
    <w:rsid w:val="0005559E"/>
    <w:rsid w:val="000604D6"/>
    <w:rsid w:val="00062576"/>
    <w:rsid w:val="000654CD"/>
    <w:rsid w:val="00065B76"/>
    <w:rsid w:val="000677FC"/>
    <w:rsid w:val="00067EAF"/>
    <w:rsid w:val="000700BA"/>
    <w:rsid w:val="000734D8"/>
    <w:rsid w:val="0007630D"/>
    <w:rsid w:val="00077775"/>
    <w:rsid w:val="00081652"/>
    <w:rsid w:val="00086710"/>
    <w:rsid w:val="00090471"/>
    <w:rsid w:val="000919D6"/>
    <w:rsid w:val="00093045"/>
    <w:rsid w:val="00093282"/>
    <w:rsid w:val="00093854"/>
    <w:rsid w:val="00096AA7"/>
    <w:rsid w:val="000A24EE"/>
    <w:rsid w:val="000A2D8D"/>
    <w:rsid w:val="000A3AED"/>
    <w:rsid w:val="000A3BC2"/>
    <w:rsid w:val="000A498B"/>
    <w:rsid w:val="000A4AA5"/>
    <w:rsid w:val="000A585F"/>
    <w:rsid w:val="000B31B4"/>
    <w:rsid w:val="000B3532"/>
    <w:rsid w:val="000B3A75"/>
    <w:rsid w:val="000B3E5D"/>
    <w:rsid w:val="000B6322"/>
    <w:rsid w:val="000B6A8D"/>
    <w:rsid w:val="000B6FC7"/>
    <w:rsid w:val="000B7F71"/>
    <w:rsid w:val="000C0A12"/>
    <w:rsid w:val="000C3F19"/>
    <w:rsid w:val="000C690F"/>
    <w:rsid w:val="000C6E23"/>
    <w:rsid w:val="000C7E48"/>
    <w:rsid w:val="000D1295"/>
    <w:rsid w:val="000D391B"/>
    <w:rsid w:val="000D3D6D"/>
    <w:rsid w:val="000D4FC7"/>
    <w:rsid w:val="000D726B"/>
    <w:rsid w:val="000E24E5"/>
    <w:rsid w:val="000E40BE"/>
    <w:rsid w:val="000E4827"/>
    <w:rsid w:val="000E500F"/>
    <w:rsid w:val="000E55BF"/>
    <w:rsid w:val="000E6D17"/>
    <w:rsid w:val="000F0414"/>
    <w:rsid w:val="000F049A"/>
    <w:rsid w:val="000F4227"/>
    <w:rsid w:val="000F4869"/>
    <w:rsid w:val="000F5B42"/>
    <w:rsid w:val="000F6E6F"/>
    <w:rsid w:val="000F71DE"/>
    <w:rsid w:val="00101A72"/>
    <w:rsid w:val="00102954"/>
    <w:rsid w:val="00105F6E"/>
    <w:rsid w:val="0010601F"/>
    <w:rsid w:val="00106E15"/>
    <w:rsid w:val="0010788A"/>
    <w:rsid w:val="00107A31"/>
    <w:rsid w:val="001103EE"/>
    <w:rsid w:val="00110EA5"/>
    <w:rsid w:val="00112F56"/>
    <w:rsid w:val="00113B94"/>
    <w:rsid w:val="00115B5D"/>
    <w:rsid w:val="00121567"/>
    <w:rsid w:val="001230DA"/>
    <w:rsid w:val="00123321"/>
    <w:rsid w:val="00123681"/>
    <w:rsid w:val="00125164"/>
    <w:rsid w:val="00125318"/>
    <w:rsid w:val="00127D6B"/>
    <w:rsid w:val="00130047"/>
    <w:rsid w:val="001305A2"/>
    <w:rsid w:val="00133238"/>
    <w:rsid w:val="00133469"/>
    <w:rsid w:val="0014197B"/>
    <w:rsid w:val="00141A52"/>
    <w:rsid w:val="00142DEA"/>
    <w:rsid w:val="001447CD"/>
    <w:rsid w:val="001516B1"/>
    <w:rsid w:val="00153F5F"/>
    <w:rsid w:val="001542AF"/>
    <w:rsid w:val="00154EBB"/>
    <w:rsid w:val="00156148"/>
    <w:rsid w:val="00156316"/>
    <w:rsid w:val="0016052F"/>
    <w:rsid w:val="001611E7"/>
    <w:rsid w:val="001625FA"/>
    <w:rsid w:val="001626B1"/>
    <w:rsid w:val="00162D14"/>
    <w:rsid w:val="00163152"/>
    <w:rsid w:val="00165389"/>
    <w:rsid w:val="0016611A"/>
    <w:rsid w:val="00166F24"/>
    <w:rsid w:val="001703F3"/>
    <w:rsid w:val="0017057E"/>
    <w:rsid w:val="00170C6D"/>
    <w:rsid w:val="00170E3D"/>
    <w:rsid w:val="001716D3"/>
    <w:rsid w:val="001723FB"/>
    <w:rsid w:val="0017693F"/>
    <w:rsid w:val="0018110E"/>
    <w:rsid w:val="0018128F"/>
    <w:rsid w:val="00181684"/>
    <w:rsid w:val="00182683"/>
    <w:rsid w:val="001843C6"/>
    <w:rsid w:val="001850E0"/>
    <w:rsid w:val="0018533D"/>
    <w:rsid w:val="00185C24"/>
    <w:rsid w:val="00193126"/>
    <w:rsid w:val="00193551"/>
    <w:rsid w:val="001952D4"/>
    <w:rsid w:val="00195939"/>
    <w:rsid w:val="00195AA5"/>
    <w:rsid w:val="0019694E"/>
    <w:rsid w:val="00196EDE"/>
    <w:rsid w:val="001A2158"/>
    <w:rsid w:val="001A2446"/>
    <w:rsid w:val="001A3775"/>
    <w:rsid w:val="001A525F"/>
    <w:rsid w:val="001A53D8"/>
    <w:rsid w:val="001A7123"/>
    <w:rsid w:val="001B006E"/>
    <w:rsid w:val="001B09F9"/>
    <w:rsid w:val="001B2844"/>
    <w:rsid w:val="001B3265"/>
    <w:rsid w:val="001B5C90"/>
    <w:rsid w:val="001B61FA"/>
    <w:rsid w:val="001B6448"/>
    <w:rsid w:val="001B7EBC"/>
    <w:rsid w:val="001C0B1D"/>
    <w:rsid w:val="001C275B"/>
    <w:rsid w:val="001C3011"/>
    <w:rsid w:val="001C32CD"/>
    <w:rsid w:val="001C7D69"/>
    <w:rsid w:val="001D15D4"/>
    <w:rsid w:val="001D2984"/>
    <w:rsid w:val="001D695D"/>
    <w:rsid w:val="001E07CF"/>
    <w:rsid w:val="001E32A7"/>
    <w:rsid w:val="001E3610"/>
    <w:rsid w:val="001E59F1"/>
    <w:rsid w:val="001E5A60"/>
    <w:rsid w:val="001F0438"/>
    <w:rsid w:val="001F0F53"/>
    <w:rsid w:val="001F1347"/>
    <w:rsid w:val="001F219C"/>
    <w:rsid w:val="001F2F49"/>
    <w:rsid w:val="001F46D0"/>
    <w:rsid w:val="001F49EB"/>
    <w:rsid w:val="001F6CBA"/>
    <w:rsid w:val="002004E7"/>
    <w:rsid w:val="00201D4E"/>
    <w:rsid w:val="0020481E"/>
    <w:rsid w:val="00205813"/>
    <w:rsid w:val="002076C9"/>
    <w:rsid w:val="00213CFC"/>
    <w:rsid w:val="00213FED"/>
    <w:rsid w:val="00214373"/>
    <w:rsid w:val="00216C72"/>
    <w:rsid w:val="00217375"/>
    <w:rsid w:val="002209A1"/>
    <w:rsid w:val="00220A62"/>
    <w:rsid w:val="00220A6F"/>
    <w:rsid w:val="00220B8A"/>
    <w:rsid w:val="00221DB7"/>
    <w:rsid w:val="00223116"/>
    <w:rsid w:val="0022311A"/>
    <w:rsid w:val="0022331C"/>
    <w:rsid w:val="002257F3"/>
    <w:rsid w:val="002277D1"/>
    <w:rsid w:val="002303FD"/>
    <w:rsid w:val="002306F2"/>
    <w:rsid w:val="00231132"/>
    <w:rsid w:val="002312E5"/>
    <w:rsid w:val="00231606"/>
    <w:rsid w:val="00232AAB"/>
    <w:rsid w:val="00232B3B"/>
    <w:rsid w:val="00233456"/>
    <w:rsid w:val="002339A5"/>
    <w:rsid w:val="00235BDA"/>
    <w:rsid w:val="0024141F"/>
    <w:rsid w:val="00242322"/>
    <w:rsid w:val="00242E62"/>
    <w:rsid w:val="002436B4"/>
    <w:rsid w:val="00245401"/>
    <w:rsid w:val="0024540C"/>
    <w:rsid w:val="0025071B"/>
    <w:rsid w:val="00250F61"/>
    <w:rsid w:val="00251977"/>
    <w:rsid w:val="00252B8D"/>
    <w:rsid w:val="002531C4"/>
    <w:rsid w:val="002567A7"/>
    <w:rsid w:val="00257848"/>
    <w:rsid w:val="00264DB8"/>
    <w:rsid w:val="00267508"/>
    <w:rsid w:val="00267AB9"/>
    <w:rsid w:val="0027084A"/>
    <w:rsid w:val="00275302"/>
    <w:rsid w:val="0027574D"/>
    <w:rsid w:val="00275A47"/>
    <w:rsid w:val="002762AD"/>
    <w:rsid w:val="00276DB4"/>
    <w:rsid w:val="00277D66"/>
    <w:rsid w:val="00281844"/>
    <w:rsid w:val="00283000"/>
    <w:rsid w:val="00286434"/>
    <w:rsid w:val="00286C59"/>
    <w:rsid w:val="00286FBD"/>
    <w:rsid w:val="002875CD"/>
    <w:rsid w:val="00290BEA"/>
    <w:rsid w:val="002913D8"/>
    <w:rsid w:val="00291957"/>
    <w:rsid w:val="00292F39"/>
    <w:rsid w:val="0029348A"/>
    <w:rsid w:val="00293D60"/>
    <w:rsid w:val="002942D1"/>
    <w:rsid w:val="002947A1"/>
    <w:rsid w:val="00294E30"/>
    <w:rsid w:val="0029501A"/>
    <w:rsid w:val="00296ACE"/>
    <w:rsid w:val="0029702B"/>
    <w:rsid w:val="0029788F"/>
    <w:rsid w:val="002A24B6"/>
    <w:rsid w:val="002A3763"/>
    <w:rsid w:val="002A660B"/>
    <w:rsid w:val="002A7459"/>
    <w:rsid w:val="002B0D17"/>
    <w:rsid w:val="002B0FB4"/>
    <w:rsid w:val="002B14A3"/>
    <w:rsid w:val="002B1638"/>
    <w:rsid w:val="002B3624"/>
    <w:rsid w:val="002B4E60"/>
    <w:rsid w:val="002B7A7F"/>
    <w:rsid w:val="002C1DE0"/>
    <w:rsid w:val="002C1F03"/>
    <w:rsid w:val="002C7CD1"/>
    <w:rsid w:val="002D0E77"/>
    <w:rsid w:val="002D10BB"/>
    <w:rsid w:val="002D28A0"/>
    <w:rsid w:val="002D4381"/>
    <w:rsid w:val="002D4AA1"/>
    <w:rsid w:val="002D50FE"/>
    <w:rsid w:val="002D5E11"/>
    <w:rsid w:val="002D6F90"/>
    <w:rsid w:val="002E443E"/>
    <w:rsid w:val="002E4988"/>
    <w:rsid w:val="002E4C9A"/>
    <w:rsid w:val="002E7EAE"/>
    <w:rsid w:val="002F05AA"/>
    <w:rsid w:val="002F11A5"/>
    <w:rsid w:val="002F11F8"/>
    <w:rsid w:val="002F1C74"/>
    <w:rsid w:val="002F2729"/>
    <w:rsid w:val="002F3861"/>
    <w:rsid w:val="002F3F56"/>
    <w:rsid w:val="002F3F85"/>
    <w:rsid w:val="002F4445"/>
    <w:rsid w:val="002F44B5"/>
    <w:rsid w:val="002F6549"/>
    <w:rsid w:val="002F6AFB"/>
    <w:rsid w:val="003000F3"/>
    <w:rsid w:val="003020BF"/>
    <w:rsid w:val="00305AF8"/>
    <w:rsid w:val="00305C94"/>
    <w:rsid w:val="003066B0"/>
    <w:rsid w:val="0030706D"/>
    <w:rsid w:val="003116F0"/>
    <w:rsid w:val="00311AC0"/>
    <w:rsid w:val="00312242"/>
    <w:rsid w:val="00312C2B"/>
    <w:rsid w:val="00312D11"/>
    <w:rsid w:val="00312F55"/>
    <w:rsid w:val="00314AEB"/>
    <w:rsid w:val="00314E54"/>
    <w:rsid w:val="003254E8"/>
    <w:rsid w:val="0032583B"/>
    <w:rsid w:val="00327883"/>
    <w:rsid w:val="00331656"/>
    <w:rsid w:val="00331AC2"/>
    <w:rsid w:val="00335504"/>
    <w:rsid w:val="0033676A"/>
    <w:rsid w:val="0034037F"/>
    <w:rsid w:val="003415AA"/>
    <w:rsid w:val="00342CEB"/>
    <w:rsid w:val="00345405"/>
    <w:rsid w:val="003454D9"/>
    <w:rsid w:val="00346DC4"/>
    <w:rsid w:val="00347824"/>
    <w:rsid w:val="00350567"/>
    <w:rsid w:val="003513F5"/>
    <w:rsid w:val="003521E8"/>
    <w:rsid w:val="00352218"/>
    <w:rsid w:val="00352902"/>
    <w:rsid w:val="00353AAB"/>
    <w:rsid w:val="0035453C"/>
    <w:rsid w:val="0035470B"/>
    <w:rsid w:val="00355469"/>
    <w:rsid w:val="0036174D"/>
    <w:rsid w:val="00361FDA"/>
    <w:rsid w:val="00362233"/>
    <w:rsid w:val="00366687"/>
    <w:rsid w:val="003704CA"/>
    <w:rsid w:val="0037082C"/>
    <w:rsid w:val="003719D9"/>
    <w:rsid w:val="003728F3"/>
    <w:rsid w:val="00372E0F"/>
    <w:rsid w:val="00373247"/>
    <w:rsid w:val="00373CDE"/>
    <w:rsid w:val="0037496E"/>
    <w:rsid w:val="0037672B"/>
    <w:rsid w:val="003816E6"/>
    <w:rsid w:val="00381A0B"/>
    <w:rsid w:val="00381D09"/>
    <w:rsid w:val="00381E49"/>
    <w:rsid w:val="00382A14"/>
    <w:rsid w:val="003830F3"/>
    <w:rsid w:val="00383B81"/>
    <w:rsid w:val="00386150"/>
    <w:rsid w:val="00386328"/>
    <w:rsid w:val="003874CE"/>
    <w:rsid w:val="00387FE7"/>
    <w:rsid w:val="00390900"/>
    <w:rsid w:val="00391B2D"/>
    <w:rsid w:val="00391E7B"/>
    <w:rsid w:val="00392988"/>
    <w:rsid w:val="00397FF1"/>
    <w:rsid w:val="003A0E26"/>
    <w:rsid w:val="003A3B98"/>
    <w:rsid w:val="003A5139"/>
    <w:rsid w:val="003A553A"/>
    <w:rsid w:val="003A66EE"/>
    <w:rsid w:val="003A751E"/>
    <w:rsid w:val="003A7F6C"/>
    <w:rsid w:val="003B2976"/>
    <w:rsid w:val="003B4D60"/>
    <w:rsid w:val="003B7E39"/>
    <w:rsid w:val="003C16AB"/>
    <w:rsid w:val="003C47DF"/>
    <w:rsid w:val="003C4CDE"/>
    <w:rsid w:val="003C58DC"/>
    <w:rsid w:val="003D0161"/>
    <w:rsid w:val="003D0A4D"/>
    <w:rsid w:val="003D1E62"/>
    <w:rsid w:val="003E0897"/>
    <w:rsid w:val="003E095E"/>
    <w:rsid w:val="003E0C19"/>
    <w:rsid w:val="003E2486"/>
    <w:rsid w:val="003E3208"/>
    <w:rsid w:val="003E47BF"/>
    <w:rsid w:val="003E4F62"/>
    <w:rsid w:val="003E75E0"/>
    <w:rsid w:val="003E790E"/>
    <w:rsid w:val="003F08D1"/>
    <w:rsid w:val="003F0B04"/>
    <w:rsid w:val="003F1C12"/>
    <w:rsid w:val="003F276B"/>
    <w:rsid w:val="003F4728"/>
    <w:rsid w:val="003F5496"/>
    <w:rsid w:val="003F6E64"/>
    <w:rsid w:val="0040134E"/>
    <w:rsid w:val="00403B5D"/>
    <w:rsid w:val="00404018"/>
    <w:rsid w:val="0040428C"/>
    <w:rsid w:val="004048C8"/>
    <w:rsid w:val="0040655D"/>
    <w:rsid w:val="00406A3C"/>
    <w:rsid w:val="00407003"/>
    <w:rsid w:val="004142E9"/>
    <w:rsid w:val="0041754F"/>
    <w:rsid w:val="00420F7C"/>
    <w:rsid w:val="00422BB0"/>
    <w:rsid w:val="00423C39"/>
    <w:rsid w:val="0042560D"/>
    <w:rsid w:val="00426434"/>
    <w:rsid w:val="0042785E"/>
    <w:rsid w:val="004334C7"/>
    <w:rsid w:val="004349FB"/>
    <w:rsid w:val="00434D3A"/>
    <w:rsid w:val="00440A2D"/>
    <w:rsid w:val="0044199C"/>
    <w:rsid w:val="00441B96"/>
    <w:rsid w:val="004421BF"/>
    <w:rsid w:val="00442578"/>
    <w:rsid w:val="00442AF9"/>
    <w:rsid w:val="0044300D"/>
    <w:rsid w:val="00444C4E"/>
    <w:rsid w:val="0044566B"/>
    <w:rsid w:val="004519F2"/>
    <w:rsid w:val="00452567"/>
    <w:rsid w:val="004525EF"/>
    <w:rsid w:val="00452E30"/>
    <w:rsid w:val="004554BA"/>
    <w:rsid w:val="0045550B"/>
    <w:rsid w:val="00455CF2"/>
    <w:rsid w:val="004564A7"/>
    <w:rsid w:val="004566B9"/>
    <w:rsid w:val="00457B37"/>
    <w:rsid w:val="004617BF"/>
    <w:rsid w:val="00461FF7"/>
    <w:rsid w:val="0046252B"/>
    <w:rsid w:val="00463658"/>
    <w:rsid w:val="00471A2E"/>
    <w:rsid w:val="00471B99"/>
    <w:rsid w:val="004722CC"/>
    <w:rsid w:val="00473A5D"/>
    <w:rsid w:val="00483D8B"/>
    <w:rsid w:val="00486AB7"/>
    <w:rsid w:val="00487A05"/>
    <w:rsid w:val="00491DA0"/>
    <w:rsid w:val="004929F8"/>
    <w:rsid w:val="004936E4"/>
    <w:rsid w:val="004948E4"/>
    <w:rsid w:val="00494E60"/>
    <w:rsid w:val="00496193"/>
    <w:rsid w:val="00496A6F"/>
    <w:rsid w:val="00497282"/>
    <w:rsid w:val="00497487"/>
    <w:rsid w:val="004A033E"/>
    <w:rsid w:val="004A3B6F"/>
    <w:rsid w:val="004A4D5F"/>
    <w:rsid w:val="004A572B"/>
    <w:rsid w:val="004A7BCE"/>
    <w:rsid w:val="004B04E3"/>
    <w:rsid w:val="004B22E0"/>
    <w:rsid w:val="004B5C29"/>
    <w:rsid w:val="004B5DDD"/>
    <w:rsid w:val="004B7ACC"/>
    <w:rsid w:val="004B7B76"/>
    <w:rsid w:val="004C0E78"/>
    <w:rsid w:val="004C239D"/>
    <w:rsid w:val="004C2DCA"/>
    <w:rsid w:val="004C3FE3"/>
    <w:rsid w:val="004C4D27"/>
    <w:rsid w:val="004C5EEC"/>
    <w:rsid w:val="004D046D"/>
    <w:rsid w:val="004E0D16"/>
    <w:rsid w:val="004E0E0A"/>
    <w:rsid w:val="004E5D8B"/>
    <w:rsid w:val="004E6684"/>
    <w:rsid w:val="004F0C4A"/>
    <w:rsid w:val="004F0F38"/>
    <w:rsid w:val="004F2958"/>
    <w:rsid w:val="004F3C9D"/>
    <w:rsid w:val="004F4239"/>
    <w:rsid w:val="004F4268"/>
    <w:rsid w:val="004F6133"/>
    <w:rsid w:val="004F723B"/>
    <w:rsid w:val="0050001E"/>
    <w:rsid w:val="0050034D"/>
    <w:rsid w:val="00501921"/>
    <w:rsid w:val="00503777"/>
    <w:rsid w:val="00503B84"/>
    <w:rsid w:val="005105AA"/>
    <w:rsid w:val="0051136C"/>
    <w:rsid w:val="00512181"/>
    <w:rsid w:val="00512BD0"/>
    <w:rsid w:val="00513FC6"/>
    <w:rsid w:val="00515007"/>
    <w:rsid w:val="00515CDB"/>
    <w:rsid w:val="00523C10"/>
    <w:rsid w:val="00524F80"/>
    <w:rsid w:val="00527201"/>
    <w:rsid w:val="00530137"/>
    <w:rsid w:val="00530354"/>
    <w:rsid w:val="005316DB"/>
    <w:rsid w:val="005326C8"/>
    <w:rsid w:val="00533022"/>
    <w:rsid w:val="00534238"/>
    <w:rsid w:val="00535685"/>
    <w:rsid w:val="0053602B"/>
    <w:rsid w:val="0053625B"/>
    <w:rsid w:val="00536359"/>
    <w:rsid w:val="00537472"/>
    <w:rsid w:val="0054178C"/>
    <w:rsid w:val="00541B7E"/>
    <w:rsid w:val="0054281C"/>
    <w:rsid w:val="005434C6"/>
    <w:rsid w:val="00543536"/>
    <w:rsid w:val="00543B39"/>
    <w:rsid w:val="00546127"/>
    <w:rsid w:val="00546154"/>
    <w:rsid w:val="00546DD2"/>
    <w:rsid w:val="00550096"/>
    <w:rsid w:val="005514BD"/>
    <w:rsid w:val="005515F6"/>
    <w:rsid w:val="005523CA"/>
    <w:rsid w:val="00555280"/>
    <w:rsid w:val="005558D4"/>
    <w:rsid w:val="00556A6D"/>
    <w:rsid w:val="00557FF9"/>
    <w:rsid w:val="005623A3"/>
    <w:rsid w:val="0056243E"/>
    <w:rsid w:val="00562515"/>
    <w:rsid w:val="00563A55"/>
    <w:rsid w:val="005641FE"/>
    <w:rsid w:val="00572931"/>
    <w:rsid w:val="00573522"/>
    <w:rsid w:val="0057364C"/>
    <w:rsid w:val="00575950"/>
    <w:rsid w:val="005761A5"/>
    <w:rsid w:val="00576378"/>
    <w:rsid w:val="00577130"/>
    <w:rsid w:val="00577945"/>
    <w:rsid w:val="00577E38"/>
    <w:rsid w:val="00581E18"/>
    <w:rsid w:val="00582B30"/>
    <w:rsid w:val="00584596"/>
    <w:rsid w:val="00585322"/>
    <w:rsid w:val="005857C6"/>
    <w:rsid w:val="00585A06"/>
    <w:rsid w:val="00585D38"/>
    <w:rsid w:val="00586850"/>
    <w:rsid w:val="00586BA1"/>
    <w:rsid w:val="00586EDE"/>
    <w:rsid w:val="00586FAE"/>
    <w:rsid w:val="00587C7F"/>
    <w:rsid w:val="00592505"/>
    <w:rsid w:val="00592F6E"/>
    <w:rsid w:val="005939E2"/>
    <w:rsid w:val="00593AD1"/>
    <w:rsid w:val="00593BFC"/>
    <w:rsid w:val="0059462E"/>
    <w:rsid w:val="00594E83"/>
    <w:rsid w:val="005976F2"/>
    <w:rsid w:val="005A63D5"/>
    <w:rsid w:val="005A68B6"/>
    <w:rsid w:val="005B08B7"/>
    <w:rsid w:val="005B15F5"/>
    <w:rsid w:val="005B367D"/>
    <w:rsid w:val="005C0844"/>
    <w:rsid w:val="005C123C"/>
    <w:rsid w:val="005C28F8"/>
    <w:rsid w:val="005C2CEF"/>
    <w:rsid w:val="005C5199"/>
    <w:rsid w:val="005C5570"/>
    <w:rsid w:val="005C6C72"/>
    <w:rsid w:val="005C79A4"/>
    <w:rsid w:val="005C7F4F"/>
    <w:rsid w:val="005D0731"/>
    <w:rsid w:val="005D5442"/>
    <w:rsid w:val="005D5FA6"/>
    <w:rsid w:val="005E1D72"/>
    <w:rsid w:val="005E2616"/>
    <w:rsid w:val="005E5932"/>
    <w:rsid w:val="005E5E0B"/>
    <w:rsid w:val="005F3B93"/>
    <w:rsid w:val="005F4957"/>
    <w:rsid w:val="005F52A4"/>
    <w:rsid w:val="005F6C76"/>
    <w:rsid w:val="005F6FA4"/>
    <w:rsid w:val="005F7004"/>
    <w:rsid w:val="00602F50"/>
    <w:rsid w:val="00603F32"/>
    <w:rsid w:val="00604BA4"/>
    <w:rsid w:val="00605AD4"/>
    <w:rsid w:val="00605F79"/>
    <w:rsid w:val="00606DEF"/>
    <w:rsid w:val="00610083"/>
    <w:rsid w:val="00614F39"/>
    <w:rsid w:val="006150A4"/>
    <w:rsid w:val="0062314A"/>
    <w:rsid w:val="00623AA3"/>
    <w:rsid w:val="00625A6E"/>
    <w:rsid w:val="00626266"/>
    <w:rsid w:val="00626276"/>
    <w:rsid w:val="0062769F"/>
    <w:rsid w:val="00631B81"/>
    <w:rsid w:val="00632398"/>
    <w:rsid w:val="00632F1F"/>
    <w:rsid w:val="0063341D"/>
    <w:rsid w:val="00633FA8"/>
    <w:rsid w:val="00637AA4"/>
    <w:rsid w:val="0064092B"/>
    <w:rsid w:val="00640FC3"/>
    <w:rsid w:val="00642020"/>
    <w:rsid w:val="006438FB"/>
    <w:rsid w:val="00643C64"/>
    <w:rsid w:val="00646036"/>
    <w:rsid w:val="006503F9"/>
    <w:rsid w:val="0065221D"/>
    <w:rsid w:val="0065337B"/>
    <w:rsid w:val="0065402F"/>
    <w:rsid w:val="0065419D"/>
    <w:rsid w:val="006549A1"/>
    <w:rsid w:val="00655EC2"/>
    <w:rsid w:val="0065617A"/>
    <w:rsid w:val="0065708F"/>
    <w:rsid w:val="00660337"/>
    <w:rsid w:val="006604D8"/>
    <w:rsid w:val="00663430"/>
    <w:rsid w:val="00664A5B"/>
    <w:rsid w:val="0066576B"/>
    <w:rsid w:val="006667A6"/>
    <w:rsid w:val="00666856"/>
    <w:rsid w:val="0067043B"/>
    <w:rsid w:val="00670E07"/>
    <w:rsid w:val="00671F07"/>
    <w:rsid w:val="0067372F"/>
    <w:rsid w:val="00674904"/>
    <w:rsid w:val="00676045"/>
    <w:rsid w:val="006763D2"/>
    <w:rsid w:val="00676DBF"/>
    <w:rsid w:val="00677814"/>
    <w:rsid w:val="00680105"/>
    <w:rsid w:val="00680C08"/>
    <w:rsid w:val="00680D47"/>
    <w:rsid w:val="006811B8"/>
    <w:rsid w:val="006813F9"/>
    <w:rsid w:val="0068149E"/>
    <w:rsid w:val="00682475"/>
    <w:rsid w:val="006830EC"/>
    <w:rsid w:val="006831AA"/>
    <w:rsid w:val="0068365E"/>
    <w:rsid w:val="00684B70"/>
    <w:rsid w:val="006858F1"/>
    <w:rsid w:val="00686177"/>
    <w:rsid w:val="0068661C"/>
    <w:rsid w:val="00686703"/>
    <w:rsid w:val="00692A26"/>
    <w:rsid w:val="00692BC1"/>
    <w:rsid w:val="006931B1"/>
    <w:rsid w:val="006946E8"/>
    <w:rsid w:val="006A15C0"/>
    <w:rsid w:val="006A17EB"/>
    <w:rsid w:val="006A282B"/>
    <w:rsid w:val="006A6F30"/>
    <w:rsid w:val="006B705B"/>
    <w:rsid w:val="006C203C"/>
    <w:rsid w:val="006C3E2A"/>
    <w:rsid w:val="006C493C"/>
    <w:rsid w:val="006C5846"/>
    <w:rsid w:val="006C5FC2"/>
    <w:rsid w:val="006C642F"/>
    <w:rsid w:val="006D01E6"/>
    <w:rsid w:val="006D03E5"/>
    <w:rsid w:val="006D0B59"/>
    <w:rsid w:val="006D3D88"/>
    <w:rsid w:val="006D5D3E"/>
    <w:rsid w:val="006D6A1E"/>
    <w:rsid w:val="006D6C90"/>
    <w:rsid w:val="006E08B3"/>
    <w:rsid w:val="006E6BE5"/>
    <w:rsid w:val="006F17AC"/>
    <w:rsid w:val="006F1C8D"/>
    <w:rsid w:val="006F25B8"/>
    <w:rsid w:val="006F572E"/>
    <w:rsid w:val="0070026C"/>
    <w:rsid w:val="00701084"/>
    <w:rsid w:val="00702265"/>
    <w:rsid w:val="00703D67"/>
    <w:rsid w:val="007046D6"/>
    <w:rsid w:val="00705DB0"/>
    <w:rsid w:val="00707865"/>
    <w:rsid w:val="00707D1E"/>
    <w:rsid w:val="0071095E"/>
    <w:rsid w:val="007110A2"/>
    <w:rsid w:val="007134C3"/>
    <w:rsid w:val="00715E63"/>
    <w:rsid w:val="00717916"/>
    <w:rsid w:val="007179AE"/>
    <w:rsid w:val="007215D2"/>
    <w:rsid w:val="00722B57"/>
    <w:rsid w:val="00722C25"/>
    <w:rsid w:val="007234F4"/>
    <w:rsid w:val="00724552"/>
    <w:rsid w:val="00727616"/>
    <w:rsid w:val="00730106"/>
    <w:rsid w:val="007302C3"/>
    <w:rsid w:val="00730F8A"/>
    <w:rsid w:val="00731CF3"/>
    <w:rsid w:val="007348A7"/>
    <w:rsid w:val="0074059B"/>
    <w:rsid w:val="0074253D"/>
    <w:rsid w:val="007425FA"/>
    <w:rsid w:val="007439F0"/>
    <w:rsid w:val="0074429B"/>
    <w:rsid w:val="0075349E"/>
    <w:rsid w:val="00753D16"/>
    <w:rsid w:val="00753FB9"/>
    <w:rsid w:val="00756559"/>
    <w:rsid w:val="00756B13"/>
    <w:rsid w:val="00760520"/>
    <w:rsid w:val="00760B71"/>
    <w:rsid w:val="007615BC"/>
    <w:rsid w:val="00762F05"/>
    <w:rsid w:val="00764E21"/>
    <w:rsid w:val="007652FF"/>
    <w:rsid w:val="00765F7E"/>
    <w:rsid w:val="00766E31"/>
    <w:rsid w:val="007675A4"/>
    <w:rsid w:val="00770EF1"/>
    <w:rsid w:val="007717B6"/>
    <w:rsid w:val="00772802"/>
    <w:rsid w:val="00773409"/>
    <w:rsid w:val="00773EF7"/>
    <w:rsid w:val="00774E1D"/>
    <w:rsid w:val="0077675A"/>
    <w:rsid w:val="00777605"/>
    <w:rsid w:val="00780355"/>
    <w:rsid w:val="007819FD"/>
    <w:rsid w:val="00782053"/>
    <w:rsid w:val="00785721"/>
    <w:rsid w:val="0078620A"/>
    <w:rsid w:val="00787747"/>
    <w:rsid w:val="00792652"/>
    <w:rsid w:val="007930E5"/>
    <w:rsid w:val="00793A59"/>
    <w:rsid w:val="00794CFE"/>
    <w:rsid w:val="00794EDC"/>
    <w:rsid w:val="00795C2D"/>
    <w:rsid w:val="007973B1"/>
    <w:rsid w:val="007A1FD2"/>
    <w:rsid w:val="007A5A56"/>
    <w:rsid w:val="007A5A63"/>
    <w:rsid w:val="007A7EB1"/>
    <w:rsid w:val="007B131A"/>
    <w:rsid w:val="007B1E68"/>
    <w:rsid w:val="007B31BC"/>
    <w:rsid w:val="007B538A"/>
    <w:rsid w:val="007B5760"/>
    <w:rsid w:val="007B6132"/>
    <w:rsid w:val="007B62B6"/>
    <w:rsid w:val="007B6E9F"/>
    <w:rsid w:val="007B7C6A"/>
    <w:rsid w:val="007C1216"/>
    <w:rsid w:val="007C1AF7"/>
    <w:rsid w:val="007C1DDD"/>
    <w:rsid w:val="007C50B0"/>
    <w:rsid w:val="007C50BC"/>
    <w:rsid w:val="007C716F"/>
    <w:rsid w:val="007D0E47"/>
    <w:rsid w:val="007D1B2E"/>
    <w:rsid w:val="007D2B3B"/>
    <w:rsid w:val="007D3544"/>
    <w:rsid w:val="007D4E72"/>
    <w:rsid w:val="007D7792"/>
    <w:rsid w:val="007E1441"/>
    <w:rsid w:val="007E1B18"/>
    <w:rsid w:val="007E1B3F"/>
    <w:rsid w:val="007E1DF5"/>
    <w:rsid w:val="007E2E70"/>
    <w:rsid w:val="007E604B"/>
    <w:rsid w:val="007E7308"/>
    <w:rsid w:val="007F1A6F"/>
    <w:rsid w:val="007F32E9"/>
    <w:rsid w:val="007F3582"/>
    <w:rsid w:val="007F4A4E"/>
    <w:rsid w:val="007F4B9A"/>
    <w:rsid w:val="007F7EBF"/>
    <w:rsid w:val="00800041"/>
    <w:rsid w:val="00800CEB"/>
    <w:rsid w:val="00802153"/>
    <w:rsid w:val="00802408"/>
    <w:rsid w:val="00804D47"/>
    <w:rsid w:val="00805D27"/>
    <w:rsid w:val="00806EC4"/>
    <w:rsid w:val="008108FE"/>
    <w:rsid w:val="008122DE"/>
    <w:rsid w:val="0081359E"/>
    <w:rsid w:val="00813E77"/>
    <w:rsid w:val="00814191"/>
    <w:rsid w:val="008155A2"/>
    <w:rsid w:val="00815A6F"/>
    <w:rsid w:val="00820691"/>
    <w:rsid w:val="00821776"/>
    <w:rsid w:val="0082233F"/>
    <w:rsid w:val="00823139"/>
    <w:rsid w:val="00823575"/>
    <w:rsid w:val="00823A63"/>
    <w:rsid w:val="00825CFB"/>
    <w:rsid w:val="00826038"/>
    <w:rsid w:val="00826119"/>
    <w:rsid w:val="00826DF4"/>
    <w:rsid w:val="00830AD3"/>
    <w:rsid w:val="008321F5"/>
    <w:rsid w:val="00832369"/>
    <w:rsid w:val="0083307B"/>
    <w:rsid w:val="00833A69"/>
    <w:rsid w:val="00834660"/>
    <w:rsid w:val="0083615C"/>
    <w:rsid w:val="00836BC2"/>
    <w:rsid w:val="008441CC"/>
    <w:rsid w:val="00845944"/>
    <w:rsid w:val="00850B88"/>
    <w:rsid w:val="0085280A"/>
    <w:rsid w:val="0085288A"/>
    <w:rsid w:val="00853633"/>
    <w:rsid w:val="00853B65"/>
    <w:rsid w:val="0085641B"/>
    <w:rsid w:val="00856CC5"/>
    <w:rsid w:val="00857136"/>
    <w:rsid w:val="00857D99"/>
    <w:rsid w:val="0086029E"/>
    <w:rsid w:val="0086096B"/>
    <w:rsid w:val="00860EEE"/>
    <w:rsid w:val="00862197"/>
    <w:rsid w:val="00863F46"/>
    <w:rsid w:val="00865AF5"/>
    <w:rsid w:val="0086786C"/>
    <w:rsid w:val="008768ED"/>
    <w:rsid w:val="00881396"/>
    <w:rsid w:val="00883BD1"/>
    <w:rsid w:val="00885B11"/>
    <w:rsid w:val="008860CD"/>
    <w:rsid w:val="00886D15"/>
    <w:rsid w:val="008878D1"/>
    <w:rsid w:val="00887DD8"/>
    <w:rsid w:val="00890538"/>
    <w:rsid w:val="00890896"/>
    <w:rsid w:val="008912BA"/>
    <w:rsid w:val="00892B82"/>
    <w:rsid w:val="00893455"/>
    <w:rsid w:val="00894964"/>
    <w:rsid w:val="00895F6E"/>
    <w:rsid w:val="00896018"/>
    <w:rsid w:val="008960DD"/>
    <w:rsid w:val="0089635C"/>
    <w:rsid w:val="00897349"/>
    <w:rsid w:val="00897FA2"/>
    <w:rsid w:val="008A2B9D"/>
    <w:rsid w:val="008A3260"/>
    <w:rsid w:val="008A37A7"/>
    <w:rsid w:val="008A3D72"/>
    <w:rsid w:val="008A3D9F"/>
    <w:rsid w:val="008A45F9"/>
    <w:rsid w:val="008A5E0B"/>
    <w:rsid w:val="008A64D2"/>
    <w:rsid w:val="008A6D59"/>
    <w:rsid w:val="008B0527"/>
    <w:rsid w:val="008B0AF9"/>
    <w:rsid w:val="008B0D0A"/>
    <w:rsid w:val="008B3942"/>
    <w:rsid w:val="008B4181"/>
    <w:rsid w:val="008B4B03"/>
    <w:rsid w:val="008B596F"/>
    <w:rsid w:val="008B7F89"/>
    <w:rsid w:val="008C138E"/>
    <w:rsid w:val="008C159F"/>
    <w:rsid w:val="008C1623"/>
    <w:rsid w:val="008C1850"/>
    <w:rsid w:val="008C35E8"/>
    <w:rsid w:val="008C3A4E"/>
    <w:rsid w:val="008C3A63"/>
    <w:rsid w:val="008C4300"/>
    <w:rsid w:val="008C51A9"/>
    <w:rsid w:val="008C5BBA"/>
    <w:rsid w:val="008C6081"/>
    <w:rsid w:val="008C737A"/>
    <w:rsid w:val="008D1654"/>
    <w:rsid w:val="008D2ECD"/>
    <w:rsid w:val="008D3A1E"/>
    <w:rsid w:val="008D4F11"/>
    <w:rsid w:val="008D6D5D"/>
    <w:rsid w:val="008E1281"/>
    <w:rsid w:val="008E4B63"/>
    <w:rsid w:val="008E7425"/>
    <w:rsid w:val="008E7846"/>
    <w:rsid w:val="008F1236"/>
    <w:rsid w:val="008F1CCC"/>
    <w:rsid w:val="008F2967"/>
    <w:rsid w:val="008F4168"/>
    <w:rsid w:val="008F4E7C"/>
    <w:rsid w:val="008F6943"/>
    <w:rsid w:val="008F6C68"/>
    <w:rsid w:val="008F7AE6"/>
    <w:rsid w:val="00900BB3"/>
    <w:rsid w:val="00901286"/>
    <w:rsid w:val="009029FD"/>
    <w:rsid w:val="00902A21"/>
    <w:rsid w:val="00904470"/>
    <w:rsid w:val="00904627"/>
    <w:rsid w:val="0090562F"/>
    <w:rsid w:val="00905B9D"/>
    <w:rsid w:val="00905CDF"/>
    <w:rsid w:val="0090786D"/>
    <w:rsid w:val="009160AD"/>
    <w:rsid w:val="00920330"/>
    <w:rsid w:val="009219D7"/>
    <w:rsid w:val="00922D53"/>
    <w:rsid w:val="00923425"/>
    <w:rsid w:val="00923493"/>
    <w:rsid w:val="00923B70"/>
    <w:rsid w:val="00924482"/>
    <w:rsid w:val="00925D4A"/>
    <w:rsid w:val="00930237"/>
    <w:rsid w:val="00930378"/>
    <w:rsid w:val="00930A6D"/>
    <w:rsid w:val="009351FD"/>
    <w:rsid w:val="009357CD"/>
    <w:rsid w:val="00936459"/>
    <w:rsid w:val="00936A5E"/>
    <w:rsid w:val="0094066D"/>
    <w:rsid w:val="00940A89"/>
    <w:rsid w:val="00941C62"/>
    <w:rsid w:val="009441B0"/>
    <w:rsid w:val="00946EA5"/>
    <w:rsid w:val="0095151B"/>
    <w:rsid w:val="009541B7"/>
    <w:rsid w:val="00956830"/>
    <w:rsid w:val="00963C08"/>
    <w:rsid w:val="009644D9"/>
    <w:rsid w:val="00964B70"/>
    <w:rsid w:val="009656AA"/>
    <w:rsid w:val="00966361"/>
    <w:rsid w:val="00967D39"/>
    <w:rsid w:val="00971164"/>
    <w:rsid w:val="00973385"/>
    <w:rsid w:val="009752B5"/>
    <w:rsid w:val="00975985"/>
    <w:rsid w:val="00977513"/>
    <w:rsid w:val="0098007C"/>
    <w:rsid w:val="00981686"/>
    <w:rsid w:val="00982C41"/>
    <w:rsid w:val="009848B9"/>
    <w:rsid w:val="0098585A"/>
    <w:rsid w:val="00990ECD"/>
    <w:rsid w:val="00991668"/>
    <w:rsid w:val="00991D58"/>
    <w:rsid w:val="009928FB"/>
    <w:rsid w:val="00995BA0"/>
    <w:rsid w:val="009972F9"/>
    <w:rsid w:val="00997F23"/>
    <w:rsid w:val="009A1998"/>
    <w:rsid w:val="009A20FB"/>
    <w:rsid w:val="009A330A"/>
    <w:rsid w:val="009A441D"/>
    <w:rsid w:val="009A4CED"/>
    <w:rsid w:val="009A62E9"/>
    <w:rsid w:val="009A690D"/>
    <w:rsid w:val="009B1940"/>
    <w:rsid w:val="009B1D12"/>
    <w:rsid w:val="009B231E"/>
    <w:rsid w:val="009B344E"/>
    <w:rsid w:val="009B416B"/>
    <w:rsid w:val="009B53E1"/>
    <w:rsid w:val="009B62EC"/>
    <w:rsid w:val="009B7682"/>
    <w:rsid w:val="009B7BAE"/>
    <w:rsid w:val="009C45F1"/>
    <w:rsid w:val="009C4BD5"/>
    <w:rsid w:val="009C5C3E"/>
    <w:rsid w:val="009C6DF1"/>
    <w:rsid w:val="009D137F"/>
    <w:rsid w:val="009D1C91"/>
    <w:rsid w:val="009D6EB4"/>
    <w:rsid w:val="009D7B77"/>
    <w:rsid w:val="009D7F41"/>
    <w:rsid w:val="009E0BB0"/>
    <w:rsid w:val="009E2572"/>
    <w:rsid w:val="009E2640"/>
    <w:rsid w:val="009E39F5"/>
    <w:rsid w:val="009E3F7C"/>
    <w:rsid w:val="009E3FBB"/>
    <w:rsid w:val="009E3FEE"/>
    <w:rsid w:val="009E49AB"/>
    <w:rsid w:val="009E71FF"/>
    <w:rsid w:val="009F0064"/>
    <w:rsid w:val="009F2459"/>
    <w:rsid w:val="009F5CC7"/>
    <w:rsid w:val="009F6AA0"/>
    <w:rsid w:val="009F7CF2"/>
    <w:rsid w:val="00A001EF"/>
    <w:rsid w:val="00A02D9E"/>
    <w:rsid w:val="00A03BD1"/>
    <w:rsid w:val="00A102E4"/>
    <w:rsid w:val="00A11232"/>
    <w:rsid w:val="00A1287B"/>
    <w:rsid w:val="00A12C42"/>
    <w:rsid w:val="00A12FB9"/>
    <w:rsid w:val="00A1429F"/>
    <w:rsid w:val="00A1478E"/>
    <w:rsid w:val="00A14DF7"/>
    <w:rsid w:val="00A162DA"/>
    <w:rsid w:val="00A17CD5"/>
    <w:rsid w:val="00A20FD6"/>
    <w:rsid w:val="00A21611"/>
    <w:rsid w:val="00A219E9"/>
    <w:rsid w:val="00A22D5A"/>
    <w:rsid w:val="00A23C5B"/>
    <w:rsid w:val="00A24A6C"/>
    <w:rsid w:val="00A24D2E"/>
    <w:rsid w:val="00A254F5"/>
    <w:rsid w:val="00A27134"/>
    <w:rsid w:val="00A313B0"/>
    <w:rsid w:val="00A317B5"/>
    <w:rsid w:val="00A31B5D"/>
    <w:rsid w:val="00A3246D"/>
    <w:rsid w:val="00A3528D"/>
    <w:rsid w:val="00A36FA7"/>
    <w:rsid w:val="00A42FA8"/>
    <w:rsid w:val="00A44883"/>
    <w:rsid w:val="00A44DDB"/>
    <w:rsid w:val="00A45A93"/>
    <w:rsid w:val="00A45B7A"/>
    <w:rsid w:val="00A4654C"/>
    <w:rsid w:val="00A46BFD"/>
    <w:rsid w:val="00A475B7"/>
    <w:rsid w:val="00A47AF7"/>
    <w:rsid w:val="00A47C3E"/>
    <w:rsid w:val="00A50226"/>
    <w:rsid w:val="00A6084F"/>
    <w:rsid w:val="00A60BAD"/>
    <w:rsid w:val="00A623B4"/>
    <w:rsid w:val="00A738F3"/>
    <w:rsid w:val="00A8127C"/>
    <w:rsid w:val="00A83B8D"/>
    <w:rsid w:val="00A84E36"/>
    <w:rsid w:val="00A90D64"/>
    <w:rsid w:val="00A9109C"/>
    <w:rsid w:val="00A91490"/>
    <w:rsid w:val="00A92FEC"/>
    <w:rsid w:val="00A93932"/>
    <w:rsid w:val="00A941AC"/>
    <w:rsid w:val="00A95AF6"/>
    <w:rsid w:val="00A964D1"/>
    <w:rsid w:val="00AA0E48"/>
    <w:rsid w:val="00AA0ED0"/>
    <w:rsid w:val="00AA391D"/>
    <w:rsid w:val="00AB1E8F"/>
    <w:rsid w:val="00AB30E7"/>
    <w:rsid w:val="00AB32E6"/>
    <w:rsid w:val="00AB5CFB"/>
    <w:rsid w:val="00AC0BDC"/>
    <w:rsid w:val="00AC162E"/>
    <w:rsid w:val="00AC1807"/>
    <w:rsid w:val="00AC2B40"/>
    <w:rsid w:val="00AC2BB2"/>
    <w:rsid w:val="00AC2C3C"/>
    <w:rsid w:val="00AC305C"/>
    <w:rsid w:val="00AC442F"/>
    <w:rsid w:val="00AC4529"/>
    <w:rsid w:val="00AC512D"/>
    <w:rsid w:val="00AC6332"/>
    <w:rsid w:val="00AC6B4D"/>
    <w:rsid w:val="00AD0083"/>
    <w:rsid w:val="00AD1E8F"/>
    <w:rsid w:val="00AD2720"/>
    <w:rsid w:val="00AD3935"/>
    <w:rsid w:val="00AD3D6F"/>
    <w:rsid w:val="00AD4E6A"/>
    <w:rsid w:val="00AD539F"/>
    <w:rsid w:val="00AD6C66"/>
    <w:rsid w:val="00AD758B"/>
    <w:rsid w:val="00AD77F0"/>
    <w:rsid w:val="00AD7872"/>
    <w:rsid w:val="00AE2EDA"/>
    <w:rsid w:val="00AE3FB0"/>
    <w:rsid w:val="00AE44EF"/>
    <w:rsid w:val="00AE65EB"/>
    <w:rsid w:val="00AE67A7"/>
    <w:rsid w:val="00AF1D94"/>
    <w:rsid w:val="00AF60C5"/>
    <w:rsid w:val="00B009C6"/>
    <w:rsid w:val="00B01548"/>
    <w:rsid w:val="00B02899"/>
    <w:rsid w:val="00B03AF0"/>
    <w:rsid w:val="00B04A15"/>
    <w:rsid w:val="00B05295"/>
    <w:rsid w:val="00B074E7"/>
    <w:rsid w:val="00B07A4B"/>
    <w:rsid w:val="00B112BC"/>
    <w:rsid w:val="00B11649"/>
    <w:rsid w:val="00B11F14"/>
    <w:rsid w:val="00B12111"/>
    <w:rsid w:val="00B12F7B"/>
    <w:rsid w:val="00B13457"/>
    <w:rsid w:val="00B17B53"/>
    <w:rsid w:val="00B204D9"/>
    <w:rsid w:val="00B21D29"/>
    <w:rsid w:val="00B22E54"/>
    <w:rsid w:val="00B25034"/>
    <w:rsid w:val="00B25D26"/>
    <w:rsid w:val="00B26F75"/>
    <w:rsid w:val="00B27F60"/>
    <w:rsid w:val="00B309FC"/>
    <w:rsid w:val="00B30F3E"/>
    <w:rsid w:val="00B310D7"/>
    <w:rsid w:val="00B33588"/>
    <w:rsid w:val="00B33734"/>
    <w:rsid w:val="00B33863"/>
    <w:rsid w:val="00B35678"/>
    <w:rsid w:val="00B36505"/>
    <w:rsid w:val="00B37D17"/>
    <w:rsid w:val="00B4175E"/>
    <w:rsid w:val="00B4483B"/>
    <w:rsid w:val="00B452CE"/>
    <w:rsid w:val="00B45817"/>
    <w:rsid w:val="00B46306"/>
    <w:rsid w:val="00B46684"/>
    <w:rsid w:val="00B47FDC"/>
    <w:rsid w:val="00B52153"/>
    <w:rsid w:val="00B529E7"/>
    <w:rsid w:val="00B54901"/>
    <w:rsid w:val="00B54C25"/>
    <w:rsid w:val="00B6181A"/>
    <w:rsid w:val="00B620F2"/>
    <w:rsid w:val="00B639BE"/>
    <w:rsid w:val="00B64D06"/>
    <w:rsid w:val="00B7062F"/>
    <w:rsid w:val="00B7485C"/>
    <w:rsid w:val="00B7518F"/>
    <w:rsid w:val="00B76B91"/>
    <w:rsid w:val="00B77EB1"/>
    <w:rsid w:val="00B811C6"/>
    <w:rsid w:val="00B83850"/>
    <w:rsid w:val="00B855B0"/>
    <w:rsid w:val="00B860BD"/>
    <w:rsid w:val="00B901BD"/>
    <w:rsid w:val="00B905A0"/>
    <w:rsid w:val="00B90AA4"/>
    <w:rsid w:val="00B925EF"/>
    <w:rsid w:val="00B92E08"/>
    <w:rsid w:val="00B93E6C"/>
    <w:rsid w:val="00B94E63"/>
    <w:rsid w:val="00B96A79"/>
    <w:rsid w:val="00BA18CA"/>
    <w:rsid w:val="00BA433D"/>
    <w:rsid w:val="00BA5749"/>
    <w:rsid w:val="00BA5A72"/>
    <w:rsid w:val="00BA6CFD"/>
    <w:rsid w:val="00BA78D5"/>
    <w:rsid w:val="00BB1ADE"/>
    <w:rsid w:val="00BB3796"/>
    <w:rsid w:val="00BB5259"/>
    <w:rsid w:val="00BB6C96"/>
    <w:rsid w:val="00BC3332"/>
    <w:rsid w:val="00BC578D"/>
    <w:rsid w:val="00BC5AAA"/>
    <w:rsid w:val="00BC622A"/>
    <w:rsid w:val="00BD0907"/>
    <w:rsid w:val="00BD5BA2"/>
    <w:rsid w:val="00BD6C65"/>
    <w:rsid w:val="00BD6CC7"/>
    <w:rsid w:val="00BE03E5"/>
    <w:rsid w:val="00BE0A78"/>
    <w:rsid w:val="00BE127A"/>
    <w:rsid w:val="00BE14B2"/>
    <w:rsid w:val="00BE56DB"/>
    <w:rsid w:val="00BE79F0"/>
    <w:rsid w:val="00BF046D"/>
    <w:rsid w:val="00BF1190"/>
    <w:rsid w:val="00BF2345"/>
    <w:rsid w:val="00BF49CB"/>
    <w:rsid w:val="00BF4D66"/>
    <w:rsid w:val="00BF5D04"/>
    <w:rsid w:val="00BF6C3F"/>
    <w:rsid w:val="00C006EF"/>
    <w:rsid w:val="00C00DDB"/>
    <w:rsid w:val="00C02D13"/>
    <w:rsid w:val="00C03DBB"/>
    <w:rsid w:val="00C052A1"/>
    <w:rsid w:val="00C1164D"/>
    <w:rsid w:val="00C133E1"/>
    <w:rsid w:val="00C16861"/>
    <w:rsid w:val="00C177FB"/>
    <w:rsid w:val="00C17DE2"/>
    <w:rsid w:val="00C2201E"/>
    <w:rsid w:val="00C23CD2"/>
    <w:rsid w:val="00C24A9C"/>
    <w:rsid w:val="00C25DAB"/>
    <w:rsid w:val="00C277A4"/>
    <w:rsid w:val="00C301A9"/>
    <w:rsid w:val="00C31F39"/>
    <w:rsid w:val="00C322F4"/>
    <w:rsid w:val="00C32689"/>
    <w:rsid w:val="00C34200"/>
    <w:rsid w:val="00C36EAF"/>
    <w:rsid w:val="00C401CD"/>
    <w:rsid w:val="00C404A6"/>
    <w:rsid w:val="00C40A36"/>
    <w:rsid w:val="00C417FC"/>
    <w:rsid w:val="00C418C3"/>
    <w:rsid w:val="00C420B9"/>
    <w:rsid w:val="00C44419"/>
    <w:rsid w:val="00C44DD9"/>
    <w:rsid w:val="00C4527C"/>
    <w:rsid w:val="00C45E7B"/>
    <w:rsid w:val="00C45E8E"/>
    <w:rsid w:val="00C471B1"/>
    <w:rsid w:val="00C479A5"/>
    <w:rsid w:val="00C47DD7"/>
    <w:rsid w:val="00C51285"/>
    <w:rsid w:val="00C52E95"/>
    <w:rsid w:val="00C55E80"/>
    <w:rsid w:val="00C56025"/>
    <w:rsid w:val="00C5636A"/>
    <w:rsid w:val="00C62AD0"/>
    <w:rsid w:val="00C6316B"/>
    <w:rsid w:val="00C63491"/>
    <w:rsid w:val="00C634A9"/>
    <w:rsid w:val="00C638B6"/>
    <w:rsid w:val="00C64408"/>
    <w:rsid w:val="00C64586"/>
    <w:rsid w:val="00C64D19"/>
    <w:rsid w:val="00C66901"/>
    <w:rsid w:val="00C7069B"/>
    <w:rsid w:val="00C70D53"/>
    <w:rsid w:val="00C724AD"/>
    <w:rsid w:val="00C73D0B"/>
    <w:rsid w:val="00C74203"/>
    <w:rsid w:val="00C7623F"/>
    <w:rsid w:val="00C772FF"/>
    <w:rsid w:val="00C80137"/>
    <w:rsid w:val="00C801AF"/>
    <w:rsid w:val="00C80256"/>
    <w:rsid w:val="00C80F42"/>
    <w:rsid w:val="00C81526"/>
    <w:rsid w:val="00C8376A"/>
    <w:rsid w:val="00C8501C"/>
    <w:rsid w:val="00C871B1"/>
    <w:rsid w:val="00C9047A"/>
    <w:rsid w:val="00C9067B"/>
    <w:rsid w:val="00C942D6"/>
    <w:rsid w:val="00C94794"/>
    <w:rsid w:val="00C96BF8"/>
    <w:rsid w:val="00C96FE6"/>
    <w:rsid w:val="00C9747E"/>
    <w:rsid w:val="00C97DE0"/>
    <w:rsid w:val="00CA05F5"/>
    <w:rsid w:val="00CA3DBB"/>
    <w:rsid w:val="00CA49B9"/>
    <w:rsid w:val="00CA5FED"/>
    <w:rsid w:val="00CA6728"/>
    <w:rsid w:val="00CA74A2"/>
    <w:rsid w:val="00CB01DA"/>
    <w:rsid w:val="00CB0E1C"/>
    <w:rsid w:val="00CB0FF9"/>
    <w:rsid w:val="00CB197B"/>
    <w:rsid w:val="00CB3056"/>
    <w:rsid w:val="00CB3D0C"/>
    <w:rsid w:val="00CB605A"/>
    <w:rsid w:val="00CB67AA"/>
    <w:rsid w:val="00CB6BC0"/>
    <w:rsid w:val="00CB717B"/>
    <w:rsid w:val="00CB7850"/>
    <w:rsid w:val="00CC1B7C"/>
    <w:rsid w:val="00CC24F9"/>
    <w:rsid w:val="00CC28B0"/>
    <w:rsid w:val="00CC3B74"/>
    <w:rsid w:val="00CC727F"/>
    <w:rsid w:val="00CD06A4"/>
    <w:rsid w:val="00CD0D7E"/>
    <w:rsid w:val="00CD41DA"/>
    <w:rsid w:val="00CD768D"/>
    <w:rsid w:val="00CE360D"/>
    <w:rsid w:val="00CE67B4"/>
    <w:rsid w:val="00CF15C3"/>
    <w:rsid w:val="00CF2157"/>
    <w:rsid w:val="00CF2B6F"/>
    <w:rsid w:val="00CF42BD"/>
    <w:rsid w:val="00CF4322"/>
    <w:rsid w:val="00CF43B6"/>
    <w:rsid w:val="00CF58B6"/>
    <w:rsid w:val="00D017ED"/>
    <w:rsid w:val="00D01933"/>
    <w:rsid w:val="00D01FA8"/>
    <w:rsid w:val="00D040D3"/>
    <w:rsid w:val="00D04C65"/>
    <w:rsid w:val="00D04E1F"/>
    <w:rsid w:val="00D06CAE"/>
    <w:rsid w:val="00D101D9"/>
    <w:rsid w:val="00D10A27"/>
    <w:rsid w:val="00D14723"/>
    <w:rsid w:val="00D17B3B"/>
    <w:rsid w:val="00D201D2"/>
    <w:rsid w:val="00D20C8D"/>
    <w:rsid w:val="00D217F3"/>
    <w:rsid w:val="00D219D0"/>
    <w:rsid w:val="00D223E6"/>
    <w:rsid w:val="00D224FE"/>
    <w:rsid w:val="00D23139"/>
    <w:rsid w:val="00D236D9"/>
    <w:rsid w:val="00D25177"/>
    <w:rsid w:val="00D273BD"/>
    <w:rsid w:val="00D277D4"/>
    <w:rsid w:val="00D27A29"/>
    <w:rsid w:val="00D27A72"/>
    <w:rsid w:val="00D311B3"/>
    <w:rsid w:val="00D31851"/>
    <w:rsid w:val="00D32F6F"/>
    <w:rsid w:val="00D332FB"/>
    <w:rsid w:val="00D34137"/>
    <w:rsid w:val="00D41715"/>
    <w:rsid w:val="00D4207C"/>
    <w:rsid w:val="00D425BB"/>
    <w:rsid w:val="00D4266B"/>
    <w:rsid w:val="00D42B35"/>
    <w:rsid w:val="00D436AE"/>
    <w:rsid w:val="00D4482C"/>
    <w:rsid w:val="00D46D18"/>
    <w:rsid w:val="00D51213"/>
    <w:rsid w:val="00D512BD"/>
    <w:rsid w:val="00D567C8"/>
    <w:rsid w:val="00D6045F"/>
    <w:rsid w:val="00D6359C"/>
    <w:rsid w:val="00D6493E"/>
    <w:rsid w:val="00D65D3F"/>
    <w:rsid w:val="00D66AAF"/>
    <w:rsid w:val="00D7195D"/>
    <w:rsid w:val="00D7199D"/>
    <w:rsid w:val="00D723AA"/>
    <w:rsid w:val="00D7301E"/>
    <w:rsid w:val="00D7579E"/>
    <w:rsid w:val="00D75B99"/>
    <w:rsid w:val="00D77A00"/>
    <w:rsid w:val="00D82C49"/>
    <w:rsid w:val="00D82C81"/>
    <w:rsid w:val="00D83AE1"/>
    <w:rsid w:val="00D844B3"/>
    <w:rsid w:val="00D855D4"/>
    <w:rsid w:val="00D86B69"/>
    <w:rsid w:val="00D86BA8"/>
    <w:rsid w:val="00D91A2C"/>
    <w:rsid w:val="00D921AB"/>
    <w:rsid w:val="00D93466"/>
    <w:rsid w:val="00D95077"/>
    <w:rsid w:val="00DA0C2E"/>
    <w:rsid w:val="00DA1124"/>
    <w:rsid w:val="00DA1B9D"/>
    <w:rsid w:val="00DA2916"/>
    <w:rsid w:val="00DA3336"/>
    <w:rsid w:val="00DA4735"/>
    <w:rsid w:val="00DA63AC"/>
    <w:rsid w:val="00DB02DC"/>
    <w:rsid w:val="00DB1EC9"/>
    <w:rsid w:val="00DB2B14"/>
    <w:rsid w:val="00DB586C"/>
    <w:rsid w:val="00DB6124"/>
    <w:rsid w:val="00DB6CA8"/>
    <w:rsid w:val="00DB750B"/>
    <w:rsid w:val="00DB75B7"/>
    <w:rsid w:val="00DC622E"/>
    <w:rsid w:val="00DC6E02"/>
    <w:rsid w:val="00DC74AA"/>
    <w:rsid w:val="00DD34DA"/>
    <w:rsid w:val="00DD3B4F"/>
    <w:rsid w:val="00DD4C0D"/>
    <w:rsid w:val="00DD6A16"/>
    <w:rsid w:val="00DE0063"/>
    <w:rsid w:val="00DE02AE"/>
    <w:rsid w:val="00DE08F1"/>
    <w:rsid w:val="00DE4AA0"/>
    <w:rsid w:val="00DE51EC"/>
    <w:rsid w:val="00DE7071"/>
    <w:rsid w:val="00DE7816"/>
    <w:rsid w:val="00DF0311"/>
    <w:rsid w:val="00DF1D7F"/>
    <w:rsid w:val="00DF205B"/>
    <w:rsid w:val="00DF3301"/>
    <w:rsid w:val="00DF4BE4"/>
    <w:rsid w:val="00DF5308"/>
    <w:rsid w:val="00DF5A6E"/>
    <w:rsid w:val="00E02697"/>
    <w:rsid w:val="00E02C7D"/>
    <w:rsid w:val="00E02FB4"/>
    <w:rsid w:val="00E03F51"/>
    <w:rsid w:val="00E06E48"/>
    <w:rsid w:val="00E10959"/>
    <w:rsid w:val="00E1262C"/>
    <w:rsid w:val="00E127D8"/>
    <w:rsid w:val="00E20571"/>
    <w:rsid w:val="00E21151"/>
    <w:rsid w:val="00E22823"/>
    <w:rsid w:val="00E235F7"/>
    <w:rsid w:val="00E23659"/>
    <w:rsid w:val="00E239D4"/>
    <w:rsid w:val="00E23A61"/>
    <w:rsid w:val="00E24978"/>
    <w:rsid w:val="00E26120"/>
    <w:rsid w:val="00E26130"/>
    <w:rsid w:val="00E273EA"/>
    <w:rsid w:val="00E31354"/>
    <w:rsid w:val="00E317CC"/>
    <w:rsid w:val="00E32333"/>
    <w:rsid w:val="00E40B22"/>
    <w:rsid w:val="00E41A82"/>
    <w:rsid w:val="00E43EEB"/>
    <w:rsid w:val="00E45619"/>
    <w:rsid w:val="00E4588F"/>
    <w:rsid w:val="00E45FC4"/>
    <w:rsid w:val="00E46DA3"/>
    <w:rsid w:val="00E50522"/>
    <w:rsid w:val="00E51BB1"/>
    <w:rsid w:val="00E53DAE"/>
    <w:rsid w:val="00E548BC"/>
    <w:rsid w:val="00E6190A"/>
    <w:rsid w:val="00E61938"/>
    <w:rsid w:val="00E621B5"/>
    <w:rsid w:val="00E6239C"/>
    <w:rsid w:val="00E624A5"/>
    <w:rsid w:val="00E63036"/>
    <w:rsid w:val="00E6364B"/>
    <w:rsid w:val="00E65722"/>
    <w:rsid w:val="00E66739"/>
    <w:rsid w:val="00E67655"/>
    <w:rsid w:val="00E71F4A"/>
    <w:rsid w:val="00E7344E"/>
    <w:rsid w:val="00E7582D"/>
    <w:rsid w:val="00E77442"/>
    <w:rsid w:val="00E778CB"/>
    <w:rsid w:val="00E77E42"/>
    <w:rsid w:val="00E8093D"/>
    <w:rsid w:val="00E80F6E"/>
    <w:rsid w:val="00E83BD3"/>
    <w:rsid w:val="00E84AB1"/>
    <w:rsid w:val="00E852C1"/>
    <w:rsid w:val="00E91BA4"/>
    <w:rsid w:val="00E923D9"/>
    <w:rsid w:val="00E93354"/>
    <w:rsid w:val="00E94A83"/>
    <w:rsid w:val="00E96913"/>
    <w:rsid w:val="00EA21FD"/>
    <w:rsid w:val="00EA2940"/>
    <w:rsid w:val="00EA5A52"/>
    <w:rsid w:val="00EA5F17"/>
    <w:rsid w:val="00EA6C10"/>
    <w:rsid w:val="00EA6F0F"/>
    <w:rsid w:val="00EB0798"/>
    <w:rsid w:val="00EB19B6"/>
    <w:rsid w:val="00EB1CB6"/>
    <w:rsid w:val="00EB3F5D"/>
    <w:rsid w:val="00EB4044"/>
    <w:rsid w:val="00EB40AD"/>
    <w:rsid w:val="00EB4EC9"/>
    <w:rsid w:val="00EB586E"/>
    <w:rsid w:val="00EB5E95"/>
    <w:rsid w:val="00EB5FC8"/>
    <w:rsid w:val="00EB62BE"/>
    <w:rsid w:val="00EC1BD9"/>
    <w:rsid w:val="00EC2915"/>
    <w:rsid w:val="00EC2B4B"/>
    <w:rsid w:val="00EC3494"/>
    <w:rsid w:val="00EC727F"/>
    <w:rsid w:val="00EC7A85"/>
    <w:rsid w:val="00ED1354"/>
    <w:rsid w:val="00ED203A"/>
    <w:rsid w:val="00ED25B3"/>
    <w:rsid w:val="00ED2D7E"/>
    <w:rsid w:val="00ED38DF"/>
    <w:rsid w:val="00ED3CAD"/>
    <w:rsid w:val="00ED50EB"/>
    <w:rsid w:val="00ED5A41"/>
    <w:rsid w:val="00ED7A11"/>
    <w:rsid w:val="00EE070C"/>
    <w:rsid w:val="00EE1DE8"/>
    <w:rsid w:val="00EE24B0"/>
    <w:rsid w:val="00EE2943"/>
    <w:rsid w:val="00EE31CC"/>
    <w:rsid w:val="00EE550F"/>
    <w:rsid w:val="00EE5754"/>
    <w:rsid w:val="00EE7ED1"/>
    <w:rsid w:val="00EF1578"/>
    <w:rsid w:val="00EF180A"/>
    <w:rsid w:val="00EF1844"/>
    <w:rsid w:val="00EF3CBC"/>
    <w:rsid w:val="00EF5A2F"/>
    <w:rsid w:val="00EF5B5D"/>
    <w:rsid w:val="00EF7C52"/>
    <w:rsid w:val="00F02804"/>
    <w:rsid w:val="00F033EC"/>
    <w:rsid w:val="00F0468B"/>
    <w:rsid w:val="00F04F68"/>
    <w:rsid w:val="00F0631B"/>
    <w:rsid w:val="00F06DC6"/>
    <w:rsid w:val="00F06F52"/>
    <w:rsid w:val="00F106D0"/>
    <w:rsid w:val="00F12670"/>
    <w:rsid w:val="00F141C7"/>
    <w:rsid w:val="00F14414"/>
    <w:rsid w:val="00F14B27"/>
    <w:rsid w:val="00F151E3"/>
    <w:rsid w:val="00F16CEB"/>
    <w:rsid w:val="00F17D65"/>
    <w:rsid w:val="00F20B60"/>
    <w:rsid w:val="00F2312D"/>
    <w:rsid w:val="00F2362E"/>
    <w:rsid w:val="00F24360"/>
    <w:rsid w:val="00F30146"/>
    <w:rsid w:val="00F3148D"/>
    <w:rsid w:val="00F317B8"/>
    <w:rsid w:val="00F31CFB"/>
    <w:rsid w:val="00F325C5"/>
    <w:rsid w:val="00F32FE0"/>
    <w:rsid w:val="00F33607"/>
    <w:rsid w:val="00F33DF0"/>
    <w:rsid w:val="00F35298"/>
    <w:rsid w:val="00F37904"/>
    <w:rsid w:val="00F40F21"/>
    <w:rsid w:val="00F43D04"/>
    <w:rsid w:val="00F4500D"/>
    <w:rsid w:val="00F452B3"/>
    <w:rsid w:val="00F461E1"/>
    <w:rsid w:val="00F47333"/>
    <w:rsid w:val="00F47720"/>
    <w:rsid w:val="00F47E37"/>
    <w:rsid w:val="00F513B1"/>
    <w:rsid w:val="00F52986"/>
    <w:rsid w:val="00F53C07"/>
    <w:rsid w:val="00F545C1"/>
    <w:rsid w:val="00F54B65"/>
    <w:rsid w:val="00F60ACB"/>
    <w:rsid w:val="00F62190"/>
    <w:rsid w:val="00F62C25"/>
    <w:rsid w:val="00F635C9"/>
    <w:rsid w:val="00F640B6"/>
    <w:rsid w:val="00F66A53"/>
    <w:rsid w:val="00F66EC0"/>
    <w:rsid w:val="00F670C5"/>
    <w:rsid w:val="00F67D3F"/>
    <w:rsid w:val="00F71FAC"/>
    <w:rsid w:val="00F72F1B"/>
    <w:rsid w:val="00F74C90"/>
    <w:rsid w:val="00F75090"/>
    <w:rsid w:val="00F75A12"/>
    <w:rsid w:val="00F80E40"/>
    <w:rsid w:val="00F81FBC"/>
    <w:rsid w:val="00F8243E"/>
    <w:rsid w:val="00F848D9"/>
    <w:rsid w:val="00F84D51"/>
    <w:rsid w:val="00F95A9E"/>
    <w:rsid w:val="00FA072A"/>
    <w:rsid w:val="00FA5B82"/>
    <w:rsid w:val="00FA5D57"/>
    <w:rsid w:val="00FA639E"/>
    <w:rsid w:val="00FB3377"/>
    <w:rsid w:val="00FB36A4"/>
    <w:rsid w:val="00FB6707"/>
    <w:rsid w:val="00FB7FE5"/>
    <w:rsid w:val="00FC1E91"/>
    <w:rsid w:val="00FC25E4"/>
    <w:rsid w:val="00FC4EF7"/>
    <w:rsid w:val="00FC5271"/>
    <w:rsid w:val="00FC5AB1"/>
    <w:rsid w:val="00FC6B45"/>
    <w:rsid w:val="00FC6C55"/>
    <w:rsid w:val="00FC6D6A"/>
    <w:rsid w:val="00FC78D8"/>
    <w:rsid w:val="00FD0758"/>
    <w:rsid w:val="00FD0824"/>
    <w:rsid w:val="00FD119B"/>
    <w:rsid w:val="00FD280E"/>
    <w:rsid w:val="00FD67B1"/>
    <w:rsid w:val="00FE1DEE"/>
    <w:rsid w:val="00FE2006"/>
    <w:rsid w:val="00FE2400"/>
    <w:rsid w:val="00FE4A22"/>
    <w:rsid w:val="00FE7FB1"/>
    <w:rsid w:val="00FF2126"/>
    <w:rsid w:val="00FF2653"/>
    <w:rsid w:val="00FF2B74"/>
    <w:rsid w:val="00FF4B69"/>
    <w:rsid w:val="00FF5755"/>
    <w:rsid w:val="00FF69BE"/>
    <w:rsid w:val="00FF6E3D"/>
    <w:rsid w:val="00FF7A57"/>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Outline List 1"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sz w:val="22"/>
      <w:szCs w:val="22"/>
      <w:lang w:eastAsia="en-US"/>
    </w:rPr>
  </w:style>
  <w:style w:type="paragraph" w:styleId="Heading1">
    <w:name w:val="heading 1"/>
    <w:basedOn w:val="Heading2"/>
    <w:next w:val="Normal"/>
    <w:link w:val="Heading1Char"/>
    <w:rsid w:val="000C690F"/>
    <w:pPr>
      <w:spacing w:before="120" w:after="360"/>
      <w:outlineLvl w:val="0"/>
    </w:pPr>
    <w:rPr>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lang w:val="x-none" w:eastAsia="x-none"/>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 w:val="20"/>
      <w:szCs w:val="21"/>
      <w:lang w:val="x-none" w:eastAsia="x-none"/>
    </w:rPr>
  </w:style>
  <w:style w:type="paragraph" w:styleId="Heading4">
    <w:name w:val="heading 4"/>
    <w:basedOn w:val="Normal"/>
    <w:next w:val="Normal"/>
    <w:link w:val="Heading4Char"/>
    <w:qFormat/>
    <w:rsid w:val="00AD0083"/>
    <w:pPr>
      <w:keepNext/>
      <w:spacing w:before="360" w:after="0" w:line="220" w:lineRule="atLeast"/>
      <w:outlineLvl w:val="3"/>
    </w:pPr>
    <w:rPr>
      <w:b/>
      <w:bCs/>
      <w:sz w:val="20"/>
      <w:szCs w:val="21"/>
      <w:lang w:val="x-none" w:eastAsia="x-none"/>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 w:val="20"/>
      <w:szCs w:val="21"/>
      <w:lang w:val="x-none" w:eastAsia="x-none"/>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 w:val="20"/>
      <w:szCs w:val="21"/>
      <w:lang w:val="x-none" w:eastAsia="x-none"/>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lang w:val="x-none" w:eastAsia="x-none"/>
    </w:rPr>
  </w:style>
  <w:style w:type="paragraph" w:styleId="Heading8">
    <w:name w:val="heading 8"/>
    <w:basedOn w:val="Normal"/>
    <w:next w:val="Normal"/>
    <w:link w:val="Heading8Char"/>
    <w:uiPriority w:val="9"/>
    <w:semiHidden/>
    <w:unhideWhenUsed/>
    <w:qFormat/>
    <w:rsid w:val="006C203C"/>
    <w:pPr>
      <w:spacing w:before="240" w:after="60"/>
      <w:outlineLvl w:val="7"/>
    </w:pPr>
    <w:rPr>
      <w:rFonts w:ascii="Calibri" w:eastAsia="Times New Roman" w:hAnsi="Calibri"/>
      <w:i/>
      <w:iCs/>
      <w:sz w:val="24"/>
      <w:szCs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AD3935"/>
    <w:rPr>
      <w:rFonts w:ascii="Arial" w:eastAsia="Times New Roman" w:hAnsi="Arial" w:cs="Times New Roman"/>
      <w:b/>
      <w:bCs/>
      <w:sz w:val="32"/>
      <w:szCs w:val="26"/>
    </w:rPr>
  </w:style>
  <w:style w:type="character" w:customStyle="1" w:styleId="Heading3Char">
    <w:name w:val="Heading 3 Char"/>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szCs w:val="20"/>
      <w:lang w:val="x-none" w:eastAsia="x-none"/>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szCs w:val="20"/>
      <w:lang w:val="x-none" w:eastAsia="x-none"/>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szCs w:val="20"/>
      <w:lang w:val="x-none" w:eastAsia="x-none"/>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rsid w:val="00AD3935"/>
    <w:rPr>
      <w:rFonts w:ascii="Cambria" w:eastAsia="Times New Roman" w:hAnsi="Cambria" w:cs="Times New Roman"/>
      <w:b/>
      <w:bCs/>
      <w:i/>
      <w:color w:val="001523"/>
      <w:szCs w:val="21"/>
    </w:rPr>
  </w:style>
  <w:style w:type="character" w:customStyle="1" w:styleId="Heading6Char">
    <w:name w:val="Heading 6 Char"/>
    <w:link w:val="Heading6"/>
    <w:uiPriority w:val="9"/>
    <w:rsid w:val="00577130"/>
    <w:rPr>
      <w:rFonts w:ascii="Cambria" w:eastAsia="Times New Roman" w:hAnsi="Cambria" w:cs="Times New Roman"/>
      <w:bCs/>
      <w:i/>
      <w:szCs w:val="21"/>
    </w:rPr>
  </w:style>
  <w:style w:type="character" w:customStyle="1" w:styleId="Heading7Char">
    <w:name w:val="Heading 7 Char"/>
    <w:link w:val="Heading7"/>
    <w:uiPriority w:val="9"/>
    <w:rsid w:val="00AD0083"/>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lang w:val="x-none" w:eastAsia="x-none"/>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Heading1">
    <w:name w:val="Table Heading 1"/>
    <w:basedOn w:val="Normal"/>
    <w:rsid w:val="00F3148D"/>
    <w:rPr>
      <w:b/>
      <w:color w:val="FFFFFF"/>
      <w:sz w:val="19"/>
    </w:rPr>
  </w:style>
  <w:style w:type="paragraph" w:customStyle="1" w:styleId="TableHeading2">
    <w:name w:val="Table Heading 2"/>
    <w:basedOn w:val="Normal"/>
    <w:rsid w:val="00F3148D"/>
    <w:rPr>
      <w:b/>
      <w:sz w:val="19"/>
    </w:rPr>
  </w:style>
  <w:style w:type="paragraph" w:customStyle="1" w:styleId="Tabletext">
    <w:name w:val="Table text"/>
    <w:basedOn w:val="Normal"/>
    <w:link w:val="TabletextChar"/>
    <w:rsid w:val="00F3148D"/>
    <w:rPr>
      <w:sz w:val="19"/>
      <w:lang w:val="x-none"/>
    </w:rPr>
  </w:style>
  <w:style w:type="table" w:customStyle="1" w:styleId="TableTGAblue">
    <w:name w:val="Table TGA blue"/>
    <w:basedOn w:val="TableNormal"/>
    <w:uiPriority w:val="99"/>
    <w:qFormat/>
    <w:rsid w:val="00FD119B"/>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770EF1"/>
    <w:pPr>
      <w:keepNext/>
    </w:pPr>
    <w:rPr>
      <w:b/>
      <w:sz w:val="20"/>
      <w:lang w:val="x-none"/>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rPr>
  </w:style>
  <w:style w:type="character" w:customStyle="1" w:styleId="TitleChar">
    <w:name w:val="Title Char"/>
    <w:link w:val="Title"/>
    <w:uiPriority w:val="10"/>
    <w:rsid w:val="00F3148D"/>
    <w:rPr>
      <w:rFonts w:ascii="Arial" w:eastAsia="Times New Roman" w:hAnsi="Arial"/>
      <w:spacing w:val="5"/>
      <w:kern w:val="28"/>
      <w:sz w:val="52"/>
      <w:szCs w:val="52"/>
      <w:lang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lang w:val="x-none" w:eastAsia="x-none"/>
    </w:rPr>
  </w:style>
  <w:style w:type="character" w:customStyle="1" w:styleId="FootnoteTextChar">
    <w:name w:val="Footnote Text Char"/>
    <w:link w:val="FootnoteText"/>
    <w:rsid w:val="001B5C90"/>
    <w:rPr>
      <w:rFonts w:ascii="Cambria" w:eastAsia="Cambria" w:hAnsi="Cambria" w:cs="Times New Roman"/>
      <w:sz w:val="18"/>
      <w:szCs w:val="20"/>
    </w:rPr>
  </w:style>
  <w:style w:type="character" w:styleId="FootnoteReference">
    <w:name w:val="footnote reference"/>
    <w:uiPriority w:val="99"/>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sz w:val="20"/>
      <w:szCs w:val="24"/>
      <w:lang w:val="x-none" w:eastAsia="x-none"/>
    </w:rPr>
  </w:style>
  <w:style w:type="character" w:customStyle="1" w:styleId="InstructionaltextChar">
    <w:name w:val="Instructional text Char"/>
    <w:link w:val="Instructionaltext"/>
    <w:uiPriority w:val="1"/>
    <w:rsid w:val="00AD3935"/>
    <w:rPr>
      <w:rFonts w:ascii="Cambria" w:eastAsia="Cambria" w:hAnsi="Cambria" w:cs="Times New Roman"/>
      <w:i/>
      <w:color w:val="22ABFF"/>
      <w:szCs w:val="24"/>
    </w:rPr>
  </w:style>
  <w:style w:type="paragraph" w:styleId="NormalWeb">
    <w:name w:val="Normal (Web)"/>
    <w:basedOn w:val="Normal"/>
    <w:uiPriority w:val="99"/>
    <w:rsid w:val="000919D6"/>
    <w:pPr>
      <w:spacing w:beforeLines="1" w:before="180" w:afterLines="1" w:after="180" w:line="240" w:lineRule="auto"/>
      <w:jc w:val="both"/>
    </w:pPr>
    <w:rPr>
      <w:rFonts w:ascii="Times" w:eastAsia="Times New Roman" w:hAnsi="Times"/>
      <w:sz w:val="20"/>
      <w:szCs w:val="20"/>
    </w:rPr>
  </w:style>
  <w:style w:type="character" w:customStyle="1" w:styleId="nowrap1">
    <w:name w:val="nowrap1"/>
    <w:rsid w:val="000919D6"/>
  </w:style>
  <w:style w:type="paragraph" w:customStyle="1" w:styleId="Bullet1">
    <w:name w:val="Bullet 1"/>
    <w:basedOn w:val="Normal"/>
    <w:rsid w:val="000919D6"/>
    <w:pPr>
      <w:numPr>
        <w:numId w:val="27"/>
      </w:numPr>
      <w:spacing w:after="0" w:line="240" w:lineRule="auto"/>
    </w:pPr>
    <w:rPr>
      <w:rFonts w:eastAsia="Times New Roman"/>
      <w:kern w:val="24"/>
      <w:lang w:eastAsia="en-AU"/>
    </w:rPr>
  </w:style>
  <w:style w:type="character" w:customStyle="1" w:styleId="A8">
    <w:name w:val="A8"/>
    <w:uiPriority w:val="99"/>
    <w:rsid w:val="000919D6"/>
    <w:rPr>
      <w:rFonts w:cs="Garamond"/>
      <w:color w:val="221E1F"/>
      <w:sz w:val="22"/>
      <w:szCs w:val="22"/>
    </w:rPr>
  </w:style>
  <w:style w:type="paragraph" w:customStyle="1" w:styleId="Bulletpoint">
    <w:name w:val="Bullet point"/>
    <w:basedOn w:val="Normal"/>
    <w:rsid w:val="00E84AB1"/>
    <w:pPr>
      <w:numPr>
        <w:numId w:val="28"/>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qFormat/>
    <w:rsid w:val="00B64D06"/>
    <w:pPr>
      <w:spacing w:before="0" w:after="220" w:line="252" w:lineRule="auto"/>
    </w:pPr>
    <w:rPr>
      <w:rFonts w:eastAsia="Times New Roman"/>
      <w:snapToGrid w:val="0"/>
      <w:kern w:val="16"/>
      <w:szCs w:val="24"/>
      <w:lang w:val="x-none"/>
    </w:rPr>
  </w:style>
  <w:style w:type="character" w:customStyle="1" w:styleId="StandardChar">
    <w:name w:val="Standard Char"/>
    <w:link w:val="Standard"/>
    <w:rsid w:val="00B64D06"/>
    <w:rPr>
      <w:rFonts w:eastAsia="Times New Roman"/>
      <w:snapToGrid w:val="0"/>
      <w:kern w:val="16"/>
      <w:sz w:val="22"/>
      <w:szCs w:val="24"/>
      <w:lang w:eastAsia="en-US"/>
    </w:rPr>
  </w:style>
  <w:style w:type="paragraph" w:customStyle="1" w:styleId="WhiteSpace">
    <w:name w:val="White Space"/>
    <w:basedOn w:val="Standard"/>
    <w:next w:val="Standard"/>
    <w:link w:val="WhiteSpaceChar"/>
    <w:rsid w:val="009160AD"/>
    <w:pPr>
      <w:spacing w:after="0"/>
    </w:pPr>
    <w:rPr>
      <w:sz w:val="16"/>
      <w:szCs w:val="16"/>
    </w:rPr>
  </w:style>
  <w:style w:type="paragraph" w:customStyle="1" w:styleId="AssessmentSubsection">
    <w:name w:val="Assessment Subsection"/>
    <w:basedOn w:val="Standard"/>
    <w:next w:val="Standard"/>
    <w:rsid w:val="009160AD"/>
    <w:pPr>
      <w:keepNext/>
      <w:spacing w:after="110"/>
      <w:outlineLvl w:val="2"/>
    </w:pPr>
    <w:rPr>
      <w:b/>
      <w:i/>
    </w:rPr>
  </w:style>
  <w:style w:type="character" w:customStyle="1" w:styleId="WhiteSpaceChar">
    <w:name w:val="White Space Char"/>
    <w:link w:val="WhiteSpace"/>
    <w:rsid w:val="009160AD"/>
    <w:rPr>
      <w:rFonts w:eastAsia="Times New Roman"/>
      <w:snapToGrid w:val="0"/>
      <w:kern w:val="16"/>
      <w:sz w:val="16"/>
      <w:szCs w:val="16"/>
      <w:lang w:eastAsia="en-US"/>
    </w:rPr>
  </w:style>
  <w:style w:type="paragraph" w:customStyle="1" w:styleId="AssessmentSection">
    <w:name w:val="Assessment Section"/>
    <w:basedOn w:val="AssessmentSubsection"/>
    <w:next w:val="Standard"/>
    <w:rsid w:val="009160AD"/>
    <w:pPr>
      <w:outlineLvl w:val="1"/>
    </w:pPr>
    <w:rPr>
      <w:i w:val="0"/>
    </w:rPr>
  </w:style>
  <w:style w:type="paragraph" w:customStyle="1" w:styleId="AssessmentSubsection2">
    <w:name w:val="Assessment Subsection 2"/>
    <w:basedOn w:val="AssessmentSubsection"/>
    <w:next w:val="Standard"/>
    <w:rsid w:val="009160AD"/>
    <w:pPr>
      <w:outlineLvl w:val="3"/>
    </w:pPr>
    <w:rPr>
      <w:b w:val="0"/>
    </w:rPr>
  </w:style>
  <w:style w:type="paragraph" w:customStyle="1" w:styleId="TableCaption">
    <w:name w:val="Table Caption"/>
    <w:basedOn w:val="Standard"/>
    <w:next w:val="Standard"/>
    <w:link w:val="TableCaptionChar"/>
    <w:rsid w:val="00D82C49"/>
    <w:pPr>
      <w:spacing w:before="60" w:after="440" w:line="215" w:lineRule="exact"/>
      <w:ind w:left="170"/>
    </w:pPr>
    <w:rPr>
      <w:sz w:val="18"/>
      <w:szCs w:val="19"/>
    </w:rPr>
  </w:style>
  <w:style w:type="character" w:customStyle="1" w:styleId="TableCaptionChar">
    <w:name w:val="Table Caption Char"/>
    <w:link w:val="TableCaption"/>
    <w:rsid w:val="00D82C49"/>
    <w:rPr>
      <w:rFonts w:eastAsia="Times New Roman"/>
      <w:snapToGrid w:val="0"/>
      <w:kern w:val="16"/>
      <w:sz w:val="18"/>
      <w:szCs w:val="19"/>
      <w:lang w:eastAsia="en-US"/>
    </w:rPr>
  </w:style>
  <w:style w:type="numbering" w:styleId="1ai">
    <w:name w:val="Outline List 1"/>
    <w:basedOn w:val="NoList"/>
    <w:semiHidden/>
    <w:rsid w:val="00D82C49"/>
    <w:pPr>
      <w:numPr>
        <w:numId w:val="29"/>
      </w:numPr>
    </w:pPr>
  </w:style>
  <w:style w:type="paragraph" w:customStyle="1" w:styleId="PISubsection2">
    <w:name w:val="PI Subsection 2"/>
    <w:basedOn w:val="Standard"/>
    <w:next w:val="Standard"/>
    <w:rsid w:val="00E03F51"/>
    <w:pPr>
      <w:keepNext/>
      <w:spacing w:after="100"/>
    </w:pPr>
    <w:rPr>
      <w:i/>
      <w:kern w:val="2"/>
    </w:rPr>
  </w:style>
  <w:style w:type="paragraph" w:customStyle="1" w:styleId="Comment1">
    <w:name w:val="Comment 1"/>
    <w:basedOn w:val="Normal"/>
    <w:next w:val="Normal"/>
    <w:rsid w:val="00900BB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kern w:val="16"/>
      <w:lang w:eastAsia="en-AU"/>
    </w:rPr>
  </w:style>
  <w:style w:type="paragraph" w:customStyle="1" w:styleId="Default">
    <w:name w:val="Default"/>
    <w:rsid w:val="00397FF1"/>
    <w:pPr>
      <w:autoSpaceDE w:val="0"/>
      <w:autoSpaceDN w:val="0"/>
      <w:adjustRightInd w:val="0"/>
    </w:pPr>
    <w:rPr>
      <w:rFonts w:ascii="Times New Roman" w:eastAsia="Times New Roman" w:hAnsi="Times New Roman"/>
      <w:color w:val="000000"/>
      <w:sz w:val="24"/>
      <w:szCs w:val="24"/>
      <w:lang w:val="en-US" w:eastAsia="en-US"/>
    </w:rPr>
  </w:style>
  <w:style w:type="paragraph" w:customStyle="1" w:styleId="Bullet2">
    <w:name w:val="Bullet 2"/>
    <w:basedOn w:val="Bullet1"/>
    <w:rsid w:val="00756B13"/>
    <w:pPr>
      <w:numPr>
        <w:numId w:val="31"/>
      </w:numPr>
    </w:pPr>
  </w:style>
  <w:style w:type="character" w:customStyle="1" w:styleId="Heading8Char">
    <w:name w:val="Heading 8 Char"/>
    <w:link w:val="Heading8"/>
    <w:uiPriority w:val="9"/>
    <w:semiHidden/>
    <w:rsid w:val="006C203C"/>
    <w:rPr>
      <w:rFonts w:ascii="Calibri" w:eastAsia="Times New Roman" w:hAnsi="Calibri" w:cs="Times New Roman"/>
      <w:i/>
      <w:iCs/>
      <w:sz w:val="24"/>
      <w:szCs w:val="24"/>
      <w:lang w:eastAsia="en-US"/>
    </w:rPr>
  </w:style>
  <w:style w:type="paragraph" w:styleId="ListParagraph">
    <w:name w:val="List Paragraph"/>
    <w:basedOn w:val="Normal"/>
    <w:uiPriority w:val="34"/>
    <w:qFormat/>
    <w:rsid w:val="00A92FE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paragraph" w:customStyle="1" w:styleId="Comment2">
    <w:name w:val="Comment 2"/>
    <w:basedOn w:val="Normal"/>
    <w:rsid w:val="0058459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kern w:val="16"/>
      <w:lang w:eastAsia="en-AU"/>
    </w:rPr>
  </w:style>
  <w:style w:type="paragraph" w:customStyle="1" w:styleId="A-Head2">
    <w:name w:val="A-Head 2"/>
    <w:basedOn w:val="Normal"/>
    <w:rsid w:val="00487A05"/>
    <w:pPr>
      <w:tabs>
        <w:tab w:val="left" w:pos="1134"/>
      </w:tabs>
      <w:spacing w:before="240" w:after="60" w:line="240" w:lineRule="auto"/>
      <w:ind w:right="-108"/>
    </w:pPr>
    <w:rPr>
      <w:rFonts w:ascii="Arial" w:eastAsia="Times New Roman" w:hAnsi="Arial"/>
      <w:b/>
      <w:sz w:val="32"/>
      <w:szCs w:val="20"/>
      <w:lang w:eastAsia="en-AU"/>
    </w:rPr>
  </w:style>
  <w:style w:type="character" w:styleId="Emphasis">
    <w:name w:val="Emphasis"/>
    <w:uiPriority w:val="20"/>
    <w:qFormat/>
    <w:rsid w:val="00BF6C3F"/>
    <w:rPr>
      <w:b/>
      <w:bCs/>
      <w:i w:val="0"/>
      <w:iCs w:val="0"/>
    </w:rPr>
  </w:style>
  <w:style w:type="character" w:customStyle="1" w:styleId="st">
    <w:name w:val="st"/>
    <w:rsid w:val="00BF6C3F"/>
  </w:style>
  <w:style w:type="character" w:customStyle="1" w:styleId="TableTitleChar">
    <w:name w:val="Table Title Char"/>
    <w:link w:val="TableTitle"/>
    <w:rsid w:val="00E71F4A"/>
    <w:rPr>
      <w:b/>
      <w:szCs w:val="22"/>
      <w:lang w:eastAsia="en-US"/>
    </w:rPr>
  </w:style>
  <w:style w:type="character" w:customStyle="1" w:styleId="TabletextChar">
    <w:name w:val="Table text Char"/>
    <w:link w:val="Tabletext"/>
    <w:rsid w:val="00E71F4A"/>
    <w:rPr>
      <w:sz w:val="19"/>
      <w:szCs w:val="22"/>
      <w:lang w:eastAsia="en-US"/>
    </w:rPr>
  </w:style>
  <w:style w:type="paragraph" w:customStyle="1" w:styleId="TableHeader">
    <w:name w:val="Table Header"/>
    <w:basedOn w:val="Normal"/>
    <w:rsid w:val="00E71F4A"/>
    <w:pPr>
      <w:keepNext/>
      <w:keepLines/>
      <w:widowControl w:val="0"/>
      <w:spacing w:before="60" w:after="60" w:line="200" w:lineRule="exact"/>
      <w:jc w:val="center"/>
    </w:pPr>
    <w:rPr>
      <w:rFonts w:eastAsia="MS Mincho"/>
      <w:b/>
      <w:kern w:val="2"/>
      <w:sz w:val="19"/>
      <w:szCs w:val="19"/>
    </w:rPr>
  </w:style>
  <w:style w:type="character" w:styleId="CommentReference">
    <w:name w:val="annotation reference"/>
    <w:uiPriority w:val="99"/>
    <w:semiHidden/>
    <w:unhideWhenUsed/>
    <w:rsid w:val="006A17EB"/>
    <w:rPr>
      <w:sz w:val="16"/>
      <w:szCs w:val="16"/>
    </w:rPr>
  </w:style>
  <w:style w:type="paragraph" w:styleId="CommentText">
    <w:name w:val="annotation text"/>
    <w:basedOn w:val="Normal"/>
    <w:link w:val="CommentTextChar"/>
    <w:uiPriority w:val="99"/>
    <w:semiHidden/>
    <w:unhideWhenUsed/>
    <w:rsid w:val="006A17EB"/>
    <w:rPr>
      <w:sz w:val="20"/>
      <w:szCs w:val="20"/>
    </w:rPr>
  </w:style>
  <w:style w:type="character" w:customStyle="1" w:styleId="CommentTextChar">
    <w:name w:val="Comment Text Char"/>
    <w:link w:val="CommentText"/>
    <w:uiPriority w:val="99"/>
    <w:semiHidden/>
    <w:rsid w:val="006A17EB"/>
    <w:rPr>
      <w:lang w:eastAsia="en-US"/>
    </w:rPr>
  </w:style>
  <w:style w:type="paragraph" w:styleId="CommentSubject">
    <w:name w:val="annotation subject"/>
    <w:basedOn w:val="CommentText"/>
    <w:next w:val="CommentText"/>
    <w:link w:val="CommentSubjectChar"/>
    <w:uiPriority w:val="99"/>
    <w:semiHidden/>
    <w:unhideWhenUsed/>
    <w:rsid w:val="006A17EB"/>
    <w:rPr>
      <w:b/>
      <w:bCs/>
    </w:rPr>
  </w:style>
  <w:style w:type="character" w:customStyle="1" w:styleId="CommentSubjectChar">
    <w:name w:val="Comment Subject Char"/>
    <w:link w:val="CommentSubject"/>
    <w:uiPriority w:val="99"/>
    <w:semiHidden/>
    <w:rsid w:val="006A17EB"/>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Outline List 1"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sz w:val="22"/>
      <w:szCs w:val="22"/>
      <w:lang w:eastAsia="en-US"/>
    </w:rPr>
  </w:style>
  <w:style w:type="paragraph" w:styleId="Heading1">
    <w:name w:val="heading 1"/>
    <w:basedOn w:val="Heading2"/>
    <w:next w:val="Normal"/>
    <w:link w:val="Heading1Char"/>
    <w:rsid w:val="000C690F"/>
    <w:pPr>
      <w:spacing w:before="120" w:after="360"/>
      <w:outlineLvl w:val="0"/>
    </w:pPr>
    <w:rPr>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lang w:val="x-none" w:eastAsia="x-none"/>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 w:val="20"/>
      <w:szCs w:val="21"/>
      <w:lang w:val="x-none" w:eastAsia="x-none"/>
    </w:rPr>
  </w:style>
  <w:style w:type="paragraph" w:styleId="Heading4">
    <w:name w:val="heading 4"/>
    <w:basedOn w:val="Normal"/>
    <w:next w:val="Normal"/>
    <w:link w:val="Heading4Char"/>
    <w:qFormat/>
    <w:rsid w:val="00AD0083"/>
    <w:pPr>
      <w:keepNext/>
      <w:spacing w:before="360" w:after="0" w:line="220" w:lineRule="atLeast"/>
      <w:outlineLvl w:val="3"/>
    </w:pPr>
    <w:rPr>
      <w:b/>
      <w:bCs/>
      <w:sz w:val="20"/>
      <w:szCs w:val="21"/>
      <w:lang w:val="x-none" w:eastAsia="x-none"/>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 w:val="20"/>
      <w:szCs w:val="21"/>
      <w:lang w:val="x-none" w:eastAsia="x-none"/>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 w:val="20"/>
      <w:szCs w:val="21"/>
      <w:lang w:val="x-none" w:eastAsia="x-none"/>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lang w:val="x-none" w:eastAsia="x-none"/>
    </w:rPr>
  </w:style>
  <w:style w:type="paragraph" w:styleId="Heading8">
    <w:name w:val="heading 8"/>
    <w:basedOn w:val="Normal"/>
    <w:next w:val="Normal"/>
    <w:link w:val="Heading8Char"/>
    <w:uiPriority w:val="9"/>
    <w:semiHidden/>
    <w:unhideWhenUsed/>
    <w:qFormat/>
    <w:rsid w:val="006C203C"/>
    <w:pPr>
      <w:spacing w:before="240" w:after="60"/>
      <w:outlineLvl w:val="7"/>
    </w:pPr>
    <w:rPr>
      <w:rFonts w:ascii="Calibri" w:eastAsia="Times New Roman" w:hAnsi="Calibri"/>
      <w:i/>
      <w:iCs/>
      <w:sz w:val="24"/>
      <w:szCs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AD3935"/>
    <w:rPr>
      <w:rFonts w:ascii="Arial" w:eastAsia="Times New Roman" w:hAnsi="Arial" w:cs="Times New Roman"/>
      <w:b/>
      <w:bCs/>
      <w:sz w:val="32"/>
      <w:szCs w:val="26"/>
    </w:rPr>
  </w:style>
  <w:style w:type="character" w:customStyle="1" w:styleId="Heading3Char">
    <w:name w:val="Heading 3 Char"/>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szCs w:val="20"/>
      <w:lang w:val="x-none" w:eastAsia="x-none"/>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szCs w:val="20"/>
      <w:lang w:val="x-none" w:eastAsia="x-none"/>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szCs w:val="20"/>
      <w:lang w:val="x-none" w:eastAsia="x-none"/>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rsid w:val="00AD3935"/>
    <w:rPr>
      <w:rFonts w:ascii="Cambria" w:eastAsia="Times New Roman" w:hAnsi="Cambria" w:cs="Times New Roman"/>
      <w:b/>
      <w:bCs/>
      <w:i/>
      <w:color w:val="001523"/>
      <w:szCs w:val="21"/>
    </w:rPr>
  </w:style>
  <w:style w:type="character" w:customStyle="1" w:styleId="Heading6Char">
    <w:name w:val="Heading 6 Char"/>
    <w:link w:val="Heading6"/>
    <w:uiPriority w:val="9"/>
    <w:rsid w:val="00577130"/>
    <w:rPr>
      <w:rFonts w:ascii="Cambria" w:eastAsia="Times New Roman" w:hAnsi="Cambria" w:cs="Times New Roman"/>
      <w:bCs/>
      <w:i/>
      <w:szCs w:val="21"/>
    </w:rPr>
  </w:style>
  <w:style w:type="character" w:customStyle="1" w:styleId="Heading7Char">
    <w:name w:val="Heading 7 Char"/>
    <w:link w:val="Heading7"/>
    <w:uiPriority w:val="9"/>
    <w:rsid w:val="00AD0083"/>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lang w:val="x-none" w:eastAsia="x-none"/>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Heading1">
    <w:name w:val="Table Heading 1"/>
    <w:basedOn w:val="Normal"/>
    <w:rsid w:val="00F3148D"/>
    <w:rPr>
      <w:b/>
      <w:color w:val="FFFFFF"/>
      <w:sz w:val="19"/>
    </w:rPr>
  </w:style>
  <w:style w:type="paragraph" w:customStyle="1" w:styleId="TableHeading2">
    <w:name w:val="Table Heading 2"/>
    <w:basedOn w:val="Normal"/>
    <w:rsid w:val="00F3148D"/>
    <w:rPr>
      <w:b/>
      <w:sz w:val="19"/>
    </w:rPr>
  </w:style>
  <w:style w:type="paragraph" w:customStyle="1" w:styleId="Tabletext">
    <w:name w:val="Table text"/>
    <w:basedOn w:val="Normal"/>
    <w:link w:val="TabletextChar"/>
    <w:rsid w:val="00F3148D"/>
    <w:rPr>
      <w:sz w:val="19"/>
      <w:lang w:val="x-none"/>
    </w:rPr>
  </w:style>
  <w:style w:type="table" w:customStyle="1" w:styleId="TableTGAblue">
    <w:name w:val="Table TGA blue"/>
    <w:basedOn w:val="TableNormal"/>
    <w:uiPriority w:val="99"/>
    <w:qFormat/>
    <w:rsid w:val="00FD119B"/>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770EF1"/>
    <w:pPr>
      <w:keepNext/>
    </w:pPr>
    <w:rPr>
      <w:b/>
      <w:sz w:val="20"/>
      <w:lang w:val="x-none"/>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rPr>
  </w:style>
  <w:style w:type="character" w:customStyle="1" w:styleId="TitleChar">
    <w:name w:val="Title Char"/>
    <w:link w:val="Title"/>
    <w:uiPriority w:val="10"/>
    <w:rsid w:val="00F3148D"/>
    <w:rPr>
      <w:rFonts w:ascii="Arial" w:eastAsia="Times New Roman" w:hAnsi="Arial"/>
      <w:spacing w:val="5"/>
      <w:kern w:val="28"/>
      <w:sz w:val="52"/>
      <w:szCs w:val="52"/>
      <w:lang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lang w:val="x-none" w:eastAsia="x-none"/>
    </w:rPr>
  </w:style>
  <w:style w:type="character" w:customStyle="1" w:styleId="FootnoteTextChar">
    <w:name w:val="Footnote Text Char"/>
    <w:link w:val="FootnoteText"/>
    <w:rsid w:val="001B5C90"/>
    <w:rPr>
      <w:rFonts w:ascii="Cambria" w:eastAsia="Cambria" w:hAnsi="Cambria" w:cs="Times New Roman"/>
      <w:sz w:val="18"/>
      <w:szCs w:val="20"/>
    </w:rPr>
  </w:style>
  <w:style w:type="character" w:styleId="FootnoteReference">
    <w:name w:val="footnote reference"/>
    <w:uiPriority w:val="99"/>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sz w:val="20"/>
      <w:szCs w:val="24"/>
      <w:lang w:val="x-none" w:eastAsia="x-none"/>
    </w:rPr>
  </w:style>
  <w:style w:type="character" w:customStyle="1" w:styleId="InstructionaltextChar">
    <w:name w:val="Instructional text Char"/>
    <w:link w:val="Instructionaltext"/>
    <w:uiPriority w:val="1"/>
    <w:rsid w:val="00AD3935"/>
    <w:rPr>
      <w:rFonts w:ascii="Cambria" w:eastAsia="Cambria" w:hAnsi="Cambria" w:cs="Times New Roman"/>
      <w:i/>
      <w:color w:val="22ABFF"/>
      <w:szCs w:val="24"/>
    </w:rPr>
  </w:style>
  <w:style w:type="paragraph" w:styleId="NormalWeb">
    <w:name w:val="Normal (Web)"/>
    <w:basedOn w:val="Normal"/>
    <w:uiPriority w:val="99"/>
    <w:rsid w:val="000919D6"/>
    <w:pPr>
      <w:spacing w:beforeLines="1" w:before="180" w:afterLines="1" w:after="180" w:line="240" w:lineRule="auto"/>
      <w:jc w:val="both"/>
    </w:pPr>
    <w:rPr>
      <w:rFonts w:ascii="Times" w:eastAsia="Times New Roman" w:hAnsi="Times"/>
      <w:sz w:val="20"/>
      <w:szCs w:val="20"/>
    </w:rPr>
  </w:style>
  <w:style w:type="character" w:customStyle="1" w:styleId="nowrap1">
    <w:name w:val="nowrap1"/>
    <w:rsid w:val="000919D6"/>
  </w:style>
  <w:style w:type="paragraph" w:customStyle="1" w:styleId="Bullet1">
    <w:name w:val="Bullet 1"/>
    <w:basedOn w:val="Normal"/>
    <w:rsid w:val="000919D6"/>
    <w:pPr>
      <w:numPr>
        <w:numId w:val="27"/>
      </w:numPr>
      <w:spacing w:after="0" w:line="240" w:lineRule="auto"/>
    </w:pPr>
    <w:rPr>
      <w:rFonts w:eastAsia="Times New Roman"/>
      <w:kern w:val="24"/>
      <w:lang w:eastAsia="en-AU"/>
    </w:rPr>
  </w:style>
  <w:style w:type="character" w:customStyle="1" w:styleId="A8">
    <w:name w:val="A8"/>
    <w:uiPriority w:val="99"/>
    <w:rsid w:val="000919D6"/>
    <w:rPr>
      <w:rFonts w:cs="Garamond"/>
      <w:color w:val="221E1F"/>
      <w:sz w:val="22"/>
      <w:szCs w:val="22"/>
    </w:rPr>
  </w:style>
  <w:style w:type="paragraph" w:customStyle="1" w:styleId="Bulletpoint">
    <w:name w:val="Bullet point"/>
    <w:basedOn w:val="Normal"/>
    <w:rsid w:val="00E84AB1"/>
    <w:pPr>
      <w:numPr>
        <w:numId w:val="28"/>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qFormat/>
    <w:rsid w:val="00B64D06"/>
    <w:pPr>
      <w:spacing w:before="0" w:after="220" w:line="252" w:lineRule="auto"/>
    </w:pPr>
    <w:rPr>
      <w:rFonts w:eastAsia="Times New Roman"/>
      <w:snapToGrid w:val="0"/>
      <w:kern w:val="16"/>
      <w:szCs w:val="24"/>
      <w:lang w:val="x-none"/>
    </w:rPr>
  </w:style>
  <w:style w:type="character" w:customStyle="1" w:styleId="StandardChar">
    <w:name w:val="Standard Char"/>
    <w:link w:val="Standard"/>
    <w:rsid w:val="00B64D06"/>
    <w:rPr>
      <w:rFonts w:eastAsia="Times New Roman"/>
      <w:snapToGrid w:val="0"/>
      <w:kern w:val="16"/>
      <w:sz w:val="22"/>
      <w:szCs w:val="24"/>
      <w:lang w:eastAsia="en-US"/>
    </w:rPr>
  </w:style>
  <w:style w:type="paragraph" w:customStyle="1" w:styleId="WhiteSpace">
    <w:name w:val="White Space"/>
    <w:basedOn w:val="Standard"/>
    <w:next w:val="Standard"/>
    <w:link w:val="WhiteSpaceChar"/>
    <w:rsid w:val="009160AD"/>
    <w:pPr>
      <w:spacing w:after="0"/>
    </w:pPr>
    <w:rPr>
      <w:sz w:val="16"/>
      <w:szCs w:val="16"/>
    </w:rPr>
  </w:style>
  <w:style w:type="paragraph" w:customStyle="1" w:styleId="AssessmentSubsection">
    <w:name w:val="Assessment Subsection"/>
    <w:basedOn w:val="Standard"/>
    <w:next w:val="Standard"/>
    <w:rsid w:val="009160AD"/>
    <w:pPr>
      <w:keepNext/>
      <w:spacing w:after="110"/>
      <w:outlineLvl w:val="2"/>
    </w:pPr>
    <w:rPr>
      <w:b/>
      <w:i/>
    </w:rPr>
  </w:style>
  <w:style w:type="character" w:customStyle="1" w:styleId="WhiteSpaceChar">
    <w:name w:val="White Space Char"/>
    <w:link w:val="WhiteSpace"/>
    <w:rsid w:val="009160AD"/>
    <w:rPr>
      <w:rFonts w:eastAsia="Times New Roman"/>
      <w:snapToGrid w:val="0"/>
      <w:kern w:val="16"/>
      <w:sz w:val="16"/>
      <w:szCs w:val="16"/>
      <w:lang w:eastAsia="en-US"/>
    </w:rPr>
  </w:style>
  <w:style w:type="paragraph" w:customStyle="1" w:styleId="AssessmentSection">
    <w:name w:val="Assessment Section"/>
    <w:basedOn w:val="AssessmentSubsection"/>
    <w:next w:val="Standard"/>
    <w:rsid w:val="009160AD"/>
    <w:pPr>
      <w:outlineLvl w:val="1"/>
    </w:pPr>
    <w:rPr>
      <w:i w:val="0"/>
    </w:rPr>
  </w:style>
  <w:style w:type="paragraph" w:customStyle="1" w:styleId="AssessmentSubsection2">
    <w:name w:val="Assessment Subsection 2"/>
    <w:basedOn w:val="AssessmentSubsection"/>
    <w:next w:val="Standard"/>
    <w:rsid w:val="009160AD"/>
    <w:pPr>
      <w:outlineLvl w:val="3"/>
    </w:pPr>
    <w:rPr>
      <w:b w:val="0"/>
    </w:rPr>
  </w:style>
  <w:style w:type="paragraph" w:customStyle="1" w:styleId="TableCaption">
    <w:name w:val="Table Caption"/>
    <w:basedOn w:val="Standard"/>
    <w:next w:val="Standard"/>
    <w:link w:val="TableCaptionChar"/>
    <w:rsid w:val="00D82C49"/>
    <w:pPr>
      <w:spacing w:before="60" w:after="440" w:line="215" w:lineRule="exact"/>
      <w:ind w:left="170"/>
    </w:pPr>
    <w:rPr>
      <w:sz w:val="18"/>
      <w:szCs w:val="19"/>
    </w:rPr>
  </w:style>
  <w:style w:type="character" w:customStyle="1" w:styleId="TableCaptionChar">
    <w:name w:val="Table Caption Char"/>
    <w:link w:val="TableCaption"/>
    <w:rsid w:val="00D82C49"/>
    <w:rPr>
      <w:rFonts w:eastAsia="Times New Roman"/>
      <w:snapToGrid w:val="0"/>
      <w:kern w:val="16"/>
      <w:sz w:val="18"/>
      <w:szCs w:val="19"/>
      <w:lang w:eastAsia="en-US"/>
    </w:rPr>
  </w:style>
  <w:style w:type="numbering" w:styleId="1ai">
    <w:name w:val="Outline List 1"/>
    <w:basedOn w:val="NoList"/>
    <w:semiHidden/>
    <w:rsid w:val="00D82C49"/>
    <w:pPr>
      <w:numPr>
        <w:numId w:val="29"/>
      </w:numPr>
    </w:pPr>
  </w:style>
  <w:style w:type="paragraph" w:customStyle="1" w:styleId="PISubsection2">
    <w:name w:val="PI Subsection 2"/>
    <w:basedOn w:val="Standard"/>
    <w:next w:val="Standard"/>
    <w:rsid w:val="00E03F51"/>
    <w:pPr>
      <w:keepNext/>
      <w:spacing w:after="100"/>
    </w:pPr>
    <w:rPr>
      <w:i/>
      <w:kern w:val="2"/>
    </w:rPr>
  </w:style>
  <w:style w:type="paragraph" w:customStyle="1" w:styleId="Comment1">
    <w:name w:val="Comment 1"/>
    <w:basedOn w:val="Normal"/>
    <w:next w:val="Normal"/>
    <w:rsid w:val="00900BB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kern w:val="16"/>
      <w:lang w:eastAsia="en-AU"/>
    </w:rPr>
  </w:style>
  <w:style w:type="paragraph" w:customStyle="1" w:styleId="Default">
    <w:name w:val="Default"/>
    <w:rsid w:val="00397FF1"/>
    <w:pPr>
      <w:autoSpaceDE w:val="0"/>
      <w:autoSpaceDN w:val="0"/>
      <w:adjustRightInd w:val="0"/>
    </w:pPr>
    <w:rPr>
      <w:rFonts w:ascii="Times New Roman" w:eastAsia="Times New Roman" w:hAnsi="Times New Roman"/>
      <w:color w:val="000000"/>
      <w:sz w:val="24"/>
      <w:szCs w:val="24"/>
      <w:lang w:val="en-US" w:eastAsia="en-US"/>
    </w:rPr>
  </w:style>
  <w:style w:type="paragraph" w:customStyle="1" w:styleId="Bullet2">
    <w:name w:val="Bullet 2"/>
    <w:basedOn w:val="Bullet1"/>
    <w:rsid w:val="00756B13"/>
    <w:pPr>
      <w:numPr>
        <w:numId w:val="31"/>
      </w:numPr>
    </w:pPr>
  </w:style>
  <w:style w:type="character" w:customStyle="1" w:styleId="Heading8Char">
    <w:name w:val="Heading 8 Char"/>
    <w:link w:val="Heading8"/>
    <w:uiPriority w:val="9"/>
    <w:semiHidden/>
    <w:rsid w:val="006C203C"/>
    <w:rPr>
      <w:rFonts w:ascii="Calibri" w:eastAsia="Times New Roman" w:hAnsi="Calibri" w:cs="Times New Roman"/>
      <w:i/>
      <w:iCs/>
      <w:sz w:val="24"/>
      <w:szCs w:val="24"/>
      <w:lang w:eastAsia="en-US"/>
    </w:rPr>
  </w:style>
  <w:style w:type="paragraph" w:styleId="ListParagraph">
    <w:name w:val="List Paragraph"/>
    <w:basedOn w:val="Normal"/>
    <w:uiPriority w:val="34"/>
    <w:qFormat/>
    <w:rsid w:val="00A92FE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paragraph" w:customStyle="1" w:styleId="Comment2">
    <w:name w:val="Comment 2"/>
    <w:basedOn w:val="Normal"/>
    <w:rsid w:val="0058459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kern w:val="16"/>
      <w:lang w:eastAsia="en-AU"/>
    </w:rPr>
  </w:style>
  <w:style w:type="paragraph" w:customStyle="1" w:styleId="A-Head2">
    <w:name w:val="A-Head 2"/>
    <w:basedOn w:val="Normal"/>
    <w:rsid w:val="00487A05"/>
    <w:pPr>
      <w:tabs>
        <w:tab w:val="left" w:pos="1134"/>
      </w:tabs>
      <w:spacing w:before="240" w:after="60" w:line="240" w:lineRule="auto"/>
      <w:ind w:right="-108"/>
    </w:pPr>
    <w:rPr>
      <w:rFonts w:ascii="Arial" w:eastAsia="Times New Roman" w:hAnsi="Arial"/>
      <w:b/>
      <w:sz w:val="32"/>
      <w:szCs w:val="20"/>
      <w:lang w:eastAsia="en-AU"/>
    </w:rPr>
  </w:style>
  <w:style w:type="character" w:styleId="Emphasis">
    <w:name w:val="Emphasis"/>
    <w:uiPriority w:val="20"/>
    <w:qFormat/>
    <w:rsid w:val="00BF6C3F"/>
    <w:rPr>
      <w:b/>
      <w:bCs/>
      <w:i w:val="0"/>
      <w:iCs w:val="0"/>
    </w:rPr>
  </w:style>
  <w:style w:type="character" w:customStyle="1" w:styleId="st">
    <w:name w:val="st"/>
    <w:rsid w:val="00BF6C3F"/>
  </w:style>
  <w:style w:type="character" w:customStyle="1" w:styleId="TableTitleChar">
    <w:name w:val="Table Title Char"/>
    <w:link w:val="TableTitle"/>
    <w:rsid w:val="00E71F4A"/>
    <w:rPr>
      <w:b/>
      <w:szCs w:val="22"/>
      <w:lang w:eastAsia="en-US"/>
    </w:rPr>
  </w:style>
  <w:style w:type="character" w:customStyle="1" w:styleId="TabletextChar">
    <w:name w:val="Table text Char"/>
    <w:link w:val="Tabletext"/>
    <w:rsid w:val="00E71F4A"/>
    <w:rPr>
      <w:sz w:val="19"/>
      <w:szCs w:val="22"/>
      <w:lang w:eastAsia="en-US"/>
    </w:rPr>
  </w:style>
  <w:style w:type="paragraph" w:customStyle="1" w:styleId="TableHeader">
    <w:name w:val="Table Header"/>
    <w:basedOn w:val="Normal"/>
    <w:rsid w:val="00E71F4A"/>
    <w:pPr>
      <w:keepNext/>
      <w:keepLines/>
      <w:widowControl w:val="0"/>
      <w:spacing w:before="60" w:after="60" w:line="200" w:lineRule="exact"/>
      <w:jc w:val="center"/>
    </w:pPr>
    <w:rPr>
      <w:rFonts w:eastAsia="MS Mincho"/>
      <w:b/>
      <w:kern w:val="2"/>
      <w:sz w:val="19"/>
      <w:szCs w:val="19"/>
    </w:rPr>
  </w:style>
  <w:style w:type="character" w:styleId="CommentReference">
    <w:name w:val="annotation reference"/>
    <w:uiPriority w:val="99"/>
    <w:semiHidden/>
    <w:unhideWhenUsed/>
    <w:rsid w:val="006A17EB"/>
    <w:rPr>
      <w:sz w:val="16"/>
      <w:szCs w:val="16"/>
    </w:rPr>
  </w:style>
  <w:style w:type="paragraph" w:styleId="CommentText">
    <w:name w:val="annotation text"/>
    <w:basedOn w:val="Normal"/>
    <w:link w:val="CommentTextChar"/>
    <w:uiPriority w:val="99"/>
    <w:semiHidden/>
    <w:unhideWhenUsed/>
    <w:rsid w:val="006A17EB"/>
    <w:rPr>
      <w:sz w:val="20"/>
      <w:szCs w:val="20"/>
    </w:rPr>
  </w:style>
  <w:style w:type="character" w:customStyle="1" w:styleId="CommentTextChar">
    <w:name w:val="Comment Text Char"/>
    <w:link w:val="CommentText"/>
    <w:uiPriority w:val="99"/>
    <w:semiHidden/>
    <w:rsid w:val="006A17EB"/>
    <w:rPr>
      <w:lang w:eastAsia="en-US"/>
    </w:rPr>
  </w:style>
  <w:style w:type="paragraph" w:styleId="CommentSubject">
    <w:name w:val="annotation subject"/>
    <w:basedOn w:val="CommentText"/>
    <w:next w:val="CommentText"/>
    <w:link w:val="CommentSubjectChar"/>
    <w:uiPriority w:val="99"/>
    <w:semiHidden/>
    <w:unhideWhenUsed/>
    <w:rsid w:val="006A17EB"/>
    <w:rPr>
      <w:b/>
      <w:bCs/>
    </w:rPr>
  </w:style>
  <w:style w:type="character" w:customStyle="1" w:styleId="CommentSubjectChar">
    <w:name w:val="Comment Subject Char"/>
    <w:link w:val="CommentSubject"/>
    <w:uiPriority w:val="99"/>
    <w:semiHidden/>
    <w:rsid w:val="006A17EB"/>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222605">
      <w:bodyDiv w:val="1"/>
      <w:marLeft w:val="0"/>
      <w:marRight w:val="0"/>
      <w:marTop w:val="0"/>
      <w:marBottom w:val="0"/>
      <w:divBdr>
        <w:top w:val="none" w:sz="0" w:space="0" w:color="auto"/>
        <w:left w:val="none" w:sz="0" w:space="0" w:color="auto"/>
        <w:bottom w:val="none" w:sz="0" w:space="0" w:color="auto"/>
        <w:right w:val="none" w:sz="0" w:space="0" w:color="auto"/>
      </w:divBdr>
      <w:divsChild>
        <w:div w:id="433944835">
          <w:marLeft w:val="0"/>
          <w:marRight w:val="0"/>
          <w:marTop w:val="0"/>
          <w:marBottom w:val="0"/>
          <w:divBdr>
            <w:top w:val="none" w:sz="0" w:space="0" w:color="auto"/>
            <w:left w:val="none" w:sz="0" w:space="0" w:color="auto"/>
            <w:bottom w:val="none" w:sz="0" w:space="0" w:color="auto"/>
            <w:right w:val="none" w:sz="0" w:space="0" w:color="auto"/>
          </w:divBdr>
          <w:divsChild>
            <w:div w:id="1783836169">
              <w:marLeft w:val="0"/>
              <w:marRight w:val="0"/>
              <w:marTop w:val="0"/>
              <w:marBottom w:val="0"/>
              <w:divBdr>
                <w:top w:val="none" w:sz="0" w:space="0" w:color="auto"/>
                <w:left w:val="none" w:sz="0" w:space="0" w:color="auto"/>
                <w:bottom w:val="none" w:sz="0" w:space="0" w:color="auto"/>
                <w:right w:val="none" w:sz="0" w:space="0" w:color="auto"/>
              </w:divBdr>
              <w:divsChild>
                <w:div w:id="945697681">
                  <w:marLeft w:val="0"/>
                  <w:marRight w:val="0"/>
                  <w:marTop w:val="0"/>
                  <w:marBottom w:val="0"/>
                  <w:divBdr>
                    <w:top w:val="none" w:sz="0" w:space="0" w:color="auto"/>
                    <w:left w:val="none" w:sz="0" w:space="0" w:color="auto"/>
                    <w:bottom w:val="none" w:sz="0" w:space="0" w:color="auto"/>
                    <w:right w:val="none" w:sz="0" w:space="0" w:color="auto"/>
                  </w:divBdr>
                  <w:divsChild>
                    <w:div w:id="644971173">
                      <w:marLeft w:val="0"/>
                      <w:marRight w:val="0"/>
                      <w:marTop w:val="0"/>
                      <w:marBottom w:val="0"/>
                      <w:divBdr>
                        <w:top w:val="none" w:sz="0" w:space="0" w:color="auto"/>
                        <w:left w:val="none" w:sz="0" w:space="0" w:color="auto"/>
                        <w:bottom w:val="none" w:sz="0" w:space="0" w:color="auto"/>
                        <w:right w:val="none" w:sz="0" w:space="0" w:color="auto"/>
                      </w:divBdr>
                      <w:divsChild>
                        <w:div w:id="902911653">
                          <w:marLeft w:val="0"/>
                          <w:marRight w:val="0"/>
                          <w:marTop w:val="0"/>
                          <w:marBottom w:val="0"/>
                          <w:divBdr>
                            <w:top w:val="none" w:sz="0" w:space="0" w:color="auto"/>
                            <w:left w:val="none" w:sz="0" w:space="0" w:color="auto"/>
                            <w:bottom w:val="none" w:sz="0" w:space="0" w:color="auto"/>
                            <w:right w:val="none" w:sz="0" w:space="0" w:color="auto"/>
                          </w:divBdr>
                          <w:divsChild>
                            <w:div w:id="986740379">
                              <w:marLeft w:val="0"/>
                              <w:marRight w:val="0"/>
                              <w:marTop w:val="0"/>
                              <w:marBottom w:val="0"/>
                              <w:divBdr>
                                <w:top w:val="none" w:sz="0" w:space="0" w:color="auto"/>
                                <w:left w:val="none" w:sz="0" w:space="0" w:color="auto"/>
                                <w:bottom w:val="none" w:sz="0" w:space="0" w:color="auto"/>
                                <w:right w:val="none" w:sz="0" w:space="0" w:color="auto"/>
                              </w:divBdr>
                              <w:divsChild>
                                <w:div w:id="779683208">
                                  <w:marLeft w:val="0"/>
                                  <w:marRight w:val="0"/>
                                  <w:marTop w:val="0"/>
                                  <w:marBottom w:val="0"/>
                                  <w:divBdr>
                                    <w:top w:val="none" w:sz="0" w:space="0" w:color="auto"/>
                                    <w:left w:val="none" w:sz="0" w:space="0" w:color="auto"/>
                                    <w:bottom w:val="none" w:sz="0" w:space="0" w:color="auto"/>
                                    <w:right w:val="none" w:sz="0" w:space="0" w:color="auto"/>
                                  </w:divBdr>
                                  <w:divsChild>
                                    <w:div w:id="1881436836">
                                      <w:marLeft w:val="0"/>
                                      <w:marRight w:val="0"/>
                                      <w:marTop w:val="0"/>
                                      <w:marBottom w:val="0"/>
                                      <w:divBdr>
                                        <w:top w:val="none" w:sz="0" w:space="0" w:color="auto"/>
                                        <w:left w:val="none" w:sz="0" w:space="0" w:color="auto"/>
                                        <w:bottom w:val="none" w:sz="0" w:space="0" w:color="auto"/>
                                        <w:right w:val="none" w:sz="0" w:space="0" w:color="auto"/>
                                      </w:divBdr>
                                      <w:divsChild>
                                        <w:div w:id="2042169975">
                                          <w:marLeft w:val="0"/>
                                          <w:marRight w:val="0"/>
                                          <w:marTop w:val="0"/>
                                          <w:marBottom w:val="0"/>
                                          <w:divBdr>
                                            <w:top w:val="none" w:sz="0" w:space="0" w:color="auto"/>
                                            <w:left w:val="none" w:sz="0" w:space="0" w:color="auto"/>
                                            <w:bottom w:val="none" w:sz="0" w:space="0" w:color="auto"/>
                                            <w:right w:val="none" w:sz="0" w:space="0" w:color="auto"/>
                                          </w:divBdr>
                                          <w:divsChild>
                                            <w:div w:id="624583577">
                                              <w:marLeft w:val="0"/>
                                              <w:marRight w:val="0"/>
                                              <w:marTop w:val="0"/>
                                              <w:marBottom w:val="0"/>
                                              <w:divBdr>
                                                <w:top w:val="none" w:sz="0" w:space="0" w:color="auto"/>
                                                <w:left w:val="none" w:sz="0" w:space="0" w:color="auto"/>
                                                <w:bottom w:val="none" w:sz="0" w:space="0" w:color="auto"/>
                                                <w:right w:val="none" w:sz="0" w:space="0" w:color="auto"/>
                                              </w:divBdr>
                                              <w:divsChild>
                                                <w:div w:id="590697492">
                                                  <w:marLeft w:val="0"/>
                                                  <w:marRight w:val="0"/>
                                                  <w:marTop w:val="0"/>
                                                  <w:marBottom w:val="0"/>
                                                  <w:divBdr>
                                                    <w:top w:val="none" w:sz="0" w:space="0" w:color="auto"/>
                                                    <w:left w:val="none" w:sz="0" w:space="0" w:color="auto"/>
                                                    <w:bottom w:val="none" w:sz="0" w:space="0" w:color="auto"/>
                                                    <w:right w:val="none" w:sz="0" w:space="0" w:color="auto"/>
                                                  </w:divBdr>
                                                  <w:divsChild>
                                                    <w:div w:id="75785054">
                                                      <w:marLeft w:val="0"/>
                                                      <w:marRight w:val="0"/>
                                                      <w:marTop w:val="0"/>
                                                      <w:marBottom w:val="0"/>
                                                      <w:divBdr>
                                                        <w:top w:val="none" w:sz="0" w:space="0" w:color="auto"/>
                                                        <w:left w:val="none" w:sz="0" w:space="0" w:color="auto"/>
                                                        <w:bottom w:val="none" w:sz="0" w:space="0" w:color="auto"/>
                                                        <w:right w:val="none" w:sz="0" w:space="0" w:color="auto"/>
                                                      </w:divBdr>
                                                      <w:divsChild>
                                                        <w:div w:id="166989038">
                                                          <w:marLeft w:val="0"/>
                                                          <w:marRight w:val="0"/>
                                                          <w:marTop w:val="0"/>
                                                          <w:marBottom w:val="0"/>
                                                          <w:divBdr>
                                                            <w:top w:val="none" w:sz="0" w:space="0" w:color="auto"/>
                                                            <w:left w:val="none" w:sz="0" w:space="0" w:color="auto"/>
                                                            <w:bottom w:val="none" w:sz="0" w:space="0" w:color="auto"/>
                                                            <w:right w:val="none" w:sz="0" w:space="0" w:color="auto"/>
                                                          </w:divBdr>
                                                          <w:divsChild>
                                                            <w:div w:id="1800562438">
                                                              <w:marLeft w:val="0"/>
                                                              <w:marRight w:val="0"/>
                                                              <w:marTop w:val="0"/>
                                                              <w:marBottom w:val="0"/>
                                                              <w:divBdr>
                                                                <w:top w:val="none" w:sz="0" w:space="0" w:color="auto"/>
                                                                <w:left w:val="none" w:sz="0" w:space="0" w:color="auto"/>
                                                                <w:bottom w:val="none" w:sz="0" w:space="0" w:color="auto"/>
                                                                <w:right w:val="none" w:sz="0" w:space="0" w:color="auto"/>
                                                              </w:divBdr>
                                                              <w:divsChild>
                                                                <w:div w:id="1416442933">
                                                                  <w:marLeft w:val="0"/>
                                                                  <w:marRight w:val="0"/>
                                                                  <w:marTop w:val="0"/>
                                                                  <w:marBottom w:val="0"/>
                                                                  <w:divBdr>
                                                                    <w:top w:val="none" w:sz="0" w:space="0" w:color="auto"/>
                                                                    <w:left w:val="none" w:sz="0" w:space="0" w:color="auto"/>
                                                                    <w:bottom w:val="none" w:sz="0" w:space="0" w:color="auto"/>
                                                                    <w:right w:val="none" w:sz="0" w:space="0" w:color="auto"/>
                                                                  </w:divBdr>
                                                                  <w:divsChild>
                                                                    <w:div w:id="1620913537">
                                                                      <w:marLeft w:val="0"/>
                                                                      <w:marRight w:val="0"/>
                                                                      <w:marTop w:val="0"/>
                                                                      <w:marBottom w:val="0"/>
                                                                      <w:divBdr>
                                                                        <w:top w:val="none" w:sz="0" w:space="0" w:color="auto"/>
                                                                        <w:left w:val="none" w:sz="0" w:space="0" w:color="auto"/>
                                                                        <w:bottom w:val="none" w:sz="0" w:space="0" w:color="auto"/>
                                                                        <w:right w:val="none" w:sz="0" w:space="0" w:color="auto"/>
                                                                      </w:divBdr>
                                                                      <w:divsChild>
                                                                        <w:div w:id="331878514">
                                                                          <w:marLeft w:val="0"/>
                                                                          <w:marRight w:val="0"/>
                                                                          <w:marTop w:val="0"/>
                                                                          <w:marBottom w:val="0"/>
                                                                          <w:divBdr>
                                                                            <w:top w:val="none" w:sz="0" w:space="0" w:color="auto"/>
                                                                            <w:left w:val="none" w:sz="0" w:space="0" w:color="auto"/>
                                                                            <w:bottom w:val="none" w:sz="0" w:space="0" w:color="auto"/>
                                                                            <w:right w:val="none" w:sz="0" w:space="0" w:color="auto"/>
                                                                          </w:divBdr>
                                                                          <w:divsChild>
                                                                            <w:div w:id="584218986">
                                                                              <w:marLeft w:val="0"/>
                                                                              <w:marRight w:val="0"/>
                                                                              <w:marTop w:val="0"/>
                                                                              <w:marBottom w:val="0"/>
                                                                              <w:divBdr>
                                                                                <w:top w:val="none" w:sz="0" w:space="0" w:color="auto"/>
                                                                                <w:left w:val="none" w:sz="0" w:space="0" w:color="auto"/>
                                                                                <w:bottom w:val="none" w:sz="0" w:space="0" w:color="auto"/>
                                                                                <w:right w:val="none" w:sz="0" w:space="0" w:color="auto"/>
                                                                              </w:divBdr>
                                                                              <w:divsChild>
                                                                                <w:div w:id="1226453153">
                                                                                  <w:marLeft w:val="0"/>
                                                                                  <w:marRight w:val="0"/>
                                                                                  <w:marTop w:val="0"/>
                                                                                  <w:marBottom w:val="0"/>
                                                                                  <w:divBdr>
                                                                                    <w:top w:val="none" w:sz="0" w:space="0" w:color="auto"/>
                                                                                    <w:left w:val="none" w:sz="0" w:space="0" w:color="auto"/>
                                                                                    <w:bottom w:val="none" w:sz="0" w:space="0" w:color="auto"/>
                                                                                    <w:right w:val="none" w:sz="0" w:space="0" w:color="auto"/>
                                                                                  </w:divBdr>
                                                                                  <w:divsChild>
                                                                                    <w:div w:id="1198590471">
                                                                                      <w:marLeft w:val="0"/>
                                                                                      <w:marRight w:val="0"/>
                                                                                      <w:marTop w:val="0"/>
                                                                                      <w:marBottom w:val="0"/>
                                                                                      <w:divBdr>
                                                                                        <w:top w:val="none" w:sz="0" w:space="0" w:color="auto"/>
                                                                                        <w:left w:val="none" w:sz="0" w:space="0" w:color="auto"/>
                                                                                        <w:bottom w:val="none" w:sz="0" w:space="0" w:color="auto"/>
                                                                                        <w:right w:val="none" w:sz="0" w:space="0" w:color="auto"/>
                                                                                      </w:divBdr>
                                                                                      <w:divsChild>
                                                                                        <w:div w:id="53890442">
                                                                                          <w:marLeft w:val="300"/>
                                                                                          <w:marRight w:val="0"/>
                                                                                          <w:marTop w:val="0"/>
                                                                                          <w:marBottom w:val="0"/>
                                                                                          <w:divBdr>
                                                                                            <w:top w:val="none" w:sz="0" w:space="0" w:color="auto"/>
                                                                                            <w:left w:val="none" w:sz="0" w:space="0" w:color="auto"/>
                                                                                            <w:bottom w:val="none" w:sz="0" w:space="0" w:color="auto"/>
                                                                                            <w:right w:val="none" w:sz="0" w:space="0" w:color="auto"/>
                                                                                          </w:divBdr>
                                                                                          <w:divsChild>
                                                                                            <w:div w:id="2020279099">
                                                                                              <w:marLeft w:val="0"/>
                                                                                              <w:marRight w:val="0"/>
                                                                                              <w:marTop w:val="0"/>
                                                                                              <w:marBottom w:val="0"/>
                                                                                              <w:divBdr>
                                                                                                <w:top w:val="none" w:sz="0" w:space="0" w:color="auto"/>
                                                                                                <w:left w:val="none" w:sz="0" w:space="0" w:color="auto"/>
                                                                                                <w:bottom w:val="none" w:sz="0" w:space="0" w:color="auto"/>
                                                                                                <w:right w:val="none" w:sz="0" w:space="0" w:color="auto"/>
                                                                                              </w:divBdr>
                                                                                              <w:divsChild>
                                                                                                <w:div w:id="82624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4477160">
      <w:bodyDiv w:val="1"/>
      <w:marLeft w:val="0"/>
      <w:marRight w:val="0"/>
      <w:marTop w:val="0"/>
      <w:marBottom w:val="0"/>
      <w:divBdr>
        <w:top w:val="none" w:sz="0" w:space="0" w:color="auto"/>
        <w:left w:val="none" w:sz="0" w:space="0" w:color="auto"/>
        <w:bottom w:val="none" w:sz="0" w:space="0" w:color="auto"/>
        <w:right w:val="none" w:sz="0" w:space="0" w:color="auto"/>
      </w:divBdr>
    </w:div>
    <w:div w:id="1414425490">
      <w:bodyDiv w:val="1"/>
      <w:marLeft w:val="0"/>
      <w:marRight w:val="0"/>
      <w:marTop w:val="0"/>
      <w:marBottom w:val="0"/>
      <w:divBdr>
        <w:top w:val="none" w:sz="0" w:space="0" w:color="auto"/>
        <w:left w:val="none" w:sz="0" w:space="0" w:color="auto"/>
        <w:bottom w:val="none" w:sz="0" w:space="0" w:color="auto"/>
        <w:right w:val="none" w:sz="0" w:space="0" w:color="auto"/>
      </w:divBdr>
    </w:div>
    <w:div w:id="1903327425">
      <w:bodyDiv w:val="1"/>
      <w:marLeft w:val="0"/>
      <w:marRight w:val="0"/>
      <w:marTop w:val="0"/>
      <w:marBottom w:val="0"/>
      <w:divBdr>
        <w:top w:val="none" w:sz="0" w:space="0" w:color="auto"/>
        <w:left w:val="none" w:sz="0" w:space="0" w:color="auto"/>
        <w:bottom w:val="none" w:sz="0" w:space="0" w:color="auto"/>
        <w:right w:val="none" w:sz="0" w:space="0" w:color="auto"/>
      </w:divBdr>
      <w:divsChild>
        <w:div w:id="5328792">
          <w:marLeft w:val="0"/>
          <w:marRight w:val="0"/>
          <w:marTop w:val="192"/>
          <w:marBottom w:val="0"/>
          <w:divBdr>
            <w:top w:val="none" w:sz="0" w:space="0" w:color="auto"/>
            <w:left w:val="none" w:sz="0" w:space="0" w:color="auto"/>
            <w:bottom w:val="none" w:sz="0" w:space="0" w:color="auto"/>
            <w:right w:val="none" w:sz="0" w:space="0" w:color="auto"/>
          </w:divBdr>
          <w:divsChild>
            <w:div w:id="1290012785">
              <w:marLeft w:val="0"/>
              <w:marRight w:val="0"/>
              <w:marTop w:val="0"/>
              <w:marBottom w:val="0"/>
              <w:divBdr>
                <w:top w:val="none" w:sz="0" w:space="0" w:color="auto"/>
                <w:left w:val="none" w:sz="0" w:space="0" w:color="auto"/>
                <w:bottom w:val="none" w:sz="0" w:space="0" w:color="auto"/>
                <w:right w:val="none" w:sz="0" w:space="0" w:color="auto"/>
              </w:divBdr>
              <w:divsChild>
                <w:div w:id="74018228">
                  <w:marLeft w:val="0"/>
                  <w:marRight w:val="0"/>
                  <w:marTop w:val="0"/>
                  <w:marBottom w:val="240"/>
                  <w:divBdr>
                    <w:top w:val="dotted" w:sz="6" w:space="5" w:color="DCDCDC"/>
                    <w:left w:val="none" w:sz="0" w:space="0" w:color="auto"/>
                    <w:bottom w:val="single" w:sz="6" w:space="1" w:color="DCDCDC"/>
                    <w:right w:val="none" w:sz="0" w:space="0" w:color="auto"/>
                  </w:divBdr>
                  <w:divsChild>
                    <w:div w:id="83403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66796">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5.xml"/><Relationship Id="rId29" Type="http://schemas.openxmlformats.org/officeDocument/2006/relationships/hyperlink" Target="http://www.tga.gov.au/hp/information-medicines-pi.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hyperlink" Target="http://www.tga.gov.au" TargetMode="External"/><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image" Target="media/image12.jpeg"/><Relationship Id="rId36"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header" Target="header4.xml"/><Relationship Id="rId31" Type="http://schemas.openxmlformats.org/officeDocument/2006/relationships/hyperlink" Target="mailto:info@tga.gov.au" TargetMode="Externa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yperlink" Target="http://www.tga.gov.au/hp/information-medicines-pi.htm" TargetMode="External"/><Relationship Id="rId22" Type="http://schemas.openxmlformats.org/officeDocument/2006/relationships/footer" Target="footer3.xml"/><Relationship Id="rId27" Type="http://schemas.openxmlformats.org/officeDocument/2006/relationships/image" Target="media/image11.jpeg"/><Relationship Id="rId30" Type="http://schemas.openxmlformats.org/officeDocument/2006/relationships/footer" Target="footer4.xml"/><Relationship Id="rId35"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23048\t0NT5RC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13BFB-FFFD-459B-B635-448D00B1A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t0NT5RCM.DOTX</Template>
  <TotalTime>94</TotalTime>
  <Pages>82</Pages>
  <Words>31662</Words>
  <Characters>178574</Characters>
  <Application>Microsoft Office Word</Application>
  <DocSecurity>0</DocSecurity>
  <Lines>3644</Lines>
  <Paragraphs>1668</Paragraphs>
  <ScaleCrop>false</ScaleCrop>
  <HeadingPairs>
    <vt:vector size="2" baseType="variant">
      <vt:variant>
        <vt:lpstr>Title</vt:lpstr>
      </vt:variant>
      <vt:variant>
        <vt:i4>1</vt:i4>
      </vt:variant>
    </vt:vector>
  </HeadingPairs>
  <TitlesOfParts>
    <vt:vector size="1" baseType="lpstr">
      <vt:lpstr>Australian Public Assessment Report for Pomalyst</vt:lpstr>
    </vt:vector>
  </TitlesOfParts>
  <Company>Department of Health Therapeutic Goods Administration</Company>
  <LinksUpToDate>false</LinksUpToDate>
  <CharactersWithSpaces>208568</CharactersWithSpaces>
  <SharedDoc>false</SharedDoc>
  <HLinks>
    <vt:vector size="276" baseType="variant">
      <vt:variant>
        <vt:i4>6357037</vt:i4>
      </vt:variant>
      <vt:variant>
        <vt:i4>258</vt:i4>
      </vt:variant>
      <vt:variant>
        <vt:i4>0</vt:i4>
      </vt:variant>
      <vt:variant>
        <vt:i4>5</vt:i4>
      </vt:variant>
      <vt:variant>
        <vt:lpwstr>http://www.tga.gov.au/</vt:lpwstr>
      </vt:variant>
      <vt:variant>
        <vt:lpwstr/>
      </vt:variant>
      <vt:variant>
        <vt:i4>5242926</vt:i4>
      </vt:variant>
      <vt:variant>
        <vt:i4>255</vt:i4>
      </vt:variant>
      <vt:variant>
        <vt:i4>0</vt:i4>
      </vt:variant>
      <vt:variant>
        <vt:i4>5</vt:i4>
      </vt:variant>
      <vt:variant>
        <vt:lpwstr>mailto:info@tga.gov.au</vt:lpwstr>
      </vt:variant>
      <vt:variant>
        <vt:lpwstr/>
      </vt:variant>
      <vt:variant>
        <vt:i4>5701660</vt:i4>
      </vt:variant>
      <vt:variant>
        <vt:i4>252</vt:i4>
      </vt:variant>
      <vt:variant>
        <vt:i4>0</vt:i4>
      </vt:variant>
      <vt:variant>
        <vt:i4>5</vt:i4>
      </vt:variant>
      <vt:variant>
        <vt:lpwstr>http://www.tga.gov.au/hp/information-medicines-pi.htm</vt:lpwstr>
      </vt:variant>
      <vt:variant>
        <vt:lpwstr/>
      </vt:variant>
      <vt:variant>
        <vt:i4>5701660</vt:i4>
      </vt:variant>
      <vt:variant>
        <vt:i4>249</vt:i4>
      </vt:variant>
      <vt:variant>
        <vt:i4>0</vt:i4>
      </vt:variant>
      <vt:variant>
        <vt:i4>5</vt:i4>
      </vt:variant>
      <vt:variant>
        <vt:lpwstr>http://www.tga.gov.au/hp/information-medicines-pi.htm</vt:lpwstr>
      </vt:variant>
      <vt:variant>
        <vt:lpwstr/>
      </vt:variant>
      <vt:variant>
        <vt:i4>1441845</vt:i4>
      </vt:variant>
      <vt:variant>
        <vt:i4>242</vt:i4>
      </vt:variant>
      <vt:variant>
        <vt:i4>0</vt:i4>
      </vt:variant>
      <vt:variant>
        <vt:i4>5</vt:i4>
      </vt:variant>
      <vt:variant>
        <vt:lpwstr/>
      </vt:variant>
      <vt:variant>
        <vt:lpwstr>_Toc400616019</vt:lpwstr>
      </vt:variant>
      <vt:variant>
        <vt:i4>1441845</vt:i4>
      </vt:variant>
      <vt:variant>
        <vt:i4>236</vt:i4>
      </vt:variant>
      <vt:variant>
        <vt:i4>0</vt:i4>
      </vt:variant>
      <vt:variant>
        <vt:i4>5</vt:i4>
      </vt:variant>
      <vt:variant>
        <vt:lpwstr/>
      </vt:variant>
      <vt:variant>
        <vt:lpwstr>_Toc400616018</vt:lpwstr>
      </vt:variant>
      <vt:variant>
        <vt:i4>1441845</vt:i4>
      </vt:variant>
      <vt:variant>
        <vt:i4>230</vt:i4>
      </vt:variant>
      <vt:variant>
        <vt:i4>0</vt:i4>
      </vt:variant>
      <vt:variant>
        <vt:i4>5</vt:i4>
      </vt:variant>
      <vt:variant>
        <vt:lpwstr/>
      </vt:variant>
      <vt:variant>
        <vt:lpwstr>_Toc400616017</vt:lpwstr>
      </vt:variant>
      <vt:variant>
        <vt:i4>1441845</vt:i4>
      </vt:variant>
      <vt:variant>
        <vt:i4>224</vt:i4>
      </vt:variant>
      <vt:variant>
        <vt:i4>0</vt:i4>
      </vt:variant>
      <vt:variant>
        <vt:i4>5</vt:i4>
      </vt:variant>
      <vt:variant>
        <vt:lpwstr/>
      </vt:variant>
      <vt:variant>
        <vt:lpwstr>_Toc400616016</vt:lpwstr>
      </vt:variant>
      <vt:variant>
        <vt:i4>1441845</vt:i4>
      </vt:variant>
      <vt:variant>
        <vt:i4>218</vt:i4>
      </vt:variant>
      <vt:variant>
        <vt:i4>0</vt:i4>
      </vt:variant>
      <vt:variant>
        <vt:i4>5</vt:i4>
      </vt:variant>
      <vt:variant>
        <vt:lpwstr/>
      </vt:variant>
      <vt:variant>
        <vt:lpwstr>_Toc400616015</vt:lpwstr>
      </vt:variant>
      <vt:variant>
        <vt:i4>1441845</vt:i4>
      </vt:variant>
      <vt:variant>
        <vt:i4>212</vt:i4>
      </vt:variant>
      <vt:variant>
        <vt:i4>0</vt:i4>
      </vt:variant>
      <vt:variant>
        <vt:i4>5</vt:i4>
      </vt:variant>
      <vt:variant>
        <vt:lpwstr/>
      </vt:variant>
      <vt:variant>
        <vt:lpwstr>_Toc400616014</vt:lpwstr>
      </vt:variant>
      <vt:variant>
        <vt:i4>1441845</vt:i4>
      </vt:variant>
      <vt:variant>
        <vt:i4>206</vt:i4>
      </vt:variant>
      <vt:variant>
        <vt:i4>0</vt:i4>
      </vt:variant>
      <vt:variant>
        <vt:i4>5</vt:i4>
      </vt:variant>
      <vt:variant>
        <vt:lpwstr/>
      </vt:variant>
      <vt:variant>
        <vt:lpwstr>_Toc400616013</vt:lpwstr>
      </vt:variant>
      <vt:variant>
        <vt:i4>1441845</vt:i4>
      </vt:variant>
      <vt:variant>
        <vt:i4>200</vt:i4>
      </vt:variant>
      <vt:variant>
        <vt:i4>0</vt:i4>
      </vt:variant>
      <vt:variant>
        <vt:i4>5</vt:i4>
      </vt:variant>
      <vt:variant>
        <vt:lpwstr/>
      </vt:variant>
      <vt:variant>
        <vt:lpwstr>_Toc400616012</vt:lpwstr>
      </vt:variant>
      <vt:variant>
        <vt:i4>1441845</vt:i4>
      </vt:variant>
      <vt:variant>
        <vt:i4>194</vt:i4>
      </vt:variant>
      <vt:variant>
        <vt:i4>0</vt:i4>
      </vt:variant>
      <vt:variant>
        <vt:i4>5</vt:i4>
      </vt:variant>
      <vt:variant>
        <vt:lpwstr/>
      </vt:variant>
      <vt:variant>
        <vt:lpwstr>_Toc400616011</vt:lpwstr>
      </vt:variant>
      <vt:variant>
        <vt:i4>1441845</vt:i4>
      </vt:variant>
      <vt:variant>
        <vt:i4>188</vt:i4>
      </vt:variant>
      <vt:variant>
        <vt:i4>0</vt:i4>
      </vt:variant>
      <vt:variant>
        <vt:i4>5</vt:i4>
      </vt:variant>
      <vt:variant>
        <vt:lpwstr/>
      </vt:variant>
      <vt:variant>
        <vt:lpwstr>_Toc400616010</vt:lpwstr>
      </vt:variant>
      <vt:variant>
        <vt:i4>1507381</vt:i4>
      </vt:variant>
      <vt:variant>
        <vt:i4>182</vt:i4>
      </vt:variant>
      <vt:variant>
        <vt:i4>0</vt:i4>
      </vt:variant>
      <vt:variant>
        <vt:i4>5</vt:i4>
      </vt:variant>
      <vt:variant>
        <vt:lpwstr/>
      </vt:variant>
      <vt:variant>
        <vt:lpwstr>_Toc400616009</vt:lpwstr>
      </vt:variant>
      <vt:variant>
        <vt:i4>1507381</vt:i4>
      </vt:variant>
      <vt:variant>
        <vt:i4>176</vt:i4>
      </vt:variant>
      <vt:variant>
        <vt:i4>0</vt:i4>
      </vt:variant>
      <vt:variant>
        <vt:i4>5</vt:i4>
      </vt:variant>
      <vt:variant>
        <vt:lpwstr/>
      </vt:variant>
      <vt:variant>
        <vt:lpwstr>_Toc400616008</vt:lpwstr>
      </vt:variant>
      <vt:variant>
        <vt:i4>1507381</vt:i4>
      </vt:variant>
      <vt:variant>
        <vt:i4>170</vt:i4>
      </vt:variant>
      <vt:variant>
        <vt:i4>0</vt:i4>
      </vt:variant>
      <vt:variant>
        <vt:i4>5</vt:i4>
      </vt:variant>
      <vt:variant>
        <vt:lpwstr/>
      </vt:variant>
      <vt:variant>
        <vt:lpwstr>_Toc400616007</vt:lpwstr>
      </vt:variant>
      <vt:variant>
        <vt:i4>1507381</vt:i4>
      </vt:variant>
      <vt:variant>
        <vt:i4>164</vt:i4>
      </vt:variant>
      <vt:variant>
        <vt:i4>0</vt:i4>
      </vt:variant>
      <vt:variant>
        <vt:i4>5</vt:i4>
      </vt:variant>
      <vt:variant>
        <vt:lpwstr/>
      </vt:variant>
      <vt:variant>
        <vt:lpwstr>_Toc400616006</vt:lpwstr>
      </vt:variant>
      <vt:variant>
        <vt:i4>1507381</vt:i4>
      </vt:variant>
      <vt:variant>
        <vt:i4>158</vt:i4>
      </vt:variant>
      <vt:variant>
        <vt:i4>0</vt:i4>
      </vt:variant>
      <vt:variant>
        <vt:i4>5</vt:i4>
      </vt:variant>
      <vt:variant>
        <vt:lpwstr/>
      </vt:variant>
      <vt:variant>
        <vt:lpwstr>_Toc400616005</vt:lpwstr>
      </vt:variant>
      <vt:variant>
        <vt:i4>1507381</vt:i4>
      </vt:variant>
      <vt:variant>
        <vt:i4>152</vt:i4>
      </vt:variant>
      <vt:variant>
        <vt:i4>0</vt:i4>
      </vt:variant>
      <vt:variant>
        <vt:i4>5</vt:i4>
      </vt:variant>
      <vt:variant>
        <vt:lpwstr/>
      </vt:variant>
      <vt:variant>
        <vt:lpwstr>_Toc400616004</vt:lpwstr>
      </vt:variant>
      <vt:variant>
        <vt:i4>1507381</vt:i4>
      </vt:variant>
      <vt:variant>
        <vt:i4>146</vt:i4>
      </vt:variant>
      <vt:variant>
        <vt:i4>0</vt:i4>
      </vt:variant>
      <vt:variant>
        <vt:i4>5</vt:i4>
      </vt:variant>
      <vt:variant>
        <vt:lpwstr/>
      </vt:variant>
      <vt:variant>
        <vt:lpwstr>_Toc400616003</vt:lpwstr>
      </vt:variant>
      <vt:variant>
        <vt:i4>1507381</vt:i4>
      </vt:variant>
      <vt:variant>
        <vt:i4>140</vt:i4>
      </vt:variant>
      <vt:variant>
        <vt:i4>0</vt:i4>
      </vt:variant>
      <vt:variant>
        <vt:i4>5</vt:i4>
      </vt:variant>
      <vt:variant>
        <vt:lpwstr/>
      </vt:variant>
      <vt:variant>
        <vt:lpwstr>_Toc400616002</vt:lpwstr>
      </vt:variant>
      <vt:variant>
        <vt:i4>1507381</vt:i4>
      </vt:variant>
      <vt:variant>
        <vt:i4>134</vt:i4>
      </vt:variant>
      <vt:variant>
        <vt:i4>0</vt:i4>
      </vt:variant>
      <vt:variant>
        <vt:i4>5</vt:i4>
      </vt:variant>
      <vt:variant>
        <vt:lpwstr/>
      </vt:variant>
      <vt:variant>
        <vt:lpwstr>_Toc400616001</vt:lpwstr>
      </vt:variant>
      <vt:variant>
        <vt:i4>1507381</vt:i4>
      </vt:variant>
      <vt:variant>
        <vt:i4>128</vt:i4>
      </vt:variant>
      <vt:variant>
        <vt:i4>0</vt:i4>
      </vt:variant>
      <vt:variant>
        <vt:i4>5</vt:i4>
      </vt:variant>
      <vt:variant>
        <vt:lpwstr/>
      </vt:variant>
      <vt:variant>
        <vt:lpwstr>_Toc400616000</vt:lpwstr>
      </vt:variant>
      <vt:variant>
        <vt:i4>1900604</vt:i4>
      </vt:variant>
      <vt:variant>
        <vt:i4>122</vt:i4>
      </vt:variant>
      <vt:variant>
        <vt:i4>0</vt:i4>
      </vt:variant>
      <vt:variant>
        <vt:i4>5</vt:i4>
      </vt:variant>
      <vt:variant>
        <vt:lpwstr/>
      </vt:variant>
      <vt:variant>
        <vt:lpwstr>_Toc400615999</vt:lpwstr>
      </vt:variant>
      <vt:variant>
        <vt:i4>1900604</vt:i4>
      </vt:variant>
      <vt:variant>
        <vt:i4>116</vt:i4>
      </vt:variant>
      <vt:variant>
        <vt:i4>0</vt:i4>
      </vt:variant>
      <vt:variant>
        <vt:i4>5</vt:i4>
      </vt:variant>
      <vt:variant>
        <vt:lpwstr/>
      </vt:variant>
      <vt:variant>
        <vt:lpwstr>_Toc400615998</vt:lpwstr>
      </vt:variant>
      <vt:variant>
        <vt:i4>1900604</vt:i4>
      </vt:variant>
      <vt:variant>
        <vt:i4>110</vt:i4>
      </vt:variant>
      <vt:variant>
        <vt:i4>0</vt:i4>
      </vt:variant>
      <vt:variant>
        <vt:i4>5</vt:i4>
      </vt:variant>
      <vt:variant>
        <vt:lpwstr/>
      </vt:variant>
      <vt:variant>
        <vt:lpwstr>_Toc400615997</vt:lpwstr>
      </vt:variant>
      <vt:variant>
        <vt:i4>1900604</vt:i4>
      </vt:variant>
      <vt:variant>
        <vt:i4>104</vt:i4>
      </vt:variant>
      <vt:variant>
        <vt:i4>0</vt:i4>
      </vt:variant>
      <vt:variant>
        <vt:i4>5</vt:i4>
      </vt:variant>
      <vt:variant>
        <vt:lpwstr/>
      </vt:variant>
      <vt:variant>
        <vt:lpwstr>_Toc400615996</vt:lpwstr>
      </vt:variant>
      <vt:variant>
        <vt:i4>1900604</vt:i4>
      </vt:variant>
      <vt:variant>
        <vt:i4>98</vt:i4>
      </vt:variant>
      <vt:variant>
        <vt:i4>0</vt:i4>
      </vt:variant>
      <vt:variant>
        <vt:i4>5</vt:i4>
      </vt:variant>
      <vt:variant>
        <vt:lpwstr/>
      </vt:variant>
      <vt:variant>
        <vt:lpwstr>_Toc400615995</vt:lpwstr>
      </vt:variant>
      <vt:variant>
        <vt:i4>1900604</vt:i4>
      </vt:variant>
      <vt:variant>
        <vt:i4>92</vt:i4>
      </vt:variant>
      <vt:variant>
        <vt:i4>0</vt:i4>
      </vt:variant>
      <vt:variant>
        <vt:i4>5</vt:i4>
      </vt:variant>
      <vt:variant>
        <vt:lpwstr/>
      </vt:variant>
      <vt:variant>
        <vt:lpwstr>_Toc400615994</vt:lpwstr>
      </vt:variant>
      <vt:variant>
        <vt:i4>1900604</vt:i4>
      </vt:variant>
      <vt:variant>
        <vt:i4>86</vt:i4>
      </vt:variant>
      <vt:variant>
        <vt:i4>0</vt:i4>
      </vt:variant>
      <vt:variant>
        <vt:i4>5</vt:i4>
      </vt:variant>
      <vt:variant>
        <vt:lpwstr/>
      </vt:variant>
      <vt:variant>
        <vt:lpwstr>_Toc400615993</vt:lpwstr>
      </vt:variant>
      <vt:variant>
        <vt:i4>1900604</vt:i4>
      </vt:variant>
      <vt:variant>
        <vt:i4>80</vt:i4>
      </vt:variant>
      <vt:variant>
        <vt:i4>0</vt:i4>
      </vt:variant>
      <vt:variant>
        <vt:i4>5</vt:i4>
      </vt:variant>
      <vt:variant>
        <vt:lpwstr/>
      </vt:variant>
      <vt:variant>
        <vt:lpwstr>_Toc400615992</vt:lpwstr>
      </vt:variant>
      <vt:variant>
        <vt:i4>1900604</vt:i4>
      </vt:variant>
      <vt:variant>
        <vt:i4>74</vt:i4>
      </vt:variant>
      <vt:variant>
        <vt:i4>0</vt:i4>
      </vt:variant>
      <vt:variant>
        <vt:i4>5</vt:i4>
      </vt:variant>
      <vt:variant>
        <vt:lpwstr/>
      </vt:variant>
      <vt:variant>
        <vt:lpwstr>_Toc400615991</vt:lpwstr>
      </vt:variant>
      <vt:variant>
        <vt:i4>1900604</vt:i4>
      </vt:variant>
      <vt:variant>
        <vt:i4>68</vt:i4>
      </vt:variant>
      <vt:variant>
        <vt:i4>0</vt:i4>
      </vt:variant>
      <vt:variant>
        <vt:i4>5</vt:i4>
      </vt:variant>
      <vt:variant>
        <vt:lpwstr/>
      </vt:variant>
      <vt:variant>
        <vt:lpwstr>_Toc400615990</vt:lpwstr>
      </vt:variant>
      <vt:variant>
        <vt:i4>1835068</vt:i4>
      </vt:variant>
      <vt:variant>
        <vt:i4>62</vt:i4>
      </vt:variant>
      <vt:variant>
        <vt:i4>0</vt:i4>
      </vt:variant>
      <vt:variant>
        <vt:i4>5</vt:i4>
      </vt:variant>
      <vt:variant>
        <vt:lpwstr/>
      </vt:variant>
      <vt:variant>
        <vt:lpwstr>_Toc400615989</vt:lpwstr>
      </vt:variant>
      <vt:variant>
        <vt:i4>1835068</vt:i4>
      </vt:variant>
      <vt:variant>
        <vt:i4>56</vt:i4>
      </vt:variant>
      <vt:variant>
        <vt:i4>0</vt:i4>
      </vt:variant>
      <vt:variant>
        <vt:i4>5</vt:i4>
      </vt:variant>
      <vt:variant>
        <vt:lpwstr/>
      </vt:variant>
      <vt:variant>
        <vt:lpwstr>_Toc400615988</vt:lpwstr>
      </vt:variant>
      <vt:variant>
        <vt:i4>1835068</vt:i4>
      </vt:variant>
      <vt:variant>
        <vt:i4>50</vt:i4>
      </vt:variant>
      <vt:variant>
        <vt:i4>0</vt:i4>
      </vt:variant>
      <vt:variant>
        <vt:i4>5</vt:i4>
      </vt:variant>
      <vt:variant>
        <vt:lpwstr/>
      </vt:variant>
      <vt:variant>
        <vt:lpwstr>_Toc400615987</vt:lpwstr>
      </vt:variant>
      <vt:variant>
        <vt:i4>1835068</vt:i4>
      </vt:variant>
      <vt:variant>
        <vt:i4>44</vt:i4>
      </vt:variant>
      <vt:variant>
        <vt:i4>0</vt:i4>
      </vt:variant>
      <vt:variant>
        <vt:i4>5</vt:i4>
      </vt:variant>
      <vt:variant>
        <vt:lpwstr/>
      </vt:variant>
      <vt:variant>
        <vt:lpwstr>_Toc400615986</vt:lpwstr>
      </vt:variant>
      <vt:variant>
        <vt:i4>1835068</vt:i4>
      </vt:variant>
      <vt:variant>
        <vt:i4>38</vt:i4>
      </vt:variant>
      <vt:variant>
        <vt:i4>0</vt:i4>
      </vt:variant>
      <vt:variant>
        <vt:i4>5</vt:i4>
      </vt:variant>
      <vt:variant>
        <vt:lpwstr/>
      </vt:variant>
      <vt:variant>
        <vt:lpwstr>_Toc400615985</vt:lpwstr>
      </vt:variant>
      <vt:variant>
        <vt:i4>1835068</vt:i4>
      </vt:variant>
      <vt:variant>
        <vt:i4>32</vt:i4>
      </vt:variant>
      <vt:variant>
        <vt:i4>0</vt:i4>
      </vt:variant>
      <vt:variant>
        <vt:i4>5</vt:i4>
      </vt:variant>
      <vt:variant>
        <vt:lpwstr/>
      </vt:variant>
      <vt:variant>
        <vt:lpwstr>_Toc400615984</vt:lpwstr>
      </vt:variant>
      <vt:variant>
        <vt:i4>1835068</vt:i4>
      </vt:variant>
      <vt:variant>
        <vt:i4>26</vt:i4>
      </vt:variant>
      <vt:variant>
        <vt:i4>0</vt:i4>
      </vt:variant>
      <vt:variant>
        <vt:i4>5</vt:i4>
      </vt:variant>
      <vt:variant>
        <vt:lpwstr/>
      </vt:variant>
      <vt:variant>
        <vt:lpwstr>_Toc400615983</vt:lpwstr>
      </vt:variant>
      <vt:variant>
        <vt:i4>1835068</vt:i4>
      </vt:variant>
      <vt:variant>
        <vt:i4>20</vt:i4>
      </vt:variant>
      <vt:variant>
        <vt:i4>0</vt:i4>
      </vt:variant>
      <vt:variant>
        <vt:i4>5</vt:i4>
      </vt:variant>
      <vt:variant>
        <vt:lpwstr/>
      </vt:variant>
      <vt:variant>
        <vt:lpwstr>_Toc400615982</vt:lpwstr>
      </vt:variant>
      <vt:variant>
        <vt:i4>1835068</vt:i4>
      </vt:variant>
      <vt:variant>
        <vt:i4>14</vt:i4>
      </vt:variant>
      <vt:variant>
        <vt:i4>0</vt:i4>
      </vt:variant>
      <vt:variant>
        <vt:i4>5</vt:i4>
      </vt:variant>
      <vt:variant>
        <vt:lpwstr/>
      </vt:variant>
      <vt:variant>
        <vt:lpwstr>_Toc400615981</vt:lpwstr>
      </vt:variant>
      <vt:variant>
        <vt:i4>1835068</vt:i4>
      </vt:variant>
      <vt:variant>
        <vt:i4>8</vt:i4>
      </vt:variant>
      <vt:variant>
        <vt:i4>0</vt:i4>
      </vt:variant>
      <vt:variant>
        <vt:i4>5</vt:i4>
      </vt:variant>
      <vt:variant>
        <vt:lpwstr/>
      </vt:variant>
      <vt:variant>
        <vt:lpwstr>_Toc400615980</vt:lpwstr>
      </vt:variant>
      <vt:variant>
        <vt:i4>6291548</vt:i4>
      </vt:variant>
      <vt:variant>
        <vt:i4>3</vt:i4>
      </vt:variant>
      <vt:variant>
        <vt:i4>0</vt:i4>
      </vt:variant>
      <vt:variant>
        <vt:i4>5</vt:i4>
      </vt:variant>
      <vt:variant>
        <vt:lpwstr>mailto:tga.copyright@tga.gov.au</vt:lpwstr>
      </vt:variant>
      <vt:variant>
        <vt:lpwstr/>
      </vt:variant>
      <vt:variant>
        <vt:i4>6357037</vt:i4>
      </vt:variant>
      <vt:variant>
        <vt:i4>0</vt:i4>
      </vt:variant>
      <vt:variant>
        <vt:i4>0</vt:i4>
      </vt:variant>
      <vt:variant>
        <vt:i4>5</vt:i4>
      </vt:variant>
      <vt:variant>
        <vt:lpwstr>http://www.tga.gov.au/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pomalidomide</dc:title>
  <dc:subject>prescription medicine regulation</dc:subject>
  <dc:creator>Therapeutic Goods Administration</dc:creator>
  <cp:keywords>auspar, prescription, medicine, assessment, regulation, australia, pomalidomide, pomalyst, celgene</cp:keywords>
  <cp:lastModifiedBy>Sheppard, Fran</cp:lastModifiedBy>
  <cp:revision>15</cp:revision>
  <cp:lastPrinted>2014-09-23T01:57:00Z</cp:lastPrinted>
  <dcterms:created xsi:type="dcterms:W3CDTF">2014-11-19T03:26:00Z</dcterms:created>
  <dcterms:modified xsi:type="dcterms:W3CDTF">2014-11-19T05:00:00Z</dcterms:modified>
  <cp:category/>
</cp:coreProperties>
</file>