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9B" w:rsidRPr="00835B3F" w:rsidRDefault="00CC06F3" w:rsidP="00835B3F">
      <w:pPr>
        <w:pStyle w:val="Heading1"/>
      </w:pPr>
      <w:r w:rsidRPr="00835B3F">
        <w:t>PRODUCT INFORMATION</w:t>
      </w:r>
    </w:p>
    <w:p w:rsidR="00B2439B" w:rsidRPr="00835B3F" w:rsidRDefault="00B2439B" w:rsidP="00835B3F">
      <w:pPr>
        <w:pStyle w:val="Heading2"/>
      </w:pPr>
      <w:r w:rsidRPr="00835B3F">
        <w:t>NAME OF THE MEDICINE</w:t>
      </w:r>
    </w:p>
    <w:p w:rsidR="00B2439B" w:rsidRPr="005D67DF" w:rsidRDefault="00B2439B" w:rsidP="00835B3F">
      <w:pPr>
        <w:rPr>
          <w:rFonts w:cs="Arial"/>
          <w:szCs w:val="20"/>
          <w:lang w:val="it-IT"/>
        </w:rPr>
      </w:pPr>
      <w:r w:rsidRPr="005D67DF">
        <w:rPr>
          <w:rFonts w:cs="Arial"/>
          <w:szCs w:val="20"/>
          <w:lang w:val="it-IT"/>
        </w:rPr>
        <w:t>ENDOMETRIN</w:t>
      </w:r>
      <w:r w:rsidR="004B1EE1" w:rsidRPr="005D67DF">
        <w:rPr>
          <w:rFonts w:cs="Arial"/>
          <w:b/>
          <w:szCs w:val="20"/>
          <w:vertAlign w:val="superscript"/>
          <w:lang w:val="it-IT"/>
        </w:rPr>
        <w:t>®</w:t>
      </w:r>
      <w:r w:rsidRPr="005D67DF">
        <w:rPr>
          <w:rFonts w:cs="Arial"/>
          <w:szCs w:val="20"/>
          <w:lang w:val="it-IT"/>
        </w:rPr>
        <w:t xml:space="preserve"> </w:t>
      </w:r>
      <w:r w:rsidR="002A3065" w:rsidRPr="005D67DF">
        <w:rPr>
          <w:rFonts w:cs="Arial"/>
          <w:szCs w:val="20"/>
          <w:lang w:val="it-IT"/>
        </w:rPr>
        <w:t xml:space="preserve">PESSARIES </w:t>
      </w:r>
      <w:r w:rsidR="00804AA3" w:rsidRPr="005D67DF">
        <w:rPr>
          <w:rFonts w:cs="Arial"/>
          <w:szCs w:val="20"/>
          <w:lang w:val="it-IT"/>
        </w:rPr>
        <w:t>progesterone</w:t>
      </w:r>
      <w:r w:rsidR="00E765F5" w:rsidRPr="005D67DF">
        <w:rPr>
          <w:rFonts w:cs="Arial"/>
          <w:szCs w:val="20"/>
          <w:lang w:val="it-IT"/>
        </w:rPr>
        <w:t xml:space="preserve">100 mg </w:t>
      </w:r>
      <w:r w:rsidRPr="005D67DF">
        <w:rPr>
          <w:rFonts w:cs="Arial"/>
          <w:szCs w:val="20"/>
          <w:lang w:val="it-IT"/>
        </w:rPr>
        <w:t>vaginal tablets</w:t>
      </w:r>
      <w:r w:rsidR="00B22DC5" w:rsidRPr="005D67DF">
        <w:rPr>
          <w:rFonts w:cs="Arial"/>
          <w:szCs w:val="20"/>
          <w:lang w:val="it-IT"/>
        </w:rPr>
        <w:t>.</w:t>
      </w:r>
    </w:p>
    <w:p w:rsidR="00B22DC5" w:rsidRPr="00190151" w:rsidRDefault="00B22DC5" w:rsidP="00835B3F">
      <w:pPr>
        <w:pStyle w:val="Heading2"/>
      </w:pPr>
      <w:r w:rsidRPr="00190151">
        <w:t>DESCRIPTION</w:t>
      </w:r>
    </w:p>
    <w:p w:rsidR="0027397D" w:rsidRDefault="0027397D" w:rsidP="00835B3F">
      <w:pPr>
        <w:rPr>
          <w:lang w:val="en-GB"/>
        </w:rPr>
      </w:pPr>
      <w:r>
        <w:rPr>
          <w:lang w:val="en-GB"/>
        </w:rPr>
        <w:t>P</w:t>
      </w:r>
      <w:r w:rsidRPr="00027B22">
        <w:rPr>
          <w:lang w:val="en-GB"/>
        </w:rPr>
        <w:t>rogesterone is a white or almost white, crystalline powder or colourless crystals which is practically insoluble in water, freely soluble in ethanol, sparingly soluble in acetone and in fatty oils.</w:t>
      </w:r>
    </w:p>
    <w:p w:rsidR="0027397D" w:rsidRPr="00190151" w:rsidRDefault="0027397D" w:rsidP="0027397D">
      <w:pPr>
        <w:spacing w:after="0"/>
        <w:rPr>
          <w:rFonts w:cs="Arial"/>
          <w:color w:val="000000"/>
          <w:szCs w:val="20"/>
          <w:lang w:val="en-AU"/>
        </w:rPr>
      </w:pPr>
      <w:r w:rsidRPr="00190151">
        <w:rPr>
          <w:rFonts w:cs="Arial"/>
          <w:color w:val="000000"/>
          <w:szCs w:val="20"/>
          <w:lang w:val="en-AU"/>
        </w:rPr>
        <w:t>T</w:t>
      </w:r>
      <w:r w:rsidRPr="00835B3F">
        <w:t>h</w:t>
      </w:r>
      <w:r w:rsidRPr="00190151">
        <w:rPr>
          <w:rFonts w:cs="Arial"/>
          <w:color w:val="000000"/>
          <w:szCs w:val="20"/>
          <w:lang w:val="en-AU"/>
        </w:rPr>
        <w:t>e structural formula of progesterone is:</w:t>
      </w:r>
    </w:p>
    <w:p w:rsidR="0027397D" w:rsidRPr="00190151" w:rsidRDefault="00570B01" w:rsidP="00835B3F">
      <w:pPr>
        <w:rPr>
          <w:lang w:val="en-AU"/>
        </w:rPr>
      </w:pPr>
      <w:r>
        <w:rPr>
          <w:noProof/>
          <w:lang w:val="en-AU" w:eastAsia="en-AU"/>
        </w:rPr>
        <w:drawing>
          <wp:inline distT="0" distB="0" distL="0" distR="0">
            <wp:extent cx="1571625" cy="1323975"/>
            <wp:effectExtent l="19050" t="0" r="9525" b="0"/>
            <wp:docPr id="1" name="Picture 1" descr="Structural formula of progeste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iLevel thresh="50000"/>
                    </a:blip>
                    <a:srcRect l="72656" t="18965" r="1057" b="45454"/>
                    <a:stretch>
                      <a:fillRect/>
                    </a:stretch>
                  </pic:blipFill>
                  <pic:spPr bwMode="auto">
                    <a:xfrm>
                      <a:off x="0" y="0"/>
                      <a:ext cx="1571625" cy="1323975"/>
                    </a:xfrm>
                    <a:prstGeom prst="rect">
                      <a:avLst/>
                    </a:prstGeom>
                    <a:noFill/>
                    <a:ln w="9525">
                      <a:noFill/>
                      <a:miter lim="800000"/>
                      <a:headEnd/>
                      <a:tailEnd/>
                    </a:ln>
                  </pic:spPr>
                </pic:pic>
              </a:graphicData>
            </a:graphic>
          </wp:inline>
        </w:drawing>
      </w:r>
    </w:p>
    <w:p w:rsidR="0027397D" w:rsidRPr="00190151" w:rsidRDefault="0027397D" w:rsidP="00835B3F">
      <w:pPr>
        <w:rPr>
          <w:color w:val="000000"/>
          <w:szCs w:val="20"/>
          <w:lang w:val="en-AU"/>
        </w:rPr>
      </w:pPr>
      <w:r w:rsidRPr="00190151">
        <w:rPr>
          <w:szCs w:val="20"/>
          <w:lang w:val="en-AU"/>
        </w:rPr>
        <w:t>The chemical name for progesterone is p</w:t>
      </w:r>
      <w:r w:rsidRPr="00190151">
        <w:rPr>
          <w:color w:val="000000"/>
          <w:szCs w:val="20"/>
          <w:lang w:val="en-AU"/>
        </w:rPr>
        <w:t>regn-4-ene-3,</w:t>
      </w:r>
      <w:r w:rsidR="009341F7">
        <w:rPr>
          <w:color w:val="000000"/>
          <w:szCs w:val="20"/>
          <w:lang w:val="en-AU"/>
        </w:rPr>
        <w:t xml:space="preserve"> </w:t>
      </w:r>
      <w:proofErr w:type="gramStart"/>
      <w:r w:rsidRPr="00190151">
        <w:rPr>
          <w:color w:val="000000"/>
          <w:szCs w:val="20"/>
          <w:lang w:val="en-AU"/>
        </w:rPr>
        <w:t>20-dione</w:t>
      </w:r>
      <w:proofErr w:type="gramEnd"/>
      <w:r w:rsidRPr="00190151">
        <w:rPr>
          <w:color w:val="000000"/>
          <w:szCs w:val="20"/>
          <w:lang w:val="en-AU"/>
        </w:rPr>
        <w:t xml:space="preserve">.  It has an empirical formula of </w:t>
      </w:r>
      <w:hyperlink r:id="rId9" w:tooltip="Carbon" w:history="1">
        <w:r w:rsidRPr="001D22DA">
          <w:rPr>
            <w:rStyle w:val="Hyperlink"/>
            <w:rFonts w:cs="Arial"/>
            <w:bCs/>
            <w:color w:val="auto"/>
            <w:szCs w:val="20"/>
            <w:u w:val="none"/>
            <w:lang w:val="en-AU"/>
          </w:rPr>
          <w:t>C</w:t>
        </w:r>
      </w:hyperlink>
      <w:r w:rsidRPr="001D22DA">
        <w:rPr>
          <w:szCs w:val="20"/>
          <w:vertAlign w:val="subscript"/>
          <w:lang w:val="en-AU"/>
        </w:rPr>
        <w:t>21</w:t>
      </w:r>
      <w:hyperlink r:id="rId10" w:tooltip="Hydrogen" w:history="1">
        <w:r w:rsidRPr="001D22DA">
          <w:rPr>
            <w:rStyle w:val="Hyperlink"/>
            <w:rFonts w:cs="Arial"/>
            <w:bCs/>
            <w:color w:val="auto"/>
            <w:szCs w:val="20"/>
            <w:u w:val="none"/>
            <w:lang w:val="en-AU"/>
          </w:rPr>
          <w:t>H</w:t>
        </w:r>
      </w:hyperlink>
      <w:r w:rsidRPr="001D22DA">
        <w:rPr>
          <w:szCs w:val="20"/>
          <w:vertAlign w:val="subscript"/>
          <w:lang w:val="en-AU"/>
        </w:rPr>
        <w:t>30</w:t>
      </w:r>
      <w:hyperlink r:id="rId11" w:tooltip="Oxygen" w:history="1">
        <w:r w:rsidRPr="001D22DA">
          <w:rPr>
            <w:rStyle w:val="Hyperlink"/>
            <w:rFonts w:cs="Arial"/>
            <w:bCs/>
            <w:color w:val="auto"/>
            <w:szCs w:val="20"/>
            <w:u w:val="none"/>
            <w:lang w:val="en-AU"/>
          </w:rPr>
          <w:t>O</w:t>
        </w:r>
      </w:hyperlink>
      <w:r w:rsidRPr="001D22DA">
        <w:rPr>
          <w:szCs w:val="20"/>
          <w:vertAlign w:val="subscript"/>
          <w:lang w:val="en-AU"/>
        </w:rPr>
        <w:t>2</w:t>
      </w:r>
      <w:r w:rsidRPr="00190151">
        <w:rPr>
          <w:szCs w:val="20"/>
          <w:vertAlign w:val="subscript"/>
          <w:lang w:val="en-AU"/>
        </w:rPr>
        <w:t xml:space="preserve"> </w:t>
      </w:r>
      <w:r w:rsidRPr="00190151">
        <w:rPr>
          <w:szCs w:val="20"/>
          <w:lang w:val="en-AU"/>
        </w:rPr>
        <w:t xml:space="preserve">and a molecular weight of </w:t>
      </w:r>
      <w:r w:rsidRPr="00190151">
        <w:rPr>
          <w:color w:val="000000"/>
          <w:szCs w:val="20"/>
          <w:lang w:val="en-AU"/>
        </w:rPr>
        <w:t xml:space="preserve">314.5. </w:t>
      </w:r>
      <w:r>
        <w:rPr>
          <w:color w:val="000000"/>
          <w:szCs w:val="20"/>
          <w:lang w:val="en-AU"/>
        </w:rPr>
        <w:t xml:space="preserve"> </w:t>
      </w:r>
      <w:proofErr w:type="gramStart"/>
      <w:r w:rsidRPr="00190151">
        <w:rPr>
          <w:color w:val="000000"/>
          <w:szCs w:val="20"/>
          <w:lang w:val="en-AU"/>
        </w:rPr>
        <w:t>CAS 57-83-0.</w:t>
      </w:r>
      <w:proofErr w:type="gramEnd"/>
    </w:p>
    <w:p w:rsidR="00F814AF" w:rsidRPr="00190151" w:rsidRDefault="00274B24" w:rsidP="00835B3F">
      <w:pPr>
        <w:rPr>
          <w:i/>
          <w:szCs w:val="20"/>
          <w:lang w:val="en-AU"/>
        </w:rPr>
      </w:pPr>
      <w:r w:rsidRPr="00190151">
        <w:rPr>
          <w:szCs w:val="20"/>
          <w:lang w:val="en-AU"/>
        </w:rPr>
        <w:t xml:space="preserve">ENDOMETRIN </w:t>
      </w:r>
      <w:r w:rsidR="002A3065">
        <w:rPr>
          <w:szCs w:val="20"/>
          <w:lang w:val="en-AU"/>
        </w:rPr>
        <w:t xml:space="preserve">PESSARIES </w:t>
      </w:r>
      <w:r w:rsidR="007421EA">
        <w:rPr>
          <w:szCs w:val="20"/>
          <w:lang w:val="en-AU"/>
        </w:rPr>
        <w:t>(</w:t>
      </w:r>
      <w:r w:rsidRPr="00190151">
        <w:rPr>
          <w:szCs w:val="20"/>
          <w:lang w:val="en-AU"/>
        </w:rPr>
        <w:t>vaginal tablets</w:t>
      </w:r>
      <w:r w:rsidR="007421EA">
        <w:rPr>
          <w:szCs w:val="20"/>
          <w:lang w:val="en-AU"/>
        </w:rPr>
        <w:t>)</w:t>
      </w:r>
      <w:r w:rsidRPr="00190151">
        <w:rPr>
          <w:szCs w:val="20"/>
          <w:lang w:val="en-AU"/>
        </w:rPr>
        <w:t xml:space="preserve"> </w:t>
      </w:r>
      <w:r w:rsidR="00F25836" w:rsidRPr="009302BF">
        <w:rPr>
          <w:szCs w:val="20"/>
          <w:lang w:val="en-AU"/>
        </w:rPr>
        <w:t xml:space="preserve">contain </w:t>
      </w:r>
      <w:r w:rsidR="00F25836" w:rsidRPr="00B1058B">
        <w:rPr>
          <w:szCs w:val="20"/>
          <w:lang w:val="en-AU"/>
        </w:rPr>
        <w:t>100</w:t>
      </w:r>
      <w:r w:rsidR="00F25836" w:rsidRPr="00190151">
        <w:rPr>
          <w:lang w:val="en-AU"/>
        </w:rPr>
        <w:t xml:space="preserve"> </w:t>
      </w:r>
      <w:r w:rsidR="00F25836" w:rsidRPr="00B1058B">
        <w:rPr>
          <w:szCs w:val="20"/>
          <w:lang w:val="en-AU"/>
        </w:rPr>
        <w:t>mg progesterone</w:t>
      </w:r>
      <w:r w:rsidR="0027397D">
        <w:rPr>
          <w:szCs w:val="20"/>
          <w:lang w:val="en-AU"/>
        </w:rPr>
        <w:t xml:space="preserve"> </w:t>
      </w:r>
      <w:r w:rsidR="005A3F40">
        <w:rPr>
          <w:szCs w:val="20"/>
          <w:lang w:val="en-AU"/>
        </w:rPr>
        <w:t>(</w:t>
      </w:r>
      <w:proofErr w:type="spellStart"/>
      <w:r w:rsidR="005A3F40">
        <w:rPr>
          <w:szCs w:val="20"/>
          <w:lang w:val="en-AU"/>
        </w:rPr>
        <w:t>microni</w:t>
      </w:r>
      <w:r w:rsidR="00877788">
        <w:rPr>
          <w:szCs w:val="20"/>
          <w:lang w:val="en-AU"/>
        </w:rPr>
        <w:t>s</w:t>
      </w:r>
      <w:r w:rsidR="005A3F40">
        <w:rPr>
          <w:szCs w:val="20"/>
          <w:lang w:val="en-AU"/>
        </w:rPr>
        <w:t>ed</w:t>
      </w:r>
      <w:proofErr w:type="spellEnd"/>
      <w:r w:rsidR="005A3F40">
        <w:rPr>
          <w:szCs w:val="20"/>
          <w:lang w:val="en-AU"/>
        </w:rPr>
        <w:t xml:space="preserve">) </w:t>
      </w:r>
      <w:r w:rsidR="0027397D">
        <w:rPr>
          <w:szCs w:val="20"/>
          <w:lang w:val="en-AU"/>
        </w:rPr>
        <w:t xml:space="preserve">and </w:t>
      </w:r>
      <w:r w:rsidR="00F814AF" w:rsidRPr="00190151">
        <w:rPr>
          <w:szCs w:val="20"/>
          <w:lang w:val="en-AU"/>
        </w:rPr>
        <w:t xml:space="preserve">also </w:t>
      </w:r>
      <w:r w:rsidR="00804AA3" w:rsidRPr="00190151">
        <w:rPr>
          <w:szCs w:val="20"/>
          <w:lang w:val="en-AU"/>
        </w:rPr>
        <w:t xml:space="preserve">the following </w:t>
      </w:r>
      <w:proofErr w:type="spellStart"/>
      <w:r w:rsidR="00804AA3" w:rsidRPr="00190151">
        <w:rPr>
          <w:szCs w:val="20"/>
          <w:lang w:val="en-AU"/>
        </w:rPr>
        <w:t>excipients</w:t>
      </w:r>
      <w:proofErr w:type="spellEnd"/>
      <w:r w:rsidR="00804AA3" w:rsidRPr="00190151">
        <w:rPr>
          <w:szCs w:val="20"/>
          <w:lang w:val="en-AU"/>
        </w:rPr>
        <w:t>:</w:t>
      </w:r>
      <w:r w:rsidR="00F814AF" w:rsidRPr="00190151">
        <w:rPr>
          <w:szCs w:val="24"/>
          <w:lang w:val="en-AU"/>
        </w:rPr>
        <w:t xml:space="preserve"> </w:t>
      </w:r>
      <w:r w:rsidR="00462A5D">
        <w:rPr>
          <w:szCs w:val="20"/>
          <w:lang w:val="en-AU"/>
        </w:rPr>
        <w:t>C</w:t>
      </w:r>
      <w:r w:rsidR="00F814AF" w:rsidRPr="00190151">
        <w:rPr>
          <w:szCs w:val="20"/>
          <w:lang w:val="en-AU"/>
        </w:rPr>
        <w:t>olloidal</w:t>
      </w:r>
      <w:r w:rsidR="002C6EB2" w:rsidRPr="00190151">
        <w:rPr>
          <w:szCs w:val="20"/>
          <w:lang w:val="en-AU"/>
        </w:rPr>
        <w:t xml:space="preserve"> anhydrous</w:t>
      </w:r>
      <w:r w:rsidR="00462A5D">
        <w:rPr>
          <w:szCs w:val="20"/>
          <w:lang w:val="en-AU"/>
        </w:rPr>
        <w:t xml:space="preserve"> silica</w:t>
      </w:r>
      <w:r w:rsidR="002C6EB2" w:rsidRPr="00190151">
        <w:rPr>
          <w:szCs w:val="24"/>
          <w:lang w:val="en-AU"/>
        </w:rPr>
        <w:t>,</w:t>
      </w:r>
      <w:r w:rsidR="00F814AF" w:rsidRPr="00190151">
        <w:rPr>
          <w:szCs w:val="24"/>
          <w:lang w:val="en-AU"/>
        </w:rPr>
        <w:t xml:space="preserve"> </w:t>
      </w:r>
      <w:r w:rsidR="00F814AF" w:rsidRPr="00190151">
        <w:rPr>
          <w:szCs w:val="20"/>
          <w:lang w:val="en-AU"/>
        </w:rPr>
        <w:t xml:space="preserve">Lactose, </w:t>
      </w:r>
      <w:proofErr w:type="spellStart"/>
      <w:r w:rsidR="002A3065">
        <w:rPr>
          <w:szCs w:val="20"/>
          <w:lang w:val="en-AU"/>
        </w:rPr>
        <w:t>P</w:t>
      </w:r>
      <w:r w:rsidR="00F814AF" w:rsidRPr="00190151">
        <w:rPr>
          <w:szCs w:val="20"/>
          <w:lang w:val="en-AU"/>
        </w:rPr>
        <w:t>regelatini</w:t>
      </w:r>
      <w:r w:rsidR="002C6EB2" w:rsidRPr="00190151">
        <w:rPr>
          <w:szCs w:val="20"/>
          <w:lang w:val="en-AU"/>
        </w:rPr>
        <w:t>s</w:t>
      </w:r>
      <w:r w:rsidR="00F814AF" w:rsidRPr="00190151">
        <w:rPr>
          <w:szCs w:val="20"/>
          <w:lang w:val="en-AU"/>
        </w:rPr>
        <w:t>ed</w:t>
      </w:r>
      <w:proofErr w:type="spellEnd"/>
      <w:r w:rsidR="00F814AF" w:rsidRPr="00190151">
        <w:rPr>
          <w:szCs w:val="20"/>
          <w:lang w:val="en-AU"/>
        </w:rPr>
        <w:t xml:space="preserve"> maize</w:t>
      </w:r>
      <w:r w:rsidR="002A3065">
        <w:rPr>
          <w:szCs w:val="20"/>
          <w:lang w:val="en-AU"/>
        </w:rPr>
        <w:t xml:space="preserve"> starch</w:t>
      </w:r>
      <w:r w:rsidR="00F814AF" w:rsidRPr="00190151">
        <w:rPr>
          <w:szCs w:val="20"/>
          <w:lang w:val="en-AU"/>
        </w:rPr>
        <w:t xml:space="preserve">, </w:t>
      </w:r>
      <w:proofErr w:type="spellStart"/>
      <w:r w:rsidR="00F814AF" w:rsidRPr="00190151">
        <w:rPr>
          <w:szCs w:val="20"/>
          <w:lang w:val="en-AU"/>
        </w:rPr>
        <w:t>Povidone</w:t>
      </w:r>
      <w:proofErr w:type="spellEnd"/>
      <w:r w:rsidR="00F814AF" w:rsidRPr="00190151">
        <w:rPr>
          <w:szCs w:val="20"/>
          <w:lang w:val="en-AU"/>
        </w:rPr>
        <w:t xml:space="preserve">, </w:t>
      </w:r>
      <w:proofErr w:type="spellStart"/>
      <w:r w:rsidR="00F814AF" w:rsidRPr="00190151">
        <w:rPr>
          <w:szCs w:val="20"/>
          <w:lang w:val="en-AU"/>
        </w:rPr>
        <w:t>Adipic</w:t>
      </w:r>
      <w:proofErr w:type="spellEnd"/>
      <w:r w:rsidR="00F814AF" w:rsidRPr="00190151">
        <w:rPr>
          <w:szCs w:val="20"/>
          <w:lang w:val="en-AU"/>
        </w:rPr>
        <w:t xml:space="preserve"> acid, Sodium </w:t>
      </w:r>
      <w:r w:rsidR="004430C2" w:rsidRPr="00190151">
        <w:rPr>
          <w:szCs w:val="20"/>
          <w:lang w:val="en-AU"/>
        </w:rPr>
        <w:t>bi</w:t>
      </w:r>
      <w:r w:rsidR="00F814AF" w:rsidRPr="00190151">
        <w:rPr>
          <w:szCs w:val="20"/>
          <w:lang w:val="en-AU"/>
        </w:rPr>
        <w:t xml:space="preserve">carbonate, Sodium </w:t>
      </w:r>
      <w:proofErr w:type="spellStart"/>
      <w:r w:rsidR="002C6EB2" w:rsidRPr="00190151">
        <w:rPr>
          <w:szCs w:val="20"/>
          <w:lang w:val="en-AU"/>
        </w:rPr>
        <w:t>lauryl</w:t>
      </w:r>
      <w:proofErr w:type="spellEnd"/>
      <w:r w:rsidR="002C6EB2" w:rsidRPr="00190151">
        <w:rPr>
          <w:szCs w:val="20"/>
          <w:lang w:val="en-AU"/>
        </w:rPr>
        <w:t xml:space="preserve"> </w:t>
      </w:r>
      <w:proofErr w:type="spellStart"/>
      <w:r w:rsidR="00326DCA">
        <w:rPr>
          <w:szCs w:val="20"/>
          <w:lang w:val="en-AU"/>
        </w:rPr>
        <w:t>sulfate</w:t>
      </w:r>
      <w:proofErr w:type="spellEnd"/>
      <w:r w:rsidR="00326DCA">
        <w:rPr>
          <w:szCs w:val="20"/>
          <w:lang w:val="en-AU"/>
        </w:rPr>
        <w:t xml:space="preserve">, Magnesium </w:t>
      </w:r>
      <w:proofErr w:type="spellStart"/>
      <w:r w:rsidR="00326DCA">
        <w:rPr>
          <w:szCs w:val="20"/>
          <w:lang w:val="en-AU"/>
        </w:rPr>
        <w:t>stearate</w:t>
      </w:r>
      <w:proofErr w:type="spellEnd"/>
      <w:r w:rsidR="00326DCA">
        <w:rPr>
          <w:szCs w:val="20"/>
          <w:lang w:val="en-AU"/>
        </w:rPr>
        <w:t>.</w:t>
      </w:r>
    </w:p>
    <w:p w:rsidR="00027B22" w:rsidRDefault="00F25836" w:rsidP="00835B3F">
      <w:pPr>
        <w:pStyle w:val="Heading2"/>
      </w:pPr>
      <w:r w:rsidRPr="00190151">
        <w:t>PHARMACOLOGY</w:t>
      </w:r>
    </w:p>
    <w:p w:rsidR="00835B3F" w:rsidRDefault="00F25836" w:rsidP="00835B3F">
      <w:pPr>
        <w:pStyle w:val="Heading3"/>
      </w:pPr>
      <w:proofErr w:type="spellStart"/>
      <w:r w:rsidRPr="00190151">
        <w:t>Pharmacodynamics</w:t>
      </w:r>
      <w:proofErr w:type="spellEnd"/>
    </w:p>
    <w:p w:rsidR="00F25836" w:rsidRPr="00190151" w:rsidRDefault="00F25836" w:rsidP="00835B3F">
      <w:pPr>
        <w:rPr>
          <w:lang w:val="en-AU"/>
        </w:rPr>
      </w:pPr>
      <w:r w:rsidRPr="00190151">
        <w:rPr>
          <w:lang w:val="en-AU"/>
        </w:rPr>
        <w:t xml:space="preserve">Progesterone is a naturally occurring steroid that is secreted by the ovary, placenta, and adrenal gland. In the presence of adequate </w:t>
      </w:r>
      <w:r w:rsidR="00190151">
        <w:rPr>
          <w:lang w:val="en-AU"/>
        </w:rPr>
        <w:t>o</w:t>
      </w:r>
      <w:r w:rsidRPr="00190151">
        <w:rPr>
          <w:lang w:val="en-AU"/>
        </w:rPr>
        <w:t xml:space="preserve">estrogen, progesterone transforms a proliferative </w:t>
      </w:r>
      <w:proofErr w:type="spellStart"/>
      <w:r w:rsidRPr="00190151">
        <w:rPr>
          <w:lang w:val="en-AU"/>
        </w:rPr>
        <w:t>endometrium</w:t>
      </w:r>
      <w:proofErr w:type="spellEnd"/>
      <w:r w:rsidRPr="00190151">
        <w:rPr>
          <w:lang w:val="en-AU"/>
        </w:rPr>
        <w:t xml:space="preserve"> into a </w:t>
      </w:r>
      <w:proofErr w:type="spellStart"/>
      <w:r w:rsidRPr="00190151">
        <w:rPr>
          <w:lang w:val="en-AU"/>
        </w:rPr>
        <w:t>secretory</w:t>
      </w:r>
      <w:proofErr w:type="spellEnd"/>
      <w:r w:rsidRPr="00190151">
        <w:rPr>
          <w:lang w:val="en-AU"/>
        </w:rPr>
        <w:t xml:space="preserve"> </w:t>
      </w:r>
      <w:proofErr w:type="spellStart"/>
      <w:r w:rsidRPr="00190151">
        <w:rPr>
          <w:lang w:val="en-AU"/>
        </w:rPr>
        <w:t>endometrium</w:t>
      </w:r>
      <w:proofErr w:type="spellEnd"/>
      <w:r w:rsidRPr="00190151">
        <w:rPr>
          <w:lang w:val="en-AU"/>
        </w:rPr>
        <w:t>.</w:t>
      </w:r>
      <w:r w:rsidR="00B9105B">
        <w:rPr>
          <w:lang w:val="en-AU"/>
        </w:rPr>
        <w:t xml:space="preserve"> </w:t>
      </w:r>
      <w:r w:rsidRPr="00190151">
        <w:rPr>
          <w:lang w:val="en-AU"/>
        </w:rPr>
        <w:t xml:space="preserve"> Progesterone is necessary to increase endometrial receptivity for implantation of an embryo. Once an embryo is implanted, progesterone acts to maintain the pregnancy.</w:t>
      </w:r>
    </w:p>
    <w:p w:rsidR="00835B3F" w:rsidRDefault="00906974" w:rsidP="00B1058B">
      <w:pPr>
        <w:spacing w:after="0"/>
        <w:rPr>
          <w:rFonts w:cs="Arial"/>
          <w:b/>
          <w:szCs w:val="20"/>
          <w:lang w:val="en-AU"/>
        </w:rPr>
      </w:pPr>
      <w:r w:rsidRPr="00190151">
        <w:rPr>
          <w:rFonts w:cs="Arial"/>
          <w:b/>
          <w:szCs w:val="20"/>
          <w:lang w:val="en-AU"/>
        </w:rPr>
        <w:t>Pharmacokinetics</w:t>
      </w:r>
    </w:p>
    <w:p w:rsidR="00906974" w:rsidRPr="00190151" w:rsidRDefault="00906974" w:rsidP="00835B3F">
      <w:pPr>
        <w:pStyle w:val="Heading4"/>
      </w:pPr>
      <w:r w:rsidRPr="00190151">
        <w:t>Absorption</w:t>
      </w:r>
    </w:p>
    <w:p w:rsidR="00906974" w:rsidRDefault="00906974" w:rsidP="00835B3F">
      <w:pPr>
        <w:rPr>
          <w:lang w:val="en-AU"/>
        </w:rPr>
      </w:pPr>
      <w:r w:rsidRPr="00190151">
        <w:rPr>
          <w:lang w:val="en-AU"/>
        </w:rPr>
        <w:t xml:space="preserve">Progesterone serum concentrations increased following the administration of the ENDOMETRIN vaginal tablets in 12 healthy premenopausal females. On single dosing, the mean </w:t>
      </w:r>
      <w:proofErr w:type="spellStart"/>
      <w:r w:rsidRPr="00190151">
        <w:rPr>
          <w:lang w:val="en-AU"/>
        </w:rPr>
        <w:t>C</w:t>
      </w:r>
      <w:r w:rsidRPr="00190151">
        <w:rPr>
          <w:vertAlign w:val="subscript"/>
          <w:lang w:val="en-AU"/>
        </w:rPr>
        <w:t>max</w:t>
      </w:r>
      <w:proofErr w:type="spellEnd"/>
      <w:r w:rsidRPr="00190151">
        <w:rPr>
          <w:lang w:val="en-AU"/>
        </w:rPr>
        <w:t xml:space="preserve"> </w:t>
      </w:r>
      <w:r w:rsidR="00DE3CCD">
        <w:rPr>
          <w:lang w:val="en-AU"/>
        </w:rPr>
        <w:t xml:space="preserve">of endogenous and exogenous progesterone </w:t>
      </w:r>
      <w:r w:rsidRPr="00190151">
        <w:rPr>
          <w:lang w:val="en-AU"/>
        </w:rPr>
        <w:t>was 17.0</w:t>
      </w:r>
      <w:r w:rsidR="00B9105B">
        <w:rPr>
          <w:lang w:val="en-AU"/>
        </w:rPr>
        <w:t> </w:t>
      </w:r>
      <w:proofErr w:type="spellStart"/>
      <w:r w:rsidRPr="00190151">
        <w:rPr>
          <w:lang w:val="en-AU"/>
        </w:rPr>
        <w:t>ng</w:t>
      </w:r>
      <w:proofErr w:type="spellEnd"/>
      <w:r w:rsidRPr="00190151">
        <w:rPr>
          <w:lang w:val="en-AU"/>
        </w:rPr>
        <w:t>/</w:t>
      </w:r>
      <w:proofErr w:type="spellStart"/>
      <w:r w:rsidRPr="00190151">
        <w:rPr>
          <w:lang w:val="en-AU"/>
        </w:rPr>
        <w:t>mL</w:t>
      </w:r>
      <w:proofErr w:type="spellEnd"/>
      <w:r w:rsidRPr="00190151">
        <w:rPr>
          <w:lang w:val="en-AU"/>
        </w:rPr>
        <w:t xml:space="preserve"> in the ENDOMETRIN twice daily</w:t>
      </w:r>
      <w:r w:rsidR="00D446E8">
        <w:rPr>
          <w:lang w:val="en-AU"/>
        </w:rPr>
        <w:t xml:space="preserve"> (BID)</w:t>
      </w:r>
      <w:r w:rsidRPr="00190151">
        <w:rPr>
          <w:lang w:val="en-AU"/>
        </w:rPr>
        <w:t xml:space="preserve"> group and 19.8</w:t>
      </w:r>
      <w:r w:rsidR="00B9105B">
        <w:rPr>
          <w:lang w:val="en-AU"/>
        </w:rPr>
        <w:t> </w:t>
      </w:r>
      <w:proofErr w:type="spellStart"/>
      <w:r w:rsidRPr="00190151">
        <w:rPr>
          <w:lang w:val="en-AU"/>
        </w:rPr>
        <w:t>ng</w:t>
      </w:r>
      <w:proofErr w:type="spellEnd"/>
      <w:r w:rsidRPr="00190151">
        <w:rPr>
          <w:lang w:val="en-AU"/>
        </w:rPr>
        <w:t>/</w:t>
      </w:r>
      <w:proofErr w:type="spellStart"/>
      <w:r w:rsidRPr="00190151">
        <w:rPr>
          <w:lang w:val="en-AU"/>
        </w:rPr>
        <w:t>mL</w:t>
      </w:r>
      <w:proofErr w:type="spellEnd"/>
      <w:r w:rsidRPr="00190151">
        <w:rPr>
          <w:lang w:val="en-AU"/>
        </w:rPr>
        <w:t xml:space="preserve"> in the ENDOMETRIN three times daily </w:t>
      </w:r>
      <w:r w:rsidR="00D446E8">
        <w:rPr>
          <w:lang w:val="en-AU"/>
        </w:rPr>
        <w:t xml:space="preserve">(TID) </w:t>
      </w:r>
      <w:r w:rsidRPr="00190151">
        <w:rPr>
          <w:lang w:val="en-AU"/>
        </w:rPr>
        <w:t>group.</w:t>
      </w:r>
    </w:p>
    <w:p w:rsidR="00CC06F3" w:rsidRDefault="00906974" w:rsidP="00835B3F">
      <w:pPr>
        <w:rPr>
          <w:rFonts w:eastAsia="Times New Roman"/>
          <w:b/>
          <w:lang w:val="en-AU" w:eastAsia="da-DK"/>
        </w:rPr>
      </w:pPr>
      <w:r w:rsidRPr="00190151">
        <w:rPr>
          <w:lang w:val="en-AU"/>
        </w:rPr>
        <w:t xml:space="preserve">On multiple dosing, steady state concentrations were attained within approximately 1 day after initiation of treatment with ENDOMETRIN.  Both ENDOMETRIN regimens provided average serum concentrations of progesterone exceeding </w:t>
      </w:r>
      <w:proofErr w:type="gramStart"/>
      <w:r w:rsidRPr="00190151">
        <w:rPr>
          <w:lang w:val="en-AU"/>
        </w:rPr>
        <w:t>10</w:t>
      </w:r>
      <w:r w:rsidR="00B9105B">
        <w:rPr>
          <w:lang w:val="en-AU"/>
        </w:rPr>
        <w:t> </w:t>
      </w:r>
      <w:proofErr w:type="spellStart"/>
      <w:r w:rsidRPr="00190151">
        <w:rPr>
          <w:lang w:val="en-AU"/>
        </w:rPr>
        <w:t>ng</w:t>
      </w:r>
      <w:proofErr w:type="spellEnd"/>
      <w:r w:rsidRPr="00190151">
        <w:rPr>
          <w:lang w:val="en-AU"/>
        </w:rPr>
        <w:t>/</w:t>
      </w:r>
      <w:proofErr w:type="spellStart"/>
      <w:r w:rsidRPr="00190151">
        <w:rPr>
          <w:lang w:val="en-AU"/>
        </w:rPr>
        <w:t>mL</w:t>
      </w:r>
      <w:proofErr w:type="spellEnd"/>
      <w:r w:rsidRPr="00190151">
        <w:rPr>
          <w:lang w:val="en-AU"/>
        </w:rPr>
        <w:t xml:space="preserve"> on Day 5</w:t>
      </w:r>
      <w:proofErr w:type="gramEnd"/>
      <w:r w:rsidRPr="00190151">
        <w:rPr>
          <w:lang w:val="en-AU"/>
        </w:rPr>
        <w:t xml:space="preserve">. </w:t>
      </w:r>
      <w:r w:rsidR="003107F4">
        <w:rPr>
          <w:lang w:val="en-AU"/>
        </w:rPr>
        <w:t xml:space="preserve"> The pharmacokinetic results are summarised in Table 1.</w:t>
      </w:r>
    </w:p>
    <w:p w:rsidR="00CC06F3" w:rsidRPr="00190151" w:rsidRDefault="00CC06F3" w:rsidP="00835B3F">
      <w:pPr>
        <w:pStyle w:val="Heading4"/>
        <w:rPr>
          <w:lang w:eastAsia="da-DK"/>
        </w:rPr>
      </w:pPr>
      <w:r w:rsidRPr="00190151">
        <w:rPr>
          <w:lang w:eastAsia="da-DK"/>
        </w:rPr>
        <w:t>Distribution</w:t>
      </w:r>
    </w:p>
    <w:p w:rsidR="00CC06F3" w:rsidRPr="00190151" w:rsidRDefault="00CC06F3" w:rsidP="00835B3F">
      <w:pPr>
        <w:rPr>
          <w:lang w:val="en-AU" w:eastAsia="da-DK"/>
        </w:rPr>
      </w:pPr>
      <w:r w:rsidRPr="00190151">
        <w:rPr>
          <w:lang w:val="en-AU" w:eastAsia="da-DK"/>
        </w:rPr>
        <w:t>Progesterone is approximately 96% to 99% bound to serum proteins, primarily to serum albumin and corticosteroid binding globulin.</w:t>
      </w:r>
    </w:p>
    <w:p w:rsidR="00CC06F3" w:rsidRPr="00190151" w:rsidRDefault="00CC06F3" w:rsidP="00835B3F">
      <w:pPr>
        <w:pStyle w:val="Heading4"/>
        <w:rPr>
          <w:lang w:eastAsia="da-DK"/>
        </w:rPr>
      </w:pPr>
      <w:r w:rsidRPr="00190151">
        <w:rPr>
          <w:lang w:eastAsia="da-DK"/>
        </w:rPr>
        <w:t>Metabolism</w:t>
      </w:r>
    </w:p>
    <w:p w:rsidR="00CC06F3" w:rsidRPr="00190151" w:rsidRDefault="00CC06F3" w:rsidP="00835B3F">
      <w:pPr>
        <w:rPr>
          <w:lang w:val="en-AU" w:eastAsia="da-DK"/>
        </w:rPr>
      </w:pPr>
      <w:r w:rsidRPr="00190151">
        <w:rPr>
          <w:lang w:val="en-AU" w:eastAsia="da-DK"/>
        </w:rPr>
        <w:t>Progesterone is metaboli</w:t>
      </w:r>
      <w:r>
        <w:rPr>
          <w:lang w:val="en-AU" w:eastAsia="da-DK"/>
        </w:rPr>
        <w:t>s</w:t>
      </w:r>
      <w:r w:rsidRPr="00190151">
        <w:rPr>
          <w:lang w:val="en-AU" w:eastAsia="da-DK"/>
        </w:rPr>
        <w:t xml:space="preserve">ed primarily by the liver largely to </w:t>
      </w:r>
      <w:proofErr w:type="spellStart"/>
      <w:r w:rsidRPr="00190151">
        <w:rPr>
          <w:lang w:val="en-AU" w:eastAsia="da-DK"/>
        </w:rPr>
        <w:t>pregnanediols</w:t>
      </w:r>
      <w:proofErr w:type="spellEnd"/>
      <w:r w:rsidRPr="00190151">
        <w:rPr>
          <w:lang w:val="en-AU" w:eastAsia="da-DK"/>
        </w:rPr>
        <w:t xml:space="preserve"> and </w:t>
      </w:r>
      <w:proofErr w:type="spellStart"/>
      <w:r w:rsidRPr="00190151">
        <w:rPr>
          <w:lang w:val="en-AU" w:eastAsia="da-DK"/>
        </w:rPr>
        <w:t>pregnanolones</w:t>
      </w:r>
      <w:proofErr w:type="spellEnd"/>
      <w:r w:rsidRPr="00190151">
        <w:rPr>
          <w:lang w:val="en-AU" w:eastAsia="da-DK"/>
        </w:rPr>
        <w:t xml:space="preserve">. </w:t>
      </w:r>
      <w:r>
        <w:rPr>
          <w:lang w:val="en-AU" w:eastAsia="da-DK"/>
        </w:rPr>
        <w:t xml:space="preserve"> </w:t>
      </w:r>
      <w:proofErr w:type="spellStart"/>
      <w:r w:rsidRPr="00190151">
        <w:rPr>
          <w:lang w:val="en-AU" w:eastAsia="da-DK"/>
        </w:rPr>
        <w:t>Pregnanediols</w:t>
      </w:r>
      <w:proofErr w:type="spellEnd"/>
      <w:r w:rsidRPr="00190151">
        <w:rPr>
          <w:lang w:val="en-AU" w:eastAsia="da-DK"/>
        </w:rPr>
        <w:t xml:space="preserve"> and </w:t>
      </w:r>
      <w:proofErr w:type="spellStart"/>
      <w:r w:rsidRPr="00190151">
        <w:rPr>
          <w:lang w:val="en-AU" w:eastAsia="da-DK"/>
        </w:rPr>
        <w:t>pregnanolones</w:t>
      </w:r>
      <w:proofErr w:type="spellEnd"/>
      <w:r w:rsidRPr="00190151">
        <w:rPr>
          <w:lang w:val="en-AU" w:eastAsia="da-DK"/>
        </w:rPr>
        <w:t xml:space="preserve"> are conjugated in the liver to </w:t>
      </w:r>
      <w:proofErr w:type="spellStart"/>
      <w:r w:rsidRPr="00190151">
        <w:rPr>
          <w:lang w:val="en-AU" w:eastAsia="da-DK"/>
        </w:rPr>
        <w:t>glucuronide</w:t>
      </w:r>
      <w:proofErr w:type="spellEnd"/>
      <w:r w:rsidRPr="00190151">
        <w:rPr>
          <w:lang w:val="en-AU" w:eastAsia="da-DK"/>
        </w:rPr>
        <w:t xml:space="preserve"> and </w:t>
      </w:r>
      <w:proofErr w:type="spellStart"/>
      <w:r w:rsidRPr="00190151">
        <w:rPr>
          <w:lang w:val="en-AU" w:eastAsia="da-DK"/>
        </w:rPr>
        <w:t>sulfate</w:t>
      </w:r>
      <w:proofErr w:type="spellEnd"/>
      <w:r w:rsidRPr="00190151">
        <w:rPr>
          <w:lang w:val="en-AU" w:eastAsia="da-DK"/>
        </w:rPr>
        <w:t xml:space="preserve"> metabolites.</w:t>
      </w:r>
      <w:r>
        <w:rPr>
          <w:lang w:val="en-AU" w:eastAsia="da-DK"/>
        </w:rPr>
        <w:t xml:space="preserve"> </w:t>
      </w:r>
      <w:r w:rsidRPr="00190151">
        <w:rPr>
          <w:lang w:val="en-AU" w:eastAsia="da-DK"/>
        </w:rPr>
        <w:t xml:space="preserve"> Progesterone metabolites that are excreted in the bile may be </w:t>
      </w:r>
      <w:proofErr w:type="spellStart"/>
      <w:r w:rsidRPr="00190151">
        <w:rPr>
          <w:lang w:val="en-AU" w:eastAsia="da-DK"/>
        </w:rPr>
        <w:t>deconjugated</w:t>
      </w:r>
      <w:proofErr w:type="spellEnd"/>
      <w:r w:rsidRPr="00190151">
        <w:rPr>
          <w:lang w:val="en-AU" w:eastAsia="da-DK"/>
        </w:rPr>
        <w:t xml:space="preserve"> and may be further metaboli</w:t>
      </w:r>
      <w:r>
        <w:rPr>
          <w:lang w:val="en-AU" w:eastAsia="da-DK"/>
        </w:rPr>
        <w:t>s</w:t>
      </w:r>
      <w:r w:rsidRPr="00190151">
        <w:rPr>
          <w:lang w:val="en-AU" w:eastAsia="da-DK"/>
        </w:rPr>
        <w:t xml:space="preserve">ed in the gut via reduction, </w:t>
      </w:r>
      <w:proofErr w:type="spellStart"/>
      <w:r w:rsidRPr="00190151">
        <w:rPr>
          <w:lang w:val="en-AU" w:eastAsia="da-DK"/>
        </w:rPr>
        <w:t>dehydroxylation</w:t>
      </w:r>
      <w:proofErr w:type="spellEnd"/>
      <w:r w:rsidRPr="00190151">
        <w:rPr>
          <w:lang w:val="en-AU" w:eastAsia="da-DK"/>
        </w:rPr>
        <w:t>, and epimerization.</w:t>
      </w:r>
    </w:p>
    <w:p w:rsidR="00CC06F3" w:rsidRPr="00190151" w:rsidRDefault="00CC06F3" w:rsidP="00835B3F">
      <w:pPr>
        <w:pStyle w:val="Heading4"/>
        <w:rPr>
          <w:lang w:eastAsia="da-DK"/>
        </w:rPr>
      </w:pPr>
      <w:r>
        <w:br w:type="page"/>
      </w:r>
      <w:r w:rsidRPr="00190151">
        <w:rPr>
          <w:lang w:eastAsia="da-DK"/>
        </w:rPr>
        <w:lastRenderedPageBreak/>
        <w:t>Excretion</w:t>
      </w:r>
    </w:p>
    <w:p w:rsidR="00CC06F3" w:rsidRPr="00190151" w:rsidRDefault="00CC06F3" w:rsidP="002003BB">
      <w:pPr>
        <w:rPr>
          <w:lang w:val="en-AU"/>
        </w:rPr>
      </w:pPr>
      <w:r w:rsidRPr="00190151">
        <w:rPr>
          <w:lang w:val="en-AU"/>
        </w:rPr>
        <w:t xml:space="preserve">Progesterone undergoes renal and </w:t>
      </w:r>
      <w:proofErr w:type="spellStart"/>
      <w:r w:rsidRPr="00190151">
        <w:rPr>
          <w:lang w:val="en-AU"/>
        </w:rPr>
        <w:t>biliary</w:t>
      </w:r>
      <w:proofErr w:type="spellEnd"/>
      <w:r w:rsidRPr="00190151">
        <w:rPr>
          <w:lang w:val="en-AU"/>
        </w:rPr>
        <w:t xml:space="preserve"> elimination.  Following injection of labelled progesterone, 50-60% of the excretion of metabolites occurs via the kidney; approximately 10% occurs via the bile and faeces. </w:t>
      </w:r>
      <w:r>
        <w:rPr>
          <w:lang w:val="en-AU"/>
        </w:rPr>
        <w:t xml:space="preserve"> </w:t>
      </w:r>
      <w:r w:rsidRPr="00190151">
        <w:rPr>
          <w:lang w:val="en-AU"/>
        </w:rPr>
        <w:t xml:space="preserve">Overall recovery of the labelled material accounts for 70% of an administered dose. </w:t>
      </w:r>
      <w:r>
        <w:rPr>
          <w:lang w:val="en-AU"/>
        </w:rPr>
        <w:t xml:space="preserve"> </w:t>
      </w:r>
      <w:r w:rsidRPr="00190151">
        <w:rPr>
          <w:lang w:val="en-AU"/>
        </w:rPr>
        <w:t>Only a small portion of unchanged progesterone is excreted in the bile.</w:t>
      </w:r>
    </w:p>
    <w:p w:rsidR="003107F4" w:rsidRPr="002B7FCF" w:rsidRDefault="003107F4" w:rsidP="003107F4">
      <w:pPr>
        <w:spacing w:after="0"/>
        <w:rPr>
          <w:rFonts w:cs="Arial"/>
          <w:b/>
          <w:sz w:val="18"/>
          <w:szCs w:val="18"/>
          <w:lang w:val="en-AU"/>
        </w:rPr>
      </w:pPr>
      <w:r w:rsidRPr="002B7FCF">
        <w:rPr>
          <w:rFonts w:cs="Arial"/>
          <w:b/>
          <w:bCs/>
          <w:sz w:val="18"/>
          <w:szCs w:val="18"/>
          <w:lang w:val="en-AU"/>
        </w:rPr>
        <w:t xml:space="preserve">Table 1: </w:t>
      </w:r>
      <w:r w:rsidRPr="002B7FCF">
        <w:rPr>
          <w:rFonts w:cs="Arial"/>
          <w:b/>
          <w:sz w:val="18"/>
          <w:szCs w:val="18"/>
          <w:lang w:val="en-AU"/>
        </w:rPr>
        <w:t>Mean (</w:t>
      </w:r>
      <w:r w:rsidR="00326DCA">
        <w:rPr>
          <w:rFonts w:cs="Arial"/>
          <w:b/>
          <w:sz w:val="18"/>
          <w:szCs w:val="18"/>
          <w:lang w:val="en-AU"/>
        </w:rPr>
        <w:sym w:font="Symbol" w:char="F0B1"/>
      </w:r>
      <w:r w:rsidRPr="002B7FCF">
        <w:rPr>
          <w:rFonts w:cs="Arial"/>
          <w:b/>
          <w:sz w:val="18"/>
          <w:szCs w:val="18"/>
          <w:lang w:val="en-AU"/>
        </w:rPr>
        <w:t>Standard Deviation) Serum Progesterone Pharmacokinetic Parameters</w:t>
      </w:r>
    </w:p>
    <w:tbl>
      <w:tblPr>
        <w:tblW w:w="583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870"/>
        <w:gridCol w:w="1980"/>
      </w:tblGrid>
      <w:tr w:rsidR="003107F4" w:rsidRPr="009341F7" w:rsidTr="009341F7">
        <w:trPr>
          <w:trHeight w:val="385"/>
        </w:trPr>
        <w:tc>
          <w:tcPr>
            <w:tcW w:w="1980" w:type="dxa"/>
          </w:tcPr>
          <w:p w:rsidR="003107F4" w:rsidRPr="009341F7" w:rsidRDefault="003107F4" w:rsidP="003107F4">
            <w:pPr>
              <w:spacing w:after="0"/>
              <w:rPr>
                <w:rFonts w:cs="Arial"/>
                <w:b/>
                <w:bCs/>
                <w:sz w:val="18"/>
                <w:szCs w:val="18"/>
                <w:lang w:val="en-AU"/>
              </w:rPr>
            </w:pPr>
            <w:r w:rsidRPr="009341F7">
              <w:rPr>
                <w:rFonts w:cs="Arial"/>
                <w:b/>
                <w:bCs/>
                <w:sz w:val="18"/>
                <w:szCs w:val="18"/>
                <w:lang w:val="en-AU"/>
              </w:rPr>
              <w:t>Pharmacokinetic</w:t>
            </w:r>
          </w:p>
          <w:p w:rsidR="003107F4" w:rsidRPr="009341F7" w:rsidRDefault="003107F4" w:rsidP="003107F4">
            <w:pPr>
              <w:spacing w:after="0"/>
              <w:rPr>
                <w:rFonts w:cs="Arial"/>
                <w:b/>
                <w:sz w:val="18"/>
                <w:szCs w:val="18"/>
                <w:lang w:val="en-AU"/>
              </w:rPr>
            </w:pPr>
            <w:r w:rsidRPr="009341F7">
              <w:rPr>
                <w:rFonts w:cs="Arial"/>
                <w:b/>
                <w:bCs/>
                <w:sz w:val="18"/>
                <w:szCs w:val="18"/>
                <w:lang w:val="en-AU"/>
              </w:rPr>
              <w:t>Parameter (unit)</w:t>
            </w:r>
          </w:p>
        </w:tc>
        <w:tc>
          <w:tcPr>
            <w:tcW w:w="1870" w:type="dxa"/>
          </w:tcPr>
          <w:p w:rsidR="003107F4" w:rsidRPr="009341F7" w:rsidRDefault="00FB63A6" w:rsidP="00FB63A6">
            <w:pPr>
              <w:spacing w:after="0"/>
              <w:jc w:val="center"/>
              <w:rPr>
                <w:rFonts w:cs="Arial"/>
                <w:b/>
                <w:bCs/>
                <w:sz w:val="18"/>
                <w:szCs w:val="18"/>
                <w:lang w:val="en-AU"/>
              </w:rPr>
            </w:pPr>
            <w:r w:rsidRPr="009341F7">
              <w:rPr>
                <w:rFonts w:cs="Arial"/>
                <w:b/>
                <w:bCs/>
                <w:sz w:val="18"/>
                <w:szCs w:val="18"/>
                <w:lang w:val="en-AU"/>
              </w:rPr>
              <w:t>ENDOMETRIN</w:t>
            </w:r>
          </w:p>
          <w:p w:rsidR="00FB63A6" w:rsidRDefault="003107F4" w:rsidP="00FB63A6">
            <w:pPr>
              <w:spacing w:after="0"/>
              <w:jc w:val="center"/>
              <w:rPr>
                <w:rFonts w:cs="Arial"/>
                <w:b/>
                <w:bCs/>
                <w:sz w:val="18"/>
                <w:szCs w:val="18"/>
                <w:lang w:val="en-AU"/>
              </w:rPr>
            </w:pPr>
            <w:r w:rsidRPr="009341F7">
              <w:rPr>
                <w:rFonts w:cs="Arial"/>
                <w:b/>
                <w:bCs/>
                <w:sz w:val="18"/>
                <w:szCs w:val="18"/>
                <w:lang w:val="en-AU"/>
              </w:rPr>
              <w:t xml:space="preserve">100 mg </w:t>
            </w:r>
            <w:r w:rsidR="00FB63A6">
              <w:rPr>
                <w:rFonts w:cs="Arial"/>
                <w:b/>
                <w:bCs/>
                <w:sz w:val="18"/>
                <w:szCs w:val="18"/>
                <w:lang w:val="en-AU"/>
              </w:rPr>
              <w:t>BID</w:t>
            </w:r>
          </w:p>
          <w:p w:rsidR="003107F4" w:rsidRPr="009341F7" w:rsidRDefault="003107F4" w:rsidP="00FB63A6">
            <w:pPr>
              <w:spacing w:after="0"/>
              <w:jc w:val="center"/>
              <w:rPr>
                <w:rFonts w:cs="Arial"/>
                <w:sz w:val="18"/>
                <w:szCs w:val="18"/>
                <w:lang w:val="en-AU"/>
              </w:rPr>
            </w:pPr>
            <w:r w:rsidRPr="009341F7">
              <w:rPr>
                <w:rFonts w:cs="Arial"/>
                <w:b/>
                <w:bCs/>
                <w:sz w:val="18"/>
                <w:szCs w:val="18"/>
                <w:lang w:val="en-AU"/>
              </w:rPr>
              <w:t>(N=6)</w:t>
            </w:r>
          </w:p>
        </w:tc>
        <w:tc>
          <w:tcPr>
            <w:tcW w:w="1980" w:type="dxa"/>
          </w:tcPr>
          <w:p w:rsidR="003107F4" w:rsidRPr="009341F7" w:rsidRDefault="00FB63A6" w:rsidP="00FB63A6">
            <w:pPr>
              <w:spacing w:after="0"/>
              <w:jc w:val="center"/>
              <w:rPr>
                <w:rFonts w:cs="Arial"/>
                <w:b/>
                <w:bCs/>
                <w:sz w:val="18"/>
                <w:szCs w:val="18"/>
                <w:lang w:val="en-AU"/>
              </w:rPr>
            </w:pPr>
            <w:r w:rsidRPr="009341F7">
              <w:rPr>
                <w:rFonts w:cs="Arial"/>
                <w:b/>
                <w:bCs/>
                <w:sz w:val="18"/>
                <w:szCs w:val="18"/>
                <w:lang w:val="en-AU"/>
              </w:rPr>
              <w:t>ENDOMETRIN</w:t>
            </w:r>
          </w:p>
          <w:p w:rsidR="00FB63A6" w:rsidRDefault="003107F4" w:rsidP="00FB63A6">
            <w:pPr>
              <w:spacing w:after="0"/>
              <w:jc w:val="center"/>
              <w:rPr>
                <w:rFonts w:cs="Arial"/>
                <w:b/>
                <w:bCs/>
                <w:sz w:val="18"/>
                <w:szCs w:val="18"/>
                <w:lang w:val="en-AU"/>
              </w:rPr>
            </w:pPr>
            <w:r w:rsidRPr="009341F7">
              <w:rPr>
                <w:rFonts w:cs="Arial"/>
                <w:b/>
                <w:bCs/>
                <w:sz w:val="18"/>
                <w:szCs w:val="18"/>
                <w:lang w:val="en-AU"/>
              </w:rPr>
              <w:t xml:space="preserve">100 mg </w:t>
            </w:r>
            <w:r w:rsidR="00FB63A6">
              <w:rPr>
                <w:rFonts w:cs="Arial"/>
                <w:b/>
                <w:bCs/>
                <w:sz w:val="18"/>
                <w:szCs w:val="18"/>
                <w:lang w:val="en-AU"/>
              </w:rPr>
              <w:t>TID</w:t>
            </w:r>
          </w:p>
          <w:p w:rsidR="003107F4" w:rsidRPr="009341F7" w:rsidRDefault="003107F4" w:rsidP="00FB63A6">
            <w:pPr>
              <w:spacing w:after="0"/>
              <w:jc w:val="center"/>
              <w:rPr>
                <w:rFonts w:cs="Arial"/>
                <w:sz w:val="18"/>
                <w:szCs w:val="18"/>
                <w:lang w:val="en-AU"/>
              </w:rPr>
            </w:pPr>
            <w:r w:rsidRPr="009341F7">
              <w:rPr>
                <w:rFonts w:cs="Arial"/>
                <w:b/>
                <w:bCs/>
                <w:sz w:val="18"/>
                <w:szCs w:val="18"/>
                <w:lang w:val="en-AU"/>
              </w:rPr>
              <w:t>(N=6)</w:t>
            </w:r>
          </w:p>
        </w:tc>
      </w:tr>
      <w:tr w:rsidR="003107F4" w:rsidRPr="009341F7" w:rsidTr="009341F7">
        <w:trPr>
          <w:trHeight w:val="310"/>
        </w:trPr>
        <w:tc>
          <w:tcPr>
            <w:tcW w:w="5830" w:type="dxa"/>
            <w:gridSpan w:val="3"/>
          </w:tcPr>
          <w:p w:rsidR="003107F4" w:rsidRPr="009341F7" w:rsidRDefault="003107F4" w:rsidP="003107F4">
            <w:pPr>
              <w:spacing w:after="0"/>
              <w:jc w:val="center"/>
              <w:rPr>
                <w:rFonts w:cs="Arial"/>
                <w:sz w:val="18"/>
                <w:szCs w:val="18"/>
                <w:lang w:val="en-AU"/>
              </w:rPr>
            </w:pPr>
            <w:r w:rsidRPr="009341F7">
              <w:rPr>
                <w:rFonts w:cs="Arial"/>
                <w:b/>
                <w:bCs/>
                <w:sz w:val="18"/>
                <w:szCs w:val="18"/>
                <w:lang w:val="en-AU"/>
              </w:rPr>
              <w:t>Single Dosing</w:t>
            </w:r>
          </w:p>
        </w:tc>
      </w:tr>
      <w:tr w:rsidR="003107F4" w:rsidRPr="009341F7" w:rsidTr="009341F7">
        <w:trPr>
          <w:trHeight w:val="770"/>
        </w:trPr>
        <w:tc>
          <w:tcPr>
            <w:tcW w:w="1980" w:type="dxa"/>
          </w:tcPr>
          <w:p w:rsidR="003107F4" w:rsidRPr="009341F7" w:rsidRDefault="003107F4" w:rsidP="003107F4">
            <w:pPr>
              <w:spacing w:after="0"/>
              <w:rPr>
                <w:rFonts w:cs="Arial"/>
                <w:sz w:val="18"/>
                <w:szCs w:val="18"/>
                <w:lang w:val="en-AU"/>
              </w:rPr>
            </w:pPr>
            <w:proofErr w:type="spellStart"/>
            <w:r w:rsidRPr="009341F7">
              <w:rPr>
                <w:rFonts w:cs="Arial"/>
                <w:sz w:val="18"/>
                <w:szCs w:val="18"/>
                <w:lang w:val="en-AU"/>
              </w:rPr>
              <w:t>C</w:t>
            </w:r>
            <w:r w:rsidRPr="009341F7">
              <w:rPr>
                <w:rFonts w:cs="Arial"/>
                <w:sz w:val="18"/>
                <w:szCs w:val="18"/>
                <w:vertAlign w:val="subscript"/>
                <w:lang w:val="en-AU"/>
              </w:rPr>
              <w:t>max</w:t>
            </w:r>
            <w:proofErr w:type="spellEnd"/>
            <w:r w:rsidRPr="009341F7">
              <w:rPr>
                <w:rFonts w:cs="Arial"/>
                <w:sz w:val="18"/>
                <w:szCs w:val="18"/>
                <w:lang w:val="en-AU"/>
              </w:rPr>
              <w:t xml:space="preserve"> (</w:t>
            </w:r>
            <w:proofErr w:type="spellStart"/>
            <w:r w:rsidRPr="009341F7">
              <w:rPr>
                <w:rFonts w:cs="Arial"/>
                <w:sz w:val="18"/>
                <w:szCs w:val="18"/>
                <w:lang w:val="en-AU"/>
              </w:rPr>
              <w:t>ng</w:t>
            </w:r>
            <w:proofErr w:type="spellEnd"/>
            <w:r w:rsidRPr="009341F7">
              <w:rPr>
                <w:rFonts w:cs="Arial"/>
                <w:sz w:val="18"/>
                <w:szCs w:val="18"/>
                <w:lang w:val="en-AU"/>
              </w:rPr>
              <w:t>/</w:t>
            </w:r>
            <w:proofErr w:type="spellStart"/>
            <w:r w:rsidRPr="009341F7">
              <w:rPr>
                <w:rFonts w:cs="Arial"/>
                <w:sz w:val="18"/>
                <w:szCs w:val="18"/>
                <w:lang w:val="en-AU"/>
              </w:rPr>
              <w:t>mL</w:t>
            </w:r>
            <w:proofErr w:type="spellEnd"/>
            <w:r w:rsidRPr="009341F7">
              <w:rPr>
                <w:rFonts w:cs="Arial"/>
                <w:sz w:val="18"/>
                <w:szCs w:val="18"/>
                <w:lang w:val="en-AU"/>
              </w:rPr>
              <w:t xml:space="preserve">) </w:t>
            </w:r>
          </w:p>
          <w:p w:rsidR="003107F4" w:rsidRPr="009341F7" w:rsidRDefault="003107F4" w:rsidP="003107F4">
            <w:pPr>
              <w:spacing w:after="0"/>
              <w:rPr>
                <w:rFonts w:cs="Arial"/>
                <w:sz w:val="18"/>
                <w:szCs w:val="18"/>
                <w:lang w:val="en-AU"/>
              </w:rPr>
            </w:pPr>
            <w:proofErr w:type="spellStart"/>
            <w:r w:rsidRPr="009341F7">
              <w:rPr>
                <w:rFonts w:cs="Arial"/>
                <w:sz w:val="18"/>
                <w:szCs w:val="18"/>
                <w:lang w:val="en-AU"/>
              </w:rPr>
              <w:t>T</w:t>
            </w:r>
            <w:r w:rsidRPr="009341F7">
              <w:rPr>
                <w:rFonts w:cs="Arial"/>
                <w:sz w:val="18"/>
                <w:szCs w:val="18"/>
                <w:vertAlign w:val="subscript"/>
                <w:lang w:val="en-AU"/>
              </w:rPr>
              <w:t>max</w:t>
            </w:r>
            <w:proofErr w:type="spellEnd"/>
            <w:r w:rsidRPr="009341F7">
              <w:rPr>
                <w:rFonts w:cs="Arial"/>
                <w:sz w:val="18"/>
                <w:szCs w:val="18"/>
                <w:lang w:val="en-AU"/>
              </w:rPr>
              <w:t xml:space="preserve"> (hr) </w:t>
            </w:r>
          </w:p>
          <w:p w:rsidR="003107F4" w:rsidRPr="009341F7" w:rsidRDefault="003107F4" w:rsidP="003107F4">
            <w:pPr>
              <w:spacing w:after="0"/>
              <w:rPr>
                <w:rFonts w:cs="Arial"/>
                <w:sz w:val="18"/>
                <w:szCs w:val="18"/>
                <w:lang w:val="en-AU"/>
              </w:rPr>
            </w:pPr>
            <w:r w:rsidRPr="009341F7">
              <w:rPr>
                <w:rFonts w:cs="Arial"/>
                <w:sz w:val="18"/>
                <w:szCs w:val="18"/>
                <w:lang w:val="en-AU"/>
              </w:rPr>
              <w:t>AUC</w:t>
            </w:r>
            <w:r w:rsidRPr="009341F7">
              <w:rPr>
                <w:rFonts w:cs="Arial"/>
                <w:sz w:val="18"/>
                <w:szCs w:val="18"/>
                <w:vertAlign w:val="subscript"/>
                <w:lang w:val="en-AU"/>
              </w:rPr>
              <w:t xml:space="preserve">0-24 </w:t>
            </w:r>
            <w:r w:rsidRPr="009341F7">
              <w:rPr>
                <w:rFonts w:cs="Arial"/>
                <w:sz w:val="18"/>
                <w:szCs w:val="18"/>
                <w:lang w:val="en-AU"/>
              </w:rPr>
              <w:t>(</w:t>
            </w:r>
            <w:proofErr w:type="spellStart"/>
            <w:r w:rsidRPr="009341F7">
              <w:rPr>
                <w:rFonts w:cs="Arial"/>
                <w:sz w:val="18"/>
                <w:szCs w:val="18"/>
                <w:lang w:val="en-AU"/>
              </w:rPr>
              <w:t>ng•hr</w:t>
            </w:r>
            <w:proofErr w:type="spellEnd"/>
            <w:r w:rsidRPr="009341F7">
              <w:rPr>
                <w:rFonts w:cs="Arial"/>
                <w:sz w:val="18"/>
                <w:szCs w:val="18"/>
                <w:lang w:val="en-AU"/>
              </w:rPr>
              <w:t>/</w:t>
            </w:r>
            <w:proofErr w:type="spellStart"/>
            <w:r w:rsidRPr="009341F7">
              <w:rPr>
                <w:rFonts w:cs="Arial"/>
                <w:sz w:val="18"/>
                <w:szCs w:val="18"/>
                <w:lang w:val="en-AU"/>
              </w:rPr>
              <w:t>mL</w:t>
            </w:r>
            <w:proofErr w:type="spellEnd"/>
            <w:r w:rsidRPr="009341F7">
              <w:rPr>
                <w:rFonts w:cs="Arial"/>
                <w:sz w:val="18"/>
                <w:szCs w:val="18"/>
                <w:lang w:val="en-AU"/>
              </w:rPr>
              <w:t>)</w:t>
            </w:r>
          </w:p>
        </w:tc>
        <w:tc>
          <w:tcPr>
            <w:tcW w:w="1870" w:type="dxa"/>
          </w:tcPr>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17.0 </w:t>
            </w:r>
            <w:r w:rsidR="00326DCA">
              <w:rPr>
                <w:rFonts w:cs="Arial"/>
                <w:sz w:val="18"/>
                <w:szCs w:val="18"/>
                <w:lang w:val="en-AU"/>
              </w:rPr>
              <w:sym w:font="Symbol" w:char="F0B1"/>
            </w:r>
            <w:r w:rsidRPr="009341F7">
              <w:rPr>
                <w:rFonts w:cs="Arial"/>
                <w:sz w:val="18"/>
                <w:szCs w:val="18"/>
                <w:lang w:val="en-AU"/>
              </w:rPr>
              <w:t xml:space="preserve"> 6.5</w:t>
            </w:r>
          </w:p>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24.0 </w:t>
            </w:r>
            <w:r w:rsidR="00326DCA">
              <w:rPr>
                <w:rFonts w:cs="Arial"/>
                <w:sz w:val="18"/>
                <w:szCs w:val="18"/>
                <w:lang w:val="en-AU"/>
              </w:rPr>
              <w:sym w:font="Symbol" w:char="F0B1"/>
            </w:r>
            <w:r w:rsidRPr="009341F7">
              <w:rPr>
                <w:rFonts w:cs="Arial"/>
                <w:sz w:val="18"/>
                <w:szCs w:val="18"/>
                <w:lang w:val="en-AU"/>
              </w:rPr>
              <w:t xml:space="preserve"> 0.0</w:t>
            </w:r>
          </w:p>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217 </w:t>
            </w:r>
            <w:r w:rsidR="00326DCA">
              <w:rPr>
                <w:rFonts w:cs="Arial"/>
                <w:sz w:val="18"/>
                <w:szCs w:val="18"/>
                <w:lang w:val="en-AU"/>
              </w:rPr>
              <w:sym w:font="Symbol" w:char="F0B1"/>
            </w:r>
            <w:r w:rsidRPr="009341F7">
              <w:rPr>
                <w:rFonts w:cs="Arial"/>
                <w:sz w:val="18"/>
                <w:szCs w:val="18"/>
                <w:lang w:val="en-AU"/>
              </w:rPr>
              <w:t xml:space="preserve"> 113</w:t>
            </w:r>
          </w:p>
        </w:tc>
        <w:tc>
          <w:tcPr>
            <w:tcW w:w="1980" w:type="dxa"/>
          </w:tcPr>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19.8 </w:t>
            </w:r>
            <w:r w:rsidR="00326DCA">
              <w:rPr>
                <w:rFonts w:cs="Arial"/>
                <w:sz w:val="18"/>
                <w:szCs w:val="18"/>
                <w:lang w:val="en-AU"/>
              </w:rPr>
              <w:sym w:font="Symbol" w:char="F0B1"/>
            </w:r>
            <w:r w:rsidRPr="009341F7">
              <w:rPr>
                <w:rFonts w:cs="Arial"/>
                <w:sz w:val="18"/>
                <w:szCs w:val="18"/>
                <w:lang w:val="en-AU"/>
              </w:rPr>
              <w:t xml:space="preserve"> 7.2</w:t>
            </w:r>
          </w:p>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17.3 </w:t>
            </w:r>
            <w:r w:rsidR="00326DCA">
              <w:rPr>
                <w:rFonts w:cs="Arial"/>
                <w:sz w:val="18"/>
                <w:szCs w:val="18"/>
                <w:lang w:val="en-AU"/>
              </w:rPr>
              <w:sym w:font="Symbol" w:char="F0B1"/>
            </w:r>
            <w:r w:rsidRPr="009341F7">
              <w:rPr>
                <w:rFonts w:cs="Arial"/>
                <w:sz w:val="18"/>
                <w:szCs w:val="18"/>
                <w:lang w:val="en-AU"/>
              </w:rPr>
              <w:t xml:space="preserve"> 7.4</w:t>
            </w:r>
          </w:p>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284 </w:t>
            </w:r>
            <w:r w:rsidR="00326DCA">
              <w:rPr>
                <w:rFonts w:cs="Arial"/>
                <w:sz w:val="18"/>
                <w:szCs w:val="18"/>
                <w:lang w:val="en-AU"/>
              </w:rPr>
              <w:sym w:font="Symbol" w:char="F0B1"/>
            </w:r>
            <w:r w:rsidRPr="009341F7">
              <w:rPr>
                <w:rFonts w:cs="Arial"/>
                <w:sz w:val="18"/>
                <w:szCs w:val="18"/>
                <w:lang w:val="en-AU"/>
              </w:rPr>
              <w:t xml:space="preserve"> 143</w:t>
            </w:r>
          </w:p>
        </w:tc>
      </w:tr>
      <w:tr w:rsidR="003107F4" w:rsidRPr="009341F7" w:rsidTr="007523B5">
        <w:trPr>
          <w:trHeight w:val="360"/>
        </w:trPr>
        <w:tc>
          <w:tcPr>
            <w:tcW w:w="5830" w:type="dxa"/>
            <w:gridSpan w:val="3"/>
          </w:tcPr>
          <w:p w:rsidR="003107F4" w:rsidRPr="009341F7" w:rsidRDefault="003107F4" w:rsidP="003107F4">
            <w:pPr>
              <w:spacing w:after="0"/>
              <w:jc w:val="center"/>
              <w:rPr>
                <w:rFonts w:cs="Arial"/>
                <w:sz w:val="18"/>
                <w:szCs w:val="18"/>
                <w:lang w:val="en-AU"/>
              </w:rPr>
            </w:pPr>
            <w:r w:rsidRPr="009341F7">
              <w:rPr>
                <w:rFonts w:cs="Arial"/>
                <w:b/>
                <w:bCs/>
                <w:sz w:val="18"/>
                <w:szCs w:val="18"/>
                <w:lang w:val="en-AU"/>
              </w:rPr>
              <w:t>Day 5 of Multiple Dosing</w:t>
            </w:r>
          </w:p>
        </w:tc>
      </w:tr>
      <w:tr w:rsidR="003107F4" w:rsidRPr="009341F7" w:rsidTr="009341F7">
        <w:trPr>
          <w:trHeight w:val="958"/>
        </w:trPr>
        <w:tc>
          <w:tcPr>
            <w:tcW w:w="1980" w:type="dxa"/>
          </w:tcPr>
          <w:p w:rsidR="003107F4" w:rsidRPr="009341F7" w:rsidRDefault="003107F4" w:rsidP="003107F4">
            <w:pPr>
              <w:spacing w:after="0"/>
              <w:rPr>
                <w:rFonts w:cs="Arial"/>
                <w:sz w:val="18"/>
                <w:szCs w:val="18"/>
                <w:lang w:val="en-AU"/>
              </w:rPr>
            </w:pPr>
            <w:proofErr w:type="spellStart"/>
            <w:r w:rsidRPr="009341F7">
              <w:rPr>
                <w:rFonts w:cs="Arial"/>
                <w:sz w:val="18"/>
                <w:szCs w:val="18"/>
                <w:lang w:val="en-AU"/>
              </w:rPr>
              <w:t>C</w:t>
            </w:r>
            <w:r w:rsidRPr="009341F7">
              <w:rPr>
                <w:rFonts w:cs="Arial"/>
                <w:sz w:val="18"/>
                <w:szCs w:val="18"/>
                <w:vertAlign w:val="subscript"/>
                <w:lang w:val="en-AU"/>
              </w:rPr>
              <w:t>max</w:t>
            </w:r>
            <w:proofErr w:type="spellEnd"/>
            <w:r w:rsidRPr="009341F7">
              <w:rPr>
                <w:rFonts w:cs="Arial"/>
                <w:sz w:val="18"/>
                <w:szCs w:val="18"/>
                <w:lang w:val="en-AU"/>
              </w:rPr>
              <w:t xml:space="preserve"> (</w:t>
            </w:r>
            <w:proofErr w:type="spellStart"/>
            <w:r w:rsidRPr="009341F7">
              <w:rPr>
                <w:rFonts w:cs="Arial"/>
                <w:sz w:val="18"/>
                <w:szCs w:val="18"/>
                <w:lang w:val="en-AU"/>
              </w:rPr>
              <w:t>ng</w:t>
            </w:r>
            <w:proofErr w:type="spellEnd"/>
            <w:r w:rsidRPr="009341F7">
              <w:rPr>
                <w:rFonts w:cs="Arial"/>
                <w:sz w:val="18"/>
                <w:szCs w:val="18"/>
                <w:lang w:val="en-AU"/>
              </w:rPr>
              <w:t>/</w:t>
            </w:r>
            <w:proofErr w:type="spellStart"/>
            <w:r w:rsidRPr="009341F7">
              <w:rPr>
                <w:rFonts w:cs="Arial"/>
                <w:sz w:val="18"/>
                <w:szCs w:val="18"/>
                <w:lang w:val="en-AU"/>
              </w:rPr>
              <w:t>mL</w:t>
            </w:r>
            <w:proofErr w:type="spellEnd"/>
            <w:r w:rsidRPr="009341F7">
              <w:rPr>
                <w:rFonts w:cs="Arial"/>
                <w:sz w:val="18"/>
                <w:szCs w:val="18"/>
                <w:lang w:val="en-AU"/>
              </w:rPr>
              <w:t xml:space="preserve">) </w:t>
            </w:r>
          </w:p>
          <w:p w:rsidR="003107F4" w:rsidRPr="009341F7" w:rsidRDefault="003107F4" w:rsidP="003107F4">
            <w:pPr>
              <w:spacing w:after="0"/>
              <w:rPr>
                <w:rFonts w:cs="Arial"/>
                <w:sz w:val="18"/>
                <w:szCs w:val="18"/>
                <w:lang w:val="en-AU"/>
              </w:rPr>
            </w:pPr>
            <w:proofErr w:type="spellStart"/>
            <w:r w:rsidRPr="009341F7">
              <w:rPr>
                <w:rFonts w:cs="Arial"/>
                <w:sz w:val="18"/>
                <w:szCs w:val="18"/>
                <w:lang w:val="en-AU"/>
              </w:rPr>
              <w:t>T</w:t>
            </w:r>
            <w:r w:rsidRPr="009341F7">
              <w:rPr>
                <w:rFonts w:cs="Arial"/>
                <w:sz w:val="18"/>
                <w:szCs w:val="18"/>
                <w:vertAlign w:val="subscript"/>
                <w:lang w:val="en-AU"/>
              </w:rPr>
              <w:t>max</w:t>
            </w:r>
            <w:proofErr w:type="spellEnd"/>
            <w:r w:rsidRPr="009341F7">
              <w:rPr>
                <w:rFonts w:cs="Arial"/>
                <w:sz w:val="18"/>
                <w:szCs w:val="18"/>
                <w:lang w:val="en-AU"/>
              </w:rPr>
              <w:t xml:space="preserve"> (hr) </w:t>
            </w:r>
          </w:p>
          <w:p w:rsidR="003107F4" w:rsidRPr="009341F7" w:rsidRDefault="003107F4" w:rsidP="003107F4">
            <w:pPr>
              <w:spacing w:after="0"/>
              <w:rPr>
                <w:rFonts w:cs="Arial"/>
                <w:sz w:val="18"/>
                <w:szCs w:val="18"/>
                <w:lang w:val="en-AU"/>
              </w:rPr>
            </w:pPr>
            <w:proofErr w:type="spellStart"/>
            <w:r w:rsidRPr="009341F7">
              <w:rPr>
                <w:rFonts w:cs="Arial"/>
                <w:sz w:val="18"/>
                <w:szCs w:val="18"/>
                <w:lang w:val="en-AU"/>
              </w:rPr>
              <w:t>C</w:t>
            </w:r>
            <w:r w:rsidRPr="009341F7">
              <w:rPr>
                <w:rFonts w:cs="Arial"/>
                <w:sz w:val="18"/>
                <w:szCs w:val="18"/>
                <w:vertAlign w:val="subscript"/>
                <w:lang w:val="en-AU"/>
              </w:rPr>
              <w:t>min</w:t>
            </w:r>
            <w:proofErr w:type="spellEnd"/>
            <w:r w:rsidRPr="009341F7">
              <w:rPr>
                <w:rFonts w:cs="Arial"/>
                <w:sz w:val="18"/>
                <w:szCs w:val="18"/>
                <w:vertAlign w:val="subscript"/>
                <w:lang w:val="en-AU"/>
              </w:rPr>
              <w:t xml:space="preserve"> </w:t>
            </w:r>
            <w:r w:rsidRPr="009341F7">
              <w:rPr>
                <w:rFonts w:cs="Arial"/>
                <w:sz w:val="18"/>
                <w:szCs w:val="18"/>
                <w:lang w:val="en-AU"/>
              </w:rPr>
              <w:t>(</w:t>
            </w:r>
            <w:proofErr w:type="spellStart"/>
            <w:r w:rsidRPr="009341F7">
              <w:rPr>
                <w:rFonts w:cs="Arial"/>
                <w:sz w:val="18"/>
                <w:szCs w:val="18"/>
                <w:lang w:val="en-AU"/>
              </w:rPr>
              <w:t>ng</w:t>
            </w:r>
            <w:proofErr w:type="spellEnd"/>
            <w:r w:rsidRPr="009341F7">
              <w:rPr>
                <w:rFonts w:cs="Arial"/>
                <w:sz w:val="18"/>
                <w:szCs w:val="18"/>
                <w:lang w:val="en-AU"/>
              </w:rPr>
              <w:t>/</w:t>
            </w:r>
            <w:proofErr w:type="spellStart"/>
            <w:r w:rsidRPr="009341F7">
              <w:rPr>
                <w:rFonts w:cs="Arial"/>
                <w:sz w:val="18"/>
                <w:szCs w:val="18"/>
                <w:lang w:val="en-AU"/>
              </w:rPr>
              <w:t>mL</w:t>
            </w:r>
            <w:proofErr w:type="spellEnd"/>
            <w:r w:rsidRPr="009341F7">
              <w:rPr>
                <w:rFonts w:cs="Arial"/>
                <w:sz w:val="18"/>
                <w:szCs w:val="18"/>
                <w:lang w:val="en-AU"/>
              </w:rPr>
              <w:t xml:space="preserve">) </w:t>
            </w:r>
          </w:p>
          <w:p w:rsidR="003107F4" w:rsidRPr="009341F7" w:rsidRDefault="003107F4" w:rsidP="003107F4">
            <w:pPr>
              <w:spacing w:after="0"/>
              <w:rPr>
                <w:rFonts w:cs="Arial"/>
                <w:sz w:val="18"/>
                <w:szCs w:val="18"/>
                <w:lang w:val="en-AU"/>
              </w:rPr>
            </w:pPr>
            <w:proofErr w:type="spellStart"/>
            <w:r w:rsidRPr="009341F7">
              <w:rPr>
                <w:rFonts w:cs="Arial"/>
                <w:sz w:val="18"/>
                <w:szCs w:val="18"/>
                <w:lang w:val="en-AU"/>
              </w:rPr>
              <w:t>C</w:t>
            </w:r>
            <w:r w:rsidRPr="009341F7">
              <w:rPr>
                <w:rFonts w:cs="Arial"/>
                <w:sz w:val="18"/>
                <w:szCs w:val="18"/>
                <w:vertAlign w:val="subscript"/>
                <w:lang w:val="en-AU"/>
              </w:rPr>
              <w:t>avg</w:t>
            </w:r>
            <w:proofErr w:type="spellEnd"/>
            <w:r w:rsidRPr="009341F7">
              <w:rPr>
                <w:rFonts w:cs="Arial"/>
                <w:sz w:val="18"/>
                <w:szCs w:val="18"/>
                <w:lang w:val="en-AU"/>
              </w:rPr>
              <w:t xml:space="preserve"> (</w:t>
            </w:r>
            <w:proofErr w:type="spellStart"/>
            <w:r w:rsidRPr="009341F7">
              <w:rPr>
                <w:rFonts w:cs="Arial"/>
                <w:sz w:val="18"/>
                <w:szCs w:val="18"/>
                <w:lang w:val="en-AU"/>
              </w:rPr>
              <w:t>ng</w:t>
            </w:r>
            <w:proofErr w:type="spellEnd"/>
            <w:r w:rsidRPr="009341F7">
              <w:rPr>
                <w:rFonts w:cs="Arial"/>
                <w:sz w:val="18"/>
                <w:szCs w:val="18"/>
                <w:lang w:val="en-AU"/>
              </w:rPr>
              <w:t xml:space="preserve">/ml) </w:t>
            </w:r>
          </w:p>
          <w:p w:rsidR="003107F4" w:rsidRPr="009341F7" w:rsidRDefault="003107F4" w:rsidP="003107F4">
            <w:pPr>
              <w:spacing w:after="0"/>
              <w:rPr>
                <w:rFonts w:cs="Arial"/>
                <w:sz w:val="18"/>
                <w:szCs w:val="18"/>
                <w:lang w:val="en-AU"/>
              </w:rPr>
            </w:pPr>
            <w:r w:rsidRPr="009341F7">
              <w:rPr>
                <w:rFonts w:cs="Arial"/>
                <w:sz w:val="18"/>
                <w:szCs w:val="18"/>
                <w:lang w:val="en-AU"/>
              </w:rPr>
              <w:t>AUC</w:t>
            </w:r>
            <w:r w:rsidRPr="009341F7">
              <w:rPr>
                <w:rFonts w:cs="Arial"/>
                <w:sz w:val="18"/>
                <w:szCs w:val="18"/>
                <w:vertAlign w:val="subscript"/>
                <w:lang w:val="en-AU"/>
              </w:rPr>
              <w:t xml:space="preserve">0-24 </w:t>
            </w:r>
            <w:r w:rsidRPr="009341F7">
              <w:rPr>
                <w:rFonts w:cs="Arial"/>
                <w:sz w:val="18"/>
                <w:szCs w:val="18"/>
                <w:lang w:val="en-AU"/>
              </w:rPr>
              <w:t>(</w:t>
            </w:r>
            <w:proofErr w:type="spellStart"/>
            <w:r w:rsidRPr="009341F7">
              <w:rPr>
                <w:rFonts w:cs="Arial"/>
                <w:sz w:val="18"/>
                <w:szCs w:val="18"/>
                <w:lang w:val="en-AU"/>
              </w:rPr>
              <w:t>ng•hr</w:t>
            </w:r>
            <w:proofErr w:type="spellEnd"/>
            <w:r w:rsidRPr="009341F7">
              <w:rPr>
                <w:rFonts w:cs="Arial"/>
                <w:sz w:val="18"/>
                <w:szCs w:val="18"/>
                <w:lang w:val="en-AU"/>
              </w:rPr>
              <w:t>/</w:t>
            </w:r>
            <w:proofErr w:type="spellStart"/>
            <w:r w:rsidRPr="009341F7">
              <w:rPr>
                <w:rFonts w:cs="Arial"/>
                <w:sz w:val="18"/>
                <w:szCs w:val="18"/>
                <w:lang w:val="en-AU"/>
              </w:rPr>
              <w:t>mL</w:t>
            </w:r>
            <w:proofErr w:type="spellEnd"/>
            <w:r w:rsidRPr="009341F7">
              <w:rPr>
                <w:rFonts w:cs="Arial"/>
                <w:sz w:val="18"/>
                <w:szCs w:val="18"/>
                <w:lang w:val="en-AU"/>
              </w:rPr>
              <w:t>)</w:t>
            </w:r>
          </w:p>
        </w:tc>
        <w:tc>
          <w:tcPr>
            <w:tcW w:w="1870" w:type="dxa"/>
          </w:tcPr>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18.5 </w:t>
            </w:r>
            <w:r w:rsidR="00326DCA">
              <w:rPr>
                <w:rFonts w:cs="Arial"/>
                <w:sz w:val="18"/>
                <w:szCs w:val="18"/>
                <w:lang w:val="en-AU"/>
              </w:rPr>
              <w:sym w:font="Symbol" w:char="F0B1"/>
            </w:r>
            <w:r w:rsidRPr="009341F7">
              <w:rPr>
                <w:rFonts w:cs="Arial"/>
                <w:sz w:val="18"/>
                <w:szCs w:val="18"/>
                <w:lang w:val="en-AU"/>
              </w:rPr>
              <w:t xml:space="preserve"> 5.5</w:t>
            </w:r>
          </w:p>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18.0 </w:t>
            </w:r>
            <w:r w:rsidR="00326DCA">
              <w:rPr>
                <w:rFonts w:cs="Arial"/>
                <w:sz w:val="18"/>
                <w:szCs w:val="18"/>
                <w:lang w:val="en-AU"/>
              </w:rPr>
              <w:sym w:font="Symbol" w:char="F0B1"/>
            </w:r>
            <w:r w:rsidRPr="009341F7">
              <w:rPr>
                <w:rFonts w:cs="Arial"/>
                <w:sz w:val="18"/>
                <w:szCs w:val="18"/>
                <w:lang w:val="en-AU"/>
              </w:rPr>
              <w:t xml:space="preserve"> 9.4</w:t>
            </w:r>
          </w:p>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8.9 </w:t>
            </w:r>
            <w:r w:rsidR="00326DCA">
              <w:rPr>
                <w:rFonts w:cs="Arial"/>
                <w:sz w:val="18"/>
                <w:szCs w:val="18"/>
                <w:lang w:val="en-AU"/>
              </w:rPr>
              <w:sym w:font="Symbol" w:char="F0B1"/>
            </w:r>
            <w:r w:rsidRPr="009341F7">
              <w:rPr>
                <w:rFonts w:cs="Arial"/>
                <w:sz w:val="18"/>
                <w:szCs w:val="18"/>
                <w:lang w:val="en-AU"/>
              </w:rPr>
              <w:t xml:space="preserve"> 4.5</w:t>
            </w:r>
          </w:p>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14.0 </w:t>
            </w:r>
            <w:r w:rsidR="00326DCA">
              <w:rPr>
                <w:rFonts w:cs="Arial"/>
                <w:sz w:val="18"/>
                <w:szCs w:val="18"/>
                <w:lang w:val="en-AU"/>
              </w:rPr>
              <w:sym w:font="Symbol" w:char="F0B1"/>
            </w:r>
            <w:r w:rsidRPr="009341F7">
              <w:rPr>
                <w:rFonts w:cs="Arial"/>
                <w:sz w:val="18"/>
                <w:szCs w:val="18"/>
                <w:lang w:val="en-AU"/>
              </w:rPr>
              <w:t xml:space="preserve"> 4.8</w:t>
            </w:r>
          </w:p>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327 </w:t>
            </w:r>
            <w:r w:rsidR="00326DCA">
              <w:rPr>
                <w:rFonts w:cs="Arial"/>
                <w:sz w:val="18"/>
                <w:szCs w:val="18"/>
                <w:lang w:val="en-AU"/>
              </w:rPr>
              <w:sym w:font="Symbol" w:char="F0B1"/>
            </w:r>
            <w:r w:rsidRPr="009341F7">
              <w:rPr>
                <w:rFonts w:cs="Arial"/>
                <w:sz w:val="18"/>
                <w:szCs w:val="18"/>
                <w:lang w:val="en-AU"/>
              </w:rPr>
              <w:t xml:space="preserve"> 127</w:t>
            </w:r>
          </w:p>
        </w:tc>
        <w:tc>
          <w:tcPr>
            <w:tcW w:w="1980" w:type="dxa"/>
          </w:tcPr>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24.1 </w:t>
            </w:r>
            <w:r w:rsidR="00326DCA">
              <w:rPr>
                <w:rFonts w:cs="Arial"/>
                <w:sz w:val="18"/>
                <w:szCs w:val="18"/>
                <w:lang w:val="en-AU"/>
              </w:rPr>
              <w:sym w:font="Symbol" w:char="F0B1"/>
            </w:r>
            <w:r w:rsidRPr="009341F7">
              <w:rPr>
                <w:rFonts w:cs="Arial"/>
                <w:sz w:val="18"/>
                <w:szCs w:val="18"/>
                <w:lang w:val="en-AU"/>
              </w:rPr>
              <w:t xml:space="preserve"> 5.6</w:t>
            </w:r>
          </w:p>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18.0 </w:t>
            </w:r>
            <w:r w:rsidR="00326DCA">
              <w:rPr>
                <w:rFonts w:cs="Arial"/>
                <w:sz w:val="18"/>
                <w:szCs w:val="18"/>
                <w:lang w:val="en-AU"/>
              </w:rPr>
              <w:sym w:font="Symbol" w:char="F0B1"/>
            </w:r>
            <w:r w:rsidRPr="009341F7">
              <w:rPr>
                <w:rFonts w:cs="Arial"/>
                <w:sz w:val="18"/>
                <w:szCs w:val="18"/>
                <w:lang w:val="en-AU"/>
              </w:rPr>
              <w:t xml:space="preserve"> 9.4</w:t>
            </w:r>
          </w:p>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10.9 </w:t>
            </w:r>
            <w:r w:rsidR="00326DCA">
              <w:rPr>
                <w:rFonts w:cs="Arial"/>
                <w:sz w:val="18"/>
                <w:szCs w:val="18"/>
                <w:lang w:val="en-AU"/>
              </w:rPr>
              <w:sym w:font="Symbol" w:char="F0B1"/>
            </w:r>
            <w:r w:rsidRPr="009341F7">
              <w:rPr>
                <w:rFonts w:cs="Arial"/>
                <w:sz w:val="18"/>
                <w:szCs w:val="18"/>
                <w:lang w:val="en-AU"/>
              </w:rPr>
              <w:t xml:space="preserve"> 6.7</w:t>
            </w:r>
          </w:p>
          <w:p w:rsidR="003107F4" w:rsidRPr="009341F7" w:rsidRDefault="003107F4" w:rsidP="00FB63A6">
            <w:pPr>
              <w:spacing w:after="0"/>
              <w:jc w:val="center"/>
              <w:rPr>
                <w:rFonts w:cs="Arial"/>
                <w:sz w:val="18"/>
                <w:szCs w:val="18"/>
                <w:lang w:val="en-AU"/>
              </w:rPr>
            </w:pPr>
            <w:r w:rsidRPr="009341F7">
              <w:rPr>
                <w:rFonts w:cs="Arial"/>
                <w:sz w:val="18"/>
                <w:szCs w:val="18"/>
                <w:lang w:val="en-AU"/>
              </w:rPr>
              <w:t xml:space="preserve">15.9 </w:t>
            </w:r>
            <w:r w:rsidR="00326DCA">
              <w:rPr>
                <w:rFonts w:cs="Arial"/>
                <w:sz w:val="18"/>
                <w:szCs w:val="18"/>
                <w:lang w:val="en-AU"/>
              </w:rPr>
              <w:sym w:font="Symbol" w:char="F0B1"/>
            </w:r>
            <w:r w:rsidRPr="009341F7">
              <w:rPr>
                <w:rFonts w:cs="Arial"/>
                <w:sz w:val="18"/>
                <w:szCs w:val="18"/>
                <w:lang w:val="en-AU"/>
              </w:rPr>
              <w:t xml:space="preserve"> 4.3</w:t>
            </w:r>
          </w:p>
          <w:p w:rsidR="003107F4" w:rsidRDefault="003107F4" w:rsidP="00FB63A6">
            <w:pPr>
              <w:spacing w:after="0"/>
              <w:jc w:val="center"/>
              <w:rPr>
                <w:rFonts w:cs="Arial"/>
                <w:sz w:val="18"/>
                <w:szCs w:val="18"/>
                <w:lang w:val="en-AU"/>
              </w:rPr>
            </w:pPr>
            <w:r w:rsidRPr="009341F7">
              <w:rPr>
                <w:rFonts w:cs="Arial"/>
                <w:sz w:val="18"/>
                <w:szCs w:val="18"/>
                <w:lang w:val="en-AU"/>
              </w:rPr>
              <w:t xml:space="preserve">436 </w:t>
            </w:r>
            <w:r w:rsidR="00326DCA">
              <w:rPr>
                <w:rFonts w:cs="Arial"/>
                <w:sz w:val="18"/>
                <w:szCs w:val="18"/>
                <w:lang w:val="en-AU"/>
              </w:rPr>
              <w:sym w:font="Symbol" w:char="F0B1"/>
            </w:r>
            <w:r w:rsidRPr="009341F7">
              <w:rPr>
                <w:rFonts w:cs="Arial"/>
                <w:sz w:val="18"/>
                <w:szCs w:val="18"/>
                <w:lang w:val="en-AU"/>
              </w:rPr>
              <w:t xml:space="preserve"> 106</w:t>
            </w:r>
          </w:p>
          <w:p w:rsidR="007523B5" w:rsidRPr="009341F7" w:rsidRDefault="007523B5" w:rsidP="00FB63A6">
            <w:pPr>
              <w:spacing w:after="0"/>
              <w:jc w:val="center"/>
              <w:rPr>
                <w:rFonts w:cs="Arial"/>
                <w:sz w:val="18"/>
                <w:szCs w:val="18"/>
                <w:lang w:val="en-AU"/>
              </w:rPr>
            </w:pPr>
          </w:p>
        </w:tc>
      </w:tr>
    </w:tbl>
    <w:p w:rsidR="003107F4" w:rsidRPr="00487116" w:rsidRDefault="003107F4" w:rsidP="003107F4">
      <w:pPr>
        <w:spacing w:after="0"/>
        <w:rPr>
          <w:rFonts w:cs="Arial"/>
          <w:sz w:val="16"/>
          <w:szCs w:val="16"/>
          <w:lang w:val="en-AU"/>
        </w:rPr>
      </w:pPr>
      <w:proofErr w:type="spellStart"/>
      <w:proofErr w:type="gramStart"/>
      <w:r w:rsidRPr="00487116">
        <w:rPr>
          <w:rFonts w:cs="Arial"/>
          <w:sz w:val="16"/>
          <w:szCs w:val="16"/>
          <w:lang w:val="en-AU"/>
        </w:rPr>
        <w:t>C</w:t>
      </w:r>
      <w:r w:rsidRPr="00487116">
        <w:rPr>
          <w:rFonts w:cs="Arial"/>
          <w:sz w:val="16"/>
          <w:szCs w:val="16"/>
          <w:vertAlign w:val="subscript"/>
          <w:lang w:val="en-AU"/>
        </w:rPr>
        <w:t>max</w:t>
      </w:r>
      <w:proofErr w:type="spellEnd"/>
      <w:r w:rsidRPr="00487116">
        <w:rPr>
          <w:rFonts w:cs="Arial"/>
          <w:sz w:val="16"/>
          <w:szCs w:val="16"/>
          <w:lang w:val="en-AU"/>
        </w:rPr>
        <w:t xml:space="preserve"> Maximum progesterone serum concentration.</w:t>
      </w:r>
      <w:proofErr w:type="gramEnd"/>
    </w:p>
    <w:p w:rsidR="003107F4" w:rsidRPr="00487116" w:rsidRDefault="003107F4" w:rsidP="003107F4">
      <w:pPr>
        <w:spacing w:after="0"/>
        <w:rPr>
          <w:rFonts w:cs="Arial"/>
          <w:sz w:val="16"/>
          <w:szCs w:val="16"/>
          <w:lang w:val="en-AU"/>
        </w:rPr>
      </w:pPr>
      <w:proofErr w:type="spellStart"/>
      <w:proofErr w:type="gramStart"/>
      <w:r w:rsidRPr="00487116">
        <w:rPr>
          <w:rFonts w:cs="Arial"/>
          <w:sz w:val="16"/>
          <w:szCs w:val="16"/>
          <w:lang w:val="en-AU"/>
        </w:rPr>
        <w:t>T</w:t>
      </w:r>
      <w:r w:rsidRPr="00487116">
        <w:rPr>
          <w:rFonts w:cs="Arial"/>
          <w:sz w:val="16"/>
          <w:szCs w:val="16"/>
          <w:vertAlign w:val="subscript"/>
          <w:lang w:val="en-AU"/>
        </w:rPr>
        <w:t>max</w:t>
      </w:r>
      <w:proofErr w:type="spellEnd"/>
      <w:r w:rsidRPr="00487116">
        <w:rPr>
          <w:rFonts w:cs="Arial"/>
          <w:sz w:val="16"/>
          <w:szCs w:val="16"/>
          <w:lang w:val="en-AU"/>
        </w:rPr>
        <w:t xml:space="preserve"> Time to maximum progesterone serum concentration.</w:t>
      </w:r>
      <w:proofErr w:type="gramEnd"/>
    </w:p>
    <w:p w:rsidR="003107F4" w:rsidRPr="00487116" w:rsidRDefault="003107F4" w:rsidP="003107F4">
      <w:pPr>
        <w:spacing w:after="0"/>
        <w:rPr>
          <w:rFonts w:cs="Arial"/>
          <w:sz w:val="16"/>
          <w:szCs w:val="16"/>
          <w:lang w:val="en-AU"/>
        </w:rPr>
      </w:pPr>
      <w:proofErr w:type="spellStart"/>
      <w:proofErr w:type="gramStart"/>
      <w:r w:rsidRPr="00487116">
        <w:rPr>
          <w:rFonts w:cs="Arial"/>
          <w:sz w:val="16"/>
          <w:szCs w:val="16"/>
          <w:lang w:val="en-AU"/>
        </w:rPr>
        <w:t>C</w:t>
      </w:r>
      <w:r w:rsidRPr="00487116">
        <w:rPr>
          <w:rFonts w:cs="Arial"/>
          <w:sz w:val="16"/>
          <w:szCs w:val="16"/>
          <w:vertAlign w:val="subscript"/>
          <w:lang w:val="en-AU"/>
        </w:rPr>
        <w:t>avg</w:t>
      </w:r>
      <w:proofErr w:type="spellEnd"/>
      <w:r w:rsidRPr="00487116">
        <w:rPr>
          <w:rFonts w:cs="Arial"/>
          <w:sz w:val="16"/>
          <w:szCs w:val="16"/>
          <w:lang w:val="en-AU"/>
        </w:rPr>
        <w:t xml:space="preserve"> Average progesterone serum concentration.</w:t>
      </w:r>
      <w:proofErr w:type="gramEnd"/>
    </w:p>
    <w:p w:rsidR="003107F4" w:rsidRPr="00487116" w:rsidRDefault="003107F4" w:rsidP="003107F4">
      <w:pPr>
        <w:spacing w:after="0"/>
        <w:rPr>
          <w:rFonts w:cs="Arial"/>
          <w:sz w:val="16"/>
          <w:szCs w:val="16"/>
          <w:lang w:val="en-AU"/>
        </w:rPr>
      </w:pPr>
      <w:r w:rsidRPr="00487116">
        <w:rPr>
          <w:rFonts w:cs="Arial"/>
          <w:sz w:val="16"/>
          <w:szCs w:val="16"/>
          <w:lang w:val="en-AU"/>
        </w:rPr>
        <w:t>AUC</w:t>
      </w:r>
      <w:r w:rsidRPr="00487116">
        <w:rPr>
          <w:rFonts w:cs="Arial"/>
          <w:sz w:val="16"/>
          <w:szCs w:val="16"/>
          <w:vertAlign w:val="subscript"/>
          <w:lang w:val="en-AU"/>
        </w:rPr>
        <w:t xml:space="preserve">0-24 </w:t>
      </w:r>
      <w:r w:rsidRPr="00487116">
        <w:rPr>
          <w:rFonts w:cs="Arial"/>
          <w:sz w:val="16"/>
          <w:szCs w:val="16"/>
          <w:lang w:val="en-AU"/>
        </w:rPr>
        <w:t>Area under the drug concentration versus time curve from 0-24 hours post dose.</w:t>
      </w:r>
    </w:p>
    <w:p w:rsidR="003107F4" w:rsidRPr="00487116" w:rsidRDefault="003107F4" w:rsidP="003107F4">
      <w:pPr>
        <w:spacing w:after="0"/>
        <w:rPr>
          <w:rFonts w:cs="Arial"/>
          <w:sz w:val="16"/>
          <w:szCs w:val="16"/>
          <w:lang w:val="en-AU"/>
        </w:rPr>
      </w:pPr>
      <w:proofErr w:type="spellStart"/>
      <w:proofErr w:type="gramStart"/>
      <w:r w:rsidRPr="00487116">
        <w:rPr>
          <w:rFonts w:cs="Arial"/>
          <w:sz w:val="16"/>
          <w:szCs w:val="16"/>
          <w:lang w:val="en-AU"/>
        </w:rPr>
        <w:t>C</w:t>
      </w:r>
      <w:r w:rsidRPr="00487116">
        <w:rPr>
          <w:rFonts w:cs="Arial"/>
          <w:sz w:val="16"/>
          <w:szCs w:val="16"/>
          <w:vertAlign w:val="subscript"/>
          <w:lang w:val="en-AU"/>
        </w:rPr>
        <w:t>min</w:t>
      </w:r>
      <w:proofErr w:type="spellEnd"/>
      <w:r w:rsidRPr="00487116">
        <w:rPr>
          <w:rFonts w:cs="Arial"/>
          <w:sz w:val="16"/>
          <w:szCs w:val="16"/>
          <w:lang w:val="en-AU"/>
        </w:rPr>
        <w:t xml:space="preserve"> Minimum progesterone serum concentration.</w:t>
      </w:r>
      <w:proofErr w:type="gramEnd"/>
    </w:p>
    <w:p w:rsidR="00C5759F" w:rsidRPr="00190151" w:rsidRDefault="00C5759F" w:rsidP="007C19D8">
      <w:pPr>
        <w:pStyle w:val="Heading2"/>
      </w:pPr>
      <w:r w:rsidRPr="00190151">
        <w:t>CLINICAL TRIALS</w:t>
      </w:r>
    </w:p>
    <w:p w:rsidR="00AC7A7D" w:rsidRDefault="00AC7A7D" w:rsidP="007C19D8">
      <w:pPr>
        <w:rPr>
          <w:lang w:val="en-AU"/>
        </w:rPr>
      </w:pPr>
      <w:r w:rsidRPr="00AC7A7D">
        <w:rPr>
          <w:lang w:val="en-AU"/>
        </w:rPr>
        <w:t>A multicentre, randomised, open-label Phase III study was conducted to determine the efficacy of ENDOMETRIN</w:t>
      </w:r>
      <w:r w:rsidR="0027397D">
        <w:rPr>
          <w:lang w:val="en-AU"/>
        </w:rPr>
        <w:t xml:space="preserve"> PESSARIES</w:t>
      </w:r>
      <w:r w:rsidRPr="00AC7A7D">
        <w:rPr>
          <w:lang w:val="en-AU"/>
        </w:rPr>
        <w:t xml:space="preserve"> 100 mg BID and 100 mg TID administered vaginally in women undergoing IVF and to demonstrate non-inferiority of ENDOMETRIN versus </w:t>
      </w:r>
      <w:proofErr w:type="spellStart"/>
      <w:r w:rsidRPr="00AC7A7D">
        <w:rPr>
          <w:lang w:val="en-AU"/>
        </w:rPr>
        <w:t>Crinone</w:t>
      </w:r>
      <w:proofErr w:type="spellEnd"/>
      <w:r w:rsidRPr="00AC7A7D">
        <w:rPr>
          <w:lang w:val="en-AU"/>
        </w:rPr>
        <w:t xml:space="preserve"> 8% vaginal gel </w:t>
      </w:r>
      <w:r w:rsidR="00751A1B">
        <w:rPr>
          <w:lang w:val="en-AU"/>
        </w:rPr>
        <w:t>(90</w:t>
      </w:r>
      <w:r w:rsidR="00D446E8">
        <w:rPr>
          <w:lang w:val="en-AU"/>
        </w:rPr>
        <w:t xml:space="preserve"> </w:t>
      </w:r>
      <w:r w:rsidR="00751A1B">
        <w:rPr>
          <w:lang w:val="en-AU"/>
        </w:rPr>
        <w:t xml:space="preserve">mg) </w:t>
      </w:r>
      <w:r w:rsidR="00326DCA">
        <w:rPr>
          <w:lang w:val="en-AU"/>
        </w:rPr>
        <w:t>once daily (QD).</w:t>
      </w:r>
    </w:p>
    <w:p w:rsidR="00C52CEC" w:rsidRDefault="00C52CEC" w:rsidP="007C19D8">
      <w:r w:rsidRPr="00C52CEC">
        <w:t xml:space="preserve">The primary efficacy variable </w:t>
      </w:r>
      <w:r w:rsidR="007B0F71">
        <w:t>was</w:t>
      </w:r>
      <w:r w:rsidRPr="00C52CEC">
        <w:t xml:space="preserve"> ongoing pregnancy following one treatment cycle in the efficacy population. </w:t>
      </w:r>
      <w:r w:rsidR="00654AEE">
        <w:t xml:space="preserve"> </w:t>
      </w:r>
      <w:r w:rsidRPr="00C52CEC">
        <w:t xml:space="preserve">Ongoing pregnancy </w:t>
      </w:r>
      <w:r w:rsidR="007B0F71">
        <w:t>was</w:t>
      </w:r>
      <w:r w:rsidRPr="00C52CEC">
        <w:t xml:space="preserve"> defined as identification of fetal heart movement at approximately 6 weeks of gestation. The primary analysis </w:t>
      </w:r>
      <w:r w:rsidR="007B0F71">
        <w:t>was</w:t>
      </w:r>
      <w:r w:rsidRPr="00C52CEC">
        <w:t xml:space="preserve"> performed to determine if the ongoing pregnancy rate for each dose of E</w:t>
      </w:r>
      <w:r w:rsidR="00FD7BA5">
        <w:t>NDOMETRIN</w:t>
      </w:r>
      <w:r w:rsidRPr="00C52CEC">
        <w:t xml:space="preserve"> </w:t>
      </w:r>
      <w:r w:rsidR="007B0F71">
        <w:t>was</w:t>
      </w:r>
      <w:r w:rsidRPr="00C52CEC">
        <w:t xml:space="preserve"> non-inferior to </w:t>
      </w:r>
      <w:r w:rsidR="007B0F71">
        <w:t xml:space="preserve">the </w:t>
      </w:r>
      <w:r w:rsidR="00614893">
        <w:t>comparator</w:t>
      </w:r>
      <w:r w:rsidR="007B0F71">
        <w:t xml:space="preserve"> </w:t>
      </w:r>
      <w:proofErr w:type="spellStart"/>
      <w:r w:rsidRPr="00C52CEC">
        <w:t>Crinone</w:t>
      </w:r>
      <w:proofErr w:type="spellEnd"/>
      <w:r w:rsidR="007B0F71">
        <w:t xml:space="preserve"> 8% (90</w:t>
      </w:r>
      <w:r w:rsidR="00D446E8">
        <w:t> </w:t>
      </w:r>
      <w:r w:rsidR="007B0F71">
        <w:t>mg)</w:t>
      </w:r>
      <w:r w:rsidRPr="00C52CEC">
        <w:t xml:space="preserve">. To declare non-inferiority, the lower bound of the </w:t>
      </w:r>
      <w:r w:rsidR="007B0F71">
        <w:t xml:space="preserve">95% </w:t>
      </w:r>
      <w:r w:rsidRPr="00C52CEC">
        <w:t xml:space="preserve">confidence interval should exclude a difference greater than 10% in </w:t>
      </w:r>
      <w:proofErr w:type="spellStart"/>
      <w:r w:rsidRPr="00C52CEC">
        <w:t>favour</w:t>
      </w:r>
      <w:proofErr w:type="spellEnd"/>
      <w:r w:rsidRPr="00C52CEC">
        <w:t xml:space="preserve"> of the comparator</w:t>
      </w:r>
      <w:r w:rsidR="00614893">
        <w:t xml:space="preserve">. </w:t>
      </w:r>
      <w:r w:rsidR="00C4433A" w:rsidRPr="00C4433A">
        <w:rPr>
          <w:rFonts w:eastAsia="MS Mincho"/>
          <w:lang w:val="en-AU" w:eastAsia="ja-JP"/>
        </w:rPr>
        <w:t xml:space="preserve">Thus, the trial investigated the relative efficacy of ENDOMETRIN versus the active comparator </w:t>
      </w:r>
      <w:proofErr w:type="spellStart"/>
      <w:r w:rsidR="00C4433A" w:rsidRPr="00C4433A">
        <w:rPr>
          <w:rFonts w:eastAsia="MS Mincho"/>
          <w:lang w:val="en-AU" w:eastAsia="ja-JP"/>
        </w:rPr>
        <w:t>Crinone</w:t>
      </w:r>
      <w:proofErr w:type="spellEnd"/>
      <w:r w:rsidR="00C4433A" w:rsidRPr="00C4433A">
        <w:rPr>
          <w:rFonts w:eastAsia="MS Mincho"/>
          <w:lang w:val="en-AU" w:eastAsia="ja-JP"/>
        </w:rPr>
        <w:t xml:space="preserve">, and used -10% as non-inferiority limit based on clinical trials with </w:t>
      </w:r>
      <w:proofErr w:type="spellStart"/>
      <w:r w:rsidR="00C4433A" w:rsidRPr="00C4433A">
        <w:rPr>
          <w:rFonts w:eastAsia="MS Mincho"/>
          <w:lang w:val="en-AU" w:eastAsia="ja-JP"/>
        </w:rPr>
        <w:t>gonadotrophins</w:t>
      </w:r>
      <w:proofErr w:type="spellEnd"/>
      <w:r w:rsidR="00C4433A" w:rsidRPr="00C4433A">
        <w:rPr>
          <w:rFonts w:eastAsia="MS Mincho"/>
          <w:lang w:val="en-AU" w:eastAsia="ja-JP"/>
        </w:rPr>
        <w:t xml:space="preserve"> used for controlled ovarian stimulation. The absolute efficacy of ENDOMETRIN has not been investigated, as trials versus placebo (inactive) have </w:t>
      </w:r>
      <w:r w:rsidR="00C4433A">
        <w:rPr>
          <w:rFonts w:eastAsia="MS Mincho"/>
          <w:lang w:val="en-AU" w:eastAsia="ja-JP"/>
        </w:rPr>
        <w:t xml:space="preserve">not </w:t>
      </w:r>
      <w:r w:rsidR="00C4433A" w:rsidRPr="00C4433A">
        <w:rPr>
          <w:rFonts w:eastAsia="MS Mincho"/>
          <w:lang w:val="en-AU" w:eastAsia="ja-JP"/>
        </w:rPr>
        <w:t xml:space="preserve">been conducted. </w:t>
      </w:r>
      <w:r w:rsidRPr="00C52CEC">
        <w:t>To adjust for multiple comparisons, E</w:t>
      </w:r>
      <w:r w:rsidR="00FD7BA5">
        <w:t>NDOMETRIN</w:t>
      </w:r>
      <w:r w:rsidRPr="00C52CEC">
        <w:t xml:space="preserve"> 100</w:t>
      </w:r>
      <w:r w:rsidR="00D446E8">
        <w:t xml:space="preserve"> </w:t>
      </w:r>
      <w:r w:rsidRPr="00C52CEC">
        <w:t xml:space="preserve">mg TID versus </w:t>
      </w:r>
      <w:proofErr w:type="spellStart"/>
      <w:r w:rsidRPr="00C52CEC">
        <w:t>Crinone</w:t>
      </w:r>
      <w:proofErr w:type="spellEnd"/>
      <w:r w:rsidRPr="00C52CEC">
        <w:t xml:space="preserve"> </w:t>
      </w:r>
      <w:r w:rsidR="007B0F71">
        <w:t>was</w:t>
      </w:r>
      <w:r w:rsidRPr="00C52CEC">
        <w:t xml:space="preserve"> considered the primary comparison. If the lower bound of the </w:t>
      </w:r>
      <w:r w:rsidR="007B0F71">
        <w:t xml:space="preserve">95% </w:t>
      </w:r>
      <w:r w:rsidRPr="00C52CEC">
        <w:t>confidence interval exclude</w:t>
      </w:r>
      <w:r w:rsidR="007B0F71">
        <w:t>d</w:t>
      </w:r>
      <w:r w:rsidRPr="00C52CEC">
        <w:t xml:space="preserve"> a difference greater than 10% in </w:t>
      </w:r>
      <w:proofErr w:type="spellStart"/>
      <w:r w:rsidRPr="00C52CEC">
        <w:t>favour</w:t>
      </w:r>
      <w:proofErr w:type="spellEnd"/>
      <w:r w:rsidRPr="00C52CEC">
        <w:t xml:space="preserve"> of </w:t>
      </w:r>
      <w:proofErr w:type="spellStart"/>
      <w:r w:rsidRPr="00C52CEC">
        <w:t>Crinone</w:t>
      </w:r>
      <w:proofErr w:type="spellEnd"/>
      <w:r w:rsidRPr="00C52CEC">
        <w:t>, then the non-inferiority of E</w:t>
      </w:r>
      <w:r w:rsidR="00FD7BA5">
        <w:t>NDOMETRIN</w:t>
      </w:r>
      <w:r w:rsidRPr="00C52CEC">
        <w:t xml:space="preserve"> 100</w:t>
      </w:r>
      <w:r w:rsidR="00D446E8">
        <w:t xml:space="preserve"> </w:t>
      </w:r>
      <w:r w:rsidRPr="00C52CEC">
        <w:t xml:space="preserve">mg BID versus </w:t>
      </w:r>
      <w:proofErr w:type="spellStart"/>
      <w:r w:rsidRPr="00C52CEC">
        <w:t>Crinone</w:t>
      </w:r>
      <w:proofErr w:type="spellEnd"/>
      <w:r w:rsidRPr="00C52CEC">
        <w:t xml:space="preserve"> </w:t>
      </w:r>
      <w:r w:rsidR="007B0F71">
        <w:t>was</w:t>
      </w:r>
      <w:r w:rsidR="00326DCA">
        <w:t xml:space="preserve"> assessed.</w:t>
      </w:r>
    </w:p>
    <w:p w:rsidR="00AC7A7D" w:rsidRPr="00AC7A7D" w:rsidRDefault="00AC7A7D" w:rsidP="007C19D8">
      <w:pPr>
        <w:rPr>
          <w:lang w:val="en-AU"/>
        </w:rPr>
      </w:pPr>
      <w:r w:rsidRPr="00AC7A7D">
        <w:rPr>
          <w:lang w:val="en-AU"/>
        </w:rPr>
        <w:t xml:space="preserve">A total of 1211 patients undergoing IVF were randomised to receive either ENDOMETRIN 100 mg BID (n=404), ENDOMETRIN 100 mg TID (n=404) or </w:t>
      </w:r>
      <w:proofErr w:type="spellStart"/>
      <w:r w:rsidRPr="00AC7A7D">
        <w:rPr>
          <w:lang w:val="en-AU"/>
        </w:rPr>
        <w:t>Crinone</w:t>
      </w:r>
      <w:proofErr w:type="spellEnd"/>
      <w:r w:rsidRPr="00AC7A7D">
        <w:rPr>
          <w:lang w:val="en-AU"/>
        </w:rPr>
        <w:t xml:space="preserve"> 8% gel </w:t>
      </w:r>
      <w:r w:rsidR="00B11D35">
        <w:rPr>
          <w:lang w:val="en-AU"/>
        </w:rPr>
        <w:t>(90</w:t>
      </w:r>
      <w:r w:rsidR="00D446E8">
        <w:rPr>
          <w:lang w:val="en-AU"/>
        </w:rPr>
        <w:t xml:space="preserve"> </w:t>
      </w:r>
      <w:r w:rsidR="00B11D35">
        <w:rPr>
          <w:lang w:val="en-AU"/>
        </w:rPr>
        <w:t xml:space="preserve">mg) </w:t>
      </w:r>
      <w:r w:rsidRPr="00AC7A7D">
        <w:rPr>
          <w:lang w:val="en-AU"/>
        </w:rPr>
        <w:t xml:space="preserve">QD (n=403).  Subjects ranged in age from 19 to 42 years.  The study drug was initiated on the day after </w:t>
      </w:r>
      <w:proofErr w:type="spellStart"/>
      <w:r w:rsidRPr="00AC7A7D">
        <w:rPr>
          <w:lang w:val="en-AU"/>
        </w:rPr>
        <w:t>oocyte</w:t>
      </w:r>
      <w:proofErr w:type="spellEnd"/>
      <w:r w:rsidRPr="00AC7A7D">
        <w:rPr>
          <w:lang w:val="en-AU"/>
        </w:rPr>
        <w:t xml:space="preserve"> retrieval and was continued for a total duration of approximately 10 weeks if the patien</w:t>
      </w:r>
      <w:r w:rsidR="00326DCA">
        <w:rPr>
          <w:lang w:val="en-AU"/>
        </w:rPr>
        <w:t>t conceived.</w:t>
      </w:r>
    </w:p>
    <w:p w:rsidR="00AC7A7D" w:rsidRPr="00AC7A7D" w:rsidRDefault="00AC7A7D" w:rsidP="007C19D8">
      <w:pPr>
        <w:rPr>
          <w:lang w:val="en-AU"/>
        </w:rPr>
      </w:pPr>
      <w:r w:rsidRPr="00AC7A7D">
        <w:rPr>
          <w:lang w:val="en-AU"/>
        </w:rPr>
        <w:t xml:space="preserve">The patient population in this study was also pre-stratified and randomised according to age (&lt;35, 35-37, 38-40, 41-42 years).  Women up to </w:t>
      </w:r>
      <w:r w:rsidR="00877788">
        <w:rPr>
          <w:lang w:val="en-AU"/>
        </w:rPr>
        <w:t>35</w:t>
      </w:r>
      <w:r w:rsidR="00877788" w:rsidRPr="00AC7A7D">
        <w:rPr>
          <w:lang w:val="en-AU"/>
        </w:rPr>
        <w:t xml:space="preserve"> </w:t>
      </w:r>
      <w:r w:rsidRPr="00AC7A7D">
        <w:rPr>
          <w:lang w:val="en-AU"/>
        </w:rPr>
        <w:t xml:space="preserve">years of age constituted </w:t>
      </w:r>
      <w:r w:rsidR="00877788">
        <w:rPr>
          <w:lang w:val="en-AU"/>
        </w:rPr>
        <w:t>61</w:t>
      </w:r>
      <w:r w:rsidRPr="00AC7A7D">
        <w:rPr>
          <w:lang w:val="en-AU"/>
        </w:rPr>
        <w:t>%</w:t>
      </w:r>
      <w:r w:rsidR="00877788">
        <w:rPr>
          <w:lang w:val="en-AU"/>
        </w:rPr>
        <w:t xml:space="preserve"> (N=737)</w:t>
      </w:r>
      <w:r w:rsidRPr="00AC7A7D">
        <w:rPr>
          <w:lang w:val="en-AU"/>
        </w:rPr>
        <w:t xml:space="preserve"> of the trial population</w:t>
      </w:r>
      <w:r w:rsidR="00877788">
        <w:rPr>
          <w:lang w:val="en-AU"/>
        </w:rPr>
        <w:t xml:space="preserve"> and the majority had FSH levels &lt;10 IU/L (N=1047/1193, 88%).</w:t>
      </w:r>
      <w:r w:rsidRPr="00AC7A7D">
        <w:rPr>
          <w:lang w:val="en-AU"/>
        </w:rPr>
        <w:t xml:space="preserve"> </w:t>
      </w:r>
      <w:r w:rsidR="00D0530F">
        <w:rPr>
          <w:lang w:val="en-AU"/>
        </w:rPr>
        <w:t xml:space="preserve">The study was powered to </w:t>
      </w:r>
      <w:r w:rsidR="002A2456">
        <w:rPr>
          <w:lang w:val="en-AU"/>
        </w:rPr>
        <w:t>demonstrate</w:t>
      </w:r>
      <w:r w:rsidR="00D0530F">
        <w:rPr>
          <w:lang w:val="en-AU"/>
        </w:rPr>
        <w:t xml:space="preserve"> non-inferiority</w:t>
      </w:r>
      <w:r w:rsidR="002A2456">
        <w:rPr>
          <w:lang w:val="en-AU"/>
        </w:rPr>
        <w:t xml:space="preserve"> overall for the entire trial population, not for each of the age </w:t>
      </w:r>
      <w:r w:rsidR="00D0530F">
        <w:rPr>
          <w:lang w:val="en-AU"/>
        </w:rPr>
        <w:t>groups.</w:t>
      </w:r>
    </w:p>
    <w:p w:rsidR="00AC7A7D" w:rsidRPr="00AC7A7D" w:rsidRDefault="00AC7A7D" w:rsidP="007C19D8">
      <w:pPr>
        <w:rPr>
          <w:bCs/>
          <w:lang w:val="en-AU"/>
        </w:rPr>
      </w:pPr>
      <w:r w:rsidRPr="00AC7A7D">
        <w:rPr>
          <w:lang w:val="en-AU"/>
        </w:rPr>
        <w:t>The ongoing pregnancy rates in the study were as follows overall, and per age-strata:</w:t>
      </w:r>
    </w:p>
    <w:p w:rsidR="00AC7A7D" w:rsidRPr="00AC7A7D" w:rsidRDefault="00CC06F3" w:rsidP="00B1058B">
      <w:pPr>
        <w:spacing w:after="0"/>
        <w:rPr>
          <w:rFonts w:cs="Arial"/>
          <w:b/>
          <w:bCs/>
          <w:szCs w:val="20"/>
          <w:lang w:val="en-AU"/>
        </w:rPr>
      </w:pPr>
      <w:r>
        <w:rPr>
          <w:rFonts w:cs="Arial"/>
          <w:b/>
          <w:bCs/>
          <w:szCs w:val="20"/>
          <w:lang w:val="en-AU"/>
        </w:rPr>
        <w:br w:type="page"/>
      </w:r>
    </w:p>
    <w:p w:rsidR="00AC7A7D" w:rsidRDefault="00AC7A7D" w:rsidP="00B1058B">
      <w:pPr>
        <w:spacing w:after="0"/>
        <w:rPr>
          <w:rFonts w:cs="Arial"/>
          <w:b/>
          <w:bCs/>
          <w:sz w:val="18"/>
          <w:szCs w:val="18"/>
          <w:lang w:val="en-AU"/>
        </w:rPr>
      </w:pPr>
      <w:r w:rsidRPr="00AC7A7D">
        <w:rPr>
          <w:rFonts w:cs="Arial"/>
          <w:b/>
          <w:bCs/>
          <w:sz w:val="18"/>
          <w:szCs w:val="18"/>
          <w:lang w:val="en-AU"/>
        </w:rPr>
        <w:lastRenderedPageBreak/>
        <w:t xml:space="preserve">Table </w:t>
      </w:r>
      <w:r w:rsidR="009341F7">
        <w:rPr>
          <w:rFonts w:cs="Arial"/>
          <w:b/>
          <w:bCs/>
          <w:sz w:val="18"/>
          <w:szCs w:val="18"/>
          <w:lang w:val="en-AU"/>
        </w:rPr>
        <w:t>2</w:t>
      </w:r>
      <w:r w:rsidRPr="00AC7A7D">
        <w:rPr>
          <w:rFonts w:cs="Arial"/>
          <w:b/>
          <w:bCs/>
          <w:sz w:val="18"/>
          <w:szCs w:val="18"/>
          <w:lang w:val="en-AU"/>
        </w:rPr>
        <w:t>:</w:t>
      </w:r>
      <w:r w:rsidRPr="00AC7A7D">
        <w:rPr>
          <w:rFonts w:cs="Arial"/>
          <w:b/>
          <w:bCs/>
          <w:sz w:val="18"/>
          <w:szCs w:val="18"/>
          <w:lang w:val="en-AU"/>
        </w:rPr>
        <w:tab/>
        <w:t>Ongoing P</w:t>
      </w:r>
      <w:r w:rsidR="00326DCA">
        <w:rPr>
          <w:rFonts w:cs="Arial"/>
          <w:b/>
          <w:bCs/>
          <w:sz w:val="18"/>
          <w:szCs w:val="18"/>
          <w:lang w:val="en-AU"/>
        </w:rPr>
        <w:t>regnancy Rates – ITT Population</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1576"/>
        <w:gridCol w:w="1577"/>
        <w:gridCol w:w="1577"/>
      </w:tblGrid>
      <w:tr w:rsidR="00AC7A7D" w:rsidRPr="00AC7A7D" w:rsidTr="002344C8">
        <w:trPr>
          <w:cantSplit/>
        </w:trPr>
        <w:tc>
          <w:tcPr>
            <w:tcW w:w="3960" w:type="dxa"/>
            <w:tcMar>
              <w:left w:w="43" w:type="dxa"/>
              <w:right w:w="43" w:type="dxa"/>
            </w:tcMar>
          </w:tcPr>
          <w:p w:rsidR="00AC7A7D" w:rsidRPr="00AC7A7D" w:rsidRDefault="00AC7A7D" w:rsidP="00B1058B">
            <w:pPr>
              <w:spacing w:after="0"/>
              <w:rPr>
                <w:rFonts w:cs="Arial"/>
                <w:b/>
                <w:sz w:val="18"/>
                <w:szCs w:val="18"/>
                <w:lang w:val="en-AU"/>
              </w:rPr>
            </w:pPr>
            <w:r w:rsidRPr="00AC7A7D">
              <w:rPr>
                <w:rFonts w:cs="Arial"/>
                <w:b/>
                <w:sz w:val="18"/>
                <w:szCs w:val="18"/>
                <w:lang w:val="en-AU"/>
              </w:rPr>
              <w:br/>
            </w:r>
          </w:p>
        </w:tc>
        <w:tc>
          <w:tcPr>
            <w:tcW w:w="1576" w:type="dxa"/>
            <w:tcMar>
              <w:left w:w="43" w:type="dxa"/>
              <w:right w:w="43" w:type="dxa"/>
            </w:tcMar>
          </w:tcPr>
          <w:p w:rsidR="00AC7A7D" w:rsidRPr="00AC7A7D" w:rsidRDefault="00AC7A7D" w:rsidP="002A2456">
            <w:pPr>
              <w:spacing w:after="0"/>
              <w:jc w:val="center"/>
              <w:rPr>
                <w:rFonts w:cs="Arial"/>
                <w:b/>
                <w:sz w:val="18"/>
                <w:szCs w:val="18"/>
                <w:lang w:val="en-AU"/>
              </w:rPr>
            </w:pPr>
            <w:r w:rsidRPr="00AC7A7D">
              <w:rPr>
                <w:rFonts w:cs="Arial"/>
                <w:b/>
                <w:sz w:val="18"/>
                <w:szCs w:val="18"/>
                <w:lang w:val="en-AU"/>
              </w:rPr>
              <w:t>ENDOMETRIN</w:t>
            </w:r>
            <w:r w:rsidRPr="00AC7A7D">
              <w:rPr>
                <w:rFonts w:cs="Arial"/>
                <w:b/>
                <w:sz w:val="18"/>
                <w:szCs w:val="18"/>
                <w:lang w:val="en-AU"/>
              </w:rPr>
              <w:br/>
              <w:t>100 mg BID</w:t>
            </w:r>
          </w:p>
        </w:tc>
        <w:tc>
          <w:tcPr>
            <w:tcW w:w="1577" w:type="dxa"/>
            <w:tcMar>
              <w:left w:w="43" w:type="dxa"/>
              <w:right w:w="43" w:type="dxa"/>
            </w:tcMar>
          </w:tcPr>
          <w:p w:rsidR="00AC7A7D" w:rsidRPr="00AC7A7D" w:rsidRDefault="00AC7A7D" w:rsidP="002A2456">
            <w:pPr>
              <w:spacing w:after="0"/>
              <w:jc w:val="center"/>
              <w:rPr>
                <w:rFonts w:cs="Arial"/>
                <w:b/>
                <w:sz w:val="18"/>
                <w:szCs w:val="18"/>
                <w:lang w:val="en-AU"/>
              </w:rPr>
            </w:pPr>
            <w:r w:rsidRPr="00AC7A7D">
              <w:rPr>
                <w:rFonts w:cs="Arial"/>
                <w:b/>
                <w:sz w:val="18"/>
                <w:szCs w:val="18"/>
                <w:lang w:val="en-AU"/>
              </w:rPr>
              <w:t>ENDOMETRIN</w:t>
            </w:r>
            <w:r w:rsidRPr="00AC7A7D">
              <w:rPr>
                <w:rFonts w:cs="Arial"/>
                <w:b/>
                <w:sz w:val="18"/>
                <w:szCs w:val="18"/>
                <w:lang w:val="en-AU"/>
              </w:rPr>
              <w:br/>
              <w:t>100 mg TID</w:t>
            </w:r>
          </w:p>
        </w:tc>
        <w:tc>
          <w:tcPr>
            <w:tcW w:w="1577" w:type="dxa"/>
            <w:tcMar>
              <w:left w:w="43" w:type="dxa"/>
              <w:right w:w="43" w:type="dxa"/>
            </w:tcMar>
          </w:tcPr>
          <w:p w:rsidR="00AC7A7D" w:rsidRPr="00AC7A7D" w:rsidRDefault="00AC7A7D" w:rsidP="002A2456">
            <w:pPr>
              <w:spacing w:after="0"/>
              <w:jc w:val="center"/>
              <w:rPr>
                <w:rFonts w:cs="Arial"/>
                <w:b/>
                <w:sz w:val="18"/>
                <w:szCs w:val="18"/>
                <w:lang w:val="en-AU"/>
              </w:rPr>
            </w:pPr>
            <w:proofErr w:type="spellStart"/>
            <w:r w:rsidRPr="00AC7A7D">
              <w:rPr>
                <w:rFonts w:cs="Arial"/>
                <w:b/>
                <w:sz w:val="18"/>
                <w:szCs w:val="18"/>
                <w:lang w:val="en-AU"/>
              </w:rPr>
              <w:t>Crinone</w:t>
            </w:r>
            <w:proofErr w:type="spellEnd"/>
            <w:r w:rsidR="00D0530F">
              <w:rPr>
                <w:rFonts w:cs="Arial"/>
                <w:b/>
                <w:sz w:val="18"/>
                <w:szCs w:val="18"/>
                <w:lang w:val="en-AU"/>
              </w:rPr>
              <w:t xml:space="preserve"> </w:t>
            </w:r>
            <w:r w:rsidRPr="00AC7A7D">
              <w:rPr>
                <w:rFonts w:cs="Arial"/>
                <w:b/>
                <w:sz w:val="18"/>
                <w:szCs w:val="18"/>
                <w:lang w:val="en-AU"/>
              </w:rPr>
              <w:t>8% gel</w:t>
            </w:r>
            <w:r w:rsidR="00D0530F">
              <w:rPr>
                <w:rFonts w:cs="Arial"/>
                <w:b/>
                <w:sz w:val="18"/>
                <w:szCs w:val="18"/>
                <w:lang w:val="en-AU"/>
              </w:rPr>
              <w:br/>
            </w:r>
            <w:r w:rsidR="003928EB">
              <w:rPr>
                <w:rFonts w:cs="Arial"/>
                <w:b/>
                <w:sz w:val="18"/>
                <w:szCs w:val="18"/>
                <w:lang w:val="en-AU"/>
              </w:rPr>
              <w:t xml:space="preserve">90 mg </w:t>
            </w:r>
            <w:r w:rsidRPr="00AC7A7D">
              <w:rPr>
                <w:rFonts w:cs="Arial"/>
                <w:b/>
                <w:sz w:val="18"/>
                <w:szCs w:val="18"/>
                <w:lang w:val="en-AU"/>
              </w:rPr>
              <w:t>QD</w:t>
            </w:r>
          </w:p>
        </w:tc>
      </w:tr>
      <w:tr w:rsidR="00AC7A7D" w:rsidRPr="00AC7A7D" w:rsidTr="002344C8">
        <w:trPr>
          <w:cantSplit/>
        </w:trPr>
        <w:tc>
          <w:tcPr>
            <w:tcW w:w="3960" w:type="dxa"/>
            <w:tcMar>
              <w:left w:w="43" w:type="dxa"/>
              <w:right w:w="43" w:type="dxa"/>
            </w:tcMar>
          </w:tcPr>
          <w:p w:rsidR="00AC7A7D" w:rsidRDefault="00AC7A7D" w:rsidP="00B1058B">
            <w:pPr>
              <w:spacing w:after="0"/>
              <w:rPr>
                <w:rFonts w:cs="Arial"/>
                <w:b/>
                <w:bCs/>
                <w:sz w:val="18"/>
                <w:szCs w:val="18"/>
                <w:lang w:val="en-AU"/>
              </w:rPr>
            </w:pPr>
            <w:r w:rsidRPr="00AC7A7D">
              <w:rPr>
                <w:rFonts w:cs="Arial"/>
                <w:b/>
                <w:bCs/>
                <w:sz w:val="18"/>
                <w:szCs w:val="18"/>
                <w:lang w:val="en-AU"/>
              </w:rPr>
              <w:t>ITT Population (n=1211)</w:t>
            </w:r>
          </w:p>
          <w:p w:rsidR="000861E3" w:rsidRPr="00AC7A7D" w:rsidRDefault="000861E3" w:rsidP="00B1058B">
            <w:pPr>
              <w:spacing w:after="0"/>
              <w:rPr>
                <w:rFonts w:cs="Arial"/>
                <w:b/>
                <w:sz w:val="18"/>
                <w:szCs w:val="18"/>
                <w:lang w:val="en-AU"/>
              </w:rPr>
            </w:pPr>
          </w:p>
        </w:tc>
        <w:tc>
          <w:tcPr>
            <w:tcW w:w="1576" w:type="dxa"/>
            <w:tcMar>
              <w:left w:w="43" w:type="dxa"/>
              <w:right w:w="43" w:type="dxa"/>
            </w:tcMar>
          </w:tcPr>
          <w:p w:rsidR="00AC7A7D" w:rsidRPr="00AC7A7D" w:rsidRDefault="00AC7A7D" w:rsidP="002A2456">
            <w:pPr>
              <w:spacing w:after="0"/>
              <w:jc w:val="center"/>
              <w:rPr>
                <w:rFonts w:cs="Arial"/>
                <w:b/>
                <w:bCs/>
                <w:sz w:val="18"/>
                <w:szCs w:val="18"/>
                <w:lang w:val="en-AU"/>
              </w:rPr>
            </w:pPr>
            <w:r w:rsidRPr="00AC7A7D">
              <w:rPr>
                <w:rFonts w:cs="Arial"/>
                <w:b/>
                <w:bCs/>
                <w:sz w:val="18"/>
                <w:szCs w:val="18"/>
                <w:lang w:val="en-AU"/>
              </w:rPr>
              <w:t>(N=404)</w:t>
            </w:r>
          </w:p>
        </w:tc>
        <w:tc>
          <w:tcPr>
            <w:tcW w:w="1577" w:type="dxa"/>
            <w:tcMar>
              <w:left w:w="43" w:type="dxa"/>
              <w:right w:w="43" w:type="dxa"/>
            </w:tcMar>
          </w:tcPr>
          <w:p w:rsidR="00AC7A7D" w:rsidRPr="00AC7A7D" w:rsidRDefault="00AC7A7D" w:rsidP="002A2456">
            <w:pPr>
              <w:spacing w:after="0"/>
              <w:jc w:val="center"/>
              <w:rPr>
                <w:rFonts w:cs="Arial"/>
                <w:b/>
                <w:bCs/>
                <w:sz w:val="18"/>
                <w:szCs w:val="18"/>
                <w:lang w:val="en-AU"/>
              </w:rPr>
            </w:pPr>
            <w:r w:rsidRPr="00AC7A7D">
              <w:rPr>
                <w:rFonts w:cs="Arial"/>
                <w:b/>
                <w:bCs/>
                <w:sz w:val="18"/>
                <w:szCs w:val="18"/>
                <w:lang w:val="en-AU"/>
              </w:rPr>
              <w:t>(N=404)</w:t>
            </w:r>
          </w:p>
        </w:tc>
        <w:tc>
          <w:tcPr>
            <w:tcW w:w="1577" w:type="dxa"/>
            <w:tcMar>
              <w:left w:w="43" w:type="dxa"/>
              <w:right w:w="43" w:type="dxa"/>
            </w:tcMar>
          </w:tcPr>
          <w:p w:rsidR="00AC7A7D" w:rsidRPr="00AC7A7D" w:rsidRDefault="00AC7A7D" w:rsidP="002A2456">
            <w:pPr>
              <w:spacing w:after="0"/>
              <w:jc w:val="center"/>
              <w:rPr>
                <w:rFonts w:cs="Arial"/>
                <w:b/>
                <w:bCs/>
                <w:sz w:val="18"/>
                <w:szCs w:val="18"/>
                <w:lang w:val="en-AU"/>
              </w:rPr>
            </w:pPr>
            <w:r w:rsidRPr="00AC7A7D">
              <w:rPr>
                <w:rFonts w:cs="Arial"/>
                <w:b/>
                <w:bCs/>
                <w:sz w:val="18"/>
                <w:szCs w:val="18"/>
                <w:lang w:val="en-AU"/>
              </w:rPr>
              <w:t>(N=403)</w:t>
            </w:r>
          </w:p>
        </w:tc>
      </w:tr>
      <w:tr w:rsidR="00AC7A7D" w:rsidRPr="00666EF4" w:rsidTr="002344C8">
        <w:trPr>
          <w:cantSplit/>
        </w:trPr>
        <w:tc>
          <w:tcPr>
            <w:tcW w:w="3960" w:type="dxa"/>
            <w:tcMar>
              <w:left w:w="43" w:type="dxa"/>
              <w:right w:w="43" w:type="dxa"/>
            </w:tcMar>
          </w:tcPr>
          <w:p w:rsidR="00AC7A7D" w:rsidRDefault="00AC7A7D" w:rsidP="00B1058B">
            <w:pPr>
              <w:spacing w:after="0"/>
              <w:rPr>
                <w:rFonts w:cs="Arial"/>
                <w:bCs/>
                <w:sz w:val="18"/>
                <w:szCs w:val="18"/>
                <w:lang w:val="en-AU"/>
              </w:rPr>
            </w:pPr>
            <w:r w:rsidRPr="00666EF4">
              <w:rPr>
                <w:rFonts w:cs="Arial"/>
                <w:bCs/>
                <w:sz w:val="18"/>
                <w:szCs w:val="18"/>
                <w:lang w:val="en-AU"/>
              </w:rPr>
              <w:t>Ongoing Pregnancy Rate</w:t>
            </w:r>
            <w:r w:rsidR="007B0F71">
              <w:rPr>
                <w:rFonts w:cs="Arial"/>
                <w:bCs/>
                <w:sz w:val="18"/>
                <w:szCs w:val="18"/>
                <w:lang w:val="en-AU"/>
              </w:rPr>
              <w:t>, overall</w:t>
            </w:r>
          </w:p>
          <w:p w:rsidR="002A2456" w:rsidRDefault="002A2456" w:rsidP="00B1058B">
            <w:pPr>
              <w:spacing w:after="0"/>
              <w:rPr>
                <w:rFonts w:cs="Arial"/>
                <w:bCs/>
                <w:sz w:val="18"/>
                <w:szCs w:val="18"/>
                <w:lang w:val="en-AU"/>
              </w:rPr>
            </w:pPr>
            <w:r>
              <w:rPr>
                <w:rFonts w:cs="Arial"/>
                <w:bCs/>
                <w:sz w:val="18"/>
                <w:szCs w:val="18"/>
                <w:lang w:val="en-AU"/>
              </w:rPr>
              <w:t>95% Confidence Interval</w:t>
            </w:r>
            <w:r w:rsidR="002344C8">
              <w:rPr>
                <w:rFonts w:cs="Arial"/>
                <w:bCs/>
                <w:sz w:val="18"/>
                <w:szCs w:val="18"/>
                <w:lang w:val="en-AU"/>
              </w:rPr>
              <w:t xml:space="preserve"> (CI)</w:t>
            </w:r>
          </w:p>
          <w:p w:rsidR="002344C8" w:rsidRDefault="002A2456" w:rsidP="00B1058B">
            <w:pPr>
              <w:spacing w:after="0"/>
              <w:rPr>
                <w:rFonts w:cs="Arial"/>
                <w:bCs/>
                <w:sz w:val="18"/>
                <w:szCs w:val="18"/>
                <w:lang w:val="en-AU"/>
              </w:rPr>
            </w:pPr>
            <w:r>
              <w:rPr>
                <w:rFonts w:cs="Arial"/>
                <w:bCs/>
                <w:sz w:val="18"/>
                <w:szCs w:val="18"/>
                <w:lang w:val="en-AU"/>
              </w:rPr>
              <w:t xml:space="preserve">Difference between </w:t>
            </w:r>
            <w:r w:rsidR="002344C8">
              <w:rPr>
                <w:rFonts w:cs="Arial"/>
                <w:bCs/>
                <w:sz w:val="18"/>
                <w:szCs w:val="18"/>
                <w:lang w:val="en-AU"/>
              </w:rPr>
              <w:t xml:space="preserve">ENDOMETRIN &amp; </w:t>
            </w:r>
            <w:proofErr w:type="spellStart"/>
            <w:r w:rsidR="002344C8">
              <w:rPr>
                <w:rFonts w:cs="Arial"/>
                <w:bCs/>
                <w:sz w:val="18"/>
                <w:szCs w:val="18"/>
                <w:lang w:val="en-AU"/>
              </w:rPr>
              <w:t>Crinone</w:t>
            </w:r>
            <w:proofErr w:type="spellEnd"/>
          </w:p>
          <w:p w:rsidR="002A2456" w:rsidRDefault="002344C8" w:rsidP="00B1058B">
            <w:pPr>
              <w:spacing w:after="0"/>
              <w:rPr>
                <w:rFonts w:cs="Arial"/>
                <w:bCs/>
                <w:sz w:val="18"/>
                <w:szCs w:val="18"/>
                <w:lang w:val="en-AU"/>
              </w:rPr>
            </w:pPr>
            <w:r>
              <w:rPr>
                <w:rFonts w:cs="Arial"/>
                <w:bCs/>
                <w:sz w:val="18"/>
                <w:szCs w:val="18"/>
                <w:lang w:val="en-AU"/>
              </w:rPr>
              <w:t>[95%</w:t>
            </w:r>
            <w:r w:rsidR="002A2456">
              <w:rPr>
                <w:rFonts w:cs="Arial"/>
                <w:bCs/>
                <w:sz w:val="18"/>
                <w:szCs w:val="18"/>
                <w:lang w:val="en-AU"/>
              </w:rPr>
              <w:t xml:space="preserve"> </w:t>
            </w:r>
            <w:r>
              <w:rPr>
                <w:rFonts w:cs="Arial"/>
                <w:bCs/>
                <w:sz w:val="18"/>
                <w:szCs w:val="18"/>
                <w:lang w:val="en-AU"/>
              </w:rPr>
              <w:t>CI lower bound for difference</w:t>
            </w:r>
            <w:r w:rsidR="00E410BB">
              <w:rPr>
                <w:rFonts w:cs="Arial"/>
                <w:bCs/>
                <w:sz w:val="18"/>
                <w:szCs w:val="18"/>
                <w:lang w:val="en-AU"/>
              </w:rPr>
              <w:t>]</w:t>
            </w:r>
          </w:p>
          <w:p w:rsidR="00DE3CCD" w:rsidRPr="00666EF4" w:rsidRDefault="00DE3CCD" w:rsidP="00B1058B">
            <w:pPr>
              <w:spacing w:after="0"/>
              <w:rPr>
                <w:rFonts w:cs="Arial"/>
                <w:bCs/>
                <w:sz w:val="18"/>
                <w:szCs w:val="18"/>
                <w:lang w:val="en-AU"/>
              </w:rPr>
            </w:pPr>
          </w:p>
        </w:tc>
        <w:tc>
          <w:tcPr>
            <w:tcW w:w="1576" w:type="dxa"/>
            <w:tcMar>
              <w:left w:w="43" w:type="dxa"/>
              <w:right w:w="43" w:type="dxa"/>
            </w:tcMar>
          </w:tcPr>
          <w:p w:rsidR="00AC7A7D" w:rsidRDefault="00AC7A7D" w:rsidP="002A2456">
            <w:pPr>
              <w:spacing w:after="0"/>
              <w:jc w:val="center"/>
              <w:rPr>
                <w:rFonts w:cs="Arial"/>
                <w:bCs/>
                <w:sz w:val="18"/>
                <w:szCs w:val="18"/>
                <w:lang w:val="en-AU"/>
              </w:rPr>
            </w:pPr>
            <w:r w:rsidRPr="00666EF4">
              <w:rPr>
                <w:rFonts w:cs="Arial"/>
                <w:bCs/>
                <w:sz w:val="18"/>
                <w:szCs w:val="18"/>
                <w:lang w:val="en-AU"/>
              </w:rPr>
              <w:t>156 (39%)</w:t>
            </w:r>
          </w:p>
          <w:p w:rsidR="002A2456" w:rsidRDefault="002A2456" w:rsidP="002A2456">
            <w:pPr>
              <w:spacing w:after="0"/>
              <w:jc w:val="center"/>
              <w:rPr>
                <w:rFonts w:cs="Arial"/>
                <w:bCs/>
                <w:sz w:val="18"/>
                <w:szCs w:val="18"/>
                <w:lang w:val="en-AU"/>
              </w:rPr>
            </w:pPr>
            <w:r>
              <w:rPr>
                <w:rFonts w:cs="Arial"/>
                <w:bCs/>
                <w:sz w:val="18"/>
                <w:szCs w:val="18"/>
                <w:lang w:val="en-AU"/>
              </w:rPr>
              <w:t>[33.8, 43.6]</w:t>
            </w:r>
          </w:p>
          <w:p w:rsidR="002344C8" w:rsidRDefault="002344C8" w:rsidP="002A2456">
            <w:pPr>
              <w:spacing w:after="0"/>
              <w:jc w:val="center"/>
              <w:rPr>
                <w:rFonts w:cs="Arial"/>
                <w:bCs/>
                <w:sz w:val="18"/>
                <w:szCs w:val="18"/>
                <w:lang w:val="en-AU"/>
              </w:rPr>
            </w:pPr>
            <w:r>
              <w:rPr>
                <w:rFonts w:cs="Arial"/>
                <w:bCs/>
                <w:sz w:val="18"/>
                <w:szCs w:val="18"/>
                <w:lang w:val="en-AU"/>
              </w:rPr>
              <w:t>-3.6%</w:t>
            </w:r>
          </w:p>
          <w:p w:rsidR="002344C8" w:rsidRPr="00666EF4" w:rsidRDefault="002344C8" w:rsidP="002A2456">
            <w:pPr>
              <w:spacing w:after="0"/>
              <w:jc w:val="center"/>
              <w:rPr>
                <w:rFonts w:cs="Arial"/>
                <w:bCs/>
                <w:sz w:val="18"/>
                <w:szCs w:val="18"/>
                <w:lang w:val="en-AU"/>
              </w:rPr>
            </w:pPr>
            <w:r>
              <w:rPr>
                <w:rFonts w:cs="Arial"/>
                <w:bCs/>
                <w:sz w:val="18"/>
                <w:szCs w:val="18"/>
                <w:lang w:val="en-AU"/>
              </w:rPr>
              <w:t>[-10.3]</w:t>
            </w:r>
          </w:p>
        </w:tc>
        <w:tc>
          <w:tcPr>
            <w:tcW w:w="1577" w:type="dxa"/>
            <w:tcMar>
              <w:left w:w="43" w:type="dxa"/>
              <w:right w:w="43" w:type="dxa"/>
            </w:tcMar>
          </w:tcPr>
          <w:p w:rsidR="00AC7A7D" w:rsidRDefault="00AC7A7D" w:rsidP="002A2456">
            <w:pPr>
              <w:spacing w:after="0"/>
              <w:jc w:val="center"/>
              <w:rPr>
                <w:rFonts w:cs="Arial"/>
                <w:bCs/>
                <w:sz w:val="18"/>
                <w:szCs w:val="18"/>
                <w:lang w:val="en-AU"/>
              </w:rPr>
            </w:pPr>
            <w:r w:rsidRPr="00666EF4">
              <w:rPr>
                <w:rFonts w:cs="Arial"/>
                <w:bCs/>
                <w:sz w:val="18"/>
                <w:szCs w:val="18"/>
                <w:lang w:val="en-AU"/>
              </w:rPr>
              <w:t>171 (42%)</w:t>
            </w:r>
          </w:p>
          <w:p w:rsidR="002A2456" w:rsidRDefault="002A2456" w:rsidP="002A2456">
            <w:pPr>
              <w:spacing w:after="0"/>
              <w:jc w:val="center"/>
              <w:rPr>
                <w:rFonts w:cs="Arial"/>
                <w:bCs/>
                <w:sz w:val="18"/>
                <w:szCs w:val="18"/>
                <w:lang w:val="en-AU"/>
              </w:rPr>
            </w:pPr>
            <w:r>
              <w:rPr>
                <w:rFonts w:cs="Arial"/>
                <w:bCs/>
                <w:sz w:val="18"/>
                <w:szCs w:val="18"/>
                <w:lang w:val="en-AU"/>
              </w:rPr>
              <w:t>[37.5, 47.3]</w:t>
            </w:r>
          </w:p>
          <w:p w:rsidR="002344C8" w:rsidRDefault="002344C8" w:rsidP="002A2456">
            <w:pPr>
              <w:spacing w:after="0"/>
              <w:jc w:val="center"/>
              <w:rPr>
                <w:rFonts w:cs="Arial"/>
                <w:bCs/>
                <w:sz w:val="18"/>
                <w:szCs w:val="18"/>
                <w:lang w:val="en-AU"/>
              </w:rPr>
            </w:pPr>
            <w:r>
              <w:rPr>
                <w:rFonts w:cs="Arial"/>
                <w:bCs/>
                <w:sz w:val="18"/>
                <w:szCs w:val="18"/>
                <w:lang w:val="en-AU"/>
              </w:rPr>
              <w:t>0.1%</w:t>
            </w:r>
          </w:p>
          <w:p w:rsidR="002344C8" w:rsidRPr="00666EF4" w:rsidRDefault="002344C8" w:rsidP="002A2456">
            <w:pPr>
              <w:spacing w:after="0"/>
              <w:jc w:val="center"/>
              <w:rPr>
                <w:rFonts w:cs="Arial"/>
                <w:bCs/>
                <w:sz w:val="18"/>
                <w:szCs w:val="18"/>
                <w:lang w:val="en-AU"/>
              </w:rPr>
            </w:pPr>
            <w:r>
              <w:rPr>
                <w:rFonts w:cs="Arial"/>
                <w:bCs/>
                <w:sz w:val="18"/>
                <w:szCs w:val="18"/>
                <w:lang w:val="en-AU"/>
              </w:rPr>
              <w:t>[-6.7]</w:t>
            </w:r>
          </w:p>
        </w:tc>
        <w:tc>
          <w:tcPr>
            <w:tcW w:w="1577" w:type="dxa"/>
            <w:tcMar>
              <w:left w:w="43" w:type="dxa"/>
              <w:right w:w="43" w:type="dxa"/>
            </w:tcMar>
          </w:tcPr>
          <w:p w:rsidR="00AC7A7D" w:rsidRDefault="00AC7A7D" w:rsidP="002A2456">
            <w:pPr>
              <w:spacing w:after="0"/>
              <w:jc w:val="center"/>
              <w:rPr>
                <w:rFonts w:cs="Arial"/>
                <w:bCs/>
                <w:sz w:val="18"/>
                <w:szCs w:val="18"/>
                <w:lang w:val="en-AU"/>
              </w:rPr>
            </w:pPr>
            <w:r w:rsidRPr="00666EF4">
              <w:rPr>
                <w:rFonts w:cs="Arial"/>
                <w:bCs/>
                <w:sz w:val="18"/>
                <w:szCs w:val="18"/>
                <w:lang w:val="en-AU"/>
              </w:rPr>
              <w:t>170 (42%)</w:t>
            </w:r>
          </w:p>
          <w:p w:rsidR="002A2456" w:rsidRPr="00666EF4" w:rsidRDefault="002A2456" w:rsidP="002A2456">
            <w:pPr>
              <w:spacing w:after="0"/>
              <w:jc w:val="center"/>
              <w:rPr>
                <w:rFonts w:cs="Arial"/>
                <w:bCs/>
                <w:sz w:val="18"/>
                <w:szCs w:val="18"/>
                <w:lang w:val="en-AU"/>
              </w:rPr>
            </w:pPr>
            <w:r>
              <w:rPr>
                <w:rFonts w:cs="Arial"/>
                <w:bCs/>
                <w:sz w:val="18"/>
                <w:szCs w:val="18"/>
                <w:lang w:val="en-AU"/>
              </w:rPr>
              <w:t>[37.3, 47.2]</w:t>
            </w:r>
          </w:p>
        </w:tc>
      </w:tr>
      <w:tr w:rsidR="00AC7A7D" w:rsidRPr="00666EF4" w:rsidTr="002344C8">
        <w:trPr>
          <w:cantSplit/>
        </w:trPr>
        <w:tc>
          <w:tcPr>
            <w:tcW w:w="3960" w:type="dxa"/>
            <w:tcMar>
              <w:left w:w="43" w:type="dxa"/>
              <w:right w:w="43" w:type="dxa"/>
            </w:tcMar>
          </w:tcPr>
          <w:p w:rsidR="00AC7A7D" w:rsidRDefault="00AC7A7D" w:rsidP="00B1058B">
            <w:pPr>
              <w:spacing w:after="0"/>
              <w:rPr>
                <w:rFonts w:cs="Arial"/>
                <w:sz w:val="18"/>
                <w:szCs w:val="18"/>
                <w:lang w:val="en-AU"/>
              </w:rPr>
            </w:pPr>
            <w:r w:rsidRPr="00666EF4">
              <w:rPr>
                <w:rFonts w:cs="Arial"/>
                <w:sz w:val="18"/>
                <w:szCs w:val="18"/>
                <w:lang w:val="en-AU"/>
              </w:rPr>
              <w:t>&lt;35 years</w:t>
            </w:r>
          </w:p>
          <w:p w:rsidR="00DE3CCD" w:rsidRDefault="00DE3CCD" w:rsidP="00B1058B">
            <w:pPr>
              <w:spacing w:after="0"/>
              <w:rPr>
                <w:rFonts w:cs="Arial"/>
                <w:sz w:val="18"/>
                <w:szCs w:val="18"/>
                <w:lang w:val="en-AU"/>
              </w:rPr>
            </w:pPr>
            <w:r w:rsidRPr="00666EF4">
              <w:rPr>
                <w:rFonts w:cs="Arial"/>
                <w:bCs/>
                <w:sz w:val="18"/>
                <w:szCs w:val="18"/>
                <w:lang w:val="en-AU"/>
              </w:rPr>
              <w:t>Ongoing Pregnancy Rate</w:t>
            </w:r>
          </w:p>
          <w:p w:rsidR="00DE3CCD" w:rsidRDefault="00DE3CCD" w:rsidP="00DE3CCD">
            <w:pPr>
              <w:spacing w:after="0"/>
              <w:rPr>
                <w:rFonts w:cs="Arial"/>
                <w:bCs/>
                <w:sz w:val="18"/>
                <w:szCs w:val="18"/>
                <w:lang w:val="en-AU"/>
              </w:rPr>
            </w:pPr>
            <w:r>
              <w:rPr>
                <w:rFonts w:cs="Arial"/>
                <w:bCs/>
                <w:sz w:val="18"/>
                <w:szCs w:val="18"/>
                <w:lang w:val="en-AU"/>
              </w:rPr>
              <w:t>95% Confidence Interval (CI)</w:t>
            </w:r>
          </w:p>
          <w:p w:rsidR="00DE3CCD" w:rsidRDefault="00DE3CCD" w:rsidP="00DE3CCD">
            <w:pPr>
              <w:spacing w:after="0"/>
              <w:rPr>
                <w:rFonts w:cs="Arial"/>
                <w:bCs/>
                <w:sz w:val="18"/>
                <w:szCs w:val="18"/>
                <w:lang w:val="en-AU"/>
              </w:rPr>
            </w:pPr>
            <w:r>
              <w:rPr>
                <w:rFonts w:cs="Arial"/>
                <w:bCs/>
                <w:sz w:val="18"/>
                <w:szCs w:val="18"/>
                <w:lang w:val="en-AU"/>
              </w:rPr>
              <w:t xml:space="preserve">Difference between ENDOMETRIN &amp; </w:t>
            </w:r>
            <w:proofErr w:type="spellStart"/>
            <w:r>
              <w:rPr>
                <w:rFonts w:cs="Arial"/>
                <w:bCs/>
                <w:sz w:val="18"/>
                <w:szCs w:val="18"/>
                <w:lang w:val="en-AU"/>
              </w:rPr>
              <w:t>Crinone</w:t>
            </w:r>
            <w:proofErr w:type="spellEnd"/>
          </w:p>
          <w:p w:rsidR="00DE3CCD" w:rsidRDefault="00DE3CCD" w:rsidP="00DE3CCD">
            <w:pPr>
              <w:spacing w:after="0"/>
              <w:rPr>
                <w:rFonts w:cs="Arial"/>
                <w:sz w:val="18"/>
                <w:szCs w:val="18"/>
                <w:lang w:val="en-AU"/>
              </w:rPr>
            </w:pPr>
            <w:r>
              <w:rPr>
                <w:rFonts w:cs="Arial"/>
                <w:bCs/>
                <w:sz w:val="18"/>
                <w:szCs w:val="18"/>
                <w:lang w:val="en-AU"/>
              </w:rPr>
              <w:t>[95% CI lower bound for difference]</w:t>
            </w:r>
          </w:p>
          <w:p w:rsidR="00DE3CCD" w:rsidRPr="00666EF4" w:rsidRDefault="00DE3CCD" w:rsidP="00B1058B">
            <w:pPr>
              <w:spacing w:after="0"/>
              <w:rPr>
                <w:rFonts w:cs="Arial"/>
                <w:sz w:val="18"/>
                <w:szCs w:val="18"/>
                <w:lang w:val="en-AU"/>
              </w:rPr>
            </w:pPr>
          </w:p>
        </w:tc>
        <w:tc>
          <w:tcPr>
            <w:tcW w:w="1576" w:type="dxa"/>
            <w:tcMar>
              <w:left w:w="43" w:type="dxa"/>
              <w:right w:w="43" w:type="dxa"/>
            </w:tcMar>
          </w:tcPr>
          <w:p w:rsidR="00AC7A7D" w:rsidRPr="00666EF4" w:rsidRDefault="00AC7A7D" w:rsidP="002A2456">
            <w:pPr>
              <w:spacing w:after="0"/>
              <w:jc w:val="center"/>
              <w:rPr>
                <w:rFonts w:cs="Arial"/>
                <w:sz w:val="18"/>
                <w:szCs w:val="18"/>
                <w:lang w:val="en-AU"/>
              </w:rPr>
            </w:pPr>
            <w:r w:rsidRPr="00666EF4">
              <w:rPr>
                <w:rFonts w:cs="Arial"/>
                <w:sz w:val="18"/>
                <w:szCs w:val="18"/>
                <w:lang w:val="en-AU"/>
              </w:rPr>
              <w:t>(n=247)</w:t>
            </w:r>
          </w:p>
          <w:p w:rsidR="00AC7A7D" w:rsidRDefault="00AC7A7D" w:rsidP="002A2456">
            <w:pPr>
              <w:spacing w:after="0"/>
              <w:jc w:val="center"/>
              <w:rPr>
                <w:rFonts w:cs="Arial"/>
                <w:sz w:val="18"/>
                <w:szCs w:val="18"/>
                <w:lang w:val="en-AU"/>
              </w:rPr>
            </w:pPr>
            <w:r w:rsidRPr="00666EF4">
              <w:rPr>
                <w:rFonts w:cs="Arial"/>
                <w:sz w:val="18"/>
                <w:szCs w:val="18"/>
                <w:lang w:val="en-AU"/>
              </w:rPr>
              <w:t>111 (45%)</w:t>
            </w:r>
          </w:p>
          <w:p w:rsidR="00DE3CCD" w:rsidRDefault="00544C7B" w:rsidP="002A2456">
            <w:pPr>
              <w:spacing w:after="0"/>
              <w:jc w:val="center"/>
              <w:rPr>
                <w:rFonts w:cs="Arial"/>
                <w:sz w:val="18"/>
                <w:szCs w:val="18"/>
                <w:lang w:val="en-AU"/>
              </w:rPr>
            </w:pPr>
            <w:r>
              <w:rPr>
                <w:rFonts w:cs="Arial"/>
                <w:sz w:val="18"/>
                <w:szCs w:val="18"/>
                <w:lang w:val="en-AU"/>
              </w:rPr>
              <w:t>[38.6, 51.4]</w:t>
            </w:r>
          </w:p>
          <w:p w:rsidR="00544C7B" w:rsidRDefault="00544C7B" w:rsidP="002A2456">
            <w:pPr>
              <w:spacing w:after="0"/>
              <w:jc w:val="center"/>
              <w:rPr>
                <w:rFonts w:cs="Arial"/>
                <w:sz w:val="18"/>
                <w:szCs w:val="18"/>
                <w:lang w:val="en-AU"/>
              </w:rPr>
            </w:pPr>
            <w:r>
              <w:rPr>
                <w:rFonts w:cs="Arial"/>
                <w:sz w:val="18"/>
                <w:szCs w:val="18"/>
                <w:lang w:val="en-AU"/>
              </w:rPr>
              <w:t>0.5%</w:t>
            </w:r>
          </w:p>
          <w:p w:rsidR="00544C7B" w:rsidRPr="00666EF4" w:rsidRDefault="00544C7B" w:rsidP="002A2456">
            <w:pPr>
              <w:spacing w:after="0"/>
              <w:jc w:val="center"/>
              <w:rPr>
                <w:rFonts w:cs="Arial"/>
                <w:sz w:val="18"/>
                <w:szCs w:val="18"/>
                <w:lang w:val="en-AU"/>
              </w:rPr>
            </w:pPr>
            <w:r>
              <w:rPr>
                <w:rFonts w:cs="Arial"/>
                <w:sz w:val="18"/>
                <w:szCs w:val="18"/>
                <w:lang w:val="en-AU"/>
              </w:rPr>
              <w:t>[-8.3]</w:t>
            </w:r>
          </w:p>
        </w:tc>
        <w:tc>
          <w:tcPr>
            <w:tcW w:w="1577" w:type="dxa"/>
            <w:tcMar>
              <w:left w:w="43" w:type="dxa"/>
              <w:right w:w="43" w:type="dxa"/>
            </w:tcMar>
          </w:tcPr>
          <w:p w:rsidR="00AC7A7D" w:rsidRDefault="00AC7A7D" w:rsidP="002A2456">
            <w:pPr>
              <w:spacing w:after="0"/>
              <w:jc w:val="center"/>
              <w:rPr>
                <w:rFonts w:cs="Arial"/>
                <w:sz w:val="18"/>
                <w:szCs w:val="18"/>
                <w:lang w:val="en-AU"/>
              </w:rPr>
            </w:pPr>
            <w:r w:rsidRPr="00666EF4">
              <w:rPr>
                <w:rFonts w:cs="Arial"/>
                <w:sz w:val="18"/>
                <w:szCs w:val="18"/>
                <w:lang w:val="en-AU"/>
              </w:rPr>
              <w:t>(n=247)</w:t>
            </w:r>
            <w:r w:rsidRPr="00666EF4">
              <w:rPr>
                <w:rFonts w:cs="Arial"/>
                <w:sz w:val="18"/>
                <w:szCs w:val="18"/>
                <w:lang w:val="en-AU"/>
              </w:rPr>
              <w:br/>
              <w:t>117 (47%)</w:t>
            </w:r>
          </w:p>
          <w:p w:rsidR="00544C7B" w:rsidRDefault="00544C7B" w:rsidP="002A2456">
            <w:pPr>
              <w:spacing w:after="0"/>
              <w:jc w:val="center"/>
              <w:rPr>
                <w:rFonts w:cs="Arial"/>
                <w:sz w:val="18"/>
                <w:szCs w:val="18"/>
                <w:lang w:val="en-AU"/>
              </w:rPr>
            </w:pPr>
            <w:r>
              <w:rPr>
                <w:rFonts w:cs="Arial"/>
                <w:sz w:val="18"/>
                <w:szCs w:val="18"/>
                <w:lang w:val="en-AU"/>
              </w:rPr>
              <w:t>[41.0, 53.8]</w:t>
            </w:r>
          </w:p>
          <w:p w:rsidR="00544C7B" w:rsidRDefault="00544C7B" w:rsidP="002A2456">
            <w:pPr>
              <w:spacing w:after="0"/>
              <w:jc w:val="center"/>
              <w:rPr>
                <w:rFonts w:cs="Arial"/>
                <w:sz w:val="18"/>
                <w:szCs w:val="18"/>
                <w:lang w:val="en-AU"/>
              </w:rPr>
            </w:pPr>
            <w:r>
              <w:rPr>
                <w:rFonts w:cs="Arial"/>
                <w:sz w:val="18"/>
                <w:szCs w:val="18"/>
                <w:lang w:val="en-AU"/>
              </w:rPr>
              <w:t>2.9%</w:t>
            </w:r>
          </w:p>
          <w:p w:rsidR="00544C7B" w:rsidRPr="00666EF4" w:rsidRDefault="00544C7B" w:rsidP="002A2456">
            <w:pPr>
              <w:spacing w:after="0"/>
              <w:jc w:val="center"/>
              <w:rPr>
                <w:rFonts w:cs="Arial"/>
                <w:sz w:val="18"/>
                <w:szCs w:val="18"/>
                <w:lang w:val="en-AU"/>
              </w:rPr>
            </w:pPr>
            <w:r>
              <w:rPr>
                <w:rFonts w:cs="Arial"/>
                <w:sz w:val="18"/>
                <w:szCs w:val="18"/>
                <w:lang w:val="en-AU"/>
              </w:rPr>
              <w:t>[-5.9]</w:t>
            </w:r>
          </w:p>
        </w:tc>
        <w:tc>
          <w:tcPr>
            <w:tcW w:w="1577" w:type="dxa"/>
            <w:tcMar>
              <w:left w:w="43" w:type="dxa"/>
              <w:right w:w="43" w:type="dxa"/>
            </w:tcMar>
          </w:tcPr>
          <w:p w:rsidR="00AC7A7D" w:rsidRDefault="00AC7A7D" w:rsidP="002A2456">
            <w:pPr>
              <w:spacing w:after="0"/>
              <w:jc w:val="center"/>
              <w:rPr>
                <w:rFonts w:cs="Arial"/>
                <w:sz w:val="18"/>
                <w:szCs w:val="18"/>
                <w:lang w:val="en-AU"/>
              </w:rPr>
            </w:pPr>
            <w:r w:rsidRPr="00666EF4">
              <w:rPr>
                <w:rFonts w:cs="Arial"/>
                <w:sz w:val="18"/>
                <w:szCs w:val="18"/>
                <w:lang w:val="en-AU"/>
              </w:rPr>
              <w:t>(n=243)</w:t>
            </w:r>
            <w:r w:rsidRPr="00666EF4">
              <w:rPr>
                <w:rFonts w:cs="Arial"/>
                <w:sz w:val="18"/>
                <w:szCs w:val="18"/>
                <w:lang w:val="en-AU"/>
              </w:rPr>
              <w:br/>
              <w:t>108 (44%)</w:t>
            </w:r>
          </w:p>
          <w:p w:rsidR="007523B5" w:rsidRPr="00666EF4" w:rsidRDefault="007523B5" w:rsidP="002A2456">
            <w:pPr>
              <w:spacing w:after="0"/>
              <w:jc w:val="center"/>
              <w:rPr>
                <w:rFonts w:cs="Arial"/>
                <w:sz w:val="18"/>
                <w:szCs w:val="18"/>
                <w:lang w:val="en-AU"/>
              </w:rPr>
            </w:pPr>
            <w:r>
              <w:rPr>
                <w:rFonts w:cs="Arial"/>
                <w:sz w:val="18"/>
                <w:szCs w:val="18"/>
                <w:lang w:val="en-AU"/>
              </w:rPr>
              <w:t>[38.1, 50.9]</w:t>
            </w:r>
          </w:p>
        </w:tc>
      </w:tr>
      <w:tr w:rsidR="00AC7A7D" w:rsidRPr="00666EF4" w:rsidTr="002344C8">
        <w:trPr>
          <w:cantSplit/>
        </w:trPr>
        <w:tc>
          <w:tcPr>
            <w:tcW w:w="3960" w:type="dxa"/>
            <w:tcMar>
              <w:left w:w="43" w:type="dxa"/>
              <w:right w:w="43" w:type="dxa"/>
            </w:tcMar>
          </w:tcPr>
          <w:p w:rsidR="00AC7A7D" w:rsidRDefault="00AC7A7D" w:rsidP="00B1058B">
            <w:pPr>
              <w:spacing w:after="0"/>
              <w:rPr>
                <w:rFonts w:cs="Arial"/>
                <w:sz w:val="18"/>
                <w:szCs w:val="18"/>
                <w:lang w:val="en-AU"/>
              </w:rPr>
            </w:pPr>
            <w:r w:rsidRPr="00666EF4">
              <w:rPr>
                <w:rFonts w:cs="Arial"/>
                <w:sz w:val="18"/>
                <w:szCs w:val="18"/>
                <w:lang w:val="en-AU"/>
              </w:rPr>
              <w:t>35-37 years</w:t>
            </w:r>
          </w:p>
          <w:p w:rsidR="000861E3" w:rsidRDefault="000861E3" w:rsidP="000861E3">
            <w:pPr>
              <w:spacing w:after="0"/>
              <w:rPr>
                <w:rFonts w:cs="Arial"/>
                <w:sz w:val="18"/>
                <w:szCs w:val="18"/>
                <w:lang w:val="en-AU"/>
              </w:rPr>
            </w:pPr>
            <w:r w:rsidRPr="00666EF4">
              <w:rPr>
                <w:rFonts w:cs="Arial"/>
                <w:bCs/>
                <w:sz w:val="18"/>
                <w:szCs w:val="18"/>
                <w:lang w:val="en-AU"/>
              </w:rPr>
              <w:t>Ongoing Pregnancy Rate</w:t>
            </w:r>
          </w:p>
          <w:p w:rsidR="000861E3" w:rsidRPr="00666EF4" w:rsidRDefault="000861E3" w:rsidP="00B1058B">
            <w:pPr>
              <w:spacing w:after="0"/>
              <w:rPr>
                <w:rFonts w:cs="Arial"/>
                <w:sz w:val="18"/>
                <w:szCs w:val="18"/>
                <w:lang w:val="en-AU"/>
              </w:rPr>
            </w:pPr>
          </w:p>
        </w:tc>
        <w:tc>
          <w:tcPr>
            <w:tcW w:w="1576" w:type="dxa"/>
            <w:tcMar>
              <w:left w:w="43" w:type="dxa"/>
              <w:right w:w="43" w:type="dxa"/>
            </w:tcMar>
          </w:tcPr>
          <w:p w:rsidR="00AC7A7D" w:rsidRPr="00666EF4" w:rsidRDefault="00AC7A7D" w:rsidP="002A2456">
            <w:pPr>
              <w:spacing w:after="0"/>
              <w:jc w:val="center"/>
              <w:rPr>
                <w:rFonts w:cs="Arial"/>
                <w:sz w:val="18"/>
                <w:szCs w:val="18"/>
                <w:lang w:val="en-AU"/>
              </w:rPr>
            </w:pPr>
            <w:r w:rsidRPr="00666EF4">
              <w:rPr>
                <w:rFonts w:cs="Arial"/>
                <w:sz w:val="18"/>
                <w:szCs w:val="18"/>
                <w:lang w:val="en-AU"/>
              </w:rPr>
              <w:t>(n=89)</w:t>
            </w:r>
            <w:r w:rsidRPr="00666EF4">
              <w:rPr>
                <w:rFonts w:cs="Arial"/>
                <w:sz w:val="18"/>
                <w:szCs w:val="18"/>
                <w:lang w:val="en-AU"/>
              </w:rPr>
              <w:br/>
              <w:t>27 (30%)</w:t>
            </w:r>
          </w:p>
        </w:tc>
        <w:tc>
          <w:tcPr>
            <w:tcW w:w="1577" w:type="dxa"/>
            <w:tcMar>
              <w:left w:w="43" w:type="dxa"/>
              <w:right w:w="43" w:type="dxa"/>
            </w:tcMar>
          </w:tcPr>
          <w:p w:rsidR="00AC7A7D" w:rsidRPr="00666EF4" w:rsidRDefault="00AC7A7D" w:rsidP="002A2456">
            <w:pPr>
              <w:spacing w:after="0"/>
              <w:jc w:val="center"/>
              <w:rPr>
                <w:rFonts w:cs="Arial"/>
                <w:sz w:val="18"/>
                <w:szCs w:val="18"/>
                <w:lang w:val="en-AU"/>
              </w:rPr>
            </w:pPr>
            <w:r w:rsidRPr="00666EF4">
              <w:rPr>
                <w:rFonts w:cs="Arial"/>
                <w:sz w:val="18"/>
                <w:szCs w:val="18"/>
                <w:lang w:val="en-AU"/>
              </w:rPr>
              <w:t>(n=93)</w:t>
            </w:r>
            <w:r w:rsidRPr="00666EF4">
              <w:rPr>
                <w:rFonts w:cs="Arial"/>
                <w:sz w:val="18"/>
                <w:szCs w:val="18"/>
                <w:lang w:val="en-AU"/>
              </w:rPr>
              <w:br/>
              <w:t>37 (40%)</w:t>
            </w:r>
          </w:p>
        </w:tc>
        <w:tc>
          <w:tcPr>
            <w:tcW w:w="1577" w:type="dxa"/>
            <w:tcMar>
              <w:left w:w="43" w:type="dxa"/>
              <w:right w:w="43" w:type="dxa"/>
            </w:tcMar>
          </w:tcPr>
          <w:p w:rsidR="00AC7A7D" w:rsidRPr="00666EF4" w:rsidRDefault="00AC7A7D" w:rsidP="002A2456">
            <w:pPr>
              <w:spacing w:after="0"/>
              <w:jc w:val="center"/>
              <w:rPr>
                <w:rFonts w:cs="Arial"/>
                <w:sz w:val="18"/>
                <w:szCs w:val="18"/>
                <w:lang w:val="en-AU"/>
              </w:rPr>
            </w:pPr>
            <w:r w:rsidRPr="00666EF4">
              <w:rPr>
                <w:rFonts w:cs="Arial"/>
                <w:sz w:val="18"/>
                <w:szCs w:val="18"/>
                <w:lang w:val="en-AU"/>
              </w:rPr>
              <w:t>(n=98)</w:t>
            </w:r>
            <w:r w:rsidRPr="00666EF4">
              <w:rPr>
                <w:rFonts w:cs="Arial"/>
                <w:sz w:val="18"/>
                <w:szCs w:val="18"/>
                <w:lang w:val="en-AU"/>
              </w:rPr>
              <w:br/>
              <w:t>41 (42%)</w:t>
            </w:r>
          </w:p>
        </w:tc>
      </w:tr>
      <w:tr w:rsidR="00AC7A7D" w:rsidRPr="00666EF4" w:rsidTr="002344C8">
        <w:trPr>
          <w:cantSplit/>
        </w:trPr>
        <w:tc>
          <w:tcPr>
            <w:tcW w:w="3960" w:type="dxa"/>
            <w:tcMar>
              <w:left w:w="43" w:type="dxa"/>
              <w:right w:w="43" w:type="dxa"/>
            </w:tcMar>
          </w:tcPr>
          <w:p w:rsidR="00AC7A7D" w:rsidRDefault="00AC7A7D" w:rsidP="00B1058B">
            <w:pPr>
              <w:spacing w:after="0"/>
              <w:rPr>
                <w:rFonts w:cs="Arial"/>
                <w:sz w:val="18"/>
                <w:szCs w:val="18"/>
                <w:lang w:val="en-AU"/>
              </w:rPr>
            </w:pPr>
            <w:r w:rsidRPr="00666EF4">
              <w:rPr>
                <w:rFonts w:cs="Arial"/>
                <w:sz w:val="18"/>
                <w:szCs w:val="18"/>
                <w:lang w:val="en-AU"/>
              </w:rPr>
              <w:t>38-40 years</w:t>
            </w:r>
          </w:p>
          <w:p w:rsidR="000861E3" w:rsidRDefault="000861E3" w:rsidP="000861E3">
            <w:pPr>
              <w:spacing w:after="0"/>
              <w:rPr>
                <w:rFonts w:cs="Arial"/>
                <w:sz w:val="18"/>
                <w:szCs w:val="18"/>
                <w:lang w:val="en-AU"/>
              </w:rPr>
            </w:pPr>
            <w:r w:rsidRPr="00666EF4">
              <w:rPr>
                <w:rFonts w:cs="Arial"/>
                <w:bCs/>
                <w:sz w:val="18"/>
                <w:szCs w:val="18"/>
                <w:lang w:val="en-AU"/>
              </w:rPr>
              <w:t>Ongoing Pregnancy Rate</w:t>
            </w:r>
          </w:p>
          <w:p w:rsidR="000861E3" w:rsidRPr="00666EF4" w:rsidRDefault="000861E3" w:rsidP="00B1058B">
            <w:pPr>
              <w:spacing w:after="0"/>
              <w:rPr>
                <w:rFonts w:cs="Arial"/>
                <w:sz w:val="18"/>
                <w:szCs w:val="18"/>
                <w:lang w:val="en-AU"/>
              </w:rPr>
            </w:pPr>
          </w:p>
        </w:tc>
        <w:tc>
          <w:tcPr>
            <w:tcW w:w="1576" w:type="dxa"/>
            <w:tcMar>
              <w:left w:w="43" w:type="dxa"/>
              <w:right w:w="43" w:type="dxa"/>
            </w:tcMar>
          </w:tcPr>
          <w:p w:rsidR="00AC7A7D" w:rsidRPr="00666EF4" w:rsidRDefault="00AC7A7D" w:rsidP="002A2456">
            <w:pPr>
              <w:spacing w:after="0"/>
              <w:jc w:val="center"/>
              <w:rPr>
                <w:rFonts w:cs="Arial"/>
                <w:sz w:val="18"/>
                <w:szCs w:val="18"/>
                <w:lang w:val="en-AU"/>
              </w:rPr>
            </w:pPr>
            <w:r w:rsidRPr="00666EF4">
              <w:rPr>
                <w:rFonts w:cs="Arial"/>
                <w:sz w:val="18"/>
                <w:szCs w:val="18"/>
                <w:lang w:val="en-AU"/>
              </w:rPr>
              <w:t>(n=55)</w:t>
            </w:r>
            <w:r w:rsidRPr="00666EF4">
              <w:rPr>
                <w:rFonts w:cs="Arial"/>
                <w:sz w:val="18"/>
                <w:szCs w:val="18"/>
                <w:lang w:val="en-AU"/>
              </w:rPr>
              <w:br/>
              <w:t>16 (29%)</w:t>
            </w:r>
          </w:p>
        </w:tc>
        <w:tc>
          <w:tcPr>
            <w:tcW w:w="1577" w:type="dxa"/>
            <w:tcMar>
              <w:left w:w="43" w:type="dxa"/>
              <w:right w:w="43" w:type="dxa"/>
            </w:tcMar>
          </w:tcPr>
          <w:p w:rsidR="00AC7A7D" w:rsidRPr="00666EF4" w:rsidRDefault="00AC7A7D" w:rsidP="002A2456">
            <w:pPr>
              <w:spacing w:after="0"/>
              <w:jc w:val="center"/>
              <w:rPr>
                <w:rFonts w:cs="Arial"/>
                <w:sz w:val="18"/>
                <w:szCs w:val="18"/>
                <w:lang w:val="en-AU"/>
              </w:rPr>
            </w:pPr>
            <w:r w:rsidRPr="00666EF4">
              <w:rPr>
                <w:rFonts w:cs="Arial"/>
                <w:sz w:val="18"/>
                <w:szCs w:val="18"/>
                <w:lang w:val="en-AU"/>
              </w:rPr>
              <w:t>(n=46)</w:t>
            </w:r>
            <w:r w:rsidRPr="00666EF4">
              <w:rPr>
                <w:rFonts w:cs="Arial"/>
                <w:sz w:val="18"/>
                <w:szCs w:val="18"/>
                <w:lang w:val="en-AU"/>
              </w:rPr>
              <w:br/>
              <w:t>12 (26%)</w:t>
            </w:r>
          </w:p>
        </w:tc>
        <w:tc>
          <w:tcPr>
            <w:tcW w:w="1577" w:type="dxa"/>
            <w:tcMar>
              <w:left w:w="43" w:type="dxa"/>
              <w:right w:w="43" w:type="dxa"/>
            </w:tcMar>
          </w:tcPr>
          <w:p w:rsidR="00AC7A7D" w:rsidRPr="00666EF4" w:rsidRDefault="00AC7A7D" w:rsidP="002A2456">
            <w:pPr>
              <w:spacing w:after="0"/>
              <w:jc w:val="center"/>
              <w:rPr>
                <w:rFonts w:cs="Arial"/>
                <w:sz w:val="18"/>
                <w:szCs w:val="18"/>
                <w:lang w:val="en-AU"/>
              </w:rPr>
            </w:pPr>
            <w:r w:rsidRPr="00666EF4">
              <w:rPr>
                <w:rFonts w:cs="Arial"/>
                <w:sz w:val="18"/>
                <w:szCs w:val="18"/>
                <w:lang w:val="en-AU"/>
              </w:rPr>
              <w:t>(n=53)</w:t>
            </w:r>
            <w:r w:rsidRPr="00666EF4">
              <w:rPr>
                <w:rFonts w:cs="Arial"/>
                <w:sz w:val="18"/>
                <w:szCs w:val="18"/>
                <w:lang w:val="en-AU"/>
              </w:rPr>
              <w:br/>
              <w:t>16 (30%)</w:t>
            </w:r>
          </w:p>
        </w:tc>
      </w:tr>
      <w:tr w:rsidR="00AC7A7D" w:rsidRPr="00666EF4" w:rsidTr="002344C8">
        <w:trPr>
          <w:cantSplit/>
        </w:trPr>
        <w:tc>
          <w:tcPr>
            <w:tcW w:w="3960" w:type="dxa"/>
            <w:tcMar>
              <w:left w:w="43" w:type="dxa"/>
              <w:right w:w="43" w:type="dxa"/>
            </w:tcMar>
          </w:tcPr>
          <w:p w:rsidR="00AC7A7D" w:rsidRDefault="00AC7A7D" w:rsidP="00B1058B">
            <w:pPr>
              <w:spacing w:after="0"/>
              <w:rPr>
                <w:rFonts w:cs="Arial"/>
                <w:sz w:val="18"/>
                <w:szCs w:val="18"/>
                <w:lang w:val="en-AU"/>
              </w:rPr>
            </w:pPr>
            <w:r w:rsidRPr="00666EF4">
              <w:rPr>
                <w:rFonts w:cs="Arial"/>
                <w:sz w:val="18"/>
                <w:szCs w:val="18"/>
                <w:lang w:val="en-AU"/>
              </w:rPr>
              <w:t>41-42 years</w:t>
            </w:r>
          </w:p>
          <w:p w:rsidR="000861E3" w:rsidRDefault="000861E3" w:rsidP="000861E3">
            <w:pPr>
              <w:spacing w:after="0"/>
              <w:rPr>
                <w:rFonts w:cs="Arial"/>
                <w:sz w:val="18"/>
                <w:szCs w:val="18"/>
                <w:lang w:val="en-AU"/>
              </w:rPr>
            </w:pPr>
            <w:r w:rsidRPr="00666EF4">
              <w:rPr>
                <w:rFonts w:cs="Arial"/>
                <w:bCs/>
                <w:sz w:val="18"/>
                <w:szCs w:val="18"/>
                <w:lang w:val="en-AU"/>
              </w:rPr>
              <w:t>Ongoing Pregnancy Rate</w:t>
            </w:r>
          </w:p>
          <w:p w:rsidR="000861E3" w:rsidRPr="00666EF4" w:rsidRDefault="000861E3" w:rsidP="00B1058B">
            <w:pPr>
              <w:spacing w:after="0"/>
              <w:rPr>
                <w:rFonts w:cs="Arial"/>
                <w:sz w:val="18"/>
                <w:szCs w:val="18"/>
                <w:lang w:val="en-AU"/>
              </w:rPr>
            </w:pPr>
          </w:p>
        </w:tc>
        <w:tc>
          <w:tcPr>
            <w:tcW w:w="1576" w:type="dxa"/>
            <w:tcMar>
              <w:left w:w="43" w:type="dxa"/>
              <w:right w:w="43" w:type="dxa"/>
            </w:tcMar>
          </w:tcPr>
          <w:p w:rsidR="00AC7A7D" w:rsidRPr="00666EF4" w:rsidRDefault="00AC7A7D" w:rsidP="002A2456">
            <w:pPr>
              <w:spacing w:after="0"/>
              <w:jc w:val="center"/>
              <w:rPr>
                <w:rFonts w:cs="Arial"/>
                <w:sz w:val="18"/>
                <w:szCs w:val="18"/>
                <w:lang w:val="en-AU"/>
              </w:rPr>
            </w:pPr>
            <w:r w:rsidRPr="00666EF4">
              <w:rPr>
                <w:rFonts w:cs="Arial"/>
                <w:sz w:val="18"/>
                <w:szCs w:val="18"/>
                <w:lang w:val="en-AU"/>
              </w:rPr>
              <w:t>(n=13)</w:t>
            </w:r>
          </w:p>
          <w:p w:rsidR="00AC7A7D" w:rsidRPr="00666EF4" w:rsidRDefault="00AC7A7D" w:rsidP="002A2456">
            <w:pPr>
              <w:spacing w:after="0"/>
              <w:jc w:val="center"/>
              <w:rPr>
                <w:rFonts w:cs="Arial"/>
                <w:sz w:val="18"/>
                <w:szCs w:val="18"/>
                <w:lang w:val="en-AU"/>
              </w:rPr>
            </w:pPr>
            <w:r w:rsidRPr="00666EF4">
              <w:rPr>
                <w:rFonts w:cs="Arial"/>
                <w:sz w:val="18"/>
                <w:szCs w:val="18"/>
                <w:lang w:val="en-AU"/>
              </w:rPr>
              <w:t>2 (15%)</w:t>
            </w:r>
          </w:p>
        </w:tc>
        <w:tc>
          <w:tcPr>
            <w:tcW w:w="1577" w:type="dxa"/>
            <w:tcMar>
              <w:left w:w="43" w:type="dxa"/>
              <w:right w:w="43" w:type="dxa"/>
            </w:tcMar>
          </w:tcPr>
          <w:p w:rsidR="00AC7A7D" w:rsidRPr="00666EF4" w:rsidRDefault="00AC7A7D" w:rsidP="002A2456">
            <w:pPr>
              <w:spacing w:after="0"/>
              <w:jc w:val="center"/>
              <w:rPr>
                <w:rFonts w:cs="Arial"/>
                <w:sz w:val="18"/>
                <w:szCs w:val="18"/>
                <w:lang w:val="en-AU"/>
              </w:rPr>
            </w:pPr>
            <w:r w:rsidRPr="00666EF4">
              <w:rPr>
                <w:rFonts w:cs="Arial"/>
                <w:sz w:val="18"/>
                <w:szCs w:val="18"/>
                <w:lang w:val="en-AU"/>
              </w:rPr>
              <w:t>(n=18)</w:t>
            </w:r>
          </w:p>
          <w:p w:rsidR="00AC7A7D" w:rsidRPr="00666EF4" w:rsidRDefault="00AC7A7D" w:rsidP="002A2456">
            <w:pPr>
              <w:spacing w:after="0"/>
              <w:jc w:val="center"/>
              <w:rPr>
                <w:rFonts w:cs="Arial"/>
                <w:sz w:val="18"/>
                <w:szCs w:val="18"/>
                <w:lang w:val="en-AU"/>
              </w:rPr>
            </w:pPr>
            <w:r w:rsidRPr="00666EF4">
              <w:rPr>
                <w:rFonts w:cs="Arial"/>
                <w:sz w:val="18"/>
                <w:szCs w:val="18"/>
                <w:lang w:val="en-AU"/>
              </w:rPr>
              <w:t>5 (28%)</w:t>
            </w:r>
          </w:p>
        </w:tc>
        <w:tc>
          <w:tcPr>
            <w:tcW w:w="1577" w:type="dxa"/>
            <w:tcMar>
              <w:left w:w="43" w:type="dxa"/>
              <w:right w:w="43" w:type="dxa"/>
            </w:tcMar>
          </w:tcPr>
          <w:p w:rsidR="00AC7A7D" w:rsidRPr="00666EF4" w:rsidRDefault="00AC7A7D" w:rsidP="002A2456">
            <w:pPr>
              <w:spacing w:after="0"/>
              <w:jc w:val="center"/>
              <w:rPr>
                <w:rFonts w:cs="Arial"/>
                <w:sz w:val="18"/>
                <w:szCs w:val="18"/>
                <w:lang w:val="en-AU"/>
              </w:rPr>
            </w:pPr>
            <w:r w:rsidRPr="00666EF4">
              <w:rPr>
                <w:rFonts w:cs="Arial"/>
                <w:sz w:val="18"/>
                <w:szCs w:val="18"/>
                <w:lang w:val="en-AU"/>
              </w:rPr>
              <w:t>(n=9)</w:t>
            </w:r>
            <w:r w:rsidRPr="00666EF4">
              <w:rPr>
                <w:rFonts w:cs="Arial"/>
                <w:sz w:val="18"/>
                <w:szCs w:val="18"/>
                <w:lang w:val="en-AU"/>
              </w:rPr>
              <w:br/>
              <w:t>5 (56%)</w:t>
            </w:r>
          </w:p>
        </w:tc>
      </w:tr>
    </w:tbl>
    <w:p w:rsidR="007C19D8" w:rsidRDefault="007C19D8" w:rsidP="007C19D8">
      <w:pPr>
        <w:rPr>
          <w:lang w:val="en-AU"/>
        </w:rPr>
      </w:pPr>
    </w:p>
    <w:p w:rsidR="000E25D6" w:rsidRDefault="00DA2367" w:rsidP="007C19D8">
      <w:pPr>
        <w:rPr>
          <w:lang w:val="en-AU"/>
        </w:rPr>
      </w:pPr>
      <w:r w:rsidRPr="00DA2367">
        <w:rPr>
          <w:lang w:val="en-AU"/>
        </w:rPr>
        <w:t>E</w:t>
      </w:r>
      <w:r w:rsidRPr="007C19D8">
        <w:t>NDOMETRIN 100 mg TID met the non-inferiority criterion relative to CRINONE 8%, as E</w:t>
      </w:r>
      <w:r w:rsidRPr="00DA2367">
        <w:rPr>
          <w:lang w:val="en-AU"/>
        </w:rPr>
        <w:t>NDOMETRIN TID was well within the 10% lower bound to demonstrate non-inferiority in ongoing pregnancy rate to CRINONE 8%. ENDOMETRIN BID was just above the 10% lower bound in ongoing pregnancy rate</w:t>
      </w:r>
      <w:r w:rsidR="000E25D6">
        <w:rPr>
          <w:lang w:val="en-AU"/>
        </w:rPr>
        <w:t>.</w:t>
      </w:r>
    </w:p>
    <w:p w:rsidR="00694070" w:rsidRPr="00190151" w:rsidRDefault="00694070" w:rsidP="007C19D8">
      <w:pPr>
        <w:rPr>
          <w:lang w:val="en-AU"/>
        </w:rPr>
      </w:pPr>
      <w:r w:rsidRPr="009341F7">
        <w:rPr>
          <w:lang w:val="en-AU"/>
        </w:rPr>
        <w:t xml:space="preserve">Ongoing pregnancy and live birth rates following 10-week </w:t>
      </w:r>
      <w:proofErr w:type="spellStart"/>
      <w:r w:rsidRPr="009341F7">
        <w:rPr>
          <w:lang w:val="en-AU"/>
        </w:rPr>
        <w:t>luteal</w:t>
      </w:r>
      <w:proofErr w:type="spellEnd"/>
      <w:r w:rsidRPr="009341F7">
        <w:rPr>
          <w:lang w:val="en-AU"/>
        </w:rPr>
        <w:t xml:space="preserve"> support with ENDOMETRIN PESSARIES are available from the Phase III clinical trial.  ENDOMETRIN 100 mg </w:t>
      </w:r>
      <w:r w:rsidR="006558BB" w:rsidRPr="009341F7">
        <w:rPr>
          <w:lang w:val="en-AU"/>
        </w:rPr>
        <w:t>BID</w:t>
      </w:r>
      <w:r w:rsidRPr="009341F7">
        <w:rPr>
          <w:lang w:val="en-AU"/>
        </w:rPr>
        <w:t xml:space="preserve"> (N=392) was associated with an ongoing pregnancy rate of 39.8% (95% CI 34.9; 44.9) and a live birth rate of 36.0% (95% CI 31.2; 40.9) in patients who had an embryo transfer.  For ENDOMETRIN 100 mg </w:t>
      </w:r>
      <w:r w:rsidR="006558BB" w:rsidRPr="009341F7">
        <w:rPr>
          <w:lang w:val="en-AU"/>
        </w:rPr>
        <w:t>TID</w:t>
      </w:r>
      <w:r w:rsidRPr="009341F7">
        <w:rPr>
          <w:lang w:val="en-AU"/>
        </w:rPr>
        <w:t xml:space="preserve"> (N=390), the ongoing pregnancy and live birth rates in patients with embryo transfer were 43.8% (95% CI 38.9; 48.9) and 39.5% (95</w:t>
      </w:r>
      <w:r w:rsidR="00326DCA">
        <w:rPr>
          <w:lang w:val="en-AU"/>
        </w:rPr>
        <w:t>% CI 34.6; 44.5), respectively.</w:t>
      </w:r>
    </w:p>
    <w:p w:rsidR="00B22DC5" w:rsidRPr="00190151" w:rsidRDefault="00C5759F" w:rsidP="007C19D8">
      <w:pPr>
        <w:pStyle w:val="Heading2"/>
      </w:pPr>
      <w:r w:rsidRPr="00190151">
        <w:t>INDICATIONS</w:t>
      </w:r>
    </w:p>
    <w:p w:rsidR="00C5759F" w:rsidRDefault="00A155F1" w:rsidP="007C19D8">
      <w:pPr>
        <w:rPr>
          <w:lang w:val="en-AU"/>
        </w:rPr>
      </w:pPr>
      <w:r w:rsidRPr="00190151">
        <w:rPr>
          <w:lang w:val="en-AU"/>
        </w:rPr>
        <w:t>ENDOMETRIN</w:t>
      </w:r>
      <w:r w:rsidR="00C5759F" w:rsidRPr="00190151">
        <w:rPr>
          <w:lang w:val="en-AU"/>
        </w:rPr>
        <w:t xml:space="preserve"> </w:t>
      </w:r>
      <w:r w:rsidR="0027397D">
        <w:rPr>
          <w:lang w:val="en-AU"/>
        </w:rPr>
        <w:t>PESSARIES are</w:t>
      </w:r>
      <w:r w:rsidR="00C5759F" w:rsidRPr="00190151">
        <w:rPr>
          <w:lang w:val="en-AU"/>
        </w:rPr>
        <w:t xml:space="preserve"> indicated for </w:t>
      </w:r>
      <w:proofErr w:type="spellStart"/>
      <w:r w:rsidR="00C5759F" w:rsidRPr="00190151">
        <w:rPr>
          <w:lang w:val="en-AU"/>
        </w:rPr>
        <w:t>luteal</w:t>
      </w:r>
      <w:proofErr w:type="spellEnd"/>
      <w:r w:rsidR="00C5759F" w:rsidRPr="00190151">
        <w:rPr>
          <w:lang w:val="en-AU"/>
        </w:rPr>
        <w:t xml:space="preserve"> support as part of an Assisted Reproductive Technology (ART) treatment program</w:t>
      </w:r>
      <w:r w:rsidR="00190151">
        <w:rPr>
          <w:lang w:val="en-AU"/>
        </w:rPr>
        <w:t>me</w:t>
      </w:r>
      <w:r w:rsidR="00C5759F" w:rsidRPr="00190151">
        <w:rPr>
          <w:lang w:val="en-AU"/>
        </w:rPr>
        <w:t xml:space="preserve"> for infertile women.</w:t>
      </w:r>
    </w:p>
    <w:p w:rsidR="001E7123" w:rsidRPr="00190151" w:rsidRDefault="00757FFC" w:rsidP="007C19D8">
      <w:pPr>
        <w:pStyle w:val="Heading2"/>
      </w:pPr>
      <w:r w:rsidRPr="007C19D8">
        <w:t>CONTRAINDICATION</w:t>
      </w:r>
      <w:r w:rsidRPr="00190151">
        <w:t>S</w:t>
      </w:r>
    </w:p>
    <w:p w:rsidR="00757FFC" w:rsidRPr="00190151" w:rsidRDefault="00757FFC" w:rsidP="007C19D8">
      <w:pPr>
        <w:rPr>
          <w:lang w:val="en-AU"/>
        </w:rPr>
      </w:pPr>
      <w:r w:rsidRPr="00190151">
        <w:rPr>
          <w:lang w:val="en-AU"/>
        </w:rPr>
        <w:t xml:space="preserve">ENDOMETRIN </w:t>
      </w:r>
      <w:r w:rsidR="0027397D">
        <w:rPr>
          <w:lang w:val="en-AU"/>
        </w:rPr>
        <w:t xml:space="preserve">PESSARIES </w:t>
      </w:r>
      <w:r w:rsidRPr="00190151">
        <w:rPr>
          <w:lang w:val="en-AU"/>
        </w:rPr>
        <w:t>should not be used in individuals with any of the following conditions:</w:t>
      </w:r>
    </w:p>
    <w:p w:rsidR="00757FFC" w:rsidRPr="00190151" w:rsidRDefault="00757FFC" w:rsidP="00B1058B">
      <w:pPr>
        <w:pStyle w:val="BodyText"/>
        <w:numPr>
          <w:ilvl w:val="0"/>
          <w:numId w:val="1"/>
        </w:numPr>
        <w:rPr>
          <w:rFonts w:ascii="Arial" w:hAnsi="Arial" w:cs="Arial"/>
          <w:szCs w:val="20"/>
          <w:lang w:val="en-AU"/>
        </w:rPr>
      </w:pPr>
      <w:r w:rsidRPr="00190151">
        <w:rPr>
          <w:rFonts w:ascii="Arial" w:hAnsi="Arial" w:cs="Arial"/>
          <w:szCs w:val="20"/>
          <w:lang w:val="en-AU"/>
        </w:rPr>
        <w:t xml:space="preserve">Hypersensitivity to progesterone or to any of the </w:t>
      </w:r>
      <w:proofErr w:type="spellStart"/>
      <w:r w:rsidRPr="00190151">
        <w:rPr>
          <w:rFonts w:ascii="Arial" w:hAnsi="Arial" w:cs="Arial"/>
          <w:szCs w:val="20"/>
          <w:lang w:val="en-AU"/>
        </w:rPr>
        <w:t>excipients</w:t>
      </w:r>
      <w:proofErr w:type="spellEnd"/>
    </w:p>
    <w:p w:rsidR="00757FFC" w:rsidRPr="00190151" w:rsidRDefault="00757FFC" w:rsidP="00B1058B">
      <w:pPr>
        <w:pStyle w:val="BodyText"/>
        <w:numPr>
          <w:ilvl w:val="0"/>
          <w:numId w:val="1"/>
        </w:numPr>
        <w:rPr>
          <w:rFonts w:ascii="Arial" w:eastAsia="Batang" w:hAnsi="Arial" w:cs="Arial"/>
          <w:szCs w:val="20"/>
          <w:lang w:val="en-AU" w:eastAsia="ko-KR"/>
        </w:rPr>
      </w:pPr>
      <w:r w:rsidRPr="00190151">
        <w:rPr>
          <w:rFonts w:ascii="Arial" w:eastAsia="Batang" w:hAnsi="Arial" w:cs="Arial"/>
          <w:szCs w:val="20"/>
          <w:lang w:val="en-AU" w:eastAsia="ko-KR"/>
        </w:rPr>
        <w:t>Undiagnosed vaginal bleeding</w:t>
      </w:r>
    </w:p>
    <w:p w:rsidR="00757FFC" w:rsidRPr="00190151" w:rsidRDefault="00757FFC" w:rsidP="00B1058B">
      <w:pPr>
        <w:pStyle w:val="BodyText"/>
        <w:numPr>
          <w:ilvl w:val="0"/>
          <w:numId w:val="1"/>
        </w:numPr>
        <w:rPr>
          <w:rFonts w:ascii="Arial" w:hAnsi="Arial" w:cs="Arial"/>
          <w:szCs w:val="20"/>
          <w:lang w:val="en-AU"/>
        </w:rPr>
      </w:pPr>
      <w:r w:rsidRPr="00190151">
        <w:rPr>
          <w:rFonts w:ascii="Arial" w:hAnsi="Arial" w:cs="Arial"/>
          <w:szCs w:val="20"/>
          <w:lang w:val="en-AU"/>
        </w:rPr>
        <w:t>Known missed abortion or ectopic pregnancy</w:t>
      </w:r>
    </w:p>
    <w:p w:rsidR="00757FFC" w:rsidRPr="00190151" w:rsidRDefault="00757FFC" w:rsidP="00B1058B">
      <w:pPr>
        <w:numPr>
          <w:ilvl w:val="0"/>
          <w:numId w:val="1"/>
        </w:numPr>
        <w:spacing w:after="0"/>
        <w:rPr>
          <w:rFonts w:cs="Arial"/>
          <w:szCs w:val="20"/>
          <w:lang w:val="en-AU" w:eastAsia="da-DK"/>
        </w:rPr>
      </w:pPr>
      <w:r w:rsidRPr="00190151">
        <w:rPr>
          <w:rFonts w:cs="Arial"/>
          <w:szCs w:val="20"/>
          <w:lang w:val="en-AU"/>
        </w:rPr>
        <w:t xml:space="preserve">Severe hepatic dysfunction or disease </w:t>
      </w:r>
    </w:p>
    <w:p w:rsidR="00757FFC" w:rsidRPr="00190151" w:rsidRDefault="00757FFC" w:rsidP="00B1058B">
      <w:pPr>
        <w:pStyle w:val="BodyText"/>
        <w:numPr>
          <w:ilvl w:val="0"/>
          <w:numId w:val="1"/>
        </w:numPr>
        <w:rPr>
          <w:rFonts w:ascii="Arial" w:hAnsi="Arial" w:cs="Arial"/>
          <w:szCs w:val="20"/>
          <w:lang w:val="en-AU"/>
        </w:rPr>
      </w:pPr>
      <w:r w:rsidRPr="00190151">
        <w:rPr>
          <w:rFonts w:ascii="Arial" w:hAnsi="Arial" w:cs="Arial"/>
          <w:szCs w:val="20"/>
          <w:lang w:val="en-AU"/>
        </w:rPr>
        <w:t>Known or suspected breast or genital tract cancer</w:t>
      </w:r>
    </w:p>
    <w:p w:rsidR="00757FFC" w:rsidRPr="00190151" w:rsidRDefault="00757FFC" w:rsidP="00B1058B">
      <w:pPr>
        <w:pStyle w:val="BodyText"/>
        <w:numPr>
          <w:ilvl w:val="0"/>
          <w:numId w:val="1"/>
        </w:numPr>
        <w:rPr>
          <w:rFonts w:ascii="Arial" w:hAnsi="Arial" w:cs="Arial"/>
          <w:szCs w:val="20"/>
          <w:lang w:val="en-AU"/>
        </w:rPr>
      </w:pPr>
      <w:r w:rsidRPr="00190151">
        <w:rPr>
          <w:rFonts w:ascii="Arial" w:hAnsi="Arial" w:cs="Arial"/>
          <w:szCs w:val="20"/>
          <w:lang w:val="en-AU"/>
        </w:rPr>
        <w:t xml:space="preserve">Active arterial or venous </w:t>
      </w:r>
      <w:proofErr w:type="spellStart"/>
      <w:r w:rsidRPr="00190151">
        <w:rPr>
          <w:rFonts w:ascii="Arial" w:hAnsi="Arial" w:cs="Arial"/>
          <w:szCs w:val="20"/>
          <w:lang w:val="en-AU"/>
        </w:rPr>
        <w:t>thromboembolism</w:t>
      </w:r>
      <w:proofErr w:type="spellEnd"/>
      <w:r w:rsidRPr="00190151">
        <w:rPr>
          <w:rFonts w:ascii="Arial" w:hAnsi="Arial" w:cs="Arial"/>
          <w:szCs w:val="20"/>
          <w:lang w:val="en-AU"/>
        </w:rPr>
        <w:t xml:space="preserve"> or severe </w:t>
      </w:r>
      <w:proofErr w:type="spellStart"/>
      <w:r w:rsidRPr="00190151">
        <w:rPr>
          <w:rFonts w:ascii="Arial" w:hAnsi="Arial" w:cs="Arial"/>
          <w:szCs w:val="20"/>
          <w:lang w:val="en-AU"/>
        </w:rPr>
        <w:t>thrombophlebitis</w:t>
      </w:r>
      <w:proofErr w:type="spellEnd"/>
      <w:r w:rsidRPr="00190151">
        <w:rPr>
          <w:rFonts w:ascii="Arial" w:hAnsi="Arial" w:cs="Arial"/>
          <w:szCs w:val="20"/>
          <w:lang w:val="en-AU"/>
        </w:rPr>
        <w:t>, or a history of these events</w:t>
      </w:r>
    </w:p>
    <w:p w:rsidR="00757FFC" w:rsidRPr="00190151" w:rsidRDefault="00757FFC" w:rsidP="00B1058B">
      <w:pPr>
        <w:pStyle w:val="BodyText"/>
        <w:numPr>
          <w:ilvl w:val="0"/>
          <w:numId w:val="1"/>
        </w:numPr>
        <w:rPr>
          <w:rFonts w:ascii="Arial" w:hAnsi="Arial" w:cs="Arial"/>
          <w:szCs w:val="20"/>
          <w:lang w:val="en-AU"/>
        </w:rPr>
      </w:pPr>
      <w:proofErr w:type="spellStart"/>
      <w:r w:rsidRPr="00190151">
        <w:rPr>
          <w:rFonts w:ascii="Arial" w:hAnsi="Arial" w:cs="Arial"/>
          <w:szCs w:val="20"/>
          <w:lang w:val="en-AU"/>
        </w:rPr>
        <w:t>Porphyria</w:t>
      </w:r>
      <w:proofErr w:type="spellEnd"/>
      <w:r w:rsidR="002D2564">
        <w:rPr>
          <w:rFonts w:ascii="Arial" w:hAnsi="Arial" w:cs="Arial"/>
          <w:szCs w:val="20"/>
          <w:lang w:val="en-AU"/>
        </w:rPr>
        <w:t>.</w:t>
      </w:r>
    </w:p>
    <w:p w:rsidR="00092A29" w:rsidRPr="00190151" w:rsidRDefault="00092A29" w:rsidP="007C19D8">
      <w:pPr>
        <w:pStyle w:val="Heading2"/>
      </w:pPr>
      <w:r w:rsidRPr="00190151">
        <w:t>PRECAUTIONS</w:t>
      </w:r>
    </w:p>
    <w:p w:rsidR="00092A29" w:rsidRPr="00190151" w:rsidRDefault="005D326B" w:rsidP="007C19D8">
      <w:pPr>
        <w:rPr>
          <w:lang w:val="en-AU"/>
        </w:rPr>
      </w:pPr>
      <w:r w:rsidRPr="00190151">
        <w:rPr>
          <w:lang w:val="en-AU"/>
        </w:rPr>
        <w:t>ENDOMETRIN</w:t>
      </w:r>
      <w:r w:rsidR="00092A29" w:rsidRPr="00190151">
        <w:rPr>
          <w:lang w:val="en-AU"/>
        </w:rPr>
        <w:t xml:space="preserve"> </w:t>
      </w:r>
      <w:r w:rsidR="0027397D">
        <w:rPr>
          <w:lang w:val="en-AU"/>
        </w:rPr>
        <w:t xml:space="preserve">PESSARIES </w:t>
      </w:r>
      <w:r w:rsidR="00092A29" w:rsidRPr="00190151">
        <w:rPr>
          <w:lang w:val="en-AU"/>
        </w:rPr>
        <w:t>should be discontinued if any of the following conditions are suspected:</w:t>
      </w:r>
      <w:r w:rsidR="000E33AE" w:rsidRPr="00190151">
        <w:rPr>
          <w:lang w:val="en-AU"/>
        </w:rPr>
        <w:t xml:space="preserve"> </w:t>
      </w:r>
      <w:r w:rsidR="00092A29" w:rsidRPr="00190151">
        <w:rPr>
          <w:lang w:val="en-AU"/>
        </w:rPr>
        <w:t xml:space="preserve">myocardial infarction, </w:t>
      </w:r>
      <w:proofErr w:type="spellStart"/>
      <w:r w:rsidR="00092A29" w:rsidRPr="00190151">
        <w:rPr>
          <w:lang w:val="en-AU"/>
        </w:rPr>
        <w:t>cerebrovascular</w:t>
      </w:r>
      <w:proofErr w:type="spellEnd"/>
      <w:r w:rsidR="00092A29" w:rsidRPr="00190151">
        <w:rPr>
          <w:lang w:val="en-AU"/>
        </w:rPr>
        <w:t xml:space="preserve"> disorders, arterial or venous </w:t>
      </w:r>
      <w:proofErr w:type="spellStart"/>
      <w:r w:rsidR="00092A29" w:rsidRPr="00190151">
        <w:rPr>
          <w:lang w:val="en-AU"/>
        </w:rPr>
        <w:t>thromboembolism</w:t>
      </w:r>
      <w:proofErr w:type="spellEnd"/>
      <w:r w:rsidR="00092A29" w:rsidRPr="00190151">
        <w:rPr>
          <w:lang w:val="en-AU"/>
        </w:rPr>
        <w:t xml:space="preserve"> (venous </w:t>
      </w:r>
      <w:proofErr w:type="spellStart"/>
      <w:r w:rsidR="00092A29" w:rsidRPr="00190151">
        <w:rPr>
          <w:lang w:val="en-AU"/>
        </w:rPr>
        <w:t>thromboembolism</w:t>
      </w:r>
      <w:proofErr w:type="spellEnd"/>
      <w:r w:rsidR="00092A29" w:rsidRPr="00190151">
        <w:rPr>
          <w:lang w:val="en-AU"/>
        </w:rPr>
        <w:t xml:space="preserve"> or pulmonary embolism), </w:t>
      </w:r>
      <w:proofErr w:type="spellStart"/>
      <w:r w:rsidR="00092A29" w:rsidRPr="00190151">
        <w:rPr>
          <w:lang w:val="en-AU"/>
        </w:rPr>
        <w:t>thromboph</w:t>
      </w:r>
      <w:r w:rsidR="00326DCA">
        <w:rPr>
          <w:lang w:val="en-AU"/>
        </w:rPr>
        <w:t>lebitis</w:t>
      </w:r>
      <w:proofErr w:type="spellEnd"/>
      <w:r w:rsidR="00326DCA">
        <w:rPr>
          <w:lang w:val="en-AU"/>
        </w:rPr>
        <w:t>, or retinal thrombosis.</w:t>
      </w:r>
    </w:p>
    <w:p w:rsidR="00092A29" w:rsidRPr="00190151" w:rsidRDefault="00092A29" w:rsidP="007C19D8">
      <w:pPr>
        <w:rPr>
          <w:lang w:val="en-AU"/>
        </w:rPr>
      </w:pPr>
      <w:proofErr w:type="gramStart"/>
      <w:r w:rsidRPr="00190151">
        <w:rPr>
          <w:lang w:val="en-AU"/>
        </w:rPr>
        <w:t>Cautious use in patients with mild to moderate hepatic dysfunction.</w:t>
      </w:r>
      <w:proofErr w:type="gramEnd"/>
    </w:p>
    <w:p w:rsidR="00092A29" w:rsidRPr="00190151" w:rsidRDefault="00092A29" w:rsidP="007C19D8">
      <w:pPr>
        <w:rPr>
          <w:lang w:val="en-AU"/>
        </w:rPr>
      </w:pPr>
      <w:r w:rsidRPr="00190151">
        <w:rPr>
          <w:lang w:val="en-AU"/>
        </w:rPr>
        <w:t>Patients with a history of depression need to be closely observed. Consider discontinuation if symptoms worsen.</w:t>
      </w:r>
    </w:p>
    <w:p w:rsidR="00092A29" w:rsidRPr="00190151" w:rsidRDefault="00092A29" w:rsidP="007C19D8">
      <w:pPr>
        <w:rPr>
          <w:lang w:val="en-AU"/>
        </w:rPr>
      </w:pPr>
      <w:r w:rsidRPr="00190151">
        <w:rPr>
          <w:lang w:val="en-AU"/>
        </w:rPr>
        <w:lastRenderedPageBreak/>
        <w:t>Because progesterone may cause some degree of fluid retention, conditions that might be influenced by this factor (e.g. epilepsy, migraine, asthma, cardiac or renal dysfunction) require careful observation.</w:t>
      </w:r>
    </w:p>
    <w:p w:rsidR="00092A29" w:rsidRPr="00190151" w:rsidRDefault="00092A29" w:rsidP="007C19D8">
      <w:pPr>
        <w:rPr>
          <w:lang w:val="en-AU"/>
        </w:rPr>
      </w:pPr>
      <w:r w:rsidRPr="00190151">
        <w:rPr>
          <w:lang w:val="en-AU"/>
        </w:rPr>
        <w:t>A decrease in insulin sensitivity and thereby in glucose tolerance has been observed in a small number of patients on oestrogen-</w:t>
      </w:r>
      <w:proofErr w:type="spellStart"/>
      <w:r w:rsidRPr="00190151">
        <w:rPr>
          <w:lang w:val="en-AU"/>
        </w:rPr>
        <w:t>progestogen</w:t>
      </w:r>
      <w:proofErr w:type="spellEnd"/>
      <w:r w:rsidRPr="00190151">
        <w:rPr>
          <w:lang w:val="en-AU"/>
        </w:rPr>
        <w:t xml:space="preserve"> combination drugs. </w:t>
      </w:r>
      <w:r w:rsidR="00B9105B">
        <w:rPr>
          <w:lang w:val="en-AU"/>
        </w:rPr>
        <w:t xml:space="preserve"> </w:t>
      </w:r>
      <w:r w:rsidRPr="00190151">
        <w:rPr>
          <w:lang w:val="en-AU"/>
        </w:rPr>
        <w:t xml:space="preserve">The mechanism of this decrease is not known. </w:t>
      </w:r>
      <w:r w:rsidR="00B9105B">
        <w:rPr>
          <w:lang w:val="en-AU"/>
        </w:rPr>
        <w:t xml:space="preserve"> </w:t>
      </w:r>
      <w:r w:rsidRPr="00190151">
        <w:rPr>
          <w:lang w:val="en-AU"/>
        </w:rPr>
        <w:t>For this reason, diabetic patients should be carefully observed while receiving progesterone therapy.</w:t>
      </w:r>
    </w:p>
    <w:p w:rsidR="00092A29" w:rsidRPr="00190151" w:rsidRDefault="00092A29" w:rsidP="007C19D8">
      <w:pPr>
        <w:rPr>
          <w:lang w:val="en-AU"/>
        </w:rPr>
      </w:pPr>
      <w:r w:rsidRPr="00190151">
        <w:rPr>
          <w:lang w:val="en-AU"/>
        </w:rPr>
        <w:t>Sex steroid use may also increase the risk of retinal vascular lesions.</w:t>
      </w:r>
      <w:r w:rsidR="00B9105B">
        <w:rPr>
          <w:lang w:val="en-AU"/>
        </w:rPr>
        <w:t xml:space="preserve"> </w:t>
      </w:r>
      <w:r w:rsidRPr="00190151">
        <w:rPr>
          <w:lang w:val="en-AU"/>
        </w:rPr>
        <w:t xml:space="preserve"> To prevent these latter complications, caution is to be taken in users &gt;35 years, in smokers, and in those with risk factors for atherosclerosis. </w:t>
      </w:r>
      <w:r w:rsidR="00B9105B">
        <w:rPr>
          <w:lang w:val="en-AU"/>
        </w:rPr>
        <w:t xml:space="preserve"> </w:t>
      </w:r>
      <w:r w:rsidRPr="00190151">
        <w:rPr>
          <w:lang w:val="en-AU"/>
        </w:rPr>
        <w:t xml:space="preserve">Use should be terminated in case of transient ischemic events, appearance of sudden severe headaches, or vision impairments related to papillary </w:t>
      </w:r>
      <w:r w:rsidR="00190151">
        <w:rPr>
          <w:lang w:val="en-AU"/>
        </w:rPr>
        <w:t>o</w:t>
      </w:r>
      <w:r w:rsidRPr="00190151">
        <w:rPr>
          <w:lang w:val="en-AU"/>
        </w:rPr>
        <w:t>edema or retinal h</w:t>
      </w:r>
      <w:r w:rsidR="00190151">
        <w:rPr>
          <w:lang w:val="en-AU"/>
        </w:rPr>
        <w:t>a</w:t>
      </w:r>
      <w:r w:rsidRPr="00190151">
        <w:rPr>
          <w:lang w:val="en-AU"/>
        </w:rPr>
        <w:t>emorrhage.</w:t>
      </w:r>
    </w:p>
    <w:p w:rsidR="00092A29" w:rsidRPr="00190151" w:rsidRDefault="00092A29" w:rsidP="007C19D8">
      <w:pPr>
        <w:rPr>
          <w:lang w:val="en-AU"/>
        </w:rPr>
      </w:pPr>
      <w:r w:rsidRPr="00190151">
        <w:rPr>
          <w:lang w:val="en-AU"/>
        </w:rPr>
        <w:t>Abrupt discontinuation of progesterone dosing may cause increased anxiety, moodiness, and inc</w:t>
      </w:r>
      <w:r w:rsidR="00326DCA">
        <w:rPr>
          <w:lang w:val="en-AU"/>
        </w:rPr>
        <w:t>reased sensibility to seizures.</w:t>
      </w:r>
    </w:p>
    <w:p w:rsidR="00092A29" w:rsidRPr="00190151" w:rsidRDefault="00092A29" w:rsidP="007C19D8">
      <w:pPr>
        <w:rPr>
          <w:lang w:val="en-AU"/>
        </w:rPr>
      </w:pPr>
      <w:r w:rsidRPr="00190151">
        <w:rPr>
          <w:lang w:val="en-AU"/>
        </w:rPr>
        <w:t xml:space="preserve">Before starting treatment with </w:t>
      </w:r>
      <w:r w:rsidR="00AB2420" w:rsidRPr="00190151">
        <w:rPr>
          <w:lang w:val="en-AU"/>
        </w:rPr>
        <w:t>ENDOMETRIN</w:t>
      </w:r>
      <w:r w:rsidRPr="00190151">
        <w:rPr>
          <w:lang w:val="en-AU"/>
        </w:rPr>
        <w:t>, the patient and her partner should be assessed by a doctor for causes of infertility.</w:t>
      </w:r>
    </w:p>
    <w:p w:rsidR="00C76CA2" w:rsidRPr="00B9105B" w:rsidRDefault="00B9105B" w:rsidP="007C19D8">
      <w:pPr>
        <w:pStyle w:val="Heading3"/>
      </w:pPr>
      <w:r w:rsidRPr="00B9105B">
        <w:t>Effects on Fertility</w:t>
      </w:r>
    </w:p>
    <w:p w:rsidR="00B9105B" w:rsidRDefault="002D0C68" w:rsidP="007C19D8">
      <w:pPr>
        <w:rPr>
          <w:lang w:val="en-AU"/>
        </w:rPr>
      </w:pPr>
      <w:r w:rsidRPr="00190151">
        <w:rPr>
          <w:lang w:val="en-AU"/>
        </w:rPr>
        <w:t xml:space="preserve">ENDOMETRIN </w:t>
      </w:r>
      <w:r w:rsidR="009E46D2">
        <w:rPr>
          <w:lang w:val="en-AU"/>
        </w:rPr>
        <w:t>PESSARIES</w:t>
      </w:r>
      <w:r w:rsidRPr="00190151">
        <w:rPr>
          <w:lang w:val="en-AU"/>
        </w:rPr>
        <w:t xml:space="preserve"> are only indicated during the first trimester of pregnancy for use as part of an assisted reproduction (ART) regimen.</w:t>
      </w:r>
      <w:r>
        <w:rPr>
          <w:lang w:val="en-AU"/>
        </w:rPr>
        <w:t xml:space="preserve">  </w:t>
      </w:r>
      <w:r w:rsidR="00B9105B">
        <w:rPr>
          <w:lang w:val="en-AU"/>
        </w:rPr>
        <w:t>The effect of ENDOMETRIN on fertility has not been evaluated in animals.</w:t>
      </w:r>
    </w:p>
    <w:p w:rsidR="00C76CA2" w:rsidRPr="00190151" w:rsidRDefault="00C76CA2" w:rsidP="007C19D8">
      <w:pPr>
        <w:pStyle w:val="Heading3"/>
      </w:pPr>
      <w:r w:rsidRPr="00190151">
        <w:t xml:space="preserve">Use in Pregnancy </w:t>
      </w:r>
      <w:r w:rsidR="00B9105B">
        <w:t xml:space="preserve">(Category </w:t>
      </w:r>
      <w:r w:rsidR="004E1582">
        <w:t>A</w:t>
      </w:r>
      <w:r w:rsidR="00B9105B">
        <w:t>)</w:t>
      </w:r>
    </w:p>
    <w:p w:rsidR="00C76CA2" w:rsidRPr="00190151" w:rsidRDefault="00C76CA2" w:rsidP="007C19D8">
      <w:pPr>
        <w:rPr>
          <w:lang w:val="en-AU"/>
        </w:rPr>
      </w:pPr>
      <w:r w:rsidRPr="00190151">
        <w:rPr>
          <w:lang w:val="en-AU"/>
        </w:rPr>
        <w:t>There is yet limited and inconclusive data on the risk of congenital anomalies, including genital abnormalities in male or female infants, following intraute</w:t>
      </w:r>
      <w:r w:rsidR="00326DCA">
        <w:rPr>
          <w:lang w:val="en-AU"/>
        </w:rPr>
        <w:t>rine exposure during pregnancy.</w:t>
      </w:r>
    </w:p>
    <w:p w:rsidR="00C76CA2" w:rsidRPr="00190151" w:rsidRDefault="00C76CA2" w:rsidP="007C19D8">
      <w:pPr>
        <w:rPr>
          <w:lang w:val="en-AU"/>
        </w:rPr>
      </w:pPr>
      <w:r w:rsidRPr="00190151">
        <w:rPr>
          <w:lang w:val="en-AU"/>
        </w:rPr>
        <w:t xml:space="preserve">In the pivotal trial, the rate of foetal anomalies following 10-week exposure to </w:t>
      </w:r>
      <w:r w:rsidR="00EA7A04" w:rsidRPr="00190151">
        <w:rPr>
          <w:lang w:val="en-AU"/>
        </w:rPr>
        <w:t>ENDOMETRIN</w:t>
      </w:r>
      <w:r w:rsidRPr="00190151">
        <w:rPr>
          <w:lang w:val="en-AU"/>
        </w:rPr>
        <w:t xml:space="preserve"> 100 mg TID was 4.5% in the </w:t>
      </w:r>
      <w:r w:rsidR="00EA7A04" w:rsidRPr="00190151">
        <w:rPr>
          <w:lang w:val="en-AU"/>
        </w:rPr>
        <w:t>ENDOMETRIN</w:t>
      </w:r>
      <w:r w:rsidRPr="00190151">
        <w:rPr>
          <w:lang w:val="en-AU"/>
        </w:rPr>
        <w:t xml:space="preserve"> TID group, a total of 7 cases of foetal anomalies (i.e. oesophageal fistula, underdeveloped right ear with </w:t>
      </w:r>
      <w:proofErr w:type="spellStart"/>
      <w:r w:rsidRPr="00190151">
        <w:rPr>
          <w:lang w:val="en-AU"/>
        </w:rPr>
        <w:t>hypospadias</w:t>
      </w:r>
      <w:proofErr w:type="spellEnd"/>
      <w:r w:rsidRPr="00190151">
        <w:rPr>
          <w:lang w:val="en-AU"/>
        </w:rPr>
        <w:t xml:space="preserve">, small aorta/valvular regurgitation/ deviated septum, hand deformity, cleft palate/cleft lip, hydrocephalus and </w:t>
      </w:r>
      <w:proofErr w:type="spellStart"/>
      <w:r w:rsidRPr="00190151">
        <w:rPr>
          <w:lang w:val="en-AU"/>
        </w:rPr>
        <w:t>holoprosencephaly</w:t>
      </w:r>
      <w:proofErr w:type="spellEnd"/>
      <w:r w:rsidRPr="00190151">
        <w:rPr>
          <w:lang w:val="en-AU"/>
        </w:rPr>
        <w:t>/ proboscis/</w:t>
      </w:r>
      <w:proofErr w:type="spellStart"/>
      <w:r w:rsidRPr="00190151">
        <w:rPr>
          <w:lang w:val="en-AU"/>
        </w:rPr>
        <w:t>polydactylia</w:t>
      </w:r>
      <w:proofErr w:type="spellEnd"/>
      <w:r w:rsidRPr="00190151">
        <w:rPr>
          <w:lang w:val="en-AU"/>
        </w:rPr>
        <w:t>) were seen in 404 patients.</w:t>
      </w:r>
      <w:r w:rsidR="00A0600B">
        <w:rPr>
          <w:lang w:val="en-AU"/>
        </w:rPr>
        <w:t xml:space="preserve"> </w:t>
      </w:r>
      <w:r w:rsidRPr="00190151">
        <w:rPr>
          <w:lang w:val="en-AU"/>
        </w:rPr>
        <w:t xml:space="preserve"> The rate of foetal anomalies observed during the clinical trial is comparable with the event rate described in the general population, although the total exposure is too low to </w:t>
      </w:r>
      <w:r w:rsidR="00326DCA">
        <w:rPr>
          <w:lang w:val="en-AU"/>
        </w:rPr>
        <w:t>allow conclusions to be drawn.</w:t>
      </w:r>
    </w:p>
    <w:p w:rsidR="00C76CA2" w:rsidRPr="00190151" w:rsidRDefault="00C76CA2" w:rsidP="007C19D8">
      <w:pPr>
        <w:rPr>
          <w:lang w:val="en-AU"/>
        </w:rPr>
      </w:pPr>
      <w:r w:rsidRPr="00190151">
        <w:rPr>
          <w:lang w:val="en-AU"/>
        </w:rPr>
        <w:t xml:space="preserve">During the conduct of the pivotal clinical trial, the number of spontaneous abortions and ectopic pregnancies associated with the use of </w:t>
      </w:r>
      <w:r w:rsidR="00EA7A04" w:rsidRPr="00190151">
        <w:rPr>
          <w:lang w:val="en-AU"/>
        </w:rPr>
        <w:t>ENDOMETRIN</w:t>
      </w:r>
      <w:r w:rsidRPr="00190151">
        <w:rPr>
          <w:lang w:val="en-AU"/>
        </w:rPr>
        <w:t xml:space="preserve"> 100 mg TID </w:t>
      </w:r>
      <w:r w:rsidR="00326DCA">
        <w:rPr>
          <w:lang w:val="en-AU"/>
        </w:rPr>
        <w:t>were 5.4% and 1%, respectively.</w:t>
      </w:r>
    </w:p>
    <w:p w:rsidR="00EA7A04" w:rsidRPr="00190151" w:rsidRDefault="00EA7A04" w:rsidP="007C19D8">
      <w:pPr>
        <w:pStyle w:val="Heading3"/>
      </w:pPr>
      <w:r w:rsidRPr="00190151">
        <w:t>Use in Lactation</w:t>
      </w:r>
    </w:p>
    <w:p w:rsidR="00C76CA2" w:rsidRPr="00190151" w:rsidRDefault="00C76CA2" w:rsidP="007C19D8">
      <w:pPr>
        <w:rPr>
          <w:lang w:val="en-AU"/>
        </w:rPr>
      </w:pPr>
      <w:r w:rsidRPr="00190151">
        <w:rPr>
          <w:lang w:val="en-AU"/>
        </w:rPr>
        <w:t xml:space="preserve">Detectable amounts of progesterone have been identified in the milk of mothers. </w:t>
      </w:r>
      <w:r w:rsidR="00A0600B">
        <w:rPr>
          <w:lang w:val="en-AU"/>
        </w:rPr>
        <w:t xml:space="preserve"> </w:t>
      </w:r>
      <w:r w:rsidRPr="00190151">
        <w:rPr>
          <w:lang w:val="en-AU"/>
        </w:rPr>
        <w:t>Therefore</w:t>
      </w:r>
      <w:r w:rsidR="00EA7A04" w:rsidRPr="00190151">
        <w:rPr>
          <w:lang w:val="en-AU"/>
        </w:rPr>
        <w:t>,</w:t>
      </w:r>
      <w:r w:rsidRPr="00190151">
        <w:rPr>
          <w:lang w:val="en-AU"/>
        </w:rPr>
        <w:t xml:space="preserve"> </w:t>
      </w:r>
      <w:r w:rsidR="00EA7A04" w:rsidRPr="00190151">
        <w:rPr>
          <w:lang w:val="en-AU"/>
        </w:rPr>
        <w:t xml:space="preserve">ENDOMETRIN </w:t>
      </w:r>
      <w:r w:rsidRPr="00190151">
        <w:rPr>
          <w:lang w:val="en-AU"/>
        </w:rPr>
        <w:t>shoul</w:t>
      </w:r>
      <w:r w:rsidR="00326DCA">
        <w:rPr>
          <w:lang w:val="en-AU"/>
        </w:rPr>
        <w:t>d not be used during lactation.</w:t>
      </w:r>
    </w:p>
    <w:p w:rsidR="00A0600B" w:rsidRPr="00190151" w:rsidRDefault="00A0600B" w:rsidP="007C19D8">
      <w:pPr>
        <w:pStyle w:val="Heading3"/>
      </w:pPr>
      <w:r>
        <w:t>Paediatric Use</w:t>
      </w:r>
    </w:p>
    <w:p w:rsidR="00A0600B" w:rsidRPr="00190151" w:rsidRDefault="00A0600B" w:rsidP="007C19D8">
      <w:pPr>
        <w:rPr>
          <w:lang w:val="en-AU"/>
        </w:rPr>
      </w:pPr>
      <w:r w:rsidRPr="00190151">
        <w:rPr>
          <w:lang w:val="en-AU"/>
        </w:rPr>
        <w:t>There is no experience in children as there is no relevant indication for use of ENDOMETRIN in children.</w:t>
      </w:r>
    </w:p>
    <w:p w:rsidR="00EA7A04" w:rsidRPr="00190151" w:rsidRDefault="00EA7A04" w:rsidP="007C19D8">
      <w:pPr>
        <w:pStyle w:val="Heading3"/>
      </w:pPr>
      <w:r w:rsidRPr="00190151">
        <w:t xml:space="preserve">Use in </w:t>
      </w:r>
      <w:r w:rsidR="00B1058B">
        <w:t xml:space="preserve">the </w:t>
      </w:r>
      <w:r w:rsidRPr="00190151">
        <w:t>Elderly</w:t>
      </w:r>
    </w:p>
    <w:p w:rsidR="00EA7A04" w:rsidRPr="00190151" w:rsidRDefault="00EA7A04" w:rsidP="007C19D8">
      <w:pPr>
        <w:rPr>
          <w:lang w:val="en-AU"/>
        </w:rPr>
      </w:pPr>
      <w:r w:rsidRPr="00190151">
        <w:rPr>
          <w:lang w:val="en-AU"/>
        </w:rPr>
        <w:t>No clinical data have been collected in patients over age 65.</w:t>
      </w:r>
    </w:p>
    <w:p w:rsidR="00EA7A04" w:rsidRPr="00190151" w:rsidRDefault="00EA7A04" w:rsidP="00B1058B">
      <w:pPr>
        <w:spacing w:after="0"/>
        <w:rPr>
          <w:rFonts w:cs="Arial"/>
          <w:b/>
          <w:szCs w:val="20"/>
          <w:lang w:val="en-AU"/>
        </w:rPr>
      </w:pPr>
      <w:r w:rsidRPr="00190151">
        <w:rPr>
          <w:rFonts w:cs="Arial"/>
          <w:b/>
          <w:szCs w:val="20"/>
          <w:lang w:val="en-AU"/>
        </w:rPr>
        <w:t xml:space="preserve">Use </w:t>
      </w:r>
      <w:r w:rsidRPr="007C19D8">
        <w:rPr>
          <w:rStyle w:val="Heading3Char"/>
        </w:rPr>
        <w:t>in special</w:t>
      </w:r>
      <w:r w:rsidRPr="00190151">
        <w:rPr>
          <w:rFonts w:cs="Arial"/>
          <w:b/>
          <w:szCs w:val="20"/>
          <w:lang w:val="en-AU"/>
        </w:rPr>
        <w:t xml:space="preserve"> populations</w:t>
      </w:r>
    </w:p>
    <w:p w:rsidR="00EA7A04" w:rsidRPr="00190151" w:rsidRDefault="00EA7A04" w:rsidP="007C19D8">
      <w:pPr>
        <w:rPr>
          <w:lang w:val="en-AU"/>
        </w:rPr>
      </w:pPr>
      <w:r w:rsidRPr="00190151">
        <w:rPr>
          <w:lang w:val="en-AU"/>
        </w:rPr>
        <w:t xml:space="preserve">There is no experience with use of </w:t>
      </w:r>
      <w:r w:rsidR="00353C34" w:rsidRPr="00190151">
        <w:rPr>
          <w:lang w:val="en-AU"/>
        </w:rPr>
        <w:t>ENDOMETRIN</w:t>
      </w:r>
      <w:r w:rsidRPr="00190151">
        <w:rPr>
          <w:lang w:val="en-AU"/>
        </w:rPr>
        <w:t xml:space="preserve"> in patients with impaired liver or renal function.</w:t>
      </w:r>
    </w:p>
    <w:p w:rsidR="00A0600B" w:rsidRPr="00A0600B" w:rsidRDefault="00A0600B" w:rsidP="007C19D8">
      <w:pPr>
        <w:pStyle w:val="Heading3"/>
      </w:pPr>
      <w:proofErr w:type="spellStart"/>
      <w:r w:rsidRPr="00A0600B">
        <w:t>Genotoxicity</w:t>
      </w:r>
      <w:proofErr w:type="spellEnd"/>
    </w:p>
    <w:p w:rsidR="004E1582" w:rsidRPr="004E1582" w:rsidRDefault="004E1582" w:rsidP="007C19D8">
      <w:pPr>
        <w:rPr>
          <w:lang w:val="en-AU"/>
        </w:rPr>
      </w:pPr>
      <w:r w:rsidRPr="004E1582">
        <w:rPr>
          <w:lang w:val="en-AU"/>
        </w:rPr>
        <w:t xml:space="preserve">Progesterone did not induce dominant lethal mutations in mice or chromosomal aberrations in </w:t>
      </w:r>
      <w:r w:rsidR="00C62A83">
        <w:rPr>
          <w:lang w:val="en-AU"/>
        </w:rPr>
        <w:t xml:space="preserve">the bone </w:t>
      </w:r>
      <w:r w:rsidR="00F4212B">
        <w:rPr>
          <w:lang w:val="en-AU"/>
        </w:rPr>
        <w:t>m</w:t>
      </w:r>
      <w:r w:rsidR="00C62A83">
        <w:rPr>
          <w:lang w:val="en-AU"/>
        </w:rPr>
        <w:t xml:space="preserve">arrow of </w:t>
      </w:r>
      <w:r w:rsidRPr="004E1582">
        <w:rPr>
          <w:lang w:val="en-AU"/>
        </w:rPr>
        <w:t xml:space="preserve">rats in vivo.  It did not induce chromosomal aberrations or sister </w:t>
      </w:r>
      <w:proofErr w:type="spellStart"/>
      <w:r w:rsidRPr="004E1582">
        <w:rPr>
          <w:lang w:val="en-AU"/>
        </w:rPr>
        <w:t>chromatid</w:t>
      </w:r>
      <w:proofErr w:type="spellEnd"/>
      <w:r w:rsidRPr="004E1582">
        <w:rPr>
          <w:lang w:val="en-AU"/>
        </w:rPr>
        <w:t xml:space="preserve"> exchanges in cultured human cells nor chromosomal aberrations or DNA strand breaks in rodent cells.  </w:t>
      </w:r>
      <w:r w:rsidR="00C62A83">
        <w:rPr>
          <w:lang w:val="en-AU"/>
        </w:rPr>
        <w:t xml:space="preserve">Weak </w:t>
      </w:r>
      <w:proofErr w:type="spellStart"/>
      <w:r w:rsidR="00C62A83">
        <w:rPr>
          <w:lang w:val="en-AU"/>
        </w:rPr>
        <w:t>clastogenic</w:t>
      </w:r>
      <w:proofErr w:type="spellEnd"/>
      <w:r w:rsidR="00C62A83">
        <w:rPr>
          <w:lang w:val="en-AU"/>
        </w:rPr>
        <w:t xml:space="preserve"> activity was found for progesterone in the rat </w:t>
      </w:r>
      <w:proofErr w:type="spellStart"/>
      <w:r w:rsidR="00C62A83">
        <w:rPr>
          <w:lang w:val="en-AU"/>
        </w:rPr>
        <w:t>hepatocyte</w:t>
      </w:r>
      <w:proofErr w:type="spellEnd"/>
      <w:r w:rsidR="00C62A83">
        <w:rPr>
          <w:lang w:val="en-AU"/>
        </w:rPr>
        <w:t xml:space="preserve"> micronucleus test after treatment with a high oral dose (100 mg/kg). </w:t>
      </w:r>
      <w:r w:rsidRPr="004E1582">
        <w:rPr>
          <w:lang w:val="en-AU"/>
        </w:rPr>
        <w:t xml:space="preserve">Studies on transformation of rodent cells </w:t>
      </w:r>
      <w:r w:rsidRPr="00C62A83">
        <w:rPr>
          <w:i/>
          <w:lang w:val="en-AU"/>
        </w:rPr>
        <w:t>in vitro</w:t>
      </w:r>
      <w:r w:rsidRPr="004E1582">
        <w:rPr>
          <w:lang w:val="en-AU"/>
        </w:rPr>
        <w:t xml:space="preserve"> were inconclusive. </w:t>
      </w:r>
      <w:r w:rsidR="00C62A83">
        <w:rPr>
          <w:lang w:val="en-AU"/>
        </w:rPr>
        <w:t xml:space="preserve">Variable results were obtained in the mouse lymphoma </w:t>
      </w:r>
      <w:proofErr w:type="spellStart"/>
      <w:r w:rsidR="00C62A83">
        <w:rPr>
          <w:lang w:val="en-AU"/>
        </w:rPr>
        <w:t>tk</w:t>
      </w:r>
      <w:proofErr w:type="spellEnd"/>
      <w:r w:rsidR="00C62A83">
        <w:rPr>
          <w:lang w:val="en-AU"/>
        </w:rPr>
        <w:t xml:space="preserve"> assay.</w:t>
      </w:r>
      <w:r w:rsidRPr="004E1582">
        <w:rPr>
          <w:lang w:val="en-AU"/>
        </w:rPr>
        <w:t xml:space="preserve"> Progesterone was not mutagenic to bacteria.</w:t>
      </w:r>
    </w:p>
    <w:p w:rsidR="00A0600B" w:rsidRPr="004E1582" w:rsidRDefault="00CC06F3" w:rsidP="007C19D8">
      <w:pPr>
        <w:pStyle w:val="Heading3"/>
      </w:pPr>
      <w:r>
        <w:br w:type="page"/>
      </w:r>
      <w:r w:rsidR="00A0600B" w:rsidRPr="004E1582">
        <w:lastRenderedPageBreak/>
        <w:t>Carcinogenicity</w:t>
      </w:r>
    </w:p>
    <w:p w:rsidR="004E1582" w:rsidRPr="004E1582" w:rsidRDefault="004E1582" w:rsidP="007C19D8">
      <w:pPr>
        <w:rPr>
          <w:lang w:val="en-AU"/>
        </w:rPr>
      </w:pPr>
      <w:r w:rsidRPr="004E1582">
        <w:rPr>
          <w:lang w:val="en-AU"/>
        </w:rPr>
        <w:t xml:space="preserve">Progesterone has been shown to induce/promote the formation of ovarian, uterine, mammary, and genital tract tumours in animals. </w:t>
      </w:r>
      <w:r>
        <w:rPr>
          <w:lang w:val="en-AU"/>
        </w:rPr>
        <w:t xml:space="preserve"> </w:t>
      </w:r>
      <w:r w:rsidRPr="004E1582">
        <w:rPr>
          <w:lang w:val="en-AU"/>
        </w:rPr>
        <w:t>The clinical relevance of these findings is unknown.</w:t>
      </w:r>
      <w:r>
        <w:rPr>
          <w:lang w:val="en-AU"/>
        </w:rPr>
        <w:t xml:space="preserve">  </w:t>
      </w:r>
      <w:r w:rsidRPr="004E1582">
        <w:rPr>
          <w:lang w:val="en-AU"/>
        </w:rPr>
        <w:t>Literature data provides no indication of potential carcinogenicity in humans.</w:t>
      </w:r>
      <w:r>
        <w:rPr>
          <w:lang w:val="en-AU"/>
        </w:rPr>
        <w:t xml:space="preserve">  </w:t>
      </w:r>
      <w:r w:rsidRPr="004E1582">
        <w:rPr>
          <w:lang w:val="en-AU"/>
        </w:rPr>
        <w:t>The exposure to women is relatively short and use of progesterone as part of an assisted reproduction regimen (ART) is regarded as replacement therapy</w:t>
      </w:r>
      <w:r>
        <w:rPr>
          <w:lang w:val="en-AU"/>
        </w:rPr>
        <w:t>.</w:t>
      </w:r>
    </w:p>
    <w:p w:rsidR="005474C0" w:rsidRPr="00190151" w:rsidRDefault="005474C0" w:rsidP="007C19D8">
      <w:pPr>
        <w:pStyle w:val="Heading3"/>
        <w:rPr>
          <w:snapToGrid w:val="0"/>
        </w:rPr>
      </w:pPr>
      <w:r w:rsidRPr="00190151">
        <w:rPr>
          <w:snapToGrid w:val="0"/>
        </w:rPr>
        <w:t>Effects on ability to drive and use machines</w:t>
      </w:r>
    </w:p>
    <w:p w:rsidR="005474C0" w:rsidRPr="00190151" w:rsidRDefault="005474C0" w:rsidP="007C19D8">
      <w:pPr>
        <w:rPr>
          <w:lang w:val="en-AU"/>
        </w:rPr>
      </w:pPr>
      <w:r w:rsidRPr="00190151">
        <w:rPr>
          <w:lang w:val="en-AU"/>
        </w:rPr>
        <w:t>ENDOMETRIN has minor or moderate influence on the ability to drive and use machines. Progesterone may cause drowsiness and/or dizziness; therefore caution is advised in drivers and users of machines.</w:t>
      </w:r>
    </w:p>
    <w:p w:rsidR="00EA7A04" w:rsidRPr="00190151" w:rsidRDefault="005474C0" w:rsidP="007C19D8">
      <w:pPr>
        <w:pStyle w:val="Heading2"/>
      </w:pPr>
      <w:r w:rsidRPr="00190151">
        <w:t>INTERACTIONS WITH OTHER MEDICINES</w:t>
      </w:r>
    </w:p>
    <w:p w:rsidR="00EA7A04" w:rsidRPr="00190151" w:rsidRDefault="00EA7A04" w:rsidP="007C19D8">
      <w:pPr>
        <w:rPr>
          <w:lang w:val="en-AU"/>
        </w:rPr>
      </w:pPr>
      <w:r w:rsidRPr="00190151">
        <w:rPr>
          <w:lang w:val="en-AU"/>
        </w:rPr>
        <w:t>Drugs known to induce the hepatic cytochrome-P450-3A4 system (</w:t>
      </w:r>
      <w:r w:rsidR="009C459D" w:rsidRPr="00190151">
        <w:rPr>
          <w:lang w:val="en-AU"/>
        </w:rPr>
        <w:t>such as</w:t>
      </w:r>
      <w:r w:rsidRPr="00190151">
        <w:rPr>
          <w:lang w:val="en-AU"/>
        </w:rPr>
        <w:t xml:space="preserve"> </w:t>
      </w:r>
      <w:proofErr w:type="spellStart"/>
      <w:r w:rsidRPr="00190151">
        <w:rPr>
          <w:lang w:val="en-AU"/>
        </w:rPr>
        <w:t>rifampicin</w:t>
      </w:r>
      <w:proofErr w:type="spellEnd"/>
      <w:r w:rsidRPr="00190151">
        <w:rPr>
          <w:lang w:val="en-AU"/>
        </w:rPr>
        <w:t xml:space="preserve">, </w:t>
      </w:r>
      <w:proofErr w:type="spellStart"/>
      <w:r w:rsidRPr="00190151">
        <w:rPr>
          <w:lang w:val="en-AU"/>
        </w:rPr>
        <w:t>carbamazepine</w:t>
      </w:r>
      <w:proofErr w:type="spellEnd"/>
      <w:r w:rsidRPr="00190151">
        <w:rPr>
          <w:lang w:val="en-AU"/>
        </w:rPr>
        <w:t xml:space="preserve"> </w:t>
      </w:r>
      <w:r w:rsidR="009C459D" w:rsidRPr="00190151">
        <w:rPr>
          <w:lang w:val="en-AU"/>
        </w:rPr>
        <w:t>and also herbal products containing</w:t>
      </w:r>
      <w:r w:rsidRPr="00190151">
        <w:rPr>
          <w:lang w:val="en-AU"/>
        </w:rPr>
        <w:t xml:space="preserve"> </w:t>
      </w:r>
      <w:smartTag w:uri="urn:schemas-microsoft-com:office:smarttags" w:element="PlaceName">
        <w:smartTag w:uri="urn:schemas-microsoft-com:office:smarttags" w:element="place">
          <w:r w:rsidRPr="00190151">
            <w:rPr>
              <w:lang w:val="en-AU"/>
            </w:rPr>
            <w:t>St. John’s</w:t>
          </w:r>
        </w:smartTag>
      </w:smartTag>
      <w:r w:rsidRPr="00190151">
        <w:rPr>
          <w:lang w:val="en-AU"/>
        </w:rPr>
        <w:t xml:space="preserve"> </w:t>
      </w:r>
      <w:proofErr w:type="spellStart"/>
      <w:r w:rsidRPr="00190151">
        <w:rPr>
          <w:lang w:val="en-AU"/>
        </w:rPr>
        <w:t>wort</w:t>
      </w:r>
      <w:proofErr w:type="spellEnd"/>
      <w:r w:rsidRPr="00190151">
        <w:rPr>
          <w:lang w:val="en-AU"/>
        </w:rPr>
        <w:t xml:space="preserve"> (</w:t>
      </w:r>
      <w:proofErr w:type="spellStart"/>
      <w:r w:rsidRPr="00190151">
        <w:rPr>
          <w:i/>
          <w:lang w:val="en-AU"/>
        </w:rPr>
        <w:t>Hypericum</w:t>
      </w:r>
      <w:proofErr w:type="spellEnd"/>
      <w:r w:rsidRPr="00190151">
        <w:rPr>
          <w:i/>
          <w:lang w:val="en-AU"/>
        </w:rPr>
        <w:t xml:space="preserve"> </w:t>
      </w:r>
      <w:proofErr w:type="spellStart"/>
      <w:r w:rsidRPr="00190151">
        <w:rPr>
          <w:i/>
          <w:lang w:val="en-AU"/>
        </w:rPr>
        <w:t>perforatum</w:t>
      </w:r>
      <w:proofErr w:type="spellEnd"/>
      <w:r w:rsidRPr="00190151">
        <w:rPr>
          <w:lang w:val="en-AU"/>
        </w:rPr>
        <w:t>)</w:t>
      </w:r>
      <w:r w:rsidR="009C459D" w:rsidRPr="00190151">
        <w:rPr>
          <w:lang w:val="en-AU"/>
        </w:rPr>
        <w:t>)</w:t>
      </w:r>
      <w:r w:rsidRPr="00190151">
        <w:rPr>
          <w:lang w:val="en-AU"/>
        </w:rPr>
        <w:t xml:space="preserve"> may increase the elimination rate and thereby decrease the b</w:t>
      </w:r>
      <w:r w:rsidR="00326DCA">
        <w:rPr>
          <w:lang w:val="en-AU"/>
        </w:rPr>
        <w:t>ioavailability of progesterone.</w:t>
      </w:r>
    </w:p>
    <w:p w:rsidR="00EA7A04" w:rsidRPr="00190151" w:rsidRDefault="00E61F61" w:rsidP="007C19D8">
      <w:pPr>
        <w:rPr>
          <w:lang w:val="en-AU"/>
        </w:rPr>
      </w:pPr>
      <w:proofErr w:type="spellStart"/>
      <w:r>
        <w:rPr>
          <w:lang w:val="en-AU"/>
        </w:rPr>
        <w:t>K</w:t>
      </w:r>
      <w:r w:rsidR="00EA7A04" w:rsidRPr="00190151">
        <w:rPr>
          <w:lang w:val="en-AU"/>
        </w:rPr>
        <w:t>etoconazole</w:t>
      </w:r>
      <w:proofErr w:type="spellEnd"/>
      <w:r w:rsidR="00EA7A04" w:rsidRPr="00190151">
        <w:rPr>
          <w:lang w:val="en-AU"/>
        </w:rPr>
        <w:t xml:space="preserve"> and other inhibitors of </w:t>
      </w:r>
      <w:proofErr w:type="spellStart"/>
      <w:r w:rsidR="00EA7A04" w:rsidRPr="00190151">
        <w:rPr>
          <w:lang w:val="en-AU"/>
        </w:rPr>
        <w:t>cytochrome</w:t>
      </w:r>
      <w:proofErr w:type="spellEnd"/>
      <w:r w:rsidR="00EA7A04" w:rsidRPr="00190151">
        <w:rPr>
          <w:lang w:val="en-AU"/>
        </w:rPr>
        <w:t xml:space="preserve"> P450-3A4 may </w:t>
      </w:r>
      <w:r>
        <w:rPr>
          <w:lang w:val="en-AU"/>
        </w:rPr>
        <w:t xml:space="preserve">increase the </w:t>
      </w:r>
      <w:r w:rsidR="00EA7A04" w:rsidRPr="00190151">
        <w:rPr>
          <w:lang w:val="en-AU"/>
        </w:rPr>
        <w:t>bioavailability of progesterone.</w:t>
      </w:r>
    </w:p>
    <w:p w:rsidR="00EA7A04" w:rsidRPr="00190151" w:rsidRDefault="00EA7A04" w:rsidP="007C19D8">
      <w:pPr>
        <w:rPr>
          <w:lang w:val="en-AU"/>
        </w:rPr>
      </w:pPr>
      <w:r w:rsidRPr="00190151">
        <w:rPr>
          <w:lang w:val="en-AU"/>
        </w:rPr>
        <w:t xml:space="preserve">The effect of concomitant vaginal products on the exposure of progesterone from ENDOMETRIN </w:t>
      </w:r>
      <w:r w:rsidR="0027397D">
        <w:rPr>
          <w:lang w:val="en-AU"/>
        </w:rPr>
        <w:t xml:space="preserve">PESSARIES </w:t>
      </w:r>
      <w:r w:rsidRPr="00190151">
        <w:rPr>
          <w:lang w:val="en-AU"/>
        </w:rPr>
        <w:t>has not been assessed.  ENDOMETRIN is not recommended for use with other vaginal products (such as antifungal products) as this may alter progesterone release and absorption from the vaginal tablet.</w:t>
      </w:r>
    </w:p>
    <w:p w:rsidR="00B86F42" w:rsidRPr="00190151" w:rsidRDefault="00B86F42" w:rsidP="007C19D8">
      <w:pPr>
        <w:pStyle w:val="Heading2"/>
        <w:rPr>
          <w:snapToGrid w:val="0"/>
        </w:rPr>
      </w:pPr>
      <w:r w:rsidRPr="00190151">
        <w:t>ADVERSE EFFECTS</w:t>
      </w:r>
    </w:p>
    <w:p w:rsidR="00B86F42" w:rsidRPr="00190151" w:rsidRDefault="00B86F42" w:rsidP="007C19D8">
      <w:pPr>
        <w:rPr>
          <w:lang w:val="en-AU"/>
        </w:rPr>
      </w:pPr>
      <w:r w:rsidRPr="00190151">
        <w:rPr>
          <w:lang w:val="en-AU"/>
        </w:rPr>
        <w:t>The most frequently reported adverse drug reactions during treatment with ENDOMETRIN</w:t>
      </w:r>
      <w:r w:rsidR="0027397D">
        <w:rPr>
          <w:lang w:val="en-AU"/>
        </w:rPr>
        <w:t xml:space="preserve"> PESSARIES</w:t>
      </w:r>
      <w:r w:rsidRPr="00190151">
        <w:rPr>
          <w:lang w:val="en-AU"/>
        </w:rPr>
        <w:t xml:space="preserve"> in IVF patients during clinical trials are headache, </w:t>
      </w:r>
      <w:proofErr w:type="spellStart"/>
      <w:r w:rsidRPr="00190151">
        <w:rPr>
          <w:lang w:val="en-AU"/>
        </w:rPr>
        <w:t>vulvovaginal</w:t>
      </w:r>
      <w:proofErr w:type="spellEnd"/>
      <w:r w:rsidRPr="00190151">
        <w:rPr>
          <w:lang w:val="en-AU"/>
        </w:rPr>
        <w:t xml:space="preserve"> disorders and uterine spasm, reported in 1.5%, 1.5% and 1.4% subjects, respectively. The table below </w:t>
      </w:r>
      <w:r w:rsidR="004D614D" w:rsidRPr="00190151">
        <w:rPr>
          <w:lang w:val="en-AU"/>
        </w:rPr>
        <w:t xml:space="preserve">(Table 3) </w:t>
      </w:r>
      <w:r w:rsidRPr="00190151">
        <w:rPr>
          <w:lang w:val="en-AU"/>
        </w:rPr>
        <w:t xml:space="preserve">displays the main adverse drug reactions in women treated with </w:t>
      </w:r>
      <w:r w:rsidR="00252EBD" w:rsidRPr="00190151">
        <w:rPr>
          <w:lang w:val="en-AU"/>
        </w:rPr>
        <w:t>ENDOMETRIN</w:t>
      </w:r>
      <w:r w:rsidRPr="00190151">
        <w:rPr>
          <w:lang w:val="en-AU"/>
        </w:rPr>
        <w:t xml:space="preserve"> in the clinical trial distributed by system organ classes (SOCs) and frequency.</w:t>
      </w:r>
    </w:p>
    <w:p w:rsidR="004D614D" w:rsidRDefault="004D614D" w:rsidP="00B1058B">
      <w:pPr>
        <w:spacing w:after="0"/>
        <w:rPr>
          <w:rFonts w:cs="Arial"/>
          <w:b/>
          <w:sz w:val="18"/>
          <w:szCs w:val="18"/>
          <w:lang w:val="en-AU"/>
        </w:rPr>
      </w:pPr>
      <w:r w:rsidRPr="00B7076B">
        <w:rPr>
          <w:rFonts w:cs="Arial"/>
          <w:b/>
          <w:sz w:val="18"/>
          <w:szCs w:val="18"/>
          <w:lang w:val="en-AU"/>
        </w:rPr>
        <w:t>Table 3: Main adverse drug reactions in women treated with ENDOMETRIN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7"/>
        <w:gridCol w:w="2197"/>
        <w:gridCol w:w="2197"/>
        <w:gridCol w:w="2198"/>
      </w:tblGrid>
      <w:tr w:rsidR="00252EBD" w:rsidRPr="00190151" w:rsidTr="00C810B0">
        <w:tc>
          <w:tcPr>
            <w:tcW w:w="2197" w:type="dxa"/>
          </w:tcPr>
          <w:p w:rsidR="00252EBD" w:rsidRPr="00190151" w:rsidRDefault="00252EBD" w:rsidP="00B1058B">
            <w:pPr>
              <w:spacing w:after="0"/>
              <w:rPr>
                <w:rFonts w:eastAsia="Times New Roman" w:cs="Arial"/>
                <w:b/>
                <w:sz w:val="18"/>
                <w:szCs w:val="18"/>
                <w:lang w:val="en-AU"/>
              </w:rPr>
            </w:pPr>
            <w:r w:rsidRPr="00190151">
              <w:rPr>
                <w:rFonts w:eastAsia="Times New Roman" w:cs="Arial"/>
                <w:b/>
                <w:sz w:val="18"/>
                <w:szCs w:val="18"/>
                <w:lang w:val="en-AU"/>
              </w:rPr>
              <w:t>System Organ Class (SOC)</w:t>
            </w:r>
          </w:p>
        </w:tc>
        <w:tc>
          <w:tcPr>
            <w:tcW w:w="2197" w:type="dxa"/>
          </w:tcPr>
          <w:p w:rsidR="00252EBD" w:rsidRPr="00190151" w:rsidRDefault="00252EBD" w:rsidP="00326DCA">
            <w:pPr>
              <w:spacing w:after="0"/>
              <w:rPr>
                <w:rFonts w:eastAsia="Times New Roman" w:cs="Arial"/>
                <w:sz w:val="18"/>
                <w:szCs w:val="18"/>
                <w:lang w:val="en-AU"/>
              </w:rPr>
            </w:pPr>
            <w:r w:rsidRPr="00190151">
              <w:rPr>
                <w:rFonts w:eastAsia="Times New Roman" w:cs="Arial"/>
                <w:b/>
                <w:sz w:val="18"/>
                <w:szCs w:val="18"/>
                <w:lang w:val="en-AU"/>
              </w:rPr>
              <w:t xml:space="preserve">Common </w:t>
            </w:r>
            <w:r w:rsidRPr="00190151">
              <w:rPr>
                <w:rFonts w:eastAsia="Times New Roman" w:cs="Arial"/>
                <w:b/>
                <w:sz w:val="18"/>
                <w:szCs w:val="18"/>
                <w:lang w:val="en-AU"/>
              </w:rPr>
              <w:br/>
            </w:r>
            <w:r w:rsidR="000E25D6">
              <w:rPr>
                <w:rFonts w:eastAsia="Times New Roman" w:cs="Arial"/>
                <w:b/>
                <w:sz w:val="18"/>
                <w:szCs w:val="18"/>
                <w:lang w:val="en-AU"/>
              </w:rPr>
              <w:t>(</w:t>
            </w:r>
            <w:r w:rsidR="00326DCA">
              <w:rPr>
                <w:rFonts w:eastAsia="Times New Roman" w:cs="Arial"/>
                <w:b/>
                <w:sz w:val="18"/>
                <w:szCs w:val="18"/>
                <w:lang w:val="en-AU"/>
              </w:rPr>
              <w:sym w:font="Symbol" w:char="F0B3"/>
            </w:r>
            <w:r w:rsidRPr="00190151">
              <w:rPr>
                <w:rFonts w:eastAsia="Times New Roman" w:cs="Arial"/>
                <w:b/>
                <w:sz w:val="18"/>
                <w:szCs w:val="18"/>
                <w:lang w:val="en-AU"/>
              </w:rPr>
              <w:t>1/100 and &lt; 1/10)</w:t>
            </w:r>
          </w:p>
        </w:tc>
        <w:tc>
          <w:tcPr>
            <w:tcW w:w="2197" w:type="dxa"/>
          </w:tcPr>
          <w:p w:rsidR="00252EBD" w:rsidRPr="00190151" w:rsidRDefault="00252EBD" w:rsidP="00326DCA">
            <w:pPr>
              <w:spacing w:after="0"/>
              <w:rPr>
                <w:rFonts w:eastAsia="Times New Roman" w:cs="Arial"/>
                <w:sz w:val="18"/>
                <w:szCs w:val="18"/>
                <w:lang w:val="en-AU"/>
              </w:rPr>
            </w:pPr>
            <w:r w:rsidRPr="00190151">
              <w:rPr>
                <w:rFonts w:eastAsia="Times New Roman" w:cs="Arial"/>
                <w:b/>
                <w:sz w:val="18"/>
                <w:szCs w:val="18"/>
                <w:lang w:val="en-AU"/>
              </w:rPr>
              <w:t>Uncommon</w:t>
            </w:r>
            <w:r w:rsidRPr="00190151">
              <w:rPr>
                <w:rFonts w:eastAsia="Times New Roman" w:cs="Arial"/>
                <w:b/>
                <w:sz w:val="18"/>
                <w:szCs w:val="18"/>
                <w:lang w:val="en-AU"/>
              </w:rPr>
              <w:br/>
            </w:r>
            <w:r w:rsidR="000E25D6">
              <w:rPr>
                <w:rFonts w:eastAsia="Times New Roman" w:cs="Arial"/>
                <w:b/>
                <w:sz w:val="18"/>
                <w:szCs w:val="18"/>
                <w:lang w:val="en-AU"/>
              </w:rPr>
              <w:t>(</w:t>
            </w:r>
            <w:r w:rsidR="00326DCA">
              <w:rPr>
                <w:rFonts w:eastAsia="Times New Roman" w:cs="Arial"/>
                <w:b/>
                <w:sz w:val="18"/>
                <w:szCs w:val="18"/>
                <w:lang w:val="en-AU"/>
              </w:rPr>
              <w:sym w:font="Symbol" w:char="F0B3"/>
            </w:r>
            <w:r w:rsidRPr="00190151">
              <w:rPr>
                <w:rFonts w:eastAsia="Times New Roman" w:cs="Arial"/>
                <w:b/>
                <w:sz w:val="18"/>
                <w:szCs w:val="18"/>
                <w:lang w:val="en-AU"/>
              </w:rPr>
              <w:t>1/1000 and &lt; 1/100)</w:t>
            </w:r>
          </w:p>
        </w:tc>
        <w:tc>
          <w:tcPr>
            <w:tcW w:w="2198" w:type="dxa"/>
          </w:tcPr>
          <w:p w:rsidR="00252EBD" w:rsidRPr="00190151" w:rsidRDefault="00252EBD" w:rsidP="00B1058B">
            <w:pPr>
              <w:spacing w:after="0"/>
              <w:rPr>
                <w:rFonts w:eastAsia="Times New Roman" w:cs="Arial"/>
                <w:b/>
                <w:sz w:val="18"/>
                <w:szCs w:val="18"/>
                <w:lang w:val="en-AU"/>
              </w:rPr>
            </w:pPr>
            <w:r w:rsidRPr="00190151">
              <w:rPr>
                <w:rFonts w:eastAsia="Times New Roman" w:cs="Arial"/>
                <w:b/>
                <w:sz w:val="18"/>
                <w:szCs w:val="18"/>
                <w:lang w:val="en-AU"/>
              </w:rPr>
              <w:t>Unknown***</w:t>
            </w:r>
          </w:p>
        </w:tc>
      </w:tr>
      <w:tr w:rsidR="00252EBD" w:rsidRPr="00190151" w:rsidTr="00C810B0">
        <w:tc>
          <w:tcPr>
            <w:tcW w:w="2197"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Nervous system disorders</w:t>
            </w:r>
          </w:p>
          <w:p w:rsidR="00252EBD" w:rsidRPr="00190151" w:rsidRDefault="00252EBD" w:rsidP="00B1058B">
            <w:pPr>
              <w:spacing w:after="0"/>
              <w:rPr>
                <w:rFonts w:eastAsia="Times New Roman" w:cs="Arial"/>
                <w:sz w:val="18"/>
                <w:szCs w:val="18"/>
                <w:lang w:val="en-AU"/>
              </w:rPr>
            </w:pPr>
          </w:p>
        </w:tc>
        <w:tc>
          <w:tcPr>
            <w:tcW w:w="2197"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Headache</w:t>
            </w:r>
          </w:p>
        </w:tc>
        <w:tc>
          <w:tcPr>
            <w:tcW w:w="2197"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Dizziness, Insomnia</w:t>
            </w:r>
          </w:p>
        </w:tc>
        <w:tc>
          <w:tcPr>
            <w:tcW w:w="2198"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Fatigue</w:t>
            </w:r>
          </w:p>
        </w:tc>
      </w:tr>
      <w:tr w:rsidR="00252EBD" w:rsidRPr="00190151" w:rsidTr="00C810B0">
        <w:tc>
          <w:tcPr>
            <w:tcW w:w="2197"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Gastrointestinal disorders</w:t>
            </w:r>
          </w:p>
        </w:tc>
        <w:tc>
          <w:tcPr>
            <w:tcW w:w="2197"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Abdominal distension, Abdominal pain</w:t>
            </w:r>
          </w:p>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Nausea</w:t>
            </w:r>
          </w:p>
          <w:p w:rsidR="00252EBD" w:rsidRPr="00190151" w:rsidRDefault="00252EBD" w:rsidP="00B1058B">
            <w:pPr>
              <w:spacing w:after="0"/>
              <w:rPr>
                <w:rFonts w:eastAsia="Times New Roman" w:cs="Arial"/>
                <w:sz w:val="18"/>
                <w:szCs w:val="18"/>
                <w:lang w:val="en-AU"/>
              </w:rPr>
            </w:pPr>
          </w:p>
        </w:tc>
        <w:tc>
          <w:tcPr>
            <w:tcW w:w="2197"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 xml:space="preserve">Diarrhoea </w:t>
            </w:r>
          </w:p>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Constipation</w:t>
            </w:r>
          </w:p>
        </w:tc>
        <w:tc>
          <w:tcPr>
            <w:tcW w:w="2198"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Vomiting</w:t>
            </w:r>
          </w:p>
        </w:tc>
      </w:tr>
      <w:tr w:rsidR="00252EBD" w:rsidRPr="00190151" w:rsidTr="00C810B0">
        <w:tc>
          <w:tcPr>
            <w:tcW w:w="2197"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Skin and subcutaneous tissue disorders</w:t>
            </w:r>
          </w:p>
          <w:p w:rsidR="00252EBD" w:rsidRPr="00190151" w:rsidRDefault="00252EBD" w:rsidP="00B1058B">
            <w:pPr>
              <w:spacing w:after="0"/>
              <w:rPr>
                <w:rFonts w:eastAsia="Times New Roman" w:cs="Arial"/>
                <w:sz w:val="18"/>
                <w:szCs w:val="18"/>
                <w:lang w:val="en-AU"/>
              </w:rPr>
            </w:pPr>
          </w:p>
        </w:tc>
        <w:tc>
          <w:tcPr>
            <w:tcW w:w="2197" w:type="dxa"/>
          </w:tcPr>
          <w:p w:rsidR="00252EBD" w:rsidRPr="00190151" w:rsidRDefault="00252EBD" w:rsidP="00B1058B">
            <w:pPr>
              <w:spacing w:after="0"/>
              <w:rPr>
                <w:rFonts w:eastAsia="Times New Roman" w:cs="Arial"/>
                <w:sz w:val="18"/>
                <w:szCs w:val="18"/>
                <w:lang w:val="en-AU"/>
              </w:rPr>
            </w:pPr>
          </w:p>
        </w:tc>
        <w:tc>
          <w:tcPr>
            <w:tcW w:w="2197" w:type="dxa"/>
          </w:tcPr>
          <w:p w:rsidR="00252EBD" w:rsidRPr="00190151" w:rsidRDefault="00252EBD" w:rsidP="00B1058B">
            <w:pPr>
              <w:spacing w:after="0"/>
              <w:rPr>
                <w:rFonts w:eastAsia="Times New Roman" w:cs="Arial"/>
                <w:sz w:val="18"/>
                <w:szCs w:val="18"/>
                <w:lang w:val="en-AU"/>
              </w:rPr>
            </w:pPr>
            <w:proofErr w:type="spellStart"/>
            <w:r w:rsidRPr="00190151">
              <w:rPr>
                <w:rFonts w:eastAsia="Times New Roman" w:cs="Arial"/>
                <w:sz w:val="18"/>
                <w:szCs w:val="18"/>
                <w:lang w:val="en-AU"/>
              </w:rPr>
              <w:t>Urticaria</w:t>
            </w:r>
            <w:proofErr w:type="spellEnd"/>
          </w:p>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Rash</w:t>
            </w:r>
          </w:p>
        </w:tc>
        <w:tc>
          <w:tcPr>
            <w:tcW w:w="2198"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Hypersensitivity reactions</w:t>
            </w:r>
          </w:p>
        </w:tc>
      </w:tr>
      <w:tr w:rsidR="00252EBD" w:rsidRPr="00190151" w:rsidTr="00C810B0">
        <w:tc>
          <w:tcPr>
            <w:tcW w:w="2197"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Reproductive system and breast disorders</w:t>
            </w:r>
          </w:p>
        </w:tc>
        <w:tc>
          <w:tcPr>
            <w:tcW w:w="2197" w:type="dxa"/>
          </w:tcPr>
          <w:p w:rsidR="00450E6D" w:rsidRPr="00190151" w:rsidRDefault="00252EBD" w:rsidP="00450E6D">
            <w:pPr>
              <w:spacing w:after="0"/>
              <w:rPr>
                <w:rFonts w:eastAsia="Times New Roman" w:cs="Arial"/>
                <w:sz w:val="18"/>
                <w:szCs w:val="18"/>
                <w:lang w:val="en-AU"/>
              </w:rPr>
            </w:pPr>
            <w:r w:rsidRPr="00190151">
              <w:rPr>
                <w:rFonts w:eastAsia="Times New Roman" w:cs="Arial"/>
                <w:sz w:val="18"/>
                <w:szCs w:val="18"/>
                <w:lang w:val="en-AU"/>
              </w:rPr>
              <w:t>Uterine spasm</w:t>
            </w:r>
            <w:r w:rsidR="00450E6D" w:rsidRPr="00190151">
              <w:rPr>
                <w:rFonts w:eastAsia="Times New Roman" w:cs="Arial"/>
                <w:sz w:val="18"/>
                <w:szCs w:val="18"/>
                <w:lang w:val="en-AU"/>
              </w:rPr>
              <w:t xml:space="preserve"> </w:t>
            </w:r>
            <w:proofErr w:type="spellStart"/>
            <w:r w:rsidR="00450E6D" w:rsidRPr="00190151">
              <w:rPr>
                <w:rFonts w:eastAsia="Times New Roman" w:cs="Arial"/>
                <w:sz w:val="18"/>
                <w:szCs w:val="18"/>
                <w:lang w:val="en-AU"/>
              </w:rPr>
              <w:t>Vulvovaginal</w:t>
            </w:r>
            <w:proofErr w:type="spellEnd"/>
            <w:r w:rsidR="00450E6D" w:rsidRPr="00190151">
              <w:rPr>
                <w:rFonts w:eastAsia="Times New Roman" w:cs="Arial"/>
                <w:sz w:val="18"/>
                <w:szCs w:val="18"/>
                <w:lang w:val="en-AU"/>
              </w:rPr>
              <w:t xml:space="preserve"> disorders*</w:t>
            </w:r>
          </w:p>
          <w:p w:rsidR="00252EBD" w:rsidRPr="00190151" w:rsidRDefault="00252EBD" w:rsidP="00B1058B">
            <w:pPr>
              <w:spacing w:after="0"/>
              <w:rPr>
                <w:rFonts w:eastAsia="Times New Roman" w:cs="Arial"/>
                <w:sz w:val="18"/>
                <w:szCs w:val="18"/>
                <w:lang w:val="en-AU"/>
              </w:rPr>
            </w:pPr>
          </w:p>
        </w:tc>
        <w:tc>
          <w:tcPr>
            <w:tcW w:w="2197"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Vaginal mycosis</w:t>
            </w:r>
          </w:p>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Breast disorders**</w:t>
            </w:r>
          </w:p>
          <w:p w:rsidR="00252EBD" w:rsidRPr="00190151" w:rsidRDefault="00252EBD" w:rsidP="00B1058B">
            <w:pPr>
              <w:spacing w:after="0"/>
              <w:rPr>
                <w:rFonts w:eastAsia="Times New Roman" w:cs="Arial"/>
                <w:sz w:val="18"/>
                <w:szCs w:val="18"/>
                <w:lang w:val="en-AU"/>
              </w:rPr>
            </w:pPr>
            <w:proofErr w:type="spellStart"/>
            <w:r w:rsidRPr="00190151">
              <w:rPr>
                <w:rFonts w:eastAsia="Times New Roman" w:cs="Arial"/>
                <w:sz w:val="18"/>
                <w:szCs w:val="18"/>
                <w:lang w:val="en-AU"/>
              </w:rPr>
              <w:t>Pruritus</w:t>
            </w:r>
            <w:proofErr w:type="spellEnd"/>
            <w:r w:rsidRPr="00190151">
              <w:rPr>
                <w:rFonts w:eastAsia="Times New Roman" w:cs="Arial"/>
                <w:sz w:val="18"/>
                <w:szCs w:val="18"/>
                <w:lang w:val="en-AU"/>
              </w:rPr>
              <w:t xml:space="preserve"> genital</w:t>
            </w:r>
          </w:p>
          <w:p w:rsidR="00252EBD" w:rsidRPr="00190151" w:rsidRDefault="00252EBD" w:rsidP="00B1058B">
            <w:pPr>
              <w:spacing w:after="0"/>
              <w:rPr>
                <w:rFonts w:eastAsia="Times New Roman" w:cs="Arial"/>
                <w:sz w:val="18"/>
                <w:szCs w:val="18"/>
                <w:lang w:val="en-AU"/>
              </w:rPr>
            </w:pPr>
          </w:p>
        </w:tc>
        <w:tc>
          <w:tcPr>
            <w:tcW w:w="2198" w:type="dxa"/>
          </w:tcPr>
          <w:p w:rsidR="00252EBD" w:rsidRPr="00190151" w:rsidRDefault="00252EBD" w:rsidP="00B1058B">
            <w:pPr>
              <w:spacing w:after="0"/>
              <w:rPr>
                <w:rFonts w:eastAsia="Times New Roman" w:cs="Arial"/>
                <w:sz w:val="18"/>
                <w:szCs w:val="18"/>
                <w:lang w:val="en-AU"/>
              </w:rPr>
            </w:pPr>
          </w:p>
        </w:tc>
      </w:tr>
      <w:tr w:rsidR="00252EBD" w:rsidRPr="00190151" w:rsidTr="00C810B0">
        <w:tc>
          <w:tcPr>
            <w:tcW w:w="2197"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General disorders and administration site conditions</w:t>
            </w:r>
          </w:p>
          <w:p w:rsidR="00252EBD" w:rsidRPr="00190151" w:rsidRDefault="00252EBD" w:rsidP="00B1058B">
            <w:pPr>
              <w:spacing w:after="0"/>
              <w:rPr>
                <w:rFonts w:eastAsia="Times New Roman" w:cs="Arial"/>
                <w:sz w:val="18"/>
                <w:szCs w:val="18"/>
                <w:lang w:val="en-AU"/>
              </w:rPr>
            </w:pPr>
          </w:p>
        </w:tc>
        <w:tc>
          <w:tcPr>
            <w:tcW w:w="2197" w:type="dxa"/>
          </w:tcPr>
          <w:p w:rsidR="00252EBD" w:rsidRPr="00190151" w:rsidRDefault="00252EBD" w:rsidP="00B1058B">
            <w:pPr>
              <w:spacing w:after="0"/>
              <w:rPr>
                <w:rFonts w:eastAsia="Times New Roman" w:cs="Arial"/>
                <w:sz w:val="18"/>
                <w:szCs w:val="18"/>
                <w:lang w:val="en-AU"/>
              </w:rPr>
            </w:pPr>
          </w:p>
        </w:tc>
        <w:tc>
          <w:tcPr>
            <w:tcW w:w="2197" w:type="dxa"/>
          </w:tcPr>
          <w:p w:rsidR="00252EBD" w:rsidRPr="00190151" w:rsidRDefault="00252EBD" w:rsidP="00B1058B">
            <w:pPr>
              <w:spacing w:after="0"/>
              <w:rPr>
                <w:rFonts w:eastAsia="Times New Roman" w:cs="Arial"/>
                <w:sz w:val="18"/>
                <w:szCs w:val="18"/>
                <w:lang w:val="en-AU"/>
              </w:rPr>
            </w:pPr>
            <w:r w:rsidRPr="00190151">
              <w:rPr>
                <w:rFonts w:eastAsia="Times New Roman" w:cs="Arial"/>
                <w:sz w:val="18"/>
                <w:szCs w:val="18"/>
                <w:lang w:val="en-AU"/>
              </w:rPr>
              <w:t>Oedema peripheral</w:t>
            </w:r>
          </w:p>
        </w:tc>
        <w:tc>
          <w:tcPr>
            <w:tcW w:w="2198" w:type="dxa"/>
          </w:tcPr>
          <w:p w:rsidR="00252EBD" w:rsidRPr="00190151" w:rsidRDefault="00252EBD" w:rsidP="00B1058B">
            <w:pPr>
              <w:spacing w:after="0"/>
              <w:rPr>
                <w:rFonts w:eastAsia="Times New Roman" w:cs="Arial"/>
                <w:sz w:val="18"/>
                <w:szCs w:val="18"/>
                <w:lang w:val="en-AU"/>
              </w:rPr>
            </w:pPr>
          </w:p>
        </w:tc>
      </w:tr>
    </w:tbl>
    <w:p w:rsidR="00B86F42" w:rsidRPr="002B7FCF" w:rsidRDefault="00B86F42" w:rsidP="00B1058B">
      <w:pPr>
        <w:spacing w:after="0"/>
        <w:rPr>
          <w:rFonts w:cs="Arial"/>
          <w:sz w:val="16"/>
          <w:szCs w:val="16"/>
          <w:lang w:val="en-AU"/>
        </w:rPr>
      </w:pPr>
      <w:r w:rsidRPr="002B7FCF">
        <w:rPr>
          <w:rFonts w:cs="Arial"/>
          <w:sz w:val="16"/>
          <w:szCs w:val="16"/>
          <w:lang w:val="en-AU"/>
        </w:rPr>
        <w:t xml:space="preserve">* </w:t>
      </w:r>
      <w:proofErr w:type="spellStart"/>
      <w:r w:rsidRPr="002B7FCF">
        <w:rPr>
          <w:rFonts w:cs="Arial"/>
          <w:sz w:val="16"/>
          <w:szCs w:val="16"/>
          <w:lang w:val="en-AU"/>
        </w:rPr>
        <w:t>Vulvovaginal</w:t>
      </w:r>
      <w:proofErr w:type="spellEnd"/>
      <w:r w:rsidRPr="002B7FCF">
        <w:rPr>
          <w:rFonts w:cs="Arial"/>
          <w:sz w:val="16"/>
          <w:szCs w:val="16"/>
          <w:lang w:val="en-AU"/>
        </w:rPr>
        <w:t xml:space="preserve"> disorders such as </w:t>
      </w:r>
      <w:proofErr w:type="spellStart"/>
      <w:r w:rsidRPr="002B7FCF">
        <w:rPr>
          <w:rFonts w:cs="Arial"/>
          <w:sz w:val="16"/>
          <w:szCs w:val="16"/>
          <w:lang w:val="en-AU"/>
        </w:rPr>
        <w:t>vulvovaginal</w:t>
      </w:r>
      <w:proofErr w:type="spellEnd"/>
      <w:r w:rsidRPr="002B7FCF">
        <w:rPr>
          <w:rFonts w:cs="Arial"/>
          <w:sz w:val="16"/>
          <w:szCs w:val="16"/>
          <w:lang w:val="en-AU"/>
        </w:rPr>
        <w:t xml:space="preserve"> discomfort, vaginal burning sensation, vaginal discharge, </w:t>
      </w:r>
      <w:proofErr w:type="spellStart"/>
      <w:r w:rsidRPr="002B7FCF">
        <w:rPr>
          <w:rFonts w:cs="Arial"/>
          <w:sz w:val="16"/>
          <w:szCs w:val="16"/>
          <w:lang w:val="en-AU"/>
        </w:rPr>
        <w:t>vulvovaginal</w:t>
      </w:r>
      <w:proofErr w:type="spellEnd"/>
      <w:r w:rsidRPr="002B7FCF">
        <w:rPr>
          <w:rFonts w:cs="Arial"/>
          <w:sz w:val="16"/>
          <w:szCs w:val="16"/>
          <w:lang w:val="en-AU"/>
        </w:rPr>
        <w:t xml:space="preserve"> dryness and vaginal haemorrhage</w:t>
      </w:r>
      <w:r w:rsidR="000E25D6" w:rsidRPr="002B7FCF">
        <w:rPr>
          <w:rFonts w:cs="Arial"/>
          <w:sz w:val="16"/>
          <w:szCs w:val="16"/>
          <w:lang w:val="en-AU"/>
        </w:rPr>
        <w:t>.</w:t>
      </w:r>
      <w:r w:rsidRPr="002B7FCF">
        <w:rPr>
          <w:rFonts w:cs="Arial"/>
          <w:sz w:val="16"/>
          <w:szCs w:val="16"/>
          <w:lang w:val="en-AU"/>
        </w:rPr>
        <w:t>** Breast disorders, such as breast pain, breast swelling and breast tenderness have been reported in the clinical trial as single cases, with cumulative reporting frequency of 0.4%.</w:t>
      </w:r>
    </w:p>
    <w:p w:rsidR="00252EBD" w:rsidRPr="002B7FCF" w:rsidRDefault="00252EBD" w:rsidP="00B1058B">
      <w:pPr>
        <w:spacing w:after="0"/>
        <w:rPr>
          <w:rFonts w:cs="Arial"/>
          <w:sz w:val="16"/>
          <w:szCs w:val="16"/>
          <w:lang w:val="en-AU"/>
        </w:rPr>
      </w:pPr>
      <w:r w:rsidRPr="002B7FCF">
        <w:rPr>
          <w:rFonts w:cs="Arial"/>
          <w:sz w:val="16"/>
          <w:szCs w:val="16"/>
          <w:lang w:val="en-AU"/>
        </w:rPr>
        <w:t>***Cases seen during post marketing experience.</w:t>
      </w:r>
    </w:p>
    <w:p w:rsidR="009B13BA" w:rsidRPr="00190151" w:rsidRDefault="009B13BA" w:rsidP="007C19D8">
      <w:pPr>
        <w:pStyle w:val="Heading2"/>
      </w:pPr>
      <w:r w:rsidRPr="00190151">
        <w:t>DOSAGE AND ADMINISTRATION</w:t>
      </w:r>
    </w:p>
    <w:p w:rsidR="00A0600B" w:rsidRDefault="005A6B0C" w:rsidP="007C19D8">
      <w:pPr>
        <w:rPr>
          <w:lang w:val="en-AU"/>
        </w:rPr>
      </w:pPr>
      <w:r w:rsidRPr="00190151">
        <w:rPr>
          <w:lang w:val="en-AU"/>
        </w:rPr>
        <w:t xml:space="preserve">The dose of ENDOMETRIN </w:t>
      </w:r>
      <w:r w:rsidR="0027397D">
        <w:rPr>
          <w:lang w:val="en-AU"/>
        </w:rPr>
        <w:t xml:space="preserve">PESSARIES </w:t>
      </w:r>
      <w:r w:rsidRPr="00190151">
        <w:rPr>
          <w:lang w:val="en-AU"/>
        </w:rPr>
        <w:t>is 100 mg administered vaginally three times dai</w:t>
      </w:r>
      <w:r w:rsidR="006B3B23" w:rsidRPr="00190151">
        <w:rPr>
          <w:lang w:val="en-AU"/>
        </w:rPr>
        <w:t xml:space="preserve">ly starting at </w:t>
      </w:r>
      <w:proofErr w:type="spellStart"/>
      <w:r w:rsidR="006B3B23" w:rsidRPr="00190151">
        <w:rPr>
          <w:lang w:val="en-AU"/>
        </w:rPr>
        <w:t>oocyte</w:t>
      </w:r>
      <w:proofErr w:type="spellEnd"/>
      <w:r w:rsidR="006B3B23" w:rsidRPr="00190151">
        <w:rPr>
          <w:lang w:val="en-AU"/>
        </w:rPr>
        <w:t xml:space="preserve"> retrieval and continuing for up to 10 weeks total duration (or 12 weeks of gestation).</w:t>
      </w:r>
    </w:p>
    <w:p w:rsidR="001568B7" w:rsidRPr="006C4DF4" w:rsidRDefault="006C4DF4" w:rsidP="007C19D8">
      <w:r w:rsidRPr="006C4DF4">
        <w:t xml:space="preserve">ENDOMETRIN administered into the </w:t>
      </w:r>
      <w:r w:rsidR="00D446E8">
        <w:t xml:space="preserve">vagina </w:t>
      </w:r>
      <w:r w:rsidRPr="006C4DF4">
        <w:t xml:space="preserve">BID and TID </w:t>
      </w:r>
      <w:r w:rsidR="00D446E8">
        <w:t xml:space="preserve">dosing </w:t>
      </w:r>
      <w:r w:rsidRPr="006C4DF4">
        <w:t>ha</w:t>
      </w:r>
      <w:r w:rsidR="00D446E8">
        <w:t xml:space="preserve">ve both </w:t>
      </w:r>
      <w:r w:rsidRPr="006C4DF4">
        <w:t xml:space="preserve">been shown to be efficacious. </w:t>
      </w:r>
      <w:r>
        <w:t xml:space="preserve"> </w:t>
      </w:r>
      <w:r w:rsidRPr="006C4DF4">
        <w:t xml:space="preserve">However specific populations may derive greater benefits from BID or TID dosing regimen and the clinician can tailor treatment to the patient. </w:t>
      </w:r>
      <w:r>
        <w:t xml:space="preserve"> </w:t>
      </w:r>
      <w:r w:rsidRPr="006C4DF4">
        <w:t>For women &lt;</w:t>
      </w:r>
      <w:r w:rsidR="00D446E8">
        <w:t xml:space="preserve"> </w:t>
      </w:r>
      <w:r w:rsidRPr="006C4DF4">
        <w:t xml:space="preserve">35 years of age and those </w:t>
      </w:r>
      <w:r w:rsidRPr="006C4DF4">
        <w:lastRenderedPageBreak/>
        <w:t xml:space="preserve">patients with adequate ovarian reserve, ENDOMETRIN BID would be the appropriate dose. </w:t>
      </w:r>
      <w:r>
        <w:t xml:space="preserve"> </w:t>
      </w:r>
      <w:r w:rsidRPr="006C4DF4">
        <w:t>For patients aged 35 and older and those with diminished ovarian reserve, TID dosing would be the preferred regimen.</w:t>
      </w:r>
      <w:r>
        <w:t xml:space="preserve"> </w:t>
      </w:r>
      <w:r w:rsidRPr="006C4DF4">
        <w:t xml:space="preserve"> Serum progesterone levels may be measured 7 days post </w:t>
      </w:r>
      <w:proofErr w:type="spellStart"/>
      <w:r w:rsidRPr="006C4DF4">
        <w:t>fertili</w:t>
      </w:r>
      <w:r w:rsidR="00D446E8">
        <w:t>s</w:t>
      </w:r>
      <w:r w:rsidRPr="006C4DF4">
        <w:t>ation</w:t>
      </w:r>
      <w:proofErr w:type="spellEnd"/>
      <w:r w:rsidRPr="006C4DF4">
        <w:t xml:space="preserve"> and used to guide therapy.</w:t>
      </w:r>
    </w:p>
    <w:p w:rsidR="001568B7" w:rsidRPr="00190151" w:rsidRDefault="001568B7" w:rsidP="007C19D8">
      <w:pPr>
        <w:rPr>
          <w:snapToGrid w:val="0"/>
          <w:lang w:val="en-AU"/>
        </w:rPr>
      </w:pPr>
      <w:r w:rsidRPr="00190151">
        <w:rPr>
          <w:snapToGrid w:val="0"/>
          <w:lang w:val="en-AU"/>
        </w:rPr>
        <w:t>ENDOMETRIN is to be placed directly into the vagina by the applicator provided.</w:t>
      </w:r>
    </w:p>
    <w:p w:rsidR="001568B7" w:rsidRPr="00190151" w:rsidRDefault="001568B7" w:rsidP="00B1058B">
      <w:pPr>
        <w:pStyle w:val="ListParagraph"/>
        <w:numPr>
          <w:ilvl w:val="0"/>
          <w:numId w:val="3"/>
        </w:numPr>
        <w:spacing w:after="0"/>
        <w:rPr>
          <w:rFonts w:cs="Arial"/>
          <w:snapToGrid w:val="0"/>
          <w:szCs w:val="20"/>
          <w:lang w:val="en-AU"/>
        </w:rPr>
      </w:pPr>
      <w:proofErr w:type="gramStart"/>
      <w:r w:rsidRPr="00190151">
        <w:rPr>
          <w:rFonts w:cs="Arial"/>
          <w:snapToGrid w:val="0"/>
          <w:szCs w:val="20"/>
          <w:lang w:val="en-AU"/>
        </w:rPr>
        <w:t>Unwrap</w:t>
      </w:r>
      <w:proofErr w:type="gramEnd"/>
      <w:r w:rsidRPr="00190151">
        <w:rPr>
          <w:rFonts w:cs="Arial"/>
          <w:snapToGrid w:val="0"/>
          <w:szCs w:val="20"/>
          <w:lang w:val="en-AU"/>
        </w:rPr>
        <w:t xml:space="preserve"> the applicator.</w:t>
      </w:r>
    </w:p>
    <w:p w:rsidR="001568B7" w:rsidRPr="00190151" w:rsidRDefault="001568B7" w:rsidP="00B1058B">
      <w:pPr>
        <w:pStyle w:val="ListParagraph"/>
        <w:numPr>
          <w:ilvl w:val="0"/>
          <w:numId w:val="3"/>
        </w:numPr>
        <w:spacing w:after="0"/>
        <w:rPr>
          <w:rFonts w:cs="Arial"/>
          <w:snapToGrid w:val="0"/>
          <w:szCs w:val="20"/>
          <w:lang w:val="en-AU"/>
        </w:rPr>
      </w:pPr>
      <w:r w:rsidRPr="00190151">
        <w:rPr>
          <w:rFonts w:cs="Arial"/>
          <w:snapToGrid w:val="0"/>
          <w:szCs w:val="20"/>
          <w:lang w:val="en-AU"/>
        </w:rPr>
        <w:t xml:space="preserve">Put one tablet in the space provided at the end of the applicator. </w:t>
      </w:r>
      <w:r w:rsidR="009C4CED">
        <w:rPr>
          <w:rFonts w:cs="Arial"/>
          <w:snapToGrid w:val="0"/>
          <w:szCs w:val="20"/>
          <w:lang w:val="en-AU"/>
        </w:rPr>
        <w:t xml:space="preserve"> </w:t>
      </w:r>
      <w:r w:rsidRPr="00190151">
        <w:rPr>
          <w:rFonts w:cs="Arial"/>
          <w:snapToGrid w:val="0"/>
          <w:szCs w:val="20"/>
          <w:lang w:val="en-AU"/>
        </w:rPr>
        <w:t>The tablet should fit securely and not fall out.</w:t>
      </w:r>
    </w:p>
    <w:p w:rsidR="001568B7" w:rsidRPr="00190151" w:rsidRDefault="001568B7" w:rsidP="00B1058B">
      <w:pPr>
        <w:pStyle w:val="ListParagraph"/>
        <w:numPr>
          <w:ilvl w:val="0"/>
          <w:numId w:val="3"/>
        </w:numPr>
        <w:spacing w:after="0"/>
        <w:rPr>
          <w:rFonts w:cs="Arial"/>
          <w:snapToGrid w:val="0"/>
          <w:szCs w:val="20"/>
          <w:lang w:val="en-AU"/>
        </w:rPr>
      </w:pPr>
      <w:r w:rsidRPr="00190151">
        <w:rPr>
          <w:rFonts w:cs="Arial"/>
          <w:snapToGrid w:val="0"/>
          <w:szCs w:val="20"/>
          <w:lang w:val="en-AU"/>
        </w:rPr>
        <w:t>The applicator with the tablet may be inserted into the vagina while you are standing, sitting or when lying on your back with your knees bent.  Gently insert the thin end of the applicator well into the vagina.</w:t>
      </w:r>
    </w:p>
    <w:p w:rsidR="001568B7" w:rsidRPr="00190151" w:rsidRDefault="001568B7" w:rsidP="00B1058B">
      <w:pPr>
        <w:pStyle w:val="ListParagraph"/>
        <w:numPr>
          <w:ilvl w:val="0"/>
          <w:numId w:val="3"/>
        </w:numPr>
        <w:spacing w:after="0"/>
        <w:rPr>
          <w:rFonts w:cs="Arial"/>
          <w:snapToGrid w:val="0"/>
          <w:szCs w:val="20"/>
          <w:lang w:val="en-AU"/>
        </w:rPr>
      </w:pPr>
      <w:r w:rsidRPr="00190151">
        <w:rPr>
          <w:rFonts w:cs="Arial"/>
          <w:snapToGrid w:val="0"/>
          <w:szCs w:val="20"/>
          <w:lang w:val="en-AU"/>
        </w:rPr>
        <w:t>Push the plunger to release the tablet.</w:t>
      </w:r>
    </w:p>
    <w:p w:rsidR="001568B7" w:rsidRPr="00190151" w:rsidRDefault="001568B7" w:rsidP="00B1058B">
      <w:pPr>
        <w:pStyle w:val="ListParagraph"/>
        <w:numPr>
          <w:ilvl w:val="0"/>
          <w:numId w:val="3"/>
        </w:numPr>
        <w:spacing w:after="0"/>
        <w:rPr>
          <w:rFonts w:cs="Arial"/>
          <w:snapToGrid w:val="0"/>
          <w:szCs w:val="20"/>
          <w:lang w:val="en-AU"/>
        </w:rPr>
      </w:pPr>
      <w:r w:rsidRPr="00190151">
        <w:rPr>
          <w:rFonts w:cs="Arial"/>
          <w:snapToGrid w:val="0"/>
          <w:szCs w:val="20"/>
          <w:lang w:val="en-AU"/>
        </w:rPr>
        <w:t>Remove the applicator and rinse it thoroughly in warm running water, wipe dry with a soft tissue and keep the applicator for subsequent use.</w:t>
      </w:r>
    </w:p>
    <w:p w:rsidR="001568B7" w:rsidRPr="00190151" w:rsidRDefault="00680072" w:rsidP="007C19D8">
      <w:pPr>
        <w:pStyle w:val="Heading2"/>
        <w:rPr>
          <w:snapToGrid w:val="0"/>
        </w:rPr>
      </w:pPr>
      <w:r w:rsidRPr="00190151">
        <w:rPr>
          <w:snapToGrid w:val="0"/>
        </w:rPr>
        <w:t>OVERDOSAGE</w:t>
      </w:r>
    </w:p>
    <w:p w:rsidR="00680072" w:rsidRPr="00190151" w:rsidRDefault="00680072" w:rsidP="007C19D8">
      <w:pPr>
        <w:rPr>
          <w:lang w:val="en-AU"/>
        </w:rPr>
      </w:pPr>
      <w:r w:rsidRPr="00190151">
        <w:rPr>
          <w:lang w:val="en-AU"/>
        </w:rPr>
        <w:t>High doses of pro</w:t>
      </w:r>
      <w:r w:rsidR="00894DC9">
        <w:rPr>
          <w:lang w:val="en-AU"/>
        </w:rPr>
        <w:t>gesterone may cause drowsiness.</w:t>
      </w:r>
    </w:p>
    <w:p w:rsidR="004D614D" w:rsidRDefault="00680072" w:rsidP="007C19D8">
      <w:pPr>
        <w:rPr>
          <w:bCs/>
          <w:lang w:val="en-AU"/>
        </w:rPr>
      </w:pPr>
      <w:r w:rsidRPr="00190151">
        <w:rPr>
          <w:lang w:val="en-AU"/>
        </w:rPr>
        <w:t xml:space="preserve">Treatment of </w:t>
      </w:r>
      <w:proofErr w:type="spellStart"/>
      <w:r w:rsidRPr="00190151">
        <w:rPr>
          <w:lang w:val="en-AU"/>
        </w:rPr>
        <w:t>overdosage</w:t>
      </w:r>
      <w:proofErr w:type="spellEnd"/>
      <w:r w:rsidRPr="00190151">
        <w:rPr>
          <w:lang w:val="en-AU"/>
        </w:rPr>
        <w:t xml:space="preserve"> consists of discontinuation of </w:t>
      </w:r>
      <w:r w:rsidR="00353C34" w:rsidRPr="00190151">
        <w:rPr>
          <w:lang w:val="en-AU"/>
        </w:rPr>
        <w:t>ENDOMETRIN</w:t>
      </w:r>
      <w:r w:rsidRPr="00190151">
        <w:rPr>
          <w:lang w:val="en-AU"/>
        </w:rPr>
        <w:t xml:space="preserve"> </w:t>
      </w:r>
      <w:r w:rsidR="0027397D">
        <w:rPr>
          <w:lang w:val="en-AU"/>
        </w:rPr>
        <w:t xml:space="preserve">PESSARIES </w:t>
      </w:r>
      <w:r w:rsidRPr="00190151">
        <w:rPr>
          <w:lang w:val="en-AU"/>
        </w:rPr>
        <w:t>together with institution of appropriate symptomatic and supportive care</w:t>
      </w:r>
      <w:r w:rsidRPr="00190151">
        <w:rPr>
          <w:bCs/>
          <w:lang w:val="en-AU"/>
        </w:rPr>
        <w:t>.</w:t>
      </w:r>
    </w:p>
    <w:p w:rsidR="00D16286" w:rsidRPr="00190151" w:rsidRDefault="00D16286" w:rsidP="007C19D8">
      <w:pPr>
        <w:pStyle w:val="Heading2"/>
      </w:pPr>
      <w:r w:rsidRPr="00190151">
        <w:t>PRESENTATION AND STORAGE CONDITIONS</w:t>
      </w:r>
    </w:p>
    <w:p w:rsidR="00535A59" w:rsidRDefault="00D16286" w:rsidP="007C19D8">
      <w:pPr>
        <w:rPr>
          <w:snapToGrid w:val="0"/>
          <w:lang w:val="en-AU"/>
        </w:rPr>
      </w:pPr>
      <w:r w:rsidRPr="00190151">
        <w:rPr>
          <w:snapToGrid w:val="0"/>
          <w:lang w:val="en-AU"/>
        </w:rPr>
        <w:t xml:space="preserve">ENDOMETRIN </w:t>
      </w:r>
      <w:r w:rsidR="0027397D">
        <w:rPr>
          <w:snapToGrid w:val="0"/>
          <w:lang w:val="en-AU"/>
        </w:rPr>
        <w:t>PESSARIES</w:t>
      </w:r>
      <w:r w:rsidR="001615A8">
        <w:rPr>
          <w:snapToGrid w:val="0"/>
          <w:lang w:val="en-AU"/>
        </w:rPr>
        <w:t xml:space="preserve"> </w:t>
      </w:r>
      <w:r w:rsidR="00535A59">
        <w:rPr>
          <w:snapToGrid w:val="0"/>
          <w:lang w:val="en-AU"/>
        </w:rPr>
        <w:t>containing 100</w:t>
      </w:r>
      <w:r w:rsidR="00D446E8">
        <w:rPr>
          <w:snapToGrid w:val="0"/>
          <w:lang w:val="en-AU"/>
        </w:rPr>
        <w:t xml:space="preserve"> </w:t>
      </w:r>
      <w:r w:rsidR="00535A59">
        <w:rPr>
          <w:snapToGrid w:val="0"/>
          <w:lang w:val="en-AU"/>
        </w:rPr>
        <w:t xml:space="preserve">mg progesterone; </w:t>
      </w:r>
      <w:r w:rsidR="00535A59" w:rsidRPr="00190151">
        <w:rPr>
          <w:lang w:val="en-AU"/>
        </w:rPr>
        <w:t xml:space="preserve">white to off-white, flat and oval tablets with the inscriptions “FPI” on one side and “100” on the other side. </w:t>
      </w:r>
      <w:r w:rsidR="00535A59">
        <w:rPr>
          <w:lang w:val="en-AU"/>
        </w:rPr>
        <w:t xml:space="preserve"> </w:t>
      </w:r>
      <w:proofErr w:type="gramStart"/>
      <w:r w:rsidR="00535A59">
        <w:rPr>
          <w:lang w:val="en-AU"/>
        </w:rPr>
        <w:t>S</w:t>
      </w:r>
      <w:r w:rsidRPr="00190151">
        <w:rPr>
          <w:snapToGrid w:val="0"/>
          <w:lang w:val="en-AU"/>
        </w:rPr>
        <w:t xml:space="preserve">upplied in </w:t>
      </w:r>
      <w:proofErr w:type="spellStart"/>
      <w:r w:rsidRPr="00190151">
        <w:rPr>
          <w:snapToGrid w:val="0"/>
          <w:lang w:val="en-AU"/>
        </w:rPr>
        <w:t>alu</w:t>
      </w:r>
      <w:proofErr w:type="spellEnd"/>
      <w:r w:rsidRPr="00190151">
        <w:rPr>
          <w:snapToGrid w:val="0"/>
          <w:lang w:val="en-AU"/>
        </w:rPr>
        <w:t>/</w:t>
      </w:r>
      <w:proofErr w:type="spellStart"/>
      <w:r w:rsidRPr="00190151">
        <w:rPr>
          <w:snapToGrid w:val="0"/>
          <w:lang w:val="en-AU"/>
        </w:rPr>
        <w:t>alu</w:t>
      </w:r>
      <w:proofErr w:type="spellEnd"/>
      <w:r w:rsidRPr="00190151">
        <w:rPr>
          <w:snapToGrid w:val="0"/>
          <w:lang w:val="en-AU"/>
        </w:rPr>
        <w:t xml:space="preserve"> blisters packaged in an outer carton.</w:t>
      </w:r>
      <w:proofErr w:type="gramEnd"/>
      <w:r w:rsidRPr="00190151">
        <w:rPr>
          <w:snapToGrid w:val="0"/>
          <w:lang w:val="en-AU"/>
        </w:rPr>
        <w:t xml:space="preserve">  Each carton contains 21 vaginal tablets with 1 vaginal applicator.</w:t>
      </w:r>
    </w:p>
    <w:p w:rsidR="00D16286" w:rsidRPr="00190151" w:rsidRDefault="00D16286" w:rsidP="007C19D8">
      <w:pPr>
        <w:pStyle w:val="Heading3"/>
        <w:rPr>
          <w:snapToGrid w:val="0"/>
        </w:rPr>
      </w:pPr>
      <w:r w:rsidRPr="00190151">
        <w:rPr>
          <w:snapToGrid w:val="0"/>
        </w:rPr>
        <w:t>Storage</w:t>
      </w:r>
    </w:p>
    <w:p w:rsidR="0008334B" w:rsidRPr="00190151" w:rsidRDefault="007C19D8" w:rsidP="007C19D8">
      <w:pPr>
        <w:rPr>
          <w:snapToGrid w:val="0"/>
          <w:lang w:val="en-AU"/>
        </w:rPr>
      </w:pPr>
      <w:r>
        <w:rPr>
          <w:snapToGrid w:val="0"/>
          <w:lang w:val="en-AU"/>
        </w:rPr>
        <w:t>Store below 25°C.</w:t>
      </w:r>
    </w:p>
    <w:p w:rsidR="00D16286" w:rsidRPr="00190151" w:rsidRDefault="00381C1B" w:rsidP="007C19D8">
      <w:pPr>
        <w:pStyle w:val="Heading2"/>
        <w:rPr>
          <w:snapToGrid w:val="0"/>
        </w:rPr>
      </w:pPr>
      <w:r w:rsidRPr="00190151">
        <w:rPr>
          <w:snapToGrid w:val="0"/>
        </w:rPr>
        <w:t xml:space="preserve">NAME AND ADDRESS OF </w:t>
      </w:r>
      <w:r w:rsidR="00B1058B">
        <w:rPr>
          <w:snapToGrid w:val="0"/>
        </w:rPr>
        <w:t xml:space="preserve">THE </w:t>
      </w:r>
      <w:r w:rsidRPr="00190151">
        <w:rPr>
          <w:snapToGrid w:val="0"/>
        </w:rPr>
        <w:t>SPONSOR</w:t>
      </w:r>
    </w:p>
    <w:p w:rsidR="00381C1B" w:rsidRPr="00190151" w:rsidRDefault="004D614D" w:rsidP="00B1058B">
      <w:pPr>
        <w:spacing w:after="0"/>
        <w:rPr>
          <w:rFonts w:cs="Arial"/>
          <w:snapToGrid w:val="0"/>
          <w:szCs w:val="20"/>
          <w:lang w:val="en-AU"/>
        </w:rPr>
      </w:pPr>
      <w:proofErr w:type="spellStart"/>
      <w:r w:rsidRPr="00190151">
        <w:rPr>
          <w:rFonts w:cs="Arial"/>
          <w:snapToGrid w:val="0"/>
          <w:szCs w:val="20"/>
          <w:lang w:val="en-AU"/>
        </w:rPr>
        <w:t>Ferring</w:t>
      </w:r>
      <w:proofErr w:type="spellEnd"/>
      <w:r w:rsidRPr="00190151">
        <w:rPr>
          <w:rFonts w:cs="Arial"/>
          <w:snapToGrid w:val="0"/>
          <w:szCs w:val="20"/>
          <w:lang w:val="en-AU"/>
        </w:rPr>
        <w:t xml:space="preserve"> Pharmaceuticals Pty Ltd</w:t>
      </w:r>
    </w:p>
    <w:p w:rsidR="004D614D" w:rsidRPr="00190151" w:rsidRDefault="004D614D" w:rsidP="00B1058B">
      <w:pPr>
        <w:spacing w:after="0"/>
        <w:rPr>
          <w:rFonts w:cs="Arial"/>
          <w:snapToGrid w:val="0"/>
          <w:szCs w:val="20"/>
          <w:lang w:val="en-AU"/>
        </w:rPr>
      </w:pPr>
      <w:smartTag w:uri="urn:schemas-microsoft-com:office:smarttags" w:element="address">
        <w:smartTag w:uri="urn:schemas-microsoft-com:office:smarttags" w:element="State">
          <w:r w:rsidRPr="00190151">
            <w:rPr>
              <w:rFonts w:cs="Arial"/>
              <w:snapToGrid w:val="0"/>
              <w:szCs w:val="20"/>
              <w:lang w:val="en-AU"/>
            </w:rPr>
            <w:t>Suite</w:t>
          </w:r>
        </w:smartTag>
        <w:r w:rsidRPr="00190151">
          <w:rPr>
            <w:rFonts w:cs="Arial"/>
            <w:snapToGrid w:val="0"/>
            <w:szCs w:val="20"/>
            <w:lang w:val="en-AU"/>
          </w:rPr>
          <w:t xml:space="preserve"> 2</w:t>
        </w:r>
      </w:smartTag>
      <w:r w:rsidRPr="00190151">
        <w:rPr>
          <w:rFonts w:cs="Arial"/>
          <w:snapToGrid w:val="0"/>
          <w:szCs w:val="20"/>
          <w:lang w:val="en-AU"/>
        </w:rPr>
        <w:t>, Level 1, Building 1</w:t>
      </w:r>
    </w:p>
    <w:p w:rsidR="004D614D" w:rsidRPr="00190151" w:rsidRDefault="004D614D" w:rsidP="00B1058B">
      <w:pPr>
        <w:spacing w:after="0"/>
        <w:rPr>
          <w:rFonts w:cs="Arial"/>
          <w:snapToGrid w:val="0"/>
          <w:szCs w:val="20"/>
          <w:lang w:val="en-AU"/>
        </w:rPr>
      </w:pPr>
      <w:smartTag w:uri="urn:schemas-microsoft-com:office:smarttags" w:element="State">
        <w:smartTag w:uri="urn:schemas-microsoft-com:office:smarttags" w:element="address">
          <w:r w:rsidRPr="00190151">
            <w:rPr>
              <w:rFonts w:cs="Arial"/>
              <w:snapToGrid w:val="0"/>
              <w:szCs w:val="20"/>
              <w:lang w:val="en-AU"/>
            </w:rPr>
            <w:t>20 Bridge Street</w:t>
          </w:r>
        </w:smartTag>
      </w:smartTag>
    </w:p>
    <w:p w:rsidR="004D614D" w:rsidRPr="00190151" w:rsidRDefault="004D614D" w:rsidP="00B1058B">
      <w:pPr>
        <w:spacing w:after="0"/>
        <w:rPr>
          <w:rFonts w:cs="Arial"/>
          <w:snapToGrid w:val="0"/>
          <w:szCs w:val="20"/>
          <w:lang w:val="en-AU"/>
        </w:rPr>
      </w:pPr>
      <w:r w:rsidRPr="00190151">
        <w:rPr>
          <w:rFonts w:cs="Arial"/>
          <w:snapToGrid w:val="0"/>
          <w:szCs w:val="20"/>
          <w:lang w:val="en-AU"/>
        </w:rPr>
        <w:t>Pymble NSW 2073</w:t>
      </w:r>
    </w:p>
    <w:p w:rsidR="004D614D" w:rsidRPr="00190151" w:rsidRDefault="004D614D" w:rsidP="007C19D8">
      <w:pPr>
        <w:rPr>
          <w:snapToGrid w:val="0"/>
          <w:lang w:val="en-AU"/>
        </w:rPr>
      </w:pPr>
      <w:smartTag w:uri="urn:schemas-microsoft-com:office:smarttags" w:element="place">
        <w:smartTag w:uri="urn:schemas-microsoft-com:office:smarttags" w:element="Street">
          <w:r w:rsidRPr="00190151">
            <w:rPr>
              <w:snapToGrid w:val="0"/>
              <w:lang w:val="en-AU"/>
            </w:rPr>
            <w:t>Australia</w:t>
          </w:r>
        </w:smartTag>
      </w:smartTag>
    </w:p>
    <w:p w:rsidR="00381C1B" w:rsidRPr="00190151" w:rsidRDefault="00381C1B" w:rsidP="007C19D8">
      <w:pPr>
        <w:pStyle w:val="Heading2"/>
        <w:rPr>
          <w:snapToGrid w:val="0"/>
        </w:rPr>
      </w:pPr>
      <w:r w:rsidRPr="00190151">
        <w:rPr>
          <w:snapToGrid w:val="0"/>
        </w:rPr>
        <w:t xml:space="preserve">POISON SCHEDULE OF </w:t>
      </w:r>
      <w:r w:rsidR="00A0600B">
        <w:rPr>
          <w:snapToGrid w:val="0"/>
        </w:rPr>
        <w:t xml:space="preserve">THE </w:t>
      </w:r>
      <w:r w:rsidRPr="00190151">
        <w:rPr>
          <w:snapToGrid w:val="0"/>
        </w:rPr>
        <w:t>MEDICINE</w:t>
      </w:r>
    </w:p>
    <w:p w:rsidR="00381C1B" w:rsidRPr="00190151" w:rsidRDefault="00381C1B" w:rsidP="007C19D8">
      <w:pPr>
        <w:rPr>
          <w:snapToGrid w:val="0"/>
          <w:lang w:val="en-AU"/>
        </w:rPr>
      </w:pPr>
      <w:r w:rsidRPr="00190151">
        <w:rPr>
          <w:snapToGrid w:val="0"/>
          <w:lang w:val="en-AU"/>
        </w:rPr>
        <w:t>Prescription Only Medicine (S4)</w:t>
      </w:r>
    </w:p>
    <w:p w:rsidR="00936BFC" w:rsidRPr="00D446E8" w:rsidRDefault="00381C1B" w:rsidP="007C19D8">
      <w:pPr>
        <w:pStyle w:val="Heading2"/>
        <w:rPr>
          <w:snapToGrid w:val="0"/>
        </w:rPr>
      </w:pPr>
      <w:r w:rsidRPr="00D446E8">
        <w:rPr>
          <w:snapToGrid w:val="0"/>
        </w:rPr>
        <w:t xml:space="preserve">DATE OF </w:t>
      </w:r>
      <w:r w:rsidR="00AC4026" w:rsidRPr="00D446E8">
        <w:rPr>
          <w:snapToGrid w:val="0"/>
        </w:rPr>
        <w:t>FIRST INCLUSION IN THE AUSTRALIA</w:t>
      </w:r>
      <w:r w:rsidR="00894DC9">
        <w:rPr>
          <w:snapToGrid w:val="0"/>
        </w:rPr>
        <w:t>N REGISTER OF THERAPEUTIC GOODS</w:t>
      </w:r>
    </w:p>
    <w:p w:rsidR="00AC4026" w:rsidRPr="00D446E8" w:rsidRDefault="00AC4026" w:rsidP="00B1058B">
      <w:pPr>
        <w:spacing w:after="0"/>
        <w:rPr>
          <w:rFonts w:cs="Arial"/>
          <w:b/>
          <w:snapToGrid w:val="0"/>
          <w:szCs w:val="20"/>
          <w:lang w:val="en-AU"/>
        </w:rPr>
      </w:pPr>
      <w:r w:rsidRPr="00D446E8">
        <w:rPr>
          <w:rFonts w:cs="Arial"/>
          <w:b/>
          <w:snapToGrid w:val="0"/>
          <w:szCs w:val="20"/>
          <w:lang w:val="en-AU"/>
        </w:rPr>
        <w:t>(</w:t>
      </w:r>
      <w:proofErr w:type="gramStart"/>
      <w:r w:rsidR="00B1058B" w:rsidRPr="00D446E8">
        <w:rPr>
          <w:rFonts w:cs="Arial"/>
          <w:b/>
          <w:snapToGrid w:val="0"/>
          <w:szCs w:val="20"/>
          <w:lang w:val="en-AU"/>
        </w:rPr>
        <w:t>the</w:t>
      </w:r>
      <w:proofErr w:type="gramEnd"/>
      <w:r w:rsidR="00B1058B" w:rsidRPr="00D446E8">
        <w:rPr>
          <w:rFonts w:cs="Arial"/>
          <w:b/>
          <w:snapToGrid w:val="0"/>
          <w:szCs w:val="20"/>
          <w:lang w:val="en-AU"/>
        </w:rPr>
        <w:t xml:space="preserve"> </w:t>
      </w:r>
      <w:r w:rsidRPr="00D446E8">
        <w:rPr>
          <w:rFonts w:cs="Arial"/>
          <w:b/>
          <w:snapToGrid w:val="0"/>
          <w:szCs w:val="20"/>
          <w:lang w:val="en-AU"/>
        </w:rPr>
        <w:t>ARTG)</w:t>
      </w:r>
    </w:p>
    <w:p w:rsidR="00AC4026" w:rsidRPr="00CC06F3" w:rsidRDefault="00CC06F3" w:rsidP="007C19D8">
      <w:pPr>
        <w:rPr>
          <w:snapToGrid w:val="0"/>
          <w:lang w:val="en-AU"/>
        </w:rPr>
      </w:pPr>
      <w:r w:rsidRPr="00CC06F3">
        <w:rPr>
          <w:snapToGrid w:val="0"/>
          <w:lang w:val="en-AU"/>
        </w:rPr>
        <w:t>19 September 2012</w:t>
      </w:r>
    </w:p>
    <w:sectPr w:rsidR="00AC4026" w:rsidRPr="00CC06F3" w:rsidSect="005D5BF9">
      <w:headerReference w:type="even" r:id="rId12"/>
      <w:headerReference w:type="default" r:id="rId13"/>
      <w:footerReference w:type="even" r:id="rId14"/>
      <w:footerReference w:type="default" r:id="rId15"/>
      <w:headerReference w:type="first" r:id="rId16"/>
      <w:footerReference w:type="first" r:id="rId17"/>
      <w:pgSz w:w="11907" w:h="16840" w:code="9"/>
      <w:pgMar w:top="720" w:right="1440" w:bottom="108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987" w:rsidRDefault="00A13987">
      <w:r>
        <w:separator/>
      </w:r>
    </w:p>
  </w:endnote>
  <w:endnote w:type="continuationSeparator" w:id="0">
    <w:p w:rsidR="00A13987" w:rsidRDefault="00A139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F3" w:rsidRDefault="00E32926" w:rsidP="00412DDB">
    <w:pPr>
      <w:pStyle w:val="Footer"/>
      <w:framePr w:wrap="around" w:vAnchor="text" w:hAnchor="margin" w:xAlign="center" w:y="1"/>
      <w:rPr>
        <w:rStyle w:val="PageNumber"/>
      </w:rPr>
    </w:pPr>
    <w:r>
      <w:rPr>
        <w:rStyle w:val="PageNumber"/>
      </w:rPr>
      <w:fldChar w:fldCharType="begin"/>
    </w:r>
    <w:r w:rsidR="00CC06F3">
      <w:rPr>
        <w:rStyle w:val="PageNumber"/>
      </w:rPr>
      <w:instrText xml:space="preserve">PAGE  </w:instrText>
    </w:r>
    <w:r>
      <w:rPr>
        <w:rStyle w:val="PageNumber"/>
      </w:rPr>
      <w:fldChar w:fldCharType="separate"/>
    </w:r>
    <w:r w:rsidR="006A063A">
      <w:rPr>
        <w:rStyle w:val="PageNumber"/>
        <w:noProof/>
      </w:rPr>
      <w:t>6</w:t>
    </w:r>
    <w:r>
      <w:rPr>
        <w:rStyle w:val="PageNumber"/>
      </w:rPr>
      <w:fldChar w:fldCharType="end"/>
    </w:r>
  </w:p>
  <w:p w:rsidR="00CC06F3" w:rsidRDefault="00CC06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F3" w:rsidRDefault="00CC06F3" w:rsidP="0083621F">
    <w:pPr>
      <w:pStyle w:val="Footer"/>
      <w:pBdr>
        <w:top w:val="single" w:sz="4" w:space="1" w:color="auto"/>
      </w:pBdr>
      <w:tabs>
        <w:tab w:val="clear" w:pos="8306"/>
        <w:tab w:val="right" w:pos="9072"/>
      </w:tabs>
    </w:pPr>
    <w:r>
      <w:tab/>
    </w:r>
    <w:r>
      <w:t xml:space="preserve">Page | </w:t>
    </w:r>
    <w:fldSimple w:instr=" PAGE   \* MERGEFORMAT ">
      <w:r w:rsidR="0069450E">
        <w:rPr>
          <w:noProof/>
        </w:rPr>
        <w:t>1</w:t>
      </w:r>
    </w:fldSimple>
    <w:r>
      <w:tab/>
    </w:r>
    <w:fldSimple w:instr=" DOCPROPERTY DocsNum \* MERGEFORMAT ">
      <w:r w:rsidR="002B360B">
        <w:t>#29931-v4A</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BF9" w:rsidRDefault="005D5B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987" w:rsidRDefault="00A13987">
      <w:r>
        <w:separator/>
      </w:r>
    </w:p>
  </w:footnote>
  <w:footnote w:type="continuationSeparator" w:id="0">
    <w:p w:rsidR="00A13987" w:rsidRDefault="00A13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BF9" w:rsidRDefault="005D5B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Pr="00351436" w:rsidRDefault="00351436" w:rsidP="005D5BF9">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szCs w:val="20"/>
      </w:rPr>
    </w:pPr>
    <w:r w:rsidRPr="00351436">
      <w:rPr>
        <w:rFonts w:ascii="Cambria" w:hAnsi="Cambria"/>
        <w:b/>
        <w:szCs w:val="20"/>
      </w:rPr>
      <w:t xml:space="preserve">Attachment 1: Product information for </w:t>
    </w:r>
    <w:proofErr w:type="spellStart"/>
    <w:r w:rsidR="005D5BF9" w:rsidRPr="005D5BF9">
      <w:rPr>
        <w:rFonts w:ascii="Cambria" w:hAnsi="Cambria"/>
        <w:b/>
        <w:szCs w:val="20"/>
      </w:rPr>
      <w:t>AusPAR</w:t>
    </w:r>
    <w:proofErr w:type="spellEnd"/>
    <w:r w:rsidR="005D5BF9" w:rsidRPr="005D5BF9">
      <w:rPr>
        <w:rFonts w:ascii="Cambria" w:hAnsi="Cambria"/>
        <w:b/>
        <w:szCs w:val="20"/>
      </w:rPr>
      <w:t xml:space="preserve"> </w:t>
    </w:r>
    <w:proofErr w:type="spellStart"/>
    <w:r w:rsidR="005D5BF9" w:rsidRPr="005D5BF9">
      <w:rPr>
        <w:rFonts w:ascii="Cambria" w:hAnsi="Cambria"/>
        <w:b/>
        <w:szCs w:val="20"/>
      </w:rPr>
      <w:t>Endometrin</w:t>
    </w:r>
    <w:proofErr w:type="spellEnd"/>
    <w:r w:rsidR="005D5BF9" w:rsidRPr="005D5BF9">
      <w:rPr>
        <w:rFonts w:ascii="Cambria" w:hAnsi="Cambria"/>
        <w:b/>
        <w:szCs w:val="20"/>
      </w:rPr>
      <w:t xml:space="preserve"> </w:t>
    </w:r>
    <w:proofErr w:type="spellStart"/>
    <w:r w:rsidR="005D5BF9" w:rsidRPr="005D5BF9">
      <w:rPr>
        <w:rFonts w:ascii="Cambria" w:hAnsi="Cambria"/>
        <w:b/>
        <w:szCs w:val="20"/>
      </w:rPr>
      <w:t>Pessaries</w:t>
    </w:r>
    <w:proofErr w:type="spellEnd"/>
    <w:r w:rsidR="005D5BF9" w:rsidRPr="005D5BF9">
      <w:rPr>
        <w:rFonts w:ascii="Cambria" w:hAnsi="Cambria"/>
        <w:b/>
        <w:szCs w:val="20"/>
      </w:rPr>
      <w:t xml:space="preserve"> </w:t>
    </w:r>
    <w:proofErr w:type="spellStart"/>
    <w:r w:rsidR="005D5BF9" w:rsidRPr="005D5BF9">
      <w:rPr>
        <w:rFonts w:ascii="Cambria" w:hAnsi="Cambria"/>
        <w:b/>
        <w:szCs w:val="20"/>
      </w:rPr>
      <w:t>Ferring</w:t>
    </w:r>
    <w:proofErr w:type="spellEnd"/>
    <w:r w:rsidR="005D5BF9" w:rsidRPr="005D5BF9">
      <w:rPr>
        <w:rFonts w:ascii="Cambria" w:hAnsi="Cambria"/>
        <w:b/>
        <w:szCs w:val="20"/>
      </w:rPr>
      <w:t xml:space="preserve"> Pharmaceuticals Pty Ltd PM-2011-02023-3-5 Final 1 March 2013</w:t>
    </w:r>
    <w:r w:rsidRPr="005D5BF9">
      <w:rPr>
        <w:rFonts w:ascii="Cambria" w:hAnsi="Cambria"/>
        <w:b/>
        <w:szCs w:val="20"/>
      </w:rPr>
      <w:t xml:space="preserve">. </w:t>
    </w:r>
    <w:r w:rsidRPr="00351436">
      <w:rPr>
        <w:rFonts w:ascii="Cambria" w:hAnsi="Cambria"/>
        <w:b/>
        <w:szCs w:val="20"/>
      </w:rPr>
      <w:t xml:space="preserve">This Product Information was approved at the time this </w:t>
    </w:r>
    <w:proofErr w:type="spellStart"/>
    <w:r w:rsidRPr="00351436">
      <w:rPr>
        <w:rFonts w:ascii="Cambria" w:hAnsi="Cambria"/>
        <w:b/>
        <w:szCs w:val="20"/>
      </w:rPr>
      <w:t>AusPAR</w:t>
    </w:r>
    <w:proofErr w:type="spellEnd"/>
    <w:r w:rsidRPr="00351436">
      <w:rPr>
        <w:rFonts w:ascii="Cambria" w:hAnsi="Cambria"/>
        <w:b/>
        <w:szCs w:val="20"/>
      </w:rPr>
      <w:t xml:space="preserve"> was published.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BF9" w:rsidRDefault="005D5B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C45622"/>
    <w:lvl w:ilvl="0">
      <w:start w:val="1"/>
      <w:numFmt w:val="decimal"/>
      <w:lvlText w:val="%1."/>
      <w:lvlJc w:val="left"/>
      <w:pPr>
        <w:tabs>
          <w:tab w:val="num" w:pos="1492"/>
        </w:tabs>
        <w:ind w:left="1492" w:hanging="360"/>
      </w:pPr>
    </w:lvl>
  </w:abstractNum>
  <w:abstractNum w:abstractNumId="1">
    <w:nsid w:val="FFFFFF7D"/>
    <w:multiLevelType w:val="singleLevel"/>
    <w:tmpl w:val="0E80BBC0"/>
    <w:lvl w:ilvl="0">
      <w:start w:val="1"/>
      <w:numFmt w:val="decimal"/>
      <w:lvlText w:val="%1."/>
      <w:lvlJc w:val="left"/>
      <w:pPr>
        <w:tabs>
          <w:tab w:val="num" w:pos="1209"/>
        </w:tabs>
        <w:ind w:left="1209" w:hanging="360"/>
      </w:pPr>
    </w:lvl>
  </w:abstractNum>
  <w:abstractNum w:abstractNumId="2">
    <w:nsid w:val="FFFFFF7E"/>
    <w:multiLevelType w:val="singleLevel"/>
    <w:tmpl w:val="4598550E"/>
    <w:lvl w:ilvl="0">
      <w:start w:val="1"/>
      <w:numFmt w:val="decimal"/>
      <w:lvlText w:val="%1."/>
      <w:lvlJc w:val="left"/>
      <w:pPr>
        <w:tabs>
          <w:tab w:val="num" w:pos="926"/>
        </w:tabs>
        <w:ind w:left="926" w:hanging="360"/>
      </w:pPr>
    </w:lvl>
  </w:abstractNum>
  <w:abstractNum w:abstractNumId="3">
    <w:nsid w:val="FFFFFF7F"/>
    <w:multiLevelType w:val="singleLevel"/>
    <w:tmpl w:val="436C0CC0"/>
    <w:lvl w:ilvl="0">
      <w:start w:val="1"/>
      <w:numFmt w:val="decimal"/>
      <w:lvlText w:val="%1."/>
      <w:lvlJc w:val="left"/>
      <w:pPr>
        <w:tabs>
          <w:tab w:val="num" w:pos="643"/>
        </w:tabs>
        <w:ind w:left="643" w:hanging="360"/>
      </w:pPr>
    </w:lvl>
  </w:abstractNum>
  <w:abstractNum w:abstractNumId="4">
    <w:nsid w:val="FFFFFF80"/>
    <w:multiLevelType w:val="singleLevel"/>
    <w:tmpl w:val="9F1EAC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805A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C22F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6E16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625AF6"/>
    <w:lvl w:ilvl="0">
      <w:start w:val="1"/>
      <w:numFmt w:val="decimal"/>
      <w:lvlText w:val="%1."/>
      <w:lvlJc w:val="left"/>
      <w:pPr>
        <w:tabs>
          <w:tab w:val="num" w:pos="360"/>
        </w:tabs>
        <w:ind w:left="360" w:hanging="360"/>
      </w:pPr>
    </w:lvl>
  </w:abstractNum>
  <w:abstractNum w:abstractNumId="9">
    <w:nsid w:val="FFFFFF89"/>
    <w:multiLevelType w:val="singleLevel"/>
    <w:tmpl w:val="41D87B28"/>
    <w:lvl w:ilvl="0">
      <w:start w:val="1"/>
      <w:numFmt w:val="bullet"/>
      <w:lvlText w:val=""/>
      <w:lvlJc w:val="left"/>
      <w:pPr>
        <w:tabs>
          <w:tab w:val="num" w:pos="360"/>
        </w:tabs>
        <w:ind w:left="360" w:hanging="360"/>
      </w:pPr>
      <w:rPr>
        <w:rFonts w:ascii="Symbol" w:hAnsi="Symbol" w:hint="default"/>
      </w:rPr>
    </w:lvl>
  </w:abstractNum>
  <w:abstractNum w:abstractNumId="10">
    <w:nsid w:val="1C3719B3"/>
    <w:multiLevelType w:val="hybridMultilevel"/>
    <w:tmpl w:val="3AD6B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2BF094E"/>
    <w:multiLevelType w:val="multilevel"/>
    <w:tmpl w:val="9D8CA6C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53FB10F4"/>
    <w:multiLevelType w:val="hybridMultilevel"/>
    <w:tmpl w:val="CC848E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4"/>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B2439B"/>
    <w:rsid w:val="00005484"/>
    <w:rsid w:val="00025529"/>
    <w:rsid w:val="00027B22"/>
    <w:rsid w:val="00047AD0"/>
    <w:rsid w:val="00050E27"/>
    <w:rsid w:val="00066A0F"/>
    <w:rsid w:val="0008334B"/>
    <w:rsid w:val="000861E3"/>
    <w:rsid w:val="00092A29"/>
    <w:rsid w:val="000A464C"/>
    <w:rsid w:val="000E25D6"/>
    <w:rsid w:val="000E33AE"/>
    <w:rsid w:val="000E6D77"/>
    <w:rsid w:val="000E731A"/>
    <w:rsid w:val="000E7EE8"/>
    <w:rsid w:val="00110163"/>
    <w:rsid w:val="001568B7"/>
    <w:rsid w:val="001615A8"/>
    <w:rsid w:val="001717C3"/>
    <w:rsid w:val="0018603E"/>
    <w:rsid w:val="00190151"/>
    <w:rsid w:val="0019096F"/>
    <w:rsid w:val="001B3BA5"/>
    <w:rsid w:val="001D22DA"/>
    <w:rsid w:val="001D4D7E"/>
    <w:rsid w:val="001E7123"/>
    <w:rsid w:val="002003BB"/>
    <w:rsid w:val="00201A3A"/>
    <w:rsid w:val="00210A76"/>
    <w:rsid w:val="00216830"/>
    <w:rsid w:val="002344C8"/>
    <w:rsid w:val="00236E7D"/>
    <w:rsid w:val="00242D2D"/>
    <w:rsid w:val="0025284D"/>
    <w:rsid w:val="00252EBD"/>
    <w:rsid w:val="00257A81"/>
    <w:rsid w:val="00261F1A"/>
    <w:rsid w:val="0027397D"/>
    <w:rsid w:val="00274B24"/>
    <w:rsid w:val="002A13B5"/>
    <w:rsid w:val="002A2456"/>
    <w:rsid w:val="002A3065"/>
    <w:rsid w:val="002B360B"/>
    <w:rsid w:val="002B5C26"/>
    <w:rsid w:val="002B7FCF"/>
    <w:rsid w:val="002C58E2"/>
    <w:rsid w:val="002C6EB2"/>
    <w:rsid w:val="002D0C68"/>
    <w:rsid w:val="002D2564"/>
    <w:rsid w:val="002D4F7B"/>
    <w:rsid w:val="002E0267"/>
    <w:rsid w:val="003107F4"/>
    <w:rsid w:val="00322F0D"/>
    <w:rsid w:val="00326DCA"/>
    <w:rsid w:val="0034543D"/>
    <w:rsid w:val="0035051F"/>
    <w:rsid w:val="00350D29"/>
    <w:rsid w:val="00351436"/>
    <w:rsid w:val="00353C34"/>
    <w:rsid w:val="00365BA6"/>
    <w:rsid w:val="00376DCE"/>
    <w:rsid w:val="00381C1B"/>
    <w:rsid w:val="003928EB"/>
    <w:rsid w:val="00395DBA"/>
    <w:rsid w:val="003A423D"/>
    <w:rsid w:val="003A53CC"/>
    <w:rsid w:val="003B24FD"/>
    <w:rsid w:val="003E70BD"/>
    <w:rsid w:val="003E731F"/>
    <w:rsid w:val="003F6FC2"/>
    <w:rsid w:val="00403FC0"/>
    <w:rsid w:val="00404BF9"/>
    <w:rsid w:val="00412DDB"/>
    <w:rsid w:val="00426FE8"/>
    <w:rsid w:val="004349D3"/>
    <w:rsid w:val="004430C2"/>
    <w:rsid w:val="00450E6D"/>
    <w:rsid w:val="00462A5D"/>
    <w:rsid w:val="00471D6B"/>
    <w:rsid w:val="00474A5B"/>
    <w:rsid w:val="00487116"/>
    <w:rsid w:val="004A2AD4"/>
    <w:rsid w:val="004B1EE1"/>
    <w:rsid w:val="004D614D"/>
    <w:rsid w:val="004E1582"/>
    <w:rsid w:val="004E6828"/>
    <w:rsid w:val="004F430A"/>
    <w:rsid w:val="004F4D3A"/>
    <w:rsid w:val="00505BF3"/>
    <w:rsid w:val="005060D1"/>
    <w:rsid w:val="00523302"/>
    <w:rsid w:val="0053162A"/>
    <w:rsid w:val="00535A59"/>
    <w:rsid w:val="00544C7B"/>
    <w:rsid w:val="005474C0"/>
    <w:rsid w:val="0056722C"/>
    <w:rsid w:val="00570B01"/>
    <w:rsid w:val="00573A7D"/>
    <w:rsid w:val="00590DB5"/>
    <w:rsid w:val="00593736"/>
    <w:rsid w:val="005A31F8"/>
    <w:rsid w:val="005A3F40"/>
    <w:rsid w:val="005A6B0C"/>
    <w:rsid w:val="005D326B"/>
    <w:rsid w:val="005D5BF9"/>
    <w:rsid w:val="005D67DF"/>
    <w:rsid w:val="005E742E"/>
    <w:rsid w:val="005E7C0E"/>
    <w:rsid w:val="005F1E2F"/>
    <w:rsid w:val="005F517C"/>
    <w:rsid w:val="00613F0A"/>
    <w:rsid w:val="00614893"/>
    <w:rsid w:val="00627E3D"/>
    <w:rsid w:val="0063160C"/>
    <w:rsid w:val="00654AEE"/>
    <w:rsid w:val="006558BB"/>
    <w:rsid w:val="00666C49"/>
    <w:rsid w:val="00666EF4"/>
    <w:rsid w:val="00673297"/>
    <w:rsid w:val="0067443D"/>
    <w:rsid w:val="00680072"/>
    <w:rsid w:val="00681CC0"/>
    <w:rsid w:val="00684B3E"/>
    <w:rsid w:val="00693972"/>
    <w:rsid w:val="00694070"/>
    <w:rsid w:val="0069450E"/>
    <w:rsid w:val="006A063A"/>
    <w:rsid w:val="006B2999"/>
    <w:rsid w:val="006B3B23"/>
    <w:rsid w:val="006C005C"/>
    <w:rsid w:val="006C4DF4"/>
    <w:rsid w:val="006D0D8B"/>
    <w:rsid w:val="006D1035"/>
    <w:rsid w:val="006E69B5"/>
    <w:rsid w:val="006F3AC0"/>
    <w:rsid w:val="0070710F"/>
    <w:rsid w:val="00716E62"/>
    <w:rsid w:val="007421EA"/>
    <w:rsid w:val="00751370"/>
    <w:rsid w:val="00751A1B"/>
    <w:rsid w:val="007523B5"/>
    <w:rsid w:val="00753F6D"/>
    <w:rsid w:val="00757FFC"/>
    <w:rsid w:val="0076067E"/>
    <w:rsid w:val="0077060F"/>
    <w:rsid w:val="00787A5E"/>
    <w:rsid w:val="00790879"/>
    <w:rsid w:val="00797CB9"/>
    <w:rsid w:val="007A37AD"/>
    <w:rsid w:val="007B0F71"/>
    <w:rsid w:val="007C19D8"/>
    <w:rsid w:val="007E1AB9"/>
    <w:rsid w:val="00804AA3"/>
    <w:rsid w:val="0081647A"/>
    <w:rsid w:val="008333E8"/>
    <w:rsid w:val="00835B3F"/>
    <w:rsid w:val="00835C02"/>
    <w:rsid w:val="0083621F"/>
    <w:rsid w:val="0086337E"/>
    <w:rsid w:val="00877788"/>
    <w:rsid w:val="00887D3B"/>
    <w:rsid w:val="00894DC9"/>
    <w:rsid w:val="008D0E4F"/>
    <w:rsid w:val="008D1877"/>
    <w:rsid w:val="008E1486"/>
    <w:rsid w:val="00906974"/>
    <w:rsid w:val="0091284E"/>
    <w:rsid w:val="00914A80"/>
    <w:rsid w:val="00921B9F"/>
    <w:rsid w:val="00921F4C"/>
    <w:rsid w:val="00923A56"/>
    <w:rsid w:val="009245B8"/>
    <w:rsid w:val="0092480D"/>
    <w:rsid w:val="009302BF"/>
    <w:rsid w:val="009341F7"/>
    <w:rsid w:val="00936BFC"/>
    <w:rsid w:val="00982E2C"/>
    <w:rsid w:val="009B13BA"/>
    <w:rsid w:val="009C3E4A"/>
    <w:rsid w:val="009C459D"/>
    <w:rsid w:val="009C4CED"/>
    <w:rsid w:val="009C551B"/>
    <w:rsid w:val="009E3158"/>
    <w:rsid w:val="009E46D2"/>
    <w:rsid w:val="00A01DE1"/>
    <w:rsid w:val="00A04865"/>
    <w:rsid w:val="00A0600B"/>
    <w:rsid w:val="00A10E5E"/>
    <w:rsid w:val="00A1380A"/>
    <w:rsid w:val="00A13987"/>
    <w:rsid w:val="00A155F1"/>
    <w:rsid w:val="00A33AE2"/>
    <w:rsid w:val="00A5060B"/>
    <w:rsid w:val="00A8268E"/>
    <w:rsid w:val="00A84B1E"/>
    <w:rsid w:val="00AA0398"/>
    <w:rsid w:val="00AB2420"/>
    <w:rsid w:val="00AB3F5E"/>
    <w:rsid w:val="00AB5F48"/>
    <w:rsid w:val="00AC4026"/>
    <w:rsid w:val="00AC7A7D"/>
    <w:rsid w:val="00AD64A4"/>
    <w:rsid w:val="00AD75F1"/>
    <w:rsid w:val="00AF1E44"/>
    <w:rsid w:val="00AF34A6"/>
    <w:rsid w:val="00B023FF"/>
    <w:rsid w:val="00B1058B"/>
    <w:rsid w:val="00B11D35"/>
    <w:rsid w:val="00B22DC5"/>
    <w:rsid w:val="00B2439B"/>
    <w:rsid w:val="00B2686B"/>
    <w:rsid w:val="00B36925"/>
    <w:rsid w:val="00B5453B"/>
    <w:rsid w:val="00B54C5C"/>
    <w:rsid w:val="00B668B1"/>
    <w:rsid w:val="00B7076B"/>
    <w:rsid w:val="00B710DB"/>
    <w:rsid w:val="00B86F42"/>
    <w:rsid w:val="00B9105B"/>
    <w:rsid w:val="00BD5B48"/>
    <w:rsid w:val="00C168DD"/>
    <w:rsid w:val="00C30EC4"/>
    <w:rsid w:val="00C34142"/>
    <w:rsid w:val="00C4433A"/>
    <w:rsid w:val="00C4589D"/>
    <w:rsid w:val="00C52CEC"/>
    <w:rsid w:val="00C52DC5"/>
    <w:rsid w:val="00C57524"/>
    <w:rsid w:val="00C5759F"/>
    <w:rsid w:val="00C62A83"/>
    <w:rsid w:val="00C727CE"/>
    <w:rsid w:val="00C76CA2"/>
    <w:rsid w:val="00C7729E"/>
    <w:rsid w:val="00C810B0"/>
    <w:rsid w:val="00CA12A5"/>
    <w:rsid w:val="00CB5E18"/>
    <w:rsid w:val="00CC06F3"/>
    <w:rsid w:val="00CC46A6"/>
    <w:rsid w:val="00CD00F4"/>
    <w:rsid w:val="00CE69DE"/>
    <w:rsid w:val="00D01096"/>
    <w:rsid w:val="00D0416B"/>
    <w:rsid w:val="00D0530F"/>
    <w:rsid w:val="00D16286"/>
    <w:rsid w:val="00D431DC"/>
    <w:rsid w:val="00D446E8"/>
    <w:rsid w:val="00D70EEB"/>
    <w:rsid w:val="00D7193C"/>
    <w:rsid w:val="00D73CFF"/>
    <w:rsid w:val="00DA2367"/>
    <w:rsid w:val="00DD4D18"/>
    <w:rsid w:val="00DE3CCD"/>
    <w:rsid w:val="00DF0C01"/>
    <w:rsid w:val="00E01A4F"/>
    <w:rsid w:val="00E1470E"/>
    <w:rsid w:val="00E15D67"/>
    <w:rsid w:val="00E16ACC"/>
    <w:rsid w:val="00E32926"/>
    <w:rsid w:val="00E410BB"/>
    <w:rsid w:val="00E61F61"/>
    <w:rsid w:val="00E708E8"/>
    <w:rsid w:val="00E7143E"/>
    <w:rsid w:val="00E755FF"/>
    <w:rsid w:val="00E765F5"/>
    <w:rsid w:val="00E86073"/>
    <w:rsid w:val="00E90C2B"/>
    <w:rsid w:val="00E94CB2"/>
    <w:rsid w:val="00E976FB"/>
    <w:rsid w:val="00EA45C4"/>
    <w:rsid w:val="00EA7A04"/>
    <w:rsid w:val="00EB7B63"/>
    <w:rsid w:val="00EC70C0"/>
    <w:rsid w:val="00F1278F"/>
    <w:rsid w:val="00F1717C"/>
    <w:rsid w:val="00F25836"/>
    <w:rsid w:val="00F4212B"/>
    <w:rsid w:val="00F6026B"/>
    <w:rsid w:val="00F6283C"/>
    <w:rsid w:val="00F66FC0"/>
    <w:rsid w:val="00F814AF"/>
    <w:rsid w:val="00F864D1"/>
    <w:rsid w:val="00F95C27"/>
    <w:rsid w:val="00FA3366"/>
    <w:rsid w:val="00FB2B49"/>
    <w:rsid w:val="00FB5D31"/>
    <w:rsid w:val="00FB63A6"/>
    <w:rsid w:val="00FD7BA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3F"/>
    <w:pPr>
      <w:spacing w:after="180"/>
    </w:pPr>
    <w:rPr>
      <w:rFonts w:ascii="Arial" w:hAnsi="Arial"/>
      <w:szCs w:val="22"/>
      <w:lang w:val="en-US" w:eastAsia="en-US"/>
    </w:rPr>
  </w:style>
  <w:style w:type="paragraph" w:styleId="Heading1">
    <w:name w:val="heading 1"/>
    <w:basedOn w:val="Normal"/>
    <w:next w:val="Normal"/>
    <w:link w:val="Heading1Char"/>
    <w:uiPriority w:val="9"/>
    <w:qFormat/>
    <w:rsid w:val="00835B3F"/>
    <w:pPr>
      <w:spacing w:before="240" w:after="240"/>
      <w:jc w:val="center"/>
      <w:outlineLvl w:val="0"/>
    </w:pPr>
    <w:rPr>
      <w:rFonts w:cs="Arial"/>
      <w:b/>
      <w:lang w:val="en-AU"/>
    </w:rPr>
  </w:style>
  <w:style w:type="paragraph" w:styleId="Heading2">
    <w:name w:val="heading 2"/>
    <w:basedOn w:val="Normal"/>
    <w:next w:val="Normal"/>
    <w:link w:val="Heading2Char"/>
    <w:uiPriority w:val="9"/>
    <w:unhideWhenUsed/>
    <w:qFormat/>
    <w:rsid w:val="00835B3F"/>
    <w:pPr>
      <w:spacing w:before="240" w:after="0"/>
      <w:outlineLvl w:val="1"/>
    </w:pPr>
    <w:rPr>
      <w:rFonts w:cs="Arial"/>
      <w:b/>
      <w:szCs w:val="20"/>
      <w:lang w:val="en-AU"/>
    </w:rPr>
  </w:style>
  <w:style w:type="paragraph" w:styleId="Heading3">
    <w:name w:val="heading 3"/>
    <w:basedOn w:val="Normal"/>
    <w:next w:val="Normal"/>
    <w:link w:val="Heading3Char"/>
    <w:uiPriority w:val="9"/>
    <w:unhideWhenUsed/>
    <w:qFormat/>
    <w:rsid w:val="00835B3F"/>
    <w:pPr>
      <w:spacing w:after="0"/>
      <w:outlineLvl w:val="2"/>
    </w:pPr>
    <w:rPr>
      <w:rFonts w:cs="Arial"/>
      <w:b/>
      <w:color w:val="000000"/>
      <w:szCs w:val="20"/>
      <w:lang w:val="en-AU"/>
    </w:rPr>
  </w:style>
  <w:style w:type="paragraph" w:styleId="Heading4">
    <w:name w:val="heading 4"/>
    <w:basedOn w:val="Normal"/>
    <w:next w:val="Normal"/>
    <w:link w:val="Heading4Char"/>
    <w:uiPriority w:val="9"/>
    <w:unhideWhenUsed/>
    <w:qFormat/>
    <w:rsid w:val="00835B3F"/>
    <w:pPr>
      <w:spacing w:after="0"/>
      <w:outlineLvl w:val="3"/>
    </w:pPr>
    <w:rPr>
      <w:rFonts w:cs="Arial"/>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D4F7B"/>
    <w:rPr>
      <w:color w:val="0000FF"/>
      <w:u w:val="single"/>
    </w:rPr>
  </w:style>
  <w:style w:type="paragraph" w:styleId="BalloonText">
    <w:name w:val="Balloon Text"/>
    <w:basedOn w:val="Normal"/>
    <w:link w:val="BalloonTextChar"/>
    <w:uiPriority w:val="99"/>
    <w:semiHidden/>
    <w:unhideWhenUsed/>
    <w:rsid w:val="002D4F7B"/>
    <w:pPr>
      <w:spacing w:after="0"/>
    </w:pPr>
    <w:rPr>
      <w:rFonts w:ascii="Tahoma" w:hAnsi="Tahoma"/>
      <w:sz w:val="16"/>
      <w:szCs w:val="16"/>
    </w:rPr>
  </w:style>
  <w:style w:type="character" w:customStyle="1" w:styleId="BalloonTextChar">
    <w:name w:val="Balloon Text Char"/>
    <w:link w:val="BalloonText"/>
    <w:uiPriority w:val="99"/>
    <w:semiHidden/>
    <w:rsid w:val="002D4F7B"/>
    <w:rPr>
      <w:rFonts w:ascii="Tahoma" w:hAnsi="Tahoma" w:cs="Tahoma"/>
      <w:sz w:val="16"/>
      <w:szCs w:val="16"/>
    </w:rPr>
  </w:style>
  <w:style w:type="paragraph" w:styleId="NormalWeb">
    <w:name w:val="Normal (Web)"/>
    <w:basedOn w:val="Normal"/>
    <w:rsid w:val="00906974"/>
    <w:pPr>
      <w:spacing w:before="100" w:beforeAutospacing="1" w:after="100" w:afterAutospacing="1"/>
    </w:pPr>
    <w:rPr>
      <w:rFonts w:ascii="Times New Roman" w:eastAsia="MS Mincho" w:hAnsi="Times New Roman"/>
      <w:sz w:val="24"/>
      <w:szCs w:val="24"/>
      <w:lang w:val="en-GB" w:eastAsia="ja-JP"/>
    </w:rPr>
  </w:style>
  <w:style w:type="paragraph" w:styleId="BodyText">
    <w:name w:val="Body Text"/>
    <w:basedOn w:val="Normal"/>
    <w:link w:val="BodyTextChar"/>
    <w:rsid w:val="00757FFC"/>
    <w:pPr>
      <w:spacing w:after="0"/>
    </w:pPr>
    <w:rPr>
      <w:rFonts w:ascii="Times New Roman" w:eastAsia="Times New Roman" w:hAnsi="Times New Roman"/>
      <w:szCs w:val="24"/>
      <w:lang w:val="en-GB" w:eastAsia="da-DK"/>
    </w:rPr>
  </w:style>
  <w:style w:type="character" w:customStyle="1" w:styleId="BodyTextChar">
    <w:name w:val="Body Text Char"/>
    <w:link w:val="BodyText"/>
    <w:rsid w:val="00757FFC"/>
    <w:rPr>
      <w:rFonts w:ascii="Times New Roman" w:eastAsia="Times New Roman" w:hAnsi="Times New Roman" w:cs="Times New Roman"/>
      <w:szCs w:val="24"/>
      <w:lang w:val="en-GB" w:eastAsia="da-DK"/>
    </w:rPr>
  </w:style>
  <w:style w:type="table" w:styleId="TableGrid">
    <w:name w:val="Table Grid"/>
    <w:basedOn w:val="TableNormal"/>
    <w:rsid w:val="00B86F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68B7"/>
    <w:pPr>
      <w:ind w:left="720"/>
      <w:contextualSpacing/>
    </w:pPr>
  </w:style>
  <w:style w:type="paragraph" w:styleId="Caption">
    <w:name w:val="caption"/>
    <w:basedOn w:val="Normal"/>
    <w:next w:val="BodyText"/>
    <w:qFormat/>
    <w:rsid w:val="003E70BD"/>
    <w:pPr>
      <w:keepNext/>
      <w:keepLines/>
      <w:suppressAutoHyphens/>
      <w:spacing w:before="60" w:after="60"/>
      <w:ind w:left="1247" w:hanging="1247"/>
    </w:pPr>
    <w:rPr>
      <w:rFonts w:ascii="Times New Roman" w:eastAsia="Times New Roman" w:hAnsi="Times New Roman"/>
      <w:b/>
      <w:bCs/>
      <w:sz w:val="24"/>
      <w:szCs w:val="20"/>
      <w:lang w:val="en-GB" w:eastAsia="en-GB"/>
    </w:rPr>
  </w:style>
  <w:style w:type="paragraph" w:customStyle="1" w:styleId="C-TableHeader">
    <w:name w:val="C-Table Header"/>
    <w:next w:val="C-TableText"/>
    <w:rsid w:val="00B7076B"/>
    <w:pPr>
      <w:keepNext/>
      <w:spacing w:before="60" w:after="60"/>
    </w:pPr>
    <w:rPr>
      <w:rFonts w:ascii="Arial" w:eastAsia="Times New Roman" w:hAnsi="Arial" w:cs="Arial"/>
      <w:b/>
      <w:sz w:val="18"/>
      <w:szCs w:val="18"/>
      <w:lang w:eastAsia="en-US"/>
    </w:rPr>
  </w:style>
  <w:style w:type="paragraph" w:customStyle="1" w:styleId="C-TableText">
    <w:name w:val="C-Table Text"/>
    <w:rsid w:val="003E70BD"/>
    <w:pPr>
      <w:spacing w:before="60" w:after="60"/>
    </w:pPr>
    <w:rPr>
      <w:rFonts w:ascii="Times New Roman" w:eastAsia="Times New Roman" w:hAnsi="Times New Roman"/>
      <w:sz w:val="22"/>
      <w:lang w:val="en-US" w:eastAsia="en-US"/>
    </w:rPr>
  </w:style>
  <w:style w:type="paragraph" w:styleId="Header">
    <w:name w:val="header"/>
    <w:basedOn w:val="Normal"/>
    <w:rsid w:val="00412DDB"/>
    <w:pPr>
      <w:tabs>
        <w:tab w:val="center" w:pos="4153"/>
        <w:tab w:val="right" w:pos="8306"/>
      </w:tabs>
    </w:pPr>
  </w:style>
  <w:style w:type="paragraph" w:styleId="Footer">
    <w:name w:val="footer"/>
    <w:basedOn w:val="Normal"/>
    <w:link w:val="FooterChar"/>
    <w:uiPriority w:val="99"/>
    <w:rsid w:val="00412DDB"/>
    <w:pPr>
      <w:tabs>
        <w:tab w:val="center" w:pos="4153"/>
        <w:tab w:val="right" w:pos="8306"/>
      </w:tabs>
    </w:pPr>
  </w:style>
  <w:style w:type="character" w:styleId="PageNumber">
    <w:name w:val="page number"/>
    <w:basedOn w:val="DefaultParagraphFont"/>
    <w:rsid w:val="00412DDB"/>
  </w:style>
  <w:style w:type="character" w:customStyle="1" w:styleId="FooterChar">
    <w:name w:val="Footer Char"/>
    <w:link w:val="Footer"/>
    <w:uiPriority w:val="99"/>
    <w:rsid w:val="00FB2B49"/>
    <w:rPr>
      <w:sz w:val="22"/>
      <w:szCs w:val="22"/>
    </w:rPr>
  </w:style>
  <w:style w:type="paragraph" w:customStyle="1" w:styleId="Style1">
    <w:name w:val="Style1"/>
    <w:basedOn w:val="C-TableHeader"/>
    <w:rsid w:val="00B7076B"/>
  </w:style>
  <w:style w:type="character" w:styleId="CommentReference">
    <w:name w:val="annotation reference"/>
    <w:semiHidden/>
    <w:rsid w:val="00027B22"/>
    <w:rPr>
      <w:sz w:val="16"/>
      <w:szCs w:val="16"/>
    </w:rPr>
  </w:style>
  <w:style w:type="paragraph" w:styleId="CommentText">
    <w:name w:val="annotation text"/>
    <w:basedOn w:val="Normal"/>
    <w:semiHidden/>
    <w:rsid w:val="00027B22"/>
    <w:rPr>
      <w:szCs w:val="20"/>
    </w:rPr>
  </w:style>
  <w:style w:type="paragraph" w:styleId="CommentSubject">
    <w:name w:val="annotation subject"/>
    <w:basedOn w:val="CommentText"/>
    <w:next w:val="CommentText"/>
    <w:semiHidden/>
    <w:rsid w:val="00027B22"/>
    <w:rPr>
      <w:b/>
      <w:bCs/>
    </w:rPr>
  </w:style>
  <w:style w:type="character" w:customStyle="1" w:styleId="Heading1Char">
    <w:name w:val="Heading 1 Char"/>
    <w:basedOn w:val="DefaultParagraphFont"/>
    <w:link w:val="Heading1"/>
    <w:uiPriority w:val="9"/>
    <w:rsid w:val="00835B3F"/>
    <w:rPr>
      <w:rFonts w:ascii="Arial" w:hAnsi="Arial" w:cs="Arial"/>
      <w:b/>
      <w:sz w:val="22"/>
      <w:szCs w:val="22"/>
      <w:lang w:eastAsia="en-US"/>
    </w:rPr>
  </w:style>
  <w:style w:type="character" w:customStyle="1" w:styleId="Heading2Char">
    <w:name w:val="Heading 2 Char"/>
    <w:basedOn w:val="DefaultParagraphFont"/>
    <w:link w:val="Heading2"/>
    <w:uiPriority w:val="9"/>
    <w:rsid w:val="00835B3F"/>
    <w:rPr>
      <w:rFonts w:ascii="Arial" w:hAnsi="Arial" w:cs="Arial"/>
      <w:b/>
      <w:lang w:eastAsia="en-US"/>
    </w:rPr>
  </w:style>
  <w:style w:type="character" w:customStyle="1" w:styleId="Heading3Char">
    <w:name w:val="Heading 3 Char"/>
    <w:basedOn w:val="DefaultParagraphFont"/>
    <w:link w:val="Heading3"/>
    <w:uiPriority w:val="9"/>
    <w:rsid w:val="00835B3F"/>
    <w:rPr>
      <w:rFonts w:ascii="Arial" w:hAnsi="Arial" w:cs="Arial"/>
      <w:b/>
      <w:color w:val="000000"/>
      <w:lang w:eastAsia="en-US"/>
    </w:rPr>
  </w:style>
  <w:style w:type="character" w:customStyle="1" w:styleId="Heading4Char">
    <w:name w:val="Heading 4 Char"/>
    <w:basedOn w:val="DefaultParagraphFont"/>
    <w:link w:val="Heading4"/>
    <w:uiPriority w:val="9"/>
    <w:rsid w:val="00835B3F"/>
    <w:rPr>
      <w:rFonts w:ascii="Arial" w:hAnsi="Arial" w:cs="Arial"/>
      <w:b/>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Oxy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n.wikipedia.org/wiki/Hydro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Carb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846D-C9D7-450F-B250-D71FA53C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2670</Words>
  <Characters>14876</Characters>
  <Application>Microsoft Office Word</Application>
  <DocSecurity>0</DocSecurity>
  <Lines>286</Lines>
  <Paragraphs>140</Paragraphs>
  <ScaleCrop>false</ScaleCrop>
  <HeadingPairs>
    <vt:vector size="2" baseType="variant">
      <vt:variant>
        <vt:lpstr>Title</vt:lpstr>
      </vt:variant>
      <vt:variant>
        <vt:i4>1</vt:i4>
      </vt:variant>
    </vt:vector>
  </HeadingPairs>
  <TitlesOfParts>
    <vt:vector size="1" baseType="lpstr">
      <vt:lpstr>Product Information for Endometrin Pessaries progesterone</vt:lpstr>
    </vt:vector>
  </TitlesOfParts>
  <Company>Ferring Pharmaceuticals Pty Ltd</Company>
  <LinksUpToDate>false</LinksUpToDate>
  <CharactersWithSpaces>17406</CharactersWithSpaces>
  <SharedDoc>false</SharedDoc>
  <HLinks>
    <vt:vector size="18" baseType="variant">
      <vt:variant>
        <vt:i4>7077930</vt:i4>
      </vt:variant>
      <vt:variant>
        <vt:i4>6</vt:i4>
      </vt:variant>
      <vt:variant>
        <vt:i4>0</vt:i4>
      </vt:variant>
      <vt:variant>
        <vt:i4>5</vt:i4>
      </vt:variant>
      <vt:variant>
        <vt:lpwstr>http://en.wikipedia.org/wiki/Oxygen</vt:lpwstr>
      </vt:variant>
      <vt:variant>
        <vt:lpwstr/>
      </vt:variant>
      <vt:variant>
        <vt:i4>1638489</vt:i4>
      </vt:variant>
      <vt:variant>
        <vt:i4>3</vt:i4>
      </vt:variant>
      <vt:variant>
        <vt:i4>0</vt:i4>
      </vt:variant>
      <vt:variant>
        <vt:i4>5</vt:i4>
      </vt:variant>
      <vt:variant>
        <vt:lpwstr>http://en.wikipedia.org/wiki/Hydrogen</vt:lpwstr>
      </vt:variant>
      <vt:variant>
        <vt:lpwstr/>
      </vt:variant>
      <vt:variant>
        <vt:i4>6357046</vt:i4>
      </vt:variant>
      <vt:variant>
        <vt:i4>0</vt:i4>
      </vt:variant>
      <vt:variant>
        <vt:i4>0</vt:i4>
      </vt:variant>
      <vt:variant>
        <vt:i4>5</vt:i4>
      </vt:variant>
      <vt:variant>
        <vt:lpwstr>http://en.wikipedia.org/wiki/Carbon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Endometrin Pessaries progesterone</dc:title>
  <dc:subject>prescription medicine regulation</dc:subject>
  <dc:creator>Ferring Pharmaceuticals Pty Ltd</dc:creator>
  <cp:keywords>product information, pi, endometrin pessaries, progesterone</cp:keywords>
  <cp:lastModifiedBy>Sheppard, Fran</cp:lastModifiedBy>
  <cp:revision>6</cp:revision>
  <cp:lastPrinted>2012-09-21T04:26:00Z</cp:lastPrinted>
  <dcterms:created xsi:type="dcterms:W3CDTF">2013-04-10T01:52:00Z</dcterms:created>
  <dcterms:modified xsi:type="dcterms:W3CDTF">2013-09-03T11:49:00Z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Num">
    <vt:lpwstr>#29931-v4A</vt:lpwstr>
  </property>
</Properties>
</file>