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4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77"/>
      </w:tblGrid>
      <w:tr w:rsidR="008E7846" w:rsidRPr="00487162" w:rsidTr="00134868">
        <w:trPr>
          <w:trHeight w:val="1863"/>
        </w:trPr>
        <w:tc>
          <w:tcPr>
            <w:tcW w:w="4077" w:type="dxa"/>
            <w:tcBorders>
              <w:top w:val="nil"/>
              <w:left w:val="nil"/>
              <w:bottom w:val="nil"/>
              <w:right w:val="nil"/>
            </w:tcBorders>
          </w:tcPr>
          <w:p w:rsidR="008E7846" w:rsidRPr="00487162" w:rsidRDefault="003D1AE5" w:rsidP="00E45619">
            <w:pPr>
              <w:rPr>
                <w:rFonts w:ascii="Arial" w:hAnsi="Arial" w:cs="Arial"/>
                <w:b/>
                <w:color w:val="002C47"/>
                <w:sz w:val="36"/>
                <w:szCs w:val="36"/>
              </w:rPr>
            </w:pPr>
            <w:r>
              <w:rPr>
                <w:rFonts w:ascii="Arial" w:hAnsi="Arial" w:cs="Arial"/>
                <w:b/>
                <w:noProof/>
                <w:color w:val="002C47"/>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27" type="#_x0000_t136" style="position:absolute;margin-left:0;margin-top:0;width:535.5pt;height:202.5pt;rotation:315;z-index:-251658752;mso-position-horizontal:center;mso-position-horizontal-relative:margin;mso-position-vertical:center;mso-position-vertical-relative:margin" o:allowincell="f" fillcolor="#4a8485" stroked="f">
                  <v:fill opacity=".5"/>
                  <v:textpath style="font-family:&quot;Arial Black&quot;;font-size:2in" string=" "/>
                  <w10:wrap anchorx="margin" anchory="margin"/>
                </v:shape>
              </w:pict>
            </w:r>
            <w:r w:rsidR="00201570">
              <w:rPr>
                <w:rFonts w:ascii="Arial" w:hAnsi="Arial" w:cs="Arial"/>
                <w:b/>
                <w:color w:val="002C47"/>
                <w:sz w:val="36"/>
                <w:szCs w:val="36"/>
              </w:rPr>
              <w:t xml:space="preserve">June </w:t>
            </w:r>
            <w:r w:rsidR="005E0E7F">
              <w:rPr>
                <w:rFonts w:ascii="Arial" w:hAnsi="Arial" w:cs="Arial"/>
                <w:b/>
                <w:color w:val="002C47"/>
                <w:sz w:val="36"/>
                <w:szCs w:val="36"/>
              </w:rPr>
              <w:t>20</w:t>
            </w:r>
            <w:r w:rsidR="0019271A">
              <w:rPr>
                <w:rFonts w:ascii="Arial" w:hAnsi="Arial" w:cs="Arial"/>
                <w:b/>
                <w:color w:val="002C47"/>
                <w:sz w:val="36"/>
                <w:szCs w:val="36"/>
              </w:rPr>
              <w:t>13</w:t>
            </w:r>
          </w:p>
          <w:p w:rsidR="008E7846" w:rsidRPr="00487162" w:rsidRDefault="008E7846" w:rsidP="00E45619">
            <w:pPr>
              <w:pStyle w:val="Date"/>
              <w:jc w:val="right"/>
              <w:rPr>
                <w:color w:val="006DA7"/>
              </w:rPr>
            </w:pPr>
          </w:p>
        </w:tc>
      </w:tr>
    </w:tbl>
    <w:tbl>
      <w:tblPr>
        <w:tblpPr w:leftFromText="180" w:rightFromText="180" w:vertAnchor="page" w:tblpY="3316"/>
        <w:tblW w:w="9079" w:type="dxa"/>
        <w:tblLayout w:type="fixed"/>
        <w:tblLook w:val="04A0"/>
      </w:tblPr>
      <w:tblGrid>
        <w:gridCol w:w="9079"/>
      </w:tblGrid>
      <w:tr w:rsidR="0032583B" w:rsidRPr="00A964D1" w:rsidTr="0032583B">
        <w:trPr>
          <w:trHeight w:val="868"/>
        </w:trPr>
        <w:tc>
          <w:tcPr>
            <w:tcW w:w="9079" w:type="dxa"/>
          </w:tcPr>
          <w:p w:rsidR="0032583B" w:rsidRPr="00A964D1" w:rsidRDefault="0032583B" w:rsidP="00A964D1">
            <w:pPr>
              <w:pStyle w:val="Title"/>
              <w:rPr>
                <w:color w:val="FFFFFF"/>
              </w:rPr>
            </w:pPr>
            <w:r w:rsidRPr="00A964D1">
              <w:rPr>
                <w:color w:val="FFFFFF"/>
              </w:rPr>
              <w:t>Austral</w:t>
            </w:r>
            <w:r w:rsidR="003173D7">
              <w:rPr>
                <w:color w:val="FFFFFF"/>
              </w:rPr>
              <w:t>ian Public Assessment Report for</w:t>
            </w:r>
            <w:r w:rsidR="0019271A">
              <w:rPr>
                <w:color w:val="FFFFFF"/>
              </w:rPr>
              <w:t xml:space="preserve"> progesterone</w:t>
            </w:r>
          </w:p>
        </w:tc>
      </w:tr>
      <w:tr w:rsidR="0032583B" w:rsidRPr="00B64760" w:rsidTr="0032583B">
        <w:tc>
          <w:tcPr>
            <w:tcW w:w="9079" w:type="dxa"/>
          </w:tcPr>
          <w:p w:rsidR="0032583B" w:rsidRPr="008E7846" w:rsidRDefault="0019271A" w:rsidP="00EF2FAA">
            <w:pPr>
              <w:pStyle w:val="Subtitle"/>
              <w:ind w:left="0"/>
              <w:rPr>
                <w:color w:val="FFFFFF"/>
              </w:rPr>
            </w:pPr>
            <w:r>
              <w:rPr>
                <w:color w:val="FFFFFF"/>
              </w:rPr>
              <w:t>Proprietary Product Name: Endometrin</w:t>
            </w:r>
            <w:r w:rsidR="00527562">
              <w:rPr>
                <w:color w:val="FFFFFF"/>
              </w:rPr>
              <w:t xml:space="preserve"> Pessaries</w:t>
            </w:r>
          </w:p>
        </w:tc>
      </w:tr>
      <w:tr w:rsidR="0032583B" w:rsidRPr="00B64760" w:rsidTr="0032583B">
        <w:trPr>
          <w:trHeight w:val="486"/>
        </w:trPr>
        <w:tc>
          <w:tcPr>
            <w:tcW w:w="9079" w:type="dxa"/>
          </w:tcPr>
          <w:p w:rsidR="0032583B" w:rsidRPr="008E7846" w:rsidRDefault="0019271A" w:rsidP="00973C1B">
            <w:pPr>
              <w:pStyle w:val="Subtitle"/>
              <w:ind w:left="0"/>
              <w:rPr>
                <w:color w:val="FFFFFF"/>
              </w:rPr>
            </w:pPr>
            <w:r>
              <w:rPr>
                <w:color w:val="FFFFFF"/>
              </w:rPr>
              <w:t>Sponsor: Ferring Pharmaceuticals Pty Ltd</w:t>
            </w:r>
          </w:p>
        </w:tc>
      </w:tr>
    </w:tbl>
    <w:p w:rsidR="008E7846" w:rsidRPr="001F6CBA" w:rsidRDefault="008E7846" w:rsidP="008E7846">
      <w:pPr>
        <w:pStyle w:val="NonTOCHeading2"/>
      </w:pPr>
      <w:r>
        <w:br w:type="page"/>
      </w:r>
      <w:r w:rsidRPr="001F6CBA">
        <w:lastRenderedPageBreak/>
        <w:t>About the Therapeutic Goods Administration (TGA)</w:t>
      </w:r>
    </w:p>
    <w:p w:rsidR="008E7846" w:rsidRDefault="008E7846" w:rsidP="00AA4A3D">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8E7846" w:rsidP="00AA4A3D">
      <w:pPr>
        <w:pStyle w:val="ListBullet"/>
        <w:numPr>
          <w:ilvl w:val="0"/>
          <w:numId w:val="1"/>
        </w:numPr>
        <w:ind w:left="357" w:hanging="357"/>
      </w:pPr>
      <w:r>
        <w:t xml:space="preserve">TGA administers the </w:t>
      </w:r>
      <w:r w:rsidRPr="00F640B6">
        <w:rPr>
          <w:i/>
        </w:rPr>
        <w:t>Therapeutic Goods Act 1989</w:t>
      </w:r>
      <w:r>
        <w:t xml:space="preserve"> (the Act), applying a risk management approach designed to ensure therapeutic goods supplied in Australia meet acceptable standards of quality, safety and efficacy (performance), when necessary.</w:t>
      </w:r>
    </w:p>
    <w:p w:rsidR="008E7846" w:rsidRDefault="008E7846" w:rsidP="00AA4A3D">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AA4A3D">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AA4A3D">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6103E" w:rsidRPr="00740077">
          <w:rPr>
            <w:rStyle w:val="Hyperlink"/>
          </w:rPr>
          <w:t>http://www.tga.gov.au</w:t>
        </w:r>
      </w:hyperlink>
      <w:r w:rsidR="00112F56">
        <w:t>&gt;</w:t>
      </w:r>
      <w:r>
        <w:t>.</w:t>
      </w:r>
    </w:p>
    <w:p w:rsidR="008E7846" w:rsidRDefault="008E7846" w:rsidP="008E7846">
      <w:pPr>
        <w:pStyle w:val="NonTOCHeading2"/>
      </w:pPr>
      <w:r>
        <w:t>About AusPARs</w:t>
      </w:r>
    </w:p>
    <w:p w:rsidR="008E7846" w:rsidRDefault="008E7846" w:rsidP="00AA4A3D">
      <w:pPr>
        <w:pStyle w:val="ListBullet"/>
        <w:numPr>
          <w:ilvl w:val="0"/>
          <w:numId w:val="1"/>
        </w:numPr>
        <w:ind w:left="357" w:hanging="357"/>
      </w:pPr>
      <w:r>
        <w:t>An Australian Public Assessment Record (AusPAR) provides information about the evaluation of a prescription medicine and the considerations that led the TGA to approve or not approve a pr</w:t>
      </w:r>
      <w:r w:rsidR="0076103E">
        <w:t>escription medicine submission.</w:t>
      </w:r>
    </w:p>
    <w:p w:rsidR="008E7846" w:rsidRDefault="008E7846" w:rsidP="00AA4A3D">
      <w:pPr>
        <w:pStyle w:val="ListBullet"/>
        <w:numPr>
          <w:ilvl w:val="0"/>
          <w:numId w:val="1"/>
        </w:numPr>
        <w:ind w:left="357" w:hanging="357"/>
      </w:pPr>
      <w:r>
        <w:t>AusPARs are prepared and published by the TGA.</w:t>
      </w:r>
    </w:p>
    <w:p w:rsidR="008E7846" w:rsidRDefault="008E7846" w:rsidP="00AA4A3D">
      <w:pPr>
        <w:pStyle w:val="ListBullet"/>
        <w:numPr>
          <w:ilvl w:val="0"/>
          <w:numId w:val="1"/>
        </w:numPr>
        <w:ind w:left="357" w:hanging="357"/>
      </w:pPr>
      <w:r>
        <w:t>An AusPAR is prepared for submissions that relate to new chemical entities, generic medicines, major variations, and extensions of indications.</w:t>
      </w:r>
    </w:p>
    <w:p w:rsidR="008E7846" w:rsidRDefault="008E7846" w:rsidP="00AA4A3D">
      <w:pPr>
        <w:pStyle w:val="ListBullet"/>
        <w:numPr>
          <w:ilvl w:val="0"/>
          <w:numId w:val="1"/>
        </w:numPr>
        <w:ind w:left="357" w:hanging="357"/>
      </w:pPr>
      <w:r>
        <w:t>An AusPAR is a static document, in that it will provide information that relates to a submission at a particular point in time.</w:t>
      </w:r>
    </w:p>
    <w:p w:rsidR="00B452CE" w:rsidRDefault="008E7846" w:rsidP="00AA4A3D">
      <w:pPr>
        <w:pStyle w:val="ListBullet"/>
        <w:numPr>
          <w:ilvl w:val="0"/>
          <w:numId w:val="1"/>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sidR="009E1510">
        <w:rPr>
          <w:rFonts w:cs="Arial"/>
          <w:lang w:val="en-GB"/>
        </w:rPr>
        <w:t>onwealth of Australia 2013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p w:rsidR="0089635C" w:rsidRPr="0089635C" w:rsidRDefault="0089635C" w:rsidP="0010788A">
      <w:pPr>
        <w:pStyle w:val="Contents"/>
      </w:pPr>
      <w:bookmarkStart w:id="0" w:name="_Toc196046425"/>
      <w:bookmarkStart w:id="1" w:name="_Toc247691501"/>
      <w:r w:rsidRPr="0010788A">
        <w:lastRenderedPageBreak/>
        <w:t>Contents</w:t>
      </w:r>
    </w:p>
    <w:p w:rsidR="004C62F6" w:rsidRDefault="003D1AE5">
      <w:pPr>
        <w:pStyle w:val="TOC2"/>
        <w:rPr>
          <w:rFonts w:ascii="Calibri" w:eastAsia="Times New Roman" w:hAnsi="Calibri"/>
          <w:b w:val="0"/>
          <w:noProof/>
          <w:sz w:val="22"/>
          <w:lang w:eastAsia="en-AU"/>
        </w:rPr>
      </w:pPr>
      <w:r>
        <w:fldChar w:fldCharType="begin"/>
      </w:r>
      <w:r w:rsidR="0089635C">
        <w:instrText xml:space="preserve"> TOC \o "1-3" \h \z \u </w:instrText>
      </w:r>
      <w:r>
        <w:fldChar w:fldCharType="separate"/>
      </w:r>
      <w:hyperlink w:anchor="_Toc357785350" w:history="1">
        <w:r w:rsidR="004C62F6" w:rsidRPr="00BF2881">
          <w:rPr>
            <w:rStyle w:val="Hyperlink"/>
            <w:noProof/>
          </w:rPr>
          <w:t>I. Introduction to product submission</w:t>
        </w:r>
        <w:r w:rsidR="004C62F6">
          <w:rPr>
            <w:noProof/>
            <w:webHidden/>
          </w:rPr>
          <w:tab/>
        </w:r>
        <w:r w:rsidR="004C62F6">
          <w:rPr>
            <w:noProof/>
            <w:webHidden/>
          </w:rPr>
          <w:fldChar w:fldCharType="begin"/>
        </w:r>
        <w:r w:rsidR="004C62F6">
          <w:rPr>
            <w:noProof/>
            <w:webHidden/>
          </w:rPr>
          <w:instrText xml:space="preserve"> PAGEREF _Toc357785350 \h </w:instrText>
        </w:r>
        <w:r w:rsidR="004C62F6">
          <w:rPr>
            <w:noProof/>
            <w:webHidden/>
          </w:rPr>
        </w:r>
        <w:r w:rsidR="004C62F6">
          <w:rPr>
            <w:noProof/>
            <w:webHidden/>
          </w:rPr>
          <w:fldChar w:fldCharType="separate"/>
        </w:r>
        <w:r w:rsidR="004C62F6">
          <w:rPr>
            <w:noProof/>
            <w:webHidden/>
          </w:rPr>
          <w:t>4</w:t>
        </w:r>
        <w:r w:rsidR="004C62F6">
          <w:rPr>
            <w:noProof/>
            <w:webHidden/>
          </w:rPr>
          <w:fldChar w:fldCharType="end"/>
        </w:r>
      </w:hyperlink>
    </w:p>
    <w:p w:rsidR="004C62F6" w:rsidRDefault="004C62F6">
      <w:pPr>
        <w:pStyle w:val="TOC3"/>
        <w:rPr>
          <w:rFonts w:ascii="Calibri" w:eastAsia="Times New Roman" w:hAnsi="Calibri"/>
          <w:noProof/>
          <w:lang w:eastAsia="en-AU"/>
        </w:rPr>
      </w:pPr>
      <w:hyperlink w:anchor="_Toc357785351" w:history="1">
        <w:r w:rsidRPr="00BF2881">
          <w:rPr>
            <w:rStyle w:val="Hyperlink"/>
            <w:noProof/>
            <w:lang w:eastAsia="en-AU"/>
          </w:rPr>
          <w:t>Submission details</w:t>
        </w:r>
        <w:r>
          <w:rPr>
            <w:noProof/>
            <w:webHidden/>
          </w:rPr>
          <w:tab/>
        </w:r>
        <w:r>
          <w:rPr>
            <w:noProof/>
            <w:webHidden/>
          </w:rPr>
          <w:fldChar w:fldCharType="begin"/>
        </w:r>
        <w:r>
          <w:rPr>
            <w:noProof/>
            <w:webHidden/>
          </w:rPr>
          <w:instrText xml:space="preserve"> PAGEREF _Toc357785351 \h </w:instrText>
        </w:r>
        <w:r>
          <w:rPr>
            <w:noProof/>
            <w:webHidden/>
          </w:rPr>
        </w:r>
        <w:r>
          <w:rPr>
            <w:noProof/>
            <w:webHidden/>
          </w:rPr>
          <w:fldChar w:fldCharType="separate"/>
        </w:r>
        <w:r>
          <w:rPr>
            <w:noProof/>
            <w:webHidden/>
          </w:rPr>
          <w:t>4</w:t>
        </w:r>
        <w:r>
          <w:rPr>
            <w:noProof/>
            <w:webHidden/>
          </w:rPr>
          <w:fldChar w:fldCharType="end"/>
        </w:r>
      </w:hyperlink>
    </w:p>
    <w:p w:rsidR="004C62F6" w:rsidRDefault="004C62F6">
      <w:pPr>
        <w:pStyle w:val="TOC3"/>
        <w:rPr>
          <w:rFonts w:ascii="Calibri" w:eastAsia="Times New Roman" w:hAnsi="Calibri"/>
          <w:noProof/>
          <w:lang w:eastAsia="en-AU"/>
        </w:rPr>
      </w:pPr>
      <w:hyperlink w:anchor="_Toc357785352" w:history="1">
        <w:r w:rsidRPr="00BF2881">
          <w:rPr>
            <w:rStyle w:val="Hyperlink"/>
            <w:noProof/>
          </w:rPr>
          <w:t>Product background</w:t>
        </w:r>
        <w:r>
          <w:rPr>
            <w:noProof/>
            <w:webHidden/>
          </w:rPr>
          <w:tab/>
        </w:r>
        <w:r>
          <w:rPr>
            <w:noProof/>
            <w:webHidden/>
          </w:rPr>
          <w:fldChar w:fldCharType="begin"/>
        </w:r>
        <w:r>
          <w:rPr>
            <w:noProof/>
            <w:webHidden/>
          </w:rPr>
          <w:instrText xml:space="preserve"> PAGEREF _Toc357785352 \h </w:instrText>
        </w:r>
        <w:r>
          <w:rPr>
            <w:noProof/>
            <w:webHidden/>
          </w:rPr>
        </w:r>
        <w:r>
          <w:rPr>
            <w:noProof/>
            <w:webHidden/>
          </w:rPr>
          <w:fldChar w:fldCharType="separate"/>
        </w:r>
        <w:r>
          <w:rPr>
            <w:noProof/>
            <w:webHidden/>
          </w:rPr>
          <w:t>4</w:t>
        </w:r>
        <w:r>
          <w:rPr>
            <w:noProof/>
            <w:webHidden/>
          </w:rPr>
          <w:fldChar w:fldCharType="end"/>
        </w:r>
      </w:hyperlink>
    </w:p>
    <w:p w:rsidR="004C62F6" w:rsidRDefault="004C62F6">
      <w:pPr>
        <w:pStyle w:val="TOC3"/>
        <w:rPr>
          <w:rFonts w:ascii="Calibri" w:eastAsia="Times New Roman" w:hAnsi="Calibri"/>
          <w:noProof/>
          <w:lang w:eastAsia="en-AU"/>
        </w:rPr>
      </w:pPr>
      <w:hyperlink w:anchor="_Toc357785353" w:history="1">
        <w:r w:rsidRPr="00BF2881">
          <w:rPr>
            <w:rStyle w:val="Hyperlink"/>
            <w:noProof/>
          </w:rPr>
          <w:t>Regulatory status</w:t>
        </w:r>
        <w:r>
          <w:rPr>
            <w:noProof/>
            <w:webHidden/>
          </w:rPr>
          <w:tab/>
        </w:r>
        <w:r>
          <w:rPr>
            <w:noProof/>
            <w:webHidden/>
          </w:rPr>
          <w:fldChar w:fldCharType="begin"/>
        </w:r>
        <w:r>
          <w:rPr>
            <w:noProof/>
            <w:webHidden/>
          </w:rPr>
          <w:instrText xml:space="preserve"> PAGEREF _Toc357785353 \h </w:instrText>
        </w:r>
        <w:r>
          <w:rPr>
            <w:noProof/>
            <w:webHidden/>
          </w:rPr>
        </w:r>
        <w:r>
          <w:rPr>
            <w:noProof/>
            <w:webHidden/>
          </w:rPr>
          <w:fldChar w:fldCharType="separate"/>
        </w:r>
        <w:r>
          <w:rPr>
            <w:noProof/>
            <w:webHidden/>
          </w:rPr>
          <w:t>5</w:t>
        </w:r>
        <w:r>
          <w:rPr>
            <w:noProof/>
            <w:webHidden/>
          </w:rPr>
          <w:fldChar w:fldCharType="end"/>
        </w:r>
      </w:hyperlink>
    </w:p>
    <w:p w:rsidR="004C62F6" w:rsidRDefault="004C62F6">
      <w:pPr>
        <w:pStyle w:val="TOC3"/>
        <w:rPr>
          <w:rFonts w:ascii="Calibri" w:eastAsia="Times New Roman" w:hAnsi="Calibri"/>
          <w:noProof/>
          <w:lang w:eastAsia="en-AU"/>
        </w:rPr>
      </w:pPr>
      <w:hyperlink w:anchor="_Toc357785354" w:history="1">
        <w:r w:rsidRPr="00BF2881">
          <w:rPr>
            <w:rStyle w:val="Hyperlink"/>
            <w:noProof/>
          </w:rPr>
          <w:t>Product Information</w:t>
        </w:r>
        <w:r>
          <w:rPr>
            <w:noProof/>
            <w:webHidden/>
          </w:rPr>
          <w:tab/>
        </w:r>
        <w:r>
          <w:rPr>
            <w:noProof/>
            <w:webHidden/>
          </w:rPr>
          <w:fldChar w:fldCharType="begin"/>
        </w:r>
        <w:r>
          <w:rPr>
            <w:noProof/>
            <w:webHidden/>
          </w:rPr>
          <w:instrText xml:space="preserve"> PAGEREF _Toc357785354 \h </w:instrText>
        </w:r>
        <w:r>
          <w:rPr>
            <w:noProof/>
            <w:webHidden/>
          </w:rPr>
        </w:r>
        <w:r>
          <w:rPr>
            <w:noProof/>
            <w:webHidden/>
          </w:rPr>
          <w:fldChar w:fldCharType="separate"/>
        </w:r>
        <w:r>
          <w:rPr>
            <w:noProof/>
            <w:webHidden/>
          </w:rPr>
          <w:t>6</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55" w:history="1">
        <w:r w:rsidRPr="00BF2881">
          <w:rPr>
            <w:rStyle w:val="Hyperlink"/>
            <w:noProof/>
          </w:rPr>
          <w:t>II. Quality findings</w:t>
        </w:r>
        <w:r>
          <w:rPr>
            <w:noProof/>
            <w:webHidden/>
          </w:rPr>
          <w:tab/>
        </w:r>
        <w:r>
          <w:rPr>
            <w:noProof/>
            <w:webHidden/>
          </w:rPr>
          <w:fldChar w:fldCharType="begin"/>
        </w:r>
        <w:r>
          <w:rPr>
            <w:noProof/>
            <w:webHidden/>
          </w:rPr>
          <w:instrText xml:space="preserve"> PAGEREF _Toc357785355 \h </w:instrText>
        </w:r>
        <w:r>
          <w:rPr>
            <w:noProof/>
            <w:webHidden/>
          </w:rPr>
        </w:r>
        <w:r>
          <w:rPr>
            <w:noProof/>
            <w:webHidden/>
          </w:rPr>
          <w:fldChar w:fldCharType="separate"/>
        </w:r>
        <w:r>
          <w:rPr>
            <w:noProof/>
            <w:webHidden/>
          </w:rPr>
          <w:t>6</w:t>
        </w:r>
        <w:r>
          <w:rPr>
            <w:noProof/>
            <w:webHidden/>
          </w:rPr>
          <w:fldChar w:fldCharType="end"/>
        </w:r>
      </w:hyperlink>
    </w:p>
    <w:p w:rsidR="004C62F6" w:rsidRDefault="004C62F6">
      <w:pPr>
        <w:pStyle w:val="TOC3"/>
        <w:rPr>
          <w:rFonts w:ascii="Calibri" w:eastAsia="Times New Roman" w:hAnsi="Calibri"/>
          <w:noProof/>
          <w:lang w:eastAsia="en-AU"/>
        </w:rPr>
      </w:pPr>
      <w:hyperlink w:anchor="_Toc357785356" w:history="1">
        <w:r w:rsidRPr="00BF2881">
          <w:rPr>
            <w:rStyle w:val="Hyperlink"/>
            <w:noProof/>
          </w:rPr>
          <w:t>Drug substance (active ingredient)</w:t>
        </w:r>
        <w:r>
          <w:rPr>
            <w:noProof/>
            <w:webHidden/>
          </w:rPr>
          <w:tab/>
        </w:r>
        <w:r>
          <w:rPr>
            <w:noProof/>
            <w:webHidden/>
          </w:rPr>
          <w:fldChar w:fldCharType="begin"/>
        </w:r>
        <w:r>
          <w:rPr>
            <w:noProof/>
            <w:webHidden/>
          </w:rPr>
          <w:instrText xml:space="preserve"> PAGEREF _Toc357785356 \h </w:instrText>
        </w:r>
        <w:r>
          <w:rPr>
            <w:noProof/>
            <w:webHidden/>
          </w:rPr>
        </w:r>
        <w:r>
          <w:rPr>
            <w:noProof/>
            <w:webHidden/>
          </w:rPr>
          <w:fldChar w:fldCharType="separate"/>
        </w:r>
        <w:r>
          <w:rPr>
            <w:noProof/>
            <w:webHidden/>
          </w:rPr>
          <w:t>6</w:t>
        </w:r>
        <w:r>
          <w:rPr>
            <w:noProof/>
            <w:webHidden/>
          </w:rPr>
          <w:fldChar w:fldCharType="end"/>
        </w:r>
      </w:hyperlink>
    </w:p>
    <w:p w:rsidR="004C62F6" w:rsidRDefault="004C62F6">
      <w:pPr>
        <w:pStyle w:val="TOC3"/>
        <w:rPr>
          <w:rFonts w:ascii="Calibri" w:eastAsia="Times New Roman" w:hAnsi="Calibri"/>
          <w:noProof/>
          <w:lang w:eastAsia="en-AU"/>
        </w:rPr>
      </w:pPr>
      <w:hyperlink w:anchor="_Toc357785357" w:history="1">
        <w:r w:rsidRPr="00BF2881">
          <w:rPr>
            <w:rStyle w:val="Hyperlink"/>
            <w:noProof/>
          </w:rPr>
          <w:t>Biopharmaceutics</w:t>
        </w:r>
        <w:r>
          <w:rPr>
            <w:noProof/>
            <w:webHidden/>
          </w:rPr>
          <w:tab/>
        </w:r>
        <w:r>
          <w:rPr>
            <w:noProof/>
            <w:webHidden/>
          </w:rPr>
          <w:fldChar w:fldCharType="begin"/>
        </w:r>
        <w:r>
          <w:rPr>
            <w:noProof/>
            <w:webHidden/>
          </w:rPr>
          <w:instrText xml:space="preserve"> PAGEREF _Toc357785357 \h </w:instrText>
        </w:r>
        <w:r>
          <w:rPr>
            <w:noProof/>
            <w:webHidden/>
          </w:rPr>
        </w:r>
        <w:r>
          <w:rPr>
            <w:noProof/>
            <w:webHidden/>
          </w:rPr>
          <w:fldChar w:fldCharType="separate"/>
        </w:r>
        <w:r>
          <w:rPr>
            <w:noProof/>
            <w:webHidden/>
          </w:rPr>
          <w:t>7</w:t>
        </w:r>
        <w:r>
          <w:rPr>
            <w:noProof/>
            <w:webHidden/>
          </w:rPr>
          <w:fldChar w:fldCharType="end"/>
        </w:r>
      </w:hyperlink>
    </w:p>
    <w:p w:rsidR="004C62F6" w:rsidRDefault="004C62F6">
      <w:pPr>
        <w:pStyle w:val="TOC3"/>
        <w:rPr>
          <w:rFonts w:ascii="Calibri" w:eastAsia="Times New Roman" w:hAnsi="Calibri"/>
          <w:noProof/>
          <w:lang w:eastAsia="en-AU"/>
        </w:rPr>
      </w:pPr>
      <w:hyperlink w:anchor="_Toc357785358" w:history="1">
        <w:r w:rsidRPr="00BF2881">
          <w:rPr>
            <w:rStyle w:val="Hyperlink"/>
            <w:noProof/>
          </w:rPr>
          <w:t>Quality summary and conclusions</w:t>
        </w:r>
        <w:r>
          <w:rPr>
            <w:noProof/>
            <w:webHidden/>
          </w:rPr>
          <w:tab/>
        </w:r>
        <w:r>
          <w:rPr>
            <w:noProof/>
            <w:webHidden/>
          </w:rPr>
          <w:fldChar w:fldCharType="begin"/>
        </w:r>
        <w:r>
          <w:rPr>
            <w:noProof/>
            <w:webHidden/>
          </w:rPr>
          <w:instrText xml:space="preserve"> PAGEREF _Toc357785358 \h </w:instrText>
        </w:r>
        <w:r>
          <w:rPr>
            <w:noProof/>
            <w:webHidden/>
          </w:rPr>
        </w:r>
        <w:r>
          <w:rPr>
            <w:noProof/>
            <w:webHidden/>
          </w:rPr>
          <w:fldChar w:fldCharType="separate"/>
        </w:r>
        <w:r>
          <w:rPr>
            <w:noProof/>
            <w:webHidden/>
          </w:rPr>
          <w:t>7</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59" w:history="1">
        <w:r w:rsidRPr="00BF2881">
          <w:rPr>
            <w:rStyle w:val="Hyperlink"/>
            <w:noProof/>
          </w:rPr>
          <w:t>III. Nonclinical findings</w:t>
        </w:r>
        <w:r>
          <w:rPr>
            <w:noProof/>
            <w:webHidden/>
          </w:rPr>
          <w:tab/>
        </w:r>
        <w:r>
          <w:rPr>
            <w:noProof/>
            <w:webHidden/>
          </w:rPr>
          <w:fldChar w:fldCharType="begin"/>
        </w:r>
        <w:r>
          <w:rPr>
            <w:noProof/>
            <w:webHidden/>
          </w:rPr>
          <w:instrText xml:space="preserve"> PAGEREF _Toc357785359 \h </w:instrText>
        </w:r>
        <w:r>
          <w:rPr>
            <w:noProof/>
            <w:webHidden/>
          </w:rPr>
        </w:r>
        <w:r>
          <w:rPr>
            <w:noProof/>
            <w:webHidden/>
          </w:rPr>
          <w:fldChar w:fldCharType="separate"/>
        </w:r>
        <w:r>
          <w:rPr>
            <w:noProof/>
            <w:webHidden/>
          </w:rPr>
          <w:t>7</w:t>
        </w:r>
        <w:r>
          <w:rPr>
            <w:noProof/>
            <w:webHidden/>
          </w:rPr>
          <w:fldChar w:fldCharType="end"/>
        </w:r>
      </w:hyperlink>
    </w:p>
    <w:p w:rsidR="004C62F6" w:rsidRDefault="004C62F6">
      <w:pPr>
        <w:pStyle w:val="TOC3"/>
        <w:rPr>
          <w:rFonts w:ascii="Calibri" w:eastAsia="Times New Roman" w:hAnsi="Calibri"/>
          <w:noProof/>
          <w:lang w:eastAsia="en-AU"/>
        </w:rPr>
      </w:pPr>
      <w:hyperlink w:anchor="_Toc357785360" w:history="1">
        <w:r w:rsidRPr="00BF2881">
          <w:rPr>
            <w:rStyle w:val="Hyperlink"/>
            <w:noProof/>
          </w:rPr>
          <w:t>Introduction</w:t>
        </w:r>
        <w:r>
          <w:rPr>
            <w:noProof/>
            <w:webHidden/>
          </w:rPr>
          <w:tab/>
        </w:r>
        <w:r>
          <w:rPr>
            <w:noProof/>
            <w:webHidden/>
          </w:rPr>
          <w:fldChar w:fldCharType="begin"/>
        </w:r>
        <w:r>
          <w:rPr>
            <w:noProof/>
            <w:webHidden/>
          </w:rPr>
          <w:instrText xml:space="preserve"> PAGEREF _Toc357785360 \h </w:instrText>
        </w:r>
        <w:r>
          <w:rPr>
            <w:noProof/>
            <w:webHidden/>
          </w:rPr>
        </w:r>
        <w:r>
          <w:rPr>
            <w:noProof/>
            <w:webHidden/>
          </w:rPr>
          <w:fldChar w:fldCharType="separate"/>
        </w:r>
        <w:r>
          <w:rPr>
            <w:noProof/>
            <w:webHidden/>
          </w:rPr>
          <w:t>7</w:t>
        </w:r>
        <w:r>
          <w:rPr>
            <w:noProof/>
            <w:webHidden/>
          </w:rPr>
          <w:fldChar w:fldCharType="end"/>
        </w:r>
      </w:hyperlink>
    </w:p>
    <w:p w:rsidR="004C62F6" w:rsidRDefault="004C62F6">
      <w:pPr>
        <w:pStyle w:val="TOC3"/>
        <w:rPr>
          <w:rFonts w:ascii="Calibri" w:eastAsia="Times New Roman" w:hAnsi="Calibri"/>
          <w:noProof/>
          <w:lang w:eastAsia="en-AU"/>
        </w:rPr>
      </w:pPr>
      <w:hyperlink w:anchor="_Toc357785361" w:history="1">
        <w:r w:rsidRPr="00BF2881">
          <w:rPr>
            <w:rStyle w:val="Hyperlink"/>
            <w:noProof/>
          </w:rPr>
          <w:t>Pharmacology</w:t>
        </w:r>
        <w:r>
          <w:rPr>
            <w:noProof/>
            <w:webHidden/>
          </w:rPr>
          <w:tab/>
        </w:r>
        <w:r>
          <w:rPr>
            <w:noProof/>
            <w:webHidden/>
          </w:rPr>
          <w:fldChar w:fldCharType="begin"/>
        </w:r>
        <w:r>
          <w:rPr>
            <w:noProof/>
            <w:webHidden/>
          </w:rPr>
          <w:instrText xml:space="preserve"> PAGEREF _Toc357785361 \h </w:instrText>
        </w:r>
        <w:r>
          <w:rPr>
            <w:noProof/>
            <w:webHidden/>
          </w:rPr>
        </w:r>
        <w:r>
          <w:rPr>
            <w:noProof/>
            <w:webHidden/>
          </w:rPr>
          <w:fldChar w:fldCharType="separate"/>
        </w:r>
        <w:r>
          <w:rPr>
            <w:noProof/>
            <w:webHidden/>
          </w:rPr>
          <w:t>8</w:t>
        </w:r>
        <w:r>
          <w:rPr>
            <w:noProof/>
            <w:webHidden/>
          </w:rPr>
          <w:fldChar w:fldCharType="end"/>
        </w:r>
      </w:hyperlink>
    </w:p>
    <w:p w:rsidR="004C62F6" w:rsidRDefault="004C62F6">
      <w:pPr>
        <w:pStyle w:val="TOC3"/>
        <w:rPr>
          <w:rFonts w:ascii="Calibri" w:eastAsia="Times New Roman" w:hAnsi="Calibri"/>
          <w:noProof/>
          <w:lang w:eastAsia="en-AU"/>
        </w:rPr>
      </w:pPr>
      <w:hyperlink w:anchor="_Toc357785362" w:history="1">
        <w:r w:rsidRPr="00BF2881">
          <w:rPr>
            <w:rStyle w:val="Hyperlink"/>
            <w:noProof/>
          </w:rPr>
          <w:t>Pharmacokinetics</w:t>
        </w:r>
        <w:r>
          <w:rPr>
            <w:noProof/>
            <w:webHidden/>
          </w:rPr>
          <w:tab/>
        </w:r>
        <w:r>
          <w:rPr>
            <w:noProof/>
            <w:webHidden/>
          </w:rPr>
          <w:fldChar w:fldCharType="begin"/>
        </w:r>
        <w:r>
          <w:rPr>
            <w:noProof/>
            <w:webHidden/>
          </w:rPr>
          <w:instrText xml:space="preserve"> PAGEREF _Toc357785362 \h </w:instrText>
        </w:r>
        <w:r>
          <w:rPr>
            <w:noProof/>
            <w:webHidden/>
          </w:rPr>
        </w:r>
        <w:r>
          <w:rPr>
            <w:noProof/>
            <w:webHidden/>
          </w:rPr>
          <w:fldChar w:fldCharType="separate"/>
        </w:r>
        <w:r>
          <w:rPr>
            <w:noProof/>
            <w:webHidden/>
          </w:rPr>
          <w:t>8</w:t>
        </w:r>
        <w:r>
          <w:rPr>
            <w:noProof/>
            <w:webHidden/>
          </w:rPr>
          <w:fldChar w:fldCharType="end"/>
        </w:r>
      </w:hyperlink>
    </w:p>
    <w:p w:rsidR="004C62F6" w:rsidRDefault="004C62F6">
      <w:pPr>
        <w:pStyle w:val="TOC3"/>
        <w:rPr>
          <w:rFonts w:ascii="Calibri" w:eastAsia="Times New Roman" w:hAnsi="Calibri"/>
          <w:noProof/>
          <w:lang w:eastAsia="en-AU"/>
        </w:rPr>
      </w:pPr>
      <w:hyperlink w:anchor="_Toc357785363" w:history="1">
        <w:r w:rsidRPr="00BF2881">
          <w:rPr>
            <w:rStyle w:val="Hyperlink"/>
            <w:noProof/>
          </w:rPr>
          <w:t>Toxicology</w:t>
        </w:r>
        <w:r>
          <w:rPr>
            <w:noProof/>
            <w:webHidden/>
          </w:rPr>
          <w:tab/>
        </w:r>
        <w:r>
          <w:rPr>
            <w:noProof/>
            <w:webHidden/>
          </w:rPr>
          <w:fldChar w:fldCharType="begin"/>
        </w:r>
        <w:r>
          <w:rPr>
            <w:noProof/>
            <w:webHidden/>
          </w:rPr>
          <w:instrText xml:space="preserve"> PAGEREF _Toc357785363 \h </w:instrText>
        </w:r>
        <w:r>
          <w:rPr>
            <w:noProof/>
            <w:webHidden/>
          </w:rPr>
        </w:r>
        <w:r>
          <w:rPr>
            <w:noProof/>
            <w:webHidden/>
          </w:rPr>
          <w:fldChar w:fldCharType="separate"/>
        </w:r>
        <w:r>
          <w:rPr>
            <w:noProof/>
            <w:webHidden/>
          </w:rPr>
          <w:t>8</w:t>
        </w:r>
        <w:r>
          <w:rPr>
            <w:noProof/>
            <w:webHidden/>
          </w:rPr>
          <w:fldChar w:fldCharType="end"/>
        </w:r>
      </w:hyperlink>
    </w:p>
    <w:p w:rsidR="004C62F6" w:rsidRDefault="004C62F6">
      <w:pPr>
        <w:pStyle w:val="TOC3"/>
        <w:rPr>
          <w:rFonts w:ascii="Calibri" w:eastAsia="Times New Roman" w:hAnsi="Calibri"/>
          <w:noProof/>
          <w:lang w:eastAsia="en-AU"/>
        </w:rPr>
      </w:pPr>
      <w:hyperlink w:anchor="_Toc357785364" w:history="1">
        <w:r w:rsidRPr="00BF2881">
          <w:rPr>
            <w:rStyle w:val="Hyperlink"/>
            <w:noProof/>
          </w:rPr>
          <w:t>Nonclinical summary and conclusions</w:t>
        </w:r>
        <w:r>
          <w:rPr>
            <w:noProof/>
            <w:webHidden/>
          </w:rPr>
          <w:tab/>
        </w:r>
        <w:r>
          <w:rPr>
            <w:noProof/>
            <w:webHidden/>
          </w:rPr>
          <w:fldChar w:fldCharType="begin"/>
        </w:r>
        <w:r>
          <w:rPr>
            <w:noProof/>
            <w:webHidden/>
          </w:rPr>
          <w:instrText xml:space="preserve"> PAGEREF _Toc357785364 \h </w:instrText>
        </w:r>
        <w:r>
          <w:rPr>
            <w:noProof/>
            <w:webHidden/>
          </w:rPr>
        </w:r>
        <w:r>
          <w:rPr>
            <w:noProof/>
            <w:webHidden/>
          </w:rPr>
          <w:fldChar w:fldCharType="separate"/>
        </w:r>
        <w:r>
          <w:rPr>
            <w:noProof/>
            <w:webHidden/>
          </w:rPr>
          <w:t>10</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65" w:history="1">
        <w:r w:rsidRPr="00BF2881">
          <w:rPr>
            <w:rStyle w:val="Hyperlink"/>
            <w:noProof/>
          </w:rPr>
          <w:t>IV. Clinical findings</w:t>
        </w:r>
        <w:r>
          <w:rPr>
            <w:noProof/>
            <w:webHidden/>
          </w:rPr>
          <w:tab/>
        </w:r>
        <w:r>
          <w:rPr>
            <w:noProof/>
            <w:webHidden/>
          </w:rPr>
          <w:fldChar w:fldCharType="begin"/>
        </w:r>
        <w:r>
          <w:rPr>
            <w:noProof/>
            <w:webHidden/>
          </w:rPr>
          <w:instrText xml:space="preserve"> PAGEREF _Toc357785365 \h </w:instrText>
        </w:r>
        <w:r>
          <w:rPr>
            <w:noProof/>
            <w:webHidden/>
          </w:rPr>
        </w:r>
        <w:r>
          <w:rPr>
            <w:noProof/>
            <w:webHidden/>
          </w:rPr>
          <w:fldChar w:fldCharType="separate"/>
        </w:r>
        <w:r>
          <w:rPr>
            <w:noProof/>
            <w:webHidden/>
          </w:rPr>
          <w:t>10</w:t>
        </w:r>
        <w:r>
          <w:rPr>
            <w:noProof/>
            <w:webHidden/>
          </w:rPr>
          <w:fldChar w:fldCharType="end"/>
        </w:r>
      </w:hyperlink>
    </w:p>
    <w:p w:rsidR="004C62F6" w:rsidRDefault="004C62F6">
      <w:pPr>
        <w:pStyle w:val="TOC3"/>
        <w:rPr>
          <w:rFonts w:ascii="Calibri" w:eastAsia="Times New Roman" w:hAnsi="Calibri"/>
          <w:noProof/>
          <w:lang w:eastAsia="en-AU"/>
        </w:rPr>
      </w:pPr>
      <w:hyperlink w:anchor="_Toc357785366" w:history="1">
        <w:r w:rsidRPr="00BF2881">
          <w:rPr>
            <w:rStyle w:val="Hyperlink"/>
            <w:noProof/>
          </w:rPr>
          <w:t>Introduction</w:t>
        </w:r>
        <w:r>
          <w:rPr>
            <w:noProof/>
            <w:webHidden/>
          </w:rPr>
          <w:tab/>
        </w:r>
        <w:r>
          <w:rPr>
            <w:noProof/>
            <w:webHidden/>
          </w:rPr>
          <w:fldChar w:fldCharType="begin"/>
        </w:r>
        <w:r>
          <w:rPr>
            <w:noProof/>
            <w:webHidden/>
          </w:rPr>
          <w:instrText xml:space="preserve"> PAGEREF _Toc357785366 \h </w:instrText>
        </w:r>
        <w:r>
          <w:rPr>
            <w:noProof/>
            <w:webHidden/>
          </w:rPr>
        </w:r>
        <w:r>
          <w:rPr>
            <w:noProof/>
            <w:webHidden/>
          </w:rPr>
          <w:fldChar w:fldCharType="separate"/>
        </w:r>
        <w:r>
          <w:rPr>
            <w:noProof/>
            <w:webHidden/>
          </w:rPr>
          <w:t>10</w:t>
        </w:r>
        <w:r>
          <w:rPr>
            <w:noProof/>
            <w:webHidden/>
          </w:rPr>
          <w:fldChar w:fldCharType="end"/>
        </w:r>
      </w:hyperlink>
    </w:p>
    <w:p w:rsidR="004C62F6" w:rsidRDefault="004C62F6">
      <w:pPr>
        <w:pStyle w:val="TOC3"/>
        <w:rPr>
          <w:rFonts w:ascii="Calibri" w:eastAsia="Times New Roman" w:hAnsi="Calibri"/>
          <w:noProof/>
          <w:lang w:eastAsia="en-AU"/>
        </w:rPr>
      </w:pPr>
      <w:hyperlink w:anchor="_Toc357785367" w:history="1">
        <w:r w:rsidRPr="00BF2881">
          <w:rPr>
            <w:rStyle w:val="Hyperlink"/>
            <w:noProof/>
          </w:rPr>
          <w:t>Pharmacokinetics</w:t>
        </w:r>
        <w:r>
          <w:rPr>
            <w:noProof/>
            <w:webHidden/>
          </w:rPr>
          <w:tab/>
        </w:r>
        <w:r>
          <w:rPr>
            <w:noProof/>
            <w:webHidden/>
          </w:rPr>
          <w:fldChar w:fldCharType="begin"/>
        </w:r>
        <w:r>
          <w:rPr>
            <w:noProof/>
            <w:webHidden/>
          </w:rPr>
          <w:instrText xml:space="preserve"> PAGEREF _Toc357785367 \h </w:instrText>
        </w:r>
        <w:r>
          <w:rPr>
            <w:noProof/>
            <w:webHidden/>
          </w:rPr>
        </w:r>
        <w:r>
          <w:rPr>
            <w:noProof/>
            <w:webHidden/>
          </w:rPr>
          <w:fldChar w:fldCharType="separate"/>
        </w:r>
        <w:r>
          <w:rPr>
            <w:noProof/>
            <w:webHidden/>
          </w:rPr>
          <w:t>11</w:t>
        </w:r>
        <w:r>
          <w:rPr>
            <w:noProof/>
            <w:webHidden/>
          </w:rPr>
          <w:fldChar w:fldCharType="end"/>
        </w:r>
      </w:hyperlink>
    </w:p>
    <w:p w:rsidR="004C62F6" w:rsidRDefault="004C62F6">
      <w:pPr>
        <w:pStyle w:val="TOC3"/>
        <w:rPr>
          <w:rFonts w:ascii="Calibri" w:eastAsia="Times New Roman" w:hAnsi="Calibri"/>
          <w:noProof/>
          <w:lang w:eastAsia="en-AU"/>
        </w:rPr>
      </w:pPr>
      <w:hyperlink w:anchor="_Toc357785368" w:history="1">
        <w:r w:rsidRPr="00BF2881">
          <w:rPr>
            <w:rStyle w:val="Hyperlink"/>
            <w:noProof/>
          </w:rPr>
          <w:t>Pharmacodynamics</w:t>
        </w:r>
        <w:r>
          <w:rPr>
            <w:noProof/>
            <w:webHidden/>
          </w:rPr>
          <w:tab/>
        </w:r>
        <w:r>
          <w:rPr>
            <w:noProof/>
            <w:webHidden/>
          </w:rPr>
          <w:fldChar w:fldCharType="begin"/>
        </w:r>
        <w:r>
          <w:rPr>
            <w:noProof/>
            <w:webHidden/>
          </w:rPr>
          <w:instrText xml:space="preserve"> PAGEREF _Toc357785368 \h </w:instrText>
        </w:r>
        <w:r>
          <w:rPr>
            <w:noProof/>
            <w:webHidden/>
          </w:rPr>
        </w:r>
        <w:r>
          <w:rPr>
            <w:noProof/>
            <w:webHidden/>
          </w:rPr>
          <w:fldChar w:fldCharType="separate"/>
        </w:r>
        <w:r>
          <w:rPr>
            <w:noProof/>
            <w:webHidden/>
          </w:rPr>
          <w:t>13</w:t>
        </w:r>
        <w:r>
          <w:rPr>
            <w:noProof/>
            <w:webHidden/>
          </w:rPr>
          <w:fldChar w:fldCharType="end"/>
        </w:r>
      </w:hyperlink>
    </w:p>
    <w:p w:rsidR="004C62F6" w:rsidRDefault="004C62F6">
      <w:pPr>
        <w:pStyle w:val="TOC3"/>
        <w:rPr>
          <w:rFonts w:ascii="Calibri" w:eastAsia="Times New Roman" w:hAnsi="Calibri"/>
          <w:noProof/>
          <w:lang w:eastAsia="en-AU"/>
        </w:rPr>
      </w:pPr>
      <w:hyperlink w:anchor="_Toc357785369" w:history="1">
        <w:r w:rsidRPr="00BF2881">
          <w:rPr>
            <w:rStyle w:val="Hyperlink"/>
            <w:noProof/>
          </w:rPr>
          <w:t>Efficacy</w:t>
        </w:r>
        <w:r>
          <w:rPr>
            <w:noProof/>
            <w:webHidden/>
          </w:rPr>
          <w:tab/>
        </w:r>
        <w:r>
          <w:rPr>
            <w:noProof/>
            <w:webHidden/>
          </w:rPr>
          <w:fldChar w:fldCharType="begin"/>
        </w:r>
        <w:r>
          <w:rPr>
            <w:noProof/>
            <w:webHidden/>
          </w:rPr>
          <w:instrText xml:space="preserve"> PAGEREF _Toc357785369 \h </w:instrText>
        </w:r>
        <w:r>
          <w:rPr>
            <w:noProof/>
            <w:webHidden/>
          </w:rPr>
        </w:r>
        <w:r>
          <w:rPr>
            <w:noProof/>
            <w:webHidden/>
          </w:rPr>
          <w:fldChar w:fldCharType="separate"/>
        </w:r>
        <w:r>
          <w:rPr>
            <w:noProof/>
            <w:webHidden/>
          </w:rPr>
          <w:t>13</w:t>
        </w:r>
        <w:r>
          <w:rPr>
            <w:noProof/>
            <w:webHidden/>
          </w:rPr>
          <w:fldChar w:fldCharType="end"/>
        </w:r>
      </w:hyperlink>
    </w:p>
    <w:p w:rsidR="004C62F6" w:rsidRDefault="004C62F6">
      <w:pPr>
        <w:pStyle w:val="TOC3"/>
        <w:rPr>
          <w:rFonts w:ascii="Calibri" w:eastAsia="Times New Roman" w:hAnsi="Calibri"/>
          <w:noProof/>
          <w:lang w:eastAsia="en-AU"/>
        </w:rPr>
      </w:pPr>
      <w:hyperlink w:anchor="_Toc357785370" w:history="1">
        <w:r w:rsidRPr="00BF2881">
          <w:rPr>
            <w:rStyle w:val="Hyperlink"/>
            <w:noProof/>
          </w:rPr>
          <w:t>Safety</w:t>
        </w:r>
        <w:r>
          <w:rPr>
            <w:noProof/>
            <w:webHidden/>
          </w:rPr>
          <w:tab/>
        </w:r>
        <w:r>
          <w:rPr>
            <w:noProof/>
            <w:webHidden/>
          </w:rPr>
          <w:fldChar w:fldCharType="begin"/>
        </w:r>
        <w:r>
          <w:rPr>
            <w:noProof/>
            <w:webHidden/>
          </w:rPr>
          <w:instrText xml:space="preserve"> PAGEREF _Toc357785370 \h </w:instrText>
        </w:r>
        <w:r>
          <w:rPr>
            <w:noProof/>
            <w:webHidden/>
          </w:rPr>
        </w:r>
        <w:r>
          <w:rPr>
            <w:noProof/>
            <w:webHidden/>
          </w:rPr>
          <w:fldChar w:fldCharType="separate"/>
        </w:r>
        <w:r>
          <w:rPr>
            <w:noProof/>
            <w:webHidden/>
          </w:rPr>
          <w:t>15</w:t>
        </w:r>
        <w:r>
          <w:rPr>
            <w:noProof/>
            <w:webHidden/>
          </w:rPr>
          <w:fldChar w:fldCharType="end"/>
        </w:r>
      </w:hyperlink>
    </w:p>
    <w:p w:rsidR="004C62F6" w:rsidRDefault="004C62F6">
      <w:pPr>
        <w:pStyle w:val="TOC3"/>
        <w:rPr>
          <w:rFonts w:ascii="Calibri" w:eastAsia="Times New Roman" w:hAnsi="Calibri"/>
          <w:noProof/>
          <w:lang w:eastAsia="en-AU"/>
        </w:rPr>
      </w:pPr>
      <w:hyperlink w:anchor="_Toc357785371" w:history="1">
        <w:r w:rsidRPr="00BF2881">
          <w:rPr>
            <w:rStyle w:val="Hyperlink"/>
            <w:noProof/>
          </w:rPr>
          <w:t>Clinical summary and conclusions</w:t>
        </w:r>
        <w:r>
          <w:rPr>
            <w:noProof/>
            <w:webHidden/>
          </w:rPr>
          <w:tab/>
        </w:r>
        <w:r>
          <w:rPr>
            <w:noProof/>
            <w:webHidden/>
          </w:rPr>
          <w:fldChar w:fldCharType="begin"/>
        </w:r>
        <w:r>
          <w:rPr>
            <w:noProof/>
            <w:webHidden/>
          </w:rPr>
          <w:instrText xml:space="preserve"> PAGEREF _Toc357785371 \h </w:instrText>
        </w:r>
        <w:r>
          <w:rPr>
            <w:noProof/>
            <w:webHidden/>
          </w:rPr>
        </w:r>
        <w:r>
          <w:rPr>
            <w:noProof/>
            <w:webHidden/>
          </w:rPr>
          <w:fldChar w:fldCharType="separate"/>
        </w:r>
        <w:r>
          <w:rPr>
            <w:noProof/>
            <w:webHidden/>
          </w:rPr>
          <w:t>15</w:t>
        </w:r>
        <w:r>
          <w:rPr>
            <w:noProof/>
            <w:webHidden/>
          </w:rPr>
          <w:fldChar w:fldCharType="end"/>
        </w:r>
      </w:hyperlink>
    </w:p>
    <w:p w:rsidR="004C62F6" w:rsidRDefault="004C62F6">
      <w:pPr>
        <w:pStyle w:val="TOC3"/>
        <w:rPr>
          <w:rFonts w:ascii="Calibri" w:eastAsia="Times New Roman" w:hAnsi="Calibri"/>
          <w:noProof/>
          <w:lang w:eastAsia="en-AU"/>
        </w:rPr>
      </w:pPr>
      <w:hyperlink w:anchor="_Toc357785372" w:history="1">
        <w:r w:rsidRPr="00BF2881">
          <w:rPr>
            <w:rStyle w:val="Hyperlink"/>
            <w:noProof/>
          </w:rPr>
          <w:t>List of questions</w:t>
        </w:r>
        <w:r>
          <w:rPr>
            <w:noProof/>
            <w:webHidden/>
          </w:rPr>
          <w:tab/>
        </w:r>
        <w:r>
          <w:rPr>
            <w:noProof/>
            <w:webHidden/>
          </w:rPr>
          <w:fldChar w:fldCharType="begin"/>
        </w:r>
        <w:r>
          <w:rPr>
            <w:noProof/>
            <w:webHidden/>
          </w:rPr>
          <w:instrText xml:space="preserve"> PAGEREF _Toc357785372 \h </w:instrText>
        </w:r>
        <w:r>
          <w:rPr>
            <w:noProof/>
            <w:webHidden/>
          </w:rPr>
        </w:r>
        <w:r>
          <w:rPr>
            <w:noProof/>
            <w:webHidden/>
          </w:rPr>
          <w:fldChar w:fldCharType="separate"/>
        </w:r>
        <w:r>
          <w:rPr>
            <w:noProof/>
            <w:webHidden/>
          </w:rPr>
          <w:t>15</w:t>
        </w:r>
        <w:r>
          <w:rPr>
            <w:noProof/>
            <w:webHidden/>
          </w:rPr>
          <w:fldChar w:fldCharType="end"/>
        </w:r>
      </w:hyperlink>
    </w:p>
    <w:p w:rsidR="004C62F6" w:rsidRDefault="004C62F6">
      <w:pPr>
        <w:pStyle w:val="TOC3"/>
        <w:rPr>
          <w:rFonts w:ascii="Calibri" w:eastAsia="Times New Roman" w:hAnsi="Calibri"/>
          <w:noProof/>
          <w:lang w:eastAsia="en-AU"/>
        </w:rPr>
      </w:pPr>
      <w:hyperlink w:anchor="_Toc357785373" w:history="1">
        <w:r w:rsidRPr="00BF2881">
          <w:rPr>
            <w:rStyle w:val="Hyperlink"/>
            <w:noProof/>
          </w:rPr>
          <w:t>Final recommendation</w:t>
        </w:r>
        <w:r>
          <w:rPr>
            <w:noProof/>
            <w:webHidden/>
          </w:rPr>
          <w:tab/>
        </w:r>
        <w:r>
          <w:rPr>
            <w:noProof/>
            <w:webHidden/>
          </w:rPr>
          <w:fldChar w:fldCharType="begin"/>
        </w:r>
        <w:r>
          <w:rPr>
            <w:noProof/>
            <w:webHidden/>
          </w:rPr>
          <w:instrText xml:space="preserve"> PAGEREF _Toc357785373 \h </w:instrText>
        </w:r>
        <w:r>
          <w:rPr>
            <w:noProof/>
            <w:webHidden/>
          </w:rPr>
        </w:r>
        <w:r>
          <w:rPr>
            <w:noProof/>
            <w:webHidden/>
          </w:rPr>
          <w:fldChar w:fldCharType="separate"/>
        </w:r>
        <w:r>
          <w:rPr>
            <w:noProof/>
            <w:webHidden/>
          </w:rPr>
          <w:t>16</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74" w:history="1">
        <w:r w:rsidRPr="00BF2881">
          <w:rPr>
            <w:rStyle w:val="Hyperlink"/>
            <w:noProof/>
          </w:rPr>
          <w:t>V. Pharmacovigilance findings</w:t>
        </w:r>
        <w:r>
          <w:rPr>
            <w:noProof/>
            <w:webHidden/>
          </w:rPr>
          <w:tab/>
        </w:r>
        <w:r>
          <w:rPr>
            <w:noProof/>
            <w:webHidden/>
          </w:rPr>
          <w:fldChar w:fldCharType="begin"/>
        </w:r>
        <w:r>
          <w:rPr>
            <w:noProof/>
            <w:webHidden/>
          </w:rPr>
          <w:instrText xml:space="preserve"> PAGEREF _Toc357785374 \h </w:instrText>
        </w:r>
        <w:r>
          <w:rPr>
            <w:noProof/>
            <w:webHidden/>
          </w:rPr>
        </w:r>
        <w:r>
          <w:rPr>
            <w:noProof/>
            <w:webHidden/>
          </w:rPr>
          <w:fldChar w:fldCharType="separate"/>
        </w:r>
        <w:r>
          <w:rPr>
            <w:noProof/>
            <w:webHidden/>
          </w:rPr>
          <w:t>16</w:t>
        </w:r>
        <w:r>
          <w:rPr>
            <w:noProof/>
            <w:webHidden/>
          </w:rPr>
          <w:fldChar w:fldCharType="end"/>
        </w:r>
      </w:hyperlink>
    </w:p>
    <w:p w:rsidR="004C62F6" w:rsidRDefault="004C62F6">
      <w:pPr>
        <w:pStyle w:val="TOC3"/>
        <w:rPr>
          <w:rFonts w:ascii="Calibri" w:eastAsia="Times New Roman" w:hAnsi="Calibri"/>
          <w:noProof/>
          <w:lang w:eastAsia="en-AU"/>
        </w:rPr>
      </w:pPr>
      <w:hyperlink w:anchor="_Toc357785375" w:history="1">
        <w:r w:rsidRPr="00BF2881">
          <w:rPr>
            <w:rStyle w:val="Hyperlink"/>
            <w:noProof/>
            <w:lang w:eastAsia="en-AU"/>
          </w:rPr>
          <w:t>Risk management plan</w:t>
        </w:r>
        <w:r>
          <w:rPr>
            <w:noProof/>
            <w:webHidden/>
          </w:rPr>
          <w:tab/>
        </w:r>
        <w:r>
          <w:rPr>
            <w:noProof/>
            <w:webHidden/>
          </w:rPr>
          <w:fldChar w:fldCharType="begin"/>
        </w:r>
        <w:r>
          <w:rPr>
            <w:noProof/>
            <w:webHidden/>
          </w:rPr>
          <w:instrText xml:space="preserve"> PAGEREF _Toc357785375 \h </w:instrText>
        </w:r>
        <w:r>
          <w:rPr>
            <w:noProof/>
            <w:webHidden/>
          </w:rPr>
        </w:r>
        <w:r>
          <w:rPr>
            <w:noProof/>
            <w:webHidden/>
          </w:rPr>
          <w:fldChar w:fldCharType="separate"/>
        </w:r>
        <w:r>
          <w:rPr>
            <w:noProof/>
            <w:webHidden/>
          </w:rPr>
          <w:t>16</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76" w:history="1">
        <w:r w:rsidRPr="00BF2881">
          <w:rPr>
            <w:rStyle w:val="Hyperlink"/>
            <w:noProof/>
          </w:rPr>
          <w:t>VI. Overall conclusion and risk/benefit assessment</w:t>
        </w:r>
        <w:r>
          <w:rPr>
            <w:noProof/>
            <w:webHidden/>
          </w:rPr>
          <w:tab/>
        </w:r>
        <w:r>
          <w:rPr>
            <w:noProof/>
            <w:webHidden/>
          </w:rPr>
          <w:fldChar w:fldCharType="begin"/>
        </w:r>
        <w:r>
          <w:rPr>
            <w:noProof/>
            <w:webHidden/>
          </w:rPr>
          <w:instrText xml:space="preserve"> PAGEREF _Toc357785376 \h </w:instrText>
        </w:r>
        <w:r>
          <w:rPr>
            <w:noProof/>
            <w:webHidden/>
          </w:rPr>
        </w:r>
        <w:r>
          <w:rPr>
            <w:noProof/>
            <w:webHidden/>
          </w:rPr>
          <w:fldChar w:fldCharType="separate"/>
        </w:r>
        <w:r>
          <w:rPr>
            <w:noProof/>
            <w:webHidden/>
          </w:rPr>
          <w:t>18</w:t>
        </w:r>
        <w:r>
          <w:rPr>
            <w:noProof/>
            <w:webHidden/>
          </w:rPr>
          <w:fldChar w:fldCharType="end"/>
        </w:r>
      </w:hyperlink>
    </w:p>
    <w:p w:rsidR="004C62F6" w:rsidRDefault="004C62F6">
      <w:pPr>
        <w:pStyle w:val="TOC3"/>
        <w:rPr>
          <w:rFonts w:ascii="Calibri" w:eastAsia="Times New Roman" w:hAnsi="Calibri"/>
          <w:noProof/>
          <w:lang w:eastAsia="en-AU"/>
        </w:rPr>
      </w:pPr>
      <w:hyperlink w:anchor="_Toc357785377" w:history="1">
        <w:r w:rsidRPr="00BF2881">
          <w:rPr>
            <w:rStyle w:val="Hyperlink"/>
            <w:noProof/>
          </w:rPr>
          <w:t>Quality</w:t>
        </w:r>
        <w:r>
          <w:rPr>
            <w:noProof/>
            <w:webHidden/>
          </w:rPr>
          <w:tab/>
        </w:r>
        <w:r>
          <w:rPr>
            <w:noProof/>
            <w:webHidden/>
          </w:rPr>
          <w:fldChar w:fldCharType="begin"/>
        </w:r>
        <w:r>
          <w:rPr>
            <w:noProof/>
            <w:webHidden/>
          </w:rPr>
          <w:instrText xml:space="preserve"> PAGEREF _Toc357785377 \h </w:instrText>
        </w:r>
        <w:r>
          <w:rPr>
            <w:noProof/>
            <w:webHidden/>
          </w:rPr>
        </w:r>
        <w:r>
          <w:rPr>
            <w:noProof/>
            <w:webHidden/>
          </w:rPr>
          <w:fldChar w:fldCharType="separate"/>
        </w:r>
        <w:r>
          <w:rPr>
            <w:noProof/>
            <w:webHidden/>
          </w:rPr>
          <w:t>18</w:t>
        </w:r>
        <w:r>
          <w:rPr>
            <w:noProof/>
            <w:webHidden/>
          </w:rPr>
          <w:fldChar w:fldCharType="end"/>
        </w:r>
      </w:hyperlink>
    </w:p>
    <w:p w:rsidR="004C62F6" w:rsidRDefault="004C62F6">
      <w:pPr>
        <w:pStyle w:val="TOC3"/>
        <w:rPr>
          <w:rFonts w:ascii="Calibri" w:eastAsia="Times New Roman" w:hAnsi="Calibri"/>
          <w:noProof/>
          <w:lang w:eastAsia="en-AU"/>
        </w:rPr>
      </w:pPr>
      <w:hyperlink w:anchor="_Toc357785378" w:history="1">
        <w:r w:rsidRPr="00BF2881">
          <w:rPr>
            <w:rStyle w:val="Hyperlink"/>
            <w:noProof/>
          </w:rPr>
          <w:t>Nonclinical</w:t>
        </w:r>
        <w:r>
          <w:rPr>
            <w:noProof/>
            <w:webHidden/>
          </w:rPr>
          <w:tab/>
        </w:r>
        <w:r>
          <w:rPr>
            <w:noProof/>
            <w:webHidden/>
          </w:rPr>
          <w:fldChar w:fldCharType="begin"/>
        </w:r>
        <w:r>
          <w:rPr>
            <w:noProof/>
            <w:webHidden/>
          </w:rPr>
          <w:instrText xml:space="preserve"> PAGEREF _Toc357785378 \h </w:instrText>
        </w:r>
        <w:r>
          <w:rPr>
            <w:noProof/>
            <w:webHidden/>
          </w:rPr>
        </w:r>
        <w:r>
          <w:rPr>
            <w:noProof/>
            <w:webHidden/>
          </w:rPr>
          <w:fldChar w:fldCharType="separate"/>
        </w:r>
        <w:r>
          <w:rPr>
            <w:noProof/>
            <w:webHidden/>
          </w:rPr>
          <w:t>19</w:t>
        </w:r>
        <w:r>
          <w:rPr>
            <w:noProof/>
            <w:webHidden/>
          </w:rPr>
          <w:fldChar w:fldCharType="end"/>
        </w:r>
      </w:hyperlink>
    </w:p>
    <w:p w:rsidR="004C62F6" w:rsidRDefault="004C62F6">
      <w:pPr>
        <w:pStyle w:val="TOC3"/>
        <w:rPr>
          <w:rFonts w:ascii="Calibri" w:eastAsia="Times New Roman" w:hAnsi="Calibri"/>
          <w:noProof/>
          <w:lang w:eastAsia="en-AU"/>
        </w:rPr>
      </w:pPr>
      <w:hyperlink w:anchor="_Toc357785379" w:history="1">
        <w:r w:rsidRPr="00BF2881">
          <w:rPr>
            <w:rStyle w:val="Hyperlink"/>
            <w:noProof/>
          </w:rPr>
          <w:t>Clinical</w:t>
        </w:r>
        <w:r>
          <w:rPr>
            <w:noProof/>
            <w:webHidden/>
          </w:rPr>
          <w:tab/>
        </w:r>
        <w:r>
          <w:rPr>
            <w:noProof/>
            <w:webHidden/>
          </w:rPr>
          <w:fldChar w:fldCharType="begin"/>
        </w:r>
        <w:r>
          <w:rPr>
            <w:noProof/>
            <w:webHidden/>
          </w:rPr>
          <w:instrText xml:space="preserve"> PAGEREF _Toc357785379 \h </w:instrText>
        </w:r>
        <w:r>
          <w:rPr>
            <w:noProof/>
            <w:webHidden/>
          </w:rPr>
        </w:r>
        <w:r>
          <w:rPr>
            <w:noProof/>
            <w:webHidden/>
          </w:rPr>
          <w:fldChar w:fldCharType="separate"/>
        </w:r>
        <w:r>
          <w:rPr>
            <w:noProof/>
            <w:webHidden/>
          </w:rPr>
          <w:t>19</w:t>
        </w:r>
        <w:r>
          <w:rPr>
            <w:noProof/>
            <w:webHidden/>
          </w:rPr>
          <w:fldChar w:fldCharType="end"/>
        </w:r>
      </w:hyperlink>
    </w:p>
    <w:p w:rsidR="004C62F6" w:rsidRDefault="004C62F6">
      <w:pPr>
        <w:pStyle w:val="TOC3"/>
        <w:rPr>
          <w:rFonts w:ascii="Calibri" w:eastAsia="Times New Roman" w:hAnsi="Calibri"/>
          <w:noProof/>
          <w:lang w:eastAsia="en-AU"/>
        </w:rPr>
      </w:pPr>
      <w:hyperlink w:anchor="_Toc357785380" w:history="1">
        <w:r w:rsidRPr="00BF2881">
          <w:rPr>
            <w:rStyle w:val="Hyperlink"/>
            <w:noProof/>
            <w:lang w:eastAsia="en-AU"/>
          </w:rPr>
          <w:t>Risk management plan</w:t>
        </w:r>
        <w:r>
          <w:rPr>
            <w:noProof/>
            <w:webHidden/>
          </w:rPr>
          <w:tab/>
        </w:r>
        <w:r>
          <w:rPr>
            <w:noProof/>
            <w:webHidden/>
          </w:rPr>
          <w:fldChar w:fldCharType="begin"/>
        </w:r>
        <w:r>
          <w:rPr>
            <w:noProof/>
            <w:webHidden/>
          </w:rPr>
          <w:instrText xml:space="preserve"> PAGEREF _Toc357785380 \h </w:instrText>
        </w:r>
        <w:r>
          <w:rPr>
            <w:noProof/>
            <w:webHidden/>
          </w:rPr>
        </w:r>
        <w:r>
          <w:rPr>
            <w:noProof/>
            <w:webHidden/>
          </w:rPr>
          <w:fldChar w:fldCharType="separate"/>
        </w:r>
        <w:r>
          <w:rPr>
            <w:noProof/>
            <w:webHidden/>
          </w:rPr>
          <w:t>24</w:t>
        </w:r>
        <w:r>
          <w:rPr>
            <w:noProof/>
            <w:webHidden/>
          </w:rPr>
          <w:fldChar w:fldCharType="end"/>
        </w:r>
      </w:hyperlink>
    </w:p>
    <w:p w:rsidR="004C62F6" w:rsidRDefault="004C62F6">
      <w:pPr>
        <w:pStyle w:val="TOC3"/>
        <w:rPr>
          <w:rFonts w:ascii="Calibri" w:eastAsia="Times New Roman" w:hAnsi="Calibri"/>
          <w:noProof/>
          <w:lang w:eastAsia="en-AU"/>
        </w:rPr>
      </w:pPr>
      <w:hyperlink w:anchor="_Toc357785381" w:history="1">
        <w:r w:rsidRPr="00BF2881">
          <w:rPr>
            <w:rStyle w:val="Hyperlink"/>
            <w:noProof/>
          </w:rPr>
          <w:t>Risk-benefit analysis</w:t>
        </w:r>
        <w:r>
          <w:rPr>
            <w:noProof/>
            <w:webHidden/>
          </w:rPr>
          <w:tab/>
        </w:r>
        <w:r>
          <w:rPr>
            <w:noProof/>
            <w:webHidden/>
          </w:rPr>
          <w:fldChar w:fldCharType="begin"/>
        </w:r>
        <w:r>
          <w:rPr>
            <w:noProof/>
            <w:webHidden/>
          </w:rPr>
          <w:instrText xml:space="preserve"> PAGEREF _Toc357785381 \h </w:instrText>
        </w:r>
        <w:r>
          <w:rPr>
            <w:noProof/>
            <w:webHidden/>
          </w:rPr>
        </w:r>
        <w:r>
          <w:rPr>
            <w:noProof/>
            <w:webHidden/>
          </w:rPr>
          <w:fldChar w:fldCharType="separate"/>
        </w:r>
        <w:r>
          <w:rPr>
            <w:noProof/>
            <w:webHidden/>
          </w:rPr>
          <w:t>24</w:t>
        </w:r>
        <w:r>
          <w:rPr>
            <w:noProof/>
            <w:webHidden/>
          </w:rPr>
          <w:fldChar w:fldCharType="end"/>
        </w:r>
      </w:hyperlink>
    </w:p>
    <w:p w:rsidR="004C62F6" w:rsidRDefault="004C62F6">
      <w:pPr>
        <w:pStyle w:val="TOC3"/>
        <w:rPr>
          <w:rFonts w:ascii="Calibri" w:eastAsia="Times New Roman" w:hAnsi="Calibri"/>
          <w:noProof/>
          <w:lang w:eastAsia="en-AU"/>
        </w:rPr>
      </w:pPr>
      <w:hyperlink w:anchor="_Toc357785382" w:history="1">
        <w:r w:rsidRPr="00BF2881">
          <w:rPr>
            <w:rStyle w:val="Hyperlink"/>
            <w:noProof/>
          </w:rPr>
          <w:t>Outcome</w:t>
        </w:r>
        <w:r>
          <w:rPr>
            <w:noProof/>
            <w:webHidden/>
          </w:rPr>
          <w:tab/>
        </w:r>
        <w:r>
          <w:rPr>
            <w:noProof/>
            <w:webHidden/>
          </w:rPr>
          <w:fldChar w:fldCharType="begin"/>
        </w:r>
        <w:r>
          <w:rPr>
            <w:noProof/>
            <w:webHidden/>
          </w:rPr>
          <w:instrText xml:space="preserve"> PAGEREF _Toc357785382 \h </w:instrText>
        </w:r>
        <w:r>
          <w:rPr>
            <w:noProof/>
            <w:webHidden/>
          </w:rPr>
        </w:r>
        <w:r>
          <w:rPr>
            <w:noProof/>
            <w:webHidden/>
          </w:rPr>
          <w:fldChar w:fldCharType="separate"/>
        </w:r>
        <w:r>
          <w:rPr>
            <w:noProof/>
            <w:webHidden/>
          </w:rPr>
          <w:t>28</w:t>
        </w:r>
        <w:r>
          <w:rPr>
            <w:noProof/>
            <w:webHidden/>
          </w:rPr>
          <w:fldChar w:fldCharType="end"/>
        </w:r>
      </w:hyperlink>
    </w:p>
    <w:p w:rsidR="004C62F6" w:rsidRDefault="004C62F6">
      <w:pPr>
        <w:pStyle w:val="TOC2"/>
        <w:tabs>
          <w:tab w:val="left" w:pos="2448"/>
        </w:tabs>
        <w:rPr>
          <w:rFonts w:ascii="Calibri" w:eastAsia="Times New Roman" w:hAnsi="Calibri"/>
          <w:b w:val="0"/>
          <w:noProof/>
          <w:sz w:val="22"/>
          <w:lang w:eastAsia="en-AU"/>
        </w:rPr>
      </w:pPr>
      <w:hyperlink w:anchor="_Toc357785383" w:history="1">
        <w:r w:rsidRPr="00BF2881">
          <w:rPr>
            <w:rStyle w:val="Hyperlink"/>
            <w:noProof/>
          </w:rPr>
          <w:t>Attachment 1.</w:t>
        </w:r>
        <w:r>
          <w:rPr>
            <w:rFonts w:ascii="Calibri" w:eastAsia="Times New Roman" w:hAnsi="Calibri"/>
            <w:b w:val="0"/>
            <w:noProof/>
            <w:sz w:val="22"/>
            <w:lang w:eastAsia="en-AU"/>
          </w:rPr>
          <w:t xml:space="preserve"> </w:t>
        </w:r>
        <w:r w:rsidRPr="00BF2881">
          <w:rPr>
            <w:rStyle w:val="Hyperlink"/>
            <w:noProof/>
          </w:rPr>
          <w:t>Product Information</w:t>
        </w:r>
        <w:r>
          <w:rPr>
            <w:noProof/>
            <w:webHidden/>
          </w:rPr>
          <w:tab/>
        </w:r>
        <w:r>
          <w:rPr>
            <w:noProof/>
            <w:webHidden/>
          </w:rPr>
          <w:fldChar w:fldCharType="begin"/>
        </w:r>
        <w:r>
          <w:rPr>
            <w:noProof/>
            <w:webHidden/>
          </w:rPr>
          <w:instrText xml:space="preserve"> PAGEREF _Toc357785383 \h </w:instrText>
        </w:r>
        <w:r>
          <w:rPr>
            <w:noProof/>
            <w:webHidden/>
          </w:rPr>
        </w:r>
        <w:r>
          <w:rPr>
            <w:noProof/>
            <w:webHidden/>
          </w:rPr>
          <w:fldChar w:fldCharType="separate"/>
        </w:r>
        <w:r>
          <w:rPr>
            <w:noProof/>
            <w:webHidden/>
          </w:rPr>
          <w:t>29</w:t>
        </w:r>
        <w:r>
          <w:rPr>
            <w:noProof/>
            <w:webHidden/>
          </w:rPr>
          <w:fldChar w:fldCharType="end"/>
        </w:r>
      </w:hyperlink>
    </w:p>
    <w:p w:rsidR="004C62F6" w:rsidRDefault="004C62F6">
      <w:pPr>
        <w:pStyle w:val="TOC2"/>
        <w:rPr>
          <w:rFonts w:ascii="Calibri" w:eastAsia="Times New Roman" w:hAnsi="Calibri"/>
          <w:b w:val="0"/>
          <w:noProof/>
          <w:sz w:val="22"/>
          <w:lang w:eastAsia="en-AU"/>
        </w:rPr>
      </w:pPr>
      <w:hyperlink w:anchor="_Toc357785384" w:history="1">
        <w:r w:rsidRPr="00BF2881">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_Toc357785384 \h </w:instrText>
        </w:r>
        <w:r>
          <w:rPr>
            <w:noProof/>
            <w:webHidden/>
          </w:rPr>
        </w:r>
        <w:r>
          <w:rPr>
            <w:noProof/>
            <w:webHidden/>
          </w:rPr>
          <w:fldChar w:fldCharType="separate"/>
        </w:r>
        <w:r>
          <w:rPr>
            <w:noProof/>
            <w:webHidden/>
          </w:rPr>
          <w:t>29</w:t>
        </w:r>
        <w:r>
          <w:rPr>
            <w:noProof/>
            <w:webHidden/>
          </w:rPr>
          <w:fldChar w:fldCharType="end"/>
        </w:r>
      </w:hyperlink>
    </w:p>
    <w:p w:rsidR="003A7F6C" w:rsidRPr="00B811C6" w:rsidRDefault="003D1AE5" w:rsidP="00344CA2">
      <w:pPr>
        <w:pStyle w:val="TOC2"/>
        <w:ind w:left="0"/>
      </w:pPr>
      <w:r>
        <w:lastRenderedPageBreak/>
        <w:fldChar w:fldCharType="end"/>
      </w:r>
      <w:bookmarkStart w:id="2" w:name="_Toc314842482"/>
    </w:p>
    <w:p w:rsidR="008E7846" w:rsidRDefault="00F53C07" w:rsidP="00344CA2">
      <w:pPr>
        <w:pStyle w:val="Heading2"/>
      </w:pPr>
      <w:bookmarkStart w:id="3" w:name="_Toc357785350"/>
      <w:r>
        <w:t>I.</w:t>
      </w:r>
      <w:r w:rsidR="008E7846">
        <w:t xml:space="preserve"> Introduction to product submission</w:t>
      </w:r>
      <w:bookmarkEnd w:id="1"/>
      <w:bookmarkEnd w:id="2"/>
      <w:bookmarkEnd w:id="3"/>
    </w:p>
    <w:p w:rsidR="008E7846" w:rsidRDefault="008E7846" w:rsidP="008E7846">
      <w:pPr>
        <w:pStyle w:val="Heading3"/>
        <w:rPr>
          <w:lang w:eastAsia="en-AU"/>
        </w:rPr>
      </w:pPr>
      <w:bookmarkStart w:id="4" w:name="_Toc247691502"/>
      <w:bookmarkStart w:id="5" w:name="_Toc314842483"/>
      <w:bookmarkStart w:id="6" w:name="_Toc357785351"/>
      <w:r>
        <w:rPr>
          <w:lang w:eastAsia="en-AU"/>
        </w:rPr>
        <w:t>Submission details</w:t>
      </w:r>
      <w:bookmarkEnd w:id="4"/>
      <w:bookmarkEnd w:id="5"/>
      <w:bookmarkEnd w:id="6"/>
    </w:p>
    <w:tbl>
      <w:tblPr>
        <w:tblW w:w="9497" w:type="dxa"/>
        <w:tblInd w:w="108" w:type="dxa"/>
        <w:tblLook w:val="01E0"/>
      </w:tblPr>
      <w:tblGrid>
        <w:gridCol w:w="2907"/>
        <w:gridCol w:w="5457"/>
        <w:gridCol w:w="1133"/>
      </w:tblGrid>
      <w:tr w:rsidR="008E7846" w:rsidRPr="003D1E62" w:rsidTr="00A15988">
        <w:trPr>
          <w:trHeight w:hRule="exact" w:val="454"/>
        </w:trPr>
        <w:tc>
          <w:tcPr>
            <w:tcW w:w="2907" w:type="dxa"/>
          </w:tcPr>
          <w:p w:rsidR="008E7846" w:rsidRPr="003D1E62" w:rsidRDefault="008E7846" w:rsidP="003D1E62">
            <w:pPr>
              <w:rPr>
                <w:i/>
              </w:rPr>
            </w:pPr>
            <w:r w:rsidRPr="003D1E62">
              <w:rPr>
                <w:i/>
              </w:rPr>
              <w:t>Type of Submission</w:t>
            </w:r>
            <w:r w:rsidR="00344CA2">
              <w:rPr>
                <w:i/>
              </w:rPr>
              <w:t>:</w:t>
            </w:r>
          </w:p>
        </w:tc>
        <w:tc>
          <w:tcPr>
            <w:tcW w:w="6590" w:type="dxa"/>
            <w:gridSpan w:val="2"/>
          </w:tcPr>
          <w:p w:rsidR="008E7846" w:rsidRPr="003D1E62" w:rsidRDefault="008E7846" w:rsidP="003D1E62">
            <w:r w:rsidRPr="003D1E62">
              <w:t>Major Variation (New Strength)</w:t>
            </w:r>
          </w:p>
        </w:tc>
      </w:tr>
      <w:tr w:rsidR="008E7846" w:rsidRPr="003D1E62" w:rsidTr="00A15988">
        <w:trPr>
          <w:trHeight w:hRule="exact" w:val="454"/>
        </w:trPr>
        <w:tc>
          <w:tcPr>
            <w:tcW w:w="2907" w:type="dxa"/>
          </w:tcPr>
          <w:p w:rsidR="008E7846" w:rsidRPr="003D1E62" w:rsidRDefault="008E7846" w:rsidP="003D1E62">
            <w:r w:rsidRPr="003D1E62">
              <w:rPr>
                <w:i/>
              </w:rPr>
              <w:t>Decision</w:t>
            </w:r>
            <w:r w:rsidRPr="003D1E62">
              <w:t>:</w:t>
            </w:r>
          </w:p>
        </w:tc>
        <w:tc>
          <w:tcPr>
            <w:tcW w:w="6590" w:type="dxa"/>
            <w:gridSpan w:val="2"/>
          </w:tcPr>
          <w:p w:rsidR="008E7846" w:rsidRPr="003D1E62" w:rsidRDefault="008E7846" w:rsidP="00417906">
            <w:r w:rsidRPr="003D1E62">
              <w:t>Approved</w:t>
            </w:r>
          </w:p>
        </w:tc>
      </w:tr>
      <w:tr w:rsidR="008E7846" w:rsidRPr="003D1E62" w:rsidTr="00A15988">
        <w:trPr>
          <w:trHeight w:hRule="exact" w:val="454"/>
        </w:trPr>
        <w:tc>
          <w:tcPr>
            <w:tcW w:w="2907" w:type="dxa"/>
          </w:tcPr>
          <w:p w:rsidR="008E7846" w:rsidRPr="003D1E62" w:rsidRDefault="008E7846" w:rsidP="003D1E62">
            <w:pPr>
              <w:rPr>
                <w:i/>
              </w:rPr>
            </w:pPr>
            <w:r w:rsidRPr="003D1E62">
              <w:rPr>
                <w:i/>
              </w:rPr>
              <w:t>Date of Decision:</w:t>
            </w:r>
          </w:p>
        </w:tc>
        <w:tc>
          <w:tcPr>
            <w:tcW w:w="6590" w:type="dxa"/>
            <w:gridSpan w:val="2"/>
          </w:tcPr>
          <w:p w:rsidR="008E7846" w:rsidRPr="003D1E62" w:rsidRDefault="0041538F" w:rsidP="003D1E62">
            <w:r>
              <w:t>3 September 2012</w:t>
            </w:r>
          </w:p>
        </w:tc>
      </w:tr>
      <w:tr w:rsidR="008E7846" w:rsidRPr="00487162" w:rsidTr="0041538F">
        <w:trPr>
          <w:gridAfter w:val="1"/>
          <w:wAfter w:w="1133" w:type="dxa"/>
        </w:trPr>
        <w:tc>
          <w:tcPr>
            <w:tcW w:w="2907" w:type="dxa"/>
          </w:tcPr>
          <w:p w:rsidR="008E7846" w:rsidRPr="00487162" w:rsidRDefault="008E7846" w:rsidP="00344CA2">
            <w:pPr>
              <w:rPr>
                <w:i/>
              </w:rPr>
            </w:pPr>
            <w:r w:rsidRPr="00487162">
              <w:rPr>
                <w:i/>
              </w:rPr>
              <w:t>Active ingredient:</w:t>
            </w:r>
          </w:p>
        </w:tc>
        <w:tc>
          <w:tcPr>
            <w:tcW w:w="5457" w:type="dxa"/>
          </w:tcPr>
          <w:p w:rsidR="008E7846" w:rsidRPr="00487162" w:rsidRDefault="00417906" w:rsidP="00E45619">
            <w:r>
              <w:t>Progesterone</w:t>
            </w:r>
          </w:p>
        </w:tc>
      </w:tr>
      <w:tr w:rsidR="008E7846" w:rsidRPr="00487162" w:rsidTr="0041538F">
        <w:trPr>
          <w:gridAfter w:val="1"/>
          <w:wAfter w:w="1133" w:type="dxa"/>
        </w:trPr>
        <w:tc>
          <w:tcPr>
            <w:tcW w:w="2907" w:type="dxa"/>
          </w:tcPr>
          <w:p w:rsidR="008E7846" w:rsidRPr="00487162" w:rsidRDefault="00344CA2" w:rsidP="00344CA2">
            <w:pPr>
              <w:rPr>
                <w:i/>
              </w:rPr>
            </w:pPr>
            <w:r>
              <w:rPr>
                <w:i/>
              </w:rPr>
              <w:t>Product Name:</w:t>
            </w:r>
          </w:p>
        </w:tc>
        <w:tc>
          <w:tcPr>
            <w:tcW w:w="5457" w:type="dxa"/>
          </w:tcPr>
          <w:p w:rsidR="008E7846" w:rsidRPr="00487162" w:rsidRDefault="00BE0577" w:rsidP="00EF2FAA">
            <w:r>
              <w:t>Endometrin</w:t>
            </w:r>
            <w:r w:rsidR="00527562">
              <w:t xml:space="preserve"> Pessaries</w:t>
            </w:r>
          </w:p>
        </w:tc>
      </w:tr>
      <w:tr w:rsidR="008E7846" w:rsidRPr="00487162" w:rsidTr="0041538F">
        <w:trPr>
          <w:gridAfter w:val="1"/>
          <w:wAfter w:w="1133" w:type="dxa"/>
        </w:trPr>
        <w:tc>
          <w:tcPr>
            <w:tcW w:w="2907" w:type="dxa"/>
          </w:tcPr>
          <w:p w:rsidR="008E7846" w:rsidRPr="00487162" w:rsidRDefault="008E7846" w:rsidP="00E45619">
            <w:pPr>
              <w:rPr>
                <w:i/>
              </w:rPr>
            </w:pPr>
            <w:r w:rsidRPr="00487162">
              <w:rPr>
                <w:i/>
              </w:rPr>
              <w:t>Sponsor’s Name and Address:</w:t>
            </w:r>
          </w:p>
        </w:tc>
        <w:tc>
          <w:tcPr>
            <w:tcW w:w="5457" w:type="dxa"/>
          </w:tcPr>
          <w:p w:rsidR="008E7846" w:rsidRDefault="00021E1A" w:rsidP="00E45619">
            <w:proofErr w:type="spellStart"/>
            <w:r>
              <w:t>Ferring</w:t>
            </w:r>
            <w:proofErr w:type="spellEnd"/>
            <w:r>
              <w:t xml:space="preserve"> Pharmaceuticals Pty Ltd</w:t>
            </w:r>
          </w:p>
          <w:p w:rsidR="00021E1A" w:rsidRDefault="00021E1A" w:rsidP="00021E1A">
            <w:r>
              <w:t>PO Box 135</w:t>
            </w:r>
          </w:p>
          <w:p w:rsidR="00021E1A" w:rsidRPr="00487162" w:rsidRDefault="00021E1A" w:rsidP="00021E1A">
            <w:r>
              <w:t>Pymble</w:t>
            </w:r>
            <w:r w:rsidR="004654BB">
              <w:t xml:space="preserve"> </w:t>
            </w:r>
            <w:r>
              <w:t>NSW</w:t>
            </w:r>
            <w:r w:rsidR="004654BB">
              <w:t xml:space="preserve"> </w:t>
            </w:r>
            <w:r>
              <w:t>2073</w:t>
            </w:r>
          </w:p>
        </w:tc>
      </w:tr>
      <w:tr w:rsidR="008E7846" w:rsidRPr="00487162" w:rsidTr="0041538F">
        <w:trPr>
          <w:gridAfter w:val="1"/>
          <w:wAfter w:w="1133" w:type="dxa"/>
        </w:trPr>
        <w:tc>
          <w:tcPr>
            <w:tcW w:w="2907" w:type="dxa"/>
          </w:tcPr>
          <w:p w:rsidR="008E7846" w:rsidRPr="00487162" w:rsidRDefault="00344CA2" w:rsidP="00344CA2">
            <w:pPr>
              <w:rPr>
                <w:i/>
              </w:rPr>
            </w:pPr>
            <w:r>
              <w:rPr>
                <w:i/>
              </w:rPr>
              <w:t>Dose form</w:t>
            </w:r>
            <w:r w:rsidR="008E7846" w:rsidRPr="00487162">
              <w:rPr>
                <w:i/>
              </w:rPr>
              <w:t>:</w:t>
            </w:r>
          </w:p>
        </w:tc>
        <w:tc>
          <w:tcPr>
            <w:tcW w:w="5457" w:type="dxa"/>
          </w:tcPr>
          <w:p w:rsidR="008E7846" w:rsidRPr="00487162" w:rsidRDefault="004C0A76" w:rsidP="00790CAD">
            <w:r>
              <w:t>Vaginal t</w:t>
            </w:r>
            <w:r w:rsidR="00790CAD">
              <w:t>ablet</w:t>
            </w:r>
          </w:p>
        </w:tc>
      </w:tr>
      <w:tr w:rsidR="008E7846" w:rsidRPr="00487162" w:rsidTr="0041538F">
        <w:trPr>
          <w:gridAfter w:val="1"/>
          <w:wAfter w:w="1133" w:type="dxa"/>
        </w:trPr>
        <w:tc>
          <w:tcPr>
            <w:tcW w:w="2907" w:type="dxa"/>
          </w:tcPr>
          <w:p w:rsidR="008E7846" w:rsidRPr="00487162" w:rsidRDefault="00344CA2" w:rsidP="00E45619">
            <w:pPr>
              <w:rPr>
                <w:i/>
              </w:rPr>
            </w:pPr>
            <w:r>
              <w:rPr>
                <w:i/>
              </w:rPr>
              <w:t>Strength:</w:t>
            </w:r>
          </w:p>
        </w:tc>
        <w:tc>
          <w:tcPr>
            <w:tcW w:w="5457" w:type="dxa"/>
          </w:tcPr>
          <w:p w:rsidR="008E7846" w:rsidRPr="00487162" w:rsidRDefault="004502DB" w:rsidP="00E45619">
            <w:r>
              <w:t>100 mg</w:t>
            </w:r>
          </w:p>
        </w:tc>
      </w:tr>
      <w:tr w:rsidR="008E7846" w:rsidRPr="00487162" w:rsidTr="0041538F">
        <w:trPr>
          <w:gridAfter w:val="1"/>
          <w:wAfter w:w="1133" w:type="dxa"/>
        </w:trPr>
        <w:tc>
          <w:tcPr>
            <w:tcW w:w="2907" w:type="dxa"/>
          </w:tcPr>
          <w:p w:rsidR="008E7846" w:rsidRPr="00487162" w:rsidRDefault="00344CA2" w:rsidP="00E45619">
            <w:pPr>
              <w:rPr>
                <w:i/>
              </w:rPr>
            </w:pPr>
            <w:r>
              <w:rPr>
                <w:i/>
              </w:rPr>
              <w:t>Container</w:t>
            </w:r>
            <w:r w:rsidR="008E7846" w:rsidRPr="00487162">
              <w:rPr>
                <w:i/>
              </w:rPr>
              <w:t>:</w:t>
            </w:r>
          </w:p>
        </w:tc>
        <w:tc>
          <w:tcPr>
            <w:tcW w:w="5457" w:type="dxa"/>
          </w:tcPr>
          <w:p w:rsidR="008E7846" w:rsidRPr="00487162" w:rsidRDefault="00976DD3" w:rsidP="00E45619">
            <w:r>
              <w:t>Blister pack</w:t>
            </w:r>
          </w:p>
        </w:tc>
      </w:tr>
      <w:tr w:rsidR="008E7846" w:rsidRPr="00487162" w:rsidTr="0041538F">
        <w:trPr>
          <w:gridAfter w:val="1"/>
          <w:wAfter w:w="1133" w:type="dxa"/>
        </w:trPr>
        <w:tc>
          <w:tcPr>
            <w:tcW w:w="2907" w:type="dxa"/>
          </w:tcPr>
          <w:p w:rsidR="008E7846" w:rsidRPr="00487162" w:rsidRDefault="008E7846" w:rsidP="00E45619">
            <w:pPr>
              <w:rPr>
                <w:i/>
              </w:rPr>
            </w:pPr>
            <w:r w:rsidRPr="00487162">
              <w:rPr>
                <w:i/>
              </w:rPr>
              <w:t>Approved Therapeutic use:</w:t>
            </w:r>
          </w:p>
        </w:tc>
        <w:tc>
          <w:tcPr>
            <w:tcW w:w="5457" w:type="dxa"/>
          </w:tcPr>
          <w:p w:rsidR="008E7846" w:rsidRPr="00487162" w:rsidRDefault="00A11C59" w:rsidP="00E45619">
            <w:pPr>
              <w:rPr>
                <w:rFonts w:eastAsia="MS Mincho"/>
                <w:lang w:eastAsia="ja-JP"/>
              </w:rPr>
            </w:pPr>
            <w:r>
              <w:t>Endometrin Pessaries are indicated for luteal support as part of an Assisted Reproductive Technology (ART) treatment programme for infertile women.</w:t>
            </w:r>
          </w:p>
        </w:tc>
      </w:tr>
      <w:tr w:rsidR="008E7846" w:rsidRPr="00487162" w:rsidTr="0041538F">
        <w:trPr>
          <w:gridAfter w:val="1"/>
          <w:wAfter w:w="1133" w:type="dxa"/>
        </w:trPr>
        <w:tc>
          <w:tcPr>
            <w:tcW w:w="2907" w:type="dxa"/>
          </w:tcPr>
          <w:p w:rsidR="008E7846" w:rsidRPr="00487162" w:rsidRDefault="008E7846" w:rsidP="00E45619">
            <w:pPr>
              <w:rPr>
                <w:i/>
              </w:rPr>
            </w:pPr>
            <w:r w:rsidRPr="00487162">
              <w:rPr>
                <w:i/>
              </w:rPr>
              <w:t>Route(s) of administration:</w:t>
            </w:r>
          </w:p>
        </w:tc>
        <w:tc>
          <w:tcPr>
            <w:tcW w:w="5457" w:type="dxa"/>
          </w:tcPr>
          <w:p w:rsidR="008E7846" w:rsidRPr="00487162" w:rsidRDefault="004C0A76" w:rsidP="00E45619">
            <w:r>
              <w:t>Vaginal</w:t>
            </w:r>
          </w:p>
        </w:tc>
      </w:tr>
      <w:tr w:rsidR="008E7846" w:rsidRPr="00487162" w:rsidTr="0041538F">
        <w:trPr>
          <w:gridAfter w:val="1"/>
          <w:wAfter w:w="1133" w:type="dxa"/>
        </w:trPr>
        <w:tc>
          <w:tcPr>
            <w:tcW w:w="2907" w:type="dxa"/>
          </w:tcPr>
          <w:p w:rsidR="008E7846" w:rsidRPr="00487162" w:rsidRDefault="008E7846" w:rsidP="00E45619">
            <w:pPr>
              <w:rPr>
                <w:i/>
              </w:rPr>
            </w:pPr>
            <w:r w:rsidRPr="00487162">
              <w:rPr>
                <w:i/>
              </w:rPr>
              <w:t>Dosage:</w:t>
            </w:r>
          </w:p>
        </w:tc>
        <w:tc>
          <w:tcPr>
            <w:tcW w:w="5457" w:type="dxa"/>
          </w:tcPr>
          <w:p w:rsidR="008E7846" w:rsidRPr="00487162" w:rsidRDefault="0041538F" w:rsidP="00E45619">
            <w:r w:rsidRPr="0041538F">
              <w:t xml:space="preserve">100 mg administered vaginally 2-3 times daily starting at </w:t>
            </w:r>
            <w:proofErr w:type="spellStart"/>
            <w:r w:rsidRPr="0041538F">
              <w:t>oocyte</w:t>
            </w:r>
            <w:proofErr w:type="spellEnd"/>
            <w:r w:rsidRPr="0041538F">
              <w:t xml:space="preserve"> retrieval and continuing for up to 10 weeks total duration (or 12 weeks gestation)</w:t>
            </w:r>
          </w:p>
        </w:tc>
      </w:tr>
      <w:tr w:rsidR="008E7846" w:rsidRPr="00487162" w:rsidTr="0041538F">
        <w:trPr>
          <w:gridAfter w:val="1"/>
          <w:wAfter w:w="1133" w:type="dxa"/>
        </w:trPr>
        <w:tc>
          <w:tcPr>
            <w:tcW w:w="2907" w:type="dxa"/>
          </w:tcPr>
          <w:p w:rsidR="008E7846" w:rsidRPr="00487162" w:rsidRDefault="008E7846" w:rsidP="00344CA2">
            <w:pPr>
              <w:rPr>
                <w:i/>
              </w:rPr>
            </w:pPr>
            <w:r w:rsidRPr="00487162">
              <w:rPr>
                <w:i/>
              </w:rPr>
              <w:t>ARTG Number</w:t>
            </w:r>
            <w:r w:rsidR="00344CA2">
              <w:rPr>
                <w:i/>
              </w:rPr>
              <w:t>:</w:t>
            </w:r>
          </w:p>
        </w:tc>
        <w:tc>
          <w:tcPr>
            <w:tcW w:w="5457" w:type="dxa"/>
          </w:tcPr>
          <w:p w:rsidR="008E7846" w:rsidRPr="00487162" w:rsidRDefault="004C0A76" w:rsidP="00E45619">
            <w:r>
              <w:t>189948</w:t>
            </w:r>
          </w:p>
        </w:tc>
      </w:tr>
    </w:tbl>
    <w:p w:rsidR="008E7846" w:rsidRDefault="008E7846" w:rsidP="00344CA2">
      <w:pPr>
        <w:pStyle w:val="Heading3"/>
      </w:pPr>
      <w:bookmarkStart w:id="7" w:name="_Toc247691503"/>
      <w:bookmarkStart w:id="8" w:name="_Toc314842484"/>
      <w:bookmarkStart w:id="9" w:name="_Toc357785352"/>
      <w:r>
        <w:t>Product background</w:t>
      </w:r>
      <w:bookmarkEnd w:id="7"/>
      <w:bookmarkEnd w:id="8"/>
      <w:bookmarkEnd w:id="9"/>
    </w:p>
    <w:p w:rsidR="0009209D" w:rsidRDefault="00EF2FAA" w:rsidP="00344CA2">
      <w:r>
        <w:t xml:space="preserve">This AusPAR describes an application by the sponsor, </w:t>
      </w:r>
      <w:proofErr w:type="spellStart"/>
      <w:r>
        <w:t>Ferring</w:t>
      </w:r>
      <w:proofErr w:type="spellEnd"/>
      <w:r>
        <w:t xml:space="preserve"> Pharmaceuticals Pty Ltd, to </w:t>
      </w:r>
      <w:r w:rsidRPr="00EF2FAA">
        <w:t>register a new dosage form of progesterone</w:t>
      </w:r>
      <w:r w:rsidR="00136525">
        <w:t xml:space="preserve">, </w:t>
      </w:r>
      <w:r w:rsidR="00B133C1">
        <w:t>Endometrin</w:t>
      </w:r>
      <w:r w:rsidR="00C1644E">
        <w:t xml:space="preserve"> </w:t>
      </w:r>
      <w:proofErr w:type="spellStart"/>
      <w:r w:rsidR="00C1644E">
        <w:t>Pessaries</w:t>
      </w:r>
      <w:proofErr w:type="spellEnd"/>
      <w:r w:rsidR="00136525">
        <w:t xml:space="preserve"> </w:t>
      </w:r>
      <w:r w:rsidR="00DF2484">
        <w:t>100 mg</w:t>
      </w:r>
      <w:r w:rsidR="0009209D">
        <w:t xml:space="preserve">. </w:t>
      </w:r>
      <w:r w:rsidR="0009209D" w:rsidRPr="00357123">
        <w:t xml:space="preserve">The </w:t>
      </w:r>
      <w:r w:rsidR="0009209D">
        <w:t>approved indication (from</w:t>
      </w:r>
      <w:r w:rsidR="0094251C">
        <w:t xml:space="preserve"> the draft Product Information [PI]</w:t>
      </w:r>
      <w:r w:rsidR="0009209D">
        <w:t>) is:</w:t>
      </w:r>
    </w:p>
    <w:p w:rsidR="0009209D" w:rsidRPr="0009209D" w:rsidRDefault="0009209D" w:rsidP="0009209D">
      <w:pPr>
        <w:ind w:left="720"/>
        <w:rPr>
          <w:i/>
        </w:rPr>
      </w:pPr>
      <w:r w:rsidRPr="0009209D">
        <w:rPr>
          <w:i/>
        </w:rPr>
        <w:t xml:space="preserve">Endometrin is indicated for </w:t>
      </w:r>
      <w:proofErr w:type="spellStart"/>
      <w:r w:rsidRPr="0009209D">
        <w:rPr>
          <w:i/>
        </w:rPr>
        <w:t>luteal</w:t>
      </w:r>
      <w:proofErr w:type="spellEnd"/>
      <w:r w:rsidRPr="0009209D">
        <w:rPr>
          <w:i/>
        </w:rPr>
        <w:t xml:space="preserve"> support as part of an </w:t>
      </w:r>
      <w:r w:rsidR="00976596">
        <w:rPr>
          <w:i/>
        </w:rPr>
        <w:t>ART</w:t>
      </w:r>
      <w:r w:rsidRPr="0009209D">
        <w:rPr>
          <w:i/>
        </w:rPr>
        <w:t xml:space="preserve"> treatment programme for infertile women.</w:t>
      </w:r>
    </w:p>
    <w:p w:rsidR="0044468B" w:rsidRDefault="00574CF3" w:rsidP="0044468B">
      <w:r>
        <w:t xml:space="preserve">The maximum recommended dosage proposed in the </w:t>
      </w:r>
      <w:r w:rsidR="00976596">
        <w:t>PI</w:t>
      </w:r>
      <w:r>
        <w:t xml:space="preserve"> is three times daily (that is, 300 mg/day).</w:t>
      </w:r>
    </w:p>
    <w:p w:rsidR="00574CF3" w:rsidRDefault="00574CF3" w:rsidP="00574CF3">
      <w:pPr>
        <w:ind w:firstLine="6"/>
      </w:pPr>
      <w:r>
        <w:t>There are currently two locally (vaginal) acting progesterone prepa</w:t>
      </w:r>
      <w:r w:rsidR="0009209D">
        <w:t>rations registered in Australia</w:t>
      </w:r>
      <w:r>
        <w:t xml:space="preserve">: Crinone </w:t>
      </w:r>
      <w:proofErr w:type="spellStart"/>
      <w:r w:rsidR="0009209D">
        <w:t>pessaries</w:t>
      </w:r>
      <w:proofErr w:type="spellEnd"/>
      <w:r w:rsidR="0009209D">
        <w:t xml:space="preserve"> </w:t>
      </w:r>
      <w:r>
        <w:t>8% prolonged release vaginal gel</w:t>
      </w:r>
      <w:r w:rsidR="0009209D">
        <w:t xml:space="preserve"> (90 mg)</w:t>
      </w:r>
      <w:r>
        <w:t xml:space="preserve"> </w:t>
      </w:r>
      <w:r w:rsidR="0009209D">
        <w:t xml:space="preserve">(Merck </w:t>
      </w:r>
      <w:proofErr w:type="spellStart"/>
      <w:r w:rsidR="0009209D">
        <w:t>Serono</w:t>
      </w:r>
      <w:proofErr w:type="spellEnd"/>
      <w:r w:rsidR="0009209D">
        <w:t xml:space="preserve">) </w:t>
      </w:r>
      <w:r>
        <w:t xml:space="preserve">and </w:t>
      </w:r>
      <w:r w:rsidR="0009209D">
        <w:t>Orion p</w:t>
      </w:r>
      <w:r>
        <w:t xml:space="preserve">rogesterone </w:t>
      </w:r>
      <w:proofErr w:type="spellStart"/>
      <w:r>
        <w:t>pe</w:t>
      </w:r>
      <w:r w:rsidR="0009209D">
        <w:t>ssaries</w:t>
      </w:r>
      <w:proofErr w:type="spellEnd"/>
      <w:r w:rsidR="0009209D">
        <w:t xml:space="preserve"> 100 mg and 200 mg</w:t>
      </w:r>
      <w:r>
        <w:t>.</w:t>
      </w:r>
    </w:p>
    <w:p w:rsidR="00574CF3" w:rsidRDefault="00574CF3" w:rsidP="00574CF3">
      <w:pPr>
        <w:ind w:firstLine="6"/>
      </w:pPr>
      <w:r>
        <w:lastRenderedPageBreak/>
        <w:t xml:space="preserve">Crinone </w:t>
      </w:r>
      <w:proofErr w:type="spellStart"/>
      <w:r>
        <w:t>pessaries</w:t>
      </w:r>
      <w:proofErr w:type="spellEnd"/>
      <w:r>
        <w:t xml:space="preserve"> are registered for:</w:t>
      </w:r>
    </w:p>
    <w:p w:rsidR="00574CF3" w:rsidRPr="00574CF3" w:rsidRDefault="00574CF3" w:rsidP="00574CF3">
      <w:pPr>
        <w:ind w:firstLine="720"/>
        <w:rPr>
          <w:i/>
        </w:rPr>
      </w:pPr>
      <w:proofErr w:type="gramStart"/>
      <w:r w:rsidRPr="00574CF3">
        <w:rPr>
          <w:i/>
        </w:rPr>
        <w:t xml:space="preserve">“IVF </w:t>
      </w:r>
      <w:r w:rsidR="00976596">
        <w:rPr>
          <w:i/>
        </w:rPr>
        <w:t xml:space="preserve">(in vitro fertilisation) </w:t>
      </w:r>
      <w:r w:rsidRPr="00574CF3">
        <w:rPr>
          <w:i/>
        </w:rPr>
        <w:t xml:space="preserve">and ART where </w:t>
      </w:r>
      <w:proofErr w:type="spellStart"/>
      <w:r w:rsidRPr="00574CF3">
        <w:rPr>
          <w:i/>
        </w:rPr>
        <w:t>luteal</w:t>
      </w:r>
      <w:proofErr w:type="spellEnd"/>
      <w:r w:rsidRPr="00574CF3">
        <w:rPr>
          <w:i/>
        </w:rPr>
        <w:t xml:space="preserve"> phase support is indicated”.</w:t>
      </w:r>
      <w:proofErr w:type="gramEnd"/>
    </w:p>
    <w:p w:rsidR="00574CF3" w:rsidRDefault="00574CF3" w:rsidP="00574CF3">
      <w:pPr>
        <w:ind w:firstLine="6"/>
      </w:pPr>
      <w:r>
        <w:t xml:space="preserve">Orion progesterone </w:t>
      </w:r>
      <w:proofErr w:type="spellStart"/>
      <w:r>
        <w:t>pessaries</w:t>
      </w:r>
      <w:proofErr w:type="spellEnd"/>
      <w:r>
        <w:t xml:space="preserve"> are registered for:</w:t>
      </w:r>
    </w:p>
    <w:p w:rsidR="00574CF3" w:rsidRPr="00574CF3" w:rsidRDefault="00574CF3" w:rsidP="00574CF3">
      <w:pPr>
        <w:ind w:left="720" w:firstLine="6"/>
        <w:rPr>
          <w:i/>
          <w:color w:val="000000"/>
          <w:szCs w:val="24"/>
        </w:rPr>
      </w:pPr>
      <w:r w:rsidRPr="00574CF3">
        <w:rPr>
          <w:i/>
        </w:rPr>
        <w:t>“</w:t>
      </w:r>
      <w:r w:rsidRPr="00574CF3">
        <w:rPr>
          <w:i/>
          <w:color w:val="000000"/>
          <w:szCs w:val="24"/>
        </w:rPr>
        <w:t>Assisted reproductive technology treatment of infertile women with progesterone deficiency, requiring progesterone supplementation or replacement to support embryo implantation and maintain initial pregnancy”.</w:t>
      </w:r>
    </w:p>
    <w:p w:rsidR="00574CF3" w:rsidRPr="000F5A64" w:rsidRDefault="00574CF3" w:rsidP="00574CF3">
      <w:pPr>
        <w:ind w:firstLine="6"/>
        <w:rPr>
          <w:color w:val="000000"/>
          <w:szCs w:val="24"/>
        </w:rPr>
      </w:pPr>
      <w:r>
        <w:rPr>
          <w:color w:val="000000"/>
          <w:szCs w:val="24"/>
        </w:rPr>
        <w:t xml:space="preserve">This is a grandfathered product. </w:t>
      </w:r>
    </w:p>
    <w:p w:rsidR="00874F70" w:rsidRDefault="00574CF3" w:rsidP="00344CA2">
      <w:r w:rsidRPr="000F5A64">
        <w:t>It is stated</w:t>
      </w:r>
      <w:r>
        <w:t xml:space="preserve"> in the letter of application that Endometrin is currently registered in Canada, USA, the Netherlands, Sweden and the UK. The registered indication the US</w:t>
      </w:r>
      <w:r w:rsidR="00874F70">
        <w:t xml:space="preserve"> is</w:t>
      </w:r>
    </w:p>
    <w:p w:rsidR="00874F70" w:rsidRPr="00874F70" w:rsidRDefault="00574CF3" w:rsidP="00874F70">
      <w:pPr>
        <w:ind w:left="720" w:firstLine="6"/>
        <w:rPr>
          <w:i/>
          <w:color w:val="000000"/>
          <w:szCs w:val="24"/>
        </w:rPr>
      </w:pPr>
      <w:r w:rsidRPr="00874F70">
        <w:rPr>
          <w:i/>
          <w:color w:val="000000"/>
          <w:szCs w:val="24"/>
        </w:rPr>
        <w:t xml:space="preserve">“Endometrin is </w:t>
      </w:r>
      <w:proofErr w:type="gramStart"/>
      <w:r w:rsidRPr="00874F70">
        <w:rPr>
          <w:i/>
          <w:color w:val="000000"/>
          <w:szCs w:val="24"/>
        </w:rPr>
        <w:t>a progesterone</w:t>
      </w:r>
      <w:proofErr w:type="gramEnd"/>
      <w:r w:rsidRPr="00874F70">
        <w:rPr>
          <w:i/>
          <w:color w:val="000000"/>
          <w:szCs w:val="24"/>
        </w:rPr>
        <w:t xml:space="preserve"> indicated to support embryo implantation and early pregnancy by supplementation of corpus </w:t>
      </w:r>
      <w:proofErr w:type="spellStart"/>
      <w:r w:rsidR="00976596">
        <w:rPr>
          <w:i/>
          <w:color w:val="000000"/>
          <w:szCs w:val="24"/>
        </w:rPr>
        <w:t>luteal</w:t>
      </w:r>
      <w:proofErr w:type="spellEnd"/>
      <w:r w:rsidR="00976596">
        <w:rPr>
          <w:i/>
          <w:color w:val="000000"/>
          <w:szCs w:val="24"/>
        </w:rPr>
        <w:t xml:space="preserve"> function as part of an ART</w:t>
      </w:r>
      <w:r w:rsidRPr="00874F70">
        <w:rPr>
          <w:i/>
          <w:color w:val="000000"/>
          <w:szCs w:val="24"/>
        </w:rPr>
        <w:t xml:space="preserve"> treatme</w:t>
      </w:r>
      <w:r w:rsidR="00874F70" w:rsidRPr="00874F70">
        <w:rPr>
          <w:i/>
          <w:color w:val="000000"/>
          <w:szCs w:val="24"/>
        </w:rPr>
        <w:t>nt program in infertile women”.</w:t>
      </w:r>
    </w:p>
    <w:p w:rsidR="00574CF3" w:rsidRDefault="00574CF3" w:rsidP="00344CA2">
      <w:r>
        <w:t xml:space="preserve">Based on the public assessment report accessible on the </w:t>
      </w:r>
      <w:r w:rsidR="00976596">
        <w:t xml:space="preserve">US </w:t>
      </w:r>
      <w:r>
        <w:t xml:space="preserve">FDA </w:t>
      </w:r>
      <w:r w:rsidR="00976596">
        <w:t xml:space="preserve">(Food and Drug Administration) </w:t>
      </w:r>
      <w:r>
        <w:t>websit</w:t>
      </w:r>
      <w:r w:rsidR="00874F70">
        <w:t>e, the data set submitted in US</w:t>
      </w:r>
      <w:r>
        <w:t xml:space="preserve"> is identical to that submitted to the TGA. </w:t>
      </w:r>
    </w:p>
    <w:p w:rsidR="009D1D64" w:rsidRDefault="00574CF3" w:rsidP="00344CA2">
      <w:r>
        <w:rPr>
          <w:color w:val="000000"/>
          <w:szCs w:val="24"/>
        </w:rPr>
        <w:t>A full data set was submitted.</w:t>
      </w:r>
      <w:r w:rsidR="009D1D64" w:rsidRPr="009D1D64">
        <w:t xml:space="preserve"> </w:t>
      </w:r>
      <w:r w:rsidR="009D1D64">
        <w:t>The submission did not include paediatric data.</w:t>
      </w:r>
    </w:p>
    <w:p w:rsidR="008E7846" w:rsidRPr="00344CA2" w:rsidRDefault="00386150" w:rsidP="00344CA2">
      <w:pPr>
        <w:pStyle w:val="Heading3"/>
      </w:pPr>
      <w:bookmarkStart w:id="10" w:name="_Toc314842485"/>
      <w:bookmarkStart w:id="11" w:name="_Toc247691504"/>
      <w:bookmarkStart w:id="12" w:name="_Toc357785353"/>
      <w:r>
        <w:t>Regulatory s</w:t>
      </w:r>
      <w:r w:rsidR="008E7846">
        <w:t>tatus</w:t>
      </w:r>
      <w:bookmarkEnd w:id="10"/>
      <w:bookmarkEnd w:id="11"/>
      <w:bookmarkEnd w:id="12"/>
    </w:p>
    <w:p w:rsidR="00A12B17" w:rsidRDefault="00A12B17" w:rsidP="00344CA2">
      <w:r>
        <w:t>Table 1 shows the international regulatory history of Endometrin Pessaries</w:t>
      </w:r>
      <w:r w:rsidRPr="00703277">
        <w:t xml:space="preserve"> </w:t>
      </w:r>
      <w:r>
        <w:t>at the time of submission of this dossier.</w:t>
      </w:r>
    </w:p>
    <w:p w:rsidR="00A12B17" w:rsidRDefault="00A12B17" w:rsidP="00344CA2">
      <w:pPr>
        <w:pStyle w:val="TableTitle"/>
        <w:rPr>
          <w:lang w:val="en-GB"/>
        </w:rPr>
      </w:pPr>
      <w:proofErr w:type="gramStart"/>
      <w:r>
        <w:lastRenderedPageBreak/>
        <w:t>Table 1:</w:t>
      </w:r>
      <w:r w:rsidRPr="004C5C28">
        <w:t xml:space="preserve"> Summary of international regulatory status of </w:t>
      </w:r>
      <w:r>
        <w:t>Endometrin Pessaries approvals.</w:t>
      </w:r>
      <w:proofErr w:type="gramEnd"/>
    </w:p>
    <w:p w:rsidR="008E7846" w:rsidRDefault="009561C4" w:rsidP="00344CA2">
      <w:r>
        <w:rPr>
          <w:noProof/>
          <w:lang w:eastAsia="en-AU"/>
        </w:rPr>
        <w:drawing>
          <wp:inline distT="0" distB="0" distL="0" distR="0">
            <wp:extent cx="4785360" cy="4779645"/>
            <wp:effectExtent l="19050" t="0" r="0" b="0"/>
            <wp:docPr id="13" name="Picture 1" descr="Table 1: Summary of international regulatory status of Endometrin Pessaries appro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6" cstate="print"/>
                    <a:srcRect/>
                    <a:stretch>
                      <a:fillRect/>
                    </a:stretch>
                  </pic:blipFill>
                  <pic:spPr bwMode="auto">
                    <a:xfrm>
                      <a:off x="0" y="0"/>
                      <a:ext cx="4785360" cy="4779645"/>
                    </a:xfrm>
                    <a:prstGeom prst="rect">
                      <a:avLst/>
                    </a:prstGeom>
                    <a:noFill/>
                    <a:ln w="9525">
                      <a:noFill/>
                      <a:miter lim="800000"/>
                      <a:headEnd/>
                      <a:tailEnd/>
                    </a:ln>
                  </pic:spPr>
                </pic:pic>
              </a:graphicData>
            </a:graphic>
          </wp:inline>
        </w:drawing>
      </w:r>
    </w:p>
    <w:p w:rsidR="008E7846" w:rsidRDefault="008E7846" w:rsidP="00344CA2">
      <w:pPr>
        <w:pStyle w:val="Heading3"/>
      </w:pPr>
      <w:bookmarkStart w:id="13" w:name="_Toc247691505"/>
      <w:bookmarkStart w:id="14" w:name="_Toc314842486"/>
      <w:bookmarkStart w:id="15" w:name="_Toc357785354"/>
      <w:r>
        <w:t>Product Information</w:t>
      </w:r>
      <w:bookmarkEnd w:id="13"/>
      <w:bookmarkEnd w:id="14"/>
      <w:bookmarkEnd w:id="15"/>
    </w:p>
    <w:p w:rsidR="008E7846" w:rsidRDefault="008E7846" w:rsidP="00344CA2">
      <w:r>
        <w:t>T</w:t>
      </w:r>
      <w:r w:rsidR="003221A9">
        <w:t>he approved PI</w:t>
      </w:r>
      <w:r>
        <w:t xml:space="preserve"> current at the time this AusPAR was prepared can be found as Attachment 1.</w:t>
      </w:r>
      <w:bookmarkStart w:id="16" w:name="_Toc247691506"/>
      <w:bookmarkStart w:id="17" w:name="_Toc314842487"/>
    </w:p>
    <w:p w:rsidR="008E7846" w:rsidRPr="003602A9" w:rsidRDefault="008E7846" w:rsidP="00344CA2">
      <w:pPr>
        <w:pStyle w:val="Heading2"/>
      </w:pPr>
      <w:bookmarkStart w:id="18" w:name="_Toc357785355"/>
      <w:r>
        <w:t>II. Quality</w:t>
      </w:r>
      <w:bookmarkEnd w:id="0"/>
      <w:r>
        <w:t xml:space="preserve"> findings</w:t>
      </w:r>
      <w:bookmarkEnd w:id="16"/>
      <w:bookmarkEnd w:id="17"/>
      <w:bookmarkEnd w:id="18"/>
    </w:p>
    <w:p w:rsidR="008E7846" w:rsidRDefault="008E7846" w:rsidP="00344CA2">
      <w:pPr>
        <w:pStyle w:val="Heading3"/>
      </w:pPr>
      <w:bookmarkStart w:id="19" w:name="_Toc247691507"/>
      <w:bookmarkStart w:id="20" w:name="_Toc314842488"/>
      <w:bookmarkStart w:id="21" w:name="_Toc357785356"/>
      <w:r w:rsidRPr="008751DC">
        <w:t xml:space="preserve">Drug </w:t>
      </w:r>
      <w:r>
        <w:t>s</w:t>
      </w:r>
      <w:r w:rsidRPr="008751DC">
        <w:t>ubstance</w:t>
      </w:r>
      <w:r>
        <w:t xml:space="preserve"> (active ingredient)</w:t>
      </w:r>
      <w:bookmarkEnd w:id="19"/>
      <w:bookmarkEnd w:id="20"/>
      <w:bookmarkEnd w:id="21"/>
    </w:p>
    <w:p w:rsidR="00327344" w:rsidRDefault="00327344" w:rsidP="00344CA2">
      <w:r>
        <w:t xml:space="preserve">The </w:t>
      </w:r>
      <w:proofErr w:type="spellStart"/>
      <w:r>
        <w:t>micronised</w:t>
      </w:r>
      <w:proofErr w:type="spellEnd"/>
      <w:r>
        <w:t xml:space="preserve"> progesterone (Figur</w:t>
      </w:r>
      <w:r w:rsidR="00344CA2">
        <w:t>e 1) is manufactured in the US.</w:t>
      </w:r>
    </w:p>
    <w:p w:rsidR="00327344" w:rsidRDefault="00327344" w:rsidP="00344CA2">
      <w:pPr>
        <w:pStyle w:val="ListBullet"/>
      </w:pPr>
      <w:r w:rsidRPr="003A6464">
        <w:t xml:space="preserve">An EDQM </w:t>
      </w:r>
      <w:r>
        <w:t xml:space="preserve">(European Directorate for the Quality of Medicines &amp; HealthCare) </w:t>
      </w:r>
      <w:r w:rsidRPr="003A6464">
        <w:t xml:space="preserve">Certificate of Suitability was provided indicating compliance with the EP/BP </w:t>
      </w:r>
      <w:r>
        <w:t>(</w:t>
      </w:r>
      <w:r w:rsidRPr="00AC7BAC">
        <w:t>European Pharmacopoeia</w:t>
      </w:r>
      <w:r>
        <w:t xml:space="preserve">/British Pharmacopoeia) </w:t>
      </w:r>
      <w:r w:rsidRPr="003A6464">
        <w:t>monograph for progesterone.</w:t>
      </w:r>
    </w:p>
    <w:p w:rsidR="00327344" w:rsidRPr="003A6464" w:rsidRDefault="00327344" w:rsidP="00344CA2">
      <w:pPr>
        <w:pStyle w:val="ListBullet"/>
      </w:pPr>
      <w:r>
        <w:t>The particle size distribution is adequately controlled.</w:t>
      </w:r>
    </w:p>
    <w:p w:rsidR="003A6464" w:rsidRDefault="003A6464" w:rsidP="00344CA2">
      <w:pPr>
        <w:pStyle w:val="FigureTitle"/>
        <w:keepNext/>
        <w:rPr>
          <w:lang w:val="en-GB"/>
        </w:rPr>
      </w:pPr>
      <w:r>
        <w:lastRenderedPageBreak/>
        <w:t>Figure 1:</w:t>
      </w:r>
      <w:r w:rsidRPr="004C5C28">
        <w:t xml:space="preserve"> </w:t>
      </w:r>
      <w:r w:rsidR="007E59EC">
        <w:t>Structure and chemical characteristics of progesterone</w:t>
      </w:r>
      <w:r>
        <w:t>.</w:t>
      </w:r>
    </w:p>
    <w:tbl>
      <w:tblPr>
        <w:tblW w:w="0" w:type="auto"/>
        <w:tblLook w:val="04A0"/>
      </w:tblPr>
      <w:tblGrid>
        <w:gridCol w:w="3510"/>
        <w:gridCol w:w="5210"/>
      </w:tblGrid>
      <w:tr w:rsidR="003A6464" w:rsidTr="000E65AC">
        <w:tc>
          <w:tcPr>
            <w:tcW w:w="3510" w:type="dxa"/>
          </w:tcPr>
          <w:p w:rsidR="003A6464" w:rsidRDefault="009561C4" w:rsidP="00A20823">
            <w:pPr>
              <w:jc w:val="center"/>
            </w:pPr>
            <w:r>
              <w:rPr>
                <w:noProof/>
                <w:lang w:eastAsia="en-AU"/>
              </w:rPr>
              <w:drawing>
                <wp:inline distT="0" distB="0" distL="0" distR="0">
                  <wp:extent cx="1654810" cy="1071245"/>
                  <wp:effectExtent l="19050" t="0" r="2540" b="0"/>
                  <wp:docPr id="2" name="Picture 2" descr="Figure 1: Structure and chemical characteristics of progeste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7" cstate="print"/>
                          <a:srcRect/>
                          <a:stretch>
                            <a:fillRect/>
                          </a:stretch>
                        </pic:blipFill>
                        <pic:spPr bwMode="auto">
                          <a:xfrm>
                            <a:off x="0" y="0"/>
                            <a:ext cx="1654810" cy="1071245"/>
                          </a:xfrm>
                          <a:prstGeom prst="rect">
                            <a:avLst/>
                          </a:prstGeom>
                          <a:noFill/>
                          <a:ln w="9525">
                            <a:noFill/>
                            <a:miter lim="800000"/>
                            <a:headEnd/>
                            <a:tailEnd/>
                          </a:ln>
                        </pic:spPr>
                      </pic:pic>
                    </a:graphicData>
                  </a:graphic>
                </wp:inline>
              </w:drawing>
            </w:r>
          </w:p>
        </w:tc>
        <w:tc>
          <w:tcPr>
            <w:tcW w:w="5210" w:type="dxa"/>
          </w:tcPr>
          <w:p w:rsidR="00104B3A" w:rsidRPr="00FD7F22" w:rsidRDefault="00104B3A" w:rsidP="008E7846">
            <w:pPr>
              <w:rPr>
                <w:rStyle w:val="molecularformula"/>
                <w:rFonts w:ascii="Calibri" w:hAnsi="Calibri" w:cs="Calibri"/>
              </w:rPr>
            </w:pPr>
            <w:r w:rsidRPr="00FD7F22">
              <w:rPr>
                <w:rStyle w:val="molecularformula"/>
                <w:rFonts w:ascii="Calibri" w:hAnsi="Calibri" w:cs="Calibri"/>
              </w:rPr>
              <w:t>C</w:t>
            </w:r>
            <w:r w:rsidRPr="00FD7F22">
              <w:rPr>
                <w:rStyle w:val="molecularformula"/>
                <w:rFonts w:ascii="Calibri" w:hAnsi="Calibri" w:cs="Calibri"/>
                <w:vertAlign w:val="subscript"/>
              </w:rPr>
              <w:t>21</w:t>
            </w:r>
            <w:r w:rsidRPr="00FD7F22">
              <w:rPr>
                <w:rStyle w:val="molecularformula"/>
                <w:rFonts w:ascii="Calibri" w:hAnsi="Calibri" w:cs="Calibri"/>
              </w:rPr>
              <w:t>H</w:t>
            </w:r>
            <w:r w:rsidRPr="00FD7F22">
              <w:rPr>
                <w:rStyle w:val="molecularformula"/>
                <w:rFonts w:ascii="Calibri" w:hAnsi="Calibri" w:cs="Calibri"/>
                <w:vertAlign w:val="subscript"/>
              </w:rPr>
              <w:t>30</w:t>
            </w:r>
            <w:r w:rsidRPr="00FD7F22">
              <w:rPr>
                <w:rStyle w:val="molecularformula"/>
                <w:rFonts w:ascii="Calibri" w:hAnsi="Calibri" w:cs="Calibri"/>
              </w:rPr>
              <w:t>O</w:t>
            </w:r>
            <w:r w:rsidRPr="00FD7F22">
              <w:rPr>
                <w:rStyle w:val="molecularformula"/>
                <w:rFonts w:ascii="Calibri" w:hAnsi="Calibri" w:cs="Calibri"/>
                <w:vertAlign w:val="subscript"/>
              </w:rPr>
              <w:t>2</w:t>
            </w:r>
          </w:p>
          <w:p w:rsidR="00104B3A" w:rsidRPr="00FD7F22" w:rsidRDefault="00104B3A" w:rsidP="008E7846">
            <w:pPr>
              <w:rPr>
                <w:rStyle w:val="italic"/>
                <w:rFonts w:ascii="Calibri" w:hAnsi="Calibri" w:cs="Calibri"/>
              </w:rPr>
            </w:pPr>
            <w:r w:rsidRPr="00FD7F22">
              <w:rPr>
                <w:rStyle w:val="molecularformula"/>
                <w:rFonts w:ascii="Calibri" w:hAnsi="Calibri" w:cs="Calibri"/>
              </w:rPr>
              <w:t xml:space="preserve">Molecular Weight = </w:t>
            </w:r>
            <w:r w:rsidRPr="00FD7F22">
              <w:rPr>
                <w:rStyle w:val="molecularweight"/>
                <w:rFonts w:ascii="Calibri" w:hAnsi="Calibri" w:cs="Calibri"/>
              </w:rPr>
              <w:t>314.5</w:t>
            </w:r>
          </w:p>
          <w:p w:rsidR="003A6464" w:rsidRPr="00A20823" w:rsidRDefault="00104B3A" w:rsidP="008E7846">
            <w:pPr>
              <w:rPr>
                <w:i/>
                <w:iCs/>
              </w:rPr>
            </w:pPr>
            <w:r w:rsidRPr="00FD7F22">
              <w:rPr>
                <w:rFonts w:ascii="Calibri" w:hAnsi="Calibri" w:cs="Calibri"/>
                <w:i/>
              </w:rPr>
              <w:t>Practically insoluble in water, freely soluble in ethanol, sparingly soluble in acetone and in fatty oils.</w:t>
            </w:r>
          </w:p>
        </w:tc>
      </w:tr>
    </w:tbl>
    <w:p w:rsidR="00ED25F1" w:rsidRDefault="00ED25F1" w:rsidP="006F6812">
      <w:pPr>
        <w:pStyle w:val="Heading3"/>
      </w:pPr>
      <w:bookmarkStart w:id="22" w:name="_Toc357785357"/>
      <w:proofErr w:type="spellStart"/>
      <w:r>
        <w:t>Biopharmaceutics</w:t>
      </w:r>
      <w:bookmarkEnd w:id="22"/>
      <w:proofErr w:type="spellEnd"/>
    </w:p>
    <w:p w:rsidR="00ED25F1" w:rsidRDefault="000E65AC" w:rsidP="006F6812">
      <w:pPr>
        <w:pStyle w:val="Heading4"/>
      </w:pPr>
      <w:r>
        <w:t>Chemistry and quality c</w:t>
      </w:r>
      <w:r w:rsidR="00ED25F1">
        <w:t>ontrol</w:t>
      </w:r>
    </w:p>
    <w:p w:rsidR="00327344" w:rsidRDefault="00327344" w:rsidP="006F6812">
      <w:r>
        <w:t xml:space="preserve">The compressed </w:t>
      </w:r>
      <w:proofErr w:type="spellStart"/>
      <w:r>
        <w:t>pessary</w:t>
      </w:r>
      <w:proofErr w:type="spellEnd"/>
      <w:r>
        <w:t xml:space="preserve"> is manufactured in the US. The </w:t>
      </w:r>
      <w:proofErr w:type="spellStart"/>
      <w:r>
        <w:t>pessary</w:t>
      </w:r>
      <w:proofErr w:type="spellEnd"/>
      <w:r>
        <w:t xml:space="preserve"> is made by granulating </w:t>
      </w:r>
      <w:proofErr w:type="spellStart"/>
      <w:r>
        <w:t>micronised</w:t>
      </w:r>
      <w:proofErr w:type="spellEnd"/>
      <w:r>
        <w:t xml:space="preserve"> progesterone with water. The dried granulate is dry blended with the </w:t>
      </w:r>
      <w:proofErr w:type="spellStart"/>
      <w:r>
        <w:t>excipients</w:t>
      </w:r>
      <w:proofErr w:type="spellEnd"/>
      <w:r>
        <w:t>, compressed and then packaged into blisters.</w:t>
      </w:r>
    </w:p>
    <w:p w:rsidR="00327344" w:rsidRDefault="00327344" w:rsidP="006F6812">
      <w:r>
        <w:t>The control of the product is acceptable. Stability data has been provided to support a shelf life of 36 months when stored below 25</w:t>
      </w:r>
      <w:r w:rsidRPr="00E4256A">
        <w:t>°</w:t>
      </w:r>
      <w:r>
        <w:t>C.</w:t>
      </w:r>
    </w:p>
    <w:p w:rsidR="00327344" w:rsidRDefault="00327344" w:rsidP="006F6812">
      <w:r>
        <w:t>The chemistry and quality control aspect of the draft PI and labels have been finalised to the</w:t>
      </w:r>
      <w:r w:rsidR="006F6812">
        <w:t xml:space="preserve"> satisfaction of the evaluator.</w:t>
      </w:r>
    </w:p>
    <w:p w:rsidR="00ED25F1" w:rsidRDefault="00ED25F1" w:rsidP="006F6812">
      <w:pPr>
        <w:pStyle w:val="Heading4"/>
      </w:pPr>
      <w:proofErr w:type="spellStart"/>
      <w:r>
        <w:t>Bioanalytical</w:t>
      </w:r>
      <w:proofErr w:type="spellEnd"/>
      <w:r>
        <w:t xml:space="preserve"> methods</w:t>
      </w:r>
    </w:p>
    <w:p w:rsidR="00ED25F1" w:rsidRDefault="00ED25F1" w:rsidP="006F6812">
      <w:r>
        <w:t>The immunoassay method used to quantify progesterone concentrations in human serum in</w:t>
      </w:r>
      <w:r w:rsidR="00F768C0">
        <w:t xml:space="preserve"> clinical Study 2004-02 (Phase III</w:t>
      </w:r>
      <w:r>
        <w:t>) was adequately validated for the progesterone concentrations found for the study subjects.</w:t>
      </w:r>
    </w:p>
    <w:p w:rsidR="00ED25F1" w:rsidRPr="008945F9" w:rsidRDefault="00ED25F1" w:rsidP="006F6812">
      <w:r>
        <w:t xml:space="preserve">During method validation, the immunoassay method used to quantify progesterone concentrations in human serum in </w:t>
      </w:r>
      <w:r w:rsidR="00A10C8E">
        <w:t>S</w:t>
      </w:r>
      <w:r w:rsidR="00F768C0">
        <w:t>tudies 2004-1 (Phase I/II</w:t>
      </w:r>
      <w:r>
        <w:t xml:space="preserve">) </w:t>
      </w:r>
      <w:r w:rsidR="00F768C0">
        <w:t>and 2005-08 (Phase I</w:t>
      </w:r>
      <w:r w:rsidR="00172144">
        <w:t xml:space="preserve">) had cross </w:t>
      </w:r>
      <w:r>
        <w:t>reactions with the steroids 5α pregnane-3</w:t>
      </w:r>
      <w:proofErr w:type="gramStart"/>
      <w:r>
        <w:t>,2</w:t>
      </w:r>
      <w:proofErr w:type="gramEnd"/>
      <w:r>
        <w:t xml:space="preserve">-dione and </w:t>
      </w:r>
      <w:proofErr w:type="spellStart"/>
      <w:r>
        <w:t>pregnenolone</w:t>
      </w:r>
      <w:proofErr w:type="spellEnd"/>
      <w:r>
        <w:t xml:space="preserve">. </w:t>
      </w:r>
      <w:r w:rsidRPr="00ED25F1">
        <w:rPr>
          <w:i/>
        </w:rPr>
        <w:t xml:space="preserve">This was brought to the attention of the </w:t>
      </w:r>
      <w:r w:rsidR="00AA0ACD">
        <w:rPr>
          <w:i/>
        </w:rPr>
        <w:t>c</w:t>
      </w:r>
      <w:r w:rsidRPr="00ED25F1">
        <w:rPr>
          <w:i/>
        </w:rPr>
        <w:t xml:space="preserve">linical Delegate. </w:t>
      </w:r>
      <w:r>
        <w:t>The immunoassay method was otherwise also adequately validated.</w:t>
      </w:r>
    </w:p>
    <w:p w:rsidR="008E7846" w:rsidRPr="008751DC" w:rsidRDefault="008E7846" w:rsidP="006F6812">
      <w:pPr>
        <w:pStyle w:val="Heading3"/>
      </w:pPr>
      <w:bookmarkStart w:id="23" w:name="_Toc247691509"/>
      <w:bookmarkStart w:id="24" w:name="_Toc314842493"/>
      <w:bookmarkStart w:id="25" w:name="_Toc357785358"/>
      <w:r>
        <w:t>Quality s</w:t>
      </w:r>
      <w:r w:rsidRPr="008751DC">
        <w:t>ummary</w:t>
      </w:r>
      <w:r>
        <w:t xml:space="preserve"> and conclusions</w:t>
      </w:r>
      <w:bookmarkEnd w:id="23"/>
      <w:bookmarkEnd w:id="24"/>
      <w:bookmarkEnd w:id="25"/>
    </w:p>
    <w:p w:rsidR="0044468B" w:rsidRDefault="0044468B" w:rsidP="0044468B">
      <w:bookmarkStart w:id="26" w:name="_Toc196046439"/>
      <w:bookmarkStart w:id="27" w:name="_Toc247691510"/>
      <w:bookmarkStart w:id="28" w:name="_Toc314842494"/>
      <w:r>
        <w:t>Approval of this submission is recommended with respect to chemistry and quality control.</w:t>
      </w:r>
    </w:p>
    <w:p w:rsidR="0044468B" w:rsidRDefault="0044468B" w:rsidP="0044468B">
      <w:r>
        <w:t>It is recommended that the results of the clinical studies should be accepted if concentrations of 5α pregnane-3</w:t>
      </w:r>
      <w:proofErr w:type="gramStart"/>
      <w:r>
        <w:t>,2</w:t>
      </w:r>
      <w:proofErr w:type="gramEnd"/>
      <w:r>
        <w:t xml:space="preserve">-dione and </w:t>
      </w:r>
      <w:proofErr w:type="spellStart"/>
      <w:r>
        <w:t>pregnenolone</w:t>
      </w:r>
      <w:proofErr w:type="spellEnd"/>
      <w:r>
        <w:t xml:space="preserve"> in human serum are not considered significant.</w:t>
      </w:r>
    </w:p>
    <w:p w:rsidR="008E7846" w:rsidRDefault="008E7846" w:rsidP="006F6812">
      <w:pPr>
        <w:pStyle w:val="Heading2"/>
      </w:pPr>
      <w:bookmarkStart w:id="29" w:name="_Toc357785359"/>
      <w:r>
        <w:t>III. Nonclinical</w:t>
      </w:r>
      <w:bookmarkEnd w:id="26"/>
      <w:r>
        <w:t xml:space="preserve"> findings</w:t>
      </w:r>
      <w:bookmarkEnd w:id="27"/>
      <w:bookmarkEnd w:id="28"/>
      <w:bookmarkEnd w:id="29"/>
    </w:p>
    <w:p w:rsidR="008E7846" w:rsidRDefault="008E7846" w:rsidP="006F6812">
      <w:pPr>
        <w:pStyle w:val="Heading3"/>
      </w:pPr>
      <w:bookmarkStart w:id="30" w:name="_Toc247691511"/>
      <w:bookmarkStart w:id="31" w:name="_Toc314842495"/>
      <w:bookmarkStart w:id="32" w:name="_Toc357785360"/>
      <w:r>
        <w:t>Introduction</w:t>
      </w:r>
      <w:bookmarkEnd w:id="30"/>
      <w:bookmarkEnd w:id="31"/>
      <w:bookmarkEnd w:id="32"/>
    </w:p>
    <w:p w:rsidR="003451DA" w:rsidRPr="003451DA" w:rsidRDefault="003451DA" w:rsidP="006F6812">
      <w:proofErr w:type="spellStart"/>
      <w:r w:rsidRPr="003451DA">
        <w:t>Ferring</w:t>
      </w:r>
      <w:proofErr w:type="spellEnd"/>
      <w:r w:rsidRPr="003451DA">
        <w:t xml:space="preserve"> Pharmaceuticals Pty Ltd has submitted an application to register a new dosage form of progesterone: Endometrin vaginal tablets, containing 100 mg progesterone. The product is proposed for </w:t>
      </w:r>
      <w:proofErr w:type="spellStart"/>
      <w:r w:rsidRPr="003451DA">
        <w:t>luteal</w:t>
      </w:r>
      <w:proofErr w:type="spellEnd"/>
      <w:r w:rsidRPr="003451DA">
        <w:t xml:space="preserve"> support as part of an </w:t>
      </w:r>
      <w:r w:rsidR="00AA0ACD">
        <w:t>ART</w:t>
      </w:r>
      <w:r w:rsidRPr="003451DA">
        <w:t xml:space="preserve"> treatment programme for infertile women.</w:t>
      </w:r>
    </w:p>
    <w:p w:rsidR="003451DA" w:rsidRPr="003451DA" w:rsidRDefault="00AA0ACD" w:rsidP="003451DA">
      <w:r>
        <w:lastRenderedPageBreak/>
        <w:t>The nonclinical data</w:t>
      </w:r>
      <w:r w:rsidR="003451DA" w:rsidRPr="003451DA">
        <w:t xml:space="preserve"> comprised four ne</w:t>
      </w:r>
      <w:r w:rsidR="00D12465">
        <w:t xml:space="preserve">w studies, investigating repeat </w:t>
      </w:r>
      <w:r w:rsidR="003451DA" w:rsidRPr="003451DA">
        <w:t xml:space="preserve">dose toxicity/vaginal tolerance, dermal tolerance and </w:t>
      </w:r>
      <w:proofErr w:type="spellStart"/>
      <w:r w:rsidR="003451DA" w:rsidRPr="003451DA">
        <w:t>antigenicity</w:t>
      </w:r>
      <w:proofErr w:type="spellEnd"/>
      <w:r w:rsidR="003451DA" w:rsidRPr="003451DA">
        <w:t xml:space="preserve">. These were all conducted according to GLP </w:t>
      </w:r>
      <w:r w:rsidR="00D12465">
        <w:t xml:space="preserve">(Good Laboratory Practice) </w:t>
      </w:r>
      <w:r w:rsidR="003451DA" w:rsidRPr="003451DA">
        <w:t>and used the clinical formulation (as uncompressed powder). Published papers were also provided as background information on progesterone.</w:t>
      </w:r>
    </w:p>
    <w:p w:rsidR="008E7846" w:rsidRDefault="008E7846" w:rsidP="006F6812">
      <w:pPr>
        <w:pStyle w:val="Heading3"/>
      </w:pPr>
      <w:bookmarkStart w:id="33" w:name="_Toc247691512"/>
      <w:bookmarkStart w:id="34" w:name="_Toc314842496"/>
      <w:bookmarkStart w:id="35" w:name="_Toc357785361"/>
      <w:r w:rsidRPr="00020030">
        <w:t>Pharmacology</w:t>
      </w:r>
      <w:bookmarkEnd w:id="33"/>
      <w:bookmarkEnd w:id="34"/>
      <w:bookmarkEnd w:id="35"/>
    </w:p>
    <w:p w:rsidR="003451DA" w:rsidRPr="003451DA" w:rsidRDefault="003451DA" w:rsidP="006F6812">
      <w:r w:rsidRPr="003451DA">
        <w:t>The pharmacology of progesterone is well understood, and no pharmacology studies specific to this product were submitted. This is acceptable.</w:t>
      </w:r>
    </w:p>
    <w:p w:rsidR="008E7846" w:rsidRDefault="008E7846" w:rsidP="006F6812">
      <w:pPr>
        <w:pStyle w:val="Heading3"/>
      </w:pPr>
      <w:bookmarkStart w:id="36" w:name="_Toc247691513"/>
      <w:bookmarkStart w:id="37" w:name="_Toc314842497"/>
      <w:bookmarkStart w:id="38" w:name="_Toc357785362"/>
      <w:r>
        <w:t>Pharmacokinetics</w:t>
      </w:r>
      <w:bookmarkEnd w:id="36"/>
      <w:bookmarkEnd w:id="37"/>
      <w:bookmarkEnd w:id="38"/>
    </w:p>
    <w:p w:rsidR="003451DA" w:rsidRPr="003451DA" w:rsidRDefault="003451DA" w:rsidP="006F6812">
      <w:proofErr w:type="spellStart"/>
      <w:r w:rsidRPr="003451DA">
        <w:t>Intravaginal</w:t>
      </w:r>
      <w:proofErr w:type="spellEnd"/>
      <w:r w:rsidRPr="003451DA">
        <w:t xml:space="preserve"> administration of the clinically formulate</w:t>
      </w:r>
      <w:r w:rsidR="003428CE">
        <w:t xml:space="preserve">d powder in rabbits (as a paste </w:t>
      </w:r>
      <w:r w:rsidRPr="003451DA">
        <w:t>like saline suspension) was associated with rapid absorption of progesterone (</w:t>
      </w:r>
      <w:proofErr w:type="spellStart"/>
      <w:r w:rsidRPr="003451DA">
        <w:t>T</w:t>
      </w:r>
      <w:r w:rsidRPr="003428CE">
        <w:rPr>
          <w:vertAlign w:val="subscript"/>
        </w:rPr>
        <w:t>max</w:t>
      </w:r>
      <w:proofErr w:type="spellEnd"/>
      <w:r w:rsidR="00E94809">
        <w:t xml:space="preserve"> </w:t>
      </w:r>
      <w:r w:rsidR="00612C72">
        <w:t>[</w:t>
      </w:r>
      <w:r w:rsidR="00F1329D">
        <w:t>t</w:t>
      </w:r>
      <w:r w:rsidR="00F1329D" w:rsidRPr="00F1329D">
        <w:t>ime to reach peak plasma concentration following drug administration</w:t>
      </w:r>
      <w:r w:rsidR="00612C72">
        <w:t xml:space="preserve">], </w:t>
      </w:r>
      <w:r w:rsidR="00E94809">
        <w:t>1-</w:t>
      </w:r>
      <w:r w:rsidRPr="003451DA">
        <w:t>2 h), and peak and overall exposure levels (</w:t>
      </w:r>
      <w:proofErr w:type="spellStart"/>
      <w:r w:rsidRPr="003451DA">
        <w:t>C</w:t>
      </w:r>
      <w:r w:rsidRPr="003428CE">
        <w:rPr>
          <w:vertAlign w:val="subscript"/>
        </w:rPr>
        <w:t>max</w:t>
      </w:r>
      <w:proofErr w:type="spellEnd"/>
      <w:r w:rsidRPr="003451DA">
        <w:t xml:space="preserve"> </w:t>
      </w:r>
      <w:r w:rsidR="00F1329D">
        <w:t>[</w:t>
      </w:r>
      <w:r w:rsidR="00600FD3">
        <w:t>peak plasma drug concentration</w:t>
      </w:r>
      <w:r w:rsidR="00F1329D">
        <w:t xml:space="preserve">] </w:t>
      </w:r>
      <w:r w:rsidRPr="003451DA">
        <w:t>and AUC</w:t>
      </w:r>
      <w:r w:rsidR="00F1329D">
        <w:t xml:space="preserve"> [</w:t>
      </w:r>
      <w:r w:rsidR="00273F2C">
        <w:t>area under the plasma concentration-time curve</w:t>
      </w:r>
      <w:r w:rsidR="00F1329D">
        <w:t>]</w:t>
      </w:r>
      <w:r w:rsidRPr="003451DA">
        <w:t>) that were less than dose-proportional and which declined with repeat dosing (twice daily administration for two weeks). By comparison, absorption was slower in humans (</w:t>
      </w:r>
      <w:proofErr w:type="spellStart"/>
      <w:r w:rsidRPr="003451DA">
        <w:t>T</w:t>
      </w:r>
      <w:r w:rsidRPr="003428CE">
        <w:rPr>
          <w:vertAlign w:val="subscript"/>
        </w:rPr>
        <w:t>max</w:t>
      </w:r>
      <w:proofErr w:type="spellEnd"/>
      <w:r w:rsidR="003428CE">
        <w:t>, 18-</w:t>
      </w:r>
      <w:r w:rsidRPr="003451DA">
        <w:t xml:space="preserve">24 h; but involving treatment with the compressed tablet) and an increase in AUC was seen between </w:t>
      </w:r>
      <w:r w:rsidR="00EF6585">
        <w:t>D</w:t>
      </w:r>
      <w:r w:rsidRPr="003451DA">
        <w:t xml:space="preserve">ay 1 and </w:t>
      </w:r>
      <w:r w:rsidR="00EF6585">
        <w:t>D</w:t>
      </w:r>
      <w:r w:rsidRPr="003451DA">
        <w:t>ay 5 (Study 2005-0</w:t>
      </w:r>
      <w:r w:rsidR="00EF6585">
        <w:t xml:space="preserve">8). It is noted though that </w:t>
      </w:r>
      <w:r w:rsidRPr="003451DA">
        <w:t>a significant reduction in the mean trough progesterone concentration was observed in with ongoing treatment</w:t>
      </w:r>
      <w:r w:rsidR="007A4D29">
        <w:t xml:space="preserve"> in another clinical study (that is</w:t>
      </w:r>
      <w:r w:rsidRPr="003451DA">
        <w:t xml:space="preserve">, between </w:t>
      </w:r>
      <w:r w:rsidR="00F52B72">
        <w:t>D</w:t>
      </w:r>
      <w:r w:rsidRPr="003451DA">
        <w:t xml:space="preserve">ays 9 and 10 with treatment at 100 mg BID </w:t>
      </w:r>
      <w:r w:rsidR="00600FD3">
        <w:t>[</w:t>
      </w:r>
      <w:r w:rsidR="00671476">
        <w:t>twice daily</w:t>
      </w:r>
      <w:r w:rsidR="00600FD3">
        <w:t xml:space="preserve">] </w:t>
      </w:r>
      <w:r w:rsidRPr="003451DA">
        <w:t>in Study 2004-01).</w:t>
      </w:r>
    </w:p>
    <w:p w:rsidR="008E7846" w:rsidRDefault="008E7846" w:rsidP="006F6812">
      <w:pPr>
        <w:pStyle w:val="Heading3"/>
      </w:pPr>
      <w:bookmarkStart w:id="39" w:name="_Toc247691514"/>
      <w:bookmarkStart w:id="40" w:name="_Toc314842498"/>
      <w:bookmarkStart w:id="41" w:name="_Toc357785363"/>
      <w:r>
        <w:t>Toxicology</w:t>
      </w:r>
      <w:bookmarkEnd w:id="39"/>
      <w:bookmarkEnd w:id="40"/>
      <w:bookmarkEnd w:id="41"/>
    </w:p>
    <w:p w:rsidR="003451DA" w:rsidRPr="003451DA" w:rsidRDefault="00BA4936" w:rsidP="006F6812">
      <w:pPr>
        <w:pStyle w:val="Heading4"/>
      </w:pPr>
      <w:bookmarkStart w:id="42" w:name="_Toc294861728"/>
      <w:r>
        <w:t xml:space="preserve">Repeat </w:t>
      </w:r>
      <w:r w:rsidR="003451DA" w:rsidRPr="003451DA">
        <w:t>dose toxicity</w:t>
      </w:r>
      <w:bookmarkEnd w:id="42"/>
    </w:p>
    <w:p w:rsidR="003451DA" w:rsidRPr="003451DA" w:rsidRDefault="00AD1E95" w:rsidP="006F6812">
      <w:r>
        <w:t>The vaginal tolerance/repeat dose toxicity of Endometrin</w:t>
      </w:r>
      <w:r w:rsidR="003451DA" w:rsidRPr="003451DA">
        <w:t xml:space="preserve"> powder was assessed in 1</w:t>
      </w:r>
      <w:r>
        <w:t xml:space="preserve">4 and 90 </w:t>
      </w:r>
      <w:r w:rsidR="003451DA" w:rsidRPr="003451DA">
        <w:t>day studies in rabbits involving twice daily treatment (</w:t>
      </w:r>
      <w:proofErr w:type="spellStart"/>
      <w:r w:rsidR="003451DA" w:rsidRPr="003451DA">
        <w:t>intravaginal</w:t>
      </w:r>
      <w:proofErr w:type="spellEnd"/>
      <w:r w:rsidR="003451DA" w:rsidRPr="003451DA">
        <w:t xml:space="preserve"> administration). Group sizes and study duration were adequate. The highest dose level used (14.4 mg/kg progesterone BID) yielded a plasma </w:t>
      </w:r>
      <w:proofErr w:type="spellStart"/>
      <w:r w:rsidR="003451DA" w:rsidRPr="003451DA">
        <w:t>C</w:t>
      </w:r>
      <w:r w:rsidR="003451DA" w:rsidRPr="00AD1E95">
        <w:rPr>
          <w:vertAlign w:val="subscript"/>
        </w:rPr>
        <w:t>max</w:t>
      </w:r>
      <w:proofErr w:type="spellEnd"/>
      <w:r>
        <w:t xml:space="preserve"> for progesterone 1.4-2 </w:t>
      </w:r>
      <w:r w:rsidR="003451DA" w:rsidRPr="003451DA">
        <w:t>times highe</w:t>
      </w:r>
      <w:r>
        <w:t>r than, and an AUC</w:t>
      </w:r>
      <w:r w:rsidRPr="00AD1E95">
        <w:rPr>
          <w:vertAlign w:val="subscript"/>
        </w:rPr>
        <w:t>0-24h</w:t>
      </w:r>
      <w:r w:rsidR="003451DA" w:rsidRPr="00AD1E95">
        <w:rPr>
          <w:vertAlign w:val="subscript"/>
        </w:rPr>
        <w:t xml:space="preserve"> </w:t>
      </w:r>
      <w:r w:rsidR="003451DA" w:rsidRPr="003451DA">
        <w:t>that was comparable to, values observed in women treated with the maximum recommende</w:t>
      </w:r>
      <w:r>
        <w:t>d human dose (100 mg Endometrin</w:t>
      </w:r>
      <w:r w:rsidR="003451DA" w:rsidRPr="003451DA">
        <w:t xml:space="preserve"> three times daily) for 5</w:t>
      </w:r>
      <w:r>
        <w:t> days (Study 2005-08) (</w:t>
      </w:r>
      <w:r w:rsidR="003451DA" w:rsidRPr="003451DA">
        <w:t xml:space="preserve">note: animal </w:t>
      </w:r>
      <w:r>
        <w:t>AUC</w:t>
      </w:r>
      <w:r w:rsidRPr="00AD1E95">
        <w:rPr>
          <w:vertAlign w:val="subscript"/>
        </w:rPr>
        <w:t xml:space="preserve">0-24h </w:t>
      </w:r>
      <w:r w:rsidR="003451DA" w:rsidRPr="003451DA">
        <w:t xml:space="preserve">derived by </w:t>
      </w:r>
      <w:r w:rsidR="00887905">
        <w:t>multiplying the reported AUC</w:t>
      </w:r>
      <w:r w:rsidR="00887905" w:rsidRPr="00887905">
        <w:rPr>
          <w:vertAlign w:val="subscript"/>
        </w:rPr>
        <w:t>0-7</w:t>
      </w:r>
      <w:r w:rsidR="003451DA" w:rsidRPr="00887905">
        <w:rPr>
          <w:vertAlign w:val="subscript"/>
        </w:rPr>
        <w:t xml:space="preserve">h </w:t>
      </w:r>
      <w:r w:rsidR="003451DA" w:rsidRPr="003451DA">
        <w:t>value by 2 to reflect twice daily dosing</w:t>
      </w:r>
      <w:r>
        <w:t>)</w:t>
      </w:r>
      <w:r w:rsidR="003451DA" w:rsidRPr="003451DA">
        <w:t xml:space="preserve">. For vaginal tolerance, </w:t>
      </w:r>
      <w:proofErr w:type="spellStart"/>
      <w:r w:rsidR="003451DA" w:rsidRPr="003451DA">
        <w:t>animal:human</w:t>
      </w:r>
      <w:proofErr w:type="spellEnd"/>
      <w:r w:rsidR="003451DA" w:rsidRPr="003451DA">
        <w:t xml:space="preserve"> exposure comparisons are best made with respect to mg/kg/day doses, with the highest dose tested in rabbits almost 5 times than in a 50 kg patient at the maximum recommended human dose.</w:t>
      </w:r>
    </w:p>
    <w:p w:rsidR="003451DA" w:rsidRPr="003451DA" w:rsidRDefault="003451DA" w:rsidP="003451DA">
      <w:r w:rsidRPr="003451DA">
        <w:t xml:space="preserve">Endometrin powder was well tolerated both locally and systemically. Vaginal irritation observed in </w:t>
      </w:r>
      <w:r w:rsidR="00C416A7">
        <w:t>animals treated with Endometrin</w:t>
      </w:r>
      <w:r w:rsidRPr="003451DA">
        <w:t xml:space="preserve"> was rated as minimal to mild, and was only marginally greater than that seen in control an</w:t>
      </w:r>
      <w:r w:rsidR="006F6812">
        <w:t>imals treated with saline only.</w:t>
      </w:r>
    </w:p>
    <w:p w:rsidR="003451DA" w:rsidRPr="003451DA" w:rsidRDefault="003451DA" w:rsidP="006D56FE">
      <w:pPr>
        <w:pStyle w:val="Heading4"/>
      </w:pPr>
      <w:proofErr w:type="spellStart"/>
      <w:r w:rsidRPr="003451DA">
        <w:t>Genotoxicity</w:t>
      </w:r>
      <w:proofErr w:type="spellEnd"/>
    </w:p>
    <w:p w:rsidR="003451DA" w:rsidRPr="003451DA" w:rsidRDefault="003451DA" w:rsidP="006D56FE">
      <w:r w:rsidRPr="003451DA">
        <w:t xml:space="preserve">The sponsor provided four published papers on the </w:t>
      </w:r>
      <w:proofErr w:type="spellStart"/>
      <w:r w:rsidRPr="003451DA">
        <w:t>genotoxicity</w:t>
      </w:r>
      <w:proofErr w:type="spellEnd"/>
      <w:r w:rsidRPr="003451DA">
        <w:t xml:space="preserve"> of</w:t>
      </w:r>
      <w:r w:rsidR="00C416A7">
        <w:t xml:space="preserve"> progesterone (dating from 1984-</w:t>
      </w:r>
      <w:r w:rsidRPr="003451DA">
        <w:t xml:space="preserve">1998). These identified negative results for the compounds in assays for bacterial </w:t>
      </w:r>
      <w:proofErr w:type="spellStart"/>
      <w:r w:rsidRPr="003451DA">
        <w:t>mutagenicity</w:t>
      </w:r>
      <w:proofErr w:type="spellEnd"/>
      <w:r w:rsidRPr="003451DA">
        <w:t xml:space="preserve"> and for unscheduled DNA synthesis in vitro (rat </w:t>
      </w:r>
      <w:proofErr w:type="spellStart"/>
      <w:r w:rsidRPr="003451DA">
        <w:t>hepatocytes</w:t>
      </w:r>
      <w:proofErr w:type="spellEnd"/>
      <w:r w:rsidRPr="003451DA">
        <w:t xml:space="preserve">), and a weakly positive result in an in vivo assay for </w:t>
      </w:r>
      <w:proofErr w:type="spellStart"/>
      <w:r w:rsidRPr="003451DA">
        <w:t>clastogenicity</w:t>
      </w:r>
      <w:proofErr w:type="spellEnd"/>
      <w:r w:rsidRPr="003451DA">
        <w:t xml:space="preserve"> (</w:t>
      </w:r>
      <w:proofErr w:type="spellStart"/>
      <w:r w:rsidRPr="003451DA">
        <w:t>hepatocytes</w:t>
      </w:r>
      <w:proofErr w:type="spellEnd"/>
      <w:r w:rsidRPr="003451DA">
        <w:t xml:space="preserve"> of rats treated at 100 mg/kg PO). The International Agency for Research on Cancer of the World H</w:t>
      </w:r>
      <w:r w:rsidR="00C416A7">
        <w:t xml:space="preserve">ealth </w:t>
      </w:r>
      <w:r w:rsidR="00C416A7">
        <w:lastRenderedPageBreak/>
        <w:t>Organisation</w:t>
      </w:r>
      <w:r w:rsidR="00C416A7">
        <w:rPr>
          <w:rStyle w:val="FootnoteReference"/>
        </w:rPr>
        <w:footnoteReference w:id="1"/>
      </w:r>
      <w:r w:rsidRPr="003451DA">
        <w:t xml:space="preserve"> considered a more extensive set of publications (including one of the submitted papers), concluding:</w:t>
      </w:r>
    </w:p>
    <w:p w:rsidR="003451DA" w:rsidRPr="003451DA" w:rsidRDefault="003451DA" w:rsidP="003451DA">
      <w:pPr>
        <w:ind w:left="720"/>
        <w:rPr>
          <w:i/>
        </w:rPr>
      </w:pPr>
      <w:r w:rsidRPr="003451DA">
        <w:rPr>
          <w:i/>
        </w:rPr>
        <w:t xml:space="preserve">“Progesterone did not induce dominant lethal mutations in mice or chromosomal aberrations in rats treated in vivo. It did not induce chromosomal aberration or sister </w:t>
      </w:r>
      <w:proofErr w:type="spellStart"/>
      <w:r w:rsidRPr="003451DA">
        <w:rPr>
          <w:i/>
        </w:rPr>
        <w:t>chromatid</w:t>
      </w:r>
      <w:proofErr w:type="spellEnd"/>
      <w:r w:rsidRPr="003451DA">
        <w:rPr>
          <w:i/>
        </w:rPr>
        <w:t xml:space="preserve"> exchanges in cultured human cells, nor chromosomal aberrations or DNA strand breaks in rodent cells. Studies on transformation of rodent cells in vitro were inconclusive: a clearly positive result was obtained for rat embryo cells, a </w:t>
      </w:r>
      <w:proofErr w:type="spellStart"/>
      <w:r w:rsidRPr="003451DA">
        <w:rPr>
          <w:i/>
        </w:rPr>
        <w:t>weakly</w:t>
      </w:r>
      <w:proofErr w:type="spellEnd"/>
      <w:r w:rsidRPr="003451DA">
        <w:rPr>
          <w:i/>
        </w:rPr>
        <w:t xml:space="preserve"> positive result for mouse cells and a negative result for Syrian hamster embryo cells. Progesterone was not mutagenic to bacteria.”</w:t>
      </w:r>
    </w:p>
    <w:p w:rsidR="003451DA" w:rsidRPr="003451DA" w:rsidRDefault="003451DA" w:rsidP="006D56FE">
      <w:r w:rsidRPr="003451DA">
        <w:t xml:space="preserve">The finding that progesterone did not induce chromosomal aberrations in vivo in rats reported by the IARC applies to bone marrow cells. It should be noted that in vivo </w:t>
      </w:r>
      <w:proofErr w:type="spellStart"/>
      <w:r w:rsidRPr="003451DA">
        <w:t>clastogenic</w:t>
      </w:r>
      <w:proofErr w:type="spellEnd"/>
      <w:r w:rsidRPr="003451DA">
        <w:t xml:space="preserve"> activity by progesterone in the species was subsequently ob</w:t>
      </w:r>
      <w:r w:rsidR="00C416A7">
        <w:t xml:space="preserve">served by </w:t>
      </w:r>
      <w:proofErr w:type="spellStart"/>
      <w:r w:rsidR="00C416A7">
        <w:t>Martelli</w:t>
      </w:r>
      <w:proofErr w:type="spellEnd"/>
      <w:r w:rsidR="00C416A7">
        <w:t xml:space="preserve"> and colleagues</w:t>
      </w:r>
      <w:r w:rsidR="00C416A7">
        <w:rPr>
          <w:rStyle w:val="FootnoteReference"/>
        </w:rPr>
        <w:footnoteReference w:id="2"/>
      </w:r>
      <w:r w:rsidRPr="003451DA">
        <w:t xml:space="preserve"> in </w:t>
      </w:r>
      <w:proofErr w:type="spellStart"/>
      <w:r w:rsidRPr="003451DA">
        <w:t>hepatocytes</w:t>
      </w:r>
      <w:proofErr w:type="spellEnd"/>
      <w:r w:rsidRPr="003451DA">
        <w:t xml:space="preserve">. Further published studies conducted since the time of the IARC review (retrieved independently by the evaluator) report that progesterone produced variable results in the L5178Y </w:t>
      </w:r>
      <w:proofErr w:type="spellStart"/>
      <w:r w:rsidRPr="003451DA">
        <w:t>tk</w:t>
      </w:r>
      <w:proofErr w:type="spellEnd"/>
      <w:r w:rsidRPr="003451DA">
        <w:t>+/- mouse lymphoma cell</w:t>
      </w:r>
      <w:r w:rsidR="00D819B8">
        <w:t xml:space="preserve"> assay</w:t>
      </w:r>
      <w:r w:rsidR="00D819B8">
        <w:rPr>
          <w:rStyle w:val="FootnoteReference"/>
        </w:rPr>
        <w:footnoteReference w:id="3"/>
      </w:r>
      <w:r w:rsidR="00D819B8">
        <w:t xml:space="preserve"> </w:t>
      </w:r>
      <w:r w:rsidRPr="003451DA">
        <w:t xml:space="preserve">and did not produce DNA adducts in the liver of rats (treated at 100 mg/kg/day PO </w:t>
      </w:r>
      <w:r w:rsidR="00FD779D">
        <w:t>for 14 days).</w:t>
      </w:r>
      <w:r w:rsidR="00FD779D">
        <w:rPr>
          <w:rStyle w:val="FootnoteReference"/>
        </w:rPr>
        <w:footnoteReference w:id="4"/>
      </w:r>
    </w:p>
    <w:p w:rsidR="003451DA" w:rsidRPr="003451DA" w:rsidRDefault="003451DA" w:rsidP="003451DA">
      <w:r w:rsidRPr="003451DA">
        <w:t>In summary, there is some evidence that progestero</w:t>
      </w:r>
      <w:r w:rsidR="006D56FE">
        <w:t xml:space="preserve">ne may act as a weak </w:t>
      </w:r>
      <w:proofErr w:type="spellStart"/>
      <w:r w:rsidR="006D56FE">
        <w:t>genotoxin</w:t>
      </w:r>
      <w:proofErr w:type="spellEnd"/>
      <w:r w:rsidR="006D56FE">
        <w:t>.</w:t>
      </w:r>
    </w:p>
    <w:p w:rsidR="003451DA" w:rsidRPr="009C6CAC" w:rsidRDefault="003451DA" w:rsidP="006D56FE">
      <w:pPr>
        <w:pStyle w:val="Heading4"/>
      </w:pPr>
      <w:r w:rsidRPr="009C6CAC">
        <w:t>Reproductive toxicity</w:t>
      </w:r>
    </w:p>
    <w:p w:rsidR="003451DA" w:rsidRPr="009C6CAC" w:rsidRDefault="003451DA" w:rsidP="006D56FE">
      <w:pPr>
        <w:pStyle w:val="Heading5"/>
      </w:pPr>
      <w:r w:rsidRPr="009C6CAC">
        <w:t>Pregnancy classification</w:t>
      </w:r>
    </w:p>
    <w:p w:rsidR="00C954F3" w:rsidRDefault="003451DA" w:rsidP="003451DA">
      <w:r w:rsidRPr="003451DA">
        <w:t>The sponsor</w:t>
      </w:r>
      <w:r w:rsidR="00C954F3">
        <w:t xml:space="preserve"> proposes Pregnancy Category A:</w:t>
      </w:r>
    </w:p>
    <w:p w:rsidR="003451DA" w:rsidRPr="00C954F3" w:rsidRDefault="003451DA" w:rsidP="00C954F3">
      <w:pPr>
        <w:ind w:left="720"/>
        <w:rPr>
          <w:i/>
        </w:rPr>
      </w:pPr>
      <w:r w:rsidRPr="00C954F3">
        <w:rPr>
          <w:i/>
        </w:rPr>
        <w:t>“Drugs which have been taken by a large number of pregnant women and women of childbearing age without any proven increase in the frequency of malformations or other direct or indirect harmful effects on the f</w:t>
      </w:r>
      <w:r w:rsidR="00E3199F">
        <w:rPr>
          <w:i/>
        </w:rPr>
        <w:t>o</w:t>
      </w:r>
      <w:r w:rsidRPr="00C954F3">
        <w:rPr>
          <w:i/>
        </w:rPr>
        <w:t>etus having been observed”.</w:t>
      </w:r>
    </w:p>
    <w:p w:rsidR="003451DA" w:rsidRPr="003451DA" w:rsidRDefault="003451DA" w:rsidP="006D56FE">
      <w:r w:rsidRPr="003451DA">
        <w:t>The risk of embryof</w:t>
      </w:r>
      <w:r>
        <w:t>o</w:t>
      </w:r>
      <w:r w:rsidRPr="003451DA">
        <w:t xml:space="preserve">etal harm posed by progesterone in humans remains in question. A review article submitted by </w:t>
      </w:r>
      <w:r w:rsidR="0063352F">
        <w:t>the sponsor</w:t>
      </w:r>
      <w:r w:rsidR="0063352F">
        <w:rPr>
          <w:rStyle w:val="FootnoteReference"/>
        </w:rPr>
        <w:footnoteReference w:id="5"/>
      </w:r>
      <w:r w:rsidRPr="003451DA">
        <w:t xml:space="preserve"> identifies the existence of “a minimal scientific database for evaluating safe use during pregnancy” for progesterone. In line with this, the proposed </w:t>
      </w:r>
      <w:r w:rsidR="001627DD">
        <w:t>PI</w:t>
      </w:r>
      <w:r w:rsidRPr="003451DA">
        <w:t xml:space="preserve"> document states that “there is yet inconclusive data on the risk of congenital anomalies, including genital abnormalities in male and female infants, following intrauterine exposure during pregnancy”. The absence of robust clinical data supporting embryof</w:t>
      </w:r>
      <w:r w:rsidR="00EB1CC9">
        <w:t>o</w:t>
      </w:r>
      <w:r w:rsidRPr="003451DA">
        <w:t>etal safety is at odds with the proposed pl</w:t>
      </w:r>
      <w:r w:rsidR="005F540A">
        <w:t>acement in Pregnancy Category A</w:t>
      </w:r>
      <w:r w:rsidRPr="003451DA">
        <w:t>. Given findings of virilisation of female f</w:t>
      </w:r>
      <w:r w:rsidR="00BA4936">
        <w:t>o</w:t>
      </w:r>
      <w:r w:rsidRPr="003451DA">
        <w:t>etuses and feminisation of male f</w:t>
      </w:r>
      <w:r w:rsidR="00BA4936">
        <w:t>o</w:t>
      </w:r>
      <w:r w:rsidRPr="003451DA">
        <w:t xml:space="preserve">etuses with progesterone in animals and the existence of concerns over malformations, </w:t>
      </w:r>
      <w:proofErr w:type="spellStart"/>
      <w:r w:rsidRPr="003451DA">
        <w:t>hypospadias</w:t>
      </w:r>
      <w:proofErr w:type="spellEnd"/>
      <w:r w:rsidRPr="003451DA">
        <w:t xml:space="preserve"> </w:t>
      </w:r>
      <w:r w:rsidRPr="003451DA">
        <w:lastRenderedPageBreak/>
        <w:t>and female virilisation in humans with progesterone an</w:t>
      </w:r>
      <w:r w:rsidR="00A62DB0">
        <w:t xml:space="preserve">d other </w:t>
      </w:r>
      <w:proofErr w:type="spellStart"/>
      <w:r w:rsidR="00A62DB0">
        <w:t>progestogens</w:t>
      </w:r>
      <w:proofErr w:type="spellEnd"/>
      <w:r w:rsidR="00A62DB0">
        <w:rPr>
          <w:rStyle w:val="FootnoteReference"/>
        </w:rPr>
        <w:footnoteReference w:id="6"/>
      </w:r>
      <w:r w:rsidRPr="003451DA">
        <w:t xml:space="preserve"> placement in Pregnancy Category D is recommended instead. This category is for “drugs which have caused, are suspected to have caused or may be expected to cause, an increased incidence of human malformations or irreversible damage”.</w:t>
      </w:r>
    </w:p>
    <w:p w:rsidR="003451DA" w:rsidRPr="003451DA" w:rsidRDefault="003451DA" w:rsidP="006D56FE">
      <w:pPr>
        <w:pStyle w:val="Heading5"/>
      </w:pPr>
      <w:r w:rsidRPr="003451DA">
        <w:t xml:space="preserve">Local tolerance and </w:t>
      </w:r>
      <w:proofErr w:type="spellStart"/>
      <w:r w:rsidRPr="003451DA">
        <w:t>antigenicity</w:t>
      </w:r>
      <w:proofErr w:type="spellEnd"/>
    </w:p>
    <w:p w:rsidR="003451DA" w:rsidRPr="003451DA" w:rsidRDefault="003451DA" w:rsidP="003451DA">
      <w:r w:rsidRPr="003451DA">
        <w:t>Endometrin powder was shown not to be a dermal irrita</w:t>
      </w:r>
      <w:r w:rsidR="00A62DB0">
        <w:t xml:space="preserve">nt in rabbits nor act as a skin </w:t>
      </w:r>
      <w:r w:rsidRPr="003451DA">
        <w:t>sensitiser in guinea pigs.</w:t>
      </w:r>
    </w:p>
    <w:p w:rsidR="008E7846" w:rsidRDefault="008E7846" w:rsidP="006D56FE">
      <w:pPr>
        <w:pStyle w:val="Heading3"/>
      </w:pPr>
      <w:bookmarkStart w:id="43" w:name="_Toc247691515"/>
      <w:bookmarkStart w:id="44" w:name="_Toc314842499"/>
      <w:bookmarkStart w:id="45" w:name="_Toc357785364"/>
      <w:r>
        <w:t>Nonclinical summary and conclusions</w:t>
      </w:r>
      <w:bookmarkEnd w:id="43"/>
      <w:bookmarkEnd w:id="44"/>
      <w:bookmarkEnd w:id="45"/>
    </w:p>
    <w:p w:rsidR="00172144" w:rsidRPr="00172144" w:rsidRDefault="00172144" w:rsidP="006D56FE">
      <w:pPr>
        <w:pStyle w:val="ListBullet"/>
      </w:pPr>
      <w:proofErr w:type="spellStart"/>
      <w:r w:rsidRPr="00172144">
        <w:t>Ferring</w:t>
      </w:r>
      <w:proofErr w:type="spellEnd"/>
      <w:r w:rsidRPr="00172144">
        <w:t xml:space="preserve"> Pharmaceuticals Pty Ltd has submitted an application to register a new dosage form of progesterone: Endometrin vaginal tablets, containing 100 mg progesterone, for </w:t>
      </w:r>
      <w:proofErr w:type="spellStart"/>
      <w:r w:rsidRPr="00172144">
        <w:t>luteal</w:t>
      </w:r>
      <w:proofErr w:type="spellEnd"/>
      <w:r w:rsidRPr="00172144">
        <w:t xml:space="preserve"> support as part of an </w:t>
      </w:r>
      <w:r w:rsidR="00A62DB0">
        <w:t>ART</w:t>
      </w:r>
      <w:r w:rsidRPr="00172144">
        <w:t xml:space="preserve"> treatment programme for </w:t>
      </w:r>
      <w:proofErr w:type="gramStart"/>
      <w:r w:rsidRPr="00172144">
        <w:t>infertile</w:t>
      </w:r>
      <w:proofErr w:type="gramEnd"/>
      <w:r w:rsidRPr="00172144">
        <w:t xml:space="preserve"> women. The proposed dosing regimen is one tablet (100 mg) administered two or three times daily.</w:t>
      </w:r>
    </w:p>
    <w:p w:rsidR="00172144" w:rsidRPr="00172144" w:rsidRDefault="00D55FDE" w:rsidP="006D56FE">
      <w:pPr>
        <w:pStyle w:val="ListBullet"/>
      </w:pPr>
      <w:r>
        <w:t>The nonclinical submission</w:t>
      </w:r>
      <w:r w:rsidR="00172144" w:rsidRPr="00172144">
        <w:t xml:space="preserve"> comprised four new studies investigating repeat</w:t>
      </w:r>
      <w:r w:rsidR="00862121">
        <w:t xml:space="preserve"> </w:t>
      </w:r>
      <w:r w:rsidR="00172144" w:rsidRPr="00172144">
        <w:t xml:space="preserve">dose toxicity, vaginal and dermal tolerance and </w:t>
      </w:r>
      <w:proofErr w:type="spellStart"/>
      <w:r w:rsidR="00172144" w:rsidRPr="00172144">
        <w:t>antigenicity</w:t>
      </w:r>
      <w:proofErr w:type="spellEnd"/>
      <w:r w:rsidR="00172144" w:rsidRPr="00172144">
        <w:t xml:space="preserve"> of the proposed clinical formulation (all GLP compliant), as well as some published papers as backgrou</w:t>
      </w:r>
      <w:r w:rsidR="00CD36A1">
        <w:t>nd information on progesterone.</w:t>
      </w:r>
    </w:p>
    <w:p w:rsidR="00172144" w:rsidRPr="00172144" w:rsidRDefault="00172144" w:rsidP="006D56FE">
      <w:pPr>
        <w:pStyle w:val="ListBullet"/>
      </w:pPr>
      <w:r w:rsidRPr="00172144">
        <w:t xml:space="preserve">Endometrin powder was well tolerated both systemically and locally in rabbits treated by </w:t>
      </w:r>
      <w:proofErr w:type="spellStart"/>
      <w:r w:rsidRPr="00172144">
        <w:t>intravaginal</w:t>
      </w:r>
      <w:proofErr w:type="spellEnd"/>
      <w:r w:rsidRPr="00172144">
        <w:t xml:space="preserve"> administration twice daily for up to 90 days at a dose almost 5 times the maximum recommended human dose (on a mg/kg basis for consideration of vaginal tolerance) and producing comparable exposure (plasma AUC; for consideration of systemic toxicity). The clinical formulation was also shown not to be a dermal irritant (rabbits) or</w:t>
      </w:r>
      <w:r w:rsidR="006D56FE">
        <w:t xml:space="preserve"> skin sensitiser (guinea pigs).</w:t>
      </w:r>
    </w:p>
    <w:p w:rsidR="00172144" w:rsidRPr="00172144" w:rsidRDefault="00172144" w:rsidP="006D56FE">
      <w:pPr>
        <w:pStyle w:val="ListBullet"/>
      </w:pPr>
      <w:r w:rsidRPr="00172144">
        <w:t xml:space="preserve">Published studies provide some evidence for </w:t>
      </w:r>
      <w:proofErr w:type="spellStart"/>
      <w:r w:rsidRPr="00172144">
        <w:t>genotoxic</w:t>
      </w:r>
      <w:proofErr w:type="spellEnd"/>
      <w:r w:rsidRPr="00172144">
        <w:t xml:space="preserve"> activity with progesterone. This is not pronounced however, and is seen with other steroid hormones. No significant </w:t>
      </w:r>
      <w:proofErr w:type="spellStart"/>
      <w:r w:rsidRPr="00172144">
        <w:t>genotoxic</w:t>
      </w:r>
      <w:proofErr w:type="spellEnd"/>
      <w:r w:rsidRPr="00172144">
        <w:t xml:space="preserve"> risk is considered likely to be posed in treated patients.</w:t>
      </w:r>
    </w:p>
    <w:p w:rsidR="00172144" w:rsidRPr="00172144" w:rsidRDefault="00172144" w:rsidP="006D56FE">
      <w:pPr>
        <w:pStyle w:val="ListBullet"/>
      </w:pPr>
      <w:r w:rsidRPr="00172144">
        <w:t>There are no nonclinical objections to</w:t>
      </w:r>
      <w:r w:rsidR="00CD36A1">
        <w:t xml:space="preserve"> the registration of Endometrin</w:t>
      </w:r>
      <w:r w:rsidR="006D56FE">
        <w:t xml:space="preserve"> for the proposed indication.</w:t>
      </w:r>
    </w:p>
    <w:p w:rsidR="00172144" w:rsidRPr="00172144" w:rsidRDefault="00172144" w:rsidP="006D56FE">
      <w:pPr>
        <w:pStyle w:val="ListBullet"/>
      </w:pPr>
      <w:r w:rsidRPr="00172144">
        <w:t>The Pregnancy Category proposed by the sponsor (Category A) is not considered acceptable. The product should be assigned Pregnancy Category D instead, reflecting unresolved concerns that progesterone may cause embryof</w:t>
      </w:r>
      <w:r w:rsidR="00D90152">
        <w:t>o</w:t>
      </w:r>
      <w:r w:rsidRPr="00172144">
        <w:t>etal malformations.</w:t>
      </w:r>
    </w:p>
    <w:p w:rsidR="008E7846" w:rsidRPr="00254787" w:rsidRDefault="008E7846" w:rsidP="006D56FE">
      <w:pPr>
        <w:pStyle w:val="Heading2"/>
      </w:pPr>
      <w:bookmarkStart w:id="46" w:name="_Toc163441348"/>
      <w:bookmarkStart w:id="47" w:name="_Toc196046462"/>
      <w:bookmarkStart w:id="48" w:name="_Toc247691516"/>
      <w:bookmarkStart w:id="49" w:name="_Toc314842500"/>
      <w:bookmarkStart w:id="50" w:name="_Toc163441353"/>
      <w:bookmarkStart w:id="51" w:name="_Toc357785365"/>
      <w:r>
        <w:t xml:space="preserve">IV. </w:t>
      </w:r>
      <w:r w:rsidRPr="00254787">
        <w:t>Clinical</w:t>
      </w:r>
      <w:bookmarkEnd w:id="47"/>
      <w:r>
        <w:t xml:space="preserve"> </w:t>
      </w:r>
      <w:r w:rsidR="003A7F6C">
        <w:t>f</w:t>
      </w:r>
      <w:r>
        <w:t>indings</w:t>
      </w:r>
      <w:bookmarkEnd w:id="48"/>
      <w:bookmarkEnd w:id="49"/>
      <w:bookmarkEnd w:id="51"/>
    </w:p>
    <w:p w:rsidR="008E7846" w:rsidRDefault="008E7846" w:rsidP="006D56FE">
      <w:pPr>
        <w:pStyle w:val="Heading3"/>
      </w:pPr>
      <w:bookmarkStart w:id="52" w:name="_Toc196046463"/>
      <w:bookmarkStart w:id="53" w:name="_Toc247691517"/>
      <w:bookmarkStart w:id="54" w:name="_Toc314842501"/>
      <w:bookmarkStart w:id="55" w:name="_Toc357785366"/>
      <w:r w:rsidRPr="00254787">
        <w:t>Introduction</w:t>
      </w:r>
      <w:bookmarkEnd w:id="52"/>
      <w:bookmarkEnd w:id="53"/>
      <w:bookmarkEnd w:id="54"/>
      <w:bookmarkEnd w:id="55"/>
    </w:p>
    <w:p w:rsidR="0035372E" w:rsidRDefault="0035372E" w:rsidP="0035372E">
      <w:r>
        <w:t>The submission contained the following clinical information:</w:t>
      </w:r>
    </w:p>
    <w:p w:rsidR="0035372E" w:rsidRPr="0035372E" w:rsidRDefault="00BA4936" w:rsidP="006D56FE">
      <w:pPr>
        <w:pStyle w:val="ListBullet"/>
      </w:pPr>
      <w:r>
        <w:t>Two</w:t>
      </w:r>
      <w:r w:rsidR="0035372E" w:rsidRPr="0035372E">
        <w:t xml:space="preserve"> clinical pharmacology studies, both of which provided phar</w:t>
      </w:r>
      <w:r w:rsidR="007516BE">
        <w:t>macokinetic data;</w:t>
      </w:r>
    </w:p>
    <w:p w:rsidR="0035372E" w:rsidRPr="0035372E" w:rsidRDefault="00BA4936" w:rsidP="006D56FE">
      <w:pPr>
        <w:pStyle w:val="ListBullet"/>
      </w:pPr>
      <w:r>
        <w:t>One</w:t>
      </w:r>
      <w:r w:rsidR="007516BE">
        <w:t xml:space="preserve"> efficacy and safety study;</w:t>
      </w:r>
    </w:p>
    <w:p w:rsidR="0035372E" w:rsidRPr="0035372E" w:rsidRDefault="00BA4936" w:rsidP="006D56FE">
      <w:pPr>
        <w:pStyle w:val="ListBullet"/>
      </w:pPr>
      <w:r>
        <w:t>Three periodi</w:t>
      </w:r>
      <w:r w:rsidR="007516BE">
        <w:t>c safety update reports (PSURs); and</w:t>
      </w:r>
    </w:p>
    <w:p w:rsidR="0035372E" w:rsidRPr="0035372E" w:rsidRDefault="0035372E" w:rsidP="006D56FE">
      <w:pPr>
        <w:pStyle w:val="ListBullet"/>
      </w:pPr>
      <w:r w:rsidRPr="0035372E">
        <w:t>Literature references.</w:t>
      </w:r>
    </w:p>
    <w:p w:rsidR="007516BE" w:rsidRDefault="007516BE" w:rsidP="007516BE">
      <w:bookmarkStart w:id="56" w:name="_Toc196046464"/>
      <w:bookmarkStart w:id="57" w:name="_Toc247691518"/>
      <w:bookmarkStart w:id="58" w:name="_Toc314842502"/>
      <w:bookmarkStart w:id="59" w:name="_Toc241374282"/>
      <w:r>
        <w:lastRenderedPageBreak/>
        <w:t>The ethical certification of all the studies submitted appears to be acceptable.</w:t>
      </w:r>
    </w:p>
    <w:bookmarkEnd w:id="59"/>
    <w:p w:rsidR="007516BE" w:rsidRDefault="007516BE" w:rsidP="007516BE">
      <w:r>
        <w:t>The GCP certification of all three studies submitted was deficient, in that it read as follows:</w:t>
      </w:r>
    </w:p>
    <w:p w:rsidR="007516BE" w:rsidRPr="007516BE" w:rsidRDefault="007516BE" w:rsidP="007516BE">
      <w:pPr>
        <w:ind w:left="720"/>
        <w:rPr>
          <w:i/>
        </w:rPr>
      </w:pPr>
      <w:r>
        <w:rPr>
          <w:i/>
        </w:rPr>
        <w:t>“</w:t>
      </w:r>
      <w:r w:rsidRPr="007516BE">
        <w:rPr>
          <w:i/>
        </w:rPr>
        <w:t>This trial was conducted in accordance with the ethical principles of Good Clinical Practice, according to the ICH Harmonised Tripartite Guideline</w:t>
      </w:r>
      <w:r>
        <w:rPr>
          <w:i/>
        </w:rPr>
        <w:t>.”</w:t>
      </w:r>
    </w:p>
    <w:p w:rsidR="007516BE" w:rsidRDefault="007516BE" w:rsidP="007516BE">
      <w:r>
        <w:t>As ICH’s principles of GCP cover scientific as w</w:t>
      </w:r>
      <w:r w:rsidR="004122C5">
        <w:t>ell as ethical principles</w:t>
      </w:r>
      <w:r>
        <w:t>, the applicant's statement is inadequate for the purposes of GCP certification.</w:t>
      </w:r>
    </w:p>
    <w:p w:rsidR="008E7846" w:rsidRPr="00254787" w:rsidRDefault="008E7846" w:rsidP="00123588">
      <w:pPr>
        <w:pStyle w:val="Heading3"/>
      </w:pPr>
      <w:bookmarkStart w:id="60" w:name="_Toc357785367"/>
      <w:r w:rsidRPr="00254787">
        <w:t>Pharmacokinetics</w:t>
      </w:r>
      <w:bookmarkEnd w:id="50"/>
      <w:bookmarkEnd w:id="56"/>
      <w:bookmarkEnd w:id="57"/>
      <w:bookmarkEnd w:id="58"/>
      <w:bookmarkEnd w:id="60"/>
    </w:p>
    <w:p w:rsidR="00887905" w:rsidRDefault="00887905" w:rsidP="00887905">
      <w:r>
        <w:t>The pharmacokinetics of the product − particularly relating to absorption − are not well understood.</w:t>
      </w:r>
    </w:p>
    <w:p w:rsidR="00887905" w:rsidRDefault="00887905" w:rsidP="00887905">
      <w:r>
        <w:t>The evaluator recommends</w:t>
      </w:r>
      <w:r w:rsidRPr="008E3A92">
        <w:t xml:space="preserve"> that the </w:t>
      </w:r>
      <w:r>
        <w:t xml:space="preserve">pharmacokinetic </w:t>
      </w:r>
      <w:r w:rsidRPr="008E3A92">
        <w:t xml:space="preserve">results </w:t>
      </w:r>
      <w:r>
        <w:t>should not be accepted. If they are accepted, then the next paragraph below applies.</w:t>
      </w:r>
    </w:p>
    <w:p w:rsidR="00887905" w:rsidRDefault="00887905" w:rsidP="00887905">
      <w:r>
        <w:t xml:space="preserve">No data are available comparing vaginal absorption of similar doses of Endometrin and Crinone in the same study. However, serum progesterone concentration data for treatment with Endometrin 100 mg daily are available from Study </w:t>
      </w:r>
      <w:proofErr w:type="gramStart"/>
      <w:r>
        <w:t>2004-01,</w:t>
      </w:r>
      <w:proofErr w:type="gramEnd"/>
      <w:r>
        <w:t xml:space="preserve"> and</w:t>
      </w:r>
      <w:r w:rsidR="004654BB">
        <w:t xml:space="preserve"> </w:t>
      </w:r>
      <w:r>
        <w:t>data for Crinone 90 mg daily from Study 2005-08. Pharmacokinetic parameters are summarised in</w:t>
      </w:r>
      <w:r w:rsidR="00AA2EAF">
        <w:t xml:space="preserve"> Table</w:t>
      </w:r>
      <w:r w:rsidR="00911F97">
        <w:t>s</w:t>
      </w:r>
      <w:r w:rsidR="00AA2EAF">
        <w:t xml:space="preserve"> 1</w:t>
      </w:r>
      <w:r w:rsidR="00911F97">
        <w:t xml:space="preserve">-2. Individual time versus </w:t>
      </w:r>
      <w:r>
        <w:t xml:space="preserve">concentration curves during multiple </w:t>
      </w:r>
      <w:proofErr w:type="gramStart"/>
      <w:r>
        <w:t>dosage</w:t>
      </w:r>
      <w:proofErr w:type="gramEnd"/>
      <w:r>
        <w:t xml:space="preserve"> are shown in </w:t>
      </w:r>
      <w:r w:rsidR="00FA7F80">
        <w:t>Figures 2-3</w:t>
      </w:r>
      <w:r>
        <w:t>. These data suggest that Endometrin is absorbed to a lesser extent and less reliably than Crinone.</w:t>
      </w:r>
    </w:p>
    <w:p w:rsidR="00887905" w:rsidRDefault="00AB3E09" w:rsidP="00123588">
      <w:pPr>
        <w:pStyle w:val="TableTitle"/>
        <w:rPr>
          <w:lang w:val="en-GB"/>
        </w:rPr>
      </w:pPr>
      <w:r>
        <w:br w:type="page"/>
      </w:r>
      <w:r w:rsidR="00887905">
        <w:lastRenderedPageBreak/>
        <w:t>Table 1:</w:t>
      </w:r>
      <w:r w:rsidR="00887905" w:rsidRPr="004C5C28">
        <w:t xml:space="preserve"> </w:t>
      </w:r>
      <w:r w:rsidR="00887905">
        <w:t>PK parameters in each treatment group (Study 2004-01).</w:t>
      </w:r>
    </w:p>
    <w:p w:rsidR="00887905" w:rsidRDefault="009561C4" w:rsidP="00123588">
      <w:r>
        <w:rPr>
          <w:noProof/>
          <w:lang w:eastAsia="en-AU"/>
        </w:rPr>
        <w:drawing>
          <wp:inline distT="0" distB="0" distL="0" distR="0">
            <wp:extent cx="4352925" cy="5144135"/>
            <wp:effectExtent l="19050" t="0" r="9525" b="0"/>
            <wp:docPr id="3" name="Picture 3" descr=" Table 1: PK parameters in each treatment group (Study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8" cstate="print"/>
                    <a:srcRect/>
                    <a:stretch>
                      <a:fillRect/>
                    </a:stretch>
                  </pic:blipFill>
                  <pic:spPr bwMode="auto">
                    <a:xfrm>
                      <a:off x="0" y="0"/>
                      <a:ext cx="4352925" cy="5144135"/>
                    </a:xfrm>
                    <a:prstGeom prst="rect">
                      <a:avLst/>
                    </a:prstGeom>
                    <a:noFill/>
                    <a:ln w="9525">
                      <a:noFill/>
                      <a:miter lim="800000"/>
                      <a:headEnd/>
                      <a:tailEnd/>
                    </a:ln>
                  </pic:spPr>
                </pic:pic>
              </a:graphicData>
            </a:graphic>
          </wp:inline>
        </w:drawing>
      </w:r>
    </w:p>
    <w:p w:rsidR="00160F19" w:rsidRDefault="00160F19" w:rsidP="00851EF8">
      <w:pPr>
        <w:pStyle w:val="TableTitle"/>
        <w:rPr>
          <w:lang w:val="en-GB"/>
        </w:rPr>
      </w:pPr>
      <w:proofErr w:type="gramStart"/>
      <w:r>
        <w:t>Table 2: Serum progesterone PK parameters (Study 2005-08).</w:t>
      </w:r>
      <w:proofErr w:type="gramEnd"/>
    </w:p>
    <w:p w:rsidR="00887905" w:rsidRDefault="009561C4" w:rsidP="00851EF8">
      <w:r>
        <w:rPr>
          <w:noProof/>
          <w:lang w:eastAsia="en-AU"/>
        </w:rPr>
        <w:drawing>
          <wp:inline distT="0" distB="0" distL="0" distR="0">
            <wp:extent cx="3708400" cy="2799080"/>
            <wp:effectExtent l="19050" t="0" r="6350" b="0"/>
            <wp:docPr id="4" name="Picture 4" descr="Table 2: Serum progesterone PK parameters (Study 2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9" cstate="print"/>
                    <a:srcRect/>
                    <a:stretch>
                      <a:fillRect/>
                    </a:stretch>
                  </pic:blipFill>
                  <pic:spPr bwMode="auto">
                    <a:xfrm>
                      <a:off x="0" y="0"/>
                      <a:ext cx="3708400" cy="2799080"/>
                    </a:xfrm>
                    <a:prstGeom prst="rect">
                      <a:avLst/>
                    </a:prstGeom>
                    <a:noFill/>
                    <a:ln w="9525">
                      <a:noFill/>
                      <a:miter lim="800000"/>
                      <a:headEnd/>
                      <a:tailEnd/>
                    </a:ln>
                  </pic:spPr>
                </pic:pic>
              </a:graphicData>
            </a:graphic>
          </wp:inline>
        </w:drawing>
      </w:r>
    </w:p>
    <w:p w:rsidR="006A63D4" w:rsidRDefault="00AB3E09" w:rsidP="004F79F0">
      <w:pPr>
        <w:pStyle w:val="FigureTitle"/>
        <w:rPr>
          <w:lang w:val="en-GB"/>
        </w:rPr>
      </w:pPr>
      <w:r>
        <w:br w:type="page"/>
      </w:r>
      <w:r w:rsidR="006A63D4">
        <w:lastRenderedPageBreak/>
        <w:t>Figure 2: Individual progesterone concentrations during multiple dosing with Endometrin 100 mg daily (Study 2004-01).</w:t>
      </w:r>
    </w:p>
    <w:p w:rsidR="003A16EA" w:rsidRDefault="009561C4" w:rsidP="004F79F0">
      <w:r>
        <w:rPr>
          <w:noProof/>
          <w:lang w:eastAsia="en-AU"/>
        </w:rPr>
        <w:drawing>
          <wp:inline distT="0" distB="0" distL="0" distR="0">
            <wp:extent cx="4740275" cy="2905760"/>
            <wp:effectExtent l="19050" t="0" r="3175" b="0"/>
            <wp:docPr id="5" name="Picture 5" descr="Figure 2: Individual progesterone concentrations during multiple dosing with Endometrin 100 mg daily (Study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
                    <pic:cNvPicPr>
                      <a:picLocks noChangeAspect="1" noChangeArrowheads="1"/>
                    </pic:cNvPicPr>
                  </pic:nvPicPr>
                  <pic:blipFill>
                    <a:blip r:embed="rId20" cstate="print"/>
                    <a:srcRect/>
                    <a:stretch>
                      <a:fillRect/>
                    </a:stretch>
                  </pic:blipFill>
                  <pic:spPr bwMode="auto">
                    <a:xfrm>
                      <a:off x="0" y="0"/>
                      <a:ext cx="4740275" cy="2905760"/>
                    </a:xfrm>
                    <a:prstGeom prst="rect">
                      <a:avLst/>
                    </a:prstGeom>
                    <a:noFill/>
                    <a:ln w="9525">
                      <a:noFill/>
                      <a:miter lim="800000"/>
                      <a:headEnd/>
                      <a:tailEnd/>
                    </a:ln>
                  </pic:spPr>
                </pic:pic>
              </a:graphicData>
            </a:graphic>
          </wp:inline>
        </w:drawing>
      </w:r>
    </w:p>
    <w:p w:rsidR="006A63D4" w:rsidRDefault="006A63D4" w:rsidP="004F79F0">
      <w:pPr>
        <w:pStyle w:val="FigureTitle"/>
        <w:rPr>
          <w:lang w:val="en-GB"/>
        </w:rPr>
      </w:pPr>
      <w:r>
        <w:t>Figure 3: Individual progesterone concentrations during multiple dosing with Crinone 90 mg daily (Study 2005-08).</w:t>
      </w:r>
    </w:p>
    <w:p w:rsidR="006A63D4" w:rsidRDefault="009561C4" w:rsidP="004F79F0">
      <w:r>
        <w:rPr>
          <w:noProof/>
          <w:lang w:eastAsia="en-AU"/>
        </w:rPr>
        <w:drawing>
          <wp:inline distT="0" distB="0" distL="0" distR="0">
            <wp:extent cx="4392295" cy="2861310"/>
            <wp:effectExtent l="19050" t="0" r="8255" b="0"/>
            <wp:docPr id="6" name="Picture 6" descr="Figure 3: Individual progesterone concentrations during multiple dosing with Crinone 90 mg daily (Study 20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2"/>
                    <pic:cNvPicPr>
                      <a:picLocks noChangeAspect="1" noChangeArrowheads="1"/>
                    </pic:cNvPicPr>
                  </pic:nvPicPr>
                  <pic:blipFill>
                    <a:blip r:embed="rId21" cstate="print"/>
                    <a:srcRect/>
                    <a:stretch>
                      <a:fillRect/>
                    </a:stretch>
                  </pic:blipFill>
                  <pic:spPr bwMode="auto">
                    <a:xfrm>
                      <a:off x="0" y="0"/>
                      <a:ext cx="4392295" cy="2861310"/>
                    </a:xfrm>
                    <a:prstGeom prst="rect">
                      <a:avLst/>
                    </a:prstGeom>
                    <a:noFill/>
                    <a:ln w="9525">
                      <a:noFill/>
                      <a:miter lim="800000"/>
                      <a:headEnd/>
                      <a:tailEnd/>
                    </a:ln>
                  </pic:spPr>
                </pic:pic>
              </a:graphicData>
            </a:graphic>
          </wp:inline>
        </w:drawing>
      </w:r>
    </w:p>
    <w:p w:rsidR="008E7846" w:rsidRDefault="008E7846" w:rsidP="004F79F0">
      <w:pPr>
        <w:pStyle w:val="Heading3"/>
      </w:pPr>
      <w:bookmarkStart w:id="61" w:name="_Toc196046481"/>
      <w:bookmarkStart w:id="62" w:name="_Toc247691520"/>
      <w:bookmarkStart w:id="63" w:name="_Toc314842503"/>
      <w:bookmarkStart w:id="64" w:name="_Toc357785368"/>
      <w:r w:rsidRPr="00254787">
        <w:t>Pharmacodynamics</w:t>
      </w:r>
      <w:bookmarkEnd w:id="46"/>
      <w:bookmarkEnd w:id="61"/>
      <w:bookmarkEnd w:id="62"/>
      <w:bookmarkEnd w:id="63"/>
      <w:bookmarkEnd w:id="64"/>
    </w:p>
    <w:p w:rsidR="00DF7ADE" w:rsidRDefault="00DF7ADE" w:rsidP="004F79F0">
      <w:r>
        <w:t>The evaluator considers all the pharmacodynamic results non contributory, as it was not possible to distinguish the effects of the administered progesterone from those of the endogenous progesterone.</w:t>
      </w:r>
    </w:p>
    <w:p w:rsidR="008E7846" w:rsidRPr="00254787" w:rsidRDefault="008E7846" w:rsidP="008E7846">
      <w:pPr>
        <w:pStyle w:val="Heading3"/>
      </w:pPr>
      <w:bookmarkStart w:id="65" w:name="_Toc163441372"/>
      <w:bookmarkStart w:id="66" w:name="_Toc196046485"/>
      <w:bookmarkStart w:id="67" w:name="_Toc247691521"/>
      <w:bookmarkStart w:id="68" w:name="_Toc314842504"/>
      <w:bookmarkStart w:id="69" w:name="_Toc357785369"/>
      <w:r w:rsidRPr="00254787">
        <w:t>Efficacy</w:t>
      </w:r>
      <w:bookmarkEnd w:id="65"/>
      <w:bookmarkEnd w:id="66"/>
      <w:bookmarkEnd w:id="67"/>
      <w:bookmarkEnd w:id="68"/>
      <w:bookmarkEnd w:id="69"/>
    </w:p>
    <w:p w:rsidR="00BC565C" w:rsidRDefault="00BC565C" w:rsidP="00BC565C">
      <w:bookmarkStart w:id="70" w:name="_Toc184439992"/>
      <w:bookmarkStart w:id="71" w:name="_Toc184440279"/>
      <w:bookmarkStart w:id="72" w:name="_Toc184444657"/>
      <w:bookmarkStart w:id="73" w:name="_Toc196046487"/>
      <w:r>
        <w:t>Dos</w:t>
      </w:r>
      <w:r w:rsidR="002045DD">
        <w:t xml:space="preserve">e finding studies are lacking </w:t>
      </w:r>
      <w:r>
        <w:t>unless the one ef</w:t>
      </w:r>
      <w:r w:rsidR="006645EF">
        <w:t xml:space="preserve">ficacy study, designed as a non </w:t>
      </w:r>
      <w:r>
        <w:t>inferiority s</w:t>
      </w:r>
      <w:r w:rsidR="006645EF">
        <w:t xml:space="preserve">tudy, can be regarded as a dose </w:t>
      </w:r>
      <w:r>
        <w:t>finding study, in which case it can hardly also have the status of a "pivotal" efficacy and safety study.</w:t>
      </w:r>
    </w:p>
    <w:p w:rsidR="00BC565C" w:rsidRDefault="00BC565C" w:rsidP="00BC565C">
      <w:r>
        <w:lastRenderedPageBreak/>
        <w:t xml:space="preserve">Note that the comparison was done against the minimum recommended dosage of Crinone (90 mg daily), whereas the </w:t>
      </w:r>
      <w:r w:rsidRPr="007B4B78">
        <w:rPr>
          <w:i/>
        </w:rPr>
        <w:t>Dosage and administration</w:t>
      </w:r>
      <w:r>
        <w:t xml:space="preserve"> section of the approved PI for Cr</w:t>
      </w:r>
      <w:r w:rsidR="006645EF">
        <w:t xml:space="preserve">inone envisages 90 mg daily or </w:t>
      </w:r>
      <w:r w:rsidR="00097278">
        <w:t>twice daily</w:t>
      </w:r>
      <w:r w:rsidR="00637D4C">
        <w:t xml:space="preserve"> (BID)</w:t>
      </w:r>
      <w:r w:rsidR="006645EF">
        <w:t xml:space="preserve">. The non </w:t>
      </w:r>
      <w:r>
        <w:t xml:space="preserve">inferiority criterion was </w:t>
      </w:r>
      <w:r w:rsidR="006645EF">
        <w:t xml:space="preserve">not met for Endometrin 100 mg </w:t>
      </w:r>
      <w:r w:rsidR="00097278">
        <w:t>twice daily</w:t>
      </w:r>
      <w:r w:rsidR="00D36CD7">
        <w:t>.</w:t>
      </w:r>
    </w:p>
    <w:p w:rsidR="00BC565C" w:rsidRDefault="00BC565C" w:rsidP="00BC565C">
      <w:r>
        <w:t>The non</w:t>
      </w:r>
      <w:r w:rsidR="006645EF">
        <w:t xml:space="preserve"> </w:t>
      </w:r>
      <w:r>
        <w:t>inferiority criterion was met f</w:t>
      </w:r>
      <w:r w:rsidR="006645EF">
        <w:t xml:space="preserve">or Endometrin 100 mg </w:t>
      </w:r>
      <w:r w:rsidR="00097278">
        <w:t>three times daily</w:t>
      </w:r>
      <w:r w:rsidR="00637D4C">
        <w:t xml:space="preserve"> (TID)</w:t>
      </w:r>
      <w:r w:rsidR="006645EF">
        <w:t xml:space="preserve">, but the evaluator </w:t>
      </w:r>
      <w:r>
        <w:t xml:space="preserve">would </w:t>
      </w:r>
      <w:r w:rsidR="006645EF">
        <w:t xml:space="preserve">like to </w:t>
      </w:r>
      <w:r>
        <w:t>make the following points which would call into question the external validity of Study 2004-02 in the</w:t>
      </w:r>
      <w:r w:rsidR="006645EF">
        <w:t xml:space="preserve"> comparative assessment of the two</w:t>
      </w:r>
      <w:r>
        <w:t xml:space="preserve"> progesterone products:</w:t>
      </w:r>
    </w:p>
    <w:p w:rsidR="00BC565C" w:rsidRPr="00BC565C" w:rsidRDefault="00BC565C" w:rsidP="00097B08">
      <w:pPr>
        <w:pStyle w:val="ListBullet"/>
      </w:pPr>
      <w:r w:rsidRPr="00BC565C">
        <w:t>Whether the administered progesterone was necessary to the outcome.</w:t>
      </w:r>
      <w:r w:rsidR="004654BB">
        <w:t xml:space="preserve"> </w:t>
      </w:r>
      <w:r w:rsidRPr="00BC565C">
        <w:t xml:space="preserve">No placebo group was included in the study − presumably because it has been established that the </w:t>
      </w:r>
      <w:proofErr w:type="spellStart"/>
      <w:r w:rsidRPr="00BC565C">
        <w:t>luteal</w:t>
      </w:r>
      <w:proofErr w:type="spellEnd"/>
      <w:r w:rsidRPr="00BC565C">
        <w:t xml:space="preserve"> phase of all stimulated IVF cycles i</w:t>
      </w:r>
      <w:r w:rsidR="00107F39">
        <w:t>s abnormal</w:t>
      </w:r>
      <w:r w:rsidRPr="00BC565C">
        <w:t>.</w:t>
      </w:r>
      <w:r w:rsidR="00107F39">
        <w:rPr>
          <w:rStyle w:val="FootnoteReference"/>
        </w:rPr>
        <w:footnoteReference w:id="7"/>
      </w:r>
      <w:r w:rsidRPr="00BC565C">
        <w:t xml:space="preserve"> Accurate information on the extent of the benefit to be gained by the use of progesterone for </w:t>
      </w:r>
      <w:proofErr w:type="spellStart"/>
      <w:r w:rsidRPr="00BC565C">
        <w:t>luteal</w:t>
      </w:r>
      <w:proofErr w:type="spellEnd"/>
      <w:r w:rsidRPr="00BC565C">
        <w:t xml:space="preserve"> support is not available. In a series </w:t>
      </w:r>
      <w:r w:rsidR="00107F39">
        <w:t xml:space="preserve">reported by </w:t>
      </w:r>
      <w:proofErr w:type="spellStart"/>
      <w:r w:rsidR="00107F39">
        <w:t>Sallam</w:t>
      </w:r>
      <w:proofErr w:type="spellEnd"/>
      <w:r w:rsidR="00107F39">
        <w:t xml:space="preserve"> and colleagues</w:t>
      </w:r>
      <w:r w:rsidRPr="00BC565C">
        <w:t>,</w:t>
      </w:r>
      <w:r w:rsidR="00107F39">
        <w:rPr>
          <w:rStyle w:val="FootnoteReference"/>
        </w:rPr>
        <w:footnoteReference w:id="8"/>
      </w:r>
      <w:r w:rsidRPr="00BC565C">
        <w:t xml:space="preserve"> among 192 women in whom ovulation was induced and who received no </w:t>
      </w:r>
      <w:proofErr w:type="spellStart"/>
      <w:r w:rsidRPr="00BC565C">
        <w:t>luteal</w:t>
      </w:r>
      <w:proofErr w:type="spellEnd"/>
      <w:r w:rsidRPr="00BC565C">
        <w:t xml:space="preserve"> support, 62.5% resulted in full</w:t>
      </w:r>
      <w:r w:rsidR="006B3AA6">
        <w:t xml:space="preserve"> </w:t>
      </w:r>
      <w:r w:rsidRPr="00BC565C">
        <w:t>term pregnancy.</w:t>
      </w:r>
      <w:r w:rsidR="004654BB">
        <w:t xml:space="preserve"> </w:t>
      </w:r>
      <w:r w:rsidR="00107F39">
        <w:t>A recent Cochrane Review</w:t>
      </w:r>
      <w:r w:rsidR="00107F39">
        <w:rPr>
          <w:rStyle w:val="FootnoteReference"/>
        </w:rPr>
        <w:footnoteReference w:id="9"/>
      </w:r>
      <w:r w:rsidR="00107F39">
        <w:t xml:space="preserve"> </w:t>
      </w:r>
      <w:r w:rsidRPr="00BC565C">
        <w:t>es</w:t>
      </w:r>
      <w:r w:rsidR="00B861EA">
        <w:t xml:space="preserve">timated a </w:t>
      </w:r>
      <w:proofErr w:type="spellStart"/>
      <w:r w:rsidR="00B861EA">
        <w:t>Peto</w:t>
      </w:r>
      <w:proofErr w:type="spellEnd"/>
      <w:r w:rsidR="00B861EA">
        <w:t xml:space="preserve"> OR of 1.83 from seven</w:t>
      </w:r>
      <w:r w:rsidRPr="00BC565C">
        <w:t xml:space="preserve"> studies with the following characteristics: </w:t>
      </w:r>
    </w:p>
    <w:p w:rsidR="00BC565C" w:rsidRPr="00BC565C" w:rsidRDefault="00BC565C" w:rsidP="00097B08">
      <w:pPr>
        <w:ind w:left="1134"/>
      </w:pPr>
      <w:r w:rsidRPr="00BC565C">
        <w:t>Comparison: progesterone v</w:t>
      </w:r>
      <w:r w:rsidR="00D90F00">
        <w:t>ersus</w:t>
      </w:r>
      <w:r w:rsidRPr="00BC565C">
        <w:t xml:space="preserve"> placebo or no treatment.</w:t>
      </w:r>
    </w:p>
    <w:p w:rsidR="00BC565C" w:rsidRPr="00BC565C" w:rsidRDefault="00BC565C" w:rsidP="00097B08">
      <w:pPr>
        <w:ind w:left="1134"/>
      </w:pPr>
      <w:r w:rsidRPr="00BC565C">
        <w:t>Outcome: clinical pregnancy rate.</w:t>
      </w:r>
    </w:p>
    <w:p w:rsidR="00BC565C" w:rsidRPr="00BC565C" w:rsidRDefault="00BC565C" w:rsidP="00097B08">
      <w:pPr>
        <w:pStyle w:val="ListBullet"/>
      </w:pPr>
      <w:r w:rsidRPr="00BC565C">
        <w:t>Patients with special need. Older subgroups, or patients with early follicular phase FSH &gt; 10 IU/</w:t>
      </w:r>
      <w:proofErr w:type="spellStart"/>
      <w:r w:rsidRPr="00BC565C">
        <w:t>mL</w:t>
      </w:r>
      <w:proofErr w:type="spellEnd"/>
      <w:r w:rsidRPr="00BC565C">
        <w:t xml:space="preserve">, may have been at greater need for </w:t>
      </w:r>
      <w:proofErr w:type="spellStart"/>
      <w:r w:rsidRPr="00BC565C">
        <w:t>luteal</w:t>
      </w:r>
      <w:proofErr w:type="spellEnd"/>
      <w:r w:rsidRPr="00BC565C">
        <w:t xml:space="preserve"> support, but this can only be clarified by further study.</w:t>
      </w:r>
      <w:r w:rsidR="004654BB">
        <w:t xml:space="preserve"> </w:t>
      </w:r>
      <w:r w:rsidRPr="00BC565C">
        <w:t>As th</w:t>
      </w:r>
      <w:r w:rsidR="00B861EA">
        <w:t xml:space="preserve">e </w:t>
      </w:r>
      <w:proofErr w:type="spellStart"/>
      <w:r w:rsidR="00B861EA">
        <w:t>trialists</w:t>
      </w:r>
      <w:proofErr w:type="spellEnd"/>
      <w:r w:rsidR="00B861EA">
        <w:t xml:space="preserve"> state</w:t>
      </w:r>
      <w:r w:rsidRPr="00BC565C">
        <w:t xml:space="preserve">: </w:t>
      </w:r>
    </w:p>
    <w:p w:rsidR="00BC565C" w:rsidRPr="00BC565C" w:rsidRDefault="00BC565C" w:rsidP="00097B08">
      <w:pPr>
        <w:ind w:left="1134"/>
        <w:rPr>
          <w:i/>
        </w:rPr>
      </w:pPr>
      <w:r w:rsidRPr="00BC565C">
        <w:rPr>
          <w:i/>
        </w:rPr>
        <w:t xml:space="preserve">"These findings suggest that, for younger patients and patients with </w:t>
      </w:r>
      <w:proofErr w:type="gramStart"/>
      <w:r w:rsidRPr="00BC565C">
        <w:rPr>
          <w:i/>
        </w:rPr>
        <w:t>adequate</w:t>
      </w:r>
      <w:proofErr w:type="gramEnd"/>
      <w:r w:rsidRPr="00BC565C">
        <w:rPr>
          <w:i/>
        </w:rPr>
        <w:t xml:space="preserve"> ovarian reserve, Endometrin TID provides no greater clinical benefit than BID dosing. Older patient</w:t>
      </w:r>
      <w:r w:rsidR="00CA7C4D">
        <w:rPr>
          <w:i/>
        </w:rPr>
        <w:t xml:space="preserve">s and patients with diminished </w:t>
      </w:r>
      <w:r w:rsidRPr="00BC565C">
        <w:rPr>
          <w:i/>
        </w:rPr>
        <w:t xml:space="preserve">ovarian reserve might require stronger </w:t>
      </w:r>
      <w:proofErr w:type="spellStart"/>
      <w:r w:rsidRPr="00BC565C">
        <w:rPr>
          <w:i/>
        </w:rPr>
        <w:t>luteal</w:t>
      </w:r>
      <w:proofErr w:type="spellEnd"/>
      <w:r w:rsidRPr="00BC565C">
        <w:rPr>
          <w:i/>
        </w:rPr>
        <w:t xml:space="preserve"> support and would benefit from Endometrin TID."</w:t>
      </w:r>
    </w:p>
    <w:p w:rsidR="00BC565C" w:rsidRDefault="00BC565C" w:rsidP="00097B08">
      <w:r>
        <w:t xml:space="preserve">The </w:t>
      </w:r>
      <w:r w:rsidRPr="0063126D">
        <w:rPr>
          <w:i/>
        </w:rPr>
        <w:t>Overview Addendum</w:t>
      </w:r>
      <w:r>
        <w:t xml:space="preserve"> seeks to mitigate the formal outcome of the non</w:t>
      </w:r>
      <w:r w:rsidR="00637D4C">
        <w:t xml:space="preserve"> </w:t>
      </w:r>
      <w:r>
        <w:t>inferiority trial by a variety of retrospective analyses, concluding with:</w:t>
      </w:r>
    </w:p>
    <w:p w:rsidR="00BC565C" w:rsidRPr="00BC565C" w:rsidRDefault="00BC565C" w:rsidP="00BC565C">
      <w:pPr>
        <w:ind w:left="720"/>
        <w:rPr>
          <w:i/>
        </w:rPr>
      </w:pPr>
      <w:r w:rsidRPr="00BC565C">
        <w:rPr>
          <w:i/>
        </w:rPr>
        <w:t xml:space="preserve">"In summary, the data presented support that Endometrin 100 mg BID and 100 mg TID are efficacious in women up to 40 years of age, and the efficacy of Endometrin 100 mg TID efficacy has been shown also in women older than 40 years. Therefore, the dosing recommendations proposed for women up to 40 years is Endometrin 100 mg administered vaginally </w:t>
      </w:r>
      <w:r w:rsidR="00871456">
        <w:rPr>
          <w:i/>
        </w:rPr>
        <w:t>BID</w:t>
      </w:r>
      <w:r w:rsidRPr="00BC565C">
        <w:rPr>
          <w:i/>
        </w:rPr>
        <w:t xml:space="preserve"> or </w:t>
      </w:r>
      <w:r w:rsidR="00871456">
        <w:rPr>
          <w:i/>
        </w:rPr>
        <w:t xml:space="preserve">TID </w:t>
      </w:r>
      <w:r w:rsidRPr="00BC565C">
        <w:rPr>
          <w:i/>
        </w:rPr>
        <w:t xml:space="preserve">starting at </w:t>
      </w:r>
      <w:proofErr w:type="spellStart"/>
      <w:r w:rsidRPr="00BC565C">
        <w:rPr>
          <w:i/>
        </w:rPr>
        <w:t>oocyte</w:t>
      </w:r>
      <w:proofErr w:type="spellEnd"/>
      <w:r w:rsidRPr="00BC565C">
        <w:rPr>
          <w:i/>
        </w:rPr>
        <w:t xml:space="preserve"> retrieval and continuing for up to 10 weeks total duration (or 12 weeks of gestation). For patients older than 40 years, Endometrin 100 mg TID is recommended."</w:t>
      </w:r>
    </w:p>
    <w:p w:rsidR="00BC565C" w:rsidRDefault="00CA7C4D" w:rsidP="00097B08">
      <w:r>
        <w:t>The evaluator</w:t>
      </w:r>
      <w:r w:rsidR="00BC565C">
        <w:t xml:space="preserve"> find</w:t>
      </w:r>
      <w:r>
        <w:t>s</w:t>
      </w:r>
      <w:r w:rsidR="00BC565C">
        <w:t xml:space="preserve"> the </w:t>
      </w:r>
      <w:r w:rsidR="00BC565C" w:rsidRPr="0063126D">
        <w:rPr>
          <w:i/>
        </w:rPr>
        <w:t>Overview Addendum</w:t>
      </w:r>
      <w:r w:rsidR="00BC565C">
        <w:t xml:space="preserve"> unconvincing, based as</w:t>
      </w:r>
      <w:r>
        <w:t xml:space="preserve"> it is on retrospective data re </w:t>
      </w:r>
      <w:r w:rsidR="00BC565C">
        <w:t>analysis.</w:t>
      </w:r>
    </w:p>
    <w:p w:rsidR="008E7846" w:rsidRPr="002E238E" w:rsidRDefault="008E7846" w:rsidP="00953060">
      <w:pPr>
        <w:pStyle w:val="Heading3"/>
      </w:pPr>
      <w:bookmarkStart w:id="74" w:name="_Toc163441378"/>
      <w:bookmarkStart w:id="75" w:name="_Toc196046495"/>
      <w:bookmarkStart w:id="76" w:name="_Toc247691522"/>
      <w:bookmarkStart w:id="77" w:name="_Toc314842505"/>
      <w:bookmarkStart w:id="78" w:name="_Toc357785370"/>
      <w:bookmarkEnd w:id="70"/>
      <w:bookmarkEnd w:id="71"/>
      <w:bookmarkEnd w:id="72"/>
      <w:bookmarkEnd w:id="73"/>
      <w:r w:rsidRPr="002E238E">
        <w:lastRenderedPageBreak/>
        <w:t>Safety</w:t>
      </w:r>
      <w:bookmarkEnd w:id="74"/>
      <w:bookmarkEnd w:id="75"/>
      <w:bookmarkEnd w:id="76"/>
      <w:bookmarkEnd w:id="77"/>
      <w:bookmarkEnd w:id="78"/>
    </w:p>
    <w:p w:rsidR="00D75250" w:rsidRDefault="00D75250" w:rsidP="00D75250">
      <w:pPr>
        <w:autoSpaceDE w:val="0"/>
        <w:autoSpaceDN w:val="0"/>
        <w:adjustRightInd w:val="0"/>
      </w:pPr>
      <w:bookmarkStart w:id="79" w:name="_Toc163441387"/>
      <w:r>
        <w:t>Each day, subjects recorded on a Subject Diary Card the presence and severity of symptoms of genital bleeding, vaginal discharge, vaginal irritation/itching, and drowsiness and whether they had problems with sexual intercourse. No obvious pattern emerged, except with vaginal discharge, the results for which suggested the symptom was more pronounced in the Endometrin groups than in the Crinone group. It is not clear whether any of these reports of vaginal discharge might have represented partial loss of treatment product.</w:t>
      </w:r>
    </w:p>
    <w:p w:rsidR="00D75250" w:rsidRDefault="00871456" w:rsidP="00D75250">
      <w:r>
        <w:t xml:space="preserve">The adverse events </w:t>
      </w:r>
      <w:r w:rsidR="00D75250">
        <w:t>and laboratory monitoring do not raise any matters of concern.</w:t>
      </w:r>
      <w:r w:rsidR="004654BB">
        <w:t xml:space="preserve"> </w:t>
      </w:r>
      <w:r w:rsidR="00D75250">
        <w:t>There is a question relating to tolerance of Endometrin in comparison to Crinone (see paragraph above).</w:t>
      </w:r>
    </w:p>
    <w:p w:rsidR="008E7846" w:rsidRPr="006E137C" w:rsidRDefault="008E7846" w:rsidP="00953060">
      <w:pPr>
        <w:pStyle w:val="Heading3"/>
      </w:pPr>
      <w:bookmarkStart w:id="80" w:name="_Toc247691523"/>
      <w:bookmarkStart w:id="81" w:name="_Toc314842507"/>
      <w:bookmarkStart w:id="82" w:name="_Toc184440295"/>
      <w:bookmarkStart w:id="83" w:name="_Toc184444673"/>
      <w:bookmarkStart w:id="84" w:name="_Toc196046503"/>
      <w:bookmarkStart w:id="85" w:name="_Toc357785371"/>
      <w:bookmarkEnd w:id="79"/>
      <w:r>
        <w:t>Clinical summary and conclusions</w:t>
      </w:r>
      <w:bookmarkEnd w:id="80"/>
      <w:bookmarkEnd w:id="81"/>
      <w:bookmarkEnd w:id="85"/>
    </w:p>
    <w:p w:rsidR="008E7846" w:rsidRDefault="007E71AE" w:rsidP="00953060">
      <w:pPr>
        <w:pStyle w:val="Heading4"/>
      </w:pPr>
      <w:bookmarkStart w:id="86" w:name="_Toc163441390"/>
      <w:bookmarkStart w:id="87" w:name="_Toc196046504"/>
      <w:bookmarkEnd w:id="82"/>
      <w:bookmarkEnd w:id="83"/>
      <w:bookmarkEnd w:id="84"/>
      <w:r>
        <w:t>First round benefit-risk assessment</w:t>
      </w:r>
    </w:p>
    <w:p w:rsidR="007E71AE" w:rsidRDefault="007E71AE" w:rsidP="00953060">
      <w:pPr>
        <w:pStyle w:val="Heading5"/>
      </w:pPr>
      <w:bookmarkStart w:id="88" w:name="_Toc236802592"/>
      <w:bookmarkStart w:id="89" w:name="_Toc241374331"/>
      <w:bookmarkStart w:id="90" w:name="_Ref272160836"/>
      <w:bookmarkStart w:id="91" w:name="_Toc272414693"/>
      <w:bookmarkStart w:id="92" w:name="_Toc290846331"/>
      <w:bookmarkStart w:id="93" w:name="_Toc310530200"/>
      <w:r>
        <w:t>First round assessment of benefits</w:t>
      </w:r>
      <w:bookmarkEnd w:id="88"/>
      <w:bookmarkEnd w:id="89"/>
      <w:bookmarkEnd w:id="90"/>
      <w:bookmarkEnd w:id="91"/>
      <w:bookmarkEnd w:id="92"/>
      <w:bookmarkEnd w:id="93"/>
    </w:p>
    <w:p w:rsidR="007E71AE" w:rsidRDefault="00871456" w:rsidP="007E71AE">
      <w:r>
        <w:t>In this evaluator’s</w:t>
      </w:r>
      <w:r w:rsidR="007E71AE">
        <w:t xml:space="preserve"> opinion, the unsatisfactory pharmacokinetic basis for Endometrin militates against approval, in that it calls into question the external validity of the efficacy and safety study. The efficacy study showed that when administered at approximately double the dosage of Crinone, Endometrin failed the non</w:t>
      </w:r>
      <w:r w:rsidR="00C05FD8">
        <w:t xml:space="preserve"> </w:t>
      </w:r>
      <w:r w:rsidR="007E71AE">
        <w:t xml:space="preserve">inferiority test, and the results point to a requirement for further study of patients who may be at greater need of </w:t>
      </w:r>
      <w:proofErr w:type="spellStart"/>
      <w:r w:rsidR="007E71AE">
        <w:t>luteal</w:t>
      </w:r>
      <w:proofErr w:type="spellEnd"/>
      <w:r w:rsidR="007E71AE">
        <w:t xml:space="preserve"> support (on the basis of age or FSH </w:t>
      </w:r>
      <w:r>
        <w:t xml:space="preserve">[follicle stimulating hormone] </w:t>
      </w:r>
      <w:r w:rsidR="00953060">
        <w:t>level).</w:t>
      </w:r>
    </w:p>
    <w:p w:rsidR="007E71AE" w:rsidRDefault="007E71AE" w:rsidP="007E71AE">
      <w:pPr>
        <w:pStyle w:val="Heading5"/>
      </w:pPr>
      <w:bookmarkStart w:id="94" w:name="_Toc236802596"/>
      <w:bookmarkStart w:id="95" w:name="_Toc241374334"/>
      <w:bookmarkStart w:id="96" w:name="_Ref272160964"/>
      <w:bookmarkStart w:id="97" w:name="_Toc272414694"/>
      <w:bookmarkStart w:id="98" w:name="_Toc290846332"/>
      <w:bookmarkStart w:id="99" w:name="_Toc310530201"/>
      <w:r>
        <w:t>First round assessment of risks</w:t>
      </w:r>
      <w:bookmarkEnd w:id="94"/>
      <w:bookmarkEnd w:id="95"/>
      <w:bookmarkEnd w:id="96"/>
      <w:bookmarkEnd w:id="97"/>
      <w:bookmarkEnd w:id="98"/>
      <w:bookmarkEnd w:id="99"/>
    </w:p>
    <w:p w:rsidR="007E71AE" w:rsidRDefault="007E71AE" w:rsidP="007E71AE">
      <w:r>
        <w:t>The inadequacy of pharmacokinetic data on Endometrin is also of concern in relation to safety, as levels of the drug, and consequent pharmacodynamic effects, may be unpredictable. The tolerance in comparison to Crinone is also in qu</w:t>
      </w:r>
      <w:r w:rsidR="00EE70F5">
        <w:t>estion</w:t>
      </w:r>
      <w:r w:rsidR="00294398">
        <w:t>.</w:t>
      </w:r>
    </w:p>
    <w:p w:rsidR="007E71AE" w:rsidRDefault="007E71AE" w:rsidP="004A4C45">
      <w:pPr>
        <w:pStyle w:val="Heading5"/>
      </w:pPr>
      <w:bookmarkStart w:id="100" w:name="_Toc236802597"/>
      <w:bookmarkStart w:id="101" w:name="_Toc241374335"/>
      <w:bookmarkStart w:id="102" w:name="_Toc272414695"/>
      <w:bookmarkStart w:id="103" w:name="_Toc290846333"/>
      <w:bookmarkStart w:id="104" w:name="_Toc310530202"/>
      <w:r>
        <w:t>First round assessment of benefit-risk balance</w:t>
      </w:r>
      <w:bookmarkEnd w:id="100"/>
      <w:bookmarkEnd w:id="101"/>
      <w:bookmarkEnd w:id="102"/>
      <w:bookmarkEnd w:id="103"/>
      <w:bookmarkEnd w:id="104"/>
    </w:p>
    <w:p w:rsidR="007E71AE" w:rsidRDefault="007E71AE" w:rsidP="007E71AE">
      <w:pPr>
        <w:autoSpaceDE w:val="0"/>
        <w:autoSpaceDN w:val="0"/>
        <w:adjustRightInd w:val="0"/>
      </w:pPr>
      <w:r>
        <w:t xml:space="preserve">Compared to Crinone, Endometrin needs to be given at higher dosage to achieve comparable efficacy. The pharmacokinetics of the Endometrin </w:t>
      </w:r>
      <w:proofErr w:type="gramStart"/>
      <w:r>
        <w:t>have</w:t>
      </w:r>
      <w:proofErr w:type="gramEnd"/>
      <w:r>
        <w:t xml:space="preserve"> not been adequately studied. In the absence of some compensating advantage, it appears to be an inferior product.</w:t>
      </w:r>
    </w:p>
    <w:p w:rsidR="007E71AE" w:rsidRDefault="007E71AE" w:rsidP="004A4C45">
      <w:pPr>
        <w:pStyle w:val="Heading5"/>
      </w:pPr>
      <w:r>
        <w:t>First round recommendation regarding authorisation</w:t>
      </w:r>
    </w:p>
    <w:p w:rsidR="007E71AE" w:rsidRDefault="009056D3" w:rsidP="004A4C45">
      <w:r>
        <w:t>The application should not be approved.</w:t>
      </w:r>
    </w:p>
    <w:p w:rsidR="00EE70F5" w:rsidRDefault="00EE70F5" w:rsidP="004A4C45">
      <w:pPr>
        <w:pStyle w:val="Heading3"/>
      </w:pPr>
      <w:bookmarkStart w:id="105" w:name="_Toc255919423"/>
      <w:bookmarkStart w:id="106" w:name="_Toc241374329"/>
      <w:bookmarkStart w:id="107" w:name="_Toc270320087"/>
      <w:bookmarkStart w:id="108" w:name="_Toc314842506"/>
      <w:bookmarkStart w:id="109" w:name="_Toc357785372"/>
      <w:r>
        <w:t>List of questions</w:t>
      </w:r>
      <w:bookmarkEnd w:id="105"/>
      <w:bookmarkEnd w:id="106"/>
      <w:bookmarkEnd w:id="107"/>
      <w:bookmarkEnd w:id="108"/>
      <w:bookmarkEnd w:id="109"/>
    </w:p>
    <w:p w:rsidR="00EE70F5" w:rsidRDefault="00EE70F5" w:rsidP="004A4C45">
      <w:pPr>
        <w:pStyle w:val="Heading4"/>
      </w:pPr>
      <w:bookmarkStart w:id="110" w:name="_Toc310530210"/>
      <w:r>
        <w:t>Trial certification</w:t>
      </w:r>
      <w:bookmarkEnd w:id="110"/>
    </w:p>
    <w:p w:rsidR="00EE70F5" w:rsidRDefault="00EE70F5" w:rsidP="004A4C45">
      <w:r>
        <w:t xml:space="preserve">The sponsor should be asked to review the GCP </w:t>
      </w:r>
      <w:r w:rsidR="00871456">
        <w:t xml:space="preserve">(Good Clinical Practice) </w:t>
      </w:r>
      <w:r>
        <w:t>certification of each of the studies submitted.</w:t>
      </w:r>
    </w:p>
    <w:p w:rsidR="00EE70F5" w:rsidRDefault="00EE70F5" w:rsidP="00EE70F5">
      <w:pPr>
        <w:pStyle w:val="Heading4"/>
      </w:pPr>
      <w:bookmarkStart w:id="111" w:name="_Toc310530211"/>
      <w:r>
        <w:t>Drug product</w:t>
      </w:r>
      <w:bookmarkEnd w:id="111"/>
    </w:p>
    <w:p w:rsidR="00EE70F5" w:rsidRDefault="00EE70F5" w:rsidP="00EE70F5">
      <w:r>
        <w:t>To what extent were the products used in the studies identical to the product proposed for registration?</w:t>
      </w:r>
    </w:p>
    <w:p w:rsidR="00EE70F5" w:rsidRDefault="00AB3E09" w:rsidP="004A4C45">
      <w:pPr>
        <w:pStyle w:val="Heading4"/>
      </w:pPr>
      <w:bookmarkStart w:id="112" w:name="_Toc310530212"/>
      <w:r>
        <w:br w:type="page"/>
      </w:r>
      <w:r w:rsidR="00EE70F5" w:rsidRPr="009E2C16">
        <w:lastRenderedPageBreak/>
        <w:t>Pharmacokinetics</w:t>
      </w:r>
      <w:bookmarkEnd w:id="112"/>
    </w:p>
    <w:p w:rsidR="00EE70F5" w:rsidRDefault="00EE70F5" w:rsidP="00EE70F5">
      <w:r>
        <w:t>No questions.</w:t>
      </w:r>
    </w:p>
    <w:p w:rsidR="00EE70F5" w:rsidRDefault="00EE70F5" w:rsidP="00EE70F5">
      <w:pPr>
        <w:pStyle w:val="Heading4"/>
      </w:pPr>
      <w:bookmarkStart w:id="113" w:name="_Toc310530213"/>
      <w:r>
        <w:t>Efficacy</w:t>
      </w:r>
      <w:bookmarkEnd w:id="113"/>
    </w:p>
    <w:p w:rsidR="00EE70F5" w:rsidRDefault="00EE70F5" w:rsidP="00EE70F5">
      <w:r>
        <w:t>No questions.</w:t>
      </w:r>
    </w:p>
    <w:p w:rsidR="00EE70F5" w:rsidRDefault="00EE70F5" w:rsidP="00EE70F5">
      <w:pPr>
        <w:pStyle w:val="Heading4"/>
      </w:pPr>
      <w:bookmarkStart w:id="114" w:name="_Toc272414705"/>
      <w:bookmarkStart w:id="115" w:name="_Toc290846345"/>
      <w:bookmarkStart w:id="116" w:name="_Toc310530214"/>
      <w:r w:rsidRPr="00D02802">
        <w:t>Safety</w:t>
      </w:r>
      <w:bookmarkEnd w:id="114"/>
      <w:bookmarkEnd w:id="115"/>
      <w:bookmarkEnd w:id="116"/>
    </w:p>
    <w:p w:rsidR="00EE70F5" w:rsidRDefault="00EE70F5" w:rsidP="00EE70F5">
      <w:r>
        <w:t>No questions.</w:t>
      </w:r>
    </w:p>
    <w:p w:rsidR="00EE70F5" w:rsidRDefault="00EE70F5" w:rsidP="00EE70F5">
      <w:pPr>
        <w:pStyle w:val="Heading3"/>
      </w:pPr>
      <w:bookmarkStart w:id="117" w:name="_Toc357785373"/>
      <w:r>
        <w:t>Final recommendation</w:t>
      </w:r>
      <w:bookmarkEnd w:id="117"/>
    </w:p>
    <w:p w:rsidR="004863AC" w:rsidRDefault="004863AC" w:rsidP="00EE70F5">
      <w:pPr>
        <w:pStyle w:val="Heading4"/>
      </w:pPr>
      <w:r>
        <w:t>Second round recommendation regarding authorisation</w:t>
      </w:r>
    </w:p>
    <w:p w:rsidR="004863AC" w:rsidRDefault="004863AC" w:rsidP="004863AC">
      <w:r>
        <w:t>The applicant has answered all three questions. Answers 2 and 3 are critical to the quality aspects of the application as much as they relate to the observed results of the clinical studies. It is possible that Endometrin is not optimally formulated and is simply an</w:t>
      </w:r>
      <w:r w:rsidR="00EE5E69">
        <w:t xml:space="preserve"> inferior product to Crinone. </w:t>
      </w:r>
      <w:r>
        <w:t>Crinone was used in the non</w:t>
      </w:r>
      <w:r w:rsidR="00871456">
        <w:t xml:space="preserve"> </w:t>
      </w:r>
      <w:r>
        <w:t>inferiority study at the lowest recommended dose (90</w:t>
      </w:r>
      <w:r w:rsidR="00871456">
        <w:t xml:space="preserve"> mg once daily</w:t>
      </w:r>
      <w:r>
        <w:t>) whereas Endometrin was used at a dose of 100</w:t>
      </w:r>
      <w:r w:rsidR="00EE5E69">
        <w:t xml:space="preserve"> </w:t>
      </w:r>
      <w:r w:rsidR="00871456">
        <w:t>mg twice daily.</w:t>
      </w:r>
    </w:p>
    <w:p w:rsidR="004863AC" w:rsidRDefault="004863AC" w:rsidP="004863AC">
      <w:r>
        <w:t>The first round evaluator noted, “No data are available comparing vaginal absorption of similar doses of Endometrin and Crinone in the same study.”</w:t>
      </w:r>
      <w:r w:rsidR="004654BB">
        <w:t xml:space="preserve"> </w:t>
      </w:r>
      <w:r>
        <w:t>That is, there is no basis for varying the first round conclusions.</w:t>
      </w:r>
    </w:p>
    <w:p w:rsidR="008E7846" w:rsidRPr="00E41208" w:rsidRDefault="008E7846" w:rsidP="008E7846">
      <w:pPr>
        <w:pStyle w:val="Heading2"/>
      </w:pPr>
      <w:bookmarkStart w:id="118" w:name="_Toc247691524"/>
      <w:bookmarkStart w:id="119" w:name="_Toc314842508"/>
      <w:bookmarkStart w:id="120" w:name="_Toc357785374"/>
      <w:r w:rsidRPr="00E41208">
        <w:t xml:space="preserve">V. Pharmacovigilance </w:t>
      </w:r>
      <w:r>
        <w:t>f</w:t>
      </w:r>
      <w:r w:rsidRPr="00E41208">
        <w:t>indings</w:t>
      </w:r>
      <w:bookmarkEnd w:id="118"/>
      <w:bookmarkEnd w:id="119"/>
      <w:bookmarkEnd w:id="120"/>
    </w:p>
    <w:p w:rsidR="008E7846" w:rsidRDefault="00386150" w:rsidP="008E7846">
      <w:pPr>
        <w:pStyle w:val="Heading3"/>
        <w:rPr>
          <w:lang w:eastAsia="en-AU"/>
        </w:rPr>
      </w:pPr>
      <w:bookmarkStart w:id="121" w:name="_Toc247691526"/>
      <w:bookmarkStart w:id="122" w:name="_Toc314842509"/>
      <w:bookmarkStart w:id="123" w:name="_Toc357785375"/>
      <w:r>
        <w:rPr>
          <w:lang w:eastAsia="en-AU"/>
        </w:rPr>
        <w:t>Risk m</w:t>
      </w:r>
      <w:r w:rsidR="008E7846">
        <w:rPr>
          <w:lang w:eastAsia="en-AU"/>
        </w:rPr>
        <w:t xml:space="preserve">anagement </w:t>
      </w:r>
      <w:r>
        <w:rPr>
          <w:lang w:eastAsia="en-AU"/>
        </w:rPr>
        <w:t>p</w:t>
      </w:r>
      <w:r w:rsidR="008E7846">
        <w:rPr>
          <w:lang w:eastAsia="en-AU"/>
        </w:rPr>
        <w:t>lan</w:t>
      </w:r>
      <w:bookmarkEnd w:id="121"/>
      <w:bookmarkEnd w:id="122"/>
      <w:bookmarkEnd w:id="123"/>
    </w:p>
    <w:p w:rsidR="008E7846" w:rsidRDefault="008E7846" w:rsidP="008E7846">
      <w:pPr>
        <w:rPr>
          <w:lang w:eastAsia="en-AU"/>
        </w:rPr>
      </w:pPr>
      <w:r>
        <w:rPr>
          <w:lang w:eastAsia="en-AU"/>
        </w:rPr>
        <w:t xml:space="preserve">The sponsor submitted a Risk Management Plan </w:t>
      </w:r>
      <w:r w:rsidR="00E879D6">
        <w:rPr>
          <w:lang w:eastAsia="en-AU"/>
        </w:rPr>
        <w:t xml:space="preserve">(RMP) </w:t>
      </w:r>
      <w:r w:rsidR="00BA361E">
        <w:rPr>
          <w:lang w:eastAsia="en-AU"/>
        </w:rPr>
        <w:t>that</w:t>
      </w:r>
      <w:r>
        <w:rPr>
          <w:lang w:eastAsia="en-AU"/>
        </w:rPr>
        <w:t xml:space="preserve"> was reviewed by the TGA’s Office of Product Review (OPR).</w:t>
      </w:r>
    </w:p>
    <w:p w:rsidR="008E7846" w:rsidRDefault="003A7F6C" w:rsidP="004A4C45">
      <w:pPr>
        <w:pStyle w:val="Heading4"/>
        <w:rPr>
          <w:lang w:eastAsia="en-AU"/>
        </w:rPr>
      </w:pPr>
      <w:r>
        <w:rPr>
          <w:lang w:eastAsia="en-AU"/>
        </w:rPr>
        <w:t>Safety s</w:t>
      </w:r>
      <w:r w:rsidR="008E7846">
        <w:rPr>
          <w:lang w:eastAsia="en-AU"/>
        </w:rPr>
        <w:t>pecification</w:t>
      </w:r>
    </w:p>
    <w:p w:rsidR="00D90152" w:rsidRDefault="00D90152" w:rsidP="00D90152">
      <w:pPr>
        <w:rPr>
          <w:lang w:eastAsia="en-AU"/>
        </w:rPr>
      </w:pPr>
      <w:r>
        <w:rPr>
          <w:lang w:eastAsia="en-AU"/>
        </w:rPr>
        <w:t xml:space="preserve">The sponsor provided a summary of Ongoing Safety Concerns, which are shown at Table </w:t>
      </w:r>
      <w:r w:rsidR="00D57784">
        <w:rPr>
          <w:lang w:eastAsia="en-AU"/>
        </w:rPr>
        <w:t>3</w:t>
      </w:r>
      <w:r>
        <w:rPr>
          <w:lang w:eastAsia="en-AU"/>
        </w:rPr>
        <w:t>.</w:t>
      </w:r>
    </w:p>
    <w:p w:rsidR="00D90152" w:rsidRDefault="00D90152" w:rsidP="004A4C45">
      <w:pPr>
        <w:pStyle w:val="TableTitle"/>
        <w:rPr>
          <w:lang w:val="en-GB"/>
        </w:rPr>
      </w:pPr>
      <w:r>
        <w:t xml:space="preserve">Table </w:t>
      </w:r>
      <w:r w:rsidR="00D57784">
        <w:t>3</w:t>
      </w:r>
      <w:r>
        <w:t>:</w:t>
      </w:r>
      <w:r w:rsidRPr="004C5C28">
        <w:t xml:space="preserve"> </w:t>
      </w:r>
      <w:r>
        <w:t>Ongoing Safety Concerns for</w:t>
      </w:r>
      <w:r w:rsidRPr="0072203F">
        <w:t xml:space="preserve"> </w:t>
      </w:r>
      <w:r>
        <w:t xml:space="preserve">Endometrin </w:t>
      </w:r>
      <w:proofErr w:type="spellStart"/>
      <w:r>
        <w:t>Pessaries</w:t>
      </w:r>
      <w:proofErr w:type="spellEnd"/>
      <w:r>
        <w:t>.</w:t>
      </w:r>
    </w:p>
    <w:p w:rsidR="008E7846" w:rsidRDefault="009561C4" w:rsidP="004A4C45">
      <w:pPr>
        <w:rPr>
          <w:lang w:eastAsia="en-AU"/>
        </w:rPr>
      </w:pPr>
      <w:r>
        <w:rPr>
          <w:noProof/>
          <w:lang w:eastAsia="en-AU"/>
        </w:rPr>
        <w:drawing>
          <wp:inline distT="0" distB="0" distL="0" distR="0">
            <wp:extent cx="4611370" cy="852805"/>
            <wp:effectExtent l="19050" t="0" r="0" b="0"/>
            <wp:docPr id="7" name="Picture 7" descr="Table 3: Ongoing Safety Concerns for Endometrin Pess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2" cstate="print"/>
                    <a:srcRect/>
                    <a:stretch>
                      <a:fillRect/>
                    </a:stretch>
                  </pic:blipFill>
                  <pic:spPr bwMode="auto">
                    <a:xfrm>
                      <a:off x="0" y="0"/>
                      <a:ext cx="4611370" cy="852805"/>
                    </a:xfrm>
                    <a:prstGeom prst="rect">
                      <a:avLst/>
                    </a:prstGeom>
                    <a:noFill/>
                    <a:ln w="9525">
                      <a:noFill/>
                      <a:miter lim="800000"/>
                      <a:headEnd/>
                      <a:tailEnd/>
                    </a:ln>
                  </pic:spPr>
                </pic:pic>
              </a:graphicData>
            </a:graphic>
          </wp:inline>
        </w:drawing>
      </w:r>
    </w:p>
    <w:p w:rsidR="00ED78AB" w:rsidRPr="007B529C" w:rsidRDefault="00ED78AB" w:rsidP="00070099">
      <w:pPr>
        <w:pStyle w:val="Heading5"/>
      </w:pPr>
      <w:r>
        <w:t>OPR</w:t>
      </w:r>
      <w:r w:rsidRPr="007B529C">
        <w:t xml:space="preserve"> reviewer comment:</w:t>
      </w:r>
    </w:p>
    <w:p w:rsidR="00ED78AB" w:rsidRDefault="00ED78AB" w:rsidP="00ED78AB">
      <w:r>
        <w:t>Pursuant to the evaluation of the nonclinical and clinical aspects of the Safety Specifications, the above summary of the Ongoing Safety Concerns is considered acceptable.</w:t>
      </w:r>
    </w:p>
    <w:p w:rsidR="008E7846" w:rsidRDefault="00AB3E09" w:rsidP="008E7846">
      <w:pPr>
        <w:pStyle w:val="Heading4"/>
        <w:rPr>
          <w:lang w:eastAsia="en-AU"/>
        </w:rPr>
      </w:pPr>
      <w:r>
        <w:rPr>
          <w:lang w:eastAsia="en-AU"/>
        </w:rPr>
        <w:br w:type="page"/>
      </w:r>
      <w:r w:rsidR="008E7846">
        <w:rPr>
          <w:lang w:eastAsia="en-AU"/>
        </w:rPr>
        <w:lastRenderedPageBreak/>
        <w:t xml:space="preserve">Pharmacovigilance </w:t>
      </w:r>
      <w:r w:rsidR="003A7F6C">
        <w:rPr>
          <w:lang w:eastAsia="en-AU"/>
        </w:rPr>
        <w:t>p</w:t>
      </w:r>
      <w:r w:rsidR="008E7846">
        <w:rPr>
          <w:lang w:eastAsia="en-AU"/>
        </w:rPr>
        <w:t>lan</w:t>
      </w:r>
    </w:p>
    <w:p w:rsidR="00DD7CBC" w:rsidRDefault="00DD7CBC" w:rsidP="00DD7CBC">
      <w:pPr>
        <w:pStyle w:val="Heading5"/>
      </w:pPr>
      <w:bookmarkStart w:id="124" w:name="_Toc269456558"/>
      <w:bookmarkStart w:id="125" w:name="_Toc325449547"/>
      <w:r>
        <w:t>Proposed pharmacovigilance activities</w:t>
      </w:r>
      <w:bookmarkEnd w:id="124"/>
      <w:bookmarkEnd w:id="125"/>
    </w:p>
    <w:p w:rsidR="00DD7CBC" w:rsidRDefault="00DD7CBC" w:rsidP="00DD7CBC">
      <w:r>
        <w:t xml:space="preserve">The </w:t>
      </w:r>
      <w:proofErr w:type="gramStart"/>
      <w:r>
        <w:t>sponsor state</w:t>
      </w:r>
      <w:proofErr w:type="gramEnd"/>
      <w:r>
        <w:t xml:space="preserve"> that routine pharmacovigilance activities, consistent with the </w:t>
      </w:r>
      <w:r w:rsidR="004900F8">
        <w:t>published guidelines,</w:t>
      </w:r>
      <w:r w:rsidR="004900F8">
        <w:rPr>
          <w:rStyle w:val="FootnoteReference"/>
        </w:rPr>
        <w:footnoteReference w:id="10"/>
      </w:r>
      <w:r w:rsidR="004900F8">
        <w:t xml:space="preserve"> </w:t>
      </w:r>
      <w:r>
        <w:t xml:space="preserve">are proposed to monitor the specified </w:t>
      </w:r>
      <w:r w:rsidR="002B1267">
        <w:rPr>
          <w:lang w:eastAsia="en-AU"/>
        </w:rPr>
        <w:t>Ongoing Safety Concern</w:t>
      </w:r>
      <w:r>
        <w:t>.</w:t>
      </w:r>
    </w:p>
    <w:p w:rsidR="00DD7CBC" w:rsidRDefault="00DD7CBC" w:rsidP="00070099">
      <w:pPr>
        <w:pStyle w:val="Heading5"/>
      </w:pPr>
      <w:bookmarkStart w:id="126" w:name="_Toc325449548"/>
      <w:r>
        <w:t>OPR reviewer’s s</w:t>
      </w:r>
      <w:r w:rsidRPr="003F60E1">
        <w:t xml:space="preserve">ummary in regard to </w:t>
      </w:r>
      <w:r>
        <w:t xml:space="preserve">the </w:t>
      </w:r>
      <w:r w:rsidRPr="003F60E1">
        <w:t>pharmacovigilance plan</w:t>
      </w:r>
      <w:r w:rsidR="00C4151A">
        <w:t xml:space="preserve"> </w:t>
      </w:r>
      <w:r>
        <w:t>and appropriateness of milestones</w:t>
      </w:r>
      <w:bookmarkEnd w:id="126"/>
    </w:p>
    <w:p w:rsidR="00DD7CBC" w:rsidRDefault="00DD7CBC" w:rsidP="00DD7CBC">
      <w:r>
        <w:t xml:space="preserve">There is no objection to the sponsor implementing only routine pharmacovigilance activities to monitor the </w:t>
      </w:r>
      <w:r w:rsidR="008C637A">
        <w:t>O</w:t>
      </w:r>
      <w:r>
        <w:t xml:space="preserve">ngoing </w:t>
      </w:r>
      <w:r w:rsidR="008C637A">
        <w:t>S</w:t>
      </w:r>
      <w:r>
        <w:t xml:space="preserve">afety </w:t>
      </w:r>
      <w:r w:rsidR="008C637A">
        <w:t>C</w:t>
      </w:r>
      <w:r w:rsidR="005D07ED">
        <w:t>oncern at this time.</w:t>
      </w:r>
    </w:p>
    <w:p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rsidR="007E0BC1" w:rsidRDefault="007E0BC1" w:rsidP="007E0BC1">
      <w:pPr>
        <w:pStyle w:val="Heading5"/>
      </w:pPr>
      <w:bookmarkStart w:id="127" w:name="_Toc247691527"/>
      <w:bookmarkStart w:id="128" w:name="_Toc269456561"/>
      <w:bookmarkStart w:id="129" w:name="_Toc325449550"/>
      <w:r>
        <w:t>Sponsor’s conclusion in regard to the need for risk minimisation activities</w:t>
      </w:r>
      <w:bookmarkEnd w:id="128"/>
      <w:bookmarkEnd w:id="129"/>
    </w:p>
    <w:p w:rsidR="007E0BC1" w:rsidRDefault="007E0BC1" w:rsidP="007E0BC1">
      <w:r w:rsidRPr="00643C6F">
        <w:t xml:space="preserve">The sponsor has </w:t>
      </w:r>
      <w:r>
        <w:t>provided justification and conclud</w:t>
      </w:r>
      <w:r w:rsidRPr="000B46F9">
        <w:t xml:space="preserve">ed </w:t>
      </w:r>
      <w:r>
        <w:t>t</w:t>
      </w:r>
      <w:r w:rsidRPr="000B46F9">
        <w:t xml:space="preserve">hat routine risk minimisation activities are sufficient for </w:t>
      </w:r>
      <w:r>
        <w:t>the sp</w:t>
      </w:r>
      <w:r w:rsidR="00C4151A">
        <w:t xml:space="preserve">ecified </w:t>
      </w:r>
      <w:r w:rsidR="00C4151A">
        <w:rPr>
          <w:lang w:eastAsia="en-AU"/>
        </w:rPr>
        <w:t>Ongoing Safety Concern</w:t>
      </w:r>
      <w:r w:rsidR="005D07ED">
        <w:t>.</w:t>
      </w:r>
    </w:p>
    <w:p w:rsidR="007E0BC1" w:rsidRPr="007B529C" w:rsidRDefault="007E0BC1" w:rsidP="00070099">
      <w:pPr>
        <w:pStyle w:val="Heading5"/>
      </w:pPr>
      <w:r>
        <w:t>OPR</w:t>
      </w:r>
      <w:r w:rsidRPr="007B529C">
        <w:t xml:space="preserve"> reviewer comment:</w:t>
      </w:r>
    </w:p>
    <w:p w:rsidR="007E0BC1" w:rsidRDefault="007E0BC1" w:rsidP="007E0BC1">
      <w:r>
        <w:t xml:space="preserve">The sponsor’s justification and conclusions would appear to be reasonable, except that the sponsor has confused routine pharmacovigilance activities with </w:t>
      </w:r>
      <w:r w:rsidRPr="000B46F9">
        <w:t>routine risk minimisation activities</w:t>
      </w:r>
      <w:r w:rsidR="005B184A">
        <w:t xml:space="preserve">. Consequently, the </w:t>
      </w:r>
      <w:r>
        <w:t>‘Planned actions by safety concerns’ and ‘</w:t>
      </w:r>
      <w:r w:rsidR="00E879D6">
        <w:t>RMP</w:t>
      </w:r>
      <w:r w:rsidRPr="000A0830">
        <w:t xml:space="preserve"> </w:t>
      </w:r>
      <w:r>
        <w:t>by</w:t>
      </w:r>
      <w:r w:rsidRPr="000A0830">
        <w:t xml:space="preserve"> safety concern</w:t>
      </w:r>
      <w:r>
        <w:t xml:space="preserve">’ should be amended to reflect that the observed incidence of birth defects is </w:t>
      </w:r>
      <w:r w:rsidR="005B184A">
        <w:t>reflected in the labelling (that is,</w:t>
      </w:r>
      <w:r>
        <w:t xml:space="preserve"> </w:t>
      </w:r>
      <w:r w:rsidRPr="000B46F9">
        <w:t>routine risk minimisation</w:t>
      </w:r>
      <w:r>
        <w:t xml:space="preserve">), as stated </w:t>
      </w:r>
      <w:r w:rsidR="005B184A">
        <w:t xml:space="preserve">in </w:t>
      </w:r>
      <w:r>
        <w:t>‘Important potential risks’.</w:t>
      </w:r>
    </w:p>
    <w:p w:rsidR="00717FE3" w:rsidRDefault="00717FE3" w:rsidP="00717FE3">
      <w:pPr>
        <w:pStyle w:val="Heading5"/>
      </w:pPr>
      <w:bookmarkStart w:id="130" w:name="_Toc325449551"/>
      <w:r>
        <w:t>Potential for medication errors</w:t>
      </w:r>
      <w:bookmarkEnd w:id="130"/>
    </w:p>
    <w:p w:rsidR="00717FE3" w:rsidRPr="00717FE3" w:rsidRDefault="00717FE3" w:rsidP="00717FE3">
      <w:r w:rsidRPr="00717FE3">
        <w:t>The sponsor has not included this</w:t>
      </w:r>
      <w:r w:rsidR="005B184A">
        <w:t xml:space="preserve"> section in the submitted </w:t>
      </w:r>
      <w:r w:rsidR="00E879D6">
        <w:t>RMP</w:t>
      </w:r>
      <w:r>
        <w:t xml:space="preserve">. </w:t>
      </w:r>
      <w:r w:rsidRPr="00717FE3">
        <w:t>Nevertheless the sponsor’s correspondence, dated 2 May 2012, states the following:</w:t>
      </w:r>
    </w:p>
    <w:p w:rsidR="00717FE3" w:rsidRPr="00717FE3" w:rsidRDefault="00717FE3" w:rsidP="00717FE3">
      <w:pPr>
        <w:ind w:left="720"/>
        <w:rPr>
          <w:i/>
        </w:rPr>
      </w:pPr>
      <w:r>
        <w:rPr>
          <w:i/>
        </w:rPr>
        <w:t xml:space="preserve">During the post </w:t>
      </w:r>
      <w:r w:rsidRPr="00717FE3">
        <w:rPr>
          <w:i/>
        </w:rPr>
        <w:t>marketing experience up till 19 March 2012 only a single medically confirmed case of medication er</w:t>
      </w:r>
      <w:r>
        <w:rPr>
          <w:i/>
        </w:rPr>
        <w:t xml:space="preserve">ror has been reported. This non </w:t>
      </w:r>
      <w:r w:rsidR="00F23300">
        <w:rPr>
          <w:i/>
        </w:rPr>
        <w:t>serious case</w:t>
      </w:r>
      <w:r w:rsidRPr="00717FE3">
        <w:rPr>
          <w:i/>
        </w:rPr>
        <w:t xml:space="preserve"> of incorrect route of </w:t>
      </w:r>
      <w:r w:rsidR="00F23300">
        <w:rPr>
          <w:i/>
        </w:rPr>
        <w:t xml:space="preserve">administration was reported on </w:t>
      </w:r>
      <w:r w:rsidRPr="00717FE3">
        <w:rPr>
          <w:i/>
        </w:rPr>
        <w:t xml:space="preserve">6 March 2012. The case concerns a 48 year female who inadvertently swallowed </w:t>
      </w:r>
      <w:r w:rsidR="00F23300">
        <w:rPr>
          <w:i/>
        </w:rPr>
        <w:t>Endometrin</w:t>
      </w:r>
      <w:r w:rsidRPr="00717FE3">
        <w:rPr>
          <w:i/>
        </w:rPr>
        <w:t xml:space="preserve"> tablet (100 mg) instead of inserting it vaginally. No other adverse event was reported in connection with this medication error and the patient continued the treatment with </w:t>
      </w:r>
      <w:r w:rsidR="00F23300">
        <w:rPr>
          <w:i/>
        </w:rPr>
        <w:t>Endometrin</w:t>
      </w:r>
      <w:r w:rsidRPr="00717FE3">
        <w:rPr>
          <w:i/>
        </w:rPr>
        <w:t xml:space="preserve"> vaginal tablet.</w:t>
      </w:r>
    </w:p>
    <w:p w:rsidR="00717FE3" w:rsidRPr="00717FE3" w:rsidRDefault="00717FE3" w:rsidP="00717FE3">
      <w:pPr>
        <w:ind w:left="720"/>
        <w:rPr>
          <w:i/>
        </w:rPr>
      </w:pPr>
      <w:r w:rsidRPr="00717FE3">
        <w:rPr>
          <w:i/>
        </w:rPr>
        <w:t>In addition</w:t>
      </w:r>
      <w:r w:rsidR="00E879D6">
        <w:rPr>
          <w:i/>
        </w:rPr>
        <w:t>,</w:t>
      </w:r>
      <w:r w:rsidRPr="00717FE3">
        <w:rPr>
          <w:i/>
        </w:rPr>
        <w:t xml:space="preserve"> six </w:t>
      </w:r>
      <w:r w:rsidR="00E879D6">
        <w:rPr>
          <w:i/>
        </w:rPr>
        <w:t xml:space="preserve">non </w:t>
      </w:r>
      <w:r w:rsidRPr="00717FE3">
        <w:rPr>
          <w:i/>
        </w:rPr>
        <w:t>serious cases of medication error (short drug administration duration due to early expulsion of vaginal tablet (4), incorrect route of administration (1)</w:t>
      </w:r>
      <w:r w:rsidR="00E879D6">
        <w:rPr>
          <w:i/>
        </w:rPr>
        <w:t>,</w:t>
      </w:r>
      <w:r w:rsidRPr="00717FE3">
        <w:rPr>
          <w:i/>
        </w:rPr>
        <w:t xml:space="preserve"> and delay in start of prescribed therapy (1)) has been reported by different consumers from US. These cases were not medically confirmed and no other significant safety concern associated with medication error was reported.</w:t>
      </w:r>
    </w:p>
    <w:p w:rsidR="00717FE3" w:rsidRPr="00717FE3" w:rsidRDefault="00717FE3" w:rsidP="00717FE3">
      <w:pPr>
        <w:ind w:left="720"/>
        <w:rPr>
          <w:i/>
        </w:rPr>
      </w:pPr>
      <w:r w:rsidRPr="00717FE3">
        <w:rPr>
          <w:i/>
        </w:rPr>
        <w:t>Also, pleas</w:t>
      </w:r>
      <w:r w:rsidR="00E879D6">
        <w:rPr>
          <w:i/>
        </w:rPr>
        <w:t xml:space="preserve">e find enclosed the fourth half </w:t>
      </w:r>
      <w:r w:rsidRPr="00717FE3">
        <w:rPr>
          <w:i/>
        </w:rPr>
        <w:t>yearly PSUR covering the time period 20 May 201</w:t>
      </w:r>
      <w:r w:rsidR="00E879D6">
        <w:rPr>
          <w:i/>
        </w:rPr>
        <w:t>1 to 19 Nov 2011</w:t>
      </w:r>
      <w:r w:rsidRPr="00717FE3">
        <w:rPr>
          <w:i/>
        </w:rPr>
        <w:t>.</w:t>
      </w:r>
    </w:p>
    <w:p w:rsidR="00717FE3" w:rsidRPr="00717FE3" w:rsidRDefault="00717FE3" w:rsidP="00717FE3">
      <w:pPr>
        <w:ind w:left="720"/>
        <w:rPr>
          <w:i/>
        </w:rPr>
      </w:pPr>
      <w:r w:rsidRPr="00717FE3">
        <w:rPr>
          <w:i/>
        </w:rPr>
        <w:t xml:space="preserve">For your further </w:t>
      </w:r>
      <w:r w:rsidR="00291832">
        <w:rPr>
          <w:i/>
        </w:rPr>
        <w:t xml:space="preserve">information, the labelling (for example, </w:t>
      </w:r>
      <w:r w:rsidRPr="00717FE3">
        <w:rPr>
          <w:i/>
        </w:rPr>
        <w:t xml:space="preserve">carton, </w:t>
      </w:r>
      <w:proofErr w:type="gramStart"/>
      <w:r w:rsidRPr="00717FE3">
        <w:rPr>
          <w:i/>
        </w:rPr>
        <w:t>instruction</w:t>
      </w:r>
      <w:proofErr w:type="gramEnd"/>
      <w:r w:rsidRPr="00717FE3">
        <w:rPr>
          <w:i/>
        </w:rPr>
        <w:t xml:space="preserve"> leaflet) state the following information to help avoid medication errors:</w:t>
      </w:r>
    </w:p>
    <w:p w:rsidR="00717FE3" w:rsidRPr="00717FE3" w:rsidRDefault="00717FE3" w:rsidP="00717FE3">
      <w:pPr>
        <w:ind w:left="720"/>
        <w:rPr>
          <w:i/>
        </w:rPr>
      </w:pPr>
      <w:r w:rsidRPr="00717FE3">
        <w:rPr>
          <w:i/>
        </w:rPr>
        <w:t>Carton:</w:t>
      </w:r>
    </w:p>
    <w:p w:rsidR="00717FE3" w:rsidRPr="00717FE3" w:rsidRDefault="00717FE3" w:rsidP="00717FE3">
      <w:pPr>
        <w:ind w:left="720"/>
        <w:rPr>
          <w:i/>
        </w:rPr>
      </w:pPr>
      <w:r w:rsidRPr="00717FE3">
        <w:rPr>
          <w:i/>
        </w:rPr>
        <w:lastRenderedPageBreak/>
        <w:t>NOT TO BE SWALLOWED.</w:t>
      </w:r>
    </w:p>
    <w:p w:rsidR="00717FE3" w:rsidRPr="00717FE3" w:rsidRDefault="00717FE3" w:rsidP="00717FE3">
      <w:pPr>
        <w:ind w:left="720"/>
        <w:rPr>
          <w:i/>
        </w:rPr>
      </w:pPr>
      <w:r w:rsidRPr="00717FE3">
        <w:rPr>
          <w:i/>
        </w:rPr>
        <w:t>Instruction leaflet:</w:t>
      </w:r>
    </w:p>
    <w:p w:rsidR="00717FE3" w:rsidRPr="00717FE3" w:rsidRDefault="00717FE3" w:rsidP="00717FE3">
      <w:pPr>
        <w:ind w:left="720"/>
      </w:pPr>
      <w:r w:rsidRPr="00717FE3">
        <w:rPr>
          <w:i/>
        </w:rPr>
        <w:t>Endometrin is to be placed directly into your vagina by the applicator provided.</w:t>
      </w:r>
    </w:p>
    <w:p w:rsidR="00157B53" w:rsidRPr="007B529C" w:rsidRDefault="00157B53" w:rsidP="00070099">
      <w:pPr>
        <w:pStyle w:val="Heading5"/>
      </w:pPr>
      <w:r>
        <w:t>OPR</w:t>
      </w:r>
      <w:r w:rsidRPr="007B529C">
        <w:t xml:space="preserve"> reviewer comment:</w:t>
      </w:r>
    </w:p>
    <w:p w:rsidR="00717FE3" w:rsidRDefault="00717FE3" w:rsidP="00717FE3">
      <w:r>
        <w:t xml:space="preserve">The </w:t>
      </w:r>
      <w:r>
        <w:rPr>
          <w:rFonts w:eastAsia="TimesNewRoman"/>
        </w:rPr>
        <w:t xml:space="preserve">sponsor’s handling of this matter </w:t>
      </w:r>
      <w:r>
        <w:t>using routine pharmacovigilance and risk minimisation activities is considered satisfactory.</w:t>
      </w:r>
      <w:r w:rsidR="004654BB">
        <w:t xml:space="preserve"> </w:t>
      </w:r>
      <w:r>
        <w:t>Nevertheless this new information should be inc</w:t>
      </w:r>
      <w:r w:rsidR="00E879D6">
        <w:t>luded in this section of the RMP</w:t>
      </w:r>
      <w:r>
        <w:t xml:space="preserve"> when this document is next updated.</w:t>
      </w:r>
    </w:p>
    <w:p w:rsidR="008E7846" w:rsidRDefault="008E7846" w:rsidP="008E7846">
      <w:pPr>
        <w:pStyle w:val="Heading4"/>
        <w:rPr>
          <w:lang w:eastAsia="en-AU"/>
        </w:rPr>
      </w:pPr>
      <w:r>
        <w:rPr>
          <w:lang w:eastAsia="en-AU"/>
        </w:rPr>
        <w:t xml:space="preserve">Summary of </w:t>
      </w:r>
      <w:r w:rsidR="003A7F6C">
        <w:rPr>
          <w:lang w:eastAsia="en-AU"/>
        </w:rPr>
        <w:t>r</w:t>
      </w:r>
      <w:r>
        <w:rPr>
          <w:lang w:eastAsia="en-AU"/>
        </w:rPr>
        <w:t>ecommendations</w:t>
      </w:r>
    </w:p>
    <w:p w:rsidR="00717FE3" w:rsidRPr="00717FE3" w:rsidRDefault="00717FE3" w:rsidP="00717FE3">
      <w:bookmarkStart w:id="131" w:name="_Toc314842510"/>
      <w:r w:rsidRPr="00717FE3">
        <w:t>The OPR provides these recommendations in the context that the submitted RMP is supportive to the application; the implementation of a RMP satisfactory to the TGA is imposed as a condition of registration; and the submitted EU-RMP is applicable without modification in Australia unless so qualified:</w:t>
      </w:r>
    </w:p>
    <w:p w:rsidR="00717FE3" w:rsidRPr="00717FE3" w:rsidRDefault="00717FE3" w:rsidP="00F676BC">
      <w:pPr>
        <w:pStyle w:val="ListBullet"/>
      </w:pPr>
      <w:r w:rsidRPr="00717FE3">
        <w:t>The nonclinical aspects of the safety specifications in the RMP should be amended according</w:t>
      </w:r>
      <w:r w:rsidR="00416B35">
        <w:t xml:space="preserve"> to the recommendations of the nonclinical e</w:t>
      </w:r>
      <w:r w:rsidRPr="00717FE3">
        <w:t>valuator when this document is</w:t>
      </w:r>
      <w:r w:rsidR="00416B35">
        <w:t xml:space="preserve"> next updated.</w:t>
      </w:r>
    </w:p>
    <w:p w:rsidR="00717FE3" w:rsidRPr="00717FE3" w:rsidRDefault="00717FE3" w:rsidP="00F676BC">
      <w:pPr>
        <w:pStyle w:val="ListBullet"/>
      </w:pPr>
      <w:r w:rsidRPr="00717FE3">
        <w:t>There is no objection to the sponsor implementing only routine pharmacovigilance activities to monitor the ongoi</w:t>
      </w:r>
      <w:r w:rsidR="00F676BC">
        <w:t>ng safety concern at this time.</w:t>
      </w:r>
    </w:p>
    <w:p w:rsidR="00717FE3" w:rsidRPr="00717FE3" w:rsidRDefault="00717FE3" w:rsidP="00F676BC">
      <w:pPr>
        <w:pStyle w:val="ListBullet"/>
      </w:pPr>
      <w:r w:rsidRPr="00717FE3">
        <w:t xml:space="preserve">The sponsor’s justification and conclusion that routine risk minimisation activities for the specified </w:t>
      </w:r>
      <w:r w:rsidR="00CD3B53">
        <w:t>O</w:t>
      </w:r>
      <w:r w:rsidRPr="00717FE3">
        <w:t xml:space="preserve">ngoing </w:t>
      </w:r>
      <w:r w:rsidR="00CD3B53">
        <w:t>S</w:t>
      </w:r>
      <w:r w:rsidRPr="00717FE3">
        <w:t xml:space="preserve">afety </w:t>
      </w:r>
      <w:r w:rsidR="00CD3B53">
        <w:t>C</w:t>
      </w:r>
      <w:r w:rsidRPr="00717FE3">
        <w:t>oncern are sufficient would appear to be reasonable, except that the sponsor has confused routine pharmacovigilance activities with routine risk minimisation activities.</w:t>
      </w:r>
      <w:r w:rsidR="004654BB">
        <w:t xml:space="preserve"> </w:t>
      </w:r>
      <w:r w:rsidR="00CD3B53">
        <w:t xml:space="preserve">Consequently, </w:t>
      </w:r>
      <w:r w:rsidRPr="00717FE3">
        <w:t>‘Planned actions by</w:t>
      </w:r>
      <w:r w:rsidR="00CD3B53">
        <w:t xml:space="preserve"> safety concerns’ and </w:t>
      </w:r>
      <w:r w:rsidRPr="00717FE3">
        <w:t>‘</w:t>
      </w:r>
      <w:r w:rsidR="00E879D6">
        <w:t>RMP</w:t>
      </w:r>
      <w:r w:rsidRPr="00717FE3">
        <w:t xml:space="preserve"> by safety concern’ should be amended to reflect that the observed incidence of birth defects is </w:t>
      </w:r>
      <w:r w:rsidR="00CD3B53">
        <w:t>reflected in the labelling (that is,</w:t>
      </w:r>
      <w:r w:rsidRPr="00717FE3">
        <w:t xml:space="preserve"> routine risk minim</w:t>
      </w:r>
      <w:r w:rsidR="00AB3E09">
        <w:t>isation), as stated in</w:t>
      </w:r>
      <w:r w:rsidRPr="00717FE3">
        <w:t xml:space="preserve"> ‘Important potential risks’.</w:t>
      </w:r>
    </w:p>
    <w:p w:rsidR="00717FE3" w:rsidRPr="00717FE3" w:rsidRDefault="00717FE3" w:rsidP="00F676BC">
      <w:pPr>
        <w:pStyle w:val="ListBullet"/>
      </w:pPr>
      <w:r w:rsidRPr="00717FE3">
        <w:t>The sponsor’s proposed application of routine risk minimisation activities would appear to be reasonable and therefore acceptable.</w:t>
      </w:r>
    </w:p>
    <w:p w:rsidR="00717FE3" w:rsidRPr="00717FE3" w:rsidRDefault="00717FE3" w:rsidP="00F676BC">
      <w:pPr>
        <w:pStyle w:val="ListBullet"/>
      </w:pPr>
      <w:r w:rsidRPr="00717FE3">
        <w:t>The sponsor’s handling of the potential for medication errors using routine pharmacovigilance and risk minimisation activities is considered satisfactory.</w:t>
      </w:r>
      <w:r w:rsidR="004654BB">
        <w:t xml:space="preserve"> </w:t>
      </w:r>
      <w:r w:rsidRPr="00717FE3">
        <w:t>Nevertheless the related information provided in the sponsor’s correspondence, dated 2 May 2012, should be included in the RMP when</w:t>
      </w:r>
      <w:r w:rsidR="00F676BC">
        <w:t xml:space="preserve"> this document is next updated.</w:t>
      </w:r>
    </w:p>
    <w:p w:rsidR="008E7846" w:rsidRPr="00792A32" w:rsidRDefault="008E7846" w:rsidP="008E7846">
      <w:pPr>
        <w:pStyle w:val="Heading2"/>
      </w:pPr>
      <w:bookmarkStart w:id="132" w:name="_Toc357785376"/>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87"/>
      <w:bookmarkEnd w:id="127"/>
      <w:bookmarkEnd w:id="131"/>
      <w:bookmarkEnd w:id="132"/>
    </w:p>
    <w:p w:rsidR="008E7846" w:rsidRDefault="008E7846" w:rsidP="008E7846">
      <w:bookmarkStart w:id="133" w:name="_Toc247691528"/>
      <w:r>
        <w:t xml:space="preserve">The submission was summarised in the following </w:t>
      </w:r>
      <w:r w:rsidRPr="00EF5C48">
        <w:t xml:space="preserve">Delegate’s </w:t>
      </w:r>
      <w:r>
        <w:t>overview</w:t>
      </w:r>
      <w:r w:rsidRPr="00EF5C48">
        <w:t xml:space="preserve"> and recommendation</w:t>
      </w:r>
      <w:r>
        <w:t>s:</w:t>
      </w:r>
    </w:p>
    <w:p w:rsidR="008E7846" w:rsidRDefault="008E7846" w:rsidP="008E7846">
      <w:pPr>
        <w:pStyle w:val="Heading3"/>
      </w:pPr>
      <w:bookmarkStart w:id="134" w:name="_Toc314842511"/>
      <w:bookmarkStart w:id="135" w:name="_Toc357785377"/>
      <w:r>
        <w:t>Quality</w:t>
      </w:r>
      <w:bookmarkEnd w:id="133"/>
      <w:bookmarkEnd w:id="134"/>
      <w:bookmarkEnd w:id="135"/>
    </w:p>
    <w:p w:rsidR="000A23AB" w:rsidRDefault="000A23AB" w:rsidP="000A23AB">
      <w:r>
        <w:t>All chemistry and quality control aspects have been resolved and the evaluator recommends approval of the product.</w:t>
      </w:r>
    </w:p>
    <w:p w:rsidR="000A23AB" w:rsidRDefault="000A23AB" w:rsidP="000A23AB">
      <w:r>
        <w:t xml:space="preserve">The evaluator notes that, “the immunoassay method used to quantify progesterone concentrations in human serum in clinical </w:t>
      </w:r>
      <w:r w:rsidR="00D3483A" w:rsidRPr="00D3483A">
        <w:t>S</w:t>
      </w:r>
      <w:r w:rsidRPr="00D3483A">
        <w:t>tudies 2004-1 (</w:t>
      </w:r>
      <w:r w:rsidR="0096559C">
        <w:t>P</w:t>
      </w:r>
      <w:r w:rsidRPr="00D3483A">
        <w:t>hase I/II) and 2005-08</w:t>
      </w:r>
      <w:r>
        <w:t xml:space="preserve"> (</w:t>
      </w:r>
      <w:r w:rsidR="0096559C">
        <w:t>P</w:t>
      </w:r>
      <w:r>
        <w:t>hase I) had cross</w:t>
      </w:r>
      <w:r w:rsidR="0096559C">
        <w:t xml:space="preserve"> </w:t>
      </w:r>
      <w:r>
        <w:t>reactions with the steroids 5α pregnane-3</w:t>
      </w:r>
      <w:proofErr w:type="gramStart"/>
      <w:r>
        <w:t>,2</w:t>
      </w:r>
      <w:proofErr w:type="gramEnd"/>
      <w:r>
        <w:t xml:space="preserve">-dione and </w:t>
      </w:r>
      <w:proofErr w:type="spellStart"/>
      <w:r>
        <w:t>pregnenolone</w:t>
      </w:r>
      <w:proofErr w:type="spellEnd"/>
      <w:r>
        <w:t>”.</w:t>
      </w:r>
    </w:p>
    <w:p w:rsidR="000A23AB" w:rsidRPr="000A23AB" w:rsidRDefault="000A23AB" w:rsidP="000A23AB">
      <w:r>
        <w:t>The evaluator recommends that the results of the clinical studies should be accepted if concentrations of 5α </w:t>
      </w:r>
      <w:r w:rsidRPr="000A23AB">
        <w:t>pregnane-3</w:t>
      </w:r>
      <w:proofErr w:type="gramStart"/>
      <w:r w:rsidRPr="000A23AB">
        <w:t>,2</w:t>
      </w:r>
      <w:proofErr w:type="gramEnd"/>
      <w:r w:rsidRPr="000A23AB">
        <w:t xml:space="preserve">-dione and </w:t>
      </w:r>
      <w:proofErr w:type="spellStart"/>
      <w:r w:rsidRPr="000A23AB">
        <w:t>pregnenolone</w:t>
      </w:r>
      <w:proofErr w:type="spellEnd"/>
      <w:r w:rsidRPr="000A23AB">
        <w:t xml:space="preserve"> in human serum are not </w:t>
      </w:r>
      <w:r w:rsidRPr="000A23AB">
        <w:lastRenderedPageBreak/>
        <w:t xml:space="preserve">considered significant. </w:t>
      </w:r>
      <w:r w:rsidRPr="000A23AB">
        <w:rPr>
          <w:i/>
        </w:rPr>
        <w:t xml:space="preserve">The sponsor should </w:t>
      </w:r>
      <w:r w:rsidRPr="0096559C">
        <w:rPr>
          <w:i/>
        </w:rPr>
        <w:t xml:space="preserve">submit, in its pre ACPM </w:t>
      </w:r>
      <w:r w:rsidR="0096559C" w:rsidRPr="0096559C">
        <w:rPr>
          <w:i/>
        </w:rPr>
        <w:t>(</w:t>
      </w:r>
      <w:r w:rsidR="0096559C" w:rsidRPr="0096559C">
        <w:rPr>
          <w:bCs/>
          <w:i/>
        </w:rPr>
        <w:t xml:space="preserve">Advisory Committee on Prescription Medicines) </w:t>
      </w:r>
      <w:r w:rsidRPr="0096559C">
        <w:rPr>
          <w:i/>
        </w:rPr>
        <w:t>response, a summary</w:t>
      </w:r>
      <w:r w:rsidRPr="000A23AB">
        <w:rPr>
          <w:i/>
        </w:rPr>
        <w:t xml:space="preserve"> (mean ± </w:t>
      </w:r>
      <w:r w:rsidR="001840C8">
        <w:rPr>
          <w:i/>
        </w:rPr>
        <w:t>SD</w:t>
      </w:r>
      <w:r w:rsidRPr="000A23AB">
        <w:rPr>
          <w:i/>
        </w:rPr>
        <w:t>) of these results to assess this</w:t>
      </w:r>
      <w:r w:rsidRPr="000A23AB">
        <w:t>.</w:t>
      </w:r>
    </w:p>
    <w:p w:rsidR="00E45619" w:rsidRDefault="000A23AB" w:rsidP="003A7F6C">
      <w:r>
        <w:t>This submission has not been considered by the PSC</w:t>
      </w:r>
      <w:r w:rsidR="00EE7613">
        <w:t xml:space="preserve"> (Pharmaceutical Subcommittee)</w:t>
      </w:r>
      <w:r>
        <w:t>.</w:t>
      </w:r>
    </w:p>
    <w:p w:rsidR="008E7846" w:rsidRDefault="008E7846" w:rsidP="008E7846">
      <w:pPr>
        <w:pStyle w:val="Heading3"/>
      </w:pPr>
      <w:bookmarkStart w:id="136" w:name="_Toc314842512"/>
      <w:bookmarkStart w:id="137" w:name="_Toc357785378"/>
      <w:r>
        <w:t>Nonclinical</w:t>
      </w:r>
      <w:bookmarkEnd w:id="136"/>
      <w:bookmarkEnd w:id="137"/>
    </w:p>
    <w:p w:rsidR="000A23AB" w:rsidRPr="000A23AB" w:rsidRDefault="00813ED2" w:rsidP="000A23AB">
      <w:r>
        <w:t>The evaluator states that four</w:t>
      </w:r>
      <w:r w:rsidR="000A23AB" w:rsidRPr="000A23AB">
        <w:t xml:space="preserve"> new studies were submitted. These investig</w:t>
      </w:r>
      <w:r>
        <w:t xml:space="preserve">ated repeat </w:t>
      </w:r>
      <w:r w:rsidR="000A23AB" w:rsidRPr="000A23AB">
        <w:t>dose toxicity, vaginal and dermal tolerance</w:t>
      </w:r>
      <w:r>
        <w:t>,</w:t>
      </w:r>
      <w:r w:rsidR="000A23AB" w:rsidRPr="000A23AB">
        <w:t xml:space="preserve"> and </w:t>
      </w:r>
      <w:proofErr w:type="spellStart"/>
      <w:r w:rsidR="000A23AB" w:rsidRPr="000A23AB">
        <w:t>antigenicity</w:t>
      </w:r>
      <w:proofErr w:type="spellEnd"/>
      <w:r w:rsidR="000A23AB" w:rsidRPr="000A23AB">
        <w:t xml:space="preserve"> of the proposed clinical formulation. The studies were GLP compliant.</w:t>
      </w:r>
      <w:r w:rsidR="004654BB">
        <w:t xml:space="preserve"> </w:t>
      </w:r>
      <w:r w:rsidR="000A23AB" w:rsidRPr="000A23AB">
        <w:t>Some published papers were also submitted.</w:t>
      </w:r>
    </w:p>
    <w:p w:rsidR="00813ED2" w:rsidRDefault="00813ED2" w:rsidP="000A23AB">
      <w:r>
        <w:t>The evaluator states that:</w:t>
      </w:r>
    </w:p>
    <w:p w:rsidR="000A23AB" w:rsidRPr="00813ED2" w:rsidRDefault="000A23AB" w:rsidP="00813ED2">
      <w:pPr>
        <w:ind w:left="720"/>
        <w:rPr>
          <w:i/>
        </w:rPr>
      </w:pPr>
      <w:r w:rsidRPr="00813ED2">
        <w:rPr>
          <w:i/>
        </w:rPr>
        <w:t xml:space="preserve">“Endometrin powder was well tolerated both systemically and locally in rabbits treated by </w:t>
      </w:r>
      <w:proofErr w:type="spellStart"/>
      <w:r w:rsidRPr="00813ED2">
        <w:rPr>
          <w:i/>
        </w:rPr>
        <w:t>intravaginal</w:t>
      </w:r>
      <w:proofErr w:type="spellEnd"/>
      <w:r w:rsidRPr="00813ED2">
        <w:rPr>
          <w:i/>
        </w:rPr>
        <w:t xml:space="preserve"> administration twice daily for up to 90 days at a dose almost 5 times the maximum recommended human dose (on a mg/kg basis for consideration of vaginal tolerance) and producing comparable exposure (plasma AUC; for consideration of systemic toxicity). The clinical formulation was also shown not to be a dermal irritant (rabbits) or </w:t>
      </w:r>
      <w:r w:rsidR="00EA20E3">
        <w:rPr>
          <w:i/>
        </w:rPr>
        <w:t>skin sensitiser (guinea pigs)”.</w:t>
      </w:r>
    </w:p>
    <w:p w:rsidR="000A23AB" w:rsidRPr="000A23AB" w:rsidRDefault="000A23AB" w:rsidP="000A23AB">
      <w:r w:rsidRPr="000A23AB">
        <w:t xml:space="preserve">No new concerns on </w:t>
      </w:r>
      <w:proofErr w:type="spellStart"/>
      <w:r w:rsidRPr="000A23AB">
        <w:t>genotoxicity</w:t>
      </w:r>
      <w:proofErr w:type="spellEnd"/>
      <w:r w:rsidRPr="000A23AB">
        <w:t xml:space="preserve"> are identified with the proposed route of administration.</w:t>
      </w:r>
    </w:p>
    <w:p w:rsidR="000A23AB" w:rsidRPr="000A23AB" w:rsidRDefault="000A23AB" w:rsidP="000A23AB">
      <w:r w:rsidRPr="000A23AB">
        <w:t>The evaluator recommends approval from a nonclinical point of view.</w:t>
      </w:r>
    </w:p>
    <w:p w:rsidR="008E7846" w:rsidRDefault="008E7846" w:rsidP="00EA20E3">
      <w:pPr>
        <w:pStyle w:val="Heading3"/>
      </w:pPr>
      <w:bookmarkStart w:id="138" w:name="_Toc247691530"/>
      <w:bookmarkStart w:id="139" w:name="_Toc314842513"/>
      <w:bookmarkStart w:id="140" w:name="_Toc357785379"/>
      <w:r>
        <w:t>Clinical</w:t>
      </w:r>
      <w:bookmarkEnd w:id="138"/>
      <w:bookmarkEnd w:id="139"/>
      <w:bookmarkEnd w:id="140"/>
    </w:p>
    <w:p w:rsidR="000A23AB" w:rsidRDefault="000A23AB" w:rsidP="00EA20E3">
      <w:r w:rsidRPr="00D3483A">
        <w:t>There are two pharmacology studies (</w:t>
      </w:r>
      <w:r w:rsidR="0085354A">
        <w:t>Studies</w:t>
      </w:r>
      <w:r w:rsidR="00D3483A" w:rsidRPr="00D3483A">
        <w:t xml:space="preserve"> </w:t>
      </w:r>
      <w:r w:rsidR="0085354A">
        <w:t>2004-01 and</w:t>
      </w:r>
      <w:r w:rsidR="00D3483A" w:rsidRPr="00D3483A">
        <w:t xml:space="preserve"> </w:t>
      </w:r>
      <w:r w:rsidRPr="00D3483A">
        <w:t>2005-08) submitted.</w:t>
      </w:r>
    </w:p>
    <w:p w:rsidR="000A23AB" w:rsidRDefault="000A23AB" w:rsidP="000A23AB">
      <w:pPr>
        <w:pStyle w:val="Heading4"/>
      </w:pPr>
      <w:r w:rsidRPr="00176BAC">
        <w:t>Study 2004-01</w:t>
      </w:r>
    </w:p>
    <w:p w:rsidR="00595E46" w:rsidRDefault="000A23AB" w:rsidP="000A23AB">
      <w:r>
        <w:t>This was a randomised open label parallel multiple dose pharmacokinetic and pharmacodynamic study. Healthy</w:t>
      </w:r>
      <w:r w:rsidR="00B06BFA">
        <w:t xml:space="preserve"> pre</w:t>
      </w:r>
      <w:r w:rsidR="00595E46">
        <w:t xml:space="preserve"> </w:t>
      </w:r>
      <w:r w:rsidR="00B06BFA">
        <w:t>menopausal females aged 18</w:t>
      </w:r>
      <w:r>
        <w:t xml:space="preserve">-40 with a BMI </w:t>
      </w:r>
      <w:r w:rsidR="00B06BFA">
        <w:t xml:space="preserve">(Body Mass Index) </w:t>
      </w:r>
      <w:r>
        <w:t>of 18-28 were eligible to enr</w:t>
      </w:r>
      <w:r w:rsidR="00595E46">
        <w:t>ol. The evaluator mentions that:</w:t>
      </w:r>
    </w:p>
    <w:p w:rsidR="00595E46" w:rsidRPr="00595E46" w:rsidRDefault="00595E46" w:rsidP="00595E46">
      <w:pPr>
        <w:ind w:left="720"/>
        <w:rPr>
          <w:i/>
          <w:szCs w:val="24"/>
        </w:rPr>
      </w:pPr>
      <w:r w:rsidRPr="00595E46">
        <w:rPr>
          <w:i/>
          <w:szCs w:val="24"/>
        </w:rPr>
        <w:t>“</w:t>
      </w:r>
      <w:r w:rsidR="000A23AB" w:rsidRPr="00595E46">
        <w:rPr>
          <w:i/>
          <w:szCs w:val="24"/>
        </w:rPr>
        <w:t xml:space="preserve">Eligibility for the Randomisation/Treatment Phase required subjects to have a serum progesterone </w:t>
      </w:r>
      <w:r w:rsidR="000A23AB" w:rsidRPr="00EC13A1">
        <w:rPr>
          <w:i/>
          <w:szCs w:val="24"/>
        </w:rPr>
        <w:t xml:space="preserve">concentration of ≤1 </w:t>
      </w:r>
      <w:proofErr w:type="spellStart"/>
      <w:r w:rsidR="000A23AB" w:rsidRPr="00EC13A1">
        <w:rPr>
          <w:i/>
          <w:szCs w:val="24"/>
        </w:rPr>
        <w:t>ng</w:t>
      </w:r>
      <w:proofErr w:type="spellEnd"/>
      <w:r w:rsidR="000A23AB" w:rsidRPr="00EC13A1">
        <w:rPr>
          <w:i/>
          <w:szCs w:val="24"/>
        </w:rPr>
        <w:t>/</w:t>
      </w:r>
      <w:proofErr w:type="spellStart"/>
      <w:r w:rsidR="000A23AB" w:rsidRPr="00EC13A1">
        <w:rPr>
          <w:i/>
          <w:szCs w:val="24"/>
        </w:rPr>
        <w:t>mL</w:t>
      </w:r>
      <w:proofErr w:type="spellEnd"/>
      <w:r w:rsidR="000A23AB" w:rsidRPr="00EC13A1">
        <w:rPr>
          <w:i/>
          <w:szCs w:val="24"/>
        </w:rPr>
        <w:t xml:space="preserve"> and a TVU </w:t>
      </w:r>
      <w:r w:rsidR="00EC13A1" w:rsidRPr="00EC13A1">
        <w:rPr>
          <w:i/>
          <w:szCs w:val="24"/>
        </w:rPr>
        <w:t>(</w:t>
      </w:r>
      <w:proofErr w:type="spellStart"/>
      <w:r w:rsidR="00EC13A1" w:rsidRPr="00EC13A1">
        <w:rPr>
          <w:i/>
        </w:rPr>
        <w:t>transvaginal</w:t>
      </w:r>
      <w:proofErr w:type="spellEnd"/>
      <w:r w:rsidR="00EC13A1" w:rsidRPr="00EC13A1">
        <w:rPr>
          <w:i/>
        </w:rPr>
        <w:t xml:space="preserve"> ultrasound) </w:t>
      </w:r>
      <w:r w:rsidR="000A23AB" w:rsidRPr="00EC13A1">
        <w:rPr>
          <w:i/>
          <w:szCs w:val="24"/>
        </w:rPr>
        <w:t>demonstrating an</w:t>
      </w:r>
      <w:r w:rsidR="000A23AB" w:rsidRPr="00595E46">
        <w:rPr>
          <w:i/>
          <w:szCs w:val="24"/>
        </w:rPr>
        <w:t xml:space="preserve"> endometrial lining of ≥7 mm... Subjects were randomly assigned in sequential order to 1 of 5 different </w:t>
      </w:r>
      <w:r w:rsidR="000A23AB" w:rsidRPr="00595E46">
        <w:rPr>
          <w:i/>
        </w:rPr>
        <w:t>Endometrin</w:t>
      </w:r>
      <w:r w:rsidR="000A23AB" w:rsidRPr="00595E46">
        <w:rPr>
          <w:i/>
          <w:szCs w:val="24"/>
        </w:rPr>
        <w:t xml:space="preserve"> treatment groups (50 mg QD</w:t>
      </w:r>
      <w:r>
        <w:rPr>
          <w:i/>
          <w:szCs w:val="24"/>
        </w:rPr>
        <w:t xml:space="preserve"> [once daily]</w:t>
      </w:r>
      <w:r w:rsidR="000A23AB" w:rsidRPr="00595E46">
        <w:rPr>
          <w:i/>
          <w:szCs w:val="24"/>
        </w:rPr>
        <w:t>, 100 mg QD, 200 mg QD, 100 mg B</w:t>
      </w:r>
      <w:r w:rsidR="00B52B15">
        <w:rPr>
          <w:i/>
          <w:szCs w:val="24"/>
        </w:rPr>
        <w:t>I</w:t>
      </w:r>
      <w:r w:rsidR="000A23AB" w:rsidRPr="00595E46">
        <w:rPr>
          <w:i/>
          <w:szCs w:val="24"/>
        </w:rPr>
        <w:t>D, and 200 mg B</w:t>
      </w:r>
      <w:r w:rsidR="00B52B15">
        <w:rPr>
          <w:i/>
          <w:szCs w:val="24"/>
        </w:rPr>
        <w:t>I</w:t>
      </w:r>
      <w:r w:rsidR="000A23AB" w:rsidRPr="00595E46">
        <w:rPr>
          <w:i/>
          <w:szCs w:val="24"/>
        </w:rPr>
        <w:t>D) and a reference group (P</w:t>
      </w:r>
      <w:r w:rsidRPr="00595E46">
        <w:rPr>
          <w:i/>
          <w:szCs w:val="24"/>
        </w:rPr>
        <w:t>rogesterone injection 50 mg QD)”.</w:t>
      </w:r>
    </w:p>
    <w:p w:rsidR="000A23AB" w:rsidRDefault="000A23AB" w:rsidP="00EA20E3">
      <w:r w:rsidRPr="00404C4E">
        <w:t>Regular</w:t>
      </w:r>
      <w:r w:rsidR="00EA20E3">
        <w:t xml:space="preserve"> blood samples were also taken.</w:t>
      </w:r>
    </w:p>
    <w:p w:rsidR="00B52B15" w:rsidRDefault="00B52B15" w:rsidP="00EA20E3">
      <w:pPr>
        <w:pStyle w:val="Heading5"/>
      </w:pPr>
      <w:r>
        <w:t>Results</w:t>
      </w:r>
    </w:p>
    <w:p w:rsidR="000A23AB" w:rsidRDefault="000A23AB" w:rsidP="000A23AB">
      <w:pPr>
        <w:rPr>
          <w:szCs w:val="24"/>
        </w:rPr>
      </w:pPr>
      <w:r>
        <w:rPr>
          <w:szCs w:val="24"/>
        </w:rPr>
        <w:t xml:space="preserve">58 subjects were randomised; 48 in the </w:t>
      </w:r>
      <w:r>
        <w:t>Endometrin</w:t>
      </w:r>
      <w:r>
        <w:rPr>
          <w:szCs w:val="24"/>
        </w:rPr>
        <w:t xml:space="preserve"> groups and 10 in the Progesterone IMI group. 57 subjects completed the s</w:t>
      </w:r>
      <w:r w:rsidR="00EA20E3">
        <w:rPr>
          <w:szCs w:val="24"/>
        </w:rPr>
        <w:t>tudy.</w:t>
      </w:r>
    </w:p>
    <w:p w:rsidR="000A23AB" w:rsidRDefault="000A23AB" w:rsidP="000A23AB">
      <w:pPr>
        <w:rPr>
          <w:szCs w:val="24"/>
        </w:rPr>
      </w:pPr>
      <w:r>
        <w:rPr>
          <w:szCs w:val="24"/>
        </w:rPr>
        <w:t>The pharmacokinetic results are included</w:t>
      </w:r>
      <w:r w:rsidR="00B52B15">
        <w:rPr>
          <w:szCs w:val="24"/>
        </w:rPr>
        <w:t xml:space="preserve"> in the clinical evaluation report</w:t>
      </w:r>
      <w:r>
        <w:rPr>
          <w:szCs w:val="24"/>
        </w:rPr>
        <w:t>.</w:t>
      </w:r>
    </w:p>
    <w:p w:rsidR="000A23AB" w:rsidRDefault="000A23AB" w:rsidP="000A23AB">
      <w:pPr>
        <w:rPr>
          <w:szCs w:val="24"/>
        </w:rPr>
      </w:pPr>
      <w:r>
        <w:rPr>
          <w:szCs w:val="24"/>
        </w:rPr>
        <w:t>It is noted that in relation to the single dose pharmacokinetics, baseline values of serum progesterone were lo</w:t>
      </w:r>
      <w:r w:rsidR="00AB3E09">
        <w:rPr>
          <w:szCs w:val="24"/>
        </w:rPr>
        <w:t>w (~</w:t>
      </w:r>
      <w:r w:rsidR="00B52B15">
        <w:rPr>
          <w:szCs w:val="24"/>
        </w:rPr>
        <w:t>0.25ng/</w:t>
      </w:r>
      <w:proofErr w:type="spellStart"/>
      <w:r w:rsidR="00B52B15">
        <w:rPr>
          <w:szCs w:val="24"/>
        </w:rPr>
        <w:t>mL</w:t>
      </w:r>
      <w:proofErr w:type="spellEnd"/>
      <w:r w:rsidR="00B52B15">
        <w:rPr>
          <w:szCs w:val="24"/>
        </w:rPr>
        <w:t xml:space="preserve">) due to pre treatment with </w:t>
      </w:r>
      <w:proofErr w:type="spellStart"/>
      <w:r w:rsidR="00B52B15">
        <w:rPr>
          <w:szCs w:val="24"/>
        </w:rPr>
        <w:t>GnRH</w:t>
      </w:r>
      <w:proofErr w:type="spellEnd"/>
      <w:r w:rsidR="00B52B15">
        <w:rPr>
          <w:szCs w:val="24"/>
        </w:rPr>
        <w:t xml:space="preserve"> (</w:t>
      </w:r>
      <w:proofErr w:type="spellStart"/>
      <w:r w:rsidR="00B52B15" w:rsidRPr="00B52B15">
        <w:rPr>
          <w:szCs w:val="24"/>
        </w:rPr>
        <w:t>gonadot</w:t>
      </w:r>
      <w:r w:rsidR="00B52B15">
        <w:rPr>
          <w:szCs w:val="24"/>
        </w:rPr>
        <w:t>ropin</w:t>
      </w:r>
      <w:proofErr w:type="spellEnd"/>
      <w:r w:rsidR="00AB3E09">
        <w:rPr>
          <w:szCs w:val="24"/>
        </w:rPr>
        <w:t xml:space="preserve"> </w:t>
      </w:r>
      <w:r w:rsidR="00B52B15">
        <w:rPr>
          <w:szCs w:val="24"/>
        </w:rPr>
        <w:t>releasing hormone) agonist:</w:t>
      </w:r>
      <w:r>
        <w:rPr>
          <w:szCs w:val="24"/>
        </w:rPr>
        <w:t xml:space="preserve"> the exception was the 200 mg B</w:t>
      </w:r>
      <w:r w:rsidR="00B52B15">
        <w:rPr>
          <w:szCs w:val="24"/>
        </w:rPr>
        <w:t>I</w:t>
      </w:r>
      <w:r>
        <w:rPr>
          <w:szCs w:val="24"/>
        </w:rPr>
        <w:t xml:space="preserve">D dose which had a baseline value of 0.878 </w:t>
      </w:r>
      <w:proofErr w:type="spellStart"/>
      <w:r>
        <w:rPr>
          <w:szCs w:val="24"/>
        </w:rPr>
        <w:t>ng</w:t>
      </w:r>
      <w:proofErr w:type="spellEnd"/>
      <w:r>
        <w:rPr>
          <w:szCs w:val="24"/>
        </w:rPr>
        <w:t>/</w:t>
      </w:r>
      <w:proofErr w:type="spellStart"/>
      <w:r>
        <w:rPr>
          <w:szCs w:val="24"/>
        </w:rPr>
        <w:t>mL</w:t>
      </w:r>
      <w:proofErr w:type="spellEnd"/>
      <w:r w:rsidR="00B52B15">
        <w:rPr>
          <w:szCs w:val="24"/>
        </w:rPr>
        <w:t xml:space="preserve"> </w:t>
      </w:r>
      <w:r>
        <w:rPr>
          <w:szCs w:val="24"/>
        </w:rPr>
        <w:t>± 1.779</w:t>
      </w:r>
      <w:r w:rsidR="00D3483A">
        <w:rPr>
          <w:szCs w:val="24"/>
        </w:rPr>
        <w:t>. Serum levels peaked 8-12 h</w:t>
      </w:r>
      <w:r>
        <w:rPr>
          <w:szCs w:val="24"/>
        </w:rPr>
        <w:t xml:space="preserve"> after the dose. There was less than a dose proportional increase in </w:t>
      </w:r>
      <w:proofErr w:type="spellStart"/>
      <w:r>
        <w:rPr>
          <w:szCs w:val="24"/>
        </w:rPr>
        <w:t>C</w:t>
      </w:r>
      <w:r w:rsidRPr="007655B6">
        <w:rPr>
          <w:szCs w:val="24"/>
          <w:vertAlign w:val="subscript"/>
        </w:rPr>
        <w:t>max</w:t>
      </w:r>
      <w:proofErr w:type="spellEnd"/>
      <w:r>
        <w:rPr>
          <w:szCs w:val="24"/>
        </w:rPr>
        <w:t xml:space="preserve"> and AUC for 100 mg and 200 mg dose. In relation the </w:t>
      </w:r>
      <w:proofErr w:type="spellStart"/>
      <w:r>
        <w:rPr>
          <w:szCs w:val="24"/>
        </w:rPr>
        <w:t>multidosing</w:t>
      </w:r>
      <w:proofErr w:type="spellEnd"/>
      <w:r>
        <w:rPr>
          <w:szCs w:val="24"/>
        </w:rPr>
        <w:t xml:space="preserve">, the </w:t>
      </w:r>
      <w:proofErr w:type="spellStart"/>
      <w:r>
        <w:rPr>
          <w:szCs w:val="24"/>
        </w:rPr>
        <w:t>C</w:t>
      </w:r>
      <w:r w:rsidRPr="007655B6">
        <w:rPr>
          <w:szCs w:val="24"/>
          <w:vertAlign w:val="subscript"/>
        </w:rPr>
        <w:t>avg</w:t>
      </w:r>
      <w:proofErr w:type="spellEnd"/>
      <w:r>
        <w:rPr>
          <w:szCs w:val="24"/>
        </w:rPr>
        <w:t xml:space="preserve"> increased in a less</w:t>
      </w:r>
      <w:r w:rsidR="00EA20E3">
        <w:rPr>
          <w:szCs w:val="24"/>
        </w:rPr>
        <w:t xml:space="preserve"> than dose proportional manner.</w:t>
      </w:r>
    </w:p>
    <w:p w:rsidR="000A23AB" w:rsidRDefault="000A23AB" w:rsidP="000A23AB">
      <w:pPr>
        <w:rPr>
          <w:szCs w:val="24"/>
        </w:rPr>
      </w:pPr>
      <w:r>
        <w:rPr>
          <w:szCs w:val="24"/>
        </w:rPr>
        <w:t>The evaluator questions the validity of the pharmacokinetic results.</w:t>
      </w:r>
    </w:p>
    <w:p w:rsidR="000A23AB" w:rsidRDefault="000A23AB" w:rsidP="000A23AB">
      <w:pPr>
        <w:rPr>
          <w:szCs w:val="24"/>
        </w:rPr>
      </w:pPr>
      <w:r>
        <w:rPr>
          <w:szCs w:val="24"/>
        </w:rPr>
        <w:lastRenderedPageBreak/>
        <w:t xml:space="preserve">The issues are described </w:t>
      </w:r>
      <w:r w:rsidR="00AF3F90">
        <w:rPr>
          <w:szCs w:val="24"/>
        </w:rPr>
        <w:t>under “E</w:t>
      </w:r>
      <w:r>
        <w:rPr>
          <w:szCs w:val="24"/>
        </w:rPr>
        <w:t>valuator’s comments”. In essence, the evaluator’s concerns are as follows:</w:t>
      </w:r>
    </w:p>
    <w:p w:rsidR="000A23AB" w:rsidRPr="000A23AB" w:rsidRDefault="000A23AB" w:rsidP="00EA20E3">
      <w:pPr>
        <w:pStyle w:val="ListBullet"/>
      </w:pPr>
      <w:r w:rsidRPr="000A23AB">
        <w:t>The products used have not been described in detail, for the evaluator to identify the relationship to the “proposed formulation”.</w:t>
      </w:r>
    </w:p>
    <w:p w:rsidR="000A23AB" w:rsidRPr="000A23AB" w:rsidRDefault="000A23AB" w:rsidP="00EA20E3">
      <w:pPr>
        <w:pStyle w:val="ListBullet"/>
      </w:pPr>
      <w:r w:rsidRPr="000A23AB">
        <w:t>Explanat</w:t>
      </w:r>
      <w:r w:rsidR="00CE2986">
        <w:t>ion is sought regarding Figure 4</w:t>
      </w:r>
      <w:r w:rsidRPr="000A23AB">
        <w:t xml:space="preserve"> </w:t>
      </w:r>
      <w:r w:rsidR="00CE2986">
        <w:t xml:space="preserve">(below; Figure 1 in the clinical evaluation report) </w:t>
      </w:r>
      <w:r w:rsidRPr="000A23AB">
        <w:t>which shows mean trough levels</w:t>
      </w:r>
      <w:r w:rsidR="00AF3F90">
        <w:t xml:space="preserve"> of progesterone levels 12 h</w:t>
      </w:r>
      <w:r w:rsidRPr="000A23AB">
        <w:t xml:space="preserve"> post dose was lower than the trough levels before earlier doses with 100</w:t>
      </w:r>
      <w:r w:rsidR="00AF3F90">
        <w:t xml:space="preserve"> </w:t>
      </w:r>
      <w:r w:rsidRPr="000A23AB">
        <w:t xml:space="preserve">mg </w:t>
      </w:r>
      <w:r w:rsidR="00AF3F90">
        <w:t>BID</w:t>
      </w:r>
      <w:r w:rsidRPr="000A23AB">
        <w:t xml:space="preserve"> dose.</w:t>
      </w:r>
    </w:p>
    <w:p w:rsidR="000A23AB" w:rsidRPr="000A23AB" w:rsidRDefault="000A23AB" w:rsidP="00EA20E3">
      <w:pPr>
        <w:pStyle w:val="ListBullet"/>
      </w:pPr>
      <w:r w:rsidRPr="000A23AB">
        <w:t xml:space="preserve">Absorption kinetics </w:t>
      </w:r>
      <w:proofErr w:type="gramStart"/>
      <w:r w:rsidRPr="000A23AB">
        <w:t>were</w:t>
      </w:r>
      <w:proofErr w:type="gramEnd"/>
      <w:r w:rsidRPr="000A23AB">
        <w:t xml:space="preserve"> thought to be zero order, but could change with repeated administration. Pharmacokinetics was not strictly dose proportional, but the findings were confounded by random variability due to small sample size.</w:t>
      </w:r>
    </w:p>
    <w:p w:rsidR="00BE7531" w:rsidRDefault="00BE7531" w:rsidP="00EA20E3">
      <w:pPr>
        <w:pStyle w:val="FigureTitle"/>
        <w:rPr>
          <w:lang w:val="en-GB"/>
        </w:rPr>
      </w:pPr>
      <w:r>
        <w:t>Figure 4:</w:t>
      </w:r>
      <w:r w:rsidRPr="001131CF">
        <w:t xml:space="preserve"> </w:t>
      </w:r>
      <w:r>
        <w:t>Mean trough progesterone concentrations during treatment (Study 2004-01).</w:t>
      </w:r>
    </w:p>
    <w:p w:rsidR="00BE7531" w:rsidRPr="00BE7531" w:rsidRDefault="009561C4" w:rsidP="00EA20E3">
      <w:r>
        <w:rPr>
          <w:noProof/>
          <w:lang w:eastAsia="en-AU"/>
        </w:rPr>
        <w:drawing>
          <wp:inline distT="0" distB="0" distL="0" distR="0">
            <wp:extent cx="4700905" cy="2737485"/>
            <wp:effectExtent l="19050" t="0" r="4445" b="0"/>
            <wp:docPr id="8" name="Picture 8" descr="Figure 4: Mean trough progesterone concentrations during treatment (Study 200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3" cstate="print"/>
                    <a:srcRect/>
                    <a:stretch>
                      <a:fillRect/>
                    </a:stretch>
                  </pic:blipFill>
                  <pic:spPr bwMode="auto">
                    <a:xfrm>
                      <a:off x="0" y="0"/>
                      <a:ext cx="4700905" cy="2737485"/>
                    </a:xfrm>
                    <a:prstGeom prst="rect">
                      <a:avLst/>
                    </a:prstGeom>
                    <a:noFill/>
                    <a:ln w="9525">
                      <a:noFill/>
                      <a:miter lim="800000"/>
                      <a:headEnd/>
                      <a:tailEnd/>
                    </a:ln>
                  </pic:spPr>
                </pic:pic>
              </a:graphicData>
            </a:graphic>
          </wp:inline>
        </w:drawing>
      </w:r>
    </w:p>
    <w:p w:rsidR="002C41A1" w:rsidRDefault="000A23AB" w:rsidP="002C41A1">
      <w:pPr>
        <w:pStyle w:val="Heading4"/>
      </w:pPr>
      <w:r w:rsidRPr="00C9643E">
        <w:t>Study 2005-08</w:t>
      </w:r>
    </w:p>
    <w:p w:rsidR="000A23AB" w:rsidRDefault="000A23AB" w:rsidP="000A23AB">
      <w:pPr>
        <w:rPr>
          <w:szCs w:val="24"/>
        </w:rPr>
      </w:pPr>
      <w:r>
        <w:rPr>
          <w:szCs w:val="24"/>
        </w:rPr>
        <w:t>This was a randomised, open label parallel group single and multiple d</w:t>
      </w:r>
      <w:r w:rsidR="002A6000">
        <w:rPr>
          <w:szCs w:val="24"/>
        </w:rPr>
        <w:t xml:space="preserve">ose study. Healthy, pre </w:t>
      </w:r>
      <w:r>
        <w:rPr>
          <w:szCs w:val="24"/>
        </w:rPr>
        <w:t>menopausal females of 18-40 were eligible to enrol. Treatment details are described. The subjects (6 in each group) received Endometrin 100</w:t>
      </w:r>
      <w:r w:rsidR="002A6000">
        <w:rPr>
          <w:szCs w:val="24"/>
        </w:rPr>
        <w:t xml:space="preserve"> </w:t>
      </w:r>
      <w:r>
        <w:rPr>
          <w:szCs w:val="24"/>
        </w:rPr>
        <w:t>mg B</w:t>
      </w:r>
      <w:r w:rsidR="002A6000">
        <w:rPr>
          <w:szCs w:val="24"/>
        </w:rPr>
        <w:t>ID, TID</w:t>
      </w:r>
      <w:r>
        <w:rPr>
          <w:szCs w:val="24"/>
        </w:rPr>
        <w:t xml:space="preserve"> or Crinone 90 mg </w:t>
      </w:r>
      <w:r w:rsidR="002A6000">
        <w:rPr>
          <w:szCs w:val="24"/>
        </w:rPr>
        <w:t>QD</w:t>
      </w:r>
      <w:r>
        <w:rPr>
          <w:szCs w:val="24"/>
        </w:rPr>
        <w:t>. The study involved a single dose phase (1 day) and a multiple dose phase (5 days) separated by a wash out of 7 days. There was no baseline correction for endogenous correction.</w:t>
      </w:r>
    </w:p>
    <w:p w:rsidR="000A23AB" w:rsidRDefault="00CE2986" w:rsidP="000A23AB">
      <w:pPr>
        <w:rPr>
          <w:szCs w:val="24"/>
        </w:rPr>
      </w:pPr>
      <w:r>
        <w:rPr>
          <w:szCs w:val="24"/>
        </w:rPr>
        <w:t>Both the BID and TID</w:t>
      </w:r>
      <w:r w:rsidR="000A23AB">
        <w:rPr>
          <w:szCs w:val="24"/>
        </w:rPr>
        <w:t xml:space="preserve"> regimes resulted in steady state</w:t>
      </w:r>
      <w:r w:rsidR="004654BB">
        <w:rPr>
          <w:szCs w:val="24"/>
        </w:rPr>
        <w:t xml:space="preserve"> </w:t>
      </w:r>
      <w:proofErr w:type="spellStart"/>
      <w:r w:rsidR="000A23AB">
        <w:rPr>
          <w:szCs w:val="24"/>
        </w:rPr>
        <w:t>C</w:t>
      </w:r>
      <w:r w:rsidR="000A23AB" w:rsidRPr="007655B6">
        <w:rPr>
          <w:szCs w:val="24"/>
          <w:vertAlign w:val="subscript"/>
        </w:rPr>
        <w:t>max</w:t>
      </w:r>
      <w:proofErr w:type="spellEnd"/>
      <w:r w:rsidR="000A23AB">
        <w:rPr>
          <w:szCs w:val="24"/>
        </w:rPr>
        <w:t xml:space="preserve">, </w:t>
      </w:r>
      <w:proofErr w:type="spellStart"/>
      <w:r w:rsidR="000A23AB">
        <w:rPr>
          <w:szCs w:val="24"/>
        </w:rPr>
        <w:t>C</w:t>
      </w:r>
      <w:r w:rsidR="000A23AB" w:rsidRPr="007655B6">
        <w:rPr>
          <w:szCs w:val="24"/>
          <w:vertAlign w:val="subscript"/>
        </w:rPr>
        <w:t>avg</w:t>
      </w:r>
      <w:proofErr w:type="spellEnd"/>
      <w:r w:rsidR="000A23AB">
        <w:rPr>
          <w:szCs w:val="24"/>
        </w:rPr>
        <w:t xml:space="preserve"> and trough concentrations that were at or above the desired 10 </w:t>
      </w:r>
      <w:proofErr w:type="spellStart"/>
      <w:r w:rsidR="000A23AB">
        <w:rPr>
          <w:szCs w:val="24"/>
        </w:rPr>
        <w:t>ng</w:t>
      </w:r>
      <w:proofErr w:type="spellEnd"/>
      <w:r w:rsidR="000A23AB">
        <w:rPr>
          <w:szCs w:val="24"/>
        </w:rPr>
        <w:t>/</w:t>
      </w:r>
      <w:proofErr w:type="spellStart"/>
      <w:r w:rsidR="000A23AB">
        <w:rPr>
          <w:szCs w:val="24"/>
        </w:rPr>
        <w:t>mL</w:t>
      </w:r>
      <w:proofErr w:type="spellEnd"/>
      <w:r w:rsidR="000A23AB">
        <w:rPr>
          <w:szCs w:val="24"/>
        </w:rPr>
        <w:t xml:space="preserve"> target</w:t>
      </w:r>
      <w:r w:rsidR="004654BB">
        <w:rPr>
          <w:szCs w:val="24"/>
        </w:rPr>
        <w:t xml:space="preserve"> </w:t>
      </w:r>
      <w:r>
        <w:rPr>
          <w:szCs w:val="24"/>
        </w:rPr>
        <w:t>concentration, with the TID</w:t>
      </w:r>
      <w:r w:rsidR="00EA20E3">
        <w:rPr>
          <w:szCs w:val="24"/>
        </w:rPr>
        <w:t xml:space="preserve"> showing higher concentration.</w:t>
      </w:r>
    </w:p>
    <w:p w:rsidR="00801F04" w:rsidRDefault="000A23AB" w:rsidP="000A23AB">
      <w:pPr>
        <w:spacing w:before="60"/>
        <w:rPr>
          <w:szCs w:val="24"/>
        </w:rPr>
      </w:pPr>
      <w:r>
        <w:rPr>
          <w:szCs w:val="24"/>
        </w:rPr>
        <w:t xml:space="preserve">There were problems experienced with baseline progesterone values due to endogenous progesterone, as </w:t>
      </w:r>
      <w:r w:rsidRPr="002C41A1">
        <w:rPr>
          <w:szCs w:val="24"/>
        </w:rPr>
        <w:t xml:space="preserve">in </w:t>
      </w:r>
      <w:r w:rsidR="002C41A1" w:rsidRPr="002C41A1">
        <w:rPr>
          <w:szCs w:val="24"/>
        </w:rPr>
        <w:t xml:space="preserve">Study </w:t>
      </w:r>
      <w:r w:rsidRPr="002C41A1">
        <w:rPr>
          <w:szCs w:val="24"/>
        </w:rPr>
        <w:t>2004-01. The</w:t>
      </w:r>
      <w:r>
        <w:rPr>
          <w:szCs w:val="24"/>
        </w:rPr>
        <w:t xml:space="preserve"> problem identified in th</w:t>
      </w:r>
      <w:r w:rsidR="00801F04">
        <w:rPr>
          <w:szCs w:val="24"/>
        </w:rPr>
        <w:t>e report is:</w:t>
      </w:r>
    </w:p>
    <w:p w:rsidR="000A23AB" w:rsidRPr="00801F04" w:rsidRDefault="00801F04" w:rsidP="00801F04">
      <w:pPr>
        <w:spacing w:before="60"/>
        <w:ind w:left="720"/>
        <w:rPr>
          <w:i/>
          <w:szCs w:val="24"/>
        </w:rPr>
      </w:pPr>
      <w:r w:rsidRPr="00801F04">
        <w:rPr>
          <w:i/>
          <w:szCs w:val="24"/>
        </w:rPr>
        <w:t>“</w:t>
      </w:r>
      <w:r w:rsidR="000A23AB" w:rsidRPr="00801F04">
        <w:rPr>
          <w:i/>
          <w:szCs w:val="24"/>
        </w:rPr>
        <w:t xml:space="preserve">Although planned per protocol, baseline correction (by subtraction of the </w:t>
      </w:r>
      <w:proofErr w:type="spellStart"/>
      <w:r w:rsidR="000A23AB" w:rsidRPr="00801F04">
        <w:rPr>
          <w:i/>
          <w:szCs w:val="24"/>
        </w:rPr>
        <w:t>pretreatment</w:t>
      </w:r>
      <w:proofErr w:type="spellEnd"/>
      <w:r w:rsidR="000A23AB" w:rsidRPr="00801F04">
        <w:rPr>
          <w:i/>
          <w:szCs w:val="24"/>
        </w:rPr>
        <w:t xml:space="preserve"> progesterone) of the assayed progesterone concentrations was not incorporated into the pharmacokinetic analysis because (1) whatever residual endogenous progesterone production that did remain did not appear to contribute significantly to the observed values, and (2) in about [sic] several of the subjects pre-treatment progesterone concentrations were greater than concentrations observed during the treatment phase, suggesting the possibility that exogenous progesterone suppressed endogenous progesterone production."</w:t>
      </w:r>
    </w:p>
    <w:p w:rsidR="000A23AB" w:rsidRDefault="000A23AB" w:rsidP="000A23AB">
      <w:pPr>
        <w:pStyle w:val="Heading4"/>
      </w:pPr>
      <w:r w:rsidRPr="00C9643E">
        <w:lastRenderedPageBreak/>
        <w:t>Study 2004-02</w:t>
      </w:r>
      <w:r w:rsidR="002C41A1">
        <w:t>: addendum</w:t>
      </w:r>
    </w:p>
    <w:p w:rsidR="000A23AB" w:rsidRDefault="000A23AB" w:rsidP="000A23AB">
      <w:pPr>
        <w:rPr>
          <w:szCs w:val="24"/>
        </w:rPr>
      </w:pPr>
      <w:r>
        <w:rPr>
          <w:szCs w:val="24"/>
        </w:rPr>
        <w:t>This was an open label, randomised parallel group pharmacokin</w:t>
      </w:r>
      <w:r w:rsidR="00EB62EF">
        <w:rPr>
          <w:szCs w:val="24"/>
        </w:rPr>
        <w:t>etic study in IVF patients. At two</w:t>
      </w:r>
      <w:r>
        <w:rPr>
          <w:szCs w:val="24"/>
        </w:rPr>
        <w:t xml:space="preserve"> centres where the original Study 2004-02 was conducted, randomised subjects w</w:t>
      </w:r>
      <w:r w:rsidR="00AB3E09">
        <w:rPr>
          <w:szCs w:val="24"/>
        </w:rPr>
        <w:t>ere invited to partake in this a</w:t>
      </w:r>
      <w:r>
        <w:rPr>
          <w:szCs w:val="24"/>
        </w:rPr>
        <w:t xml:space="preserve">ddendum. </w:t>
      </w:r>
      <w:r w:rsidR="00EB62EF">
        <w:rPr>
          <w:szCs w:val="24"/>
        </w:rPr>
        <w:t xml:space="preserve">A total of </w:t>
      </w:r>
      <w:r>
        <w:rPr>
          <w:szCs w:val="24"/>
        </w:rPr>
        <w:t xml:space="preserve">7 subjects received </w:t>
      </w:r>
      <w:proofErr w:type="spellStart"/>
      <w:r>
        <w:rPr>
          <w:szCs w:val="24"/>
        </w:rPr>
        <w:t>Endometriu</w:t>
      </w:r>
      <w:r w:rsidR="00EB62EF">
        <w:rPr>
          <w:szCs w:val="24"/>
        </w:rPr>
        <w:t>m</w:t>
      </w:r>
      <w:proofErr w:type="spellEnd"/>
      <w:r w:rsidR="00EB62EF">
        <w:rPr>
          <w:szCs w:val="24"/>
        </w:rPr>
        <w:t xml:space="preserve"> 100mg BD, 8 subjects 100mg TID,</w:t>
      </w:r>
      <w:r>
        <w:rPr>
          <w:szCs w:val="24"/>
        </w:rPr>
        <w:t xml:space="preserve"> and 12 received Crinone 90</w:t>
      </w:r>
      <w:r w:rsidR="00EB62EF">
        <w:rPr>
          <w:szCs w:val="24"/>
        </w:rPr>
        <w:t xml:space="preserve"> </w:t>
      </w:r>
      <w:r>
        <w:rPr>
          <w:szCs w:val="24"/>
        </w:rPr>
        <w:t>mg QD. The evaluator mentions that the issues were s</w:t>
      </w:r>
      <w:r w:rsidR="00EE5B29">
        <w:rPr>
          <w:szCs w:val="24"/>
        </w:rPr>
        <w:t>imilar to the previous studies.</w:t>
      </w:r>
    </w:p>
    <w:p w:rsidR="000A23AB" w:rsidRDefault="00792D2E" w:rsidP="000A23AB">
      <w:pPr>
        <w:pStyle w:val="Heading5"/>
      </w:pPr>
      <w:r>
        <w:t>Pharmacodynamics</w:t>
      </w:r>
    </w:p>
    <w:p w:rsidR="000A23AB" w:rsidRDefault="000A23AB" w:rsidP="000A23AB">
      <w:pPr>
        <w:rPr>
          <w:szCs w:val="24"/>
        </w:rPr>
      </w:pPr>
      <w:r>
        <w:rPr>
          <w:szCs w:val="24"/>
        </w:rPr>
        <w:t>The evaluator dismisses the pharmacodynamic results as the studies have not identified endogenous progesterone.</w:t>
      </w:r>
    </w:p>
    <w:p w:rsidR="000A23AB" w:rsidRDefault="000A23AB" w:rsidP="000A23AB">
      <w:pPr>
        <w:rPr>
          <w:szCs w:val="24"/>
        </w:rPr>
      </w:pPr>
      <w:r>
        <w:rPr>
          <w:szCs w:val="24"/>
        </w:rPr>
        <w:t xml:space="preserve">However, it is noted that </w:t>
      </w:r>
      <w:r w:rsidR="00EB62EF">
        <w:rPr>
          <w:szCs w:val="24"/>
        </w:rPr>
        <w:t>in Phase I</w:t>
      </w:r>
      <w:r w:rsidR="00D3483A">
        <w:rPr>
          <w:szCs w:val="24"/>
        </w:rPr>
        <w:t xml:space="preserve"> </w:t>
      </w:r>
      <w:r w:rsidR="00D3483A" w:rsidRPr="00D3483A">
        <w:rPr>
          <w:szCs w:val="24"/>
        </w:rPr>
        <w:t>Study</w:t>
      </w:r>
      <w:r w:rsidRPr="00D3483A">
        <w:rPr>
          <w:szCs w:val="24"/>
        </w:rPr>
        <w:t xml:space="preserve"> 2004-01 </w:t>
      </w:r>
      <w:proofErr w:type="spellStart"/>
      <w:r w:rsidRPr="00D3483A">
        <w:rPr>
          <w:szCs w:val="24"/>
        </w:rPr>
        <w:t>secretory</w:t>
      </w:r>
      <w:proofErr w:type="spellEnd"/>
      <w:r>
        <w:rPr>
          <w:szCs w:val="24"/>
        </w:rPr>
        <w:t xml:space="preserve"> transformation of the </w:t>
      </w:r>
      <w:proofErr w:type="spellStart"/>
      <w:r>
        <w:rPr>
          <w:szCs w:val="24"/>
        </w:rPr>
        <w:t>endometrium</w:t>
      </w:r>
      <w:proofErr w:type="spellEnd"/>
      <w:r>
        <w:rPr>
          <w:szCs w:val="24"/>
        </w:rPr>
        <w:t xml:space="preserve"> (assessed by biopsy) and endometrial thickness (TVU) were also measured. There was some evidence of dose response in relation to endometrial transformation. In relation to thickne</w:t>
      </w:r>
      <w:r w:rsidR="00860485">
        <w:rPr>
          <w:szCs w:val="24"/>
        </w:rPr>
        <w:t xml:space="preserve">ss, </w:t>
      </w:r>
      <w:r w:rsidR="00A12B17">
        <w:rPr>
          <w:szCs w:val="24"/>
        </w:rPr>
        <w:t xml:space="preserve">results were </w:t>
      </w:r>
      <w:proofErr w:type="spellStart"/>
      <w:r w:rsidR="00A12B17">
        <w:rPr>
          <w:szCs w:val="24"/>
        </w:rPr>
        <w:t>non</w:t>
      </w:r>
      <w:proofErr w:type="spellEnd"/>
      <w:r w:rsidR="00A12B17">
        <w:rPr>
          <w:szCs w:val="24"/>
        </w:rPr>
        <w:t xml:space="preserve"> </w:t>
      </w:r>
      <w:r w:rsidR="00EE5B29">
        <w:rPr>
          <w:szCs w:val="24"/>
        </w:rPr>
        <w:t>conclusive.</w:t>
      </w:r>
    </w:p>
    <w:p w:rsidR="000A23AB" w:rsidRDefault="000A23AB" w:rsidP="000A23AB">
      <w:pPr>
        <w:pStyle w:val="Heading5"/>
      </w:pPr>
      <w:r w:rsidRPr="008750C7">
        <w:t>Efficacy</w:t>
      </w:r>
    </w:p>
    <w:p w:rsidR="000A23AB" w:rsidRDefault="000A23AB" w:rsidP="000A23AB">
      <w:pPr>
        <w:rPr>
          <w:szCs w:val="24"/>
        </w:rPr>
      </w:pPr>
      <w:r w:rsidRPr="00D3483A">
        <w:rPr>
          <w:szCs w:val="24"/>
        </w:rPr>
        <w:t>Study 2004-02</w:t>
      </w:r>
      <w:r>
        <w:rPr>
          <w:szCs w:val="24"/>
        </w:rPr>
        <w:t xml:space="preserve"> is the pivotal efficacy study. This was a multicentre randomised open label parallel group study conducted to determine the efficacy of Endometrin administered vaginally in women undergoing </w:t>
      </w:r>
      <w:r w:rsidR="00D3483A">
        <w:rPr>
          <w:i/>
          <w:szCs w:val="24"/>
        </w:rPr>
        <w:t xml:space="preserve">in </w:t>
      </w:r>
      <w:r w:rsidRPr="0043459C">
        <w:rPr>
          <w:i/>
          <w:szCs w:val="24"/>
        </w:rPr>
        <w:t>vitro</w:t>
      </w:r>
      <w:r>
        <w:rPr>
          <w:szCs w:val="24"/>
        </w:rPr>
        <w:t xml:space="preserve"> fertilisation.</w:t>
      </w:r>
      <w:r w:rsidR="004654BB">
        <w:rPr>
          <w:szCs w:val="24"/>
        </w:rPr>
        <w:t xml:space="preserve"> </w:t>
      </w:r>
      <w:r>
        <w:rPr>
          <w:szCs w:val="24"/>
        </w:rPr>
        <w:t xml:space="preserve">Subjects were stratified at baseline for age of subject and ovarian reserve. Treatment commenced with down regulation with </w:t>
      </w:r>
      <w:proofErr w:type="spellStart"/>
      <w:r>
        <w:rPr>
          <w:szCs w:val="24"/>
        </w:rPr>
        <w:t>GnRH</w:t>
      </w:r>
      <w:proofErr w:type="spellEnd"/>
      <w:r>
        <w:rPr>
          <w:szCs w:val="24"/>
        </w:rPr>
        <w:t xml:space="preserve"> agonist followed by ovarian stimulation; this was followed by </w:t>
      </w:r>
      <w:proofErr w:type="spellStart"/>
      <w:proofErr w:type="gramStart"/>
      <w:r>
        <w:rPr>
          <w:szCs w:val="24"/>
        </w:rPr>
        <w:t>hCG</w:t>
      </w:r>
      <w:proofErr w:type="spellEnd"/>
      <w:proofErr w:type="gramEnd"/>
      <w:r>
        <w:rPr>
          <w:szCs w:val="24"/>
        </w:rPr>
        <w:t xml:space="preserve"> </w:t>
      </w:r>
      <w:r w:rsidR="00180650">
        <w:rPr>
          <w:szCs w:val="24"/>
        </w:rPr>
        <w:t xml:space="preserve">(human chorionic </w:t>
      </w:r>
      <w:proofErr w:type="spellStart"/>
      <w:r w:rsidR="00180650">
        <w:rPr>
          <w:szCs w:val="24"/>
        </w:rPr>
        <w:t>gonadotrophin</w:t>
      </w:r>
      <w:proofErr w:type="spellEnd"/>
      <w:r w:rsidR="00180650">
        <w:rPr>
          <w:szCs w:val="24"/>
        </w:rPr>
        <w:t xml:space="preserve">) </w:t>
      </w:r>
      <w:r>
        <w:rPr>
          <w:szCs w:val="24"/>
        </w:rPr>
        <w:t xml:space="preserve">administration and </w:t>
      </w:r>
      <w:proofErr w:type="spellStart"/>
      <w:r>
        <w:rPr>
          <w:szCs w:val="24"/>
        </w:rPr>
        <w:t>oocyte</w:t>
      </w:r>
      <w:proofErr w:type="spellEnd"/>
      <w:r>
        <w:rPr>
          <w:szCs w:val="24"/>
        </w:rPr>
        <w:t xml:space="preserve"> retrieval.</w:t>
      </w:r>
    </w:p>
    <w:p w:rsidR="000A23AB" w:rsidRDefault="000A23AB" w:rsidP="000A23AB">
      <w:pPr>
        <w:rPr>
          <w:szCs w:val="24"/>
        </w:rPr>
      </w:pPr>
      <w:r>
        <w:rPr>
          <w:szCs w:val="24"/>
        </w:rPr>
        <w:t xml:space="preserve">Premenopausal females aged 18 to 42 with early follicular phase FSH ≤ 15 IU/L and oestradiol within normal limits were eligible to enrol. Details of the inclusion and </w:t>
      </w:r>
      <w:r w:rsidR="0066712B">
        <w:rPr>
          <w:szCs w:val="24"/>
        </w:rPr>
        <w:t>exclusion criteria are listed</w:t>
      </w:r>
      <w:r w:rsidR="00EE5B29">
        <w:rPr>
          <w:szCs w:val="24"/>
        </w:rPr>
        <w:t>.</w:t>
      </w:r>
    </w:p>
    <w:p w:rsidR="000A23AB" w:rsidRDefault="000A23AB" w:rsidP="000A23AB">
      <w:pPr>
        <w:rPr>
          <w:szCs w:val="24"/>
        </w:rPr>
      </w:pPr>
      <w:r>
        <w:rPr>
          <w:szCs w:val="24"/>
        </w:rPr>
        <w:t xml:space="preserve">Each subject was randomised and assigned to the study drug on the day of or day following </w:t>
      </w:r>
      <w:proofErr w:type="spellStart"/>
      <w:r>
        <w:rPr>
          <w:szCs w:val="24"/>
        </w:rPr>
        <w:t>oocyte</w:t>
      </w:r>
      <w:proofErr w:type="spellEnd"/>
      <w:r>
        <w:rPr>
          <w:szCs w:val="24"/>
        </w:rPr>
        <w:t xml:space="preserve"> retrieval. The following treatments were administered: Endometrin 100 mg B</w:t>
      </w:r>
      <w:r w:rsidR="0066712B">
        <w:rPr>
          <w:szCs w:val="24"/>
        </w:rPr>
        <w:t>I</w:t>
      </w:r>
      <w:r>
        <w:rPr>
          <w:szCs w:val="24"/>
        </w:rPr>
        <w:t>D, Endometrin 100</w:t>
      </w:r>
      <w:r w:rsidR="00D3483A">
        <w:rPr>
          <w:szCs w:val="24"/>
        </w:rPr>
        <w:t xml:space="preserve"> </w:t>
      </w:r>
      <w:r w:rsidR="0066712B">
        <w:rPr>
          <w:szCs w:val="24"/>
        </w:rPr>
        <w:t>mg TID,</w:t>
      </w:r>
      <w:r>
        <w:rPr>
          <w:szCs w:val="24"/>
        </w:rPr>
        <w:t xml:space="preserve"> or Crinone 8% gel QD. The subjects continued on the stud</w:t>
      </w:r>
      <w:r w:rsidR="00EE5B29">
        <w:rPr>
          <w:szCs w:val="24"/>
        </w:rPr>
        <w:t>y drug for a total of 10 weeks.</w:t>
      </w:r>
    </w:p>
    <w:p w:rsidR="000A23AB" w:rsidRDefault="000A23AB" w:rsidP="000A23AB">
      <w:pPr>
        <w:rPr>
          <w:szCs w:val="24"/>
        </w:rPr>
      </w:pPr>
      <w:r>
        <w:rPr>
          <w:szCs w:val="24"/>
        </w:rPr>
        <w:t>There were five additional treatment period visits during the 10 week period. Pregnancy tests and TVU</w:t>
      </w:r>
      <w:r w:rsidR="00EE5B29">
        <w:rPr>
          <w:szCs w:val="24"/>
        </w:rPr>
        <w:t xml:space="preserve"> were scheduled at these times.</w:t>
      </w:r>
    </w:p>
    <w:p w:rsidR="000A23AB" w:rsidRDefault="000A23AB" w:rsidP="000A23AB">
      <w:r w:rsidRPr="00070E9B">
        <w:rPr>
          <w:i/>
        </w:rPr>
        <w:t>The primary efficacy outcome</w:t>
      </w:r>
      <w:r w:rsidRPr="004B259C">
        <w:t xml:space="preserve"> was </w:t>
      </w:r>
      <w:r w:rsidR="0066712B">
        <w:t>ongoing pregnancy following one</w:t>
      </w:r>
      <w:r w:rsidRPr="00176C9B">
        <w:t xml:space="preserve"> treatment cycle in the efficacy population. Ongoing pregnancy was defined as identification of foetal h</w:t>
      </w:r>
      <w:r w:rsidR="0066712B">
        <w:t>eart movement at approximately six</w:t>
      </w:r>
      <w:r w:rsidRPr="00176C9B">
        <w:t xml:space="preserve"> weeks of gestation.</w:t>
      </w:r>
      <w:r>
        <w:t xml:space="preserve"> Other efficacy endpoints were biochemical and clinical pregnan</w:t>
      </w:r>
      <w:r w:rsidR="0066712B">
        <w:t>cy (these are defined in the clinical evaluation report</w:t>
      </w:r>
      <w:r>
        <w:t>).</w:t>
      </w:r>
    </w:p>
    <w:p w:rsidR="0066712B" w:rsidRDefault="000A23AB" w:rsidP="000A23AB">
      <w:r>
        <w:t>The evaluator mentions t</w:t>
      </w:r>
      <w:r w:rsidR="0066712B">
        <w:t>hat in relation to sample size:</w:t>
      </w:r>
    </w:p>
    <w:p w:rsidR="000A23AB" w:rsidRPr="0066712B" w:rsidRDefault="000A23AB" w:rsidP="0066712B">
      <w:pPr>
        <w:ind w:left="720"/>
        <w:rPr>
          <w:i/>
        </w:rPr>
      </w:pPr>
      <w:r w:rsidRPr="0066712B">
        <w:rPr>
          <w:i/>
        </w:rPr>
        <w:t>“A sufficient number of subjects was sought to have at least 8</w:t>
      </w:r>
      <w:r w:rsidR="0066712B">
        <w:rPr>
          <w:i/>
        </w:rPr>
        <w:t xml:space="preserve">0% power to demonstrate the non </w:t>
      </w:r>
      <w:r w:rsidRPr="0066712B">
        <w:rPr>
          <w:i/>
        </w:rPr>
        <w:t xml:space="preserve">inferiority of Endometrin versus Crinone in </w:t>
      </w:r>
      <w:r w:rsidR="0066712B">
        <w:rPr>
          <w:i/>
        </w:rPr>
        <w:t xml:space="preserve">the pregnancy rate, using a two </w:t>
      </w:r>
      <w:r w:rsidRPr="0066712B">
        <w:rPr>
          <w:i/>
        </w:rPr>
        <w:t xml:space="preserve">sided 95% confidence </w:t>
      </w:r>
      <w:r w:rsidR="0066712B">
        <w:rPr>
          <w:i/>
        </w:rPr>
        <w:t xml:space="preserve">interval and a </w:t>
      </w:r>
      <w:proofErr w:type="spellStart"/>
      <w:r w:rsidR="0066712B">
        <w:rPr>
          <w:i/>
        </w:rPr>
        <w:t>prespecified</w:t>
      </w:r>
      <w:proofErr w:type="spellEnd"/>
      <w:r w:rsidR="0066712B">
        <w:rPr>
          <w:i/>
        </w:rPr>
        <w:t xml:space="preserve"> non </w:t>
      </w:r>
      <w:r w:rsidRPr="0066712B">
        <w:rPr>
          <w:i/>
        </w:rPr>
        <w:t>inferiority margin of 10%. Based on these requirements, and assuming a Crinone pregnancy rate of 30%, a sample size of ≥ 330 evaluable subjects per treatment group would provide at least 80% power to demonstrate such</w:t>
      </w:r>
      <w:r w:rsidR="0066712B">
        <w:rPr>
          <w:i/>
        </w:rPr>
        <w:t xml:space="preserve"> non </w:t>
      </w:r>
      <w:r w:rsidRPr="0066712B">
        <w:rPr>
          <w:i/>
        </w:rPr>
        <w:t>inferiority of Endometrin relative to Crinone”.</w:t>
      </w:r>
    </w:p>
    <w:p w:rsidR="000A23AB" w:rsidRDefault="000A23AB" w:rsidP="000A23AB">
      <w:r>
        <w:t>The primary analysis was performed to determine whether ongoing pregnancy rate for each dose of Endometrin w</w:t>
      </w:r>
      <w:r w:rsidR="0066712B">
        <w:t xml:space="preserve">as non inferior to Crinone. Non </w:t>
      </w:r>
      <w:r>
        <w:t>inferiority was declared in the lower bound</w:t>
      </w:r>
      <w:r w:rsidR="004654BB">
        <w:t xml:space="preserve"> </w:t>
      </w:r>
      <w:r>
        <w:t xml:space="preserve">of the </w:t>
      </w:r>
      <w:r w:rsidR="0066712B">
        <w:t>c</w:t>
      </w:r>
      <w:r>
        <w:t xml:space="preserve">onfidence </w:t>
      </w:r>
      <w:r w:rsidR="0066712B">
        <w:t>i</w:t>
      </w:r>
      <w:r>
        <w:t>nterval was to exclude a difference greater than 1</w:t>
      </w:r>
      <w:r w:rsidR="00EE5B29">
        <w:t>0% in favour of the comparator.</w:t>
      </w:r>
    </w:p>
    <w:p w:rsidR="000A23AB" w:rsidRPr="00530D19" w:rsidRDefault="00AB3E09" w:rsidP="000A23AB">
      <w:pPr>
        <w:pStyle w:val="Heading6"/>
      </w:pPr>
      <w:r>
        <w:br w:type="page"/>
      </w:r>
      <w:r w:rsidR="000A23AB">
        <w:lastRenderedPageBreak/>
        <w:t>Results</w:t>
      </w:r>
    </w:p>
    <w:p w:rsidR="000A23AB" w:rsidRDefault="000A23AB" w:rsidP="000A23AB">
      <w:r>
        <w:t xml:space="preserve">The baseline demographic characteristics are included in </w:t>
      </w:r>
      <w:r w:rsidR="0066712B">
        <w:t>the clinical evaluation report</w:t>
      </w:r>
      <w:r>
        <w:t>. Mean age of the sub</w:t>
      </w:r>
      <w:r w:rsidR="00EE5B29">
        <w:t>jects were 33 years and BMI 25.</w:t>
      </w:r>
    </w:p>
    <w:p w:rsidR="000A23AB" w:rsidRDefault="000A23AB" w:rsidP="000A23AB">
      <w:r>
        <w:t>Su</w:t>
      </w:r>
      <w:r w:rsidR="0066712B">
        <w:t>bject disposition is shown in Table 4.</w:t>
      </w:r>
    </w:p>
    <w:p w:rsidR="000A23AB" w:rsidRDefault="000A23AB" w:rsidP="00EE5B29">
      <w:pPr>
        <w:pStyle w:val="TableTitle"/>
        <w:rPr>
          <w:lang w:val="en-GB"/>
        </w:rPr>
      </w:pPr>
      <w:proofErr w:type="gramStart"/>
      <w:r>
        <w:t xml:space="preserve">Table </w:t>
      </w:r>
      <w:r w:rsidR="00D57784">
        <w:t>4</w:t>
      </w:r>
      <w:r>
        <w:t>:</w:t>
      </w:r>
      <w:r w:rsidRPr="004C5C28">
        <w:t xml:space="preserve"> </w:t>
      </w:r>
      <w:r w:rsidR="0066712B">
        <w:t>Subject disposition</w:t>
      </w:r>
      <w:r>
        <w:t>.</w:t>
      </w:r>
      <w:proofErr w:type="gramEnd"/>
    </w:p>
    <w:p w:rsidR="008E7846" w:rsidRDefault="009561C4" w:rsidP="000A23AB">
      <w:pPr>
        <w:jc w:val="center"/>
      </w:pPr>
      <w:r>
        <w:rPr>
          <w:noProof/>
          <w:lang w:eastAsia="en-AU"/>
        </w:rPr>
        <w:drawing>
          <wp:inline distT="0" distB="0" distL="0" distR="0">
            <wp:extent cx="5396865" cy="1862455"/>
            <wp:effectExtent l="19050" t="0" r="0" b="0"/>
            <wp:docPr id="9" name="Picture 9" descr="Table 4: Subjec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4" cstate="print"/>
                    <a:srcRect/>
                    <a:stretch>
                      <a:fillRect/>
                    </a:stretch>
                  </pic:blipFill>
                  <pic:spPr bwMode="auto">
                    <a:xfrm>
                      <a:off x="0" y="0"/>
                      <a:ext cx="5396865" cy="1862455"/>
                    </a:xfrm>
                    <a:prstGeom prst="rect">
                      <a:avLst/>
                    </a:prstGeom>
                    <a:noFill/>
                    <a:ln w="9525">
                      <a:noFill/>
                      <a:miter lim="800000"/>
                      <a:headEnd/>
                      <a:tailEnd/>
                    </a:ln>
                  </pic:spPr>
                </pic:pic>
              </a:graphicData>
            </a:graphic>
          </wp:inline>
        </w:drawing>
      </w:r>
    </w:p>
    <w:p w:rsidR="00D8257F" w:rsidRDefault="00D8257F" w:rsidP="00D8257F">
      <w:pPr>
        <w:rPr>
          <w:szCs w:val="24"/>
        </w:rPr>
      </w:pPr>
      <w:r w:rsidRPr="00A94BAE">
        <w:rPr>
          <w:szCs w:val="24"/>
        </w:rPr>
        <w:t>The primary efficacy results are shown below (e</w:t>
      </w:r>
      <w:r>
        <w:rPr>
          <w:szCs w:val="24"/>
        </w:rPr>
        <w:t>xtracted from the evaluation report).</w:t>
      </w:r>
    </w:p>
    <w:p w:rsidR="00D8257F" w:rsidRDefault="00D8257F" w:rsidP="00FF59E8">
      <w:pPr>
        <w:pStyle w:val="TableTitle"/>
        <w:rPr>
          <w:lang w:val="en-GB"/>
        </w:rPr>
      </w:pPr>
      <w:proofErr w:type="gramStart"/>
      <w:r>
        <w:t xml:space="preserve">Table </w:t>
      </w:r>
      <w:r w:rsidR="00D57784">
        <w:t>5</w:t>
      </w:r>
      <w:r>
        <w:t>:</w:t>
      </w:r>
      <w:r w:rsidRPr="004C5C28">
        <w:t xml:space="preserve"> </w:t>
      </w:r>
      <w:r w:rsidR="0066712B">
        <w:t>Primary efficacy results</w:t>
      </w:r>
      <w:r>
        <w:t>.</w:t>
      </w:r>
      <w:proofErr w:type="gramEnd"/>
    </w:p>
    <w:p w:rsidR="000A23AB" w:rsidRDefault="009561C4" w:rsidP="008E7846">
      <w:r>
        <w:rPr>
          <w:noProof/>
          <w:lang w:eastAsia="en-AU"/>
        </w:rPr>
        <w:drawing>
          <wp:inline distT="0" distB="0" distL="0" distR="0">
            <wp:extent cx="5391150" cy="1470025"/>
            <wp:effectExtent l="19050" t="0" r="0" b="0"/>
            <wp:docPr id="10" name="Picture 10" descr="Table 5: Primary efficac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5" cstate="print"/>
                    <a:srcRect/>
                    <a:stretch>
                      <a:fillRect/>
                    </a:stretch>
                  </pic:blipFill>
                  <pic:spPr bwMode="auto">
                    <a:xfrm>
                      <a:off x="0" y="0"/>
                      <a:ext cx="5391150" cy="1470025"/>
                    </a:xfrm>
                    <a:prstGeom prst="rect">
                      <a:avLst/>
                    </a:prstGeom>
                    <a:noFill/>
                    <a:ln w="9525">
                      <a:noFill/>
                      <a:miter lim="800000"/>
                      <a:headEnd/>
                      <a:tailEnd/>
                    </a:ln>
                  </pic:spPr>
                </pic:pic>
              </a:graphicData>
            </a:graphic>
          </wp:inline>
        </w:drawing>
      </w:r>
    </w:p>
    <w:p w:rsidR="00792D2E" w:rsidRDefault="00792D2E" w:rsidP="00792D2E">
      <w:pPr>
        <w:rPr>
          <w:szCs w:val="24"/>
        </w:rPr>
      </w:pPr>
      <w:r>
        <w:rPr>
          <w:szCs w:val="24"/>
        </w:rPr>
        <w:t>Non</w:t>
      </w:r>
      <w:r w:rsidR="00EE4B36">
        <w:rPr>
          <w:szCs w:val="24"/>
        </w:rPr>
        <w:t xml:space="preserve"> </w:t>
      </w:r>
      <w:r>
        <w:rPr>
          <w:szCs w:val="24"/>
        </w:rPr>
        <w:t>inferiority was sho</w:t>
      </w:r>
      <w:r w:rsidR="00EE4B36">
        <w:rPr>
          <w:szCs w:val="24"/>
        </w:rPr>
        <w:t>wn with Endometrin 100 mg TID</w:t>
      </w:r>
      <w:r w:rsidR="001840C8">
        <w:rPr>
          <w:szCs w:val="24"/>
        </w:rPr>
        <w:t xml:space="preserve"> versus</w:t>
      </w:r>
      <w:r>
        <w:rPr>
          <w:szCs w:val="24"/>
        </w:rPr>
        <w:t xml:space="preserve"> Crinone; this was not seen with 100</w:t>
      </w:r>
      <w:r w:rsidR="00EE4B36">
        <w:rPr>
          <w:szCs w:val="24"/>
        </w:rPr>
        <w:t xml:space="preserve"> </w:t>
      </w:r>
      <w:r>
        <w:rPr>
          <w:szCs w:val="24"/>
        </w:rPr>
        <w:t>mg B</w:t>
      </w:r>
      <w:r w:rsidR="00EE4B36">
        <w:rPr>
          <w:szCs w:val="24"/>
        </w:rPr>
        <w:t>I</w:t>
      </w:r>
      <w:r w:rsidR="00FF59E8">
        <w:rPr>
          <w:szCs w:val="24"/>
        </w:rPr>
        <w:t>D.</w:t>
      </w:r>
    </w:p>
    <w:p w:rsidR="00792D2E" w:rsidRDefault="00792D2E" w:rsidP="00792D2E">
      <w:pPr>
        <w:rPr>
          <w:szCs w:val="24"/>
        </w:rPr>
      </w:pPr>
      <w:r>
        <w:rPr>
          <w:szCs w:val="24"/>
        </w:rPr>
        <w:t xml:space="preserve">Other efficacy outcomes </w:t>
      </w:r>
      <w:r w:rsidR="00EE4B36">
        <w:rPr>
          <w:szCs w:val="24"/>
        </w:rPr>
        <w:t>showed similar findings</w:t>
      </w:r>
      <w:r w:rsidR="00FF59E8">
        <w:rPr>
          <w:szCs w:val="24"/>
        </w:rPr>
        <w:t>.</w:t>
      </w:r>
    </w:p>
    <w:p w:rsidR="00792D2E" w:rsidRDefault="00792D2E" w:rsidP="00792D2E">
      <w:pPr>
        <w:rPr>
          <w:szCs w:val="24"/>
        </w:rPr>
      </w:pPr>
      <w:r>
        <w:rPr>
          <w:szCs w:val="24"/>
        </w:rPr>
        <w:t xml:space="preserve">The evaluator mentions that the minimum dose of Crinone was used (90 mg/day), thus the efficacy of </w:t>
      </w:r>
      <w:r>
        <w:t>Endometrin</w:t>
      </w:r>
      <w:r>
        <w:rPr>
          <w:szCs w:val="24"/>
        </w:rPr>
        <w:t xml:space="preserve"> was compared to the minimum dose of Crinone. (The approved PI states 90 mg once daily or twice daily and that most women will respond to Crinone once daily).</w:t>
      </w:r>
      <w:r w:rsidR="004654BB">
        <w:rPr>
          <w:szCs w:val="24"/>
        </w:rPr>
        <w:t xml:space="preserve"> </w:t>
      </w:r>
      <w:r>
        <w:rPr>
          <w:szCs w:val="24"/>
        </w:rPr>
        <w:t>Endometrin 100 mg B</w:t>
      </w:r>
      <w:r w:rsidR="00A4600D">
        <w:rPr>
          <w:szCs w:val="24"/>
        </w:rPr>
        <w:t>I</w:t>
      </w:r>
      <w:r>
        <w:rPr>
          <w:szCs w:val="24"/>
        </w:rPr>
        <w:t>D did not, strictly, meet the ‘non</w:t>
      </w:r>
      <w:r w:rsidR="00A4600D">
        <w:rPr>
          <w:szCs w:val="24"/>
        </w:rPr>
        <w:t xml:space="preserve"> </w:t>
      </w:r>
      <w:r>
        <w:rPr>
          <w:szCs w:val="24"/>
        </w:rPr>
        <w:t>inferiority’ criterion.</w:t>
      </w:r>
    </w:p>
    <w:p w:rsidR="00792D2E" w:rsidRDefault="00792D2E" w:rsidP="00792D2E">
      <w:r>
        <w:t>The evaluator discusses the lack of placebo arm in the study; there are published references that discuss studies where placebo is used as a comparator. The study does not provide information o</w:t>
      </w:r>
      <w:r w:rsidR="00AB3E09">
        <w:t xml:space="preserve">n patients with special need, that is, </w:t>
      </w:r>
      <w:r>
        <w:t>older subgroup or patients wit</w:t>
      </w:r>
      <w:r w:rsidR="00545D8B">
        <w:t>h early follicular phase</w:t>
      </w:r>
      <w:r>
        <w:t xml:space="preserve"> FSH</w:t>
      </w:r>
      <w:r w:rsidR="00A4600D">
        <w:t xml:space="preserve"> </w:t>
      </w:r>
      <w:r w:rsidR="00AB3E09">
        <w:t>&gt;</w:t>
      </w:r>
      <w:r>
        <w:t>10 IU /</w:t>
      </w:r>
      <w:proofErr w:type="spellStart"/>
      <w:r>
        <w:t>mL.</w:t>
      </w:r>
      <w:proofErr w:type="spellEnd"/>
    </w:p>
    <w:p w:rsidR="00792D2E" w:rsidRDefault="00792D2E" w:rsidP="00792D2E">
      <w:r>
        <w:t xml:space="preserve">There was a </w:t>
      </w:r>
      <w:r w:rsidRPr="00AB3E09">
        <w:t>post hoc</w:t>
      </w:r>
      <w:r>
        <w:t xml:space="preserve"> analysis that showed that Endometrin 100</w:t>
      </w:r>
      <w:r w:rsidR="00A4600D">
        <w:t xml:space="preserve"> </w:t>
      </w:r>
      <w:r>
        <w:t>mg T</w:t>
      </w:r>
      <w:r w:rsidR="00A4600D">
        <w:t>I</w:t>
      </w:r>
      <w:r>
        <w:t>D was efficacious in</w:t>
      </w:r>
      <w:r w:rsidR="004654BB">
        <w:t xml:space="preserve"> </w:t>
      </w:r>
      <w:r>
        <w:t>women older than 40 years. The evaluator states that this finding was “unconvincing” as it was based on retrospective data re</w:t>
      </w:r>
      <w:r w:rsidR="00A4600D">
        <w:t xml:space="preserve"> </w:t>
      </w:r>
      <w:r w:rsidR="00FF59E8">
        <w:t>analysis.</w:t>
      </w:r>
    </w:p>
    <w:p w:rsidR="00792D2E" w:rsidRDefault="00A4600D" w:rsidP="00792D2E">
      <w:r>
        <w:t>T</w:t>
      </w:r>
      <w:r w:rsidR="00792D2E">
        <w:t>he FDA report s</w:t>
      </w:r>
      <w:r>
        <w:t>tates that the pregnancy rate in subgroups (&lt;35, 35-37, 38-40) analysis was “</w:t>
      </w:r>
      <w:r w:rsidR="00792D2E">
        <w:t>not sufficiently powered to provide definitive statistical analysis”.</w:t>
      </w:r>
    </w:p>
    <w:p w:rsidR="00792D2E" w:rsidRPr="00901CA0" w:rsidRDefault="00792D2E" w:rsidP="00792D2E">
      <w:pPr>
        <w:pStyle w:val="Heading5"/>
      </w:pPr>
      <w:r w:rsidRPr="00FF5077">
        <w:t>Safety</w:t>
      </w:r>
    </w:p>
    <w:p w:rsidR="00792D2E" w:rsidRDefault="00792D2E" w:rsidP="00792D2E">
      <w:pPr>
        <w:rPr>
          <w:szCs w:val="24"/>
        </w:rPr>
      </w:pPr>
      <w:r>
        <w:rPr>
          <w:szCs w:val="24"/>
        </w:rPr>
        <w:t>The pharmacokinetic studies included 76 subjects on Endometrin over a short time period and will not be considered further.</w:t>
      </w:r>
    </w:p>
    <w:p w:rsidR="00792D2E" w:rsidRDefault="00AD2EAE" w:rsidP="00792D2E">
      <w:pPr>
        <w:rPr>
          <w:szCs w:val="24"/>
        </w:rPr>
      </w:pPr>
      <w:r>
        <w:rPr>
          <w:szCs w:val="24"/>
        </w:rPr>
        <w:lastRenderedPageBreak/>
        <w:t xml:space="preserve">The Phase III Study </w:t>
      </w:r>
      <w:r w:rsidR="00792D2E">
        <w:rPr>
          <w:szCs w:val="24"/>
        </w:rPr>
        <w:t>2004-02 had 808 subjects who had Endometrin included in the safety analysis.</w:t>
      </w:r>
    </w:p>
    <w:p w:rsidR="00792D2E" w:rsidRDefault="00792D2E" w:rsidP="00792D2E">
      <w:pPr>
        <w:rPr>
          <w:szCs w:val="24"/>
        </w:rPr>
      </w:pPr>
      <w:r>
        <w:rPr>
          <w:szCs w:val="24"/>
        </w:rPr>
        <w:t xml:space="preserve">The treatment related adverse events were similar in all three groups and was approximately 53%. There were no deaths reported. </w:t>
      </w:r>
      <w:r w:rsidR="00AD2EAE">
        <w:rPr>
          <w:szCs w:val="24"/>
        </w:rPr>
        <w:t>A total of 22 subjects had serious adverse events</w:t>
      </w:r>
      <w:r>
        <w:rPr>
          <w:szCs w:val="24"/>
        </w:rPr>
        <w:t xml:space="preserve"> requiring hospitalisatio</w:t>
      </w:r>
      <w:r w:rsidR="00AD2EAE">
        <w:rPr>
          <w:szCs w:val="24"/>
        </w:rPr>
        <w:t>n; 14 subjects (3%) in 100 mg BID</w:t>
      </w:r>
      <w:r>
        <w:rPr>
          <w:szCs w:val="24"/>
        </w:rPr>
        <w:t xml:space="preserve"> and 8 (2%) in </w:t>
      </w:r>
      <w:r w:rsidR="00AD2EAE">
        <w:rPr>
          <w:szCs w:val="24"/>
        </w:rPr>
        <w:t>100 mg TID</w:t>
      </w:r>
      <w:r>
        <w:rPr>
          <w:szCs w:val="24"/>
        </w:rPr>
        <w:t xml:space="preserve"> dosing. Of these</w:t>
      </w:r>
      <w:r w:rsidR="00AD2EAE">
        <w:rPr>
          <w:szCs w:val="24"/>
        </w:rPr>
        <w:t>,</w:t>
      </w:r>
      <w:r>
        <w:rPr>
          <w:szCs w:val="24"/>
        </w:rPr>
        <w:t xml:space="preserve"> there were 13 cases of OHSS</w:t>
      </w:r>
      <w:r w:rsidR="00AD2EAE">
        <w:rPr>
          <w:szCs w:val="24"/>
        </w:rPr>
        <w:t xml:space="preserve"> (o</w:t>
      </w:r>
      <w:r w:rsidR="00AD2EAE" w:rsidRPr="00AD2EAE">
        <w:rPr>
          <w:szCs w:val="24"/>
        </w:rPr>
        <w:t xml:space="preserve">varian </w:t>
      </w:r>
      <w:proofErr w:type="spellStart"/>
      <w:r w:rsidR="00AD2EAE" w:rsidRPr="00AD2EAE">
        <w:rPr>
          <w:szCs w:val="24"/>
        </w:rPr>
        <w:t>hyperstimulation</w:t>
      </w:r>
      <w:proofErr w:type="spellEnd"/>
      <w:r w:rsidR="00AD2EAE" w:rsidRPr="00AD2EAE">
        <w:rPr>
          <w:szCs w:val="24"/>
        </w:rPr>
        <w:t xml:space="preserve"> syndrome</w:t>
      </w:r>
      <w:r w:rsidR="00AD2EAE">
        <w:rPr>
          <w:szCs w:val="24"/>
        </w:rPr>
        <w:t>),</w:t>
      </w:r>
      <w:r>
        <w:rPr>
          <w:szCs w:val="24"/>
        </w:rPr>
        <w:t xml:space="preserve"> </w:t>
      </w:r>
      <w:r w:rsidR="00AD2EAE">
        <w:rPr>
          <w:szCs w:val="24"/>
        </w:rPr>
        <w:t>2</w:t>
      </w:r>
      <w:r>
        <w:rPr>
          <w:szCs w:val="24"/>
        </w:rPr>
        <w:t xml:space="preserve"> reports of ovarian torsion</w:t>
      </w:r>
      <w:r w:rsidR="00AD2EAE">
        <w:rPr>
          <w:szCs w:val="24"/>
        </w:rPr>
        <w:t>,</w:t>
      </w:r>
      <w:r>
        <w:rPr>
          <w:szCs w:val="24"/>
        </w:rPr>
        <w:t xml:space="preserve"> and </w:t>
      </w:r>
      <w:r w:rsidR="00AD2EAE">
        <w:rPr>
          <w:szCs w:val="24"/>
        </w:rPr>
        <w:t>1</w:t>
      </w:r>
      <w:r>
        <w:rPr>
          <w:szCs w:val="24"/>
        </w:rPr>
        <w:t xml:space="preserve"> report of ectopic pregnancy. Th</w:t>
      </w:r>
      <w:r w:rsidR="00AD2EAE">
        <w:rPr>
          <w:szCs w:val="24"/>
        </w:rPr>
        <w:t xml:space="preserve">ere were three discontinuations: 2 OHSS and </w:t>
      </w:r>
      <w:proofErr w:type="gramStart"/>
      <w:r w:rsidR="00AD2EAE">
        <w:rPr>
          <w:szCs w:val="24"/>
        </w:rPr>
        <w:t>1 ovarian torsion</w:t>
      </w:r>
      <w:proofErr w:type="gramEnd"/>
      <w:r w:rsidR="00FF59E8">
        <w:rPr>
          <w:szCs w:val="24"/>
        </w:rPr>
        <w:t>.</w:t>
      </w:r>
    </w:p>
    <w:p w:rsidR="00792D2E" w:rsidRDefault="00792D2E" w:rsidP="00792D2E">
      <w:pPr>
        <w:rPr>
          <w:szCs w:val="24"/>
        </w:rPr>
      </w:pPr>
      <w:r>
        <w:rPr>
          <w:szCs w:val="24"/>
        </w:rPr>
        <w:t>Overall, there were no undue safety concerns identified by the evaluator.</w:t>
      </w:r>
    </w:p>
    <w:p w:rsidR="00792D2E" w:rsidRDefault="00792D2E" w:rsidP="00792D2E">
      <w:pPr>
        <w:rPr>
          <w:szCs w:val="24"/>
        </w:rPr>
      </w:pPr>
      <w:r>
        <w:rPr>
          <w:szCs w:val="24"/>
        </w:rPr>
        <w:t xml:space="preserve">It is noted in the FDA assessment report that there were 7 babies with birth defects in each of the Endometrin groups; there were 2 in the Crinone group. It is also stated that the incidence in the Endometrin groups were similar to that reported in the general and ART population. There were also no trends </w:t>
      </w:r>
      <w:r w:rsidR="00FF59E8">
        <w:rPr>
          <w:szCs w:val="24"/>
        </w:rPr>
        <w:t>identified.</w:t>
      </w:r>
    </w:p>
    <w:p w:rsidR="00792D2E" w:rsidRPr="00FF5077" w:rsidRDefault="00792D2E" w:rsidP="00FF59E8">
      <w:pPr>
        <w:pStyle w:val="Heading5"/>
      </w:pPr>
      <w:r w:rsidRPr="00FF5077">
        <w:t>Overall conclusion</w:t>
      </w:r>
      <w:r>
        <w:t xml:space="preserve"> by the evaluator</w:t>
      </w:r>
    </w:p>
    <w:p w:rsidR="00792D2E" w:rsidRDefault="00792D2E" w:rsidP="00792D2E">
      <w:pPr>
        <w:rPr>
          <w:szCs w:val="24"/>
        </w:rPr>
      </w:pPr>
      <w:r>
        <w:rPr>
          <w:szCs w:val="24"/>
        </w:rPr>
        <w:t>The evaluator recommends against approval due to inadequate pharmacokinetic data. He also questions the external validity of the pivotal study due to this. In addition, it is stated that when Endometrin was administered “at approximately double the dosage of Cri</w:t>
      </w:r>
      <w:r w:rsidR="00AD2EAE">
        <w:rPr>
          <w:szCs w:val="24"/>
        </w:rPr>
        <w:t xml:space="preserve">none, Endometrin failed the non </w:t>
      </w:r>
      <w:r>
        <w:rPr>
          <w:szCs w:val="24"/>
        </w:rPr>
        <w:t>inferiority test, and the results point to a requirement for further study of patients who may be at greater need of luteal support (on the basis of age or FSH level)”.</w:t>
      </w:r>
    </w:p>
    <w:p w:rsidR="00792D2E" w:rsidRDefault="00792D2E" w:rsidP="00792D2E">
      <w:pPr>
        <w:pStyle w:val="Heading5"/>
      </w:pPr>
      <w:r>
        <w:t>The sponsor’s response</w:t>
      </w:r>
    </w:p>
    <w:p w:rsidR="00792D2E" w:rsidRDefault="00792D2E" w:rsidP="00792D2E">
      <w:pPr>
        <w:pStyle w:val="Heading6"/>
      </w:pPr>
      <w:r>
        <w:t>Responses to questions asked during the evaluation phase</w:t>
      </w:r>
    </w:p>
    <w:p w:rsidR="00792D2E" w:rsidRDefault="00792D2E" w:rsidP="00792D2E">
      <w:pPr>
        <w:rPr>
          <w:szCs w:val="24"/>
        </w:rPr>
      </w:pPr>
      <w:r>
        <w:rPr>
          <w:szCs w:val="24"/>
        </w:rPr>
        <w:t>The vaginal tablets used in the clinical studies are identical in relation to formu</w:t>
      </w:r>
      <w:r w:rsidR="00FF59E8">
        <w:rPr>
          <w:szCs w:val="24"/>
        </w:rPr>
        <w:t>lation and only differ in size.</w:t>
      </w:r>
    </w:p>
    <w:p w:rsidR="00792D2E" w:rsidRDefault="00792D2E" w:rsidP="00792D2E">
      <w:pPr>
        <w:rPr>
          <w:szCs w:val="24"/>
        </w:rPr>
      </w:pPr>
      <w:r>
        <w:rPr>
          <w:szCs w:val="24"/>
        </w:rPr>
        <w:t>The mean trough progesterone concentration fo</w:t>
      </w:r>
      <w:r w:rsidR="00DF68CA">
        <w:rPr>
          <w:szCs w:val="24"/>
        </w:rPr>
        <w:t>r 100 mg BID dosage (Figure 4</w:t>
      </w:r>
      <w:r>
        <w:rPr>
          <w:szCs w:val="24"/>
        </w:rPr>
        <w:t>) required explanation: the evaluator states tha</w:t>
      </w:r>
      <w:r w:rsidR="002241D4">
        <w:rPr>
          <w:szCs w:val="24"/>
        </w:rPr>
        <w:t>t the concentration at 228 h</w:t>
      </w:r>
      <w:r>
        <w:rPr>
          <w:szCs w:val="24"/>
        </w:rPr>
        <w:t xml:space="preserve"> (supposedly 12 h after the last dose) had fallen to a level so much lower than the trough concentrations recorded before the earlier doses. The sponsor attributes this to “random variation associated with biological variability across subjects and intrinsic variability in the absorption of an immediate release dosage form...</w:t>
      </w:r>
      <w:proofErr w:type="gramStart"/>
      <w:r>
        <w:rPr>
          <w:szCs w:val="24"/>
        </w:rPr>
        <w:t>”.</w:t>
      </w:r>
      <w:proofErr w:type="gramEnd"/>
      <w:r>
        <w:rPr>
          <w:szCs w:val="24"/>
        </w:rPr>
        <w:t xml:space="preserve"> Thus, no robust explanation is offered.</w:t>
      </w:r>
    </w:p>
    <w:p w:rsidR="00792D2E" w:rsidRPr="00AE55D8" w:rsidRDefault="00792D2E" w:rsidP="00792D2E">
      <w:pPr>
        <w:pStyle w:val="Heading6"/>
      </w:pPr>
      <w:r w:rsidRPr="00AE55D8">
        <w:t>Response to</w:t>
      </w:r>
      <w:r>
        <w:t xml:space="preserve"> other issues raised in the clinical evaluation report</w:t>
      </w:r>
    </w:p>
    <w:p w:rsidR="00792D2E" w:rsidRDefault="00792D2E" w:rsidP="00792D2E">
      <w:pPr>
        <w:rPr>
          <w:szCs w:val="24"/>
        </w:rPr>
      </w:pPr>
      <w:r>
        <w:rPr>
          <w:szCs w:val="24"/>
        </w:rPr>
        <w:t xml:space="preserve">The sponsor has responded in detail to the criticisms of the evaluator in relation to the lack of good quality pharmacokinetic </w:t>
      </w:r>
      <w:r w:rsidR="00236602">
        <w:rPr>
          <w:szCs w:val="24"/>
        </w:rPr>
        <w:t>data</w:t>
      </w:r>
      <w:r>
        <w:rPr>
          <w:szCs w:val="24"/>
        </w:rPr>
        <w:t>. Of note:</w:t>
      </w:r>
    </w:p>
    <w:p w:rsidR="00792D2E" w:rsidRDefault="00792D2E" w:rsidP="00FF59E8">
      <w:pPr>
        <w:pStyle w:val="ListBullet"/>
      </w:pPr>
      <w:r>
        <w:t xml:space="preserve">The sponsor maintains that the aim of the pharmacokinetic studies was to establish that </w:t>
      </w:r>
      <w:proofErr w:type="spellStart"/>
      <w:r>
        <w:t>Endometrium</w:t>
      </w:r>
      <w:proofErr w:type="spellEnd"/>
      <w:r>
        <w:t xml:space="preserve"> achi</w:t>
      </w:r>
      <w:r w:rsidR="00BD7D75">
        <w:t xml:space="preserve">eved a plasma level </w:t>
      </w:r>
      <w:proofErr w:type="gramStart"/>
      <w:r w:rsidR="00BD7D75">
        <w:t xml:space="preserve">of 10 </w:t>
      </w:r>
      <w:proofErr w:type="spellStart"/>
      <w:r w:rsidR="00BD7D75">
        <w:t>ng</w:t>
      </w:r>
      <w:proofErr w:type="spellEnd"/>
      <w:r w:rsidR="00BD7D75">
        <w:t>/</w:t>
      </w:r>
      <w:proofErr w:type="spellStart"/>
      <w:r w:rsidR="00BD7D75">
        <w:t>mL</w:t>
      </w:r>
      <w:proofErr w:type="spellEnd"/>
      <w:r>
        <w:t xml:space="preserve"> (the level associated with luteal support)</w:t>
      </w:r>
      <w:proofErr w:type="gramEnd"/>
      <w:r>
        <w:t>. It was not intended to establish bioequivalence to Crinone, but to select the dose for Phase III studies.</w:t>
      </w:r>
    </w:p>
    <w:p w:rsidR="00792D2E" w:rsidRPr="001840C8" w:rsidRDefault="00792D2E" w:rsidP="00FF59E8">
      <w:pPr>
        <w:pStyle w:val="ListBullet"/>
      </w:pPr>
      <w:r>
        <w:t xml:space="preserve">The sponsor discusses the difficulty of determining endogenous progesterone in such clinical trials. Methods used to determine the level of exogenous progesterone are subject to errors; there is also an increased variability due to the small number of subjects recruited in the studies. Despite these failings, </w:t>
      </w:r>
      <w:r w:rsidRPr="001840C8">
        <w:t>the sponsor maintains that the mean plasma concentration in the non</w:t>
      </w:r>
      <w:r w:rsidR="00545D8B">
        <w:t xml:space="preserve"> </w:t>
      </w:r>
      <w:r w:rsidRPr="001840C8">
        <w:t xml:space="preserve">pregnant female in </w:t>
      </w:r>
      <w:r w:rsidR="001840C8" w:rsidRPr="001840C8">
        <w:t>S</w:t>
      </w:r>
      <w:r w:rsidRPr="001840C8">
        <w:t xml:space="preserve">tudy 2004-02 </w:t>
      </w:r>
      <w:proofErr w:type="spellStart"/>
      <w:r w:rsidRPr="001840C8">
        <w:t>substudy</w:t>
      </w:r>
      <w:proofErr w:type="spellEnd"/>
      <w:r w:rsidRPr="001840C8">
        <w:t xml:space="preserve"> on </w:t>
      </w:r>
      <w:r w:rsidR="001840C8">
        <w:t>D</w:t>
      </w:r>
      <w:r w:rsidRPr="001840C8">
        <w:t xml:space="preserve">ay 16 (when endogenous progesterone would be minimal, were consistent with mean progesterone on </w:t>
      </w:r>
      <w:r w:rsidR="001840C8">
        <w:t>D</w:t>
      </w:r>
      <w:r w:rsidRPr="001840C8">
        <w:t xml:space="preserve">ay 5 in </w:t>
      </w:r>
      <w:r w:rsidR="001840C8" w:rsidRPr="001840C8">
        <w:t>S</w:t>
      </w:r>
      <w:r w:rsidRPr="001840C8">
        <w:t>tudy 2005-08</w:t>
      </w:r>
      <w:r w:rsidR="00BD7D75">
        <w:t>)</w:t>
      </w:r>
      <w:r w:rsidRPr="001840C8">
        <w:t>.</w:t>
      </w:r>
    </w:p>
    <w:p w:rsidR="00792D2E" w:rsidRDefault="00792D2E" w:rsidP="00FF59E8">
      <w:pPr>
        <w:pStyle w:val="ListBullet"/>
      </w:pPr>
      <w:r>
        <w:t xml:space="preserve">It is stated that in both </w:t>
      </w:r>
      <w:r w:rsidR="00FD29DD" w:rsidRPr="00FD29DD">
        <w:t>S</w:t>
      </w:r>
      <w:r w:rsidR="00BD7D75">
        <w:t>tudies</w:t>
      </w:r>
      <w:r w:rsidRPr="00FD29DD">
        <w:t xml:space="preserve"> 2005-08 and 2004-02 </w:t>
      </w:r>
      <w:proofErr w:type="spellStart"/>
      <w:r w:rsidRPr="00FD29DD">
        <w:t>Endometrium</w:t>
      </w:r>
      <w:proofErr w:type="spellEnd"/>
      <w:r w:rsidR="00BD7D75">
        <w:t xml:space="preserve"> TID</w:t>
      </w:r>
      <w:r>
        <w:t xml:space="preserve"> provided the greatest level of progesterone </w:t>
      </w:r>
      <w:r w:rsidR="00FF59E8">
        <w:t xml:space="preserve">support and </w:t>
      </w:r>
      <w:proofErr w:type="spellStart"/>
      <w:r w:rsidR="00FF59E8">
        <w:t>Crinone</w:t>
      </w:r>
      <w:proofErr w:type="spellEnd"/>
      <w:r w:rsidR="00FF59E8">
        <w:t xml:space="preserve"> the lowest.</w:t>
      </w:r>
    </w:p>
    <w:p w:rsidR="008E7846" w:rsidRDefault="00386150" w:rsidP="008E7846">
      <w:pPr>
        <w:pStyle w:val="Heading3"/>
        <w:rPr>
          <w:lang w:eastAsia="en-AU"/>
        </w:rPr>
      </w:pPr>
      <w:bookmarkStart w:id="141" w:name="_Toc314842514"/>
      <w:bookmarkStart w:id="142" w:name="_Toc357785380"/>
      <w:r>
        <w:rPr>
          <w:lang w:eastAsia="en-AU"/>
        </w:rPr>
        <w:lastRenderedPageBreak/>
        <w:t>Risk m</w:t>
      </w:r>
      <w:r w:rsidR="008E7846">
        <w:rPr>
          <w:lang w:eastAsia="en-AU"/>
        </w:rPr>
        <w:t xml:space="preserve">anagement </w:t>
      </w:r>
      <w:r>
        <w:rPr>
          <w:lang w:eastAsia="en-AU"/>
        </w:rPr>
        <w:t>p</w:t>
      </w:r>
      <w:r w:rsidR="008E7846">
        <w:rPr>
          <w:lang w:eastAsia="en-AU"/>
        </w:rPr>
        <w:t>lan</w:t>
      </w:r>
      <w:bookmarkEnd w:id="141"/>
      <w:bookmarkEnd w:id="142"/>
    </w:p>
    <w:p w:rsidR="00792D2E" w:rsidRPr="000A5F4C" w:rsidRDefault="00792D2E" w:rsidP="00792D2E">
      <w:pPr>
        <w:rPr>
          <w:szCs w:val="24"/>
        </w:rPr>
      </w:pPr>
      <w:r>
        <w:rPr>
          <w:szCs w:val="24"/>
        </w:rPr>
        <w:t xml:space="preserve">This is enclosed. The evaluator is in agreement with the sponsor in relation to its proposal to undertake routine </w:t>
      </w:r>
      <w:proofErr w:type="spellStart"/>
      <w:r>
        <w:rPr>
          <w:szCs w:val="24"/>
        </w:rPr>
        <w:t>pharmacovi</w:t>
      </w:r>
      <w:r w:rsidR="00FF59E8">
        <w:rPr>
          <w:szCs w:val="24"/>
        </w:rPr>
        <w:t>gilance</w:t>
      </w:r>
      <w:proofErr w:type="spellEnd"/>
      <w:r w:rsidR="00FF59E8">
        <w:rPr>
          <w:szCs w:val="24"/>
        </w:rPr>
        <w:t xml:space="preserve"> activities.</w:t>
      </w:r>
    </w:p>
    <w:p w:rsidR="008E7846" w:rsidRDefault="00AA0ED0" w:rsidP="008E7846">
      <w:pPr>
        <w:pStyle w:val="Heading3"/>
      </w:pPr>
      <w:bookmarkStart w:id="143" w:name="_Toc247691531"/>
      <w:bookmarkStart w:id="144" w:name="_Toc314842515"/>
      <w:bookmarkStart w:id="145" w:name="_Toc196046505"/>
      <w:bookmarkStart w:id="146" w:name="_Toc196046949"/>
      <w:bookmarkStart w:id="147" w:name="_Toc357785381"/>
      <w:r>
        <w:t>Risk-benefit a</w:t>
      </w:r>
      <w:r w:rsidR="008E7846">
        <w:t>nalysis</w:t>
      </w:r>
      <w:bookmarkEnd w:id="143"/>
      <w:bookmarkEnd w:id="144"/>
      <w:bookmarkEnd w:id="147"/>
    </w:p>
    <w:p w:rsidR="008E7846" w:rsidRDefault="008E7846" w:rsidP="008E7846">
      <w:pPr>
        <w:pStyle w:val="Heading4"/>
      </w:pPr>
      <w:r>
        <w:t xml:space="preserve">Delegate </w:t>
      </w:r>
      <w:r w:rsidR="00ED3CAD">
        <w:t>c</w:t>
      </w:r>
      <w:r>
        <w:t>onsiderations</w:t>
      </w:r>
    </w:p>
    <w:p w:rsidR="00792D2E" w:rsidRPr="00792D2E" w:rsidRDefault="00792D2E" w:rsidP="00FF59E8">
      <w:pPr>
        <w:pStyle w:val="Numberbullet0"/>
      </w:pPr>
      <w:r w:rsidRPr="00792D2E">
        <w:t>Pharmacokinetics: The data are inadequate. However, the spon</w:t>
      </w:r>
      <w:r w:rsidR="00BD7D75">
        <w:t>sor’s response is acknowledged.</w:t>
      </w:r>
    </w:p>
    <w:p w:rsidR="00792D2E" w:rsidRPr="00792D2E" w:rsidRDefault="005B0BAF" w:rsidP="00FF59E8">
      <w:pPr>
        <w:pStyle w:val="Numberbullet0"/>
      </w:pPr>
      <w:r>
        <w:t xml:space="preserve">The Delegate is of </w:t>
      </w:r>
      <w:r w:rsidR="00792D2E" w:rsidRPr="00792D2E">
        <w:t>the opinion that the pharmacokinetic deficiencies appear to be mitigated by the conduct of a large efficacy study that showed Endometrin TDS was non</w:t>
      </w:r>
      <w:r w:rsidR="00BD7D75">
        <w:t xml:space="preserve"> </w:t>
      </w:r>
      <w:r w:rsidR="00792D2E" w:rsidRPr="00792D2E">
        <w:t>inferior to Crinone OD.</w:t>
      </w:r>
    </w:p>
    <w:p w:rsidR="00792D2E" w:rsidRPr="00792D2E" w:rsidRDefault="00792D2E" w:rsidP="00FF59E8">
      <w:pPr>
        <w:pStyle w:val="Numberbullet0"/>
      </w:pPr>
      <w:r w:rsidRPr="00792D2E">
        <w:t>It is necessary, however, for the PI to reflect accurately the findings of the pharmacokinetic studies. In this context, the sponsor should include the variation seen in the pharmacokinetic data in relation to the single dose and multiple dose findings.</w:t>
      </w:r>
    </w:p>
    <w:p w:rsidR="00792D2E" w:rsidRPr="00792D2E" w:rsidRDefault="00792D2E" w:rsidP="00FF59E8">
      <w:pPr>
        <w:pStyle w:val="Numberbullet0"/>
      </w:pPr>
      <w:r w:rsidRPr="00792D2E">
        <w:t>The issues with the efficacy study are that</w:t>
      </w:r>
      <w:r w:rsidR="00BD7D75">
        <w:t xml:space="preserve"> it was not powered to show non </w:t>
      </w:r>
      <w:r w:rsidRPr="00792D2E">
        <w:t>inferiority in the subgroups. This deficiency should be included in the PI. In this context, it was recommended by</w:t>
      </w:r>
      <w:r w:rsidR="00BD7D75">
        <w:t xml:space="preserve"> the FDA assessor that a Phase IV</w:t>
      </w:r>
      <w:r w:rsidRPr="00792D2E">
        <w:t xml:space="preserve"> study be conducted to establish effic</w:t>
      </w:r>
      <w:r>
        <w:t>acy in those of the ages of 35-</w:t>
      </w:r>
      <w:r w:rsidRPr="00792D2E">
        <w:t>45 years. The sponsor should provide an u</w:t>
      </w:r>
      <w:r>
        <w:t xml:space="preserve">pdate on this study, in its pre </w:t>
      </w:r>
      <w:r w:rsidR="00FF59E8">
        <w:t>ACPM response.</w:t>
      </w:r>
    </w:p>
    <w:p w:rsidR="00792D2E" w:rsidRPr="00792D2E" w:rsidRDefault="00792D2E" w:rsidP="00FF59E8">
      <w:pPr>
        <w:pStyle w:val="Numberbullet0"/>
      </w:pPr>
      <w:r w:rsidRPr="00792D2E">
        <w:t>The magnitude of absolute efficacy is not known in relation to progesterone treatment. The sponsor should justify the margin of non</w:t>
      </w:r>
      <w:r w:rsidR="00BD7D75">
        <w:t xml:space="preserve"> </w:t>
      </w:r>
      <w:r w:rsidRPr="00792D2E">
        <w:t>inferiority (10%) used in the efficacy study to establish non inferiority</w:t>
      </w:r>
      <w:r w:rsidR="005B0BAF">
        <w:t xml:space="preserve"> between treatments, in its pre </w:t>
      </w:r>
      <w:r w:rsidRPr="00792D2E">
        <w:t>ACPM response. There should be a statement in the PI relating to the ma</w:t>
      </w:r>
      <w:r w:rsidR="005B0BAF">
        <w:t>rgin chosen, that is,</w:t>
      </w:r>
      <w:r w:rsidRPr="00792D2E">
        <w:t xml:space="preserve"> that absolute efficacy is not known as there have been</w:t>
      </w:r>
      <w:r w:rsidR="00FF59E8">
        <w:t xml:space="preserve"> no placebo controlled studies.</w:t>
      </w:r>
    </w:p>
    <w:p w:rsidR="00792D2E" w:rsidRPr="00792D2E" w:rsidRDefault="00792D2E" w:rsidP="00FF59E8">
      <w:pPr>
        <w:pStyle w:val="Numberbullet0"/>
      </w:pPr>
      <w:r w:rsidRPr="00792D2E">
        <w:t>The statement in the PI that wome</w:t>
      </w:r>
      <w:r w:rsidR="00BD7D75">
        <w:t>n over the age of 40 require TID</w:t>
      </w:r>
      <w:r w:rsidRPr="00792D2E">
        <w:t xml:space="preserve"> regimen, appears not to be supported by data and should be removed. </w:t>
      </w:r>
    </w:p>
    <w:p w:rsidR="00792D2E" w:rsidRDefault="00792D2E" w:rsidP="00792D2E">
      <w:r w:rsidRPr="00792D2E">
        <w:t>I proposed to register Endometrin 100</w:t>
      </w:r>
      <w:r w:rsidR="005B0BAF">
        <w:t xml:space="preserve"> </w:t>
      </w:r>
      <w:r w:rsidRPr="00792D2E">
        <w:t>mg vaginal tablets for lut</w:t>
      </w:r>
      <w:r w:rsidR="00BD7D75">
        <w:t>eal support as part of an ART</w:t>
      </w:r>
      <w:r w:rsidRPr="00792D2E">
        <w:t xml:space="preserve"> treatment programme for infertile women.</w:t>
      </w:r>
    </w:p>
    <w:p w:rsidR="00792D2E" w:rsidRDefault="00792D2E" w:rsidP="00792D2E">
      <w:r w:rsidRPr="00B10524">
        <w:t>The Committee’s advice is sought.</w:t>
      </w:r>
    </w:p>
    <w:p w:rsidR="008E7846" w:rsidRPr="00FF59E8" w:rsidRDefault="008E7846" w:rsidP="00FF59E8">
      <w:pPr>
        <w:pStyle w:val="Heading4"/>
      </w:pPr>
      <w:r>
        <w:t xml:space="preserve">Response from </w:t>
      </w:r>
      <w:r w:rsidR="004F0920">
        <w:t>s</w:t>
      </w:r>
      <w:r>
        <w:t>ponsor</w:t>
      </w:r>
    </w:p>
    <w:p w:rsidR="008E7846" w:rsidRDefault="00995D0B" w:rsidP="00995D0B">
      <w:proofErr w:type="spellStart"/>
      <w:r w:rsidRPr="00995D0B">
        <w:t>Ferring</w:t>
      </w:r>
      <w:proofErr w:type="spellEnd"/>
      <w:r w:rsidRPr="00995D0B">
        <w:t xml:space="preserve"> welcomes the opportunity to provide Sponsor Comments on the Delegate’s Summary</w:t>
      </w:r>
      <w:r>
        <w:t xml:space="preserve"> </w:t>
      </w:r>
      <w:r w:rsidRPr="00995D0B">
        <w:t xml:space="preserve">and Proposed Action for consideration at the August 2012 ACPM meeting. </w:t>
      </w:r>
      <w:proofErr w:type="spellStart"/>
      <w:r w:rsidRPr="00995D0B">
        <w:t>Ferring</w:t>
      </w:r>
      <w:proofErr w:type="spellEnd"/>
      <w:r w:rsidRPr="00995D0B">
        <w:t xml:space="preserve"> is pleased</w:t>
      </w:r>
      <w:r>
        <w:t xml:space="preserve"> </w:t>
      </w:r>
      <w:r w:rsidRPr="00995D0B">
        <w:t xml:space="preserve">that the Delegate proposes to register </w:t>
      </w:r>
      <w:r w:rsidR="00C70876">
        <w:t xml:space="preserve">Endometrin </w:t>
      </w:r>
      <w:proofErr w:type="spellStart"/>
      <w:r w:rsidR="00C70876">
        <w:t>Pessaries</w:t>
      </w:r>
      <w:proofErr w:type="spellEnd"/>
      <w:r w:rsidRPr="00995D0B">
        <w:t xml:space="preserve"> for </w:t>
      </w:r>
      <w:proofErr w:type="spellStart"/>
      <w:r w:rsidRPr="00995D0B">
        <w:t>luteal</w:t>
      </w:r>
      <w:proofErr w:type="spellEnd"/>
      <w:r w:rsidRPr="00995D0B">
        <w:t xml:space="preserve"> support as part of</w:t>
      </w:r>
      <w:r>
        <w:t xml:space="preserve"> </w:t>
      </w:r>
      <w:r w:rsidR="00C70876">
        <w:t>an ART</w:t>
      </w:r>
      <w:r w:rsidRPr="00995D0B">
        <w:t xml:space="preserve"> treatment programme for infertile women.</w:t>
      </w:r>
      <w:r>
        <w:t xml:space="preserve"> </w:t>
      </w:r>
      <w:proofErr w:type="spellStart"/>
      <w:r w:rsidRPr="00995D0B">
        <w:t>Ferring</w:t>
      </w:r>
      <w:proofErr w:type="spellEnd"/>
      <w:r w:rsidRPr="00995D0B">
        <w:t xml:space="preserve"> notes that the ACPM’s</w:t>
      </w:r>
      <w:r w:rsidR="00C70876">
        <w:t xml:space="preserve"> advice has been sought</w:t>
      </w:r>
      <w:r w:rsidRPr="00995D0B">
        <w:t xml:space="preserve"> and that specific issues have</w:t>
      </w:r>
      <w:r>
        <w:t xml:space="preserve"> </w:t>
      </w:r>
      <w:r w:rsidRPr="00995D0B">
        <w:t xml:space="preserve">not been </w:t>
      </w:r>
      <w:r w:rsidR="00C70876">
        <w:t xml:space="preserve">identified. Therefore, this pre </w:t>
      </w:r>
      <w:r w:rsidRPr="00995D0B">
        <w:t>ACPM response addresses in turn each of the</w:t>
      </w:r>
      <w:r>
        <w:t xml:space="preserve"> </w:t>
      </w:r>
      <w:r w:rsidRPr="00995D0B">
        <w:t>Delegate’s six comments. Other minor matters raised by the Delegate are addressed as an addendum to this response.</w:t>
      </w:r>
      <w:r>
        <w:t xml:space="preserve"> </w:t>
      </w:r>
      <w:proofErr w:type="spellStart"/>
      <w:r w:rsidRPr="00995D0B">
        <w:t>Ferring</w:t>
      </w:r>
      <w:proofErr w:type="spellEnd"/>
      <w:r w:rsidRPr="00995D0B">
        <w:t xml:space="preserve"> also notes that the application had not been considered by the PSC as at 3 July. Should</w:t>
      </w:r>
      <w:r>
        <w:t xml:space="preserve"> </w:t>
      </w:r>
      <w:r w:rsidRPr="00995D0B">
        <w:t>this submission be considered at the PSC meeting of 23 July</w:t>
      </w:r>
      <w:r w:rsidR="009567EB">
        <w:t xml:space="preserve"> 2012</w:t>
      </w:r>
      <w:r w:rsidRPr="00995D0B">
        <w:t>, we respectfully request that our</w:t>
      </w:r>
      <w:r>
        <w:t xml:space="preserve"> </w:t>
      </w:r>
      <w:r w:rsidRPr="00995D0B">
        <w:t>letter of 19 June 2012 is tab</w:t>
      </w:r>
      <w:r w:rsidR="009567EB">
        <w:t xml:space="preserve">led together with this pre </w:t>
      </w:r>
      <w:r w:rsidRPr="00995D0B">
        <w:t>ACPM response</w:t>
      </w:r>
      <w:r>
        <w:t>.</w:t>
      </w:r>
    </w:p>
    <w:p w:rsidR="00995D0B" w:rsidRDefault="00AB3E09" w:rsidP="00085CFB">
      <w:pPr>
        <w:pStyle w:val="Heading5"/>
      </w:pPr>
      <w:r>
        <w:br w:type="page"/>
      </w:r>
      <w:r w:rsidR="00085CFB">
        <w:lastRenderedPageBreak/>
        <w:t>Delegate’s comments</w:t>
      </w:r>
    </w:p>
    <w:p w:rsidR="00A0149D" w:rsidRPr="00A0149D" w:rsidRDefault="00A0149D" w:rsidP="00A0149D">
      <w:pPr>
        <w:pStyle w:val="Heading6"/>
      </w:pPr>
      <w:r w:rsidRPr="00A0149D">
        <w:t>1. Pharmacokinetics</w:t>
      </w:r>
    </w:p>
    <w:p w:rsidR="00A0149D" w:rsidRPr="00A0149D" w:rsidRDefault="00A0149D" w:rsidP="00FF59E8">
      <w:pPr>
        <w:pStyle w:val="ListBullet"/>
      </w:pPr>
      <w:r w:rsidRPr="00A0149D">
        <w:t>The data are inadequate. However, the sponsor’s response is acknowledged.</w:t>
      </w:r>
    </w:p>
    <w:p w:rsidR="00A0149D" w:rsidRPr="00FF59E8" w:rsidRDefault="00A0149D" w:rsidP="00FF59E8">
      <w:pPr>
        <w:pStyle w:val="Heading7"/>
      </w:pPr>
      <w:r w:rsidRPr="00FF59E8">
        <w:t>Response</w:t>
      </w:r>
    </w:p>
    <w:p w:rsidR="00085CFB" w:rsidRDefault="00A0149D" w:rsidP="00A0149D">
      <w:proofErr w:type="spellStart"/>
      <w:r w:rsidRPr="00A0149D">
        <w:t>Ferring</w:t>
      </w:r>
      <w:proofErr w:type="spellEnd"/>
      <w:r w:rsidRPr="00A0149D">
        <w:t xml:space="preserve"> is pleased that the Delegate has acknowledged our comments on the pharmacokinetics</w:t>
      </w:r>
      <w:r>
        <w:t xml:space="preserve"> </w:t>
      </w:r>
      <w:r w:rsidRPr="00A0149D">
        <w:t xml:space="preserve">evaluation. In summary, results from </w:t>
      </w:r>
      <w:r w:rsidR="009567EB">
        <w:t xml:space="preserve">Studies </w:t>
      </w:r>
      <w:r w:rsidRPr="00A0149D">
        <w:t xml:space="preserve">2004-01, 2005-08, and </w:t>
      </w:r>
      <w:r w:rsidR="009567EB">
        <w:t xml:space="preserve">2004-02 sub </w:t>
      </w:r>
      <w:r w:rsidRPr="00A0149D">
        <w:t>study indicate that</w:t>
      </w:r>
      <w:r>
        <w:t xml:space="preserve"> Endometrin</w:t>
      </w:r>
      <w:r w:rsidRPr="00A0149D">
        <w:t xml:space="preserve"> 100 mg BID or 100 mg TID should be effective to develop and maintain</w:t>
      </w:r>
      <w:r>
        <w:t xml:space="preserve"> </w:t>
      </w:r>
      <w:proofErr w:type="spellStart"/>
      <w:r w:rsidRPr="00A0149D">
        <w:t>secretory</w:t>
      </w:r>
      <w:proofErr w:type="spellEnd"/>
      <w:r w:rsidRPr="00A0149D">
        <w:t xml:space="preserve"> </w:t>
      </w:r>
      <w:proofErr w:type="spellStart"/>
      <w:r w:rsidRPr="00A0149D">
        <w:t>endometrium</w:t>
      </w:r>
      <w:proofErr w:type="spellEnd"/>
      <w:r w:rsidRPr="00A0149D">
        <w:t xml:space="preserve"> and to provide </w:t>
      </w:r>
      <w:proofErr w:type="spellStart"/>
      <w:r w:rsidRPr="00A0149D">
        <w:t>luteal</w:t>
      </w:r>
      <w:proofErr w:type="spellEnd"/>
      <w:r w:rsidRPr="00A0149D">
        <w:t xml:space="preserve"> support of pregnancy throughout the first</w:t>
      </w:r>
      <w:r>
        <w:t xml:space="preserve"> </w:t>
      </w:r>
      <w:r w:rsidRPr="00A0149D">
        <w:t>trimester. These studies support the doses selected in the pivotal clinical study of</w:t>
      </w:r>
      <w:r>
        <w:t xml:space="preserve"> </w:t>
      </w:r>
      <w:r w:rsidR="009567EB">
        <w:t>Endometrin</w:t>
      </w:r>
      <w:r w:rsidRPr="00A0149D">
        <w:t xml:space="preserve"> and should not be excluded</w:t>
      </w:r>
      <w:r>
        <w:t>.</w:t>
      </w:r>
    </w:p>
    <w:p w:rsidR="005B31D6" w:rsidRPr="005B31D6" w:rsidRDefault="005B31D6" w:rsidP="005B31D6">
      <w:pPr>
        <w:pStyle w:val="Heading6"/>
      </w:pPr>
      <w:r w:rsidRPr="005B31D6">
        <w:t>2. Pharmacokinetic deficiencies mitigated by clinical data</w:t>
      </w:r>
    </w:p>
    <w:p w:rsidR="005B31D6" w:rsidRPr="005B31D6" w:rsidRDefault="00BB15FC" w:rsidP="00FF59E8">
      <w:pPr>
        <w:pStyle w:val="ListBullet"/>
      </w:pPr>
      <w:r>
        <w:t>The Delegate is</w:t>
      </w:r>
      <w:r w:rsidR="005B31D6" w:rsidRPr="005B31D6">
        <w:t xml:space="preserve"> of the opinion that the pharmacokinetic deficiencie</w:t>
      </w:r>
      <w:r w:rsidR="005B31D6">
        <w:t xml:space="preserve">s appear to be mitigated by the </w:t>
      </w:r>
      <w:r w:rsidR="005B31D6" w:rsidRPr="005B31D6">
        <w:t xml:space="preserve">conduct of a large efficacy study that showed </w:t>
      </w:r>
      <w:r w:rsidR="009567EB">
        <w:t>Endometrin</w:t>
      </w:r>
      <w:r w:rsidR="005B31D6">
        <w:t xml:space="preserve"> </w:t>
      </w:r>
      <w:r w:rsidR="009567EB">
        <w:t>TID</w:t>
      </w:r>
      <w:r w:rsidR="005B31D6">
        <w:t xml:space="preserve"> was </w:t>
      </w:r>
      <w:proofErr w:type="gramStart"/>
      <w:r w:rsidR="005B31D6">
        <w:t>non</w:t>
      </w:r>
      <w:proofErr w:type="gramEnd"/>
      <w:r w:rsidR="009567EB">
        <w:t xml:space="preserve"> </w:t>
      </w:r>
      <w:r w:rsidR="005B31D6">
        <w:t xml:space="preserve">inferior to </w:t>
      </w:r>
      <w:r w:rsidR="005B31D6" w:rsidRPr="005B31D6">
        <w:t>CRINONE OD.</w:t>
      </w:r>
    </w:p>
    <w:p w:rsidR="005B31D6" w:rsidRPr="00A0149D" w:rsidRDefault="005B31D6" w:rsidP="00FF59E8">
      <w:pPr>
        <w:pStyle w:val="Heading7"/>
      </w:pPr>
      <w:r>
        <w:t>Response</w:t>
      </w:r>
    </w:p>
    <w:p w:rsidR="005B31D6" w:rsidRPr="005B31D6" w:rsidRDefault="005B31D6" w:rsidP="005B31D6">
      <w:proofErr w:type="spellStart"/>
      <w:r w:rsidRPr="005B31D6">
        <w:t>Ferring</w:t>
      </w:r>
      <w:proofErr w:type="spellEnd"/>
      <w:r w:rsidRPr="005B31D6">
        <w:t xml:space="preserve"> is pleased that the Delegate appreciates the weight of the extensive Phase III data</w:t>
      </w:r>
      <w:r>
        <w:t xml:space="preserve"> </w:t>
      </w:r>
      <w:r w:rsidRPr="005B31D6">
        <w:t>accompanying this submission. The Phase III study i</w:t>
      </w:r>
      <w:r>
        <w:t xml:space="preserve">n this submission comprises the </w:t>
      </w:r>
      <w:r w:rsidRPr="005B31D6">
        <w:t>largest</w:t>
      </w:r>
      <w:r>
        <w:t xml:space="preserve"> </w:t>
      </w:r>
      <w:r w:rsidRPr="005B31D6">
        <w:t>randomised controlled trial (N=1211) conducted for documenting non</w:t>
      </w:r>
      <w:r w:rsidR="009567EB">
        <w:t xml:space="preserve"> </w:t>
      </w:r>
      <w:r w:rsidRPr="005B31D6">
        <w:t>inferiority of a</w:t>
      </w:r>
      <w:r>
        <w:t xml:space="preserve"> </w:t>
      </w:r>
      <w:r w:rsidRPr="005B31D6">
        <w:t xml:space="preserve">progesterone preparation for the </w:t>
      </w:r>
      <w:proofErr w:type="spellStart"/>
      <w:r w:rsidRPr="005B31D6">
        <w:t>luteal</w:t>
      </w:r>
      <w:proofErr w:type="spellEnd"/>
      <w:r w:rsidRPr="005B31D6">
        <w:t xml:space="preserve"> support indication. The study demonstrated that</w:t>
      </w:r>
      <w:r>
        <w:t xml:space="preserve"> </w:t>
      </w:r>
      <w:r w:rsidR="009567EB">
        <w:t>Endometrin</w:t>
      </w:r>
      <w:r w:rsidRPr="005B31D6">
        <w:t xml:space="preserve"> 100 mg TID is non</w:t>
      </w:r>
      <w:r w:rsidR="009567EB">
        <w:t xml:space="preserve"> </w:t>
      </w:r>
      <w:r w:rsidRPr="005B31D6">
        <w:t>inferior in ongoing pregnancy rates to Crinone.</w:t>
      </w:r>
    </w:p>
    <w:p w:rsidR="005B31D6" w:rsidRDefault="005B31D6" w:rsidP="003F733F">
      <w:r w:rsidRPr="005B31D6">
        <w:t>The patient popula</w:t>
      </w:r>
      <w:r w:rsidR="009567EB">
        <w:t xml:space="preserve">tion in this study was also pre </w:t>
      </w:r>
      <w:r w:rsidRPr="005B31D6">
        <w:t>stratified and randomised according to age</w:t>
      </w:r>
      <w:r>
        <w:t xml:space="preserve"> </w:t>
      </w:r>
      <w:r w:rsidRPr="005B31D6">
        <w:t>(&lt;35, 35-37, 38-40, 41-42 years) and serum FSH level. Women up to 35 years of a</w:t>
      </w:r>
      <w:r>
        <w:t xml:space="preserve">ge </w:t>
      </w:r>
      <w:r w:rsidRPr="005B31D6">
        <w:t>constituted 61% (N=</w:t>
      </w:r>
      <w:r w:rsidR="009567EB">
        <w:t xml:space="preserve"> </w:t>
      </w:r>
      <w:r w:rsidRPr="005B31D6">
        <w:t>737) of the trial population and</w:t>
      </w:r>
      <w:r w:rsidR="00AB3E09">
        <w:t xml:space="preserve"> the majority had FSH &lt;</w:t>
      </w:r>
      <w:r>
        <w:t xml:space="preserve">10 IU/L </w:t>
      </w:r>
      <w:r w:rsidRPr="005B31D6">
        <w:t>(N=1047/1193, 88%); these two subgroups had suffici</w:t>
      </w:r>
      <w:r>
        <w:t xml:space="preserve">ent numbers of subjects to make </w:t>
      </w:r>
      <w:r w:rsidRPr="005B31D6">
        <w:t>meaningful comparisons. In both of these subgroups, the</w:t>
      </w:r>
      <w:r>
        <w:t xml:space="preserve"> ongoing and clinical pregnancy </w:t>
      </w:r>
      <w:r w:rsidRPr="005B31D6">
        <w:t>rates</w:t>
      </w:r>
      <w:r>
        <w:t xml:space="preserve"> </w:t>
      </w:r>
      <w:r w:rsidRPr="005B31D6">
        <w:t xml:space="preserve">for Crinone and </w:t>
      </w:r>
      <w:r w:rsidR="009567EB">
        <w:t>Endometrin</w:t>
      </w:r>
      <w:r w:rsidRPr="005B31D6">
        <w:t xml:space="preserve"> were at least 40% and the biochemical pregnancy rates were</w:t>
      </w:r>
      <w:r>
        <w:t xml:space="preserve"> </w:t>
      </w:r>
      <w:r w:rsidRPr="005B31D6">
        <w:t>at least 50%. In the subgroup &lt;35 years of age, the lower bounds of the 95% confidence</w:t>
      </w:r>
      <w:r>
        <w:t xml:space="preserve"> </w:t>
      </w:r>
      <w:r w:rsidRPr="005B31D6">
        <w:t xml:space="preserve">interval for the difference in ongoing pregnancy rates demonstrated that both </w:t>
      </w:r>
      <w:r w:rsidR="009567EB">
        <w:t>Endometrin</w:t>
      </w:r>
      <w:r w:rsidR="003F733F" w:rsidRPr="003F733F">
        <w:t xml:space="preserve"> regimens were non</w:t>
      </w:r>
      <w:r w:rsidR="009567EB">
        <w:t xml:space="preserve"> </w:t>
      </w:r>
      <w:r w:rsidR="003F733F" w:rsidRPr="003F733F">
        <w:t>infer</w:t>
      </w:r>
      <w:r w:rsidR="009567EB">
        <w:t>ior to Crinone (</w:t>
      </w:r>
      <w:r w:rsidR="003F733F" w:rsidRPr="003F733F">
        <w:t>Table</w:t>
      </w:r>
      <w:r w:rsidR="003F733F">
        <w:t xml:space="preserve"> </w:t>
      </w:r>
      <w:r w:rsidR="009567EB">
        <w:t>6</w:t>
      </w:r>
      <w:r w:rsidR="003F733F" w:rsidRPr="003F733F">
        <w:t>).</w:t>
      </w:r>
    </w:p>
    <w:p w:rsidR="003F733F" w:rsidRDefault="003F733F" w:rsidP="00FF59E8">
      <w:pPr>
        <w:pStyle w:val="TableTitle"/>
        <w:rPr>
          <w:lang w:val="en-GB"/>
        </w:rPr>
      </w:pPr>
      <w:r>
        <w:t xml:space="preserve">Table </w:t>
      </w:r>
      <w:r w:rsidR="00D57784">
        <w:t>6</w:t>
      </w:r>
      <w:r>
        <w:t>:</w:t>
      </w:r>
      <w:r w:rsidRPr="004C5C28">
        <w:t xml:space="preserve"> </w:t>
      </w:r>
      <w:r w:rsidR="00330439">
        <w:t>Ongoing biochemical and clinical pregnancy rates in subjects &lt;35 years of age – ITT population.</w:t>
      </w:r>
    </w:p>
    <w:p w:rsidR="003F733F" w:rsidRDefault="009561C4" w:rsidP="00FF59E8">
      <w:r>
        <w:rPr>
          <w:noProof/>
          <w:lang w:eastAsia="en-AU"/>
        </w:rPr>
        <w:drawing>
          <wp:inline distT="0" distB="0" distL="0" distR="0">
            <wp:extent cx="4566285" cy="2367280"/>
            <wp:effectExtent l="19050" t="0" r="5715" b="0"/>
            <wp:docPr id="11" name="Picture 11" descr="Table 6: Ongoing biochemical and clinical pregnancy rates in subjects &lt;35 years of age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6" cstate="print"/>
                    <a:srcRect/>
                    <a:stretch>
                      <a:fillRect/>
                    </a:stretch>
                  </pic:blipFill>
                  <pic:spPr bwMode="auto">
                    <a:xfrm>
                      <a:off x="0" y="0"/>
                      <a:ext cx="4566285" cy="2367280"/>
                    </a:xfrm>
                    <a:prstGeom prst="rect">
                      <a:avLst/>
                    </a:prstGeom>
                    <a:noFill/>
                    <a:ln w="9525">
                      <a:noFill/>
                      <a:miter lim="800000"/>
                      <a:headEnd/>
                      <a:tailEnd/>
                    </a:ln>
                  </pic:spPr>
                </pic:pic>
              </a:graphicData>
            </a:graphic>
          </wp:inline>
        </w:drawing>
      </w:r>
    </w:p>
    <w:p w:rsidR="004E657A" w:rsidRPr="004E657A" w:rsidRDefault="004E657A" w:rsidP="004E657A">
      <w:r w:rsidRPr="004E657A">
        <w:t xml:space="preserve">These findings suggest that for younger women and women with adequate ovarian </w:t>
      </w:r>
      <w:proofErr w:type="gramStart"/>
      <w:r w:rsidRPr="004E657A">
        <w:t>reserve</w:t>
      </w:r>
      <w:proofErr w:type="gramEnd"/>
      <w:r w:rsidRPr="004E657A">
        <w:t>,</w:t>
      </w:r>
      <w:r>
        <w:t xml:space="preserve"> </w:t>
      </w:r>
      <w:r w:rsidR="00E5225D">
        <w:t>Endometrin</w:t>
      </w:r>
      <w:r w:rsidRPr="004E657A">
        <w:t xml:space="preserve"> TID provides no greater clinical benefit that BID dosing. Older </w:t>
      </w:r>
      <w:r w:rsidRPr="004E657A">
        <w:lastRenderedPageBreak/>
        <w:t>women</w:t>
      </w:r>
      <w:r>
        <w:t xml:space="preserve"> </w:t>
      </w:r>
      <w:r w:rsidRPr="004E657A">
        <w:t xml:space="preserve">appear to require stronger </w:t>
      </w:r>
      <w:proofErr w:type="spellStart"/>
      <w:r w:rsidRPr="004E657A">
        <w:t>luteal</w:t>
      </w:r>
      <w:proofErr w:type="spellEnd"/>
      <w:r w:rsidRPr="004E657A">
        <w:t xml:space="preserve"> support and would benefit from </w:t>
      </w:r>
      <w:r w:rsidR="00E5225D">
        <w:t>Endometrin</w:t>
      </w:r>
      <w:r w:rsidRPr="004E657A">
        <w:t xml:space="preserve"> TID doses.</w:t>
      </w:r>
    </w:p>
    <w:p w:rsidR="004E657A" w:rsidRPr="004E657A" w:rsidRDefault="004E657A" w:rsidP="004E657A">
      <w:pPr>
        <w:pStyle w:val="Heading6"/>
      </w:pPr>
      <w:r w:rsidRPr="004E657A">
        <w:t>3. Variability in PK findings</w:t>
      </w:r>
    </w:p>
    <w:p w:rsidR="004E657A" w:rsidRPr="004E657A" w:rsidRDefault="004E657A" w:rsidP="00AA4A3D">
      <w:pPr>
        <w:numPr>
          <w:ilvl w:val="0"/>
          <w:numId w:val="6"/>
        </w:numPr>
      </w:pPr>
      <w:r w:rsidRPr="004E657A">
        <w:t>It is necessary, however, for the PI to reflect</w:t>
      </w:r>
      <w:r>
        <w:t xml:space="preserve"> accurately the findings of the </w:t>
      </w:r>
      <w:r w:rsidRPr="004E657A">
        <w:t>pharmacokinetic</w:t>
      </w:r>
      <w:r>
        <w:t xml:space="preserve"> </w:t>
      </w:r>
      <w:r w:rsidRPr="004E657A">
        <w:t>studies. In this context, the sponsor should include the variation seen in the</w:t>
      </w:r>
      <w:r>
        <w:t xml:space="preserve"> </w:t>
      </w:r>
      <w:r w:rsidRPr="004E657A">
        <w:t>pharmacokinetic data in relation to the single dose and multiple dose findings.</w:t>
      </w:r>
    </w:p>
    <w:p w:rsidR="004E657A" w:rsidRPr="00A0149D" w:rsidRDefault="004E657A" w:rsidP="00FF59E8">
      <w:pPr>
        <w:pStyle w:val="Heading7"/>
      </w:pPr>
      <w:r>
        <w:t>Response</w:t>
      </w:r>
    </w:p>
    <w:p w:rsidR="003F733F" w:rsidRDefault="004E657A" w:rsidP="004E657A">
      <w:proofErr w:type="spellStart"/>
      <w:r w:rsidRPr="004E657A">
        <w:t>Ferring</w:t>
      </w:r>
      <w:proofErr w:type="spellEnd"/>
      <w:r w:rsidRPr="004E657A">
        <w:t xml:space="preserve"> has included information about variability in the</w:t>
      </w:r>
      <w:r>
        <w:t xml:space="preserve"> pharmacokinetic studies in the </w:t>
      </w:r>
      <w:r w:rsidRPr="004E657A">
        <w:t>PI.</w:t>
      </w:r>
      <w:r>
        <w:t xml:space="preserve"> </w:t>
      </w:r>
      <w:r w:rsidRPr="004E657A">
        <w:t>The information is in the form of a table taken from the US PI, as well as a clarifying statement</w:t>
      </w:r>
      <w:r>
        <w:t xml:space="preserve"> </w:t>
      </w:r>
      <w:r w:rsidRPr="004E657A">
        <w:t xml:space="preserve">in the preamble to the </w:t>
      </w:r>
      <w:r w:rsidR="00E5225D">
        <w:t>table</w:t>
      </w:r>
      <w:r w:rsidRPr="004E657A">
        <w:t>.</w:t>
      </w:r>
    </w:p>
    <w:p w:rsidR="00BB15FC" w:rsidRPr="00BB15FC" w:rsidRDefault="00BB15FC" w:rsidP="00BB15FC">
      <w:pPr>
        <w:pStyle w:val="Heading6"/>
      </w:pPr>
      <w:r w:rsidRPr="00BB15FC">
        <w:t>4. Sub group analysis</w:t>
      </w:r>
    </w:p>
    <w:p w:rsidR="00BB15FC" w:rsidRPr="00BB15FC" w:rsidRDefault="00BB15FC" w:rsidP="00FF59E8">
      <w:pPr>
        <w:pStyle w:val="ListBullet"/>
      </w:pPr>
      <w:r w:rsidRPr="00BB15FC">
        <w:t>The issues with the efficacy study are that</w:t>
      </w:r>
      <w:r w:rsidR="00E5225D">
        <w:t xml:space="preserve"> it was not powered to show non </w:t>
      </w:r>
      <w:r w:rsidRPr="00BB15FC">
        <w:t>inferiority in the</w:t>
      </w:r>
      <w:r>
        <w:t xml:space="preserve"> </w:t>
      </w:r>
      <w:r w:rsidRPr="00BB15FC">
        <w:t xml:space="preserve">subgroups. This deficiency should be included in </w:t>
      </w:r>
      <w:r>
        <w:t xml:space="preserve">the PI. In this context, it was </w:t>
      </w:r>
      <w:r w:rsidRPr="00BB15FC">
        <w:t>recommended by</w:t>
      </w:r>
      <w:r w:rsidR="00E5225D">
        <w:t xml:space="preserve"> the FDA assessor that a Phase IV</w:t>
      </w:r>
      <w:r w:rsidRPr="00BB15FC">
        <w:t xml:space="preserve"> study be </w:t>
      </w:r>
      <w:r>
        <w:t xml:space="preserve">conducted to establish efficacy </w:t>
      </w:r>
      <w:r w:rsidRPr="00BB15FC">
        <w:t>in</w:t>
      </w:r>
      <w:r>
        <w:t xml:space="preserve"> </w:t>
      </w:r>
      <w:r w:rsidR="00E5225D">
        <w:t>those of the ages of 35</w:t>
      </w:r>
      <w:r w:rsidRPr="00BB15FC">
        <w:t>-45 years. The sponsor should provide an update on this study, in its</w:t>
      </w:r>
      <w:r>
        <w:t xml:space="preserve"> </w:t>
      </w:r>
      <w:r w:rsidR="00E5225D">
        <w:t xml:space="preserve">pre </w:t>
      </w:r>
      <w:r w:rsidRPr="00BB15FC">
        <w:t>ACPM response.</w:t>
      </w:r>
    </w:p>
    <w:p w:rsidR="00BB15FC" w:rsidRPr="00A0149D" w:rsidRDefault="00BB15FC" w:rsidP="00401778">
      <w:pPr>
        <w:pStyle w:val="Heading7"/>
      </w:pPr>
      <w:r>
        <w:t>Response</w:t>
      </w:r>
    </w:p>
    <w:p w:rsidR="000A57DF" w:rsidRDefault="00BB15FC" w:rsidP="00BB15FC">
      <w:proofErr w:type="spellStart"/>
      <w:r w:rsidRPr="00BB15FC">
        <w:t>Ferring</w:t>
      </w:r>
      <w:proofErr w:type="spellEnd"/>
      <w:r w:rsidRPr="00BB15FC">
        <w:t xml:space="preserve"> acknowledges that the study was powered to demonstrate non-inferiority overall for the</w:t>
      </w:r>
      <w:r w:rsidR="000A57DF">
        <w:t xml:space="preserve"> </w:t>
      </w:r>
      <w:r w:rsidRPr="00BB15FC">
        <w:t>entire trial population, and not for each of the individual age groups. A sentence to this effect</w:t>
      </w:r>
      <w:r w:rsidR="000A57DF">
        <w:t xml:space="preserve"> </w:t>
      </w:r>
      <w:r w:rsidRPr="00BB15FC">
        <w:t>has been included in t</w:t>
      </w:r>
      <w:r w:rsidR="00E5225D">
        <w:t>he PI</w:t>
      </w:r>
      <w:r w:rsidRPr="00BB15FC">
        <w:t>.</w:t>
      </w:r>
    </w:p>
    <w:p w:rsidR="00BB15FC" w:rsidRDefault="00BB15FC" w:rsidP="00BB15FC">
      <w:r w:rsidRPr="00BB15FC">
        <w:t xml:space="preserve">However, as discussed above, </w:t>
      </w:r>
      <w:proofErr w:type="spellStart"/>
      <w:r w:rsidRPr="00BB15FC">
        <w:t>Ferring</w:t>
      </w:r>
      <w:proofErr w:type="spellEnd"/>
      <w:r w:rsidRPr="00BB15FC">
        <w:t xml:space="preserve"> maintains that compared to Crinone once daily, the</w:t>
      </w:r>
      <w:r w:rsidR="000A57DF">
        <w:t xml:space="preserve"> </w:t>
      </w:r>
      <w:r w:rsidRPr="00BB15FC">
        <w:t>pivotal efficacy study has shown non</w:t>
      </w:r>
      <w:r w:rsidR="00E5225D">
        <w:t xml:space="preserve"> </w:t>
      </w:r>
      <w:r w:rsidRPr="00BB15FC">
        <w:t xml:space="preserve">inferiority of TID dosing in all patients and </w:t>
      </w:r>
      <w:proofErr w:type="spellStart"/>
      <w:r w:rsidRPr="00BB15FC">
        <w:t>noninferiority</w:t>
      </w:r>
      <w:proofErr w:type="spellEnd"/>
      <w:r w:rsidR="000A57DF">
        <w:t xml:space="preserve"> </w:t>
      </w:r>
      <w:r w:rsidRPr="00BB15FC">
        <w:t>for bot</w:t>
      </w:r>
      <w:r w:rsidR="00C30D48">
        <w:t>h dosing regimens in patients &lt;</w:t>
      </w:r>
      <w:r w:rsidRPr="00BB15FC">
        <w:t>35 y</w:t>
      </w:r>
      <w:r w:rsidR="00C30D48">
        <w:t>ears and in patients with FSH &lt;</w:t>
      </w:r>
      <w:r w:rsidRPr="00BB15FC">
        <w:t>10 IU/L</w:t>
      </w:r>
      <w:r w:rsidR="000A57DF">
        <w:t>.</w:t>
      </w:r>
    </w:p>
    <w:p w:rsidR="007C230B" w:rsidRDefault="000A57DF" w:rsidP="000A57DF">
      <w:r w:rsidRPr="000A57DF">
        <w:t xml:space="preserve">This conclusion was also reached by the US FDA and the Canadian HPB </w:t>
      </w:r>
      <w:r w:rsidR="00E5225D">
        <w:t xml:space="preserve">(Health Protection Branch) </w:t>
      </w:r>
      <w:r w:rsidRPr="000A57DF">
        <w:t>and is reflected in the</w:t>
      </w:r>
      <w:r>
        <w:t xml:space="preserve"> </w:t>
      </w:r>
      <w:r w:rsidRPr="000A57DF">
        <w:t>approved PIs from these countries (ref</w:t>
      </w:r>
      <w:r w:rsidR="00E5225D">
        <w:t>er approved US and Canadian PIs</w:t>
      </w:r>
      <w:r w:rsidRPr="000A57DF">
        <w:t>).</w:t>
      </w:r>
    </w:p>
    <w:p w:rsidR="000A57DF" w:rsidRPr="007C230B" w:rsidRDefault="000A57DF" w:rsidP="007C230B">
      <w:r w:rsidRPr="007C230B">
        <w:t xml:space="preserve">Regarding the status of the Phase IV study, </w:t>
      </w:r>
      <w:proofErr w:type="spellStart"/>
      <w:r w:rsidRPr="007C230B">
        <w:t>Ferring</w:t>
      </w:r>
      <w:proofErr w:type="spellEnd"/>
      <w:r w:rsidRPr="007C230B">
        <w:t xml:space="preserve"> notes that the recommendation of the FDA assessor was not included as a cond</w:t>
      </w:r>
      <w:r w:rsidR="00E5225D">
        <w:t>ition of approval in the US</w:t>
      </w:r>
      <w:r w:rsidRPr="007C230B">
        <w:t>. It is important to note that in order to study adequately o</w:t>
      </w:r>
      <w:r w:rsidR="00E5225D">
        <w:t xml:space="preserve">lder women and to establish non </w:t>
      </w:r>
      <w:r w:rsidRPr="007C230B">
        <w:t>inferio</w:t>
      </w:r>
      <w:r w:rsidR="002045DD">
        <w:t>rity for each of the age strata;</w:t>
      </w:r>
      <w:r w:rsidRPr="007C230B">
        <w:t xml:space="preserve"> it would require a much larger study than has alre</w:t>
      </w:r>
      <w:r w:rsidR="002045DD">
        <w:t>ady been undertaken. Each stratum</w:t>
      </w:r>
      <w:r w:rsidRPr="007C230B">
        <w:t xml:space="preserve"> would need t</w:t>
      </w:r>
      <w:r w:rsidR="00E5225D">
        <w:t xml:space="preserve">o be powered to document non </w:t>
      </w:r>
      <w:r w:rsidRPr="007C230B">
        <w:t xml:space="preserve">inferiority and, for example, it would require at least 400 women per group in women aged 41-42 given their low (11%) pregnancy rates. Therefore, </w:t>
      </w:r>
      <w:proofErr w:type="spellStart"/>
      <w:r w:rsidRPr="007C230B">
        <w:t>Ferring</w:t>
      </w:r>
      <w:proofErr w:type="spellEnd"/>
      <w:r w:rsidRPr="007C230B">
        <w:t xml:space="preserve"> is not able to undertake this study as it is methodologically not feasible. Moreover, to our knowledge, such a study is unprecedented in any ICH </w:t>
      </w:r>
      <w:r w:rsidR="00E5225D">
        <w:t>(</w:t>
      </w:r>
      <w:r w:rsidR="00E5225D" w:rsidRPr="00E5225D">
        <w:t>International Conference on Harmonisation</w:t>
      </w:r>
      <w:r w:rsidR="00E5225D">
        <w:t xml:space="preserve">) </w:t>
      </w:r>
      <w:r w:rsidRPr="007C230B">
        <w:t>region for any fertility product.</w:t>
      </w:r>
    </w:p>
    <w:p w:rsidR="007762BB" w:rsidRDefault="007762BB" w:rsidP="007762BB">
      <w:pPr>
        <w:pStyle w:val="Heading6"/>
        <w:rPr>
          <w:lang w:eastAsia="en-AU"/>
        </w:rPr>
      </w:pPr>
      <w:r>
        <w:rPr>
          <w:lang w:eastAsia="en-AU"/>
        </w:rPr>
        <w:t>5. Non</w:t>
      </w:r>
      <w:r w:rsidR="00E5225D">
        <w:rPr>
          <w:lang w:eastAsia="en-AU"/>
        </w:rPr>
        <w:t xml:space="preserve"> </w:t>
      </w:r>
      <w:r>
        <w:rPr>
          <w:lang w:eastAsia="en-AU"/>
        </w:rPr>
        <w:t>inferiority margin</w:t>
      </w:r>
    </w:p>
    <w:p w:rsidR="007762BB" w:rsidRPr="007762BB" w:rsidRDefault="007762BB" w:rsidP="00401778">
      <w:pPr>
        <w:pStyle w:val="ListBullet"/>
      </w:pPr>
      <w:r w:rsidRPr="007762BB">
        <w:t>The magnitude of absolute efficacy is not known in rela</w:t>
      </w:r>
      <w:r>
        <w:t xml:space="preserve">tion to progesterone treatment. </w:t>
      </w:r>
      <w:r w:rsidRPr="007762BB">
        <w:t>The</w:t>
      </w:r>
      <w:r>
        <w:t xml:space="preserve"> </w:t>
      </w:r>
      <w:r w:rsidRPr="007762BB">
        <w:t>sponsor should justify the margin of non</w:t>
      </w:r>
      <w:r w:rsidR="00197E5C">
        <w:t xml:space="preserve"> </w:t>
      </w:r>
      <w:r w:rsidRPr="007762BB">
        <w:t>inferiority (10%) used in the efficacy study to</w:t>
      </w:r>
      <w:r>
        <w:t xml:space="preserve"> </w:t>
      </w:r>
      <w:r w:rsidR="00197E5C">
        <w:t xml:space="preserve">establish non </w:t>
      </w:r>
      <w:r w:rsidRPr="007762BB">
        <w:t>inferiority between treatments, in its pre</w:t>
      </w:r>
      <w:r w:rsidR="00197E5C">
        <w:t xml:space="preserve"> </w:t>
      </w:r>
      <w:r w:rsidRPr="007762BB">
        <w:t>ACPM response. There should be a</w:t>
      </w:r>
      <w:r>
        <w:t xml:space="preserve"> </w:t>
      </w:r>
      <w:r w:rsidRPr="007762BB">
        <w:t>statement in the PI re</w:t>
      </w:r>
      <w:r w:rsidR="00197E5C">
        <w:t xml:space="preserve">lating to the margin chosen, that is, </w:t>
      </w:r>
      <w:r w:rsidRPr="007762BB">
        <w:t>that absolute efficacy is not known as</w:t>
      </w:r>
      <w:r>
        <w:t xml:space="preserve"> </w:t>
      </w:r>
      <w:r w:rsidRPr="007762BB">
        <w:t>there have been no placebo controlled studies submitted.</w:t>
      </w:r>
    </w:p>
    <w:p w:rsidR="007762BB" w:rsidRPr="00A0149D" w:rsidRDefault="007762BB" w:rsidP="001243C8">
      <w:pPr>
        <w:pStyle w:val="Heading7"/>
      </w:pPr>
      <w:r>
        <w:t>Response</w:t>
      </w:r>
    </w:p>
    <w:p w:rsidR="007762BB" w:rsidRPr="007762BB" w:rsidRDefault="007762BB" w:rsidP="007762BB">
      <w:r w:rsidRPr="007762BB">
        <w:t>There are no guidelines specifying what would be an appropriate non</w:t>
      </w:r>
      <w:r w:rsidR="00197E5C">
        <w:t xml:space="preserve"> </w:t>
      </w:r>
      <w:r w:rsidRPr="007762BB">
        <w:t>inferiority limit when</w:t>
      </w:r>
      <w:r>
        <w:t xml:space="preserve"> </w:t>
      </w:r>
      <w:r w:rsidRPr="007762BB">
        <w:t>ongoing pregnancy rate is the primary endpoint. Ho</w:t>
      </w:r>
      <w:r w:rsidR="00197E5C">
        <w:t>wever, during the end of Phase II</w:t>
      </w:r>
      <w:r>
        <w:t xml:space="preserve"> </w:t>
      </w:r>
      <w:r w:rsidRPr="007762BB">
        <w:t xml:space="preserve">discussions with the FDA, this margin was agreed. A margin of -10% seems acceptable, </w:t>
      </w:r>
      <w:r w:rsidRPr="007762BB">
        <w:lastRenderedPageBreak/>
        <w:t>as it</w:t>
      </w:r>
      <w:r>
        <w:t xml:space="preserve"> </w:t>
      </w:r>
      <w:r w:rsidRPr="007762BB">
        <w:t>corresponds to an absolute difference in point estimates between treatment groups of around</w:t>
      </w:r>
      <w:r>
        <w:t xml:space="preserve"> </w:t>
      </w:r>
      <w:r w:rsidRPr="007762BB">
        <w:t>3% in ongoing pregnancy rate. Thus, the pre</w:t>
      </w:r>
      <w:r w:rsidR="00197E5C">
        <w:t xml:space="preserve"> established non </w:t>
      </w:r>
      <w:r w:rsidRPr="007762BB">
        <w:t>inferiority margin is considered</w:t>
      </w:r>
      <w:r>
        <w:t xml:space="preserve"> </w:t>
      </w:r>
      <w:r w:rsidRPr="007762BB">
        <w:t>appropriate f</w:t>
      </w:r>
      <w:r w:rsidR="00197E5C">
        <w:t>or a clinical P</w:t>
      </w:r>
      <w:r w:rsidRPr="007762BB">
        <w:t>hase III trial aiming at ruling out a clinically relevant difference</w:t>
      </w:r>
      <w:r>
        <w:t xml:space="preserve"> </w:t>
      </w:r>
      <w:r w:rsidRPr="007762BB">
        <w:t>between the experimental intervention and the approved active comparator. There is</w:t>
      </w:r>
      <w:r>
        <w:t xml:space="preserve"> </w:t>
      </w:r>
      <w:r w:rsidR="00197E5C">
        <w:t xml:space="preserve">precedence for a non </w:t>
      </w:r>
      <w:r w:rsidRPr="007762BB">
        <w:t>inferiority margin of -10% in clinical trials demonstrating the efficacy of</w:t>
      </w:r>
      <w:r>
        <w:t xml:space="preserve"> </w:t>
      </w:r>
      <w:proofErr w:type="spellStart"/>
      <w:r w:rsidRPr="007762BB">
        <w:t>gonadotrophins</w:t>
      </w:r>
      <w:proofErr w:type="spellEnd"/>
      <w:r w:rsidRPr="007762BB">
        <w:t xml:space="preserve"> with re</w:t>
      </w:r>
      <w:r w:rsidR="00197E5C">
        <w:t>spect to ongoing pregnancy (that is,</w:t>
      </w:r>
      <w:r w:rsidRPr="007762BB">
        <w:t xml:space="preserve"> the primary endpoint in the</w:t>
      </w:r>
      <w:r>
        <w:t xml:space="preserve"> </w:t>
      </w:r>
      <w:r w:rsidR="00197E5C">
        <w:t>Endometrin P</w:t>
      </w:r>
      <w:r w:rsidRPr="007762BB">
        <w:t>hase III trial). In Australia, this precedent includes one of the pivotal trials</w:t>
      </w:r>
      <w:r>
        <w:t xml:space="preserve"> </w:t>
      </w:r>
      <w:r w:rsidRPr="007762BB">
        <w:t xml:space="preserve">used for approval of the highly purified </w:t>
      </w:r>
      <w:proofErr w:type="spellStart"/>
      <w:r w:rsidRPr="007762BB">
        <w:t>menotrophin</w:t>
      </w:r>
      <w:proofErr w:type="spellEnd"/>
      <w:r w:rsidRPr="007762BB">
        <w:t xml:space="preserve"> </w:t>
      </w:r>
      <w:proofErr w:type="spellStart"/>
      <w:r w:rsidR="00197E5C">
        <w:t>Menopur</w:t>
      </w:r>
      <w:proofErr w:type="spellEnd"/>
      <w:r w:rsidRPr="007762BB">
        <w:t>. In the absence of placebo</w:t>
      </w:r>
      <w:r>
        <w:t xml:space="preserve"> </w:t>
      </w:r>
      <w:r w:rsidRPr="007762BB">
        <w:t>controlled</w:t>
      </w:r>
      <w:r>
        <w:t xml:space="preserve"> </w:t>
      </w:r>
      <w:r w:rsidRPr="007762BB">
        <w:t xml:space="preserve">trials for progesterone supplementation during the </w:t>
      </w:r>
      <w:proofErr w:type="spellStart"/>
      <w:r w:rsidRPr="007762BB">
        <w:t>luteal</w:t>
      </w:r>
      <w:proofErr w:type="spellEnd"/>
      <w:r w:rsidRPr="007762BB">
        <w:t xml:space="preserve"> phase, it seems appropriate</w:t>
      </w:r>
      <w:r>
        <w:t xml:space="preserve"> </w:t>
      </w:r>
      <w:r w:rsidRPr="007762BB">
        <w:t>to apply the non</w:t>
      </w:r>
      <w:r w:rsidR="00197E5C">
        <w:t xml:space="preserve"> </w:t>
      </w:r>
      <w:r w:rsidRPr="007762BB">
        <w:t>inferiority margins used in other trials having ongoing pregnancy as the</w:t>
      </w:r>
      <w:r>
        <w:t xml:space="preserve"> </w:t>
      </w:r>
      <w:r w:rsidRPr="007762BB">
        <w:t>primary endpoint.</w:t>
      </w:r>
    </w:p>
    <w:p w:rsidR="000A57DF" w:rsidRDefault="007762BB" w:rsidP="007762BB">
      <w:r w:rsidRPr="007762BB">
        <w:t xml:space="preserve">Regarding the requested change to the PI, </w:t>
      </w:r>
      <w:proofErr w:type="spellStart"/>
      <w:r w:rsidRPr="007762BB">
        <w:t>Ferring</w:t>
      </w:r>
      <w:proofErr w:type="spellEnd"/>
      <w:r w:rsidRPr="007762BB">
        <w:t xml:space="preserve"> agrees</w:t>
      </w:r>
      <w:r>
        <w:t xml:space="preserve"> to make the changes requested. </w:t>
      </w:r>
      <w:r w:rsidRPr="007762BB">
        <w:t xml:space="preserve">However, in this context, </w:t>
      </w:r>
      <w:proofErr w:type="spellStart"/>
      <w:r w:rsidRPr="007762BB">
        <w:t>Ferring</w:t>
      </w:r>
      <w:proofErr w:type="spellEnd"/>
      <w:r w:rsidRPr="007762BB">
        <w:t xml:space="preserve"> notes that there are no p</w:t>
      </w:r>
      <w:r>
        <w:t xml:space="preserve">lacebo controlled studies cited </w:t>
      </w:r>
      <w:r w:rsidRPr="007762BB">
        <w:t>in the</w:t>
      </w:r>
      <w:r>
        <w:t xml:space="preserve"> </w:t>
      </w:r>
      <w:r w:rsidRPr="007762BB">
        <w:t xml:space="preserve">PIs for Crinone or Orion Progesterone </w:t>
      </w:r>
      <w:proofErr w:type="spellStart"/>
      <w:r w:rsidRPr="007762BB">
        <w:t>Pessaries</w:t>
      </w:r>
      <w:proofErr w:type="spellEnd"/>
      <w:r w:rsidRPr="007762BB">
        <w:t>.</w:t>
      </w:r>
    </w:p>
    <w:p w:rsidR="00C66729" w:rsidRPr="00C66729" w:rsidRDefault="00C66729" w:rsidP="00C66729">
      <w:pPr>
        <w:pStyle w:val="Heading6"/>
      </w:pPr>
      <w:r w:rsidRPr="00C66729">
        <w:t>6. PI statement on women over 40</w:t>
      </w:r>
    </w:p>
    <w:p w:rsidR="00C66729" w:rsidRPr="00C66729" w:rsidRDefault="00C66729" w:rsidP="001243C8">
      <w:pPr>
        <w:pStyle w:val="ListBullet"/>
      </w:pPr>
      <w:r w:rsidRPr="00C66729">
        <w:t>The statement in the PI that women over the age of 40 req</w:t>
      </w:r>
      <w:r w:rsidR="00197E5C">
        <w:t>uire TID</w:t>
      </w:r>
      <w:r>
        <w:t xml:space="preserve"> regime, appears not to </w:t>
      </w:r>
      <w:r w:rsidRPr="00C66729">
        <w:t>be supported by data and should be removed.</w:t>
      </w:r>
    </w:p>
    <w:p w:rsidR="00C66729" w:rsidRPr="00A0149D" w:rsidRDefault="00C66729" w:rsidP="001243C8">
      <w:pPr>
        <w:pStyle w:val="Heading7"/>
      </w:pPr>
      <w:r>
        <w:t>Response</w:t>
      </w:r>
    </w:p>
    <w:p w:rsidR="00C66729" w:rsidRPr="00C66729" w:rsidRDefault="00C66729" w:rsidP="00C66729">
      <w:proofErr w:type="spellStart"/>
      <w:r w:rsidRPr="00C66729">
        <w:t>Ferring</w:t>
      </w:r>
      <w:proofErr w:type="spellEnd"/>
      <w:r w:rsidRPr="00C66729">
        <w:t xml:space="preserve"> agrees that this statement is not supported by a p</w:t>
      </w:r>
      <w:r>
        <w:t xml:space="preserve">rospective, randomised study in </w:t>
      </w:r>
      <w:r w:rsidRPr="00C66729">
        <w:t>this</w:t>
      </w:r>
      <w:r>
        <w:t xml:space="preserve"> </w:t>
      </w:r>
      <w:r w:rsidRPr="00C66729">
        <w:t xml:space="preserve">patient population. </w:t>
      </w:r>
      <w:proofErr w:type="spellStart"/>
      <w:r w:rsidRPr="00C66729">
        <w:t>Ferring</w:t>
      </w:r>
      <w:proofErr w:type="spellEnd"/>
      <w:r w:rsidRPr="00C66729">
        <w:t xml:space="preserve"> will remove the specified passage from the PI as requested and</w:t>
      </w:r>
      <w:r>
        <w:t xml:space="preserve"> </w:t>
      </w:r>
      <w:r w:rsidRPr="00C66729">
        <w:t>proposes, as an alternative, the wording from the Canadian Product Monograph to reflect the</w:t>
      </w:r>
      <w:r>
        <w:t xml:space="preserve"> </w:t>
      </w:r>
      <w:r w:rsidRPr="00C66729">
        <w:t>submitted study findings. The wording is reproduced below:</w:t>
      </w:r>
    </w:p>
    <w:p w:rsidR="00C66729" w:rsidRPr="00C66729" w:rsidRDefault="00C30D48" w:rsidP="00C66729">
      <w:pPr>
        <w:ind w:left="720"/>
        <w:rPr>
          <w:i/>
        </w:rPr>
      </w:pPr>
      <w:r w:rsidRPr="00C30D48">
        <w:rPr>
          <w:i/>
        </w:rPr>
        <w:t>Endometrin</w:t>
      </w:r>
      <w:r w:rsidR="00C66729" w:rsidRPr="00C30D48">
        <w:rPr>
          <w:i/>
        </w:rPr>
        <w:t xml:space="preserve"> administered</w:t>
      </w:r>
      <w:r w:rsidR="00C66729" w:rsidRPr="00C66729">
        <w:rPr>
          <w:i/>
        </w:rPr>
        <w:t xml:space="preserve"> into the vagina twice daily (BID) and three times daily (TID) dosing have both been shown to be efficacious. However specific populations may derive greater benefits from BID or TID dosing regimen and the clinician can tailor treatment to the patient. For women &lt;35 years of age and those patients with adequate ovarian reserve, E</w:t>
      </w:r>
      <w:r>
        <w:rPr>
          <w:i/>
        </w:rPr>
        <w:t>ndometrin</w:t>
      </w:r>
      <w:r w:rsidR="00C66729" w:rsidRPr="00C66729">
        <w:rPr>
          <w:i/>
        </w:rPr>
        <w:t xml:space="preserve"> BID would be the appropriate dose. For patients aged 35 and older and those with diminished ovarian reserve, TID dosing would be the preferred regimen. Serum progesterone levels may be measured 7 days post fertilisation and used to guide therapy.</w:t>
      </w:r>
    </w:p>
    <w:p w:rsidR="00BE2A69" w:rsidRPr="00BE2A69" w:rsidRDefault="009A606A" w:rsidP="00BE2A69">
      <w:pPr>
        <w:pStyle w:val="Heading5"/>
      </w:pPr>
      <w:r>
        <w:t>Risk m</w:t>
      </w:r>
      <w:r w:rsidR="00BE2A69">
        <w:t xml:space="preserve">anagement </w:t>
      </w:r>
      <w:r>
        <w:t>p</w:t>
      </w:r>
      <w:r w:rsidR="00BE2A69">
        <w:t>lan</w:t>
      </w:r>
    </w:p>
    <w:p w:rsidR="00BE2A69" w:rsidRPr="00BE2A69" w:rsidRDefault="00BE2A69" w:rsidP="00BE2A69">
      <w:r w:rsidRPr="00BE2A69">
        <w:t>The OPR evaluator recommended changes to the R</w:t>
      </w:r>
      <w:r w:rsidR="00EC13A1">
        <w:t>MP at the next update</w:t>
      </w:r>
      <w:r w:rsidRPr="00BE2A69">
        <w:t xml:space="preserve">. </w:t>
      </w:r>
      <w:proofErr w:type="spellStart"/>
      <w:r w:rsidRPr="00BE2A69">
        <w:t>Ferring</w:t>
      </w:r>
      <w:proofErr w:type="spellEnd"/>
      <w:r w:rsidRPr="00BE2A69">
        <w:t xml:space="preserve"> confirms that the E</w:t>
      </w:r>
      <w:r w:rsidR="00EC13A1">
        <w:t>ndometrin</w:t>
      </w:r>
      <w:r w:rsidRPr="00BE2A69">
        <w:t xml:space="preserve"> </w:t>
      </w:r>
      <w:r w:rsidR="00E879D6">
        <w:t>RMP</w:t>
      </w:r>
      <w:r w:rsidRPr="00BE2A69">
        <w:t xml:space="preserve"> will be</w:t>
      </w:r>
      <w:r>
        <w:t xml:space="preserve"> </w:t>
      </w:r>
      <w:r w:rsidRPr="00BE2A69">
        <w:t>amended to include the changes requested by the OPR evaluator. The next update of this</w:t>
      </w:r>
      <w:r>
        <w:t xml:space="preserve"> </w:t>
      </w:r>
      <w:r w:rsidRPr="00BE2A69">
        <w:t>document is scheduled to take place in August-September 2012.</w:t>
      </w:r>
    </w:p>
    <w:p w:rsidR="00C66729" w:rsidRDefault="00FA0DED" w:rsidP="00BE2A69">
      <w:pPr>
        <w:pStyle w:val="Heading5"/>
      </w:pPr>
      <w:r>
        <w:t>Conclusion</w:t>
      </w:r>
    </w:p>
    <w:p w:rsidR="00FA0DED" w:rsidRPr="00FA0DED" w:rsidRDefault="00FA0DED" w:rsidP="00FA0DED">
      <w:r w:rsidRPr="00FA0DED">
        <w:t>The Phase III study in this submission comprises the largest randomised controlled trial</w:t>
      </w:r>
      <w:r>
        <w:t xml:space="preserve"> </w:t>
      </w:r>
      <w:r w:rsidRPr="00FA0DED">
        <w:t>(N=1211) conducted for documenting non</w:t>
      </w:r>
      <w:r w:rsidR="00EC13A1">
        <w:t xml:space="preserve"> </w:t>
      </w:r>
      <w:r w:rsidRPr="00FA0DED">
        <w:t>inferiority of</w:t>
      </w:r>
      <w:r>
        <w:t xml:space="preserve"> a progesterone preparation for </w:t>
      </w:r>
      <w:r w:rsidRPr="00FA0DED">
        <w:t>the</w:t>
      </w:r>
      <w:r>
        <w:t xml:space="preserve"> </w:t>
      </w:r>
      <w:proofErr w:type="spellStart"/>
      <w:r w:rsidRPr="00FA0DED">
        <w:t>luteal</w:t>
      </w:r>
      <w:proofErr w:type="spellEnd"/>
      <w:r w:rsidRPr="00FA0DED">
        <w:t xml:space="preserve"> support indication. The study demonstrated that </w:t>
      </w:r>
      <w:r w:rsidR="00EC13A1">
        <w:t>Endometrin</w:t>
      </w:r>
      <w:r w:rsidRPr="00FA0DED">
        <w:t xml:space="preserve"> 100 mg TID is </w:t>
      </w:r>
      <w:proofErr w:type="spellStart"/>
      <w:r w:rsidRPr="00FA0DED">
        <w:t>noninferior</w:t>
      </w:r>
      <w:proofErr w:type="spellEnd"/>
      <w:r>
        <w:t xml:space="preserve"> </w:t>
      </w:r>
      <w:r w:rsidRPr="00FA0DED">
        <w:t>in ongoing pregnancy rates to Crinone. It is a matter of public record that neither of</w:t>
      </w:r>
      <w:r>
        <w:t xml:space="preserve"> </w:t>
      </w:r>
      <w:r w:rsidRPr="00FA0DED">
        <w:t>the two progesterone products currently registered in Australia (Crinone gel and Orion</w:t>
      </w:r>
      <w:r>
        <w:t xml:space="preserve"> </w:t>
      </w:r>
      <w:r w:rsidRPr="00FA0DED">
        <w:t xml:space="preserve">Progesterone </w:t>
      </w:r>
      <w:proofErr w:type="spellStart"/>
      <w:r w:rsidRPr="00FA0DED">
        <w:t>Pessaries</w:t>
      </w:r>
      <w:proofErr w:type="spellEnd"/>
      <w:r w:rsidRPr="00FA0DED">
        <w:t>) is supported by such an extensive clinical data package.</w:t>
      </w:r>
    </w:p>
    <w:p w:rsidR="00FA0DED" w:rsidRPr="00FA0DED" w:rsidRDefault="00FA0DED" w:rsidP="00FA0DED">
      <w:r w:rsidRPr="00FA0DED">
        <w:t>The clinical efficacy of E</w:t>
      </w:r>
      <w:r w:rsidR="00EC13A1">
        <w:t>ndometrin</w:t>
      </w:r>
      <w:r w:rsidRPr="00FA0DED">
        <w:t xml:space="preserve"> has been evaluated u</w:t>
      </w:r>
      <w:r>
        <w:t xml:space="preserve">sing standard and well accepted </w:t>
      </w:r>
      <w:r w:rsidRPr="00FA0DED">
        <w:t>clinical and laboratory procedures, incl</w:t>
      </w:r>
      <w:r w:rsidR="00EC13A1">
        <w:t>uding TVUs</w:t>
      </w:r>
      <w:r>
        <w:t xml:space="preserve"> and serum </w:t>
      </w:r>
      <w:r w:rsidRPr="00FA0DED">
        <w:t>pregnancy tests. Efficacy endpoints for the pivotal stud</w:t>
      </w:r>
      <w:r>
        <w:t xml:space="preserve">y, including ongoing pregnancy, </w:t>
      </w:r>
      <w:r w:rsidRPr="00FA0DED">
        <w:t>biochemical pregnancy, and clinical pregnancy, have be</w:t>
      </w:r>
      <w:r>
        <w:t xml:space="preserve">en used previously as endpoints </w:t>
      </w:r>
      <w:r w:rsidRPr="00FA0DED">
        <w:t>for</w:t>
      </w:r>
      <w:r>
        <w:t xml:space="preserve"> </w:t>
      </w:r>
      <w:r w:rsidRPr="00FA0DED">
        <w:t>numerous studies both in Europe and the US to investigate progester</w:t>
      </w:r>
      <w:r>
        <w:t xml:space="preserve">one </w:t>
      </w:r>
      <w:r w:rsidRPr="00FA0DED">
        <w:t>supplementation or</w:t>
      </w:r>
      <w:r>
        <w:t xml:space="preserve"> </w:t>
      </w:r>
      <w:r w:rsidRPr="00FA0DED">
        <w:t>replacement in ART.</w:t>
      </w:r>
    </w:p>
    <w:p w:rsidR="00FA0DED" w:rsidRPr="00FA0DED" w:rsidRDefault="00EC13A1" w:rsidP="00FA0DED">
      <w:r>
        <w:t>In the presence of this large P</w:t>
      </w:r>
      <w:r w:rsidR="00FA0DED" w:rsidRPr="00FA0DED">
        <w:t>hase III study (N=1211) provi</w:t>
      </w:r>
      <w:r w:rsidR="00FA0DED">
        <w:t xml:space="preserve">ding clinical outcome data on a </w:t>
      </w:r>
      <w:r w:rsidR="00FA0DED" w:rsidRPr="00FA0DED">
        <w:t>cli</w:t>
      </w:r>
      <w:r>
        <w:t>nically relevant parameter (that is,</w:t>
      </w:r>
      <w:r w:rsidR="00FA0DED" w:rsidRPr="00FA0DED">
        <w:t xml:space="preserve"> ongoing pregnancy), t</w:t>
      </w:r>
      <w:r w:rsidR="00FA0DED">
        <w:t xml:space="preserve">here should be less emphasis </w:t>
      </w:r>
      <w:r w:rsidR="00FA0DED">
        <w:lastRenderedPageBreak/>
        <w:t xml:space="preserve">on </w:t>
      </w:r>
      <w:r w:rsidR="00FA0DED" w:rsidRPr="00FA0DED">
        <w:t>extrapolating the clinical implications of systemic conc</w:t>
      </w:r>
      <w:r w:rsidR="00FA0DED">
        <w:t xml:space="preserve">entrations of progesterone in a </w:t>
      </w:r>
      <w:r w:rsidR="00FA0DED" w:rsidRPr="00FA0DED">
        <w:t>subgroup</w:t>
      </w:r>
      <w:r w:rsidR="00FA0DED">
        <w:t xml:space="preserve"> </w:t>
      </w:r>
      <w:r w:rsidR="00FA0DED" w:rsidRPr="00FA0DED">
        <w:t>of patients for a product of vaginal application in which serum levels may not directly reflect</w:t>
      </w:r>
      <w:r w:rsidR="00FA0DED">
        <w:t xml:space="preserve"> </w:t>
      </w:r>
      <w:r w:rsidR="00FA0DED" w:rsidRPr="00FA0DED">
        <w:t>tissue levels.</w:t>
      </w:r>
    </w:p>
    <w:p w:rsidR="00FA0DED" w:rsidRDefault="00FA0DED" w:rsidP="00FA0DED">
      <w:proofErr w:type="spellStart"/>
      <w:r w:rsidRPr="00FA0DED">
        <w:t>Ferring</w:t>
      </w:r>
      <w:proofErr w:type="spellEnd"/>
      <w:r w:rsidRPr="00FA0DED">
        <w:t xml:space="preserve"> maintains that, compared to Crinone once daily, the pivotal efficacy stu</w:t>
      </w:r>
      <w:r>
        <w:t xml:space="preserve">dy has </w:t>
      </w:r>
      <w:r w:rsidRPr="00FA0DED">
        <w:t>shown</w:t>
      </w:r>
      <w:r>
        <w:t xml:space="preserve"> </w:t>
      </w:r>
      <w:r w:rsidRPr="00FA0DED">
        <w:t>non</w:t>
      </w:r>
      <w:r w:rsidR="00EC13A1">
        <w:t xml:space="preserve"> </w:t>
      </w:r>
      <w:r w:rsidRPr="00FA0DED">
        <w:t>inferiority for TID dosing in all patients and non</w:t>
      </w:r>
      <w:r w:rsidR="00EC13A1">
        <w:t xml:space="preserve"> </w:t>
      </w:r>
      <w:r w:rsidRPr="00FA0DED">
        <w:t>inferiority for both regimens in patients</w:t>
      </w:r>
      <w:r>
        <w:t xml:space="preserve"> &lt;</w:t>
      </w:r>
      <w:r w:rsidRPr="00FA0DED">
        <w:t>35 y</w:t>
      </w:r>
      <w:r>
        <w:t>ears and in patients with FSH &lt;</w:t>
      </w:r>
      <w:r w:rsidRPr="00FA0DED">
        <w:t>10 IU/L.</w:t>
      </w:r>
    </w:p>
    <w:p w:rsidR="00FA0DED" w:rsidRPr="00DF6804" w:rsidRDefault="00EC13A1" w:rsidP="00DF6804">
      <w:r>
        <w:t>Endometrin</w:t>
      </w:r>
      <w:r w:rsidR="00DF6804" w:rsidRPr="00DF6804">
        <w:t xml:space="preserve"> is approved and marketed in all the relevan</w:t>
      </w:r>
      <w:r>
        <w:t xml:space="preserve">t reference countries (US, Canada, Sweden, UK, </w:t>
      </w:r>
      <w:proofErr w:type="gramStart"/>
      <w:r w:rsidR="00DF6804" w:rsidRPr="00DF6804">
        <w:t>Netherlands</w:t>
      </w:r>
      <w:proofErr w:type="gramEnd"/>
      <w:r w:rsidR="00DF6804" w:rsidRPr="00DF6804">
        <w:t xml:space="preserve">). </w:t>
      </w:r>
      <w:proofErr w:type="spellStart"/>
      <w:r w:rsidR="00DF6804" w:rsidRPr="00DF6804">
        <w:t>Ferring</w:t>
      </w:r>
      <w:proofErr w:type="spellEnd"/>
      <w:r w:rsidR="00DF6804" w:rsidRPr="00DF6804">
        <w:t xml:space="preserve"> maintains that E</w:t>
      </w:r>
      <w:r>
        <w:t>ndometrin</w:t>
      </w:r>
      <w:r w:rsidR="00DF6804" w:rsidRPr="00DF6804">
        <w:t xml:space="preserve"> should b</w:t>
      </w:r>
      <w:r>
        <w:t xml:space="preserve">e made available as </w:t>
      </w:r>
      <w:proofErr w:type="gramStart"/>
      <w:r>
        <w:t>an evidence</w:t>
      </w:r>
      <w:proofErr w:type="gramEnd"/>
      <w:r>
        <w:t xml:space="preserve"> </w:t>
      </w:r>
      <w:r w:rsidR="00DF6804" w:rsidRPr="00DF6804">
        <w:t>based alternative treatment option for Australian IVF patients.</w:t>
      </w:r>
    </w:p>
    <w:p w:rsidR="008E7846" w:rsidRDefault="009A606A" w:rsidP="009A606A">
      <w:pPr>
        <w:pStyle w:val="Heading4"/>
      </w:pPr>
      <w:r>
        <w:t>Advisory committee c</w:t>
      </w:r>
      <w:r w:rsidR="008E7846">
        <w:t>onsiderations</w:t>
      </w:r>
    </w:p>
    <w:p w:rsidR="007A046F" w:rsidRDefault="007A046F" w:rsidP="007A046F">
      <w:r>
        <w:t xml:space="preserve">The </w:t>
      </w:r>
      <w:r w:rsidRPr="001C5DFC">
        <w:rPr>
          <w:bCs/>
        </w:rPr>
        <w:t>AC</w:t>
      </w:r>
      <w:r>
        <w:rPr>
          <w:bCs/>
        </w:rPr>
        <w:t>PM</w:t>
      </w:r>
      <w:r>
        <w:t>, taking into account the submitted evidence of efficacy, safety and quality, agreed with the Delegate and considered this product to have an overall positive benefit-risk profile for the following indication:</w:t>
      </w:r>
    </w:p>
    <w:p w:rsidR="007A046F" w:rsidRPr="007A046F" w:rsidRDefault="007A046F" w:rsidP="007A046F">
      <w:pPr>
        <w:ind w:left="720"/>
        <w:rPr>
          <w:i/>
        </w:rPr>
      </w:pPr>
      <w:r w:rsidRPr="007A046F">
        <w:rPr>
          <w:i/>
        </w:rPr>
        <w:t xml:space="preserve">For luteal support as part of an Assisted Reproductive Technology (ART) treatment programme for infertile women currently approved for the vaginal gel and </w:t>
      </w:r>
      <w:proofErr w:type="spellStart"/>
      <w:r w:rsidRPr="007A046F">
        <w:rPr>
          <w:i/>
        </w:rPr>
        <w:t>pessaries</w:t>
      </w:r>
      <w:proofErr w:type="spellEnd"/>
      <w:r w:rsidRPr="007A046F">
        <w:rPr>
          <w:i/>
        </w:rPr>
        <w:t xml:space="preserve"> formulations. </w:t>
      </w:r>
    </w:p>
    <w:p w:rsidR="007A046F" w:rsidRDefault="007A046F" w:rsidP="007A046F">
      <w:r>
        <w:t>In making this recommendation, the ACPM noted the evidence from the studies submitted do not support a dosage regimen other than three times a day as this dosage is efficacious and safe. The study did not identify the w</w:t>
      </w:r>
      <w:r w:rsidR="00EC13A1">
        <w:t>omen who would respond to the BID</w:t>
      </w:r>
      <w:r w:rsidR="009A606A">
        <w:t xml:space="preserve"> (twice daily) dosing regimen.</w:t>
      </w:r>
    </w:p>
    <w:p w:rsidR="007A046F" w:rsidRDefault="007A046F" w:rsidP="007A046F">
      <w:r>
        <w:t xml:space="preserve">The ACPM agreed with the </w:t>
      </w:r>
      <w:r w:rsidR="007C1152">
        <w:t>D</w:t>
      </w:r>
      <w:r>
        <w:t>elegate to the proposed amendme</w:t>
      </w:r>
      <w:r w:rsidR="00EC13A1">
        <w:t>nts to the PI</w:t>
      </w:r>
      <w:r>
        <w:t xml:space="preserve"> and Consumer Medicine Information (CMI).</w:t>
      </w:r>
    </w:p>
    <w:p w:rsidR="007A046F" w:rsidRPr="00A322B3" w:rsidRDefault="007A046F" w:rsidP="007A046F">
      <w:r>
        <w:t>The ACPM advised that the implementation by the sponsor of the recommendations outlined above to the satisfaction of the TGA, in addition to the evidence of efficacy and safety provided would support the safe and effective use of this product.</w:t>
      </w:r>
    </w:p>
    <w:p w:rsidR="008E7846" w:rsidRPr="002E238E" w:rsidRDefault="008E7846" w:rsidP="008E7846">
      <w:pPr>
        <w:pStyle w:val="Heading3"/>
      </w:pPr>
      <w:bookmarkStart w:id="148" w:name="_Toc247691532"/>
      <w:bookmarkStart w:id="149" w:name="_Toc314842516"/>
      <w:bookmarkStart w:id="150" w:name="_Toc357785382"/>
      <w:bookmarkEnd w:id="86"/>
      <w:bookmarkEnd w:id="145"/>
      <w:bookmarkEnd w:id="146"/>
      <w:r>
        <w:t>Outcome</w:t>
      </w:r>
      <w:bookmarkEnd w:id="148"/>
      <w:bookmarkEnd w:id="149"/>
      <w:bookmarkEnd w:id="150"/>
    </w:p>
    <w:p w:rsidR="008E7846" w:rsidRDefault="008E7846" w:rsidP="00E822CD">
      <w:r>
        <w:t>Based on a review of quality, safety and efficacy, TGA app</w:t>
      </w:r>
      <w:r w:rsidR="0089498F">
        <w:t>roved the registration of Endometrin Pessaries (progesterone)</w:t>
      </w:r>
      <w:r>
        <w:t xml:space="preserve"> </w:t>
      </w:r>
      <w:r w:rsidR="00EA4623">
        <w:t>100 mg tablets (</w:t>
      </w:r>
      <w:r w:rsidR="00327344">
        <w:t>vaginal</w:t>
      </w:r>
      <w:r w:rsidR="00EA4623">
        <w:t xml:space="preserve"> administration). The approved indication reads as follows:</w:t>
      </w:r>
    </w:p>
    <w:p w:rsidR="008E7846" w:rsidRPr="00EA4623" w:rsidRDefault="00BD426A" w:rsidP="00EA4623">
      <w:pPr>
        <w:keepNext/>
        <w:keepLines/>
        <w:widowControl w:val="0"/>
        <w:ind w:left="720"/>
        <w:rPr>
          <w:i/>
        </w:rPr>
      </w:pPr>
      <w:r w:rsidRPr="00EA4623">
        <w:rPr>
          <w:i/>
        </w:rPr>
        <w:t xml:space="preserve">Endometrin </w:t>
      </w:r>
      <w:proofErr w:type="spellStart"/>
      <w:r w:rsidRPr="00EA4623">
        <w:rPr>
          <w:i/>
        </w:rPr>
        <w:t>Pessaries</w:t>
      </w:r>
      <w:proofErr w:type="spellEnd"/>
      <w:r w:rsidRPr="00EA4623">
        <w:rPr>
          <w:i/>
        </w:rPr>
        <w:t xml:space="preserve"> are indicated for luteal support as part of an Assisted Reproductive Technology (ART) treatment programme for infertile women</w:t>
      </w:r>
    </w:p>
    <w:p w:rsidR="00DA178C" w:rsidRPr="005B5947" w:rsidRDefault="00AB3E09" w:rsidP="00DA178C">
      <w:pPr>
        <w:rPr>
          <w:b/>
        </w:rPr>
      </w:pPr>
      <w:r>
        <w:rPr>
          <w:b/>
        </w:rPr>
        <w:br w:type="page"/>
      </w:r>
      <w:r w:rsidR="00DA178C" w:rsidRPr="00E822CD">
        <w:rPr>
          <w:rStyle w:val="Heading4Char"/>
        </w:rPr>
        <w:lastRenderedPageBreak/>
        <w:t>Specific conditions of registration applying to th</w:t>
      </w:r>
      <w:r w:rsidR="00DA178C" w:rsidRPr="005B5947">
        <w:rPr>
          <w:b/>
        </w:rPr>
        <w:t>ese therapeutic goods:</w:t>
      </w:r>
    </w:p>
    <w:p w:rsidR="00DA178C" w:rsidRDefault="00DA178C" w:rsidP="00AA4A3D">
      <w:pPr>
        <w:pStyle w:val="Numberbullet0"/>
        <w:numPr>
          <w:ilvl w:val="0"/>
          <w:numId w:val="9"/>
        </w:numPr>
      </w:pPr>
      <w:r>
        <w:t>1. Details of the distribution of the drug</w:t>
      </w:r>
      <w:r w:rsidR="00A01456">
        <w:t>,</w:t>
      </w:r>
      <w:r>
        <w:t xml:space="preserve"> including quantities and forms of products distributed and related batch numbers</w:t>
      </w:r>
      <w:r w:rsidR="00A01456">
        <w:t>,</w:t>
      </w:r>
      <w:r>
        <w:t xml:space="preserve"> </w:t>
      </w:r>
      <w:r w:rsidR="00FB118E">
        <w:t xml:space="preserve">should be supplied on request while the drug remains on the </w:t>
      </w:r>
      <w:r w:rsidR="004A6333" w:rsidRPr="004A6333">
        <w:t>Australian Register of Therapeutic Goods</w:t>
      </w:r>
      <w:r w:rsidR="004A6333">
        <w:t>.</w:t>
      </w:r>
    </w:p>
    <w:p w:rsidR="00DA178C" w:rsidRDefault="00DA178C" w:rsidP="00AA4A3D">
      <w:pPr>
        <w:pStyle w:val="Numberbullet0"/>
        <w:numPr>
          <w:ilvl w:val="0"/>
          <w:numId w:val="9"/>
        </w:numPr>
      </w:pPr>
      <w:r>
        <w:t xml:space="preserve">2. </w:t>
      </w:r>
      <w:r w:rsidRPr="00CF5ABB">
        <w:t xml:space="preserve">The implementation in Australia of the </w:t>
      </w:r>
      <w:r w:rsidR="00A01456">
        <w:t xml:space="preserve">Endometrin Pessaries progesterone </w:t>
      </w:r>
      <w:r>
        <w:t>RMP</w:t>
      </w:r>
      <w:r w:rsidR="00A01456">
        <w:t xml:space="preserve"> version 1.0, dated 12 August</w:t>
      </w:r>
      <w:r w:rsidRPr="00CF5ABB">
        <w:t xml:space="preserve"> 2011</w:t>
      </w:r>
      <w:r>
        <w:t xml:space="preserve"> </w:t>
      </w:r>
      <w:r w:rsidR="00A01456">
        <w:t xml:space="preserve">(to be revised as specified in the sponsor’s correspondence dated 17 August 2012), </w:t>
      </w:r>
      <w:r w:rsidRPr="00CF5ABB">
        <w:t>included with submission</w:t>
      </w:r>
      <w:r w:rsidR="00A01456">
        <w:t xml:space="preserve"> 2011-02023-3-5</w:t>
      </w:r>
      <w:r w:rsidRPr="00CF5ABB">
        <w:t xml:space="preserve">, and any subsequent revisions, as agreed with the TGA and its </w:t>
      </w:r>
      <w:r>
        <w:t>OPR</w:t>
      </w:r>
      <w:r w:rsidR="00A01456">
        <w:t>.</w:t>
      </w:r>
    </w:p>
    <w:p w:rsidR="004C62F6" w:rsidRDefault="004C62F6" w:rsidP="004C62F6">
      <w:pPr>
        <w:pStyle w:val="Heading2"/>
      </w:pPr>
      <w:bookmarkStart w:id="151" w:name="_Toc247691533"/>
      <w:bookmarkStart w:id="152" w:name="_Toc314842517"/>
      <w:bookmarkStart w:id="153" w:name="_Toc357785383"/>
      <w:proofErr w:type="gramStart"/>
      <w:r>
        <w:t>Attachment 1.</w:t>
      </w:r>
      <w:proofErr w:type="gramEnd"/>
      <w:r>
        <w:tab/>
        <w:t>Product Information</w:t>
      </w:r>
      <w:bookmarkEnd w:id="151"/>
      <w:bookmarkEnd w:id="152"/>
      <w:bookmarkEnd w:id="153"/>
    </w:p>
    <w:p w:rsidR="004C62F6" w:rsidRDefault="004C62F6" w:rsidP="004C62F6">
      <w:pPr>
        <w:keepNext/>
        <w:keepLines/>
        <w:widowControl w:val="0"/>
      </w:pPr>
      <w:r w:rsidRPr="0037352E">
        <w:t>The following Product Information was approved at the time this AusPAR was published. For the current Product Information please refer to the TGA website at</w:t>
      </w:r>
      <w:r>
        <w:t xml:space="preserve"> &lt;</w:t>
      </w:r>
      <w:r w:rsidRPr="00722B57">
        <w:rPr>
          <w:rStyle w:val="Hyperlink"/>
        </w:rPr>
        <w:t>http://www.tga.gov.au/hp/information-medicines-pi.htm</w:t>
      </w:r>
      <w:hyperlink w:history="1"/>
      <w:r>
        <w:rPr>
          <w:color w:val="000000"/>
          <w:lang w:eastAsia="en-AU"/>
        </w:rPr>
        <w:t>&gt;.</w:t>
      </w:r>
    </w:p>
    <w:p w:rsidR="00DA178C" w:rsidRPr="003022A6" w:rsidRDefault="004C62F6" w:rsidP="004C62F6">
      <w:pPr>
        <w:pStyle w:val="Heading2"/>
      </w:pPr>
      <w:bookmarkStart w:id="154" w:name="_Toc356479253"/>
      <w:bookmarkStart w:id="155" w:name="_Toc357785297"/>
      <w:bookmarkStart w:id="156" w:name="_Toc357785384"/>
      <w:proofErr w:type="gramStart"/>
      <w:r>
        <w:rPr>
          <w:lang w:eastAsia="en-AU"/>
        </w:rPr>
        <w:t>Attachment 2.</w:t>
      </w:r>
      <w:proofErr w:type="gramEnd"/>
      <w:r>
        <w:rPr>
          <w:lang w:eastAsia="en-AU"/>
        </w:rPr>
        <w:t xml:space="preserve"> Extract from the Clinical Evaluation Report</w:t>
      </w:r>
      <w:bookmarkEnd w:id="154"/>
      <w:bookmarkEnd w:id="155"/>
      <w:bookmarkEnd w:id="156"/>
    </w:p>
    <w:p w:rsidR="003D1E62" w:rsidRPr="00A12C42" w:rsidRDefault="003D1E62" w:rsidP="00A12C42">
      <w:pPr>
        <w:autoSpaceDE w:val="0"/>
        <w:autoSpaceDN w:val="0"/>
        <w:adjustRightInd w:val="0"/>
        <w:spacing w:after="0"/>
        <w:rPr>
          <w:color w:val="000000"/>
          <w:lang w:eastAsia="en-AU"/>
        </w:rPr>
      </w:pPr>
    </w:p>
    <w:p w:rsidR="003D1E62" w:rsidRPr="001D043B" w:rsidRDefault="003D1E62" w:rsidP="00973C1B">
      <w:pPr>
        <w:pStyle w:val="Heading4"/>
        <w:sectPr w:rsidR="003D1E62" w:rsidRPr="001D043B" w:rsidSect="00B452CE">
          <w:headerReference w:type="even" r:id="rId27"/>
          <w:headerReference w:type="default" r:id="rId28"/>
          <w:footerReference w:type="default" r:id="rId29"/>
          <w:headerReference w:type="first" r:id="rId30"/>
          <w:footerReference w:type="first" r:id="rId31"/>
          <w:pgSz w:w="11906" w:h="16838" w:code="9"/>
          <w:pgMar w:top="834" w:right="1701" w:bottom="1191" w:left="1701" w:header="907" w:footer="216" w:gutter="0"/>
          <w:cols w:space="708"/>
          <w:docGrid w:linePitch="360"/>
        </w:sectPr>
      </w:pPr>
    </w:p>
    <w:p w:rsidR="00774E1D" w:rsidRPr="008A5E0B" w:rsidRDefault="00774E1D" w:rsidP="00973C1B"/>
    <w:sectPr w:rsidR="00774E1D" w:rsidRPr="008A5E0B" w:rsidSect="00E45619">
      <w:headerReference w:type="even" r:id="rId32"/>
      <w:headerReference w:type="default" r:id="rId33"/>
      <w:footerReference w:type="default" r:id="rId34"/>
      <w:headerReference w:type="first" r:id="rId35"/>
      <w:footerReference w:type="first" r:id="rId36"/>
      <w:pgSz w:w="11906" w:h="16838" w:code="9"/>
      <w:pgMar w:top="2211"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A3D" w:rsidRDefault="00AA4A3D" w:rsidP="00C40A36">
      <w:pPr>
        <w:spacing w:after="0"/>
      </w:pPr>
      <w:r>
        <w:separator/>
      </w:r>
    </w:p>
  </w:endnote>
  <w:endnote w:type="continuationSeparator" w:id="0">
    <w:p w:rsidR="00AA4A3D" w:rsidRDefault="00AA4A3D"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Times New Roman"/>
    <w:panose1 w:val="00000000000000000000"/>
    <w:charset w:val="00"/>
    <w:family w:val="roman"/>
    <w:notTrueType/>
    <w:pitch w:val="default"/>
    <w:sig w:usb0="00000001"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E3D" w:rsidRDefault="00397E3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7938"/>
      <w:gridCol w:w="923"/>
    </w:tblGrid>
    <w:tr w:rsidR="00C70876" w:rsidRPr="00487162" w:rsidTr="0053625B">
      <w:trPr>
        <w:trHeight w:val="269"/>
      </w:trPr>
      <w:tc>
        <w:tcPr>
          <w:tcW w:w="7938" w:type="dxa"/>
          <w:tcMar>
            <w:top w:w="142" w:type="dxa"/>
            <w:bottom w:w="0" w:type="dxa"/>
          </w:tcMar>
        </w:tcPr>
        <w:p w:rsidR="00C70876" w:rsidRPr="00487162" w:rsidRDefault="00C70876" w:rsidP="00BB25A2">
          <w:pPr>
            <w:pStyle w:val="Footer"/>
          </w:pPr>
          <w:proofErr w:type="spellStart"/>
          <w:r w:rsidRPr="00487162">
            <w:t>AusPAR</w:t>
          </w:r>
          <w:proofErr w:type="spellEnd"/>
          <w:r w:rsidRPr="00487162">
            <w:t xml:space="preserve"> </w:t>
          </w:r>
          <w:r w:rsidR="00BB25A2">
            <w:t>Progesterone (</w:t>
          </w:r>
          <w:proofErr w:type="spellStart"/>
          <w:r>
            <w:t>E</w:t>
          </w:r>
          <w:r w:rsidR="00BB25A2">
            <w:t>ndometrin</w:t>
          </w:r>
          <w:proofErr w:type="spellEnd"/>
          <w:r w:rsidR="00BB25A2">
            <w:t xml:space="preserve"> </w:t>
          </w:r>
          <w:proofErr w:type="spellStart"/>
          <w:r w:rsidR="00BB25A2">
            <w:t>Pessaries</w:t>
          </w:r>
          <w:proofErr w:type="spellEnd"/>
          <w:r w:rsidR="00FE51C6">
            <w:t xml:space="preserve">) </w:t>
          </w:r>
          <w:proofErr w:type="spellStart"/>
          <w:r>
            <w:t>Ferring</w:t>
          </w:r>
          <w:proofErr w:type="spellEnd"/>
          <w:r>
            <w:t xml:space="preserve"> Pharmaceuticals Pty Ltd</w:t>
          </w:r>
          <w:r w:rsidRPr="00487162">
            <w:t xml:space="preserve"> </w:t>
          </w:r>
          <w:r w:rsidRPr="006A09A9">
            <w:t>PM-2011-02023-3-5</w:t>
          </w:r>
          <w:r>
            <w:br/>
          </w:r>
          <w:r w:rsidR="00A95A15">
            <w:t xml:space="preserve">Final </w:t>
          </w:r>
          <w:r w:rsidR="00201570">
            <w:t>12 June</w:t>
          </w:r>
          <w:r w:rsidR="00A95A15">
            <w:t xml:space="preserve"> </w:t>
          </w:r>
          <w:r>
            <w:t>2013</w:t>
          </w:r>
        </w:p>
      </w:tc>
      <w:tc>
        <w:tcPr>
          <w:tcW w:w="923" w:type="dxa"/>
          <w:tcMar>
            <w:top w:w="142" w:type="dxa"/>
            <w:bottom w:w="0" w:type="dxa"/>
          </w:tcMar>
        </w:tcPr>
        <w:p w:rsidR="00C70876" w:rsidRPr="00487162" w:rsidRDefault="00C70876" w:rsidP="00D855D4">
          <w:pPr>
            <w:pStyle w:val="Footer"/>
            <w:jc w:val="right"/>
          </w:pPr>
          <w:r w:rsidRPr="00487162">
            <w:t xml:space="preserve">Page </w:t>
          </w:r>
          <w:r>
            <w:t>2</w:t>
          </w:r>
          <w:r w:rsidRPr="00487162">
            <w:t xml:space="preserve"> of </w:t>
          </w:r>
          <w:fldSimple w:instr=" NUMPAGES  \* Arabic ">
            <w:r w:rsidR="000F453E">
              <w:rPr>
                <w:noProof/>
              </w:rPr>
              <w:t>30</w:t>
            </w:r>
          </w:fldSimple>
        </w:p>
      </w:tc>
    </w:tr>
  </w:tbl>
  <w:p w:rsidR="00C70876" w:rsidRDefault="00C70876" w:rsidP="003D1E6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rsidP="00165389"/>
  <w:p w:rsidR="00C70876" w:rsidRDefault="00C7087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571" w:type="dxa"/>
      <w:tblBorders>
        <w:top w:val="single" w:sz="4" w:space="0" w:color="auto"/>
      </w:tblBorders>
      <w:tblLayout w:type="fixed"/>
      <w:tblCellMar>
        <w:top w:w="170" w:type="dxa"/>
        <w:left w:w="0" w:type="dxa"/>
        <w:bottom w:w="170" w:type="dxa"/>
        <w:right w:w="0" w:type="dxa"/>
      </w:tblCellMar>
      <w:tblLook w:val="04A0"/>
    </w:tblPr>
    <w:tblGrid>
      <w:gridCol w:w="7371"/>
      <w:gridCol w:w="1200"/>
    </w:tblGrid>
    <w:tr w:rsidR="00C70876" w:rsidRPr="00487162" w:rsidTr="006C665D">
      <w:trPr>
        <w:trHeight w:val="323"/>
      </w:trPr>
      <w:tc>
        <w:tcPr>
          <w:tcW w:w="7371" w:type="dxa"/>
          <w:tcMar>
            <w:top w:w="142" w:type="dxa"/>
            <w:bottom w:w="0" w:type="dxa"/>
          </w:tcMar>
        </w:tcPr>
        <w:p w:rsidR="00C70876" w:rsidRPr="00487162" w:rsidRDefault="00C70876" w:rsidP="00BB25A2">
          <w:pPr>
            <w:pStyle w:val="Footer"/>
          </w:pPr>
          <w:proofErr w:type="spellStart"/>
          <w:r w:rsidRPr="00487162">
            <w:t>Au</w:t>
          </w:r>
          <w:r w:rsidRPr="003B4D60">
            <w:t>sPAR</w:t>
          </w:r>
          <w:proofErr w:type="spellEnd"/>
          <w:r w:rsidRPr="003B4D60">
            <w:t xml:space="preserve"> </w:t>
          </w:r>
          <w:r w:rsidR="00BB25A2">
            <w:t>Progesterone (</w:t>
          </w:r>
          <w:proofErr w:type="spellStart"/>
          <w:r>
            <w:t>Endometrin</w:t>
          </w:r>
          <w:proofErr w:type="spellEnd"/>
          <w:r>
            <w:t xml:space="preserve"> </w:t>
          </w:r>
          <w:proofErr w:type="spellStart"/>
          <w:r>
            <w:t>Pessaries</w:t>
          </w:r>
          <w:proofErr w:type="spellEnd"/>
          <w:r w:rsidR="006C665D">
            <w:t>)</w:t>
          </w:r>
          <w:r>
            <w:t xml:space="preserve"> </w:t>
          </w:r>
          <w:proofErr w:type="spellStart"/>
          <w:r>
            <w:t>Ferring</w:t>
          </w:r>
          <w:proofErr w:type="spellEnd"/>
          <w:r>
            <w:t xml:space="preserve"> Pharmaceuticals Pty Ltd</w:t>
          </w:r>
          <w:r w:rsidRPr="00487162">
            <w:t xml:space="preserve"> </w:t>
          </w:r>
          <w:r w:rsidRPr="006A09A9">
            <w:t>PM-2011-02023-3-5</w:t>
          </w:r>
          <w:r w:rsidR="0076103E">
            <w:br/>
            <w:t>Final</w:t>
          </w:r>
          <w:r w:rsidR="00201570">
            <w:t xml:space="preserve"> 12 June</w:t>
          </w:r>
          <w:r>
            <w:t xml:space="preserve"> 2013</w:t>
          </w:r>
        </w:p>
      </w:tc>
      <w:tc>
        <w:tcPr>
          <w:tcW w:w="1200" w:type="dxa"/>
          <w:tcMar>
            <w:top w:w="142" w:type="dxa"/>
            <w:bottom w:w="0" w:type="dxa"/>
          </w:tcMar>
        </w:tcPr>
        <w:p w:rsidR="00C70876" w:rsidRPr="00487162" w:rsidRDefault="00C70876" w:rsidP="00E45619">
          <w:pPr>
            <w:pStyle w:val="Footer"/>
            <w:jc w:val="right"/>
          </w:pPr>
          <w:r w:rsidRPr="00487162">
            <w:t xml:space="preserve">Page </w:t>
          </w:r>
          <w:fldSimple w:instr="PAGE">
            <w:r w:rsidR="000F453E">
              <w:rPr>
                <w:noProof/>
              </w:rPr>
              <w:t>3</w:t>
            </w:r>
          </w:fldSimple>
          <w:r w:rsidRPr="00487162">
            <w:t xml:space="preserve"> of </w:t>
          </w:r>
          <w:fldSimple w:instr=" NUMPAGES  \* Arabic ">
            <w:r w:rsidR="000F453E">
              <w:rPr>
                <w:noProof/>
              </w:rPr>
              <w:t>30</w:t>
            </w:r>
          </w:fldSimple>
        </w:p>
      </w:tc>
    </w:tr>
  </w:tbl>
  <w:p w:rsidR="00C70876" w:rsidRDefault="00C70876" w:rsidP="00E26130">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C70876" w:rsidRPr="00487162" w:rsidTr="00E45619">
      <w:trPr>
        <w:trHeight w:val="269"/>
      </w:trPr>
      <w:tc>
        <w:tcPr>
          <w:tcW w:w="4519" w:type="dxa"/>
          <w:tcBorders>
            <w:top w:val="single" w:sz="4" w:space="0" w:color="auto"/>
          </w:tcBorders>
          <w:tcMar>
            <w:top w:w="142" w:type="dxa"/>
            <w:bottom w:w="0" w:type="dxa"/>
          </w:tcMar>
        </w:tcPr>
        <w:p w:rsidR="00C70876" w:rsidRPr="00487162" w:rsidRDefault="00C70876" w:rsidP="00FE1DEE">
          <w:pPr>
            <w:pStyle w:val="Footer"/>
          </w:pPr>
          <w:r w:rsidRPr="00487162">
            <w:t>Document title, Part #, Section # - Section title</w:t>
          </w:r>
        </w:p>
        <w:p w:rsidR="00C70876" w:rsidRPr="00487162" w:rsidRDefault="00C70876" w:rsidP="00FE1DEE">
          <w:pPr>
            <w:pStyle w:val="Footer"/>
          </w:pPr>
          <w:r w:rsidRPr="00487162">
            <w:t>V1.0 October 2010</w:t>
          </w:r>
        </w:p>
      </w:tc>
      <w:tc>
        <w:tcPr>
          <w:tcW w:w="4342" w:type="dxa"/>
          <w:tcBorders>
            <w:top w:val="single" w:sz="4" w:space="0" w:color="auto"/>
          </w:tcBorders>
          <w:tcMar>
            <w:top w:w="142" w:type="dxa"/>
            <w:bottom w:w="0" w:type="dxa"/>
          </w:tcMar>
        </w:tcPr>
        <w:p w:rsidR="00C70876" w:rsidRPr="00487162" w:rsidRDefault="00C70876"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6</w:t>
            </w:r>
          </w:fldSimple>
        </w:p>
      </w:tc>
    </w:tr>
  </w:tbl>
  <w:p w:rsidR="00C70876" w:rsidRDefault="00C7087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pPr>
      <w:pStyle w:val="Footer"/>
      <w:jc w:val="right"/>
    </w:pPr>
  </w:p>
  <w:tbl>
    <w:tblPr>
      <w:tblW w:w="9175" w:type="dxa"/>
      <w:tblInd w:w="-284" w:type="dxa"/>
      <w:tblLayout w:type="fixed"/>
      <w:tblCellMar>
        <w:left w:w="0" w:type="dxa"/>
        <w:right w:w="0" w:type="dxa"/>
      </w:tblCellMar>
      <w:tblLook w:val="04A0"/>
    </w:tblPr>
    <w:tblGrid>
      <w:gridCol w:w="9175"/>
    </w:tblGrid>
    <w:tr w:rsidR="00C70876" w:rsidRPr="00487162" w:rsidTr="00E45619">
      <w:trPr>
        <w:trHeight w:hRule="exact" w:val="704"/>
      </w:trPr>
      <w:tc>
        <w:tcPr>
          <w:tcW w:w="9175" w:type="dxa"/>
        </w:tcPr>
        <w:p w:rsidR="00C70876" w:rsidRPr="00487162" w:rsidRDefault="00C70876" w:rsidP="008E7846">
          <w:pPr>
            <w:pStyle w:val="TGASignoff"/>
          </w:pPr>
          <w:r w:rsidRPr="00487162">
            <w:t>Therapeutic Goods Administration</w:t>
          </w:r>
        </w:p>
      </w:tc>
    </w:tr>
    <w:tr w:rsidR="00C70876" w:rsidRPr="00487162" w:rsidTr="00E45619">
      <w:trPr>
        <w:trHeight w:val="1221"/>
      </w:trPr>
      <w:tc>
        <w:tcPr>
          <w:tcW w:w="9175" w:type="dxa"/>
          <w:tcMar>
            <w:top w:w="28" w:type="dxa"/>
          </w:tcMar>
        </w:tcPr>
        <w:p w:rsidR="00C70876" w:rsidRPr="00487162" w:rsidRDefault="00C70876" w:rsidP="00E45619">
          <w:pPr>
            <w:pStyle w:val="Address"/>
          </w:pPr>
          <w:r w:rsidRPr="00487162">
            <w:t>PO Box 100 Woden ACT 2606 Australia</w:t>
          </w:r>
        </w:p>
        <w:p w:rsidR="00C70876" w:rsidRPr="00487162" w:rsidRDefault="00C70876" w:rsidP="00E45619">
          <w:pPr>
            <w:pStyle w:val="Address"/>
          </w:pPr>
          <w:r w:rsidRPr="00487162">
            <w:t>Email: info@tga.gov.au</w:t>
          </w:r>
          <w:r>
            <w:t xml:space="preserve"> </w:t>
          </w:r>
          <w:r w:rsidRPr="00487162">
            <w:t>Phone: 1800 020 653</w:t>
          </w:r>
          <w:r>
            <w:t xml:space="preserve"> </w:t>
          </w:r>
          <w:r w:rsidRPr="00487162">
            <w:t>Fax: 02 6232 8605</w:t>
          </w:r>
        </w:p>
        <w:p w:rsidR="00C70876" w:rsidRPr="00112F56" w:rsidRDefault="003C15BA" w:rsidP="00E45619">
          <w:pPr>
            <w:pStyle w:val="Address"/>
            <w:spacing w:line="260" w:lineRule="atLeast"/>
            <w:rPr>
              <w:rStyle w:val="Hyperlink"/>
              <w:b/>
            </w:rPr>
          </w:pPr>
          <w:hyperlink r:id="rId1" w:history="1">
            <w:r w:rsidRPr="00740077">
              <w:rPr>
                <w:rStyle w:val="Hyperlink"/>
                <w:b/>
              </w:rPr>
              <w:t>http://www.tga.gov.au</w:t>
            </w:r>
          </w:hyperlink>
        </w:p>
        <w:p w:rsidR="00C70876" w:rsidRDefault="00C70876" w:rsidP="00E45619">
          <w:pPr>
            <w:pStyle w:val="Reference"/>
            <w:jc w:val="center"/>
          </w:pPr>
          <w:r w:rsidRPr="00487162">
            <w:t>Reference/Publication #</w:t>
          </w:r>
        </w:p>
        <w:p w:rsidR="00C70876" w:rsidRPr="00487162" w:rsidRDefault="00C70876" w:rsidP="00E45619">
          <w:pPr>
            <w:pStyle w:val="Reference"/>
            <w:ind w:firstLine="0"/>
          </w:pPr>
        </w:p>
      </w:tc>
    </w:tr>
  </w:tbl>
  <w:p w:rsidR="00C70876" w:rsidRDefault="00C70876" w:rsidP="008E7846">
    <w:pPr>
      <w:pStyle w:val="Notes"/>
    </w:pPr>
  </w:p>
  <w:p w:rsidR="00C70876" w:rsidRPr="008E7846" w:rsidRDefault="00C70876" w:rsidP="008E784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C70876" w:rsidTr="0010601F">
      <w:trPr>
        <w:trHeight w:val="108"/>
      </w:trPr>
      <w:tc>
        <w:tcPr>
          <w:tcW w:w="8875" w:type="dxa"/>
          <w:gridSpan w:val="2"/>
          <w:tcBorders>
            <w:bottom w:val="single" w:sz="4" w:space="0" w:color="auto"/>
          </w:tcBorders>
          <w:tcMar>
            <w:right w:w="284" w:type="dxa"/>
          </w:tcMar>
        </w:tcPr>
        <w:p w:rsidR="00C70876" w:rsidRDefault="00C70876" w:rsidP="006E08B3">
          <w:pPr>
            <w:pStyle w:val="Heading3"/>
          </w:pPr>
          <w:r>
            <w:t>Copyright</w:t>
          </w:r>
        </w:p>
        <w:p w:rsidR="00C70876" w:rsidRDefault="00C70876" w:rsidP="006E08B3">
          <w:r>
            <w:rPr>
              <w:rFonts w:cs="Arial"/>
            </w:rPr>
            <w:t>©</w:t>
          </w:r>
          <w:r>
            <w:t xml:space="preserve"> Commonwealth of Australia [add year]</w:t>
          </w:r>
        </w:p>
        <w:p w:rsidR="00C70876" w:rsidRDefault="00C70876" w:rsidP="006E08B3"/>
        <w:p w:rsidR="00C70876" w:rsidRDefault="00C70876"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C70876" w:rsidRDefault="00C70876" w:rsidP="006E08B3"/>
        <w:p w:rsidR="00C70876" w:rsidRDefault="00C70876" w:rsidP="006E08B3">
          <w:pPr>
            <w:pStyle w:val="Heading3"/>
          </w:pPr>
          <w:r>
            <w:t>Confidentiality</w:t>
          </w:r>
        </w:p>
        <w:p w:rsidR="00C70876" w:rsidRDefault="00C70876"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C70876" w:rsidRDefault="00C70876" w:rsidP="006E08B3"/>
        <w:p w:rsidR="00C70876" w:rsidRDefault="00C70876" w:rsidP="006E08B3">
          <w:r>
            <w:t>For submission made by individuals, all personal details, other than your name, will be removed from your submission before it is published on the TGA’s Internet site.</w:t>
          </w:r>
        </w:p>
        <w:p w:rsidR="00C70876" w:rsidRDefault="00C70876" w:rsidP="006E08B3"/>
        <w:p w:rsidR="00C70876" w:rsidRDefault="00C70876"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70876" w:rsidTr="0010601F">
      <w:trPr>
        <w:trHeight w:val="417"/>
      </w:trPr>
      <w:tc>
        <w:tcPr>
          <w:tcW w:w="4519" w:type="dxa"/>
          <w:tcBorders>
            <w:top w:val="single" w:sz="4" w:space="0" w:color="auto"/>
          </w:tcBorders>
          <w:tcMar>
            <w:top w:w="142" w:type="dxa"/>
            <w:bottom w:w="0" w:type="dxa"/>
          </w:tcMar>
        </w:tcPr>
        <w:p w:rsidR="00C70876" w:rsidRDefault="00C70876" w:rsidP="006E08B3">
          <w:r>
            <w:t>Document title, Part #, Section # - Section title</w:t>
          </w:r>
        </w:p>
        <w:p w:rsidR="00C70876" w:rsidRDefault="00C70876" w:rsidP="006E08B3">
          <w:r>
            <w:t>V1.0 October 2010</w:t>
          </w:r>
        </w:p>
      </w:tc>
      <w:tc>
        <w:tcPr>
          <w:tcW w:w="4356" w:type="dxa"/>
          <w:tcBorders>
            <w:top w:val="single" w:sz="4" w:space="0" w:color="auto"/>
          </w:tcBorders>
          <w:tcMar>
            <w:top w:w="142" w:type="dxa"/>
            <w:bottom w:w="0" w:type="dxa"/>
          </w:tcMar>
        </w:tcPr>
        <w:p w:rsidR="00C70876" w:rsidRDefault="00C70876" w:rsidP="006E08B3">
          <w:pPr>
            <w:jc w:val="right"/>
          </w:pPr>
          <w:r>
            <w:t xml:space="preserve">Page </w:t>
          </w:r>
          <w:fldSimple w:instr=" PAGE   \* MERGEFORMAT ">
            <w:r>
              <w:rPr>
                <w:noProof/>
              </w:rPr>
              <w:t>1</w:t>
            </w:r>
          </w:fldSimple>
          <w:r>
            <w:t xml:space="preserve"> of </w:t>
          </w:r>
          <w:fldSimple w:instr=" NUMPAGES  \* Arabic ">
            <w:r>
              <w:rPr>
                <w:noProof/>
              </w:rPr>
              <w:t>1</w:t>
            </w:r>
          </w:fldSimple>
          <w:r>
            <w:t xml:space="preserve"> </w:t>
          </w:r>
        </w:p>
      </w:tc>
    </w:tr>
  </w:tbl>
  <w:p w:rsidR="00C70876" w:rsidRDefault="00C70876"/>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A3D" w:rsidRDefault="00AA4A3D" w:rsidP="00C40A36">
      <w:pPr>
        <w:spacing w:after="0"/>
      </w:pPr>
      <w:r>
        <w:separator/>
      </w:r>
    </w:p>
  </w:footnote>
  <w:footnote w:type="continuationSeparator" w:id="0">
    <w:p w:rsidR="00AA4A3D" w:rsidRDefault="00AA4A3D" w:rsidP="00C40A36">
      <w:pPr>
        <w:spacing w:after="0"/>
      </w:pPr>
      <w:r>
        <w:continuationSeparator/>
      </w:r>
    </w:p>
  </w:footnote>
  <w:footnote w:id="1">
    <w:p w:rsidR="00C70876" w:rsidRDefault="00C70876">
      <w:pPr>
        <w:pStyle w:val="FootnoteText"/>
      </w:pPr>
      <w:r>
        <w:rPr>
          <w:rStyle w:val="FootnoteReference"/>
        </w:rPr>
        <w:footnoteRef/>
      </w:r>
      <w:r w:rsidR="00BA4936">
        <w:t xml:space="preserve"> </w:t>
      </w:r>
      <w:r w:rsidR="00BA4936" w:rsidRPr="003451DA">
        <w:t>International Agency for Research on Cancer</w:t>
      </w:r>
      <w:r>
        <w:t xml:space="preserve"> (1987</w:t>
      </w:r>
      <w:r w:rsidRPr="00C416A7">
        <w:t xml:space="preserve">) Genetic and related effects: an updating of selected IARC monographs from volumes 1 to 42. </w:t>
      </w:r>
      <w:proofErr w:type="gramStart"/>
      <w:r w:rsidRPr="00C416A7">
        <w:t>IARC Monographs on the Evaluation of Carcinogenic Ris</w:t>
      </w:r>
      <w:r>
        <w:t>ks to Humans.</w:t>
      </w:r>
      <w:proofErr w:type="gramEnd"/>
      <w:r>
        <w:t xml:space="preserve"> Suppl. 6, pp. 479-</w:t>
      </w:r>
      <w:r w:rsidRPr="00C416A7">
        <w:t>480. Geneva: World Health Organi</w:t>
      </w:r>
      <w:r>
        <w:t>s</w:t>
      </w:r>
      <w:r w:rsidRPr="00C416A7">
        <w:t>ation, International Agency for Research on Cancer</w:t>
      </w:r>
      <w:r>
        <w:t>.</w:t>
      </w:r>
    </w:p>
  </w:footnote>
  <w:footnote w:id="2">
    <w:p w:rsidR="00C70876" w:rsidRDefault="00C70876">
      <w:pPr>
        <w:pStyle w:val="FootnoteText"/>
      </w:pPr>
      <w:r>
        <w:rPr>
          <w:rStyle w:val="FootnoteReference"/>
        </w:rPr>
        <w:footnoteRef/>
      </w:r>
      <w:r>
        <w:t xml:space="preserve"> </w:t>
      </w:r>
      <w:proofErr w:type="spellStart"/>
      <w:r w:rsidRPr="00C416A7">
        <w:t>Martelli</w:t>
      </w:r>
      <w:proofErr w:type="spellEnd"/>
      <w:r w:rsidRPr="00C416A7">
        <w:t xml:space="preserve"> A, </w:t>
      </w:r>
      <w:r w:rsidRPr="006D56FE">
        <w:rPr>
          <w:i/>
        </w:rPr>
        <w:t>et al.</w:t>
      </w:r>
      <w:r w:rsidRPr="00C416A7">
        <w:t xml:space="preserve"> (1998) Induction of micronuclei and of enzyme-altered foci in the liver of female rats exposed to progesterone and three synthetic </w:t>
      </w:r>
      <w:proofErr w:type="spellStart"/>
      <w:r w:rsidRPr="00C416A7">
        <w:t>pr</w:t>
      </w:r>
      <w:r>
        <w:t>ogestins</w:t>
      </w:r>
      <w:proofErr w:type="spellEnd"/>
      <w:r>
        <w:t xml:space="preserve">. </w:t>
      </w:r>
      <w:proofErr w:type="spellStart"/>
      <w:proofErr w:type="gramStart"/>
      <w:r w:rsidRPr="00C416A7">
        <w:rPr>
          <w:i/>
        </w:rPr>
        <w:t>Mutat</w:t>
      </w:r>
      <w:proofErr w:type="spellEnd"/>
      <w:r w:rsidRPr="00C416A7">
        <w:rPr>
          <w:i/>
        </w:rPr>
        <w:t>.</w:t>
      </w:r>
      <w:proofErr w:type="gramEnd"/>
      <w:r w:rsidRPr="00C416A7">
        <w:rPr>
          <w:i/>
        </w:rPr>
        <w:t xml:space="preserve"> Res.</w:t>
      </w:r>
      <w:r>
        <w:t xml:space="preserve"> 419: 33-41.</w:t>
      </w:r>
    </w:p>
  </w:footnote>
  <w:footnote w:id="3">
    <w:p w:rsidR="00C70876" w:rsidRDefault="00C70876">
      <w:pPr>
        <w:pStyle w:val="FootnoteText"/>
      </w:pPr>
      <w:r>
        <w:rPr>
          <w:rStyle w:val="FootnoteReference"/>
        </w:rPr>
        <w:footnoteRef/>
      </w:r>
      <w:r>
        <w:t xml:space="preserve"> </w:t>
      </w:r>
      <w:proofErr w:type="spellStart"/>
      <w:proofErr w:type="gramStart"/>
      <w:r>
        <w:t>Myhr</w:t>
      </w:r>
      <w:proofErr w:type="spellEnd"/>
      <w:r>
        <w:t xml:space="preserve"> BC and </w:t>
      </w:r>
      <w:proofErr w:type="spellStart"/>
      <w:r>
        <w:t>Caspary</w:t>
      </w:r>
      <w:proofErr w:type="spellEnd"/>
      <w:r>
        <w:t xml:space="preserve"> W</w:t>
      </w:r>
      <w:r w:rsidRPr="00D819B8">
        <w:t>J.</w:t>
      </w:r>
      <w:proofErr w:type="gramEnd"/>
      <w:r w:rsidRPr="00D819B8">
        <w:t xml:space="preserve"> (1988) Evaluation of the L5178Y mouse lymphoma cell mutagenesis assay: </w:t>
      </w:r>
      <w:proofErr w:type="spellStart"/>
      <w:r w:rsidRPr="00D819B8">
        <w:t>intralaboratory</w:t>
      </w:r>
      <w:proofErr w:type="spellEnd"/>
      <w:r w:rsidRPr="00D819B8">
        <w:t xml:space="preserve"> results for sixty-three coded chemicals tested at Litton </w:t>
      </w:r>
      <w:proofErr w:type="spellStart"/>
      <w:r w:rsidRPr="00D819B8">
        <w:t>Bionetics</w:t>
      </w:r>
      <w:proofErr w:type="spellEnd"/>
      <w:r w:rsidRPr="00D819B8">
        <w:t xml:space="preserve">, Inc. </w:t>
      </w:r>
      <w:r w:rsidRPr="00A43452">
        <w:rPr>
          <w:i/>
        </w:rPr>
        <w:t>Environ.</w:t>
      </w:r>
      <w:r w:rsidRPr="00D819B8">
        <w:t xml:space="preserve"> </w:t>
      </w:r>
      <w:r w:rsidRPr="00CC2AF0">
        <w:rPr>
          <w:i/>
        </w:rPr>
        <w:t xml:space="preserve">Mol. Mutagen. </w:t>
      </w:r>
      <w:r>
        <w:t>12 (Suppl. 13): 103-</w:t>
      </w:r>
      <w:r w:rsidRPr="00D819B8">
        <w:t>194</w:t>
      </w:r>
      <w:r>
        <w:t>.</w:t>
      </w:r>
    </w:p>
  </w:footnote>
  <w:footnote w:id="4">
    <w:p w:rsidR="00C70876" w:rsidRDefault="00C70876">
      <w:pPr>
        <w:pStyle w:val="FootnoteText"/>
      </w:pPr>
      <w:r>
        <w:rPr>
          <w:rStyle w:val="FootnoteReference"/>
        </w:rPr>
        <w:footnoteRef/>
      </w:r>
      <w:r>
        <w:t xml:space="preserve"> </w:t>
      </w:r>
      <w:proofErr w:type="spellStart"/>
      <w:proofErr w:type="gramStart"/>
      <w:r>
        <w:t>Feser</w:t>
      </w:r>
      <w:proofErr w:type="spellEnd"/>
      <w:r>
        <w:t xml:space="preserve"> W</w:t>
      </w:r>
      <w:r w:rsidRPr="00FD779D">
        <w:t xml:space="preserve">, </w:t>
      </w:r>
      <w:r w:rsidRPr="006D56FE">
        <w:rPr>
          <w:i/>
        </w:rPr>
        <w:t>et al.</w:t>
      </w:r>
      <w:r w:rsidRPr="00FD779D">
        <w:t xml:space="preserve"> (1996) Formation of DNA-adducts by selected sex steroids in rat li</w:t>
      </w:r>
      <w:r>
        <w:t>ver.</w:t>
      </w:r>
      <w:proofErr w:type="gramEnd"/>
      <w:r>
        <w:t xml:space="preserve"> </w:t>
      </w:r>
      <w:r w:rsidRPr="00FD779D">
        <w:rPr>
          <w:i/>
        </w:rPr>
        <w:t xml:space="preserve">Hum. Exp. </w:t>
      </w:r>
      <w:proofErr w:type="spellStart"/>
      <w:r w:rsidRPr="00FD779D">
        <w:rPr>
          <w:i/>
        </w:rPr>
        <w:t>Toxicol</w:t>
      </w:r>
      <w:proofErr w:type="spellEnd"/>
      <w:r w:rsidRPr="00FD779D">
        <w:rPr>
          <w:i/>
        </w:rPr>
        <w:t>.</w:t>
      </w:r>
      <w:r>
        <w:t xml:space="preserve"> 15: 556-</w:t>
      </w:r>
      <w:r w:rsidRPr="00FD779D">
        <w:t>562</w:t>
      </w:r>
      <w:r>
        <w:t>.</w:t>
      </w:r>
    </w:p>
  </w:footnote>
  <w:footnote w:id="5">
    <w:p w:rsidR="00C70876" w:rsidRDefault="00C70876">
      <w:pPr>
        <w:pStyle w:val="FootnoteText"/>
      </w:pPr>
      <w:r>
        <w:rPr>
          <w:rStyle w:val="FootnoteReference"/>
        </w:rPr>
        <w:footnoteRef/>
      </w:r>
      <w:r>
        <w:t xml:space="preserve"> </w:t>
      </w:r>
      <w:proofErr w:type="spellStart"/>
      <w:r>
        <w:t>Golub</w:t>
      </w:r>
      <w:proofErr w:type="spellEnd"/>
      <w:r>
        <w:t xml:space="preserve"> MS</w:t>
      </w:r>
      <w:r w:rsidRPr="0063352F">
        <w:t xml:space="preserve">, </w:t>
      </w:r>
      <w:r w:rsidRPr="006D56FE">
        <w:rPr>
          <w:i/>
        </w:rPr>
        <w:t>et al.</w:t>
      </w:r>
      <w:r>
        <w:t xml:space="preserve"> </w:t>
      </w:r>
      <w:r w:rsidRPr="0063352F">
        <w:t xml:space="preserve">(2006) “Natural” progesterone: information on </w:t>
      </w:r>
      <w:proofErr w:type="spellStart"/>
      <w:r w:rsidRPr="0063352F">
        <w:t>fetal</w:t>
      </w:r>
      <w:proofErr w:type="spellEnd"/>
      <w:r w:rsidRPr="0063352F">
        <w:t xml:space="preserve"> effects. </w:t>
      </w:r>
      <w:r w:rsidRPr="0063352F">
        <w:rPr>
          <w:i/>
        </w:rPr>
        <w:t xml:space="preserve">Birth Defects Res. B Dev. </w:t>
      </w:r>
      <w:proofErr w:type="spellStart"/>
      <w:r w:rsidRPr="0063352F">
        <w:rPr>
          <w:i/>
        </w:rPr>
        <w:t>Reprod</w:t>
      </w:r>
      <w:proofErr w:type="spellEnd"/>
      <w:r w:rsidRPr="0063352F">
        <w:rPr>
          <w:i/>
        </w:rPr>
        <w:t xml:space="preserve">. </w:t>
      </w:r>
      <w:proofErr w:type="spellStart"/>
      <w:proofErr w:type="gramStart"/>
      <w:r w:rsidRPr="0063352F">
        <w:rPr>
          <w:i/>
        </w:rPr>
        <w:t>Toxicol</w:t>
      </w:r>
      <w:proofErr w:type="spellEnd"/>
      <w:r w:rsidRPr="0063352F">
        <w:rPr>
          <w:i/>
        </w:rPr>
        <w:t>.</w:t>
      </w:r>
      <w:proofErr w:type="gramEnd"/>
      <w:r w:rsidRPr="0063352F">
        <w:rPr>
          <w:i/>
        </w:rPr>
        <w:t xml:space="preserve"> </w:t>
      </w:r>
      <w:r>
        <w:t>77: 455-</w:t>
      </w:r>
      <w:r w:rsidRPr="0063352F">
        <w:t>470</w:t>
      </w:r>
      <w:r>
        <w:t>.</w:t>
      </w:r>
    </w:p>
  </w:footnote>
  <w:footnote w:id="6">
    <w:p w:rsidR="00C70876" w:rsidRDefault="00C70876">
      <w:pPr>
        <w:pStyle w:val="FootnoteText"/>
      </w:pPr>
      <w:r>
        <w:rPr>
          <w:rStyle w:val="FootnoteReference"/>
        </w:rPr>
        <w:footnoteRef/>
      </w:r>
      <w:r>
        <w:t xml:space="preserve"> </w:t>
      </w:r>
      <w:proofErr w:type="spellStart"/>
      <w:r>
        <w:t>Golub</w:t>
      </w:r>
      <w:proofErr w:type="spellEnd"/>
      <w:r>
        <w:t xml:space="preserve"> MS</w:t>
      </w:r>
      <w:r w:rsidRPr="0063352F">
        <w:t xml:space="preserve">, </w:t>
      </w:r>
      <w:r w:rsidRPr="00123588">
        <w:rPr>
          <w:i/>
        </w:rPr>
        <w:t>et al.</w:t>
      </w:r>
      <w:r>
        <w:t xml:space="preserve"> </w:t>
      </w:r>
      <w:r w:rsidRPr="0063352F">
        <w:t xml:space="preserve">(2006) “Natural” progesterone: information on </w:t>
      </w:r>
      <w:proofErr w:type="spellStart"/>
      <w:r w:rsidRPr="0063352F">
        <w:t>fetal</w:t>
      </w:r>
      <w:proofErr w:type="spellEnd"/>
      <w:r w:rsidRPr="0063352F">
        <w:t xml:space="preserve"> effects. </w:t>
      </w:r>
      <w:r w:rsidRPr="0063352F">
        <w:rPr>
          <w:i/>
        </w:rPr>
        <w:t xml:space="preserve">Birth Defects Res. B Dev. </w:t>
      </w:r>
      <w:proofErr w:type="spellStart"/>
      <w:r w:rsidRPr="0063352F">
        <w:rPr>
          <w:i/>
        </w:rPr>
        <w:t>Reprod</w:t>
      </w:r>
      <w:proofErr w:type="spellEnd"/>
      <w:r w:rsidRPr="0063352F">
        <w:rPr>
          <w:i/>
        </w:rPr>
        <w:t xml:space="preserve">. </w:t>
      </w:r>
      <w:proofErr w:type="spellStart"/>
      <w:proofErr w:type="gramStart"/>
      <w:r w:rsidRPr="0063352F">
        <w:rPr>
          <w:i/>
        </w:rPr>
        <w:t>Toxicol</w:t>
      </w:r>
      <w:proofErr w:type="spellEnd"/>
      <w:r w:rsidRPr="0063352F">
        <w:rPr>
          <w:i/>
        </w:rPr>
        <w:t>.</w:t>
      </w:r>
      <w:proofErr w:type="gramEnd"/>
      <w:r w:rsidRPr="0063352F">
        <w:rPr>
          <w:i/>
        </w:rPr>
        <w:t xml:space="preserve"> </w:t>
      </w:r>
      <w:r>
        <w:t>77: 455-</w:t>
      </w:r>
      <w:r w:rsidRPr="0063352F">
        <w:t>470</w:t>
      </w:r>
      <w:r>
        <w:t>.</w:t>
      </w:r>
    </w:p>
  </w:footnote>
  <w:footnote w:id="7">
    <w:p w:rsidR="00C70876" w:rsidRDefault="00C70876">
      <w:pPr>
        <w:pStyle w:val="FootnoteText"/>
      </w:pPr>
      <w:r>
        <w:rPr>
          <w:rStyle w:val="FootnoteReference"/>
        </w:rPr>
        <w:footnoteRef/>
      </w:r>
      <w:r>
        <w:t xml:space="preserve"> </w:t>
      </w:r>
      <w:proofErr w:type="spellStart"/>
      <w:r w:rsidRPr="00107F39">
        <w:t>Fatemi</w:t>
      </w:r>
      <w:proofErr w:type="spellEnd"/>
      <w:r w:rsidRPr="00107F39">
        <w:t xml:space="preserve"> HM</w:t>
      </w:r>
      <w:r>
        <w:t xml:space="preserve">, </w:t>
      </w:r>
      <w:r w:rsidRPr="00097B08">
        <w:rPr>
          <w:i/>
        </w:rPr>
        <w:t>et al.</w:t>
      </w:r>
      <w:r>
        <w:t xml:space="preserve"> (2007) </w:t>
      </w:r>
      <w:proofErr w:type="gramStart"/>
      <w:r>
        <w:t>A</w:t>
      </w:r>
      <w:r w:rsidRPr="00107F39">
        <w:t>n</w:t>
      </w:r>
      <w:proofErr w:type="gramEnd"/>
      <w:r w:rsidRPr="00107F39">
        <w:t xml:space="preserve"> update of </w:t>
      </w:r>
      <w:proofErr w:type="spellStart"/>
      <w:r w:rsidRPr="00107F39">
        <w:t>luteal</w:t>
      </w:r>
      <w:proofErr w:type="spellEnd"/>
      <w:r w:rsidRPr="00107F39">
        <w:t xml:space="preserve"> phase support in stimulated IVF cycles. </w:t>
      </w:r>
      <w:r w:rsidRPr="00107F39">
        <w:rPr>
          <w:i/>
        </w:rPr>
        <w:t>Human Reproduction Update</w:t>
      </w:r>
      <w:r w:rsidRPr="00107F39">
        <w:t xml:space="preserve"> 13: 581-590</w:t>
      </w:r>
      <w:r>
        <w:t>.</w:t>
      </w:r>
    </w:p>
  </w:footnote>
  <w:footnote w:id="8">
    <w:p w:rsidR="00C70876" w:rsidRDefault="00C70876">
      <w:pPr>
        <w:pStyle w:val="FootnoteText"/>
      </w:pPr>
      <w:r>
        <w:rPr>
          <w:rStyle w:val="FootnoteReference"/>
        </w:rPr>
        <w:footnoteRef/>
      </w:r>
      <w:r>
        <w:t xml:space="preserve"> </w:t>
      </w:r>
      <w:proofErr w:type="spellStart"/>
      <w:r w:rsidRPr="00107F39">
        <w:t>Sallam</w:t>
      </w:r>
      <w:proofErr w:type="spellEnd"/>
      <w:r w:rsidRPr="00107F39">
        <w:t xml:space="preserve"> HM</w:t>
      </w:r>
      <w:r>
        <w:t>,</w:t>
      </w:r>
      <w:r w:rsidRPr="00107F39">
        <w:t xml:space="preserve"> </w:t>
      </w:r>
      <w:r w:rsidRPr="00986818">
        <w:rPr>
          <w:i/>
        </w:rPr>
        <w:t>et al.</w:t>
      </w:r>
      <w:r w:rsidRPr="00107F39">
        <w:t xml:space="preserve"> </w:t>
      </w:r>
      <w:r>
        <w:t>(1999)</w:t>
      </w:r>
      <w:r w:rsidRPr="00107F39">
        <w:t xml:space="preserve"> Reference values for the </w:t>
      </w:r>
      <w:proofErr w:type="spellStart"/>
      <w:r w:rsidRPr="00107F39">
        <w:t>midluteal</w:t>
      </w:r>
      <w:proofErr w:type="spellEnd"/>
      <w:r w:rsidRPr="00107F39">
        <w:t xml:space="preserve"> plasma progesterone concentration: evidence from human menopausal </w:t>
      </w:r>
      <w:proofErr w:type="spellStart"/>
      <w:r w:rsidRPr="00107F39">
        <w:t>gonadotropin</w:t>
      </w:r>
      <w:proofErr w:type="spellEnd"/>
      <w:r w:rsidRPr="00107F39">
        <w:t xml:space="preserve">-stimulated pregnancy </w:t>
      </w:r>
      <w:r>
        <w:t xml:space="preserve">cycles. </w:t>
      </w:r>
      <w:r w:rsidRPr="00107F39">
        <w:rPr>
          <w:i/>
        </w:rPr>
        <w:t>Fertility and Sterility</w:t>
      </w:r>
      <w:r w:rsidRPr="00107F39">
        <w:t xml:space="preserve"> 71: 711-714</w:t>
      </w:r>
      <w:r>
        <w:t>.</w:t>
      </w:r>
    </w:p>
  </w:footnote>
  <w:footnote w:id="9">
    <w:p w:rsidR="00C70876" w:rsidRDefault="00C70876">
      <w:pPr>
        <w:pStyle w:val="FootnoteText"/>
      </w:pPr>
      <w:r>
        <w:rPr>
          <w:rStyle w:val="FootnoteReference"/>
        </w:rPr>
        <w:footnoteRef/>
      </w:r>
      <w:r>
        <w:t xml:space="preserve"> </w:t>
      </w:r>
      <w:proofErr w:type="gramStart"/>
      <w:r>
        <w:t>van</w:t>
      </w:r>
      <w:proofErr w:type="gramEnd"/>
      <w:r>
        <w:t xml:space="preserve"> </w:t>
      </w:r>
      <w:proofErr w:type="spellStart"/>
      <w:r>
        <w:t>der</w:t>
      </w:r>
      <w:proofErr w:type="spellEnd"/>
      <w:r>
        <w:t xml:space="preserve"> Linden M, </w:t>
      </w:r>
      <w:r w:rsidRPr="00986818">
        <w:rPr>
          <w:i/>
        </w:rPr>
        <w:t>et al.</w:t>
      </w:r>
      <w:r>
        <w:t xml:space="preserve"> (2011) </w:t>
      </w:r>
      <w:proofErr w:type="spellStart"/>
      <w:r w:rsidRPr="00107F39">
        <w:t>Luteal</w:t>
      </w:r>
      <w:proofErr w:type="spellEnd"/>
      <w:r w:rsidRPr="00107F39">
        <w:t xml:space="preserve"> phase support for assisted reproduction cycles. </w:t>
      </w:r>
      <w:r w:rsidRPr="00107F39">
        <w:rPr>
          <w:i/>
        </w:rPr>
        <w:t xml:space="preserve">Cochrane Database of Systematic Reviews </w:t>
      </w:r>
      <w:r>
        <w:t>Issue 10 Art. No. CD009154.</w:t>
      </w:r>
    </w:p>
  </w:footnote>
  <w:footnote w:id="10">
    <w:p w:rsidR="00C70876" w:rsidRDefault="00C70876">
      <w:pPr>
        <w:pStyle w:val="FootnoteText"/>
      </w:pPr>
      <w:r>
        <w:rPr>
          <w:rStyle w:val="FootnoteReference"/>
        </w:rPr>
        <w:footnoteRef/>
      </w:r>
      <w:r>
        <w:t xml:space="preserve"> </w:t>
      </w:r>
      <w:r w:rsidRPr="00D8242A">
        <w:t>European Medicines Agency, “</w:t>
      </w:r>
      <w:r w:rsidRPr="00B60E55">
        <w:t>ICH Topic E 2 E Pharmacovigilance Planning (</w:t>
      </w:r>
      <w:proofErr w:type="spellStart"/>
      <w:r w:rsidRPr="00B60E55">
        <w:t>Pvp</w:t>
      </w:r>
      <w:proofErr w:type="spellEnd"/>
      <w:r w:rsidRPr="00B60E55">
        <w:t>) Step 5: Note for Guidance on Planning Pharmacovigilance Activities (CPMP/ICH/5716/03)</w:t>
      </w:r>
      <w:r w:rsidRPr="00D8242A">
        <w:t xml:space="preserve">”, </w:t>
      </w:r>
      <w:r>
        <w:t>June 2005</w:t>
      </w:r>
      <w:r w:rsidRPr="00D8242A">
        <w:t xml:space="preserve">, Web, accessed </w:t>
      </w:r>
      <w:r>
        <w:t>11 February</w:t>
      </w:r>
      <w:r w:rsidRPr="00D8242A">
        <w:t xml:space="preserve"> 2012 &lt;</w:t>
      </w:r>
      <w:r w:rsidRPr="00B60E55">
        <w:t>http://www.ema.europa.eu/docs/en_GB/document_library/</w:t>
      </w:r>
      <w:r>
        <w:t xml:space="preserve"> </w:t>
      </w:r>
      <w:proofErr w:type="spellStart"/>
      <w:r w:rsidRPr="00B60E55">
        <w:t>Scientific_guideline</w:t>
      </w:r>
      <w:proofErr w:type="spellEnd"/>
      <w:r w:rsidRPr="00B60E55">
        <w:t>/2009/09/WC500002818.pdf</w:t>
      </w:r>
      <w:r w:rsidRPr="00D8242A">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7E3D" w:rsidRDefault="00397E3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rsidP="00E45619">
    <w:pPr>
      <w:pStyle w:val="Header"/>
    </w:pPr>
    <w:r>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9561C4">
    <w:pPr>
      <w:rPr>
        <w:noProof/>
        <w:lang w:eastAsia="en-AU"/>
      </w:rPr>
    </w:pPr>
    <w:r>
      <w:rPr>
        <w:noProof/>
        <w:lang w:eastAsia="en-AU"/>
      </w:rPr>
      <w:drawing>
        <wp:anchor distT="0" distB="0" distL="114300" distR="114300" simplePos="0" relativeHeight="251657728" behindDoc="1" locked="0" layoutInCell="1" allowOverlap="1">
          <wp:simplePos x="0" y="0"/>
          <wp:positionH relativeFrom="column">
            <wp:posOffset>-1089660</wp:posOffset>
          </wp:positionH>
          <wp:positionV relativeFrom="paragraph">
            <wp:posOffset>-584835</wp:posOffset>
          </wp:positionV>
          <wp:extent cx="7572375" cy="10710545"/>
          <wp:effectExtent l="19050" t="0" r="9525" b="0"/>
          <wp:wrapNone/>
          <wp:docPr id="1" name="Picture 1" descr="Therapeutic Goods Administration. Health, Safety,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apeutic Goods Administration. Health, Safety, Regulation"/>
                  <pic:cNvPicPr>
                    <a:picLocks noChangeAspect="1" noChangeArrowheads="1"/>
                  </pic:cNvPicPr>
                </pic:nvPicPr>
                <pic:blipFill>
                  <a:blip r:embed="rId1"/>
                  <a:srcRect/>
                  <a:stretch>
                    <a:fillRect/>
                  </a:stretch>
                </pic:blipFill>
                <pic:spPr bwMode="auto">
                  <a:xfrm>
                    <a:off x="0" y="0"/>
                    <a:ext cx="7572375" cy="10710545"/>
                  </a:xfrm>
                  <a:prstGeom prst="rect">
                    <a:avLst/>
                  </a:prstGeom>
                  <a:noFill/>
                </pic:spPr>
              </pic:pic>
            </a:graphicData>
          </a:graphic>
        </wp:anchor>
      </w:drawing>
    </w:r>
  </w:p>
  <w:p w:rsidR="00C70876" w:rsidRDefault="009561C4" w:rsidP="00593AD1">
    <w:pPr>
      <w:pStyle w:val="HeaderNoLine"/>
    </w:pPr>
    <w:r>
      <w:rPr>
        <w:noProof/>
        <w:lang w:eastAsia="en-AU"/>
      </w:rPr>
      <w:drawing>
        <wp:inline distT="0" distB="0" distL="0" distR="0">
          <wp:extent cx="5396865" cy="7635240"/>
          <wp:effectExtent l="19050" t="0" r="0"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ightblue.jpg"/>
                  <pic:cNvPicPr>
                    <a:picLocks noChangeAspect="1" noChangeArrowheads="1"/>
                  </pic:cNvPicPr>
                </pic:nvPicPr>
                <pic:blipFill>
                  <a:blip r:embed="rId2"/>
                  <a:srcRect/>
                  <a:stretch>
                    <a:fillRect/>
                  </a:stretch>
                </pic:blipFill>
                <pic:spPr bwMode="auto">
                  <a:xfrm>
                    <a:off x="0" y="0"/>
                    <a:ext cx="5396865" cy="7635240"/>
                  </a:xfrm>
                  <a:prstGeom prst="rect">
                    <a:avLst/>
                  </a:prstGeom>
                  <a:noFill/>
                  <a:ln w="9525">
                    <a:noFill/>
                    <a:miter lim="800000"/>
                    <a:headEnd/>
                    <a:tailEnd/>
                  </a:ln>
                </pic:spPr>
              </pic:pic>
            </a:graphicData>
          </a:graphic>
        </wp:inline>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pPr>
      <w:pStyle w:val="Header"/>
    </w:pPr>
    <w:r>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rsidP="00397E3D">
    <w:pPr>
      <w:pStyle w:val="Header"/>
      <w:pBdr>
        <w:bottom w:val="none" w:sz="0" w:space="0" w:color="auto"/>
      </w:pBd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0876" w:rsidRDefault="00C70876" w:rsidP="006E08B3">
    <w:r>
      <w:t>Therapeutic Goods Administration</w:t>
    </w:r>
  </w:p>
  <w:p w:rsidR="00C70876" w:rsidRDefault="00C70876"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136656E"/>
    <w:multiLevelType w:val="hybridMultilevel"/>
    <w:tmpl w:val="343A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4">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2"/>
  </w:num>
  <w:num w:numId="4">
    <w:abstractNumId w:val="0"/>
  </w:num>
  <w:num w:numId="5">
    <w:abstractNumId w:val="5"/>
  </w:num>
  <w:num w:numId="6">
    <w:abstractNumId w:val="1"/>
  </w:num>
  <w:num w:numId="7">
    <w:abstractNumId w:val="3"/>
  </w:num>
  <w:num w:numId="8">
    <w:abstractNumId w:val="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textFit" w:percent="223"/>
  <w:displayBackgroundShape/>
  <w:proofState w:spelling="clean" w:grammar="clean"/>
  <w:stylePaneFormatFilter w:val="1004"/>
  <w:stylePaneSortMethod w:val="0000"/>
  <w:defaultTabStop w:val="720"/>
  <w:defaultTableStyle w:val="TableTGAblack"/>
  <w:drawingGridHorizontalSpacing w:val="110"/>
  <w:displayHorizontalDrawingGridEvery w:val="2"/>
  <w:characterSpacingControl w:val="doNotCompress"/>
  <w:hdrShapeDefaults>
    <o:shapedefaults v:ext="edit" spidmax="49154">
      <o:colormenu v:ext="edit" fillcolor="none [3206]"/>
    </o:shapedefaults>
  </w:hdrShapeDefaults>
  <w:footnotePr>
    <w:footnote w:id="-1"/>
    <w:footnote w:id="0"/>
  </w:footnotePr>
  <w:endnotePr>
    <w:endnote w:id="-1"/>
    <w:endnote w:id="0"/>
  </w:endnotePr>
  <w:compat/>
  <w:rsids>
    <w:rsidRoot w:val="00C70D53"/>
    <w:rsid w:val="00002031"/>
    <w:rsid w:val="00004734"/>
    <w:rsid w:val="00006B22"/>
    <w:rsid w:val="00007A76"/>
    <w:rsid w:val="0001276A"/>
    <w:rsid w:val="00021E1A"/>
    <w:rsid w:val="000246AE"/>
    <w:rsid w:val="00025C67"/>
    <w:rsid w:val="000320A8"/>
    <w:rsid w:val="0005559E"/>
    <w:rsid w:val="00070099"/>
    <w:rsid w:val="00070E9B"/>
    <w:rsid w:val="00077775"/>
    <w:rsid w:val="00085CFB"/>
    <w:rsid w:val="00090471"/>
    <w:rsid w:val="0009209D"/>
    <w:rsid w:val="00097278"/>
    <w:rsid w:val="00097B08"/>
    <w:rsid w:val="000A1649"/>
    <w:rsid w:val="000A23AB"/>
    <w:rsid w:val="000A57DF"/>
    <w:rsid w:val="000B3532"/>
    <w:rsid w:val="000B3A75"/>
    <w:rsid w:val="000B7BC1"/>
    <w:rsid w:val="000C690F"/>
    <w:rsid w:val="000D1295"/>
    <w:rsid w:val="000D391B"/>
    <w:rsid w:val="000D3D6D"/>
    <w:rsid w:val="000D4FC7"/>
    <w:rsid w:val="000D66D9"/>
    <w:rsid w:val="000E65AC"/>
    <w:rsid w:val="000F453E"/>
    <w:rsid w:val="000F4869"/>
    <w:rsid w:val="000F5B42"/>
    <w:rsid w:val="000F6E6F"/>
    <w:rsid w:val="00104B3A"/>
    <w:rsid w:val="0010601F"/>
    <w:rsid w:val="00107804"/>
    <w:rsid w:val="0010788A"/>
    <w:rsid w:val="00107A31"/>
    <w:rsid w:val="00107F39"/>
    <w:rsid w:val="00110EA5"/>
    <w:rsid w:val="00112F56"/>
    <w:rsid w:val="00123588"/>
    <w:rsid w:val="001243C8"/>
    <w:rsid w:val="00125318"/>
    <w:rsid w:val="001305A2"/>
    <w:rsid w:val="00133238"/>
    <w:rsid w:val="00134868"/>
    <w:rsid w:val="00136525"/>
    <w:rsid w:val="0014197B"/>
    <w:rsid w:val="001447CD"/>
    <w:rsid w:val="001516B1"/>
    <w:rsid w:val="00153980"/>
    <w:rsid w:val="00154EBB"/>
    <w:rsid w:val="00156316"/>
    <w:rsid w:val="00157B53"/>
    <w:rsid w:val="00160F19"/>
    <w:rsid w:val="001627DD"/>
    <w:rsid w:val="00165389"/>
    <w:rsid w:val="00172144"/>
    <w:rsid w:val="0017693F"/>
    <w:rsid w:val="00180650"/>
    <w:rsid w:val="0018110E"/>
    <w:rsid w:val="00181684"/>
    <w:rsid w:val="001840C8"/>
    <w:rsid w:val="001843C6"/>
    <w:rsid w:val="001850E0"/>
    <w:rsid w:val="0019271A"/>
    <w:rsid w:val="00197E5C"/>
    <w:rsid w:val="001A2158"/>
    <w:rsid w:val="001A525F"/>
    <w:rsid w:val="001B09F9"/>
    <w:rsid w:val="001B6448"/>
    <w:rsid w:val="001D334C"/>
    <w:rsid w:val="001E07CF"/>
    <w:rsid w:val="001E59F1"/>
    <w:rsid w:val="001F49EB"/>
    <w:rsid w:val="001F6CBA"/>
    <w:rsid w:val="00201570"/>
    <w:rsid w:val="00201D4E"/>
    <w:rsid w:val="002045DD"/>
    <w:rsid w:val="00211CA7"/>
    <w:rsid w:val="002172E7"/>
    <w:rsid w:val="00220B8A"/>
    <w:rsid w:val="00220C70"/>
    <w:rsid w:val="002241D4"/>
    <w:rsid w:val="002257F3"/>
    <w:rsid w:val="00230B0C"/>
    <w:rsid w:val="00233456"/>
    <w:rsid w:val="002339A5"/>
    <w:rsid w:val="00236602"/>
    <w:rsid w:val="00237E0D"/>
    <w:rsid w:val="00257848"/>
    <w:rsid w:val="00266A71"/>
    <w:rsid w:val="0027084A"/>
    <w:rsid w:val="00273F2C"/>
    <w:rsid w:val="00286434"/>
    <w:rsid w:val="00286C59"/>
    <w:rsid w:val="00291832"/>
    <w:rsid w:val="002942D1"/>
    <w:rsid w:val="00294398"/>
    <w:rsid w:val="0029501A"/>
    <w:rsid w:val="002A4655"/>
    <w:rsid w:val="002A6000"/>
    <w:rsid w:val="002B1267"/>
    <w:rsid w:val="002B1638"/>
    <w:rsid w:val="002C41A1"/>
    <w:rsid w:val="002E4C9A"/>
    <w:rsid w:val="002F11F8"/>
    <w:rsid w:val="002F3F56"/>
    <w:rsid w:val="002F44B5"/>
    <w:rsid w:val="0030670B"/>
    <w:rsid w:val="00311AC0"/>
    <w:rsid w:val="003173D7"/>
    <w:rsid w:val="003221A9"/>
    <w:rsid w:val="003251C5"/>
    <w:rsid w:val="0032583B"/>
    <w:rsid w:val="00327344"/>
    <w:rsid w:val="00327883"/>
    <w:rsid w:val="00330439"/>
    <w:rsid w:val="00335504"/>
    <w:rsid w:val="003428CE"/>
    <w:rsid w:val="00344CA2"/>
    <w:rsid w:val="003451DA"/>
    <w:rsid w:val="003521E8"/>
    <w:rsid w:val="0035372E"/>
    <w:rsid w:val="003728F3"/>
    <w:rsid w:val="0037496E"/>
    <w:rsid w:val="00385F9D"/>
    <w:rsid w:val="00386150"/>
    <w:rsid w:val="003874CE"/>
    <w:rsid w:val="00390900"/>
    <w:rsid w:val="00395F07"/>
    <w:rsid w:val="00397E3D"/>
    <w:rsid w:val="003A16EA"/>
    <w:rsid w:val="003A6464"/>
    <w:rsid w:val="003A7F6C"/>
    <w:rsid w:val="003B31F5"/>
    <w:rsid w:val="003B4D60"/>
    <w:rsid w:val="003B5CCB"/>
    <w:rsid w:val="003B7E39"/>
    <w:rsid w:val="003C15BA"/>
    <w:rsid w:val="003C58DC"/>
    <w:rsid w:val="003D1AE5"/>
    <w:rsid w:val="003D1E62"/>
    <w:rsid w:val="003D423E"/>
    <w:rsid w:val="003E2486"/>
    <w:rsid w:val="003E3208"/>
    <w:rsid w:val="003F0B04"/>
    <w:rsid w:val="003F257A"/>
    <w:rsid w:val="003F733F"/>
    <w:rsid w:val="0040134E"/>
    <w:rsid w:val="00401778"/>
    <w:rsid w:val="004122C5"/>
    <w:rsid w:val="0041538F"/>
    <w:rsid w:val="00416B35"/>
    <w:rsid w:val="00417906"/>
    <w:rsid w:val="00440A2D"/>
    <w:rsid w:val="0044468B"/>
    <w:rsid w:val="004502DB"/>
    <w:rsid w:val="004564A7"/>
    <w:rsid w:val="004617BF"/>
    <w:rsid w:val="00463658"/>
    <w:rsid w:val="004654BB"/>
    <w:rsid w:val="004722CC"/>
    <w:rsid w:val="004863AC"/>
    <w:rsid w:val="004900F8"/>
    <w:rsid w:val="004936E4"/>
    <w:rsid w:val="00494E60"/>
    <w:rsid w:val="00497487"/>
    <w:rsid w:val="004A4C45"/>
    <w:rsid w:val="004A6333"/>
    <w:rsid w:val="004B7B76"/>
    <w:rsid w:val="004C0A76"/>
    <w:rsid w:val="004C2DCA"/>
    <w:rsid w:val="004C62F6"/>
    <w:rsid w:val="004D0CCF"/>
    <w:rsid w:val="004D1156"/>
    <w:rsid w:val="004E6576"/>
    <w:rsid w:val="004E657A"/>
    <w:rsid w:val="004F0920"/>
    <w:rsid w:val="004F0F38"/>
    <w:rsid w:val="004F79F0"/>
    <w:rsid w:val="00501921"/>
    <w:rsid w:val="00527562"/>
    <w:rsid w:val="00530354"/>
    <w:rsid w:val="0053625B"/>
    <w:rsid w:val="005434C6"/>
    <w:rsid w:val="00543B39"/>
    <w:rsid w:val="00544B5E"/>
    <w:rsid w:val="00545D8B"/>
    <w:rsid w:val="00546520"/>
    <w:rsid w:val="00550096"/>
    <w:rsid w:val="00557FF9"/>
    <w:rsid w:val="00562706"/>
    <w:rsid w:val="00574CF3"/>
    <w:rsid w:val="00576378"/>
    <w:rsid w:val="00577945"/>
    <w:rsid w:val="00577E38"/>
    <w:rsid w:val="00585322"/>
    <w:rsid w:val="005857C6"/>
    <w:rsid w:val="00592F6E"/>
    <w:rsid w:val="00593AD1"/>
    <w:rsid w:val="00595E46"/>
    <w:rsid w:val="005963DF"/>
    <w:rsid w:val="005A68B6"/>
    <w:rsid w:val="005B0BAF"/>
    <w:rsid w:val="005B184A"/>
    <w:rsid w:val="005B31D6"/>
    <w:rsid w:val="005C2F86"/>
    <w:rsid w:val="005C5570"/>
    <w:rsid w:val="005C79A4"/>
    <w:rsid w:val="005D07ED"/>
    <w:rsid w:val="005D5442"/>
    <w:rsid w:val="005D6060"/>
    <w:rsid w:val="005E0E7F"/>
    <w:rsid w:val="005F15AA"/>
    <w:rsid w:val="005F540A"/>
    <w:rsid w:val="00600FD3"/>
    <w:rsid w:val="00603F32"/>
    <w:rsid w:val="00612C72"/>
    <w:rsid w:val="00632398"/>
    <w:rsid w:val="00632D66"/>
    <w:rsid w:val="0063352F"/>
    <w:rsid w:val="00637D4C"/>
    <w:rsid w:val="00640FC3"/>
    <w:rsid w:val="00642020"/>
    <w:rsid w:val="00645460"/>
    <w:rsid w:val="0065337B"/>
    <w:rsid w:val="0065419D"/>
    <w:rsid w:val="006604D8"/>
    <w:rsid w:val="006645EF"/>
    <w:rsid w:val="00664A5B"/>
    <w:rsid w:val="0066712B"/>
    <w:rsid w:val="00671476"/>
    <w:rsid w:val="00675BD2"/>
    <w:rsid w:val="006763D2"/>
    <w:rsid w:val="00680C08"/>
    <w:rsid w:val="006931B1"/>
    <w:rsid w:val="006A09A9"/>
    <w:rsid w:val="006A15C0"/>
    <w:rsid w:val="006A63D4"/>
    <w:rsid w:val="006B3AA6"/>
    <w:rsid w:val="006C3E2A"/>
    <w:rsid w:val="006C642F"/>
    <w:rsid w:val="006C665D"/>
    <w:rsid w:val="006D03E5"/>
    <w:rsid w:val="006D2191"/>
    <w:rsid w:val="006D56FE"/>
    <w:rsid w:val="006D5D3E"/>
    <w:rsid w:val="006E08B3"/>
    <w:rsid w:val="006F17AC"/>
    <w:rsid w:val="006F1A4E"/>
    <w:rsid w:val="006F572E"/>
    <w:rsid w:val="006F6812"/>
    <w:rsid w:val="007046D6"/>
    <w:rsid w:val="00705DB0"/>
    <w:rsid w:val="00717FE3"/>
    <w:rsid w:val="00722B57"/>
    <w:rsid w:val="0074253D"/>
    <w:rsid w:val="0074429B"/>
    <w:rsid w:val="007516BE"/>
    <w:rsid w:val="0076103E"/>
    <w:rsid w:val="007615BC"/>
    <w:rsid w:val="00762F05"/>
    <w:rsid w:val="00763A70"/>
    <w:rsid w:val="007652FF"/>
    <w:rsid w:val="00770EF1"/>
    <w:rsid w:val="00773EF7"/>
    <w:rsid w:val="00774E1D"/>
    <w:rsid w:val="007762BB"/>
    <w:rsid w:val="0077675A"/>
    <w:rsid w:val="00780355"/>
    <w:rsid w:val="00782B49"/>
    <w:rsid w:val="00785721"/>
    <w:rsid w:val="00790CAD"/>
    <w:rsid w:val="00792D2E"/>
    <w:rsid w:val="00793A59"/>
    <w:rsid w:val="007A046F"/>
    <w:rsid w:val="007A4D29"/>
    <w:rsid w:val="007B6E9F"/>
    <w:rsid w:val="007C1152"/>
    <w:rsid w:val="007C1216"/>
    <w:rsid w:val="007C1AF7"/>
    <w:rsid w:val="007C230B"/>
    <w:rsid w:val="007E0BC1"/>
    <w:rsid w:val="007E59EC"/>
    <w:rsid w:val="007E71AE"/>
    <w:rsid w:val="00801F04"/>
    <w:rsid w:val="00805D27"/>
    <w:rsid w:val="00806367"/>
    <w:rsid w:val="00807BE7"/>
    <w:rsid w:val="00813ED2"/>
    <w:rsid w:val="00821776"/>
    <w:rsid w:val="008321F5"/>
    <w:rsid w:val="00832369"/>
    <w:rsid w:val="00834660"/>
    <w:rsid w:val="00836BC2"/>
    <w:rsid w:val="00840057"/>
    <w:rsid w:val="0084513D"/>
    <w:rsid w:val="00851EF8"/>
    <w:rsid w:val="0085354A"/>
    <w:rsid w:val="0085641B"/>
    <w:rsid w:val="00857136"/>
    <w:rsid w:val="00860485"/>
    <w:rsid w:val="00862121"/>
    <w:rsid w:val="00871456"/>
    <w:rsid w:val="00874F70"/>
    <w:rsid w:val="008819F3"/>
    <w:rsid w:val="00886D15"/>
    <w:rsid w:val="00887905"/>
    <w:rsid w:val="00887DD8"/>
    <w:rsid w:val="0089498F"/>
    <w:rsid w:val="00896018"/>
    <w:rsid w:val="008960DD"/>
    <w:rsid w:val="0089635C"/>
    <w:rsid w:val="008A2B9D"/>
    <w:rsid w:val="008A5E0B"/>
    <w:rsid w:val="008A6D59"/>
    <w:rsid w:val="008B4B03"/>
    <w:rsid w:val="008B596F"/>
    <w:rsid w:val="008C0ABD"/>
    <w:rsid w:val="008C159F"/>
    <w:rsid w:val="008C1623"/>
    <w:rsid w:val="008C31E5"/>
    <w:rsid w:val="008C51A9"/>
    <w:rsid w:val="008C637A"/>
    <w:rsid w:val="008D7BAE"/>
    <w:rsid w:val="008E7846"/>
    <w:rsid w:val="008F1CCC"/>
    <w:rsid w:val="008F2967"/>
    <w:rsid w:val="008F6943"/>
    <w:rsid w:val="00902A21"/>
    <w:rsid w:val="009056D3"/>
    <w:rsid w:val="00911F97"/>
    <w:rsid w:val="00912D18"/>
    <w:rsid w:val="00920330"/>
    <w:rsid w:val="00920F6C"/>
    <w:rsid w:val="009219D7"/>
    <w:rsid w:val="00921C20"/>
    <w:rsid w:val="00922D53"/>
    <w:rsid w:val="00923B70"/>
    <w:rsid w:val="00924482"/>
    <w:rsid w:val="00930237"/>
    <w:rsid w:val="009369C0"/>
    <w:rsid w:val="0094251C"/>
    <w:rsid w:val="00946EA5"/>
    <w:rsid w:val="00953060"/>
    <w:rsid w:val="009561C4"/>
    <w:rsid w:val="009567EB"/>
    <w:rsid w:val="009571C7"/>
    <w:rsid w:val="009639A6"/>
    <w:rsid w:val="00963C08"/>
    <w:rsid w:val="0096559C"/>
    <w:rsid w:val="00973C1B"/>
    <w:rsid w:val="00976596"/>
    <w:rsid w:val="00976DD3"/>
    <w:rsid w:val="0098585A"/>
    <w:rsid w:val="00986818"/>
    <w:rsid w:val="00995D0B"/>
    <w:rsid w:val="009A4CED"/>
    <w:rsid w:val="009A606A"/>
    <w:rsid w:val="009A690D"/>
    <w:rsid w:val="009B1D12"/>
    <w:rsid w:val="009B416B"/>
    <w:rsid w:val="009C4BD5"/>
    <w:rsid w:val="009C6CAC"/>
    <w:rsid w:val="009D1D64"/>
    <w:rsid w:val="009D7B77"/>
    <w:rsid w:val="009E0BB0"/>
    <w:rsid w:val="009E1510"/>
    <w:rsid w:val="009E3FBB"/>
    <w:rsid w:val="00A01456"/>
    <w:rsid w:val="00A0149D"/>
    <w:rsid w:val="00A102E4"/>
    <w:rsid w:val="00A10C8E"/>
    <w:rsid w:val="00A11C59"/>
    <w:rsid w:val="00A12B17"/>
    <w:rsid w:val="00A12C42"/>
    <w:rsid w:val="00A14DF7"/>
    <w:rsid w:val="00A15988"/>
    <w:rsid w:val="00A20823"/>
    <w:rsid w:val="00A20B85"/>
    <w:rsid w:val="00A20D98"/>
    <w:rsid w:val="00A26FA1"/>
    <w:rsid w:val="00A3246D"/>
    <w:rsid w:val="00A36FA7"/>
    <w:rsid w:val="00A43452"/>
    <w:rsid w:val="00A4600D"/>
    <w:rsid w:val="00A475B7"/>
    <w:rsid w:val="00A47AF7"/>
    <w:rsid w:val="00A47C3E"/>
    <w:rsid w:val="00A50226"/>
    <w:rsid w:val="00A608CF"/>
    <w:rsid w:val="00A60BAD"/>
    <w:rsid w:val="00A62DB0"/>
    <w:rsid w:val="00A63755"/>
    <w:rsid w:val="00A7767E"/>
    <w:rsid w:val="00A87AD9"/>
    <w:rsid w:val="00A95A15"/>
    <w:rsid w:val="00A964D1"/>
    <w:rsid w:val="00AA0ACD"/>
    <w:rsid w:val="00AA0ED0"/>
    <w:rsid w:val="00AA2EAF"/>
    <w:rsid w:val="00AA4A3D"/>
    <w:rsid w:val="00AA65F1"/>
    <w:rsid w:val="00AB3E09"/>
    <w:rsid w:val="00AC2B40"/>
    <w:rsid w:val="00AC2BB2"/>
    <w:rsid w:val="00AC2C3C"/>
    <w:rsid w:val="00AC512D"/>
    <w:rsid w:val="00AC7BAC"/>
    <w:rsid w:val="00AD1E95"/>
    <w:rsid w:val="00AD2EAE"/>
    <w:rsid w:val="00AE65EB"/>
    <w:rsid w:val="00AE67A7"/>
    <w:rsid w:val="00AF1D94"/>
    <w:rsid w:val="00AF3F90"/>
    <w:rsid w:val="00AF60C5"/>
    <w:rsid w:val="00B009C6"/>
    <w:rsid w:val="00B01548"/>
    <w:rsid w:val="00B06BFA"/>
    <w:rsid w:val="00B133C1"/>
    <w:rsid w:val="00B21D29"/>
    <w:rsid w:val="00B24BD3"/>
    <w:rsid w:val="00B25034"/>
    <w:rsid w:val="00B33588"/>
    <w:rsid w:val="00B33863"/>
    <w:rsid w:val="00B37D17"/>
    <w:rsid w:val="00B4175E"/>
    <w:rsid w:val="00B452CE"/>
    <w:rsid w:val="00B52B15"/>
    <w:rsid w:val="00B54C25"/>
    <w:rsid w:val="00B60E55"/>
    <w:rsid w:val="00B76B91"/>
    <w:rsid w:val="00B77EB1"/>
    <w:rsid w:val="00B811C6"/>
    <w:rsid w:val="00B861EA"/>
    <w:rsid w:val="00B92E08"/>
    <w:rsid w:val="00BA361E"/>
    <w:rsid w:val="00BA4936"/>
    <w:rsid w:val="00BB15FC"/>
    <w:rsid w:val="00BB25A2"/>
    <w:rsid w:val="00BC565C"/>
    <w:rsid w:val="00BC622A"/>
    <w:rsid w:val="00BD24B8"/>
    <w:rsid w:val="00BD426A"/>
    <w:rsid w:val="00BD7D75"/>
    <w:rsid w:val="00BE0577"/>
    <w:rsid w:val="00BE0A78"/>
    <w:rsid w:val="00BE2A69"/>
    <w:rsid w:val="00BE7531"/>
    <w:rsid w:val="00BE79F0"/>
    <w:rsid w:val="00BF046D"/>
    <w:rsid w:val="00BF5D04"/>
    <w:rsid w:val="00C05FD8"/>
    <w:rsid w:val="00C1164D"/>
    <w:rsid w:val="00C1644E"/>
    <w:rsid w:val="00C16861"/>
    <w:rsid w:val="00C21FB9"/>
    <w:rsid w:val="00C30D48"/>
    <w:rsid w:val="00C404A6"/>
    <w:rsid w:val="00C40A36"/>
    <w:rsid w:val="00C4151A"/>
    <w:rsid w:val="00C416A7"/>
    <w:rsid w:val="00C44419"/>
    <w:rsid w:val="00C45E7B"/>
    <w:rsid w:val="00C471B1"/>
    <w:rsid w:val="00C5007C"/>
    <w:rsid w:val="00C521E3"/>
    <w:rsid w:val="00C6316B"/>
    <w:rsid w:val="00C634A9"/>
    <w:rsid w:val="00C64586"/>
    <w:rsid w:val="00C66729"/>
    <w:rsid w:val="00C70876"/>
    <w:rsid w:val="00C70D53"/>
    <w:rsid w:val="00C70E95"/>
    <w:rsid w:val="00C73D0B"/>
    <w:rsid w:val="00C772FF"/>
    <w:rsid w:val="00C801AF"/>
    <w:rsid w:val="00C80256"/>
    <w:rsid w:val="00C863B4"/>
    <w:rsid w:val="00C954F3"/>
    <w:rsid w:val="00CA547B"/>
    <w:rsid w:val="00CA7C4D"/>
    <w:rsid w:val="00CB6BC0"/>
    <w:rsid w:val="00CB6CAA"/>
    <w:rsid w:val="00CC0AD4"/>
    <w:rsid w:val="00CC1B7C"/>
    <w:rsid w:val="00CC2AF0"/>
    <w:rsid w:val="00CC727F"/>
    <w:rsid w:val="00CD36A1"/>
    <w:rsid w:val="00CD3B53"/>
    <w:rsid w:val="00CE2986"/>
    <w:rsid w:val="00CF11EA"/>
    <w:rsid w:val="00CF15C3"/>
    <w:rsid w:val="00CF2B6F"/>
    <w:rsid w:val="00CF58B6"/>
    <w:rsid w:val="00D017ED"/>
    <w:rsid w:val="00D040D3"/>
    <w:rsid w:val="00D04C65"/>
    <w:rsid w:val="00D12465"/>
    <w:rsid w:val="00D224FE"/>
    <w:rsid w:val="00D3483A"/>
    <w:rsid w:val="00D36CD7"/>
    <w:rsid w:val="00D55FDE"/>
    <w:rsid w:val="00D57784"/>
    <w:rsid w:val="00D606AD"/>
    <w:rsid w:val="00D6493E"/>
    <w:rsid w:val="00D7301E"/>
    <w:rsid w:val="00D75250"/>
    <w:rsid w:val="00D819B8"/>
    <w:rsid w:val="00D8257F"/>
    <w:rsid w:val="00D83AE1"/>
    <w:rsid w:val="00D855D4"/>
    <w:rsid w:val="00D90152"/>
    <w:rsid w:val="00D90F00"/>
    <w:rsid w:val="00D93466"/>
    <w:rsid w:val="00DA1124"/>
    <w:rsid w:val="00DA178C"/>
    <w:rsid w:val="00DB75B7"/>
    <w:rsid w:val="00DB7B8E"/>
    <w:rsid w:val="00DC6E02"/>
    <w:rsid w:val="00DD7CBC"/>
    <w:rsid w:val="00DE02AE"/>
    <w:rsid w:val="00DF1D7F"/>
    <w:rsid w:val="00DF2484"/>
    <w:rsid w:val="00DF4BE4"/>
    <w:rsid w:val="00DF6804"/>
    <w:rsid w:val="00DF68CA"/>
    <w:rsid w:val="00DF7ADE"/>
    <w:rsid w:val="00E02FB4"/>
    <w:rsid w:val="00E1574B"/>
    <w:rsid w:val="00E20571"/>
    <w:rsid w:val="00E20BC6"/>
    <w:rsid w:val="00E235F7"/>
    <w:rsid w:val="00E23659"/>
    <w:rsid w:val="00E239D4"/>
    <w:rsid w:val="00E26130"/>
    <w:rsid w:val="00E3199F"/>
    <w:rsid w:val="00E40B22"/>
    <w:rsid w:val="00E43F45"/>
    <w:rsid w:val="00E45619"/>
    <w:rsid w:val="00E4588F"/>
    <w:rsid w:val="00E46DA3"/>
    <w:rsid w:val="00E51BB1"/>
    <w:rsid w:val="00E5225D"/>
    <w:rsid w:val="00E624A5"/>
    <w:rsid w:val="00E7344E"/>
    <w:rsid w:val="00E822CD"/>
    <w:rsid w:val="00E879D6"/>
    <w:rsid w:val="00E90540"/>
    <w:rsid w:val="00E94809"/>
    <w:rsid w:val="00E97B04"/>
    <w:rsid w:val="00EA20E3"/>
    <w:rsid w:val="00EA4623"/>
    <w:rsid w:val="00EB0798"/>
    <w:rsid w:val="00EB1CC9"/>
    <w:rsid w:val="00EB40AD"/>
    <w:rsid w:val="00EB586E"/>
    <w:rsid w:val="00EB5FC8"/>
    <w:rsid w:val="00EB62EF"/>
    <w:rsid w:val="00EC13A1"/>
    <w:rsid w:val="00ED25F1"/>
    <w:rsid w:val="00ED3CAD"/>
    <w:rsid w:val="00ED5A41"/>
    <w:rsid w:val="00ED78AB"/>
    <w:rsid w:val="00EE1DE8"/>
    <w:rsid w:val="00EE4B36"/>
    <w:rsid w:val="00EE5B29"/>
    <w:rsid w:val="00EE5E69"/>
    <w:rsid w:val="00EE70F5"/>
    <w:rsid w:val="00EE7613"/>
    <w:rsid w:val="00EF2FAA"/>
    <w:rsid w:val="00EF6585"/>
    <w:rsid w:val="00F033EC"/>
    <w:rsid w:val="00F04F68"/>
    <w:rsid w:val="00F12670"/>
    <w:rsid w:val="00F1329D"/>
    <w:rsid w:val="00F14B27"/>
    <w:rsid w:val="00F16641"/>
    <w:rsid w:val="00F23300"/>
    <w:rsid w:val="00F3042F"/>
    <w:rsid w:val="00F3148D"/>
    <w:rsid w:val="00F325C5"/>
    <w:rsid w:val="00F32FE0"/>
    <w:rsid w:val="00F35298"/>
    <w:rsid w:val="00F47333"/>
    <w:rsid w:val="00F47E37"/>
    <w:rsid w:val="00F52B72"/>
    <w:rsid w:val="00F53C07"/>
    <w:rsid w:val="00F54B65"/>
    <w:rsid w:val="00F640B6"/>
    <w:rsid w:val="00F676BC"/>
    <w:rsid w:val="00F768C0"/>
    <w:rsid w:val="00F80E40"/>
    <w:rsid w:val="00F848D9"/>
    <w:rsid w:val="00F95855"/>
    <w:rsid w:val="00F96903"/>
    <w:rsid w:val="00FA0DED"/>
    <w:rsid w:val="00FA5B82"/>
    <w:rsid w:val="00FA639E"/>
    <w:rsid w:val="00FA7F80"/>
    <w:rsid w:val="00FB118E"/>
    <w:rsid w:val="00FC25E4"/>
    <w:rsid w:val="00FC4EF7"/>
    <w:rsid w:val="00FD29DD"/>
    <w:rsid w:val="00FD779D"/>
    <w:rsid w:val="00FD7F22"/>
    <w:rsid w:val="00FE1DEE"/>
    <w:rsid w:val="00FE51C6"/>
    <w:rsid w:val="00FF2126"/>
    <w:rsid w:val="00FF5755"/>
    <w:rsid w:val="00FF59E8"/>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4">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D56FE"/>
    <w:pPr>
      <w:spacing w:before="120" w:after="120" w:line="240" w:lineRule="atLeast"/>
    </w:pPr>
    <w:rPr>
      <w:sz w:val="22"/>
      <w:szCs w:val="22"/>
      <w:lang w:eastAsia="en-US"/>
    </w:rPr>
  </w:style>
  <w:style w:type="paragraph" w:styleId="Heading1">
    <w:name w:val="heading 1"/>
    <w:basedOn w:val="Heading2"/>
    <w:next w:val="Normal"/>
    <w:link w:val="Heading1Char"/>
    <w:qFormat/>
    <w:rsid w:val="000C690F"/>
    <w:pPr>
      <w:spacing w:before="120" w:after="360"/>
      <w:outlineLvl w:val="0"/>
    </w:pPr>
    <w:rPr>
      <w:rFonts w:cs="Arial"/>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4722CC"/>
    <w:pPr>
      <w:keepNext/>
      <w:keepLines/>
      <w:spacing w:before="480" w:after="0" w:line="220" w:lineRule="atLeast"/>
      <w:outlineLvl w:val="2"/>
    </w:pPr>
    <w:rPr>
      <w:rFonts w:ascii="Arial" w:eastAsia="Times New Roman" w:hAnsi="Arial"/>
      <w:b/>
      <w:bCs/>
      <w:szCs w:val="21"/>
    </w:rPr>
  </w:style>
  <w:style w:type="paragraph" w:styleId="Heading4">
    <w:name w:val="heading 4"/>
    <w:basedOn w:val="Normal"/>
    <w:next w:val="Normal"/>
    <w:link w:val="Heading4Char"/>
    <w:qFormat/>
    <w:rsid w:val="004722CC"/>
    <w:pPr>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4722CC"/>
    <w:pPr>
      <w:spacing w:line="220" w:lineRule="atLeast"/>
      <w:outlineLvl w:val="5"/>
    </w:pPr>
    <w:rPr>
      <w:rFonts w:eastAsia="Times New Roman"/>
      <w:bCs/>
      <w:i/>
      <w:szCs w:val="21"/>
    </w:rPr>
  </w:style>
  <w:style w:type="paragraph" w:styleId="Heading7">
    <w:name w:val="heading 7"/>
    <w:basedOn w:val="Heading6"/>
    <w:next w:val="Normal"/>
    <w:link w:val="Heading7Char"/>
    <w:qFormat/>
    <w:rsid w:val="00FF59E8"/>
    <w:pPr>
      <w:outlineLvl w:val="6"/>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Arial" w:eastAsia="Times New Roman" w:hAnsi="Arial" w:cs="Arial"/>
      <w:b/>
      <w:bCs/>
      <w:sz w:val="64"/>
      <w:szCs w:val="64"/>
    </w:rPr>
  </w:style>
  <w:style w:type="character" w:customStyle="1" w:styleId="Heading2Char">
    <w:name w:val="Heading 2 Char"/>
    <w:basedOn w:val="DefaultParagraphFont"/>
    <w:link w:val="Heading2"/>
    <w:rsid w:val="008960DD"/>
    <w:rPr>
      <w:rFonts w:ascii="Arial" w:eastAsia="Times New Roman" w:hAnsi="Arial" w:cs="Times New Roman"/>
      <w:b/>
      <w:bCs/>
      <w:sz w:val="32"/>
      <w:szCs w:val="26"/>
    </w:rPr>
  </w:style>
  <w:style w:type="character" w:customStyle="1" w:styleId="Heading3Char">
    <w:name w:val="Heading 3 Char"/>
    <w:basedOn w:val="DefaultParagraphFont"/>
    <w:link w:val="Heading3"/>
    <w:rsid w:val="008960DD"/>
    <w:rPr>
      <w:rFonts w:ascii="Arial" w:eastAsia="Times New Roman" w:hAnsi="Arial" w:cs="Times New Roman"/>
      <w:b/>
      <w:bCs/>
      <w:szCs w:val="21"/>
    </w:rPr>
  </w:style>
  <w:style w:type="paragraph" w:customStyle="1" w:styleId="Address">
    <w:name w:val="Address"/>
    <w:basedOn w:val="Normal"/>
    <w:qFormat/>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qFormat/>
    <w:rsid w:val="003D1E62"/>
    <w:pPr>
      <w:spacing w:after="0"/>
    </w:pPr>
    <w:rPr>
      <w:sz w:val="19"/>
    </w:rPr>
  </w:style>
  <w:style w:type="paragraph" w:customStyle="1" w:styleId="FigureTitle">
    <w:name w:val="Figure Title"/>
    <w:basedOn w:val="Normal"/>
    <w:qFormat/>
    <w:rsid w:val="00F3148D"/>
    <w:pPr>
      <w:spacing w:line="220" w:lineRule="atLeast"/>
    </w:pPr>
    <w:rPr>
      <w:b/>
    </w:rPr>
  </w:style>
  <w:style w:type="character" w:customStyle="1" w:styleId="Heading4Char">
    <w:name w:val="Heading 4 Char"/>
    <w:basedOn w:val="DefaultParagraphFont"/>
    <w:link w:val="Heading4"/>
    <w:rsid w:val="0029501A"/>
    <w:rPr>
      <w:rFonts w:ascii="Cambria" w:eastAsia="Cambria" w:hAnsi="Cambria" w:cs="Times New Roman"/>
      <w:b/>
      <w:bCs/>
      <w:szCs w:val="21"/>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8960DD"/>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8960DD"/>
    <w:rPr>
      <w:rFonts w:ascii="Cambria" w:eastAsia="Times New Roman" w:hAnsi="Cambria" w:cs="Times New Roman"/>
      <w:bCs/>
      <w:i/>
      <w:szCs w:val="21"/>
    </w:rPr>
  </w:style>
  <w:style w:type="character" w:customStyle="1" w:styleId="Heading7Char">
    <w:name w:val="Heading 7 Char"/>
    <w:basedOn w:val="DefaultParagraphFont"/>
    <w:link w:val="Heading7"/>
    <w:rsid w:val="00FF59E8"/>
    <w:rPr>
      <w:rFonts w:eastAsia="Times New Roman"/>
      <w:bCs/>
      <w:i/>
      <w:lang w:eastAsia="en-US"/>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qFormat/>
    <w:rsid w:val="003D1E62"/>
    <w:pPr>
      <w:spacing w:after="240"/>
    </w:pPr>
    <w:rPr>
      <w:szCs w:val="19"/>
    </w:rPr>
  </w:style>
  <w:style w:type="table" w:styleId="TableGrid">
    <w:name w:val="Table Grid"/>
    <w:basedOn w:val="TableNormal"/>
    <w:uiPriority w:val="59"/>
    <w:rsid w:val="00F3148D"/>
    <w:rPr>
      <w:sz w:val="21"/>
      <w:szCs w:val="21"/>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qFormat/>
    <w:rsid w:val="00F3148D"/>
    <w:rPr>
      <w:rFonts w:ascii="Calibri" w:eastAsia="Calibri" w:hAnsi="Calibri"/>
      <w:b/>
      <w:color w:val="FFFFFF"/>
      <w:sz w:val="20"/>
    </w:rPr>
  </w:style>
  <w:style w:type="paragraph" w:customStyle="1" w:styleId="TableHeading1">
    <w:name w:val="Table Heading 1"/>
    <w:basedOn w:val="Normal"/>
    <w:qFormat/>
    <w:rsid w:val="00F3148D"/>
    <w:rPr>
      <w:b/>
      <w:color w:val="FFFFFF"/>
      <w:sz w:val="19"/>
    </w:rPr>
  </w:style>
  <w:style w:type="paragraph" w:customStyle="1" w:styleId="TableHeading2">
    <w:name w:val="Table Heading 2"/>
    <w:basedOn w:val="Normal"/>
    <w:qFormat/>
    <w:rsid w:val="00F3148D"/>
    <w:rPr>
      <w:b/>
      <w:sz w:val="19"/>
    </w:rPr>
  </w:style>
  <w:style w:type="paragraph" w:customStyle="1" w:styleId="Tabletext">
    <w:name w:val="Table text"/>
    <w:basedOn w:val="Normal"/>
    <w:qFormat/>
    <w:rsid w:val="00F3148D"/>
    <w:rPr>
      <w:sz w:val="19"/>
    </w:rPr>
  </w:style>
  <w:style w:type="table" w:customStyle="1" w:styleId="TableTGAblue">
    <w:name w:val="Table TGA blue"/>
    <w:basedOn w:val="TableNormal"/>
    <w:uiPriority w:val="99"/>
    <w:qFormat/>
    <w:rsid w:val="00EE1DE8"/>
    <w:pPr>
      <w:ind w:left="170" w:right="170"/>
    </w:pPr>
    <w:rPr>
      <w:color w:val="000000"/>
      <w:szCs w:val="21"/>
    </w:rPr>
    <w:tblP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tcBorders>
          <w:top w:val="single" w:sz="8" w:space="0" w:color="000000"/>
          <w:left w:val="single" w:sz="8" w:space="0" w:color="000000"/>
          <w:bottom w:val="single" w:sz="8" w:space="0" w:color="000000"/>
          <w:right w:val="single" w:sz="8" w:space="0" w:color="000000"/>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ind w:left="170" w:right="170"/>
    </w:pPr>
    <w:rPr>
      <w:color w:val="000000"/>
      <w:szCs w:val="21"/>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sz w:val="22"/>
      </w:rPr>
      <w:tbl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770EF1"/>
    <w:pPr>
      <w:keepNext/>
    </w:pPr>
    <w:rPr>
      <w:b/>
      <w:sz w:val="20"/>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qFormat/>
    <w:rsid w:val="00F3148D"/>
    <w:pPr>
      <w:spacing w:after="480"/>
      <w:contextualSpacing/>
    </w:pPr>
    <w:rPr>
      <w:rFonts w:ascii="Arial" w:eastAsia="Times New Roman" w:hAnsi="Arial"/>
      <w:spacing w:val="5"/>
      <w:kern w:val="28"/>
      <w:sz w:val="52"/>
      <w:szCs w:val="52"/>
      <w:lang w:eastAsia="en-US"/>
    </w:rPr>
  </w:style>
  <w:style w:type="character" w:customStyle="1" w:styleId="TitleChar">
    <w:name w:val="Title Char"/>
    <w:basedOn w:val="DefaultParagraphFont"/>
    <w:link w:val="Title"/>
    <w:uiPriority w:val="10"/>
    <w:rsid w:val="00F3148D"/>
    <w:rPr>
      <w:rFonts w:ascii="Arial" w:eastAsia="Times New Roman" w:hAnsi="Arial"/>
      <w:spacing w:val="5"/>
      <w:kern w:val="28"/>
      <w:sz w:val="52"/>
      <w:szCs w:val="52"/>
      <w:lang w:val="en-AU" w:eastAsia="en-US" w:bidi="ar-SA"/>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imes New Roman"/>
      <w:color w:val="002035"/>
      <w:sz w:val="28"/>
      <w:lang w:val="en-US"/>
    </w:rPr>
  </w:style>
  <w:style w:type="paragraph" w:customStyle="1" w:styleId="Bulletpoint">
    <w:name w:val="Bullet point"/>
    <w:basedOn w:val="Normal"/>
    <w:rsid w:val="000A23AB"/>
    <w:pPr>
      <w:numPr>
        <w:numId w:val="5"/>
      </w:numPr>
      <w:tabs>
        <w:tab w:val="clear" w:pos="369"/>
        <w:tab w:val="left" w:pos="397"/>
        <w:tab w:val="num" w:pos="511"/>
      </w:tabs>
      <w:spacing w:before="0" w:after="180" w:line="252" w:lineRule="auto"/>
      <w:ind w:left="397" w:firstLine="0"/>
    </w:pPr>
    <w:rPr>
      <w:rFonts w:eastAsia="Times New Roman"/>
      <w:snapToGrid w:val="0"/>
      <w:kern w:val="16"/>
      <w:sz w:val="23"/>
      <w:szCs w:val="24"/>
    </w:rPr>
  </w:style>
  <w:style w:type="paragraph" w:styleId="ListParagraph">
    <w:name w:val="List Paragraph"/>
    <w:basedOn w:val="Normal"/>
    <w:uiPriority w:val="34"/>
    <w:qFormat/>
    <w:rsid w:val="00792D2E"/>
    <w:pPr>
      <w:spacing w:before="0" w:after="0" w:line="240" w:lineRule="auto"/>
      <w:ind w:left="720"/>
    </w:pPr>
    <w:rPr>
      <w:rFonts w:ascii="Times New Roman" w:eastAsia="Times New Roman" w:hAnsi="Times New Roman"/>
      <w:sz w:val="24"/>
      <w:szCs w:val="20"/>
      <w:lang w:eastAsia="en-AU"/>
    </w:rPr>
  </w:style>
  <w:style w:type="character" w:customStyle="1" w:styleId="italic">
    <w:name w:val="italic"/>
    <w:basedOn w:val="DefaultParagraphFont"/>
    <w:rsid w:val="00104B3A"/>
    <w:rPr>
      <w:i/>
      <w:iCs/>
    </w:rPr>
  </w:style>
  <w:style w:type="character" w:customStyle="1" w:styleId="molecularformula">
    <w:name w:val="molecular_formula"/>
    <w:basedOn w:val="DefaultParagraphFont"/>
    <w:rsid w:val="00104B3A"/>
  </w:style>
  <w:style w:type="character" w:customStyle="1" w:styleId="molecularweight">
    <w:name w:val="molecular_weight"/>
    <w:basedOn w:val="DefaultParagraphFont"/>
    <w:rsid w:val="00104B3A"/>
  </w:style>
  <w:style w:type="paragraph" w:customStyle="1" w:styleId="Standard">
    <w:name w:val="Standard"/>
    <w:basedOn w:val="Normal"/>
    <w:link w:val="StandardChar"/>
    <w:rsid w:val="0017214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172144"/>
    <w:rPr>
      <w:rFonts w:eastAsia="Times New Roman"/>
      <w:snapToGrid w:val="0"/>
      <w:kern w:val="16"/>
      <w:sz w:val="23"/>
      <w:szCs w:val="24"/>
      <w:lang w:eastAsia="en-US"/>
    </w:rPr>
  </w:style>
  <w:style w:type="paragraph" w:customStyle="1" w:styleId="WhiteSpace">
    <w:name w:val="White Space"/>
    <w:basedOn w:val="Standard"/>
    <w:link w:val="WhiteSpaceChar"/>
    <w:rsid w:val="003451DA"/>
    <w:pPr>
      <w:spacing w:after="0"/>
    </w:pPr>
    <w:rPr>
      <w:sz w:val="16"/>
      <w:szCs w:val="16"/>
    </w:rPr>
  </w:style>
  <w:style w:type="character" w:customStyle="1" w:styleId="WhiteSpaceChar">
    <w:name w:val="White Space Char"/>
    <w:basedOn w:val="DefaultParagraphFont"/>
    <w:link w:val="WhiteSpace"/>
    <w:rsid w:val="003451DA"/>
    <w:rPr>
      <w:rFonts w:eastAsia="Times New Roman"/>
      <w:snapToGrid w:val="0"/>
      <w:kern w:val="16"/>
      <w:sz w:val="16"/>
      <w:szCs w:val="16"/>
      <w:lang w:eastAsia="en-US"/>
    </w:rPr>
  </w:style>
  <w:style w:type="paragraph" w:customStyle="1" w:styleId="AssessmentSection">
    <w:name w:val="Assessment Section"/>
    <w:basedOn w:val="Normal"/>
    <w:next w:val="Standard"/>
    <w:rsid w:val="003451DA"/>
    <w:pPr>
      <w:keepNext/>
      <w:spacing w:before="0" w:after="110" w:line="252" w:lineRule="auto"/>
      <w:outlineLvl w:val="1"/>
    </w:pPr>
    <w:rPr>
      <w:rFonts w:eastAsia="Times New Roman"/>
      <w:b/>
      <w:snapToGrid w:val="0"/>
      <w:kern w:val="16"/>
      <w:sz w:val="23"/>
      <w:szCs w:val="24"/>
    </w:rPr>
  </w:style>
  <w:style w:type="paragraph" w:styleId="Quote">
    <w:name w:val="Quote"/>
    <w:basedOn w:val="Standard"/>
    <w:next w:val="Standard"/>
    <w:link w:val="QuoteChar"/>
    <w:qFormat/>
    <w:rsid w:val="003451DA"/>
    <w:pPr>
      <w:spacing w:after="280"/>
      <w:ind w:left="482" w:right="397" w:hanging="85"/>
    </w:pPr>
  </w:style>
  <w:style w:type="character" w:customStyle="1" w:styleId="QuoteChar">
    <w:name w:val="Quote Char"/>
    <w:basedOn w:val="DefaultParagraphFont"/>
    <w:link w:val="Quote"/>
    <w:rsid w:val="003451DA"/>
    <w:rPr>
      <w:rFonts w:eastAsia="Times New Roman"/>
      <w:snapToGrid w:val="0"/>
      <w:kern w:val="16"/>
      <w:sz w:val="23"/>
      <w:szCs w:val="24"/>
      <w:lang w:eastAsia="en-US"/>
    </w:rPr>
  </w:style>
  <w:style w:type="paragraph" w:customStyle="1" w:styleId="AssessmentSubsection">
    <w:name w:val="Assessment Subsection"/>
    <w:basedOn w:val="Standard"/>
    <w:next w:val="Standard"/>
    <w:rsid w:val="003451DA"/>
    <w:pPr>
      <w:keepNext/>
      <w:spacing w:after="110"/>
      <w:outlineLvl w:val="2"/>
    </w:pPr>
    <w:rPr>
      <w:b/>
      <w:i/>
    </w:rPr>
  </w:style>
  <w:style w:type="paragraph" w:customStyle="1" w:styleId="AssessmentSubsection2">
    <w:name w:val="Assessment Subsection 2"/>
    <w:basedOn w:val="AssessmentSubsection"/>
    <w:next w:val="Standard"/>
    <w:rsid w:val="003451DA"/>
    <w:pPr>
      <w:outlineLvl w:val="3"/>
    </w:pPr>
    <w:rPr>
      <w:b w:val="0"/>
    </w:rPr>
  </w:style>
  <w:style w:type="paragraph" w:customStyle="1" w:styleId="Bullet1">
    <w:name w:val="Bullet 1"/>
    <w:basedOn w:val="Normal"/>
    <w:rsid w:val="0035372E"/>
    <w:pPr>
      <w:numPr>
        <w:numId w:val="7"/>
      </w:numPr>
      <w:spacing w:after="0" w:line="240" w:lineRule="auto"/>
    </w:pPr>
    <w:rPr>
      <w:rFonts w:eastAsia="Times New Roman"/>
      <w:kern w:val="24"/>
      <w:szCs w:val="24"/>
      <w:lang w:eastAsia="en-AU"/>
    </w:rPr>
  </w:style>
  <w:style w:type="paragraph" w:customStyle="1" w:styleId="Bullet2">
    <w:name w:val="Bullet 2"/>
    <w:basedOn w:val="Bullet1"/>
    <w:uiPriority w:val="99"/>
    <w:rsid w:val="0035372E"/>
    <w:pPr>
      <w:numPr>
        <w:numId w:val="8"/>
      </w:numPr>
    </w:pPr>
  </w:style>
  <w:style w:type="paragraph" w:styleId="FootnoteText">
    <w:name w:val="footnote text"/>
    <w:basedOn w:val="Normal"/>
    <w:link w:val="FootnoteTextChar"/>
    <w:uiPriority w:val="99"/>
    <w:semiHidden/>
    <w:unhideWhenUsed/>
    <w:rsid w:val="00C416A7"/>
    <w:rPr>
      <w:sz w:val="20"/>
      <w:szCs w:val="20"/>
    </w:rPr>
  </w:style>
  <w:style w:type="character" w:customStyle="1" w:styleId="FootnoteTextChar">
    <w:name w:val="Footnote Text Char"/>
    <w:basedOn w:val="DefaultParagraphFont"/>
    <w:link w:val="FootnoteText"/>
    <w:uiPriority w:val="99"/>
    <w:semiHidden/>
    <w:rsid w:val="00C416A7"/>
    <w:rPr>
      <w:lang w:eastAsia="en-US"/>
    </w:rPr>
  </w:style>
  <w:style w:type="character" w:styleId="FootnoteReference">
    <w:name w:val="footnote reference"/>
    <w:basedOn w:val="DefaultParagraphFont"/>
    <w:uiPriority w:val="99"/>
    <w:semiHidden/>
    <w:unhideWhenUsed/>
    <w:rsid w:val="00C416A7"/>
    <w:rPr>
      <w:vertAlign w:val="superscript"/>
    </w:rPr>
  </w:style>
  <w:style w:type="character" w:styleId="CommentReference">
    <w:name w:val="annotation reference"/>
    <w:uiPriority w:val="99"/>
    <w:semiHidden/>
    <w:unhideWhenUsed/>
    <w:rsid w:val="00327344"/>
    <w:rPr>
      <w:sz w:val="16"/>
      <w:szCs w:val="16"/>
    </w:rPr>
  </w:style>
  <w:style w:type="paragraph" w:styleId="CommentText">
    <w:name w:val="annotation text"/>
    <w:basedOn w:val="Normal"/>
    <w:link w:val="CommentTextChar"/>
    <w:uiPriority w:val="99"/>
    <w:semiHidden/>
    <w:unhideWhenUsed/>
    <w:rsid w:val="00327344"/>
    <w:rPr>
      <w:sz w:val="20"/>
      <w:szCs w:val="20"/>
    </w:rPr>
  </w:style>
  <w:style w:type="character" w:customStyle="1" w:styleId="CommentTextChar">
    <w:name w:val="Comment Text Char"/>
    <w:basedOn w:val="DefaultParagraphFont"/>
    <w:link w:val="CommentText"/>
    <w:uiPriority w:val="99"/>
    <w:semiHidden/>
    <w:rsid w:val="00327344"/>
    <w:rPr>
      <w:lang w:eastAsia="en-US"/>
    </w:rPr>
  </w:style>
  <w:style w:type="paragraph" w:styleId="Index6">
    <w:name w:val="index 6"/>
    <w:basedOn w:val="Normal"/>
    <w:next w:val="Normal"/>
    <w:autoRedefine/>
    <w:uiPriority w:val="99"/>
    <w:unhideWhenUsed/>
    <w:rsid w:val="00FF59E8"/>
    <w:pPr>
      <w:spacing w:before="0" w:after="0" w:line="240" w:lineRule="auto"/>
      <w:ind w:left="1320" w:hanging="2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ga.gov.au" TargetMode="External"/><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eader" Target="header8.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header" Target="head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0.jpeg"/><Relationship Id="rId28" Type="http://schemas.openxmlformats.org/officeDocument/2006/relationships/header" Target="header5.xml"/><Relationship Id="rId36" Type="http://schemas.openxmlformats.org/officeDocument/2006/relationships/footer" Target="footer7.xml"/><Relationship Id="rId10" Type="http://schemas.openxmlformats.org/officeDocument/2006/relationships/header" Target="header1.xml"/><Relationship Id="rId19" Type="http://schemas.openxmlformats.org/officeDocument/2006/relationships/image" Target="media/image6.jpeg"/><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9.jpeg"/><Relationship Id="rId27" Type="http://schemas.openxmlformats.org/officeDocument/2006/relationships/header" Target="header4.xml"/><Relationship Id="rId30" Type="http://schemas.openxmlformats.org/officeDocument/2006/relationships/header" Target="header6.xml"/><Relationship Id="rId35" Type="http://schemas.openxmlformats.org/officeDocument/2006/relationships/header" Target="header9.xml"/></Relationships>
</file>

<file path=word/_rels/footer6.xml.rels><?xml version="1.0" encoding="UTF-8" standalone="yes"?>
<Relationships xmlns="http://schemas.openxmlformats.org/package/2006/relationships"><Relationship Id="rId1" Type="http://schemas.openxmlformats.org/officeDocument/2006/relationships/hyperlink" Target="http://www.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C3DD0A-C633-4229-996C-160DCE8A6C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30</Pages>
  <Words>9108</Words>
  <Characters>51919</Characters>
  <Application>Microsoft Office Word</Application>
  <DocSecurity>0</DocSecurity>
  <Lines>432</Lines>
  <Paragraphs>121</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TGA</Company>
  <LinksUpToDate>false</LinksUpToDate>
  <CharactersWithSpaces>60906</CharactersWithSpaces>
  <SharedDoc>false</SharedDoc>
  <HLinks>
    <vt:vector size="228" baseType="variant">
      <vt:variant>
        <vt:i4>1572927</vt:i4>
      </vt:variant>
      <vt:variant>
        <vt:i4>212</vt:i4>
      </vt:variant>
      <vt:variant>
        <vt:i4>0</vt:i4>
      </vt:variant>
      <vt:variant>
        <vt:i4>5</vt:i4>
      </vt:variant>
      <vt:variant>
        <vt:lpwstr/>
      </vt:variant>
      <vt:variant>
        <vt:lpwstr>_Toc357785384</vt:lpwstr>
      </vt:variant>
      <vt:variant>
        <vt:i4>1572927</vt:i4>
      </vt:variant>
      <vt:variant>
        <vt:i4>206</vt:i4>
      </vt:variant>
      <vt:variant>
        <vt:i4>0</vt:i4>
      </vt:variant>
      <vt:variant>
        <vt:i4>5</vt:i4>
      </vt:variant>
      <vt:variant>
        <vt:lpwstr/>
      </vt:variant>
      <vt:variant>
        <vt:lpwstr>_Toc357785383</vt:lpwstr>
      </vt:variant>
      <vt:variant>
        <vt:i4>1572927</vt:i4>
      </vt:variant>
      <vt:variant>
        <vt:i4>200</vt:i4>
      </vt:variant>
      <vt:variant>
        <vt:i4>0</vt:i4>
      </vt:variant>
      <vt:variant>
        <vt:i4>5</vt:i4>
      </vt:variant>
      <vt:variant>
        <vt:lpwstr/>
      </vt:variant>
      <vt:variant>
        <vt:lpwstr>_Toc357785382</vt:lpwstr>
      </vt:variant>
      <vt:variant>
        <vt:i4>1572927</vt:i4>
      </vt:variant>
      <vt:variant>
        <vt:i4>194</vt:i4>
      </vt:variant>
      <vt:variant>
        <vt:i4>0</vt:i4>
      </vt:variant>
      <vt:variant>
        <vt:i4>5</vt:i4>
      </vt:variant>
      <vt:variant>
        <vt:lpwstr/>
      </vt:variant>
      <vt:variant>
        <vt:lpwstr>_Toc357785381</vt:lpwstr>
      </vt:variant>
      <vt:variant>
        <vt:i4>1572927</vt:i4>
      </vt:variant>
      <vt:variant>
        <vt:i4>188</vt:i4>
      </vt:variant>
      <vt:variant>
        <vt:i4>0</vt:i4>
      </vt:variant>
      <vt:variant>
        <vt:i4>5</vt:i4>
      </vt:variant>
      <vt:variant>
        <vt:lpwstr/>
      </vt:variant>
      <vt:variant>
        <vt:lpwstr>_Toc357785380</vt:lpwstr>
      </vt:variant>
      <vt:variant>
        <vt:i4>1507391</vt:i4>
      </vt:variant>
      <vt:variant>
        <vt:i4>182</vt:i4>
      </vt:variant>
      <vt:variant>
        <vt:i4>0</vt:i4>
      </vt:variant>
      <vt:variant>
        <vt:i4>5</vt:i4>
      </vt:variant>
      <vt:variant>
        <vt:lpwstr/>
      </vt:variant>
      <vt:variant>
        <vt:lpwstr>_Toc357785379</vt:lpwstr>
      </vt:variant>
      <vt:variant>
        <vt:i4>1507391</vt:i4>
      </vt:variant>
      <vt:variant>
        <vt:i4>176</vt:i4>
      </vt:variant>
      <vt:variant>
        <vt:i4>0</vt:i4>
      </vt:variant>
      <vt:variant>
        <vt:i4>5</vt:i4>
      </vt:variant>
      <vt:variant>
        <vt:lpwstr/>
      </vt:variant>
      <vt:variant>
        <vt:lpwstr>_Toc357785378</vt:lpwstr>
      </vt:variant>
      <vt:variant>
        <vt:i4>1507391</vt:i4>
      </vt:variant>
      <vt:variant>
        <vt:i4>170</vt:i4>
      </vt:variant>
      <vt:variant>
        <vt:i4>0</vt:i4>
      </vt:variant>
      <vt:variant>
        <vt:i4>5</vt:i4>
      </vt:variant>
      <vt:variant>
        <vt:lpwstr/>
      </vt:variant>
      <vt:variant>
        <vt:lpwstr>_Toc357785377</vt:lpwstr>
      </vt:variant>
      <vt:variant>
        <vt:i4>1507391</vt:i4>
      </vt:variant>
      <vt:variant>
        <vt:i4>164</vt:i4>
      </vt:variant>
      <vt:variant>
        <vt:i4>0</vt:i4>
      </vt:variant>
      <vt:variant>
        <vt:i4>5</vt:i4>
      </vt:variant>
      <vt:variant>
        <vt:lpwstr/>
      </vt:variant>
      <vt:variant>
        <vt:lpwstr>_Toc357785376</vt:lpwstr>
      </vt:variant>
      <vt:variant>
        <vt:i4>1507391</vt:i4>
      </vt:variant>
      <vt:variant>
        <vt:i4>158</vt:i4>
      </vt:variant>
      <vt:variant>
        <vt:i4>0</vt:i4>
      </vt:variant>
      <vt:variant>
        <vt:i4>5</vt:i4>
      </vt:variant>
      <vt:variant>
        <vt:lpwstr/>
      </vt:variant>
      <vt:variant>
        <vt:lpwstr>_Toc357785375</vt:lpwstr>
      </vt:variant>
      <vt:variant>
        <vt:i4>1507391</vt:i4>
      </vt:variant>
      <vt:variant>
        <vt:i4>152</vt:i4>
      </vt:variant>
      <vt:variant>
        <vt:i4>0</vt:i4>
      </vt:variant>
      <vt:variant>
        <vt:i4>5</vt:i4>
      </vt:variant>
      <vt:variant>
        <vt:lpwstr/>
      </vt:variant>
      <vt:variant>
        <vt:lpwstr>_Toc357785374</vt:lpwstr>
      </vt:variant>
      <vt:variant>
        <vt:i4>1507391</vt:i4>
      </vt:variant>
      <vt:variant>
        <vt:i4>146</vt:i4>
      </vt:variant>
      <vt:variant>
        <vt:i4>0</vt:i4>
      </vt:variant>
      <vt:variant>
        <vt:i4>5</vt:i4>
      </vt:variant>
      <vt:variant>
        <vt:lpwstr/>
      </vt:variant>
      <vt:variant>
        <vt:lpwstr>_Toc357785373</vt:lpwstr>
      </vt:variant>
      <vt:variant>
        <vt:i4>1507391</vt:i4>
      </vt:variant>
      <vt:variant>
        <vt:i4>140</vt:i4>
      </vt:variant>
      <vt:variant>
        <vt:i4>0</vt:i4>
      </vt:variant>
      <vt:variant>
        <vt:i4>5</vt:i4>
      </vt:variant>
      <vt:variant>
        <vt:lpwstr/>
      </vt:variant>
      <vt:variant>
        <vt:lpwstr>_Toc357785372</vt:lpwstr>
      </vt:variant>
      <vt:variant>
        <vt:i4>1507391</vt:i4>
      </vt:variant>
      <vt:variant>
        <vt:i4>134</vt:i4>
      </vt:variant>
      <vt:variant>
        <vt:i4>0</vt:i4>
      </vt:variant>
      <vt:variant>
        <vt:i4>5</vt:i4>
      </vt:variant>
      <vt:variant>
        <vt:lpwstr/>
      </vt:variant>
      <vt:variant>
        <vt:lpwstr>_Toc357785371</vt:lpwstr>
      </vt:variant>
      <vt:variant>
        <vt:i4>1507391</vt:i4>
      </vt:variant>
      <vt:variant>
        <vt:i4>128</vt:i4>
      </vt:variant>
      <vt:variant>
        <vt:i4>0</vt:i4>
      </vt:variant>
      <vt:variant>
        <vt:i4>5</vt:i4>
      </vt:variant>
      <vt:variant>
        <vt:lpwstr/>
      </vt:variant>
      <vt:variant>
        <vt:lpwstr>_Toc357785370</vt:lpwstr>
      </vt:variant>
      <vt:variant>
        <vt:i4>1441855</vt:i4>
      </vt:variant>
      <vt:variant>
        <vt:i4>122</vt:i4>
      </vt:variant>
      <vt:variant>
        <vt:i4>0</vt:i4>
      </vt:variant>
      <vt:variant>
        <vt:i4>5</vt:i4>
      </vt:variant>
      <vt:variant>
        <vt:lpwstr/>
      </vt:variant>
      <vt:variant>
        <vt:lpwstr>_Toc357785369</vt:lpwstr>
      </vt:variant>
      <vt:variant>
        <vt:i4>1441855</vt:i4>
      </vt:variant>
      <vt:variant>
        <vt:i4>116</vt:i4>
      </vt:variant>
      <vt:variant>
        <vt:i4>0</vt:i4>
      </vt:variant>
      <vt:variant>
        <vt:i4>5</vt:i4>
      </vt:variant>
      <vt:variant>
        <vt:lpwstr/>
      </vt:variant>
      <vt:variant>
        <vt:lpwstr>_Toc357785368</vt:lpwstr>
      </vt:variant>
      <vt:variant>
        <vt:i4>1441855</vt:i4>
      </vt:variant>
      <vt:variant>
        <vt:i4>110</vt:i4>
      </vt:variant>
      <vt:variant>
        <vt:i4>0</vt:i4>
      </vt:variant>
      <vt:variant>
        <vt:i4>5</vt:i4>
      </vt:variant>
      <vt:variant>
        <vt:lpwstr/>
      </vt:variant>
      <vt:variant>
        <vt:lpwstr>_Toc357785367</vt:lpwstr>
      </vt:variant>
      <vt:variant>
        <vt:i4>1441855</vt:i4>
      </vt:variant>
      <vt:variant>
        <vt:i4>104</vt:i4>
      </vt:variant>
      <vt:variant>
        <vt:i4>0</vt:i4>
      </vt:variant>
      <vt:variant>
        <vt:i4>5</vt:i4>
      </vt:variant>
      <vt:variant>
        <vt:lpwstr/>
      </vt:variant>
      <vt:variant>
        <vt:lpwstr>_Toc357785366</vt:lpwstr>
      </vt:variant>
      <vt:variant>
        <vt:i4>1441855</vt:i4>
      </vt:variant>
      <vt:variant>
        <vt:i4>98</vt:i4>
      </vt:variant>
      <vt:variant>
        <vt:i4>0</vt:i4>
      </vt:variant>
      <vt:variant>
        <vt:i4>5</vt:i4>
      </vt:variant>
      <vt:variant>
        <vt:lpwstr/>
      </vt:variant>
      <vt:variant>
        <vt:lpwstr>_Toc357785365</vt:lpwstr>
      </vt:variant>
      <vt:variant>
        <vt:i4>1441855</vt:i4>
      </vt:variant>
      <vt:variant>
        <vt:i4>92</vt:i4>
      </vt:variant>
      <vt:variant>
        <vt:i4>0</vt:i4>
      </vt:variant>
      <vt:variant>
        <vt:i4>5</vt:i4>
      </vt:variant>
      <vt:variant>
        <vt:lpwstr/>
      </vt:variant>
      <vt:variant>
        <vt:lpwstr>_Toc357785364</vt:lpwstr>
      </vt:variant>
      <vt:variant>
        <vt:i4>1441855</vt:i4>
      </vt:variant>
      <vt:variant>
        <vt:i4>86</vt:i4>
      </vt:variant>
      <vt:variant>
        <vt:i4>0</vt:i4>
      </vt:variant>
      <vt:variant>
        <vt:i4>5</vt:i4>
      </vt:variant>
      <vt:variant>
        <vt:lpwstr/>
      </vt:variant>
      <vt:variant>
        <vt:lpwstr>_Toc357785363</vt:lpwstr>
      </vt:variant>
      <vt:variant>
        <vt:i4>1441855</vt:i4>
      </vt:variant>
      <vt:variant>
        <vt:i4>80</vt:i4>
      </vt:variant>
      <vt:variant>
        <vt:i4>0</vt:i4>
      </vt:variant>
      <vt:variant>
        <vt:i4>5</vt:i4>
      </vt:variant>
      <vt:variant>
        <vt:lpwstr/>
      </vt:variant>
      <vt:variant>
        <vt:lpwstr>_Toc357785362</vt:lpwstr>
      </vt:variant>
      <vt:variant>
        <vt:i4>1441855</vt:i4>
      </vt:variant>
      <vt:variant>
        <vt:i4>74</vt:i4>
      </vt:variant>
      <vt:variant>
        <vt:i4>0</vt:i4>
      </vt:variant>
      <vt:variant>
        <vt:i4>5</vt:i4>
      </vt:variant>
      <vt:variant>
        <vt:lpwstr/>
      </vt:variant>
      <vt:variant>
        <vt:lpwstr>_Toc357785361</vt:lpwstr>
      </vt:variant>
      <vt:variant>
        <vt:i4>1441855</vt:i4>
      </vt:variant>
      <vt:variant>
        <vt:i4>68</vt:i4>
      </vt:variant>
      <vt:variant>
        <vt:i4>0</vt:i4>
      </vt:variant>
      <vt:variant>
        <vt:i4>5</vt:i4>
      </vt:variant>
      <vt:variant>
        <vt:lpwstr/>
      </vt:variant>
      <vt:variant>
        <vt:lpwstr>_Toc357785360</vt:lpwstr>
      </vt:variant>
      <vt:variant>
        <vt:i4>1376319</vt:i4>
      </vt:variant>
      <vt:variant>
        <vt:i4>62</vt:i4>
      </vt:variant>
      <vt:variant>
        <vt:i4>0</vt:i4>
      </vt:variant>
      <vt:variant>
        <vt:i4>5</vt:i4>
      </vt:variant>
      <vt:variant>
        <vt:lpwstr/>
      </vt:variant>
      <vt:variant>
        <vt:lpwstr>_Toc357785359</vt:lpwstr>
      </vt:variant>
      <vt:variant>
        <vt:i4>1376319</vt:i4>
      </vt:variant>
      <vt:variant>
        <vt:i4>56</vt:i4>
      </vt:variant>
      <vt:variant>
        <vt:i4>0</vt:i4>
      </vt:variant>
      <vt:variant>
        <vt:i4>5</vt:i4>
      </vt:variant>
      <vt:variant>
        <vt:lpwstr/>
      </vt:variant>
      <vt:variant>
        <vt:lpwstr>_Toc357785358</vt:lpwstr>
      </vt:variant>
      <vt:variant>
        <vt:i4>1376319</vt:i4>
      </vt:variant>
      <vt:variant>
        <vt:i4>50</vt:i4>
      </vt:variant>
      <vt:variant>
        <vt:i4>0</vt:i4>
      </vt:variant>
      <vt:variant>
        <vt:i4>5</vt:i4>
      </vt:variant>
      <vt:variant>
        <vt:lpwstr/>
      </vt:variant>
      <vt:variant>
        <vt:lpwstr>_Toc357785357</vt:lpwstr>
      </vt:variant>
      <vt:variant>
        <vt:i4>1376319</vt:i4>
      </vt:variant>
      <vt:variant>
        <vt:i4>44</vt:i4>
      </vt:variant>
      <vt:variant>
        <vt:i4>0</vt:i4>
      </vt:variant>
      <vt:variant>
        <vt:i4>5</vt:i4>
      </vt:variant>
      <vt:variant>
        <vt:lpwstr/>
      </vt:variant>
      <vt:variant>
        <vt:lpwstr>_Toc357785356</vt:lpwstr>
      </vt:variant>
      <vt:variant>
        <vt:i4>1376319</vt:i4>
      </vt:variant>
      <vt:variant>
        <vt:i4>38</vt:i4>
      </vt:variant>
      <vt:variant>
        <vt:i4>0</vt:i4>
      </vt:variant>
      <vt:variant>
        <vt:i4>5</vt:i4>
      </vt:variant>
      <vt:variant>
        <vt:lpwstr/>
      </vt:variant>
      <vt:variant>
        <vt:lpwstr>_Toc357785355</vt:lpwstr>
      </vt:variant>
      <vt:variant>
        <vt:i4>1376319</vt:i4>
      </vt:variant>
      <vt:variant>
        <vt:i4>32</vt:i4>
      </vt:variant>
      <vt:variant>
        <vt:i4>0</vt:i4>
      </vt:variant>
      <vt:variant>
        <vt:i4>5</vt:i4>
      </vt:variant>
      <vt:variant>
        <vt:lpwstr/>
      </vt:variant>
      <vt:variant>
        <vt:lpwstr>_Toc357785354</vt:lpwstr>
      </vt:variant>
      <vt:variant>
        <vt:i4>1376319</vt:i4>
      </vt:variant>
      <vt:variant>
        <vt:i4>26</vt:i4>
      </vt:variant>
      <vt:variant>
        <vt:i4>0</vt:i4>
      </vt:variant>
      <vt:variant>
        <vt:i4>5</vt:i4>
      </vt:variant>
      <vt:variant>
        <vt:lpwstr/>
      </vt:variant>
      <vt:variant>
        <vt:lpwstr>_Toc357785353</vt:lpwstr>
      </vt:variant>
      <vt:variant>
        <vt:i4>1376319</vt:i4>
      </vt:variant>
      <vt:variant>
        <vt:i4>20</vt:i4>
      </vt:variant>
      <vt:variant>
        <vt:i4>0</vt:i4>
      </vt:variant>
      <vt:variant>
        <vt:i4>5</vt:i4>
      </vt:variant>
      <vt:variant>
        <vt:lpwstr/>
      </vt:variant>
      <vt:variant>
        <vt:lpwstr>_Toc357785352</vt:lpwstr>
      </vt:variant>
      <vt:variant>
        <vt:i4>1376319</vt:i4>
      </vt:variant>
      <vt:variant>
        <vt:i4>14</vt:i4>
      </vt:variant>
      <vt:variant>
        <vt:i4>0</vt:i4>
      </vt:variant>
      <vt:variant>
        <vt:i4>5</vt:i4>
      </vt:variant>
      <vt:variant>
        <vt:lpwstr/>
      </vt:variant>
      <vt:variant>
        <vt:lpwstr>_Toc357785351</vt:lpwstr>
      </vt:variant>
      <vt:variant>
        <vt:i4>1376319</vt:i4>
      </vt:variant>
      <vt:variant>
        <vt:i4>8</vt:i4>
      </vt:variant>
      <vt:variant>
        <vt:i4>0</vt:i4>
      </vt:variant>
      <vt:variant>
        <vt:i4>5</vt:i4>
      </vt:variant>
      <vt:variant>
        <vt:lpwstr/>
      </vt:variant>
      <vt:variant>
        <vt:lpwstr>_Toc357785350</vt:lpwstr>
      </vt:variant>
      <vt:variant>
        <vt:i4>6291548</vt:i4>
      </vt:variant>
      <vt:variant>
        <vt:i4>3</vt:i4>
      </vt:variant>
      <vt:variant>
        <vt:i4>0</vt:i4>
      </vt:variant>
      <vt:variant>
        <vt:i4>5</vt:i4>
      </vt:variant>
      <vt:variant>
        <vt:lpwstr>mailto:tga.copyright@tga.gov.au</vt:lpwstr>
      </vt:variant>
      <vt:variant>
        <vt:lpwstr/>
      </vt:variant>
      <vt:variant>
        <vt:i4>6357037</vt:i4>
      </vt:variant>
      <vt:variant>
        <vt:i4>0</vt:i4>
      </vt:variant>
      <vt:variant>
        <vt:i4>0</vt:i4>
      </vt:variant>
      <vt:variant>
        <vt:i4>5</vt:i4>
      </vt:variant>
      <vt:variant>
        <vt:lpwstr>http://www.tga.gov.au/</vt:lpwstr>
      </vt:variant>
      <vt:variant>
        <vt:lpwstr/>
      </vt:variant>
      <vt:variant>
        <vt:i4>6357037</vt:i4>
      </vt:variant>
      <vt:variant>
        <vt:i4>15</vt:i4>
      </vt:variant>
      <vt:variant>
        <vt:i4>0</vt:i4>
      </vt:variant>
      <vt:variant>
        <vt:i4>5</vt:i4>
      </vt:variant>
      <vt:variant>
        <vt:lpwstr>http://www.tga.gov.au/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progesterone </dc:title>
  <dc:subject>prescription medicine regulation</dc:subject>
  <dc:creator>Therapeutic Goods Administration</dc:creator>
  <cp:keywords>auspar, prescription, medicine, assessment, regulation, australia, progesterone, endometrin pessaries</cp:keywords>
  <cp:lastModifiedBy>Sheppard, Fran</cp:lastModifiedBy>
  <cp:revision>31</cp:revision>
  <cp:lastPrinted>2010-12-20T22:59:00Z</cp:lastPrinted>
  <dcterms:created xsi:type="dcterms:W3CDTF">2013-09-03T10:27:00Z</dcterms:created>
  <dcterms:modified xsi:type="dcterms:W3CDTF">2013-09-03T11:11:00Z</dcterms:modified>
</cp:coreProperties>
</file>