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ctober 2017"/>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4B3DF9" w:rsidP="004B3DF9">
            <w:pPr>
              <w:rPr>
                <w:rFonts w:ascii="Arial" w:hAnsi="Arial" w:cs="Arial"/>
                <w:b/>
                <w:color w:val="002C47"/>
                <w:sz w:val="36"/>
                <w:szCs w:val="36"/>
              </w:rPr>
            </w:pPr>
            <w:r>
              <w:rPr>
                <w:rFonts w:ascii="Arial" w:hAnsi="Arial" w:cs="Arial"/>
                <w:b/>
                <w:color w:val="002C47"/>
                <w:sz w:val="36"/>
                <w:szCs w:val="36"/>
              </w:rPr>
              <w:t xml:space="preserve">October </w:t>
            </w:r>
            <w:r w:rsidR="00AF0081">
              <w:rPr>
                <w:rFonts w:ascii="Arial" w:hAnsi="Arial" w:cs="Arial"/>
                <w:b/>
                <w:color w:val="002C47"/>
                <w:sz w:val="36"/>
                <w:szCs w:val="36"/>
              </w:rPr>
              <w:t>2017</w:t>
            </w:r>
          </w:p>
        </w:tc>
      </w:tr>
    </w:tbl>
    <w:tbl>
      <w:tblPr>
        <w:tblpPr w:leftFromText="180" w:rightFromText="180" w:vertAnchor="page" w:tblpY="3316"/>
        <w:tblW w:w="9079" w:type="dxa"/>
        <w:tblLayout w:type="fixed"/>
        <w:tblLook w:val="04A0" w:firstRow="1" w:lastRow="0" w:firstColumn="1" w:lastColumn="0" w:noHBand="0" w:noVBand="1"/>
        <w:tblDescription w:val="October 2017"/>
      </w:tblPr>
      <w:tblGrid>
        <w:gridCol w:w="9079"/>
      </w:tblGrid>
      <w:tr w:rsidR="0032583B" w:rsidRPr="00A964D1" w:rsidTr="0032583B">
        <w:trPr>
          <w:trHeight w:val="868"/>
        </w:trPr>
        <w:tc>
          <w:tcPr>
            <w:tcW w:w="9079" w:type="dxa"/>
          </w:tcPr>
          <w:p w:rsidR="0032583B" w:rsidRPr="00A964D1" w:rsidRDefault="0032583B" w:rsidP="00802489">
            <w:pPr>
              <w:pStyle w:val="Title"/>
              <w:rPr>
                <w:color w:val="FFFFFF" w:themeColor="background1"/>
              </w:rPr>
            </w:pPr>
            <w:r w:rsidRPr="00A964D1">
              <w:rPr>
                <w:color w:val="FFFFFF" w:themeColor="background1"/>
              </w:rPr>
              <w:t xml:space="preserve">Australian Public Assessment Report for </w:t>
            </w:r>
            <w:r w:rsidR="00802489">
              <w:rPr>
                <w:color w:val="FFFFFF" w:themeColor="background1"/>
              </w:rPr>
              <w:t>Alpha-1 proteinase inhibitor</w:t>
            </w:r>
          </w:p>
        </w:tc>
      </w:tr>
      <w:tr w:rsidR="0032583B" w:rsidRPr="00B64760" w:rsidTr="0032583B">
        <w:tc>
          <w:tcPr>
            <w:tcW w:w="9079" w:type="dxa"/>
          </w:tcPr>
          <w:p w:rsidR="0032583B" w:rsidRPr="008E7846" w:rsidRDefault="0032583B" w:rsidP="00802489">
            <w:pPr>
              <w:pStyle w:val="Subtitle"/>
              <w:rPr>
                <w:color w:val="FFFFFF" w:themeColor="background1"/>
              </w:rPr>
            </w:pPr>
            <w:r w:rsidRPr="008E7846">
              <w:rPr>
                <w:color w:val="FFFFFF" w:themeColor="background1"/>
              </w:rPr>
              <w:t xml:space="preserve">Proprietary Product Name: </w:t>
            </w:r>
            <w:r w:rsidR="00802489">
              <w:rPr>
                <w:color w:val="FFFFFF" w:themeColor="background1"/>
              </w:rPr>
              <w:t>Prolastin-C</w:t>
            </w:r>
          </w:p>
        </w:tc>
      </w:tr>
      <w:tr w:rsidR="0032583B" w:rsidRPr="00B64760" w:rsidTr="0032583B">
        <w:trPr>
          <w:trHeight w:val="486"/>
        </w:trPr>
        <w:tc>
          <w:tcPr>
            <w:tcW w:w="9079" w:type="dxa"/>
          </w:tcPr>
          <w:p w:rsidR="0032583B" w:rsidRPr="008E7846" w:rsidRDefault="0032583B" w:rsidP="00802489">
            <w:pPr>
              <w:pStyle w:val="Subtitle"/>
              <w:rPr>
                <w:color w:val="FFFFFF" w:themeColor="background1"/>
              </w:rPr>
            </w:pPr>
            <w:r w:rsidRPr="008E7846">
              <w:rPr>
                <w:color w:val="FFFFFF" w:themeColor="background1"/>
              </w:rPr>
              <w:t xml:space="preserve">Sponsor: </w:t>
            </w:r>
            <w:proofErr w:type="spellStart"/>
            <w:r w:rsidR="00802489">
              <w:rPr>
                <w:color w:val="FFFFFF" w:themeColor="background1"/>
              </w:rPr>
              <w:t>Grifols</w:t>
            </w:r>
            <w:proofErr w:type="spellEnd"/>
            <w:r w:rsidR="00802489">
              <w:rPr>
                <w:color w:val="FFFFFF" w:themeColor="background1"/>
              </w:rPr>
              <w:t xml:space="preserve"> Australia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4458AF">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4458AF">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4458AF">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4458AF">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4458AF">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875A6B">
      <w:pPr>
        <w:pStyle w:val="NonTOCHeading2"/>
      </w:pPr>
      <w:r>
        <w:t xml:space="preserve">About </w:t>
      </w:r>
      <w:proofErr w:type="spellStart"/>
      <w:r>
        <w:t>AusPARs</w:t>
      </w:r>
      <w:proofErr w:type="spellEnd"/>
    </w:p>
    <w:p w:rsidR="008E7846" w:rsidRDefault="008E7846" w:rsidP="004458AF">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4458AF">
      <w:pPr>
        <w:pStyle w:val="ListBullet"/>
        <w:numPr>
          <w:ilvl w:val="0"/>
          <w:numId w:val="1"/>
        </w:numPr>
        <w:ind w:left="357" w:hanging="357"/>
      </w:pPr>
      <w:proofErr w:type="spellStart"/>
      <w:r>
        <w:t>AusPARs</w:t>
      </w:r>
      <w:proofErr w:type="spellEnd"/>
      <w:r>
        <w:t xml:space="preserve"> are prepared and published by the TGA.</w:t>
      </w:r>
    </w:p>
    <w:p w:rsidR="008E7846" w:rsidRDefault="008E7846" w:rsidP="004458AF">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4458AF">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4458AF">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F85BF0">
        <w:rPr>
          <w:rFonts w:cs="Arial"/>
          <w:lang w:val="en-GB"/>
        </w:rPr>
        <w:t>7</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1"/>
          <w:footerReference w:type="default" r:id="rId12"/>
          <w:headerReference w:type="first" r:id="rId13"/>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bookmarkStart w:id="2" w:name="_GoBack"/>
        <w:bookmarkEnd w:id="2"/>
        <w:p w:rsidR="00FE45D0"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7296888" w:history="1">
            <w:r w:rsidR="00FE45D0" w:rsidRPr="00427FFD">
              <w:rPr>
                <w:rStyle w:val="Hyperlink"/>
                <w:noProof/>
              </w:rPr>
              <w:t>Common abbreviations</w:t>
            </w:r>
            <w:r w:rsidR="00FE45D0">
              <w:rPr>
                <w:noProof/>
                <w:webHidden/>
              </w:rPr>
              <w:tab/>
            </w:r>
            <w:r w:rsidR="00FE45D0">
              <w:rPr>
                <w:noProof/>
                <w:webHidden/>
              </w:rPr>
              <w:fldChar w:fldCharType="begin"/>
            </w:r>
            <w:r w:rsidR="00FE45D0">
              <w:rPr>
                <w:noProof/>
                <w:webHidden/>
              </w:rPr>
              <w:instrText xml:space="preserve"> PAGEREF _Toc497296888 \h </w:instrText>
            </w:r>
            <w:r w:rsidR="00FE45D0">
              <w:rPr>
                <w:noProof/>
                <w:webHidden/>
              </w:rPr>
            </w:r>
            <w:r w:rsidR="00FE45D0">
              <w:rPr>
                <w:noProof/>
                <w:webHidden/>
              </w:rPr>
              <w:fldChar w:fldCharType="separate"/>
            </w:r>
            <w:r w:rsidR="00FE45D0">
              <w:rPr>
                <w:noProof/>
                <w:webHidden/>
              </w:rPr>
              <w:t>5</w:t>
            </w:r>
            <w:r w:rsidR="00FE45D0">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889" w:history="1">
            <w:r w:rsidRPr="00427FFD">
              <w:rPr>
                <w:rStyle w:val="Hyperlink"/>
                <w:noProof/>
              </w:rPr>
              <w:t>I. Introduction to product submission</w:t>
            </w:r>
            <w:r>
              <w:rPr>
                <w:noProof/>
                <w:webHidden/>
              </w:rPr>
              <w:tab/>
            </w:r>
            <w:r>
              <w:rPr>
                <w:noProof/>
                <w:webHidden/>
              </w:rPr>
              <w:fldChar w:fldCharType="begin"/>
            </w:r>
            <w:r>
              <w:rPr>
                <w:noProof/>
                <w:webHidden/>
              </w:rPr>
              <w:instrText xml:space="preserve"> PAGEREF _Toc497296889 \h </w:instrText>
            </w:r>
            <w:r>
              <w:rPr>
                <w:noProof/>
                <w:webHidden/>
              </w:rPr>
            </w:r>
            <w:r>
              <w:rPr>
                <w:noProof/>
                <w:webHidden/>
              </w:rPr>
              <w:fldChar w:fldCharType="separate"/>
            </w:r>
            <w:r>
              <w:rPr>
                <w:noProof/>
                <w:webHidden/>
              </w:rPr>
              <w:t>7</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0" w:history="1">
            <w:r w:rsidRPr="00427FFD">
              <w:rPr>
                <w:rStyle w:val="Hyperlink"/>
                <w:noProof/>
                <w:lang w:eastAsia="en-AU"/>
              </w:rPr>
              <w:t>Submission details</w:t>
            </w:r>
            <w:r>
              <w:rPr>
                <w:noProof/>
                <w:webHidden/>
              </w:rPr>
              <w:tab/>
            </w:r>
            <w:r>
              <w:rPr>
                <w:noProof/>
                <w:webHidden/>
              </w:rPr>
              <w:fldChar w:fldCharType="begin"/>
            </w:r>
            <w:r>
              <w:rPr>
                <w:noProof/>
                <w:webHidden/>
              </w:rPr>
              <w:instrText xml:space="preserve"> PAGEREF _Toc497296890 \h </w:instrText>
            </w:r>
            <w:r>
              <w:rPr>
                <w:noProof/>
                <w:webHidden/>
              </w:rPr>
            </w:r>
            <w:r>
              <w:rPr>
                <w:noProof/>
                <w:webHidden/>
              </w:rPr>
              <w:fldChar w:fldCharType="separate"/>
            </w:r>
            <w:r>
              <w:rPr>
                <w:noProof/>
                <w:webHidden/>
              </w:rPr>
              <w:t>7</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1" w:history="1">
            <w:r w:rsidRPr="00427FFD">
              <w:rPr>
                <w:rStyle w:val="Hyperlink"/>
                <w:noProof/>
              </w:rPr>
              <w:t>Product background</w:t>
            </w:r>
            <w:r>
              <w:rPr>
                <w:noProof/>
                <w:webHidden/>
              </w:rPr>
              <w:tab/>
            </w:r>
            <w:r>
              <w:rPr>
                <w:noProof/>
                <w:webHidden/>
              </w:rPr>
              <w:fldChar w:fldCharType="begin"/>
            </w:r>
            <w:r>
              <w:rPr>
                <w:noProof/>
                <w:webHidden/>
              </w:rPr>
              <w:instrText xml:space="preserve"> PAGEREF _Toc497296891 \h </w:instrText>
            </w:r>
            <w:r>
              <w:rPr>
                <w:noProof/>
                <w:webHidden/>
              </w:rPr>
            </w:r>
            <w:r>
              <w:rPr>
                <w:noProof/>
                <w:webHidden/>
              </w:rPr>
              <w:fldChar w:fldCharType="separate"/>
            </w:r>
            <w:r>
              <w:rPr>
                <w:noProof/>
                <w:webHidden/>
              </w:rPr>
              <w:t>7</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2" w:history="1">
            <w:r w:rsidRPr="00427FFD">
              <w:rPr>
                <w:rStyle w:val="Hyperlink"/>
                <w:noProof/>
              </w:rPr>
              <w:t>Regulatory status</w:t>
            </w:r>
            <w:r>
              <w:rPr>
                <w:noProof/>
                <w:webHidden/>
              </w:rPr>
              <w:tab/>
            </w:r>
            <w:r>
              <w:rPr>
                <w:noProof/>
                <w:webHidden/>
              </w:rPr>
              <w:fldChar w:fldCharType="begin"/>
            </w:r>
            <w:r>
              <w:rPr>
                <w:noProof/>
                <w:webHidden/>
              </w:rPr>
              <w:instrText xml:space="preserve"> PAGEREF _Toc497296892 \h </w:instrText>
            </w:r>
            <w:r>
              <w:rPr>
                <w:noProof/>
                <w:webHidden/>
              </w:rPr>
            </w:r>
            <w:r>
              <w:rPr>
                <w:noProof/>
                <w:webHidden/>
              </w:rPr>
              <w:fldChar w:fldCharType="separate"/>
            </w:r>
            <w:r>
              <w:rPr>
                <w:noProof/>
                <w:webHidden/>
              </w:rPr>
              <w:t>8</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3" w:history="1">
            <w:r w:rsidRPr="00427FFD">
              <w:rPr>
                <w:rStyle w:val="Hyperlink"/>
                <w:noProof/>
              </w:rPr>
              <w:t>Product Information</w:t>
            </w:r>
            <w:r>
              <w:rPr>
                <w:noProof/>
                <w:webHidden/>
              </w:rPr>
              <w:tab/>
            </w:r>
            <w:r>
              <w:rPr>
                <w:noProof/>
                <w:webHidden/>
              </w:rPr>
              <w:fldChar w:fldCharType="begin"/>
            </w:r>
            <w:r>
              <w:rPr>
                <w:noProof/>
                <w:webHidden/>
              </w:rPr>
              <w:instrText xml:space="preserve"> PAGEREF _Toc497296893 \h </w:instrText>
            </w:r>
            <w:r>
              <w:rPr>
                <w:noProof/>
                <w:webHidden/>
              </w:rPr>
            </w:r>
            <w:r>
              <w:rPr>
                <w:noProof/>
                <w:webHidden/>
              </w:rPr>
              <w:fldChar w:fldCharType="separate"/>
            </w:r>
            <w:r>
              <w:rPr>
                <w:noProof/>
                <w:webHidden/>
              </w:rPr>
              <w:t>9</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894" w:history="1">
            <w:r w:rsidRPr="00427FFD">
              <w:rPr>
                <w:rStyle w:val="Hyperlink"/>
                <w:noProof/>
              </w:rPr>
              <w:t>II. Quality findings</w:t>
            </w:r>
            <w:r>
              <w:rPr>
                <w:noProof/>
                <w:webHidden/>
              </w:rPr>
              <w:tab/>
            </w:r>
            <w:r>
              <w:rPr>
                <w:noProof/>
                <w:webHidden/>
              </w:rPr>
              <w:fldChar w:fldCharType="begin"/>
            </w:r>
            <w:r>
              <w:rPr>
                <w:noProof/>
                <w:webHidden/>
              </w:rPr>
              <w:instrText xml:space="preserve"> PAGEREF _Toc497296894 \h </w:instrText>
            </w:r>
            <w:r>
              <w:rPr>
                <w:noProof/>
                <w:webHidden/>
              </w:rPr>
            </w:r>
            <w:r>
              <w:rPr>
                <w:noProof/>
                <w:webHidden/>
              </w:rPr>
              <w:fldChar w:fldCharType="separate"/>
            </w:r>
            <w:r>
              <w:rPr>
                <w:noProof/>
                <w:webHidden/>
              </w:rPr>
              <w:t>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5" w:history="1">
            <w:r w:rsidRPr="00427FFD">
              <w:rPr>
                <w:rStyle w:val="Hyperlink"/>
                <w:noProof/>
              </w:rPr>
              <w:t>Introduction</w:t>
            </w:r>
            <w:r>
              <w:rPr>
                <w:noProof/>
                <w:webHidden/>
              </w:rPr>
              <w:tab/>
            </w:r>
            <w:r>
              <w:rPr>
                <w:noProof/>
                <w:webHidden/>
              </w:rPr>
              <w:fldChar w:fldCharType="begin"/>
            </w:r>
            <w:r>
              <w:rPr>
                <w:noProof/>
                <w:webHidden/>
              </w:rPr>
              <w:instrText xml:space="preserve"> PAGEREF _Toc497296895 \h </w:instrText>
            </w:r>
            <w:r>
              <w:rPr>
                <w:noProof/>
                <w:webHidden/>
              </w:rPr>
            </w:r>
            <w:r>
              <w:rPr>
                <w:noProof/>
                <w:webHidden/>
              </w:rPr>
              <w:fldChar w:fldCharType="separate"/>
            </w:r>
            <w:r>
              <w:rPr>
                <w:noProof/>
                <w:webHidden/>
              </w:rPr>
              <w:t>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6" w:history="1">
            <w:r w:rsidRPr="00427FFD">
              <w:rPr>
                <w:rStyle w:val="Hyperlink"/>
                <w:noProof/>
              </w:rPr>
              <w:t>Drug substance (active ingredient)</w:t>
            </w:r>
            <w:r>
              <w:rPr>
                <w:noProof/>
                <w:webHidden/>
              </w:rPr>
              <w:tab/>
            </w:r>
            <w:r>
              <w:rPr>
                <w:noProof/>
                <w:webHidden/>
              </w:rPr>
              <w:fldChar w:fldCharType="begin"/>
            </w:r>
            <w:r>
              <w:rPr>
                <w:noProof/>
                <w:webHidden/>
              </w:rPr>
              <w:instrText xml:space="preserve"> PAGEREF _Toc497296896 \h </w:instrText>
            </w:r>
            <w:r>
              <w:rPr>
                <w:noProof/>
                <w:webHidden/>
              </w:rPr>
            </w:r>
            <w:r>
              <w:rPr>
                <w:noProof/>
                <w:webHidden/>
              </w:rPr>
              <w:fldChar w:fldCharType="separate"/>
            </w:r>
            <w:r>
              <w:rPr>
                <w:noProof/>
                <w:webHidden/>
              </w:rPr>
              <w:t>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7" w:history="1">
            <w:r w:rsidRPr="00427FFD">
              <w:rPr>
                <w:rStyle w:val="Hyperlink"/>
                <w:noProof/>
              </w:rPr>
              <w:t>Drug product</w:t>
            </w:r>
            <w:r>
              <w:rPr>
                <w:noProof/>
                <w:webHidden/>
              </w:rPr>
              <w:tab/>
            </w:r>
            <w:r>
              <w:rPr>
                <w:noProof/>
                <w:webHidden/>
              </w:rPr>
              <w:fldChar w:fldCharType="begin"/>
            </w:r>
            <w:r>
              <w:rPr>
                <w:noProof/>
                <w:webHidden/>
              </w:rPr>
              <w:instrText xml:space="preserve"> PAGEREF _Toc497296897 \h </w:instrText>
            </w:r>
            <w:r>
              <w:rPr>
                <w:noProof/>
                <w:webHidden/>
              </w:rPr>
            </w:r>
            <w:r>
              <w:rPr>
                <w:noProof/>
                <w:webHidden/>
              </w:rPr>
              <w:fldChar w:fldCharType="separate"/>
            </w:r>
            <w:r>
              <w:rPr>
                <w:noProof/>
                <w:webHidden/>
              </w:rPr>
              <w:t>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898" w:history="1">
            <w:r w:rsidRPr="00427FFD">
              <w:rPr>
                <w:rStyle w:val="Hyperlink"/>
                <w:noProof/>
              </w:rPr>
              <w:t>Quality summary and conclusions</w:t>
            </w:r>
            <w:r>
              <w:rPr>
                <w:noProof/>
                <w:webHidden/>
              </w:rPr>
              <w:tab/>
            </w:r>
            <w:r>
              <w:rPr>
                <w:noProof/>
                <w:webHidden/>
              </w:rPr>
              <w:fldChar w:fldCharType="begin"/>
            </w:r>
            <w:r>
              <w:rPr>
                <w:noProof/>
                <w:webHidden/>
              </w:rPr>
              <w:instrText xml:space="preserve"> PAGEREF _Toc497296898 \h </w:instrText>
            </w:r>
            <w:r>
              <w:rPr>
                <w:noProof/>
                <w:webHidden/>
              </w:rPr>
            </w:r>
            <w:r>
              <w:rPr>
                <w:noProof/>
                <w:webHidden/>
              </w:rPr>
              <w:fldChar w:fldCharType="separate"/>
            </w:r>
            <w:r>
              <w:rPr>
                <w:noProof/>
                <w:webHidden/>
              </w:rPr>
              <w:t>10</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899" w:history="1">
            <w:r w:rsidRPr="00427FFD">
              <w:rPr>
                <w:rStyle w:val="Hyperlink"/>
                <w:noProof/>
              </w:rPr>
              <w:t>III. Nonclinical findings</w:t>
            </w:r>
            <w:r>
              <w:rPr>
                <w:noProof/>
                <w:webHidden/>
              </w:rPr>
              <w:tab/>
            </w:r>
            <w:r>
              <w:rPr>
                <w:noProof/>
                <w:webHidden/>
              </w:rPr>
              <w:fldChar w:fldCharType="begin"/>
            </w:r>
            <w:r>
              <w:rPr>
                <w:noProof/>
                <w:webHidden/>
              </w:rPr>
              <w:instrText xml:space="preserve"> PAGEREF _Toc497296899 \h </w:instrText>
            </w:r>
            <w:r>
              <w:rPr>
                <w:noProof/>
                <w:webHidden/>
              </w:rPr>
            </w:r>
            <w:r>
              <w:rPr>
                <w:noProof/>
                <w:webHidden/>
              </w:rPr>
              <w:fldChar w:fldCharType="separate"/>
            </w:r>
            <w:r>
              <w:rPr>
                <w:noProof/>
                <w:webHidden/>
              </w:rPr>
              <w:t>10</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0" w:history="1">
            <w:r w:rsidRPr="00427FFD">
              <w:rPr>
                <w:rStyle w:val="Hyperlink"/>
                <w:noProof/>
              </w:rPr>
              <w:t>Introduction</w:t>
            </w:r>
            <w:r>
              <w:rPr>
                <w:noProof/>
                <w:webHidden/>
              </w:rPr>
              <w:tab/>
            </w:r>
            <w:r>
              <w:rPr>
                <w:noProof/>
                <w:webHidden/>
              </w:rPr>
              <w:fldChar w:fldCharType="begin"/>
            </w:r>
            <w:r>
              <w:rPr>
                <w:noProof/>
                <w:webHidden/>
              </w:rPr>
              <w:instrText xml:space="preserve"> PAGEREF _Toc497296900 \h </w:instrText>
            </w:r>
            <w:r>
              <w:rPr>
                <w:noProof/>
                <w:webHidden/>
              </w:rPr>
            </w:r>
            <w:r>
              <w:rPr>
                <w:noProof/>
                <w:webHidden/>
              </w:rPr>
              <w:fldChar w:fldCharType="separate"/>
            </w:r>
            <w:r>
              <w:rPr>
                <w:noProof/>
                <w:webHidden/>
              </w:rPr>
              <w:t>10</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1" w:history="1">
            <w:r w:rsidRPr="00427FFD">
              <w:rPr>
                <w:rStyle w:val="Hyperlink"/>
                <w:noProof/>
              </w:rPr>
              <w:t>Pharmacology</w:t>
            </w:r>
            <w:r>
              <w:rPr>
                <w:noProof/>
                <w:webHidden/>
              </w:rPr>
              <w:tab/>
            </w:r>
            <w:r>
              <w:rPr>
                <w:noProof/>
                <w:webHidden/>
              </w:rPr>
              <w:fldChar w:fldCharType="begin"/>
            </w:r>
            <w:r>
              <w:rPr>
                <w:noProof/>
                <w:webHidden/>
              </w:rPr>
              <w:instrText xml:space="preserve"> PAGEREF _Toc497296901 \h </w:instrText>
            </w:r>
            <w:r>
              <w:rPr>
                <w:noProof/>
                <w:webHidden/>
              </w:rPr>
            </w:r>
            <w:r>
              <w:rPr>
                <w:noProof/>
                <w:webHidden/>
              </w:rPr>
              <w:fldChar w:fldCharType="separate"/>
            </w:r>
            <w:r>
              <w:rPr>
                <w:noProof/>
                <w:webHidden/>
              </w:rPr>
              <w:t>10</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2" w:history="1">
            <w:r w:rsidRPr="00427FFD">
              <w:rPr>
                <w:rStyle w:val="Hyperlink"/>
                <w:noProof/>
              </w:rPr>
              <w:t>Pharmacokinetics</w:t>
            </w:r>
            <w:r>
              <w:rPr>
                <w:noProof/>
                <w:webHidden/>
              </w:rPr>
              <w:tab/>
            </w:r>
            <w:r>
              <w:rPr>
                <w:noProof/>
                <w:webHidden/>
              </w:rPr>
              <w:fldChar w:fldCharType="begin"/>
            </w:r>
            <w:r>
              <w:rPr>
                <w:noProof/>
                <w:webHidden/>
              </w:rPr>
              <w:instrText xml:space="preserve"> PAGEREF _Toc497296902 \h </w:instrText>
            </w:r>
            <w:r>
              <w:rPr>
                <w:noProof/>
                <w:webHidden/>
              </w:rPr>
            </w:r>
            <w:r>
              <w:rPr>
                <w:noProof/>
                <w:webHidden/>
              </w:rPr>
              <w:fldChar w:fldCharType="separate"/>
            </w:r>
            <w:r>
              <w:rPr>
                <w:noProof/>
                <w:webHidden/>
              </w:rPr>
              <w:t>12</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3" w:history="1">
            <w:r w:rsidRPr="00427FFD">
              <w:rPr>
                <w:rStyle w:val="Hyperlink"/>
                <w:noProof/>
              </w:rPr>
              <w:t>Toxicology</w:t>
            </w:r>
            <w:r>
              <w:rPr>
                <w:noProof/>
                <w:webHidden/>
              </w:rPr>
              <w:tab/>
            </w:r>
            <w:r>
              <w:rPr>
                <w:noProof/>
                <w:webHidden/>
              </w:rPr>
              <w:fldChar w:fldCharType="begin"/>
            </w:r>
            <w:r>
              <w:rPr>
                <w:noProof/>
                <w:webHidden/>
              </w:rPr>
              <w:instrText xml:space="preserve"> PAGEREF _Toc497296903 \h </w:instrText>
            </w:r>
            <w:r>
              <w:rPr>
                <w:noProof/>
                <w:webHidden/>
              </w:rPr>
            </w:r>
            <w:r>
              <w:rPr>
                <w:noProof/>
                <w:webHidden/>
              </w:rPr>
              <w:fldChar w:fldCharType="separate"/>
            </w:r>
            <w:r>
              <w:rPr>
                <w:noProof/>
                <w:webHidden/>
              </w:rPr>
              <w:t>12</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4" w:history="1">
            <w:r w:rsidRPr="00427FFD">
              <w:rPr>
                <w:rStyle w:val="Hyperlink"/>
                <w:noProof/>
              </w:rPr>
              <w:t>Nonclinical summary and conclusions</w:t>
            </w:r>
            <w:r>
              <w:rPr>
                <w:noProof/>
                <w:webHidden/>
              </w:rPr>
              <w:tab/>
            </w:r>
            <w:r>
              <w:rPr>
                <w:noProof/>
                <w:webHidden/>
              </w:rPr>
              <w:fldChar w:fldCharType="begin"/>
            </w:r>
            <w:r>
              <w:rPr>
                <w:noProof/>
                <w:webHidden/>
              </w:rPr>
              <w:instrText xml:space="preserve"> PAGEREF _Toc497296904 \h </w:instrText>
            </w:r>
            <w:r>
              <w:rPr>
                <w:noProof/>
                <w:webHidden/>
              </w:rPr>
            </w:r>
            <w:r>
              <w:rPr>
                <w:noProof/>
                <w:webHidden/>
              </w:rPr>
              <w:fldChar w:fldCharType="separate"/>
            </w:r>
            <w:r>
              <w:rPr>
                <w:noProof/>
                <w:webHidden/>
              </w:rPr>
              <w:t>14</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905" w:history="1">
            <w:r w:rsidRPr="00427FFD">
              <w:rPr>
                <w:rStyle w:val="Hyperlink"/>
                <w:noProof/>
              </w:rPr>
              <w:t>IV. Clinical findings</w:t>
            </w:r>
            <w:r>
              <w:rPr>
                <w:noProof/>
                <w:webHidden/>
              </w:rPr>
              <w:tab/>
            </w:r>
            <w:r>
              <w:rPr>
                <w:noProof/>
                <w:webHidden/>
              </w:rPr>
              <w:fldChar w:fldCharType="begin"/>
            </w:r>
            <w:r>
              <w:rPr>
                <w:noProof/>
                <w:webHidden/>
              </w:rPr>
              <w:instrText xml:space="preserve"> PAGEREF _Toc497296905 \h </w:instrText>
            </w:r>
            <w:r>
              <w:rPr>
                <w:noProof/>
                <w:webHidden/>
              </w:rPr>
            </w:r>
            <w:r>
              <w:rPr>
                <w:noProof/>
                <w:webHidden/>
              </w:rPr>
              <w:fldChar w:fldCharType="separate"/>
            </w:r>
            <w:r>
              <w:rPr>
                <w:noProof/>
                <w:webHidden/>
              </w:rPr>
              <w:t>15</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6" w:history="1">
            <w:r w:rsidRPr="00427FFD">
              <w:rPr>
                <w:rStyle w:val="Hyperlink"/>
                <w:noProof/>
              </w:rPr>
              <w:t>Introduction</w:t>
            </w:r>
            <w:r>
              <w:rPr>
                <w:noProof/>
                <w:webHidden/>
              </w:rPr>
              <w:tab/>
            </w:r>
            <w:r>
              <w:rPr>
                <w:noProof/>
                <w:webHidden/>
              </w:rPr>
              <w:fldChar w:fldCharType="begin"/>
            </w:r>
            <w:r>
              <w:rPr>
                <w:noProof/>
                <w:webHidden/>
              </w:rPr>
              <w:instrText xml:space="preserve"> PAGEREF _Toc497296906 \h </w:instrText>
            </w:r>
            <w:r>
              <w:rPr>
                <w:noProof/>
                <w:webHidden/>
              </w:rPr>
            </w:r>
            <w:r>
              <w:rPr>
                <w:noProof/>
                <w:webHidden/>
              </w:rPr>
              <w:fldChar w:fldCharType="separate"/>
            </w:r>
            <w:r>
              <w:rPr>
                <w:noProof/>
                <w:webHidden/>
              </w:rPr>
              <w:t>15</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7" w:history="1">
            <w:r w:rsidRPr="00427FFD">
              <w:rPr>
                <w:rStyle w:val="Hyperlink"/>
                <w:noProof/>
              </w:rPr>
              <w:t>Pharmacokinetics</w:t>
            </w:r>
            <w:r>
              <w:rPr>
                <w:noProof/>
                <w:webHidden/>
              </w:rPr>
              <w:tab/>
            </w:r>
            <w:r>
              <w:rPr>
                <w:noProof/>
                <w:webHidden/>
              </w:rPr>
              <w:fldChar w:fldCharType="begin"/>
            </w:r>
            <w:r>
              <w:rPr>
                <w:noProof/>
                <w:webHidden/>
              </w:rPr>
              <w:instrText xml:space="preserve"> PAGEREF _Toc497296907 \h </w:instrText>
            </w:r>
            <w:r>
              <w:rPr>
                <w:noProof/>
                <w:webHidden/>
              </w:rPr>
            </w:r>
            <w:r>
              <w:rPr>
                <w:noProof/>
                <w:webHidden/>
              </w:rPr>
              <w:fldChar w:fldCharType="separate"/>
            </w:r>
            <w:r>
              <w:rPr>
                <w:noProof/>
                <w:webHidden/>
              </w:rPr>
              <w:t>16</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8" w:history="1">
            <w:r w:rsidRPr="00427FFD">
              <w:rPr>
                <w:rStyle w:val="Hyperlink"/>
                <w:noProof/>
              </w:rPr>
              <w:t>Pharmacodynamics</w:t>
            </w:r>
            <w:r>
              <w:rPr>
                <w:noProof/>
                <w:webHidden/>
              </w:rPr>
              <w:tab/>
            </w:r>
            <w:r>
              <w:rPr>
                <w:noProof/>
                <w:webHidden/>
              </w:rPr>
              <w:fldChar w:fldCharType="begin"/>
            </w:r>
            <w:r>
              <w:rPr>
                <w:noProof/>
                <w:webHidden/>
              </w:rPr>
              <w:instrText xml:space="preserve"> PAGEREF _Toc497296908 \h </w:instrText>
            </w:r>
            <w:r>
              <w:rPr>
                <w:noProof/>
                <w:webHidden/>
              </w:rPr>
            </w:r>
            <w:r>
              <w:rPr>
                <w:noProof/>
                <w:webHidden/>
              </w:rPr>
              <w:fldChar w:fldCharType="separate"/>
            </w:r>
            <w:r>
              <w:rPr>
                <w:noProof/>
                <w:webHidden/>
              </w:rPr>
              <w:t>17</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09" w:history="1">
            <w:r w:rsidRPr="00427FFD">
              <w:rPr>
                <w:rStyle w:val="Hyperlink"/>
                <w:noProof/>
              </w:rPr>
              <w:t>Dosage selection for the pivotal studies</w:t>
            </w:r>
            <w:r>
              <w:rPr>
                <w:noProof/>
                <w:webHidden/>
              </w:rPr>
              <w:tab/>
            </w:r>
            <w:r>
              <w:rPr>
                <w:noProof/>
                <w:webHidden/>
              </w:rPr>
              <w:fldChar w:fldCharType="begin"/>
            </w:r>
            <w:r>
              <w:rPr>
                <w:noProof/>
                <w:webHidden/>
              </w:rPr>
              <w:instrText xml:space="preserve"> PAGEREF _Toc497296909 \h </w:instrText>
            </w:r>
            <w:r>
              <w:rPr>
                <w:noProof/>
                <w:webHidden/>
              </w:rPr>
            </w:r>
            <w:r>
              <w:rPr>
                <w:noProof/>
                <w:webHidden/>
              </w:rPr>
              <w:fldChar w:fldCharType="separate"/>
            </w:r>
            <w:r>
              <w:rPr>
                <w:noProof/>
                <w:webHidden/>
              </w:rPr>
              <w:t>18</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0" w:history="1">
            <w:r w:rsidRPr="00427FFD">
              <w:rPr>
                <w:rStyle w:val="Hyperlink"/>
                <w:noProof/>
              </w:rPr>
              <w:t>Efficacy</w:t>
            </w:r>
            <w:r>
              <w:rPr>
                <w:noProof/>
                <w:webHidden/>
              </w:rPr>
              <w:tab/>
            </w:r>
            <w:r>
              <w:rPr>
                <w:noProof/>
                <w:webHidden/>
              </w:rPr>
              <w:fldChar w:fldCharType="begin"/>
            </w:r>
            <w:r>
              <w:rPr>
                <w:noProof/>
                <w:webHidden/>
              </w:rPr>
              <w:instrText xml:space="preserve"> PAGEREF _Toc497296910 \h </w:instrText>
            </w:r>
            <w:r>
              <w:rPr>
                <w:noProof/>
                <w:webHidden/>
              </w:rPr>
            </w:r>
            <w:r>
              <w:rPr>
                <w:noProof/>
                <w:webHidden/>
              </w:rPr>
              <w:fldChar w:fldCharType="separate"/>
            </w:r>
            <w:r>
              <w:rPr>
                <w:noProof/>
                <w:webHidden/>
              </w:rPr>
              <w:t>18</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1" w:history="1">
            <w:r w:rsidRPr="00427FFD">
              <w:rPr>
                <w:rStyle w:val="Hyperlink"/>
                <w:noProof/>
              </w:rPr>
              <w:t>Safety</w:t>
            </w:r>
            <w:r>
              <w:rPr>
                <w:noProof/>
                <w:webHidden/>
              </w:rPr>
              <w:tab/>
            </w:r>
            <w:r>
              <w:rPr>
                <w:noProof/>
                <w:webHidden/>
              </w:rPr>
              <w:fldChar w:fldCharType="begin"/>
            </w:r>
            <w:r>
              <w:rPr>
                <w:noProof/>
                <w:webHidden/>
              </w:rPr>
              <w:instrText xml:space="preserve"> PAGEREF _Toc497296911 \h </w:instrText>
            </w:r>
            <w:r>
              <w:rPr>
                <w:noProof/>
                <w:webHidden/>
              </w:rPr>
            </w:r>
            <w:r>
              <w:rPr>
                <w:noProof/>
                <w:webHidden/>
              </w:rPr>
              <w:fldChar w:fldCharType="separate"/>
            </w:r>
            <w:r>
              <w:rPr>
                <w:noProof/>
                <w:webHidden/>
              </w:rPr>
              <w:t>19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2" w:history="1">
            <w:r w:rsidRPr="00427FFD">
              <w:rPr>
                <w:rStyle w:val="Hyperlink"/>
                <w:noProof/>
              </w:rPr>
              <w:t>First Round Benefit-Risk Assessment</w:t>
            </w:r>
            <w:r>
              <w:rPr>
                <w:noProof/>
                <w:webHidden/>
              </w:rPr>
              <w:tab/>
            </w:r>
            <w:r>
              <w:rPr>
                <w:noProof/>
                <w:webHidden/>
              </w:rPr>
              <w:fldChar w:fldCharType="begin"/>
            </w:r>
            <w:r>
              <w:rPr>
                <w:noProof/>
                <w:webHidden/>
              </w:rPr>
              <w:instrText xml:space="preserve"> PAGEREF _Toc497296912 \h </w:instrText>
            </w:r>
            <w:r>
              <w:rPr>
                <w:noProof/>
                <w:webHidden/>
              </w:rPr>
            </w:r>
            <w:r>
              <w:rPr>
                <w:noProof/>
                <w:webHidden/>
              </w:rPr>
              <w:fldChar w:fldCharType="separate"/>
            </w:r>
            <w:r>
              <w:rPr>
                <w:noProof/>
                <w:webHidden/>
              </w:rPr>
              <w:t>19</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3" w:history="1">
            <w:r w:rsidRPr="00427FFD">
              <w:rPr>
                <w:rStyle w:val="Hyperlink"/>
                <w:noProof/>
              </w:rPr>
              <w:t>First Round Recommendation Regarding Authorisation</w:t>
            </w:r>
            <w:r>
              <w:rPr>
                <w:noProof/>
                <w:webHidden/>
              </w:rPr>
              <w:tab/>
            </w:r>
            <w:r>
              <w:rPr>
                <w:noProof/>
                <w:webHidden/>
              </w:rPr>
              <w:fldChar w:fldCharType="begin"/>
            </w:r>
            <w:r>
              <w:rPr>
                <w:noProof/>
                <w:webHidden/>
              </w:rPr>
              <w:instrText xml:space="preserve"> PAGEREF _Toc497296913 \h </w:instrText>
            </w:r>
            <w:r>
              <w:rPr>
                <w:noProof/>
                <w:webHidden/>
              </w:rPr>
            </w:r>
            <w:r>
              <w:rPr>
                <w:noProof/>
                <w:webHidden/>
              </w:rPr>
              <w:fldChar w:fldCharType="separate"/>
            </w:r>
            <w:r>
              <w:rPr>
                <w:noProof/>
                <w:webHidden/>
              </w:rPr>
              <w:t>21</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4" w:history="1">
            <w:r w:rsidRPr="00427FFD">
              <w:rPr>
                <w:rStyle w:val="Hyperlink"/>
                <w:noProof/>
              </w:rPr>
              <w:t>Clinical questions and second round evaluation of clinical data submitted in response to questions</w:t>
            </w:r>
            <w:r>
              <w:rPr>
                <w:noProof/>
                <w:webHidden/>
              </w:rPr>
              <w:tab/>
            </w:r>
            <w:r>
              <w:rPr>
                <w:noProof/>
                <w:webHidden/>
              </w:rPr>
              <w:fldChar w:fldCharType="begin"/>
            </w:r>
            <w:r>
              <w:rPr>
                <w:noProof/>
                <w:webHidden/>
              </w:rPr>
              <w:instrText xml:space="preserve"> PAGEREF _Toc497296914 \h </w:instrText>
            </w:r>
            <w:r>
              <w:rPr>
                <w:noProof/>
                <w:webHidden/>
              </w:rPr>
            </w:r>
            <w:r>
              <w:rPr>
                <w:noProof/>
                <w:webHidden/>
              </w:rPr>
              <w:fldChar w:fldCharType="separate"/>
            </w:r>
            <w:r>
              <w:rPr>
                <w:noProof/>
                <w:webHidden/>
              </w:rPr>
              <w:t>21</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5" w:history="1">
            <w:r w:rsidRPr="00427FFD">
              <w:rPr>
                <w:rStyle w:val="Hyperlink"/>
                <w:noProof/>
              </w:rPr>
              <w:t>Second Round Benefit-Risk Assessment</w:t>
            </w:r>
            <w:r>
              <w:rPr>
                <w:noProof/>
                <w:webHidden/>
              </w:rPr>
              <w:tab/>
            </w:r>
            <w:r>
              <w:rPr>
                <w:noProof/>
                <w:webHidden/>
              </w:rPr>
              <w:fldChar w:fldCharType="begin"/>
            </w:r>
            <w:r>
              <w:rPr>
                <w:noProof/>
                <w:webHidden/>
              </w:rPr>
              <w:instrText xml:space="preserve"> PAGEREF _Toc497296915 \h </w:instrText>
            </w:r>
            <w:r>
              <w:rPr>
                <w:noProof/>
                <w:webHidden/>
              </w:rPr>
            </w:r>
            <w:r>
              <w:rPr>
                <w:noProof/>
                <w:webHidden/>
              </w:rPr>
              <w:fldChar w:fldCharType="separate"/>
            </w:r>
            <w:r>
              <w:rPr>
                <w:noProof/>
                <w:webHidden/>
              </w:rPr>
              <w:t>21</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916" w:history="1">
            <w:r w:rsidRPr="00427FFD">
              <w:rPr>
                <w:rStyle w:val="Hyperlink"/>
                <w:noProof/>
              </w:rPr>
              <w:t>V. Pharmacovigilance findings</w:t>
            </w:r>
            <w:r>
              <w:rPr>
                <w:noProof/>
                <w:webHidden/>
              </w:rPr>
              <w:tab/>
            </w:r>
            <w:r>
              <w:rPr>
                <w:noProof/>
                <w:webHidden/>
              </w:rPr>
              <w:fldChar w:fldCharType="begin"/>
            </w:r>
            <w:r>
              <w:rPr>
                <w:noProof/>
                <w:webHidden/>
              </w:rPr>
              <w:instrText xml:space="preserve"> PAGEREF _Toc497296916 \h </w:instrText>
            </w:r>
            <w:r>
              <w:rPr>
                <w:noProof/>
                <w:webHidden/>
              </w:rPr>
            </w:r>
            <w:r>
              <w:rPr>
                <w:noProof/>
                <w:webHidden/>
              </w:rPr>
              <w:fldChar w:fldCharType="separate"/>
            </w:r>
            <w:r>
              <w:rPr>
                <w:noProof/>
                <w:webHidden/>
              </w:rPr>
              <w:t>22</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7" w:history="1">
            <w:r w:rsidRPr="00427FFD">
              <w:rPr>
                <w:rStyle w:val="Hyperlink"/>
                <w:noProof/>
                <w:lang w:eastAsia="en-AU"/>
              </w:rPr>
              <w:t>Risk management plan</w:t>
            </w:r>
            <w:r>
              <w:rPr>
                <w:noProof/>
                <w:webHidden/>
              </w:rPr>
              <w:tab/>
            </w:r>
            <w:r>
              <w:rPr>
                <w:noProof/>
                <w:webHidden/>
              </w:rPr>
              <w:fldChar w:fldCharType="begin"/>
            </w:r>
            <w:r>
              <w:rPr>
                <w:noProof/>
                <w:webHidden/>
              </w:rPr>
              <w:instrText xml:space="preserve"> PAGEREF _Toc497296917 \h </w:instrText>
            </w:r>
            <w:r>
              <w:rPr>
                <w:noProof/>
                <w:webHidden/>
              </w:rPr>
            </w:r>
            <w:r>
              <w:rPr>
                <w:noProof/>
                <w:webHidden/>
              </w:rPr>
              <w:fldChar w:fldCharType="separate"/>
            </w:r>
            <w:r>
              <w:rPr>
                <w:noProof/>
                <w:webHidden/>
              </w:rPr>
              <w:t>22</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918" w:history="1">
            <w:r w:rsidRPr="00427FFD">
              <w:rPr>
                <w:rStyle w:val="Hyperlink"/>
                <w:noProof/>
              </w:rPr>
              <w:t>VI. Overall conclusion and risk/benefit assessment</w:t>
            </w:r>
            <w:r>
              <w:rPr>
                <w:noProof/>
                <w:webHidden/>
              </w:rPr>
              <w:tab/>
            </w:r>
            <w:r>
              <w:rPr>
                <w:noProof/>
                <w:webHidden/>
              </w:rPr>
              <w:fldChar w:fldCharType="begin"/>
            </w:r>
            <w:r>
              <w:rPr>
                <w:noProof/>
                <w:webHidden/>
              </w:rPr>
              <w:instrText xml:space="preserve"> PAGEREF _Toc497296918 \h </w:instrText>
            </w:r>
            <w:r>
              <w:rPr>
                <w:noProof/>
                <w:webHidden/>
              </w:rPr>
            </w:r>
            <w:r>
              <w:rPr>
                <w:noProof/>
                <w:webHidden/>
              </w:rPr>
              <w:fldChar w:fldCharType="separate"/>
            </w:r>
            <w:r>
              <w:rPr>
                <w:noProof/>
                <w:webHidden/>
              </w:rPr>
              <w:t>24</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19" w:history="1">
            <w:r w:rsidRPr="00427FFD">
              <w:rPr>
                <w:rStyle w:val="Hyperlink"/>
                <w:noProof/>
              </w:rPr>
              <w:t>Quality</w:t>
            </w:r>
            <w:r>
              <w:rPr>
                <w:noProof/>
                <w:webHidden/>
              </w:rPr>
              <w:tab/>
            </w:r>
            <w:r>
              <w:rPr>
                <w:noProof/>
                <w:webHidden/>
              </w:rPr>
              <w:fldChar w:fldCharType="begin"/>
            </w:r>
            <w:r>
              <w:rPr>
                <w:noProof/>
                <w:webHidden/>
              </w:rPr>
              <w:instrText xml:space="preserve"> PAGEREF _Toc497296919 \h </w:instrText>
            </w:r>
            <w:r>
              <w:rPr>
                <w:noProof/>
                <w:webHidden/>
              </w:rPr>
            </w:r>
            <w:r>
              <w:rPr>
                <w:noProof/>
                <w:webHidden/>
              </w:rPr>
              <w:fldChar w:fldCharType="separate"/>
            </w:r>
            <w:r>
              <w:rPr>
                <w:noProof/>
                <w:webHidden/>
              </w:rPr>
              <w:t>25</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20" w:history="1">
            <w:r w:rsidRPr="00427FFD">
              <w:rPr>
                <w:rStyle w:val="Hyperlink"/>
                <w:noProof/>
              </w:rPr>
              <w:t>Nonclinical</w:t>
            </w:r>
            <w:r>
              <w:rPr>
                <w:noProof/>
                <w:webHidden/>
              </w:rPr>
              <w:tab/>
            </w:r>
            <w:r>
              <w:rPr>
                <w:noProof/>
                <w:webHidden/>
              </w:rPr>
              <w:fldChar w:fldCharType="begin"/>
            </w:r>
            <w:r>
              <w:rPr>
                <w:noProof/>
                <w:webHidden/>
              </w:rPr>
              <w:instrText xml:space="preserve"> PAGEREF _Toc497296920 \h </w:instrText>
            </w:r>
            <w:r>
              <w:rPr>
                <w:noProof/>
                <w:webHidden/>
              </w:rPr>
            </w:r>
            <w:r>
              <w:rPr>
                <w:noProof/>
                <w:webHidden/>
              </w:rPr>
              <w:fldChar w:fldCharType="separate"/>
            </w:r>
            <w:r>
              <w:rPr>
                <w:noProof/>
                <w:webHidden/>
              </w:rPr>
              <w:t>25</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21" w:history="1">
            <w:r w:rsidRPr="00427FFD">
              <w:rPr>
                <w:rStyle w:val="Hyperlink"/>
                <w:noProof/>
              </w:rPr>
              <w:t>Clinical</w:t>
            </w:r>
            <w:r>
              <w:rPr>
                <w:noProof/>
                <w:webHidden/>
              </w:rPr>
              <w:tab/>
            </w:r>
            <w:r>
              <w:rPr>
                <w:noProof/>
                <w:webHidden/>
              </w:rPr>
              <w:fldChar w:fldCharType="begin"/>
            </w:r>
            <w:r>
              <w:rPr>
                <w:noProof/>
                <w:webHidden/>
              </w:rPr>
              <w:instrText xml:space="preserve"> PAGEREF _Toc497296921 \h </w:instrText>
            </w:r>
            <w:r>
              <w:rPr>
                <w:noProof/>
                <w:webHidden/>
              </w:rPr>
            </w:r>
            <w:r>
              <w:rPr>
                <w:noProof/>
                <w:webHidden/>
              </w:rPr>
              <w:fldChar w:fldCharType="separate"/>
            </w:r>
            <w:r>
              <w:rPr>
                <w:noProof/>
                <w:webHidden/>
              </w:rPr>
              <w:t>26</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22" w:history="1">
            <w:r w:rsidRPr="00427FFD">
              <w:rPr>
                <w:rStyle w:val="Hyperlink"/>
                <w:noProof/>
                <w:lang w:eastAsia="en-AU"/>
              </w:rPr>
              <w:t>Risk management plan</w:t>
            </w:r>
            <w:r>
              <w:rPr>
                <w:noProof/>
                <w:webHidden/>
              </w:rPr>
              <w:tab/>
            </w:r>
            <w:r>
              <w:rPr>
                <w:noProof/>
                <w:webHidden/>
              </w:rPr>
              <w:fldChar w:fldCharType="begin"/>
            </w:r>
            <w:r>
              <w:rPr>
                <w:noProof/>
                <w:webHidden/>
              </w:rPr>
              <w:instrText xml:space="preserve"> PAGEREF _Toc497296922 \h </w:instrText>
            </w:r>
            <w:r>
              <w:rPr>
                <w:noProof/>
                <w:webHidden/>
              </w:rPr>
            </w:r>
            <w:r>
              <w:rPr>
                <w:noProof/>
                <w:webHidden/>
              </w:rPr>
              <w:fldChar w:fldCharType="separate"/>
            </w:r>
            <w:r>
              <w:rPr>
                <w:noProof/>
                <w:webHidden/>
              </w:rPr>
              <w:t>33</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23" w:history="1">
            <w:r w:rsidRPr="00427FFD">
              <w:rPr>
                <w:rStyle w:val="Hyperlink"/>
                <w:noProof/>
              </w:rPr>
              <w:t>Risk-benefit analysis</w:t>
            </w:r>
            <w:r>
              <w:rPr>
                <w:noProof/>
                <w:webHidden/>
              </w:rPr>
              <w:tab/>
            </w:r>
            <w:r>
              <w:rPr>
                <w:noProof/>
                <w:webHidden/>
              </w:rPr>
              <w:fldChar w:fldCharType="begin"/>
            </w:r>
            <w:r>
              <w:rPr>
                <w:noProof/>
                <w:webHidden/>
              </w:rPr>
              <w:instrText xml:space="preserve"> PAGEREF _Toc497296923 \h </w:instrText>
            </w:r>
            <w:r>
              <w:rPr>
                <w:noProof/>
                <w:webHidden/>
              </w:rPr>
            </w:r>
            <w:r>
              <w:rPr>
                <w:noProof/>
                <w:webHidden/>
              </w:rPr>
              <w:fldChar w:fldCharType="separate"/>
            </w:r>
            <w:r>
              <w:rPr>
                <w:noProof/>
                <w:webHidden/>
              </w:rPr>
              <w:t>33</w:t>
            </w:r>
            <w:r>
              <w:rPr>
                <w:noProof/>
                <w:webHidden/>
              </w:rPr>
              <w:fldChar w:fldCharType="end"/>
            </w:r>
          </w:hyperlink>
        </w:p>
        <w:p w:rsidR="00FE45D0" w:rsidRDefault="00FE45D0">
          <w:pPr>
            <w:pStyle w:val="TOC3"/>
            <w:rPr>
              <w:rFonts w:asciiTheme="minorHAnsi" w:eastAsiaTheme="minorEastAsia" w:hAnsiTheme="minorHAnsi" w:cstheme="minorBidi"/>
              <w:noProof/>
              <w:lang w:eastAsia="en-AU"/>
            </w:rPr>
          </w:pPr>
          <w:hyperlink w:anchor="_Toc497296924" w:history="1">
            <w:r w:rsidRPr="00427FFD">
              <w:rPr>
                <w:rStyle w:val="Hyperlink"/>
                <w:noProof/>
              </w:rPr>
              <w:t>Outcome</w:t>
            </w:r>
            <w:r>
              <w:rPr>
                <w:noProof/>
                <w:webHidden/>
              </w:rPr>
              <w:tab/>
            </w:r>
            <w:r>
              <w:rPr>
                <w:noProof/>
                <w:webHidden/>
              </w:rPr>
              <w:fldChar w:fldCharType="begin"/>
            </w:r>
            <w:r>
              <w:rPr>
                <w:noProof/>
                <w:webHidden/>
              </w:rPr>
              <w:instrText xml:space="preserve"> PAGEREF _Toc497296924 \h </w:instrText>
            </w:r>
            <w:r>
              <w:rPr>
                <w:noProof/>
                <w:webHidden/>
              </w:rPr>
            </w:r>
            <w:r>
              <w:rPr>
                <w:noProof/>
                <w:webHidden/>
              </w:rPr>
              <w:fldChar w:fldCharType="separate"/>
            </w:r>
            <w:r>
              <w:rPr>
                <w:noProof/>
                <w:webHidden/>
              </w:rPr>
              <w:t>39</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925" w:history="1">
            <w:r w:rsidRPr="00427FFD">
              <w:rPr>
                <w:rStyle w:val="Hyperlink"/>
                <w:noProof/>
              </w:rPr>
              <w:t>Attachment 1. Product Information</w:t>
            </w:r>
            <w:r>
              <w:rPr>
                <w:noProof/>
                <w:webHidden/>
              </w:rPr>
              <w:tab/>
            </w:r>
            <w:r>
              <w:rPr>
                <w:noProof/>
                <w:webHidden/>
              </w:rPr>
              <w:fldChar w:fldCharType="begin"/>
            </w:r>
            <w:r>
              <w:rPr>
                <w:noProof/>
                <w:webHidden/>
              </w:rPr>
              <w:instrText xml:space="preserve"> PAGEREF _Toc497296925 \h </w:instrText>
            </w:r>
            <w:r>
              <w:rPr>
                <w:noProof/>
                <w:webHidden/>
              </w:rPr>
            </w:r>
            <w:r>
              <w:rPr>
                <w:noProof/>
                <w:webHidden/>
              </w:rPr>
              <w:fldChar w:fldCharType="separate"/>
            </w:r>
            <w:r>
              <w:rPr>
                <w:noProof/>
                <w:webHidden/>
              </w:rPr>
              <w:t>40</w:t>
            </w:r>
            <w:r>
              <w:rPr>
                <w:noProof/>
                <w:webHidden/>
              </w:rPr>
              <w:fldChar w:fldCharType="end"/>
            </w:r>
          </w:hyperlink>
        </w:p>
        <w:p w:rsidR="00FE45D0" w:rsidRDefault="00FE45D0">
          <w:pPr>
            <w:pStyle w:val="TOC2"/>
            <w:rPr>
              <w:rFonts w:asciiTheme="minorHAnsi" w:eastAsiaTheme="minorEastAsia" w:hAnsiTheme="minorHAnsi" w:cstheme="minorBidi"/>
              <w:b w:val="0"/>
              <w:noProof/>
              <w:sz w:val="22"/>
              <w:lang w:eastAsia="en-AU"/>
            </w:rPr>
          </w:pPr>
          <w:hyperlink w:anchor="_Toc497296926" w:history="1">
            <w:r w:rsidRPr="00427FFD">
              <w:rPr>
                <w:rStyle w:val="Hyperlink"/>
                <w:noProof/>
                <w:lang w:eastAsia="en-AU"/>
              </w:rPr>
              <w:t>Attachment 2. Extract from the Clinical Evaluation Report</w:t>
            </w:r>
            <w:r>
              <w:rPr>
                <w:noProof/>
                <w:webHidden/>
              </w:rPr>
              <w:tab/>
            </w:r>
            <w:r>
              <w:rPr>
                <w:noProof/>
                <w:webHidden/>
              </w:rPr>
              <w:fldChar w:fldCharType="begin"/>
            </w:r>
            <w:r>
              <w:rPr>
                <w:noProof/>
                <w:webHidden/>
              </w:rPr>
              <w:instrText xml:space="preserve"> PAGEREF _Toc497296926 \h </w:instrText>
            </w:r>
            <w:r>
              <w:rPr>
                <w:noProof/>
                <w:webHidden/>
              </w:rPr>
            </w:r>
            <w:r>
              <w:rPr>
                <w:noProof/>
                <w:webHidden/>
              </w:rPr>
              <w:fldChar w:fldCharType="separate"/>
            </w:r>
            <w:r>
              <w:rPr>
                <w:noProof/>
                <w:webHidden/>
              </w:rPr>
              <w:t>40</w:t>
            </w:r>
            <w:r>
              <w:rPr>
                <w:noProof/>
                <w:webHidden/>
              </w:rPr>
              <w:fldChar w:fldCharType="end"/>
            </w:r>
          </w:hyperlink>
        </w:p>
        <w:p w:rsidR="003A7F6C" w:rsidRPr="00B811C6" w:rsidRDefault="00DB6124" w:rsidP="00B811C6">
          <w:pPr>
            <w:pStyle w:val="TOC2"/>
          </w:pPr>
          <w:r>
            <w:fldChar w:fldCharType="end"/>
          </w:r>
        </w:p>
      </w:sdtContent>
    </w:sdt>
    <w:bookmarkStart w:id="3" w:name="_Toc314842482" w:displacedByCustomXml="prev"/>
    <w:p w:rsidR="00FD119B" w:rsidRDefault="00FD119B">
      <w:pPr>
        <w:spacing w:before="0" w:after="200" w:line="0" w:lineRule="auto"/>
      </w:pPr>
      <w:r>
        <w:br w:type="page"/>
      </w:r>
    </w:p>
    <w:p w:rsidR="00FD119B" w:rsidRPr="00FD119B" w:rsidRDefault="00441C3F" w:rsidP="004F0C4A">
      <w:pPr>
        <w:pStyle w:val="Heading2"/>
      </w:pPr>
      <w:bookmarkStart w:id="4" w:name="_Toc351716269"/>
      <w:bookmarkStart w:id="5" w:name="_Toc351718881"/>
      <w:bookmarkStart w:id="6" w:name="_Toc355338616"/>
      <w:bookmarkStart w:id="7" w:name="_Toc356306144"/>
      <w:bookmarkStart w:id="8" w:name="_Toc497296888"/>
      <w:r>
        <w:lastRenderedPageBreak/>
        <w:t>Common</w:t>
      </w:r>
      <w:r w:rsidR="00FD119B" w:rsidRPr="00FD119B">
        <w:t xml:space="preserve"> abbreviations</w:t>
      </w:r>
      <w:bookmarkEnd w:id="4"/>
      <w:bookmarkEnd w:id="5"/>
      <w:bookmarkEnd w:id="6"/>
      <w:bookmarkEnd w:id="7"/>
      <w:bookmarkEnd w:id="8"/>
    </w:p>
    <w:tbl>
      <w:tblPr>
        <w:tblStyle w:val="TableTGAblue"/>
        <w:tblW w:w="0" w:type="auto"/>
        <w:tblInd w:w="108" w:type="dxa"/>
        <w:tblLook w:val="04A0" w:firstRow="1" w:lastRow="0" w:firstColumn="1" w:lastColumn="0" w:noHBand="0" w:noVBand="1"/>
        <w:tblDescription w:val="Abbreviations table"/>
      </w:tblPr>
      <w:tblGrid>
        <w:gridCol w:w="1985"/>
        <w:gridCol w:w="6627"/>
      </w:tblGrid>
      <w:tr w:rsidR="00FD119B" w:rsidRPr="00FD119B" w:rsidTr="00637064">
        <w:trPr>
          <w:cnfStyle w:val="100000000000" w:firstRow="1" w:lastRow="0" w:firstColumn="0" w:lastColumn="0" w:oddVBand="0" w:evenVBand="0" w:oddHBand="0" w:evenHBand="0" w:firstRowFirstColumn="0" w:firstRowLastColumn="0" w:lastRowFirstColumn="0" w:lastRowLastColumn="0"/>
        </w:trPr>
        <w:tc>
          <w:tcPr>
            <w:tcW w:w="1985" w:type="dxa"/>
          </w:tcPr>
          <w:p w:rsidR="00FD119B" w:rsidRPr="00FD119B" w:rsidRDefault="00FD119B" w:rsidP="00FD119B">
            <w:pPr>
              <w:keepNext w:val="0"/>
              <w:ind w:left="0" w:right="0"/>
              <w:rPr>
                <w:szCs w:val="22"/>
                <w:lang w:eastAsia="en-US"/>
              </w:rPr>
            </w:pPr>
            <w:r w:rsidRPr="00FD119B">
              <w:rPr>
                <w:szCs w:val="22"/>
                <w:lang w:eastAsia="en-US"/>
              </w:rPr>
              <w:t>Abbreviation</w:t>
            </w:r>
          </w:p>
        </w:tc>
        <w:tc>
          <w:tcPr>
            <w:tcW w:w="6627" w:type="dxa"/>
          </w:tcPr>
          <w:p w:rsidR="00FD119B" w:rsidRPr="00FD119B" w:rsidRDefault="00FD119B" w:rsidP="00FD119B">
            <w:pPr>
              <w:keepNext w:val="0"/>
              <w:ind w:left="0" w:right="0"/>
              <w:rPr>
                <w:szCs w:val="22"/>
                <w:lang w:eastAsia="en-US"/>
              </w:rPr>
            </w:pPr>
            <w:r w:rsidRPr="00FD119B">
              <w:rPr>
                <w:szCs w:val="22"/>
                <w:lang w:eastAsia="en-US"/>
              </w:rPr>
              <w:t>Meaning</w:t>
            </w:r>
          </w:p>
        </w:tc>
      </w:tr>
      <w:tr w:rsidR="00922B8B" w:rsidRPr="00FD119B" w:rsidTr="00637064">
        <w:tc>
          <w:tcPr>
            <w:tcW w:w="1985" w:type="dxa"/>
          </w:tcPr>
          <w:p w:rsidR="00922B8B" w:rsidRPr="002A1B5D" w:rsidRDefault="000D3F01" w:rsidP="000D3F01">
            <w:r>
              <w:t>AAT</w:t>
            </w:r>
          </w:p>
        </w:tc>
        <w:tc>
          <w:tcPr>
            <w:tcW w:w="6627" w:type="dxa"/>
          </w:tcPr>
          <w:p w:rsidR="00922B8B" w:rsidRPr="002A1B5D" w:rsidRDefault="00922B8B" w:rsidP="00922B8B">
            <w:r w:rsidRPr="002A1B5D">
              <w:t>alpha1-antitrypsin</w:t>
            </w:r>
            <w:r w:rsidR="000D3F01">
              <w:t xml:space="preserve"> (synonym for alpha</w:t>
            </w:r>
            <w:r w:rsidR="000D3F01" w:rsidRPr="000D3F01">
              <w:rPr>
                <w:vertAlign w:val="subscript"/>
              </w:rPr>
              <w:t>1</w:t>
            </w:r>
            <w:r w:rsidR="000D3F01">
              <w:t xml:space="preserve"> proteinase inhibitor)</w:t>
            </w:r>
          </w:p>
        </w:tc>
      </w:tr>
      <w:tr w:rsidR="00922B8B" w:rsidRPr="00FD119B" w:rsidTr="00637064">
        <w:tc>
          <w:tcPr>
            <w:tcW w:w="1985" w:type="dxa"/>
          </w:tcPr>
          <w:p w:rsidR="00922B8B" w:rsidRPr="002A1B5D" w:rsidRDefault="00922B8B" w:rsidP="00922B8B">
            <w:r w:rsidRPr="002A1B5D">
              <w:t>AE</w:t>
            </w:r>
          </w:p>
        </w:tc>
        <w:tc>
          <w:tcPr>
            <w:tcW w:w="6627" w:type="dxa"/>
          </w:tcPr>
          <w:p w:rsidR="00922B8B" w:rsidRPr="002A1B5D" w:rsidRDefault="000D3F01" w:rsidP="00922B8B">
            <w:r>
              <w:t>adverse event</w:t>
            </w:r>
          </w:p>
        </w:tc>
      </w:tr>
      <w:tr w:rsidR="00922B8B" w:rsidRPr="00FD119B" w:rsidTr="00637064">
        <w:tc>
          <w:tcPr>
            <w:tcW w:w="1985" w:type="dxa"/>
          </w:tcPr>
          <w:p w:rsidR="00922B8B" w:rsidRPr="002A1B5D" w:rsidRDefault="000D3F01" w:rsidP="00922B8B">
            <w:r>
              <w:t>Alpha</w:t>
            </w:r>
            <w:r w:rsidR="00922B8B" w:rsidRPr="000D3F01">
              <w:rPr>
                <w:vertAlign w:val="subscript"/>
              </w:rPr>
              <w:t>1</w:t>
            </w:r>
            <w:r w:rsidR="00922B8B" w:rsidRPr="002A1B5D">
              <w:t xml:space="preserve"> MP</w:t>
            </w:r>
          </w:p>
        </w:tc>
        <w:tc>
          <w:tcPr>
            <w:tcW w:w="6627" w:type="dxa"/>
          </w:tcPr>
          <w:p w:rsidR="00922B8B" w:rsidRPr="002A1B5D" w:rsidRDefault="00922B8B" w:rsidP="00922B8B">
            <w:r w:rsidRPr="002A1B5D">
              <w:t>Alpha</w:t>
            </w:r>
            <w:r w:rsidRPr="000D3F01">
              <w:rPr>
                <w:vertAlign w:val="subscript"/>
              </w:rPr>
              <w:t>1</w:t>
            </w:r>
            <w:r w:rsidRPr="002A1B5D">
              <w:t>-Proteinase Inhibitor (Human) Modified Process</w:t>
            </w:r>
            <w:r w:rsidR="000D3F01">
              <w:br/>
              <w:t>(Prolastin-C)</w:t>
            </w:r>
          </w:p>
        </w:tc>
      </w:tr>
      <w:tr w:rsidR="00922B8B" w:rsidRPr="00FD119B" w:rsidTr="00637064">
        <w:tc>
          <w:tcPr>
            <w:tcW w:w="1985" w:type="dxa"/>
          </w:tcPr>
          <w:p w:rsidR="00922B8B" w:rsidRPr="002A1B5D" w:rsidRDefault="000D3F01" w:rsidP="00922B8B">
            <w:r>
              <w:t>Alpha</w:t>
            </w:r>
            <w:r w:rsidR="00922B8B" w:rsidRPr="000D3F01">
              <w:rPr>
                <w:vertAlign w:val="subscript"/>
              </w:rPr>
              <w:t>1</w:t>
            </w:r>
            <w:r>
              <w:t>-</w:t>
            </w:r>
            <w:r w:rsidR="00922B8B" w:rsidRPr="002A1B5D">
              <w:t>PI</w:t>
            </w:r>
          </w:p>
        </w:tc>
        <w:tc>
          <w:tcPr>
            <w:tcW w:w="6627" w:type="dxa"/>
          </w:tcPr>
          <w:p w:rsidR="00922B8B" w:rsidRPr="002A1B5D" w:rsidRDefault="00922B8B" w:rsidP="00922B8B">
            <w:r>
              <w:t>Alpha</w:t>
            </w:r>
            <w:r w:rsidRPr="000D3F01">
              <w:rPr>
                <w:vertAlign w:val="subscript"/>
              </w:rPr>
              <w:t>1</w:t>
            </w:r>
            <w:r>
              <w:t xml:space="preserve"> Proteinase Inhibitor</w:t>
            </w:r>
          </w:p>
        </w:tc>
      </w:tr>
      <w:tr w:rsidR="009E6095" w:rsidRPr="00FD119B" w:rsidTr="00637064">
        <w:tc>
          <w:tcPr>
            <w:tcW w:w="1985" w:type="dxa"/>
          </w:tcPr>
          <w:p w:rsidR="009E6095" w:rsidRDefault="009E6095" w:rsidP="00922B8B">
            <w:r>
              <w:t>ANCOVA</w:t>
            </w:r>
          </w:p>
        </w:tc>
        <w:tc>
          <w:tcPr>
            <w:tcW w:w="6627" w:type="dxa"/>
          </w:tcPr>
          <w:p w:rsidR="009E6095" w:rsidRDefault="009E6095" w:rsidP="00922B8B">
            <w:r>
              <w:t>Analysis of covariance</w:t>
            </w:r>
          </w:p>
        </w:tc>
      </w:tr>
      <w:tr w:rsidR="00922B8B" w:rsidRPr="00FD119B" w:rsidTr="00637064">
        <w:tc>
          <w:tcPr>
            <w:tcW w:w="1985" w:type="dxa"/>
          </w:tcPr>
          <w:p w:rsidR="00922B8B" w:rsidRPr="002A1B5D" w:rsidRDefault="00922B8B" w:rsidP="00922B8B">
            <w:r>
              <w:t>ANOVA</w:t>
            </w:r>
          </w:p>
        </w:tc>
        <w:tc>
          <w:tcPr>
            <w:tcW w:w="6627" w:type="dxa"/>
          </w:tcPr>
          <w:p w:rsidR="00922B8B" w:rsidRPr="002A1B5D" w:rsidRDefault="00922B8B" w:rsidP="00922B8B">
            <w:r w:rsidRPr="002A1B5D">
              <w:t>analysis of variance</w:t>
            </w:r>
          </w:p>
        </w:tc>
      </w:tr>
      <w:tr w:rsidR="00922B8B" w:rsidRPr="00FD119B" w:rsidTr="00637064">
        <w:tc>
          <w:tcPr>
            <w:tcW w:w="1985" w:type="dxa"/>
          </w:tcPr>
          <w:p w:rsidR="00922B8B" w:rsidRPr="002A1B5D" w:rsidRDefault="00922B8B" w:rsidP="00922B8B">
            <w:r w:rsidRPr="002A1B5D">
              <w:t>AUC</w:t>
            </w:r>
          </w:p>
        </w:tc>
        <w:tc>
          <w:tcPr>
            <w:tcW w:w="6627" w:type="dxa"/>
          </w:tcPr>
          <w:p w:rsidR="00922B8B" w:rsidRPr="002A1B5D" w:rsidRDefault="00922B8B" w:rsidP="00922B8B">
            <w:r w:rsidRPr="002A1B5D">
              <w:t>area under the curve</w:t>
            </w:r>
          </w:p>
        </w:tc>
      </w:tr>
      <w:tr w:rsidR="00922B8B" w:rsidRPr="00FD119B" w:rsidTr="00637064">
        <w:tc>
          <w:tcPr>
            <w:tcW w:w="1985" w:type="dxa"/>
          </w:tcPr>
          <w:p w:rsidR="00922B8B" w:rsidRPr="002A1B5D" w:rsidRDefault="00922B8B" w:rsidP="00922B8B">
            <w:r w:rsidRPr="00860C77">
              <w:rPr>
                <w:lang w:val="en-US"/>
              </w:rPr>
              <w:t>AUC</w:t>
            </w:r>
            <w:r w:rsidRPr="002A1B5D">
              <w:rPr>
                <w:vertAlign w:val="subscript"/>
                <w:lang w:val="en-US"/>
              </w:rPr>
              <w:t>0-7 days</w:t>
            </w:r>
          </w:p>
        </w:tc>
        <w:tc>
          <w:tcPr>
            <w:tcW w:w="6627" w:type="dxa"/>
          </w:tcPr>
          <w:p w:rsidR="00922B8B" w:rsidRPr="002A1B5D" w:rsidRDefault="00922B8B" w:rsidP="00922B8B">
            <w:r w:rsidRPr="002A1B5D">
              <w:t>AUC from Day 0 to Day7</w:t>
            </w:r>
          </w:p>
        </w:tc>
      </w:tr>
      <w:tr w:rsidR="00922B8B" w:rsidRPr="00FD119B" w:rsidTr="00637064">
        <w:tc>
          <w:tcPr>
            <w:tcW w:w="1985" w:type="dxa"/>
          </w:tcPr>
          <w:p w:rsidR="00922B8B" w:rsidRPr="002A1B5D" w:rsidRDefault="00922B8B" w:rsidP="00922B8B">
            <w:r w:rsidRPr="002A1B5D">
              <w:t>AUC</w:t>
            </w:r>
            <w:r w:rsidRPr="00CC5504">
              <w:rPr>
                <w:vertAlign w:val="subscript"/>
              </w:rPr>
              <w:t>0-last, wk8</w:t>
            </w:r>
          </w:p>
        </w:tc>
        <w:tc>
          <w:tcPr>
            <w:tcW w:w="6627" w:type="dxa"/>
          </w:tcPr>
          <w:p w:rsidR="00922B8B" w:rsidRPr="002A1B5D" w:rsidRDefault="00922B8B" w:rsidP="00922B8B">
            <w:r w:rsidRPr="002A1B5D">
              <w:t>AUC</w:t>
            </w:r>
            <w:r>
              <w:t xml:space="preserve"> </w:t>
            </w:r>
            <w:r w:rsidRPr="002A1B5D">
              <w:t>from start of infusion to the</w:t>
            </w:r>
            <w:r w:rsidR="00832EF8">
              <w:t xml:space="preserve"> last sampling time during Week </w:t>
            </w:r>
            <w:r w:rsidRPr="002A1B5D">
              <w:t>8</w:t>
            </w:r>
          </w:p>
        </w:tc>
      </w:tr>
      <w:tr w:rsidR="00922B8B" w:rsidRPr="00FD119B" w:rsidTr="00637064">
        <w:tc>
          <w:tcPr>
            <w:tcW w:w="1985" w:type="dxa"/>
          </w:tcPr>
          <w:p w:rsidR="00922B8B" w:rsidRPr="002A1B5D" w:rsidRDefault="00922B8B" w:rsidP="00922B8B">
            <w:r w:rsidRPr="002A1B5D">
              <w:t>AUC</w:t>
            </w:r>
            <w:r w:rsidRPr="00637064">
              <w:rPr>
                <w:vertAlign w:val="subscript"/>
              </w:rPr>
              <w:t>0-10days, wk16</w:t>
            </w:r>
          </w:p>
        </w:tc>
        <w:tc>
          <w:tcPr>
            <w:tcW w:w="6627" w:type="dxa"/>
          </w:tcPr>
          <w:p w:rsidR="00922B8B" w:rsidRPr="002A1B5D" w:rsidRDefault="00922B8B" w:rsidP="00922B8B">
            <w:r w:rsidRPr="002A1B5D">
              <w:t>AUC fro</w:t>
            </w:r>
            <w:r w:rsidR="00637064">
              <w:t xml:space="preserve">m Day 0 to Day 10 during the 16 </w:t>
            </w:r>
            <w:r w:rsidRPr="002A1B5D">
              <w:t xml:space="preserve">week </w:t>
            </w:r>
            <w:r>
              <w:t>double blind</w:t>
            </w:r>
            <w:r w:rsidRPr="002A1B5D">
              <w:t xml:space="preserve"> crossover phase</w:t>
            </w:r>
          </w:p>
        </w:tc>
      </w:tr>
      <w:tr w:rsidR="00704B63" w:rsidRPr="00FD119B" w:rsidTr="00637064">
        <w:tc>
          <w:tcPr>
            <w:tcW w:w="1985" w:type="dxa"/>
          </w:tcPr>
          <w:p w:rsidR="00704B63" w:rsidRPr="002A1B5D" w:rsidRDefault="00704B63" w:rsidP="00922B8B">
            <w:r w:rsidRPr="00C233C8">
              <w:t>BALF</w:t>
            </w:r>
          </w:p>
        </w:tc>
        <w:tc>
          <w:tcPr>
            <w:tcW w:w="6627" w:type="dxa"/>
          </w:tcPr>
          <w:p w:rsidR="00704B63" w:rsidRPr="002A1B5D" w:rsidRDefault="00704B63" w:rsidP="00704B63">
            <w:r>
              <w:t>bronchial alveolar lavage fluid</w:t>
            </w:r>
          </w:p>
        </w:tc>
      </w:tr>
      <w:tr w:rsidR="00922B8B" w:rsidRPr="00FD119B" w:rsidTr="00637064">
        <w:tc>
          <w:tcPr>
            <w:tcW w:w="1985" w:type="dxa"/>
          </w:tcPr>
          <w:p w:rsidR="00922B8B" w:rsidRPr="002A1B5D" w:rsidRDefault="00922B8B" w:rsidP="00922B8B">
            <w:r w:rsidRPr="002A1B5D">
              <w:t>BOR</w:t>
            </w:r>
            <w:r w:rsidR="00B71F00">
              <w:t>G</w:t>
            </w:r>
          </w:p>
        </w:tc>
        <w:tc>
          <w:tcPr>
            <w:tcW w:w="6627" w:type="dxa"/>
          </w:tcPr>
          <w:p w:rsidR="00922B8B" w:rsidRPr="002A1B5D" w:rsidRDefault="00B71F00" w:rsidP="00922B8B">
            <w:r>
              <w:t>Borg rating of perceived exertion scale</w:t>
            </w:r>
          </w:p>
        </w:tc>
      </w:tr>
      <w:tr w:rsidR="00922B8B" w:rsidRPr="00FD119B" w:rsidTr="00637064">
        <w:tc>
          <w:tcPr>
            <w:tcW w:w="1985" w:type="dxa"/>
          </w:tcPr>
          <w:p w:rsidR="00922B8B" w:rsidRPr="002A1B5D" w:rsidRDefault="00922B8B" w:rsidP="00922B8B">
            <w:proofErr w:type="spellStart"/>
            <w:r w:rsidRPr="002A1B5D">
              <w:t>ChAMP</w:t>
            </w:r>
            <w:proofErr w:type="spellEnd"/>
          </w:p>
        </w:tc>
        <w:tc>
          <w:tcPr>
            <w:tcW w:w="6627" w:type="dxa"/>
          </w:tcPr>
          <w:p w:rsidR="00922B8B" w:rsidRPr="002A1B5D" w:rsidRDefault="00F922F5" w:rsidP="00922B8B">
            <w:r>
              <w:t xml:space="preserve">Study of </w:t>
            </w:r>
            <w:r w:rsidRPr="002A1B5D">
              <w:t>pharmacokinetic c</w:t>
            </w:r>
            <w:r w:rsidR="00922B8B" w:rsidRPr="002A1B5D">
              <w:t>omparability of Alpha-1 MP (11816)</w:t>
            </w:r>
          </w:p>
        </w:tc>
      </w:tr>
      <w:tr w:rsidR="00271841" w:rsidRPr="00FD119B" w:rsidTr="00637064">
        <w:tc>
          <w:tcPr>
            <w:tcW w:w="1985" w:type="dxa"/>
          </w:tcPr>
          <w:p w:rsidR="00271841" w:rsidRPr="002A1B5D" w:rsidRDefault="00271841" w:rsidP="00922B8B">
            <w:r>
              <w:t>CHMP</w:t>
            </w:r>
          </w:p>
        </w:tc>
        <w:tc>
          <w:tcPr>
            <w:tcW w:w="6627" w:type="dxa"/>
          </w:tcPr>
          <w:p w:rsidR="00271841" w:rsidRDefault="00271841" w:rsidP="00922B8B">
            <w:r>
              <w:t>The committee for medicinal products for human use (EMA)</w:t>
            </w:r>
          </w:p>
        </w:tc>
      </w:tr>
      <w:tr w:rsidR="00922B8B" w:rsidRPr="00FD119B" w:rsidTr="00637064">
        <w:tc>
          <w:tcPr>
            <w:tcW w:w="1985" w:type="dxa"/>
          </w:tcPr>
          <w:p w:rsidR="00922B8B" w:rsidRPr="002A1B5D" w:rsidRDefault="00922B8B" w:rsidP="00922B8B">
            <w:r w:rsidRPr="002A1B5D">
              <w:t>CI</w:t>
            </w:r>
          </w:p>
        </w:tc>
        <w:tc>
          <w:tcPr>
            <w:tcW w:w="6627" w:type="dxa"/>
          </w:tcPr>
          <w:p w:rsidR="00922B8B" w:rsidRPr="002A1B5D" w:rsidRDefault="00922B8B" w:rsidP="00922B8B">
            <w:r w:rsidRPr="002A1B5D">
              <w:t>confidence interval</w:t>
            </w:r>
          </w:p>
        </w:tc>
      </w:tr>
      <w:tr w:rsidR="00922B8B" w:rsidRPr="00FD119B" w:rsidTr="00637064">
        <w:tc>
          <w:tcPr>
            <w:tcW w:w="1985" w:type="dxa"/>
          </w:tcPr>
          <w:p w:rsidR="00922B8B" w:rsidRPr="002A1B5D" w:rsidRDefault="00922B8B" w:rsidP="00922B8B">
            <w:proofErr w:type="spellStart"/>
            <w:r w:rsidRPr="002A1B5D">
              <w:t>C</w:t>
            </w:r>
            <w:r w:rsidRPr="00CC5504">
              <w:rPr>
                <w:vertAlign w:val="subscript"/>
              </w:rPr>
              <w:t>max</w:t>
            </w:r>
            <w:proofErr w:type="spellEnd"/>
          </w:p>
        </w:tc>
        <w:tc>
          <w:tcPr>
            <w:tcW w:w="6627" w:type="dxa"/>
          </w:tcPr>
          <w:p w:rsidR="00922B8B" w:rsidRPr="002A1B5D" w:rsidRDefault="00922B8B" w:rsidP="00922B8B">
            <w:r w:rsidRPr="002A1B5D">
              <w:t>maximum concentration</w:t>
            </w:r>
          </w:p>
        </w:tc>
      </w:tr>
      <w:tr w:rsidR="00704B63" w:rsidRPr="00FD119B" w:rsidTr="00637064">
        <w:tc>
          <w:tcPr>
            <w:tcW w:w="1985" w:type="dxa"/>
          </w:tcPr>
          <w:p w:rsidR="00704B63" w:rsidRPr="002A1B5D" w:rsidRDefault="00704B63" w:rsidP="00922B8B">
            <w:r>
              <w:t>CNS</w:t>
            </w:r>
          </w:p>
        </w:tc>
        <w:tc>
          <w:tcPr>
            <w:tcW w:w="6627" w:type="dxa"/>
          </w:tcPr>
          <w:p w:rsidR="00704B63" w:rsidRPr="002A1B5D" w:rsidRDefault="00704B63" w:rsidP="00704B63">
            <w:r>
              <w:t>central nervous system</w:t>
            </w:r>
          </w:p>
        </w:tc>
      </w:tr>
      <w:tr w:rsidR="007B754C" w:rsidRPr="00FD119B" w:rsidTr="00637064">
        <w:tc>
          <w:tcPr>
            <w:tcW w:w="1985" w:type="dxa"/>
          </w:tcPr>
          <w:p w:rsidR="007B754C" w:rsidRDefault="007B754C" w:rsidP="00922B8B">
            <w:r>
              <w:t>COPD</w:t>
            </w:r>
          </w:p>
        </w:tc>
        <w:tc>
          <w:tcPr>
            <w:tcW w:w="6627" w:type="dxa"/>
          </w:tcPr>
          <w:p w:rsidR="007B754C" w:rsidRDefault="007B754C" w:rsidP="00704B63">
            <w:r>
              <w:t>Chronic obstructive pulmonary disease</w:t>
            </w:r>
          </w:p>
        </w:tc>
      </w:tr>
      <w:tr w:rsidR="007B754C" w:rsidRPr="00FD119B" w:rsidTr="00637064">
        <w:tc>
          <w:tcPr>
            <w:tcW w:w="1985" w:type="dxa"/>
          </w:tcPr>
          <w:p w:rsidR="007B754C" w:rsidRDefault="007B754C" w:rsidP="00922B8B">
            <w:r>
              <w:t>CT</w:t>
            </w:r>
          </w:p>
        </w:tc>
        <w:tc>
          <w:tcPr>
            <w:tcW w:w="6627" w:type="dxa"/>
          </w:tcPr>
          <w:p w:rsidR="007B754C" w:rsidRPr="007B754C" w:rsidRDefault="007B754C" w:rsidP="007B754C">
            <w:r w:rsidRPr="007B754C">
              <w:t>computed tomography</w:t>
            </w:r>
          </w:p>
        </w:tc>
      </w:tr>
      <w:tr w:rsidR="00922B8B" w:rsidRPr="00FD119B" w:rsidTr="00637064">
        <w:tc>
          <w:tcPr>
            <w:tcW w:w="1985" w:type="dxa"/>
          </w:tcPr>
          <w:p w:rsidR="00922B8B" w:rsidRPr="002A1B5D" w:rsidRDefault="00922B8B" w:rsidP="00922B8B">
            <w:r w:rsidRPr="002A1B5D">
              <w:t>DLCO</w:t>
            </w:r>
          </w:p>
        </w:tc>
        <w:tc>
          <w:tcPr>
            <w:tcW w:w="6627" w:type="dxa"/>
          </w:tcPr>
          <w:p w:rsidR="00922B8B" w:rsidRPr="002A1B5D" w:rsidRDefault="00922B8B" w:rsidP="00922B8B">
            <w:r w:rsidRPr="002A1B5D">
              <w:t>pulmonary diffusing capacity for co</w:t>
            </w:r>
          </w:p>
        </w:tc>
      </w:tr>
      <w:tr w:rsidR="0038469A" w:rsidRPr="00FD119B" w:rsidTr="00637064">
        <w:tc>
          <w:tcPr>
            <w:tcW w:w="1985" w:type="dxa"/>
          </w:tcPr>
          <w:p w:rsidR="0038469A" w:rsidRPr="002A1B5D" w:rsidRDefault="0038469A" w:rsidP="00922B8B">
            <w:r>
              <w:t>ELF</w:t>
            </w:r>
          </w:p>
        </w:tc>
        <w:tc>
          <w:tcPr>
            <w:tcW w:w="6627" w:type="dxa"/>
          </w:tcPr>
          <w:p w:rsidR="0038469A" w:rsidRPr="002A1B5D" w:rsidRDefault="00DD351A" w:rsidP="00922B8B">
            <w:r w:rsidRPr="00696999">
              <w:t>anti</w:t>
            </w:r>
            <w:r>
              <w:t>-</w:t>
            </w:r>
            <w:r w:rsidRPr="00696999">
              <w:t>neutrophil elastase capacity in the lung f</w:t>
            </w:r>
            <w:r>
              <w:t>luid</w:t>
            </w:r>
          </w:p>
        </w:tc>
      </w:tr>
      <w:tr w:rsidR="00922B8B" w:rsidRPr="00FD119B" w:rsidTr="00637064">
        <w:tc>
          <w:tcPr>
            <w:tcW w:w="1985" w:type="dxa"/>
          </w:tcPr>
          <w:p w:rsidR="00922B8B" w:rsidRPr="002A1B5D" w:rsidRDefault="00922B8B" w:rsidP="00922B8B">
            <w:r w:rsidRPr="002A1B5D">
              <w:t>EU</w:t>
            </w:r>
          </w:p>
        </w:tc>
        <w:tc>
          <w:tcPr>
            <w:tcW w:w="6627" w:type="dxa"/>
          </w:tcPr>
          <w:p w:rsidR="00922B8B" w:rsidRPr="002A1B5D" w:rsidRDefault="00922B8B" w:rsidP="00922B8B">
            <w:r w:rsidRPr="002A1B5D">
              <w:t>European Union</w:t>
            </w:r>
          </w:p>
        </w:tc>
      </w:tr>
      <w:tr w:rsidR="00922B8B" w:rsidRPr="00FD119B" w:rsidTr="00637064">
        <w:tc>
          <w:tcPr>
            <w:tcW w:w="1985" w:type="dxa"/>
          </w:tcPr>
          <w:p w:rsidR="00922B8B" w:rsidRPr="002A1B5D" w:rsidRDefault="00922B8B" w:rsidP="00922B8B">
            <w:r w:rsidRPr="002A1B5D">
              <w:t>FDA</w:t>
            </w:r>
          </w:p>
        </w:tc>
        <w:tc>
          <w:tcPr>
            <w:tcW w:w="6627" w:type="dxa"/>
          </w:tcPr>
          <w:p w:rsidR="00922B8B" w:rsidRPr="002A1B5D" w:rsidRDefault="00922B8B" w:rsidP="00922B8B">
            <w:r w:rsidRPr="002A1B5D">
              <w:t>Food and Drug Administration</w:t>
            </w:r>
          </w:p>
        </w:tc>
      </w:tr>
      <w:tr w:rsidR="00922B8B" w:rsidRPr="00FD119B" w:rsidTr="00637064">
        <w:tc>
          <w:tcPr>
            <w:tcW w:w="1985" w:type="dxa"/>
          </w:tcPr>
          <w:p w:rsidR="00922B8B" w:rsidRPr="002A1B5D" w:rsidRDefault="00922B8B" w:rsidP="00922B8B">
            <w:r w:rsidRPr="002A1B5D">
              <w:lastRenderedPageBreak/>
              <w:t>FEV1</w:t>
            </w:r>
          </w:p>
        </w:tc>
        <w:tc>
          <w:tcPr>
            <w:tcW w:w="6627" w:type="dxa"/>
          </w:tcPr>
          <w:p w:rsidR="00922B8B" w:rsidRPr="002A1B5D" w:rsidRDefault="00922B8B" w:rsidP="00922B8B">
            <w:r w:rsidRPr="002A1B5D">
              <w:t>Change in forced expired volume in 1 second</w:t>
            </w:r>
          </w:p>
        </w:tc>
      </w:tr>
      <w:tr w:rsidR="00922B8B" w:rsidRPr="00FD119B" w:rsidTr="00637064">
        <w:tc>
          <w:tcPr>
            <w:tcW w:w="1985" w:type="dxa"/>
          </w:tcPr>
          <w:p w:rsidR="00922B8B" w:rsidRPr="002A1B5D" w:rsidRDefault="00922B8B" w:rsidP="00922B8B">
            <w:r w:rsidRPr="002A1B5D">
              <w:t>FRC</w:t>
            </w:r>
          </w:p>
        </w:tc>
        <w:tc>
          <w:tcPr>
            <w:tcW w:w="6627" w:type="dxa"/>
          </w:tcPr>
          <w:p w:rsidR="00922B8B" w:rsidRPr="002A1B5D" w:rsidRDefault="00922B8B" w:rsidP="00922B8B">
            <w:r w:rsidRPr="002A1B5D">
              <w:t>functional residual capacity</w:t>
            </w:r>
          </w:p>
        </w:tc>
      </w:tr>
      <w:tr w:rsidR="00922B8B" w:rsidRPr="00FD119B" w:rsidTr="00637064">
        <w:tc>
          <w:tcPr>
            <w:tcW w:w="1985" w:type="dxa"/>
          </w:tcPr>
          <w:p w:rsidR="00922B8B" w:rsidRPr="002A1B5D" w:rsidRDefault="00922B8B" w:rsidP="00922B8B">
            <w:r w:rsidRPr="002A1B5D">
              <w:t>GCP</w:t>
            </w:r>
          </w:p>
        </w:tc>
        <w:tc>
          <w:tcPr>
            <w:tcW w:w="6627" w:type="dxa"/>
          </w:tcPr>
          <w:p w:rsidR="00922B8B" w:rsidRPr="002A1B5D" w:rsidRDefault="00922B8B" w:rsidP="00922B8B">
            <w:r w:rsidRPr="002A1B5D">
              <w:t>Good clinical practice</w:t>
            </w:r>
          </w:p>
        </w:tc>
      </w:tr>
      <w:tr w:rsidR="00922B8B" w:rsidRPr="00FD119B" w:rsidTr="00637064">
        <w:tc>
          <w:tcPr>
            <w:tcW w:w="1985" w:type="dxa"/>
          </w:tcPr>
          <w:p w:rsidR="00922B8B" w:rsidRPr="002A1B5D" w:rsidRDefault="00922B8B" w:rsidP="00922B8B">
            <w:r w:rsidRPr="002A1B5D">
              <w:t>GLP</w:t>
            </w:r>
          </w:p>
        </w:tc>
        <w:tc>
          <w:tcPr>
            <w:tcW w:w="6627" w:type="dxa"/>
          </w:tcPr>
          <w:p w:rsidR="00922B8B" w:rsidRPr="002A1B5D" w:rsidRDefault="00922B8B" w:rsidP="00922B8B">
            <w:r>
              <w:t>Good laboratory practice</w:t>
            </w:r>
          </w:p>
        </w:tc>
      </w:tr>
      <w:tr w:rsidR="00922B8B" w:rsidRPr="00FD119B" w:rsidTr="00637064">
        <w:tc>
          <w:tcPr>
            <w:tcW w:w="1985" w:type="dxa"/>
          </w:tcPr>
          <w:p w:rsidR="00922B8B" w:rsidRPr="002A1B5D" w:rsidRDefault="00922B8B" w:rsidP="00922B8B">
            <w:r w:rsidRPr="002A1B5D">
              <w:t>ICH</w:t>
            </w:r>
          </w:p>
        </w:tc>
        <w:tc>
          <w:tcPr>
            <w:tcW w:w="6627" w:type="dxa"/>
          </w:tcPr>
          <w:p w:rsidR="00922B8B" w:rsidRPr="002A1B5D" w:rsidRDefault="00922B8B" w:rsidP="00922B8B">
            <w:r w:rsidRPr="002A1B5D">
              <w:t>International Committee on Harmonisation</w:t>
            </w:r>
          </w:p>
        </w:tc>
      </w:tr>
      <w:tr w:rsidR="00922B8B" w:rsidRPr="00FD119B" w:rsidTr="00637064">
        <w:tc>
          <w:tcPr>
            <w:tcW w:w="1985" w:type="dxa"/>
          </w:tcPr>
          <w:p w:rsidR="00922B8B" w:rsidRPr="002A1B5D" w:rsidRDefault="00922B8B" w:rsidP="00922B8B">
            <w:r w:rsidRPr="002A1B5D">
              <w:t>ITT</w:t>
            </w:r>
          </w:p>
        </w:tc>
        <w:tc>
          <w:tcPr>
            <w:tcW w:w="6627" w:type="dxa"/>
          </w:tcPr>
          <w:p w:rsidR="00922B8B" w:rsidRPr="002A1B5D" w:rsidRDefault="00922B8B" w:rsidP="00922B8B">
            <w:r w:rsidRPr="002A1B5D">
              <w:t>intent-to-treat</w:t>
            </w:r>
          </w:p>
        </w:tc>
      </w:tr>
      <w:tr w:rsidR="006F7390" w:rsidRPr="002A1B5D" w:rsidTr="007B754C">
        <w:tc>
          <w:tcPr>
            <w:tcW w:w="1985" w:type="dxa"/>
          </w:tcPr>
          <w:p w:rsidR="006F7390" w:rsidRPr="002A1B5D" w:rsidRDefault="006F7390" w:rsidP="007B754C">
            <w:r w:rsidRPr="002A1B5D">
              <w:t>KCO</w:t>
            </w:r>
          </w:p>
        </w:tc>
        <w:tc>
          <w:tcPr>
            <w:tcW w:w="6627" w:type="dxa"/>
          </w:tcPr>
          <w:p w:rsidR="006F7390" w:rsidRPr="002A1B5D" w:rsidRDefault="006F7390" w:rsidP="007B754C">
            <w:r w:rsidRPr="002A1B5D">
              <w:t>transfer factor of carbon monoxide</w:t>
            </w:r>
          </w:p>
        </w:tc>
      </w:tr>
      <w:tr w:rsidR="00EA1E8B" w:rsidRPr="002A1B5D" w:rsidTr="007B754C">
        <w:tc>
          <w:tcPr>
            <w:tcW w:w="1985" w:type="dxa"/>
          </w:tcPr>
          <w:p w:rsidR="00EA1E8B" w:rsidRPr="002A1B5D" w:rsidRDefault="00EA1E8B" w:rsidP="007B754C">
            <w:r>
              <w:t>NE</w:t>
            </w:r>
          </w:p>
        </w:tc>
        <w:tc>
          <w:tcPr>
            <w:tcW w:w="6627" w:type="dxa"/>
          </w:tcPr>
          <w:p w:rsidR="00EA1E8B" w:rsidRPr="002A1B5D" w:rsidRDefault="00EA1E8B" w:rsidP="007B754C">
            <w:r>
              <w:t>Neutrophil elastase</w:t>
            </w:r>
          </w:p>
        </w:tc>
      </w:tr>
      <w:tr w:rsidR="00704B63" w:rsidRPr="00FD119B" w:rsidTr="00637064">
        <w:tc>
          <w:tcPr>
            <w:tcW w:w="1985" w:type="dxa"/>
          </w:tcPr>
          <w:p w:rsidR="00704B63" w:rsidRPr="002A1B5D" w:rsidRDefault="00704B63" w:rsidP="00922B8B">
            <w:r>
              <w:t>PBS</w:t>
            </w:r>
          </w:p>
        </w:tc>
        <w:tc>
          <w:tcPr>
            <w:tcW w:w="6627" w:type="dxa"/>
          </w:tcPr>
          <w:p w:rsidR="00704B63" w:rsidRPr="002A1B5D" w:rsidRDefault="00704B63" w:rsidP="00704B63">
            <w:r>
              <w:t>phosphate buffered saline</w:t>
            </w:r>
          </w:p>
        </w:tc>
      </w:tr>
      <w:tr w:rsidR="00922B8B" w:rsidRPr="00FD119B" w:rsidTr="00637064">
        <w:tc>
          <w:tcPr>
            <w:tcW w:w="1985" w:type="dxa"/>
          </w:tcPr>
          <w:p w:rsidR="00922B8B" w:rsidRPr="002A1B5D" w:rsidRDefault="00CC5504" w:rsidP="00922B8B">
            <w:r>
              <w:t>PD</w:t>
            </w:r>
          </w:p>
        </w:tc>
        <w:tc>
          <w:tcPr>
            <w:tcW w:w="6627" w:type="dxa"/>
          </w:tcPr>
          <w:p w:rsidR="00922B8B" w:rsidRPr="002A1B5D" w:rsidRDefault="00922B8B" w:rsidP="00922B8B">
            <w:r w:rsidRPr="002A1B5D">
              <w:t>pharmacodynamic(s)</w:t>
            </w:r>
          </w:p>
        </w:tc>
      </w:tr>
      <w:tr w:rsidR="00922B8B" w:rsidRPr="00FD119B" w:rsidTr="00637064">
        <w:tc>
          <w:tcPr>
            <w:tcW w:w="1985" w:type="dxa"/>
          </w:tcPr>
          <w:p w:rsidR="00922B8B" w:rsidRPr="002A1B5D" w:rsidRDefault="00922B8B" w:rsidP="00922B8B">
            <w:r w:rsidRPr="002A1B5D">
              <w:t>PI</w:t>
            </w:r>
          </w:p>
        </w:tc>
        <w:tc>
          <w:tcPr>
            <w:tcW w:w="6627" w:type="dxa"/>
          </w:tcPr>
          <w:p w:rsidR="00922B8B" w:rsidRPr="002A1B5D" w:rsidRDefault="006F7390" w:rsidP="00922B8B">
            <w:r>
              <w:t>Product information</w:t>
            </w:r>
          </w:p>
        </w:tc>
      </w:tr>
      <w:tr w:rsidR="00922B8B" w:rsidRPr="00FD119B" w:rsidTr="00637064">
        <w:tc>
          <w:tcPr>
            <w:tcW w:w="1985" w:type="dxa"/>
          </w:tcPr>
          <w:p w:rsidR="00922B8B" w:rsidRPr="002A1B5D" w:rsidRDefault="00922B8B" w:rsidP="00922B8B">
            <w:r w:rsidRPr="002A1B5D">
              <w:t>PK</w:t>
            </w:r>
          </w:p>
        </w:tc>
        <w:tc>
          <w:tcPr>
            <w:tcW w:w="6627" w:type="dxa"/>
          </w:tcPr>
          <w:p w:rsidR="00922B8B" w:rsidRPr="002A1B5D" w:rsidRDefault="00922B8B" w:rsidP="00922B8B">
            <w:r w:rsidRPr="002A1B5D">
              <w:t>pharmacokinetic(s)</w:t>
            </w:r>
          </w:p>
        </w:tc>
      </w:tr>
      <w:tr w:rsidR="006F7390" w:rsidRPr="00FD119B" w:rsidTr="00637064">
        <w:tc>
          <w:tcPr>
            <w:tcW w:w="1985" w:type="dxa"/>
          </w:tcPr>
          <w:p w:rsidR="006F7390" w:rsidRPr="002A1B5D" w:rsidRDefault="006F7390" w:rsidP="00922B8B">
            <w:r w:rsidRPr="006F7390">
              <w:t>PSUR</w:t>
            </w:r>
          </w:p>
        </w:tc>
        <w:tc>
          <w:tcPr>
            <w:tcW w:w="6627" w:type="dxa"/>
          </w:tcPr>
          <w:p w:rsidR="006F7390" w:rsidRPr="002A1B5D" w:rsidRDefault="006F7390" w:rsidP="00922B8B">
            <w:r>
              <w:t>Periodic safety update report</w:t>
            </w:r>
          </w:p>
        </w:tc>
      </w:tr>
      <w:tr w:rsidR="00922B8B" w:rsidRPr="00FD119B" w:rsidTr="00637064">
        <w:tc>
          <w:tcPr>
            <w:tcW w:w="1985" w:type="dxa"/>
          </w:tcPr>
          <w:p w:rsidR="00922B8B" w:rsidRPr="002A1B5D" w:rsidRDefault="006F7390" w:rsidP="00922B8B">
            <w:r>
              <w:t>SG</w:t>
            </w:r>
            <w:r w:rsidR="00CC5504">
              <w:t>RQ</w:t>
            </w:r>
          </w:p>
        </w:tc>
        <w:tc>
          <w:tcPr>
            <w:tcW w:w="6627" w:type="dxa"/>
          </w:tcPr>
          <w:p w:rsidR="00922B8B" w:rsidRPr="002A1B5D" w:rsidRDefault="00922B8B" w:rsidP="00922B8B">
            <w:r w:rsidRPr="002A1B5D">
              <w:t>St Geo</w:t>
            </w:r>
            <w:r w:rsidR="00CC5504">
              <w:t>rge’s Respiratory Questionnaire</w:t>
            </w:r>
          </w:p>
        </w:tc>
      </w:tr>
      <w:tr w:rsidR="00922B8B" w:rsidRPr="00FD119B" w:rsidTr="00637064">
        <w:tc>
          <w:tcPr>
            <w:tcW w:w="1985" w:type="dxa"/>
          </w:tcPr>
          <w:p w:rsidR="00922B8B" w:rsidRPr="002A1B5D" w:rsidRDefault="006F7390" w:rsidP="00922B8B">
            <w:r>
              <w:t>t</w:t>
            </w:r>
            <w:r w:rsidR="00922B8B" w:rsidRPr="006F7390">
              <w:rPr>
                <w:vertAlign w:val="subscript"/>
              </w:rPr>
              <w:t>1/2</w:t>
            </w:r>
          </w:p>
        </w:tc>
        <w:tc>
          <w:tcPr>
            <w:tcW w:w="6627" w:type="dxa"/>
          </w:tcPr>
          <w:p w:rsidR="00922B8B" w:rsidRPr="002A1B5D" w:rsidRDefault="00922B8B" w:rsidP="00922B8B">
            <w:r w:rsidRPr="002A1B5D">
              <w:t>Terminal elimination half-life</w:t>
            </w:r>
          </w:p>
        </w:tc>
      </w:tr>
      <w:tr w:rsidR="00922B8B" w:rsidRPr="00FD119B" w:rsidTr="00637064">
        <w:tc>
          <w:tcPr>
            <w:tcW w:w="1985" w:type="dxa"/>
          </w:tcPr>
          <w:p w:rsidR="00922B8B" w:rsidRPr="002A1B5D" w:rsidRDefault="00922B8B" w:rsidP="00922B8B">
            <w:r w:rsidRPr="002A1B5D">
              <w:t>TEAE</w:t>
            </w:r>
          </w:p>
        </w:tc>
        <w:tc>
          <w:tcPr>
            <w:tcW w:w="6627" w:type="dxa"/>
          </w:tcPr>
          <w:p w:rsidR="00922B8B" w:rsidRPr="002A1B5D" w:rsidRDefault="00922B8B" w:rsidP="00922B8B">
            <w:r w:rsidRPr="002A1B5D">
              <w:t>T</w:t>
            </w:r>
            <w:r>
              <w:t>reatment-emergent adverse event</w:t>
            </w:r>
          </w:p>
        </w:tc>
      </w:tr>
      <w:tr w:rsidR="00922B8B" w:rsidRPr="00FD119B" w:rsidTr="00637064">
        <w:tc>
          <w:tcPr>
            <w:tcW w:w="1985" w:type="dxa"/>
          </w:tcPr>
          <w:p w:rsidR="00922B8B" w:rsidRPr="002A1B5D" w:rsidRDefault="00922B8B" w:rsidP="00922B8B">
            <w:r>
              <w:t>TLC</w:t>
            </w:r>
          </w:p>
        </w:tc>
        <w:tc>
          <w:tcPr>
            <w:tcW w:w="6627" w:type="dxa"/>
          </w:tcPr>
          <w:p w:rsidR="00922B8B" w:rsidRPr="002A1B5D" w:rsidRDefault="00922B8B" w:rsidP="00922B8B">
            <w:r w:rsidRPr="002A1B5D">
              <w:t>Total lung capacity</w:t>
            </w:r>
          </w:p>
        </w:tc>
      </w:tr>
    </w:tbl>
    <w:p w:rsidR="00FD119B" w:rsidRPr="00FD119B" w:rsidRDefault="00FD119B" w:rsidP="00FD119B">
      <w:pPr>
        <w:spacing w:before="0" w:after="200" w:line="0" w:lineRule="auto"/>
        <w:rPr>
          <w:b/>
          <w:i/>
          <w:sz w:val="24"/>
          <w:szCs w:val="24"/>
        </w:rPr>
      </w:pPr>
      <w:r w:rsidRPr="00FD119B">
        <w:rPr>
          <w:b/>
          <w:i/>
          <w:sz w:val="24"/>
          <w:szCs w:val="24"/>
        </w:rPr>
        <w:br w:type="page"/>
      </w:r>
    </w:p>
    <w:p w:rsidR="008E7846" w:rsidRDefault="00F53C07" w:rsidP="008E7846">
      <w:pPr>
        <w:pStyle w:val="Heading2"/>
      </w:pPr>
      <w:bookmarkStart w:id="9" w:name="_Toc497296889"/>
      <w:r>
        <w:lastRenderedPageBreak/>
        <w:t>I.</w:t>
      </w:r>
      <w:r w:rsidR="008E7846">
        <w:t xml:space="preserve"> Introduction to product submission</w:t>
      </w:r>
      <w:bookmarkEnd w:id="3"/>
      <w:bookmarkEnd w:id="0"/>
      <w:bookmarkEnd w:id="9"/>
    </w:p>
    <w:p w:rsidR="008E7846" w:rsidRDefault="008E7846" w:rsidP="008E7846">
      <w:pPr>
        <w:pStyle w:val="Heading3"/>
        <w:rPr>
          <w:lang w:eastAsia="en-AU"/>
        </w:rPr>
      </w:pPr>
      <w:bookmarkStart w:id="10" w:name="_Toc247691502"/>
      <w:bookmarkStart w:id="11" w:name="_Toc314842483"/>
      <w:bookmarkStart w:id="12" w:name="_Toc497296890"/>
      <w:r>
        <w:rPr>
          <w:lang w:eastAsia="en-AU"/>
        </w:rPr>
        <w:t>Submission details</w:t>
      </w:r>
      <w:bookmarkEnd w:id="10"/>
      <w:bookmarkEnd w:id="11"/>
      <w:bookmarkEnd w:id="12"/>
    </w:p>
    <w:tbl>
      <w:tblPr>
        <w:tblW w:w="9497" w:type="dxa"/>
        <w:tblInd w:w="108" w:type="dxa"/>
        <w:tblLook w:val="01E0" w:firstRow="1" w:lastRow="1" w:firstColumn="1" w:lastColumn="1" w:noHBand="0" w:noVBand="0"/>
        <w:tblDescription w:val="submission details"/>
      </w:tblPr>
      <w:tblGrid>
        <w:gridCol w:w="2907"/>
        <w:gridCol w:w="6307"/>
        <w:gridCol w:w="283"/>
      </w:tblGrid>
      <w:tr w:rsidR="008E7846" w:rsidRPr="003D1E62" w:rsidTr="006F4749">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8E7846" w:rsidP="00AF0081">
            <w:r w:rsidRPr="003D1E62">
              <w:t xml:space="preserve">New </w:t>
            </w:r>
            <w:r w:rsidR="00AF0081">
              <w:t>biological</w:t>
            </w:r>
            <w:r w:rsidRPr="003D1E62">
              <w:t xml:space="preserve"> </w:t>
            </w:r>
            <w:r w:rsidR="001B5C90">
              <w:t>e</w:t>
            </w:r>
            <w:r w:rsidR="00AF0081">
              <w:t>ntity</w:t>
            </w:r>
          </w:p>
        </w:tc>
      </w:tr>
      <w:tr w:rsidR="008E7846" w:rsidRPr="003D1E62" w:rsidTr="006F4749">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AF0081">
            <w:r w:rsidRPr="003D1E62">
              <w:t>Approved</w:t>
            </w:r>
          </w:p>
        </w:tc>
      </w:tr>
      <w:tr w:rsidR="008E7846" w:rsidRPr="003D1E62" w:rsidTr="006F4749">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AF0081" w:rsidP="001B5C90">
            <w:r>
              <w:t>14 October 2016</w:t>
            </w:r>
          </w:p>
        </w:tc>
      </w:tr>
      <w:tr w:rsidR="00ED2922" w:rsidRPr="003D1E62" w:rsidTr="006F4749">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441C3F" w:rsidRDefault="00F85BF0" w:rsidP="00EC463D">
            <w:pPr>
              <w:rPr>
                <w:i/>
              </w:rPr>
            </w:pPr>
            <w:r>
              <w:t>10 November 2016</w:t>
            </w:r>
          </w:p>
        </w:tc>
      </w:tr>
      <w:tr w:rsidR="008E7846" w:rsidRPr="00487162" w:rsidTr="006F4749">
        <w:trPr>
          <w:gridAfter w:val="1"/>
          <w:wAfter w:w="283" w:type="dxa"/>
        </w:trPr>
        <w:tc>
          <w:tcPr>
            <w:tcW w:w="2907" w:type="dxa"/>
          </w:tcPr>
          <w:p w:rsidR="008E7846" w:rsidRPr="00487162" w:rsidRDefault="00AF0081" w:rsidP="00E45619">
            <w:pPr>
              <w:rPr>
                <w:i/>
              </w:rPr>
            </w:pPr>
            <w:r>
              <w:rPr>
                <w:i/>
              </w:rPr>
              <w:t>Active ingredient</w:t>
            </w:r>
            <w:r w:rsidR="001B5C90">
              <w:rPr>
                <w:i/>
              </w:rPr>
              <w:t>:</w:t>
            </w:r>
          </w:p>
        </w:tc>
        <w:tc>
          <w:tcPr>
            <w:tcW w:w="6307" w:type="dxa"/>
          </w:tcPr>
          <w:p w:rsidR="008E7846" w:rsidRPr="00487162" w:rsidRDefault="00AF0081" w:rsidP="00E45619">
            <w:r>
              <w:t>Alpha-1-proteinase inhibitor</w:t>
            </w:r>
            <w:r w:rsidR="00F85BF0">
              <w:t xml:space="preserve"> (human)</w:t>
            </w:r>
          </w:p>
        </w:tc>
      </w:tr>
      <w:tr w:rsidR="008E7846" w:rsidRPr="00487162" w:rsidTr="006F4749">
        <w:trPr>
          <w:gridAfter w:val="1"/>
          <w:wAfter w:w="283" w:type="dxa"/>
        </w:trPr>
        <w:tc>
          <w:tcPr>
            <w:tcW w:w="2907" w:type="dxa"/>
          </w:tcPr>
          <w:p w:rsidR="008E7846" w:rsidRPr="00487162" w:rsidRDefault="008E7846" w:rsidP="001B5C90">
            <w:pPr>
              <w:rPr>
                <w:i/>
              </w:rPr>
            </w:pPr>
            <w:r w:rsidRPr="00487162">
              <w:rPr>
                <w:i/>
              </w:rPr>
              <w:t>Product</w:t>
            </w:r>
            <w:r w:rsidR="00AF0081">
              <w:rPr>
                <w:i/>
              </w:rPr>
              <w:t xml:space="preserve"> name</w:t>
            </w:r>
            <w:r w:rsidR="001B5C90">
              <w:rPr>
                <w:i/>
              </w:rPr>
              <w:t>:</w:t>
            </w:r>
          </w:p>
        </w:tc>
        <w:tc>
          <w:tcPr>
            <w:tcW w:w="6307" w:type="dxa"/>
          </w:tcPr>
          <w:p w:rsidR="008E7846" w:rsidRPr="00487162" w:rsidRDefault="00AF0081" w:rsidP="00E45619">
            <w:r>
              <w:t>Prolastin-C</w:t>
            </w:r>
          </w:p>
        </w:tc>
      </w:tr>
      <w:tr w:rsidR="008E7846" w:rsidRPr="00487162" w:rsidTr="006F4749">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AF0081" w:rsidP="00AF0081">
            <w:proofErr w:type="spellStart"/>
            <w:r w:rsidRPr="00AF0081">
              <w:t>Grifols</w:t>
            </w:r>
            <w:proofErr w:type="spellEnd"/>
            <w:r w:rsidRPr="00AF0081">
              <w:t xml:space="preserve"> Australia Pty Ltd</w:t>
            </w:r>
          </w:p>
          <w:p w:rsidR="00AF0081" w:rsidRDefault="00AF0081" w:rsidP="00AF0081">
            <w:r>
              <w:t>Unit 5/80 Fairbank Road</w:t>
            </w:r>
          </w:p>
          <w:p w:rsidR="00AF0081" w:rsidRPr="00AF0081" w:rsidRDefault="00AF0081" w:rsidP="00AF0081">
            <w:r w:rsidRPr="00AF0081">
              <w:t>Clayton South</w:t>
            </w:r>
            <w:r>
              <w:t xml:space="preserve"> VIC</w:t>
            </w:r>
            <w:r w:rsidRPr="00AF0081">
              <w:t xml:space="preserve"> 3169</w:t>
            </w:r>
          </w:p>
        </w:tc>
      </w:tr>
      <w:tr w:rsidR="008E7846" w:rsidRPr="00487162" w:rsidTr="006F4749">
        <w:trPr>
          <w:gridAfter w:val="1"/>
          <w:wAfter w:w="283" w:type="dxa"/>
        </w:trPr>
        <w:tc>
          <w:tcPr>
            <w:tcW w:w="2907" w:type="dxa"/>
          </w:tcPr>
          <w:p w:rsidR="008E7846" w:rsidRPr="00487162" w:rsidRDefault="00BF5E1E" w:rsidP="00E45619">
            <w:pPr>
              <w:rPr>
                <w:i/>
              </w:rPr>
            </w:pPr>
            <w:r>
              <w:rPr>
                <w:i/>
              </w:rPr>
              <w:t>Dose form</w:t>
            </w:r>
            <w:r w:rsidR="001B5C90">
              <w:rPr>
                <w:i/>
              </w:rPr>
              <w:t>:</w:t>
            </w:r>
          </w:p>
        </w:tc>
        <w:tc>
          <w:tcPr>
            <w:tcW w:w="6307" w:type="dxa"/>
          </w:tcPr>
          <w:p w:rsidR="008E7846" w:rsidRPr="00487162" w:rsidRDefault="00AF0081" w:rsidP="00E45619">
            <w:r>
              <w:t>Powder</w:t>
            </w:r>
            <w:r w:rsidR="00BF5E1E">
              <w:t xml:space="preserve"> for injection with diluent</w:t>
            </w:r>
            <w:r w:rsidR="008A106C">
              <w:t xml:space="preserve"> vial</w:t>
            </w:r>
          </w:p>
        </w:tc>
      </w:tr>
      <w:tr w:rsidR="008E7846" w:rsidRPr="00487162" w:rsidTr="006F4749">
        <w:trPr>
          <w:gridAfter w:val="1"/>
          <w:wAfter w:w="283" w:type="dxa"/>
        </w:trPr>
        <w:tc>
          <w:tcPr>
            <w:tcW w:w="2907" w:type="dxa"/>
          </w:tcPr>
          <w:p w:rsidR="008E7846" w:rsidRPr="00487162" w:rsidRDefault="00BF5E1E" w:rsidP="00E45619">
            <w:pPr>
              <w:rPr>
                <w:i/>
              </w:rPr>
            </w:pPr>
            <w:r>
              <w:rPr>
                <w:i/>
              </w:rPr>
              <w:t>Strengths:</w:t>
            </w:r>
          </w:p>
        </w:tc>
        <w:tc>
          <w:tcPr>
            <w:tcW w:w="6307" w:type="dxa"/>
          </w:tcPr>
          <w:p w:rsidR="008E7846" w:rsidRPr="00487162" w:rsidRDefault="00BF5E1E" w:rsidP="00E45619">
            <w:r>
              <w:t>1,000 mg</w:t>
            </w:r>
          </w:p>
        </w:tc>
      </w:tr>
      <w:tr w:rsidR="008E7846" w:rsidRPr="00487162" w:rsidTr="006F4749">
        <w:trPr>
          <w:gridAfter w:val="1"/>
          <w:wAfter w:w="283" w:type="dxa"/>
        </w:trPr>
        <w:tc>
          <w:tcPr>
            <w:tcW w:w="2907" w:type="dxa"/>
          </w:tcPr>
          <w:p w:rsidR="008E7846" w:rsidRPr="00487162" w:rsidRDefault="00BF5E1E" w:rsidP="00E45619">
            <w:pPr>
              <w:rPr>
                <w:i/>
              </w:rPr>
            </w:pPr>
            <w:r>
              <w:rPr>
                <w:i/>
              </w:rPr>
              <w:t>Containers</w:t>
            </w:r>
            <w:r w:rsidR="008E7846" w:rsidRPr="00487162">
              <w:rPr>
                <w:i/>
              </w:rPr>
              <w:t>:</w:t>
            </w:r>
          </w:p>
        </w:tc>
        <w:tc>
          <w:tcPr>
            <w:tcW w:w="6307" w:type="dxa"/>
          </w:tcPr>
          <w:p w:rsidR="008E7846" w:rsidRPr="00487162" w:rsidRDefault="00AF0081" w:rsidP="00E45619">
            <w:r>
              <w:t>vial</w:t>
            </w:r>
            <w:r w:rsidR="00BF5E1E">
              <w:t>s</w:t>
            </w:r>
          </w:p>
        </w:tc>
      </w:tr>
      <w:tr w:rsidR="008E7846" w:rsidRPr="00487162" w:rsidTr="006F4749">
        <w:trPr>
          <w:gridAfter w:val="1"/>
          <w:wAfter w:w="283" w:type="dxa"/>
        </w:trPr>
        <w:tc>
          <w:tcPr>
            <w:tcW w:w="2907" w:type="dxa"/>
          </w:tcPr>
          <w:p w:rsidR="008E7846" w:rsidRPr="00487162" w:rsidRDefault="008E7846" w:rsidP="00E45619">
            <w:pPr>
              <w:rPr>
                <w:i/>
              </w:rPr>
            </w:pPr>
            <w:r w:rsidRPr="00487162">
              <w:rPr>
                <w:i/>
              </w:rPr>
              <w:t xml:space="preserve">Pack </w:t>
            </w:r>
            <w:r w:rsidR="00BF5E1E">
              <w:rPr>
                <w:i/>
              </w:rPr>
              <w:t>size</w:t>
            </w:r>
            <w:r w:rsidRPr="00487162">
              <w:rPr>
                <w:i/>
              </w:rPr>
              <w:t>:</w:t>
            </w:r>
          </w:p>
        </w:tc>
        <w:tc>
          <w:tcPr>
            <w:tcW w:w="6307" w:type="dxa"/>
          </w:tcPr>
          <w:p w:rsidR="008E7846" w:rsidRPr="00487162" w:rsidRDefault="00BF5E1E" w:rsidP="00E45619">
            <w:r>
              <w:t xml:space="preserve">1 vial with diluent </w:t>
            </w:r>
            <w:r w:rsidRPr="00F634F0">
              <w:t>vial</w:t>
            </w:r>
            <w:r w:rsidR="00F85BF0" w:rsidRPr="00F634F0">
              <w:t xml:space="preserve"> and two needles</w:t>
            </w:r>
          </w:p>
        </w:tc>
      </w:tr>
      <w:tr w:rsidR="008E7846" w:rsidRPr="00487162" w:rsidTr="006F4749">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BF5E1E" w:rsidRPr="00BF5E1E" w:rsidRDefault="00F634F0" w:rsidP="00BF5E1E">
            <w:pPr>
              <w:rPr>
                <w:i/>
              </w:rPr>
            </w:pPr>
            <w:r>
              <w:rPr>
                <w:i/>
              </w:rPr>
              <w:t>Prolastin</w:t>
            </w:r>
            <w:r w:rsidR="00BF5E1E" w:rsidRPr="00BF5E1E">
              <w:rPr>
                <w:i/>
              </w:rPr>
              <w:t>-C is an alpha-1-proteinase inhibitor (human, Alpha1-PI) indicated to increase serum Alpha1-PI levels in adults with congenital deficiency of alpha-1 antitrypsin and with clinically significant emphysema (FEV1 &lt; 80%).</w:t>
            </w:r>
          </w:p>
          <w:p w:rsidR="00BF5E1E" w:rsidRPr="00BF5E1E" w:rsidRDefault="00BF5E1E" w:rsidP="00BF5E1E">
            <w:pPr>
              <w:rPr>
                <w:i/>
              </w:rPr>
            </w:pPr>
            <w:r w:rsidRPr="00BF5E1E">
              <w:rPr>
                <w:i/>
              </w:rPr>
              <w:t xml:space="preserve">The data for clinical efficacy of </w:t>
            </w:r>
            <w:r w:rsidR="00F634F0">
              <w:rPr>
                <w:i/>
              </w:rPr>
              <w:t>Prolastin</w:t>
            </w:r>
            <w:r w:rsidRPr="00BF5E1E">
              <w:rPr>
                <w:i/>
              </w:rPr>
              <w:t>-C is derived from changes in the biomarkers alpha-1 anti-protease level and CT lung density. Efficacy on FEV1 or patient relevant endpoints such as quality of life or pulmonary exacerbations has not been established in randomised clinical trials.</w:t>
            </w:r>
          </w:p>
          <w:p w:rsidR="008E7846" w:rsidRPr="00BF5E1E" w:rsidRDefault="00BF5E1E" w:rsidP="00BF5E1E">
            <w:pPr>
              <w:rPr>
                <w:rFonts w:eastAsia="MS Mincho"/>
                <w:i/>
                <w:lang w:eastAsia="ja-JP"/>
              </w:rPr>
            </w:pPr>
            <w:r w:rsidRPr="00BF5E1E">
              <w:rPr>
                <w:i/>
              </w:rPr>
              <w:t>Clinical trials have only included patients who were not smoking.</w:t>
            </w:r>
          </w:p>
        </w:tc>
      </w:tr>
      <w:tr w:rsidR="008E7846" w:rsidRPr="00487162" w:rsidTr="006F4749">
        <w:trPr>
          <w:gridAfter w:val="1"/>
          <w:wAfter w:w="283" w:type="dxa"/>
        </w:trPr>
        <w:tc>
          <w:tcPr>
            <w:tcW w:w="2907" w:type="dxa"/>
          </w:tcPr>
          <w:p w:rsidR="008E7846" w:rsidRPr="00487162" w:rsidRDefault="00BF5E1E" w:rsidP="00E45619">
            <w:pPr>
              <w:rPr>
                <w:i/>
              </w:rPr>
            </w:pPr>
            <w:r>
              <w:rPr>
                <w:i/>
              </w:rPr>
              <w:t>Route</w:t>
            </w:r>
            <w:r w:rsidR="008E7846" w:rsidRPr="00487162">
              <w:rPr>
                <w:i/>
              </w:rPr>
              <w:t xml:space="preserve"> of administration:</w:t>
            </w:r>
          </w:p>
        </w:tc>
        <w:tc>
          <w:tcPr>
            <w:tcW w:w="6307" w:type="dxa"/>
          </w:tcPr>
          <w:p w:rsidR="008E7846" w:rsidRPr="00487162" w:rsidRDefault="00AF0081" w:rsidP="00E45619">
            <w:r>
              <w:t>Intravenous infusion</w:t>
            </w:r>
          </w:p>
        </w:tc>
      </w:tr>
      <w:tr w:rsidR="008E7846" w:rsidRPr="00487162" w:rsidTr="006F4749">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Pr="00487162" w:rsidRDefault="00F85BF0" w:rsidP="00E45619">
            <w:r w:rsidRPr="00F85BF0">
              <w:t>The recommended dose of Prolastin-C is 60 mg/kg body weight administ</w:t>
            </w:r>
            <w:r>
              <w:t>ered intravenously once weekly. For further details see the Product Information.</w:t>
            </w:r>
          </w:p>
        </w:tc>
      </w:tr>
      <w:tr w:rsidR="008E7846" w:rsidRPr="00487162" w:rsidTr="006F4749">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00F85BF0">
              <w:rPr>
                <w:i/>
              </w:rPr>
              <w:t>umber</w:t>
            </w:r>
            <w:r w:rsidR="001B5C90">
              <w:rPr>
                <w:i/>
              </w:rPr>
              <w:t>:</w:t>
            </w:r>
          </w:p>
        </w:tc>
        <w:tc>
          <w:tcPr>
            <w:tcW w:w="6307" w:type="dxa"/>
          </w:tcPr>
          <w:p w:rsidR="008E7846" w:rsidRPr="00487162" w:rsidRDefault="00BF5E1E" w:rsidP="00E45619">
            <w:r>
              <w:t>234553</w:t>
            </w:r>
          </w:p>
        </w:tc>
      </w:tr>
    </w:tbl>
    <w:p w:rsidR="000A58C5" w:rsidRDefault="008E7846" w:rsidP="00BD2431">
      <w:pPr>
        <w:pStyle w:val="Heading3"/>
      </w:pPr>
      <w:bookmarkStart w:id="13" w:name="_Toc247691503"/>
      <w:bookmarkStart w:id="14" w:name="_Toc314842484"/>
      <w:bookmarkStart w:id="15" w:name="_Toc497296891"/>
      <w:r>
        <w:t>Product background</w:t>
      </w:r>
      <w:bookmarkEnd w:id="13"/>
      <w:bookmarkEnd w:id="14"/>
      <w:bookmarkEnd w:id="15"/>
    </w:p>
    <w:p w:rsidR="008E7846" w:rsidRDefault="00940A89" w:rsidP="00940A89">
      <w:r w:rsidRPr="00940A89">
        <w:t>This AusPAR describes the application by</w:t>
      </w:r>
      <w:r w:rsidR="000157AB" w:rsidRPr="000157AB">
        <w:t xml:space="preserve"> </w:t>
      </w:r>
      <w:proofErr w:type="spellStart"/>
      <w:r w:rsidR="000157AB" w:rsidRPr="00AF0081">
        <w:t>Grifols</w:t>
      </w:r>
      <w:proofErr w:type="spellEnd"/>
      <w:r w:rsidR="000157AB" w:rsidRPr="00AF0081">
        <w:t xml:space="preserve"> Australia Pty Ltd</w:t>
      </w:r>
      <w:r w:rsidR="000157AB" w:rsidRPr="00940A89">
        <w:t xml:space="preserve"> </w:t>
      </w:r>
      <w:r w:rsidR="000157AB">
        <w:t>(</w:t>
      </w:r>
      <w:r w:rsidRPr="00940A89">
        <w:t>the sponsor</w:t>
      </w:r>
      <w:r w:rsidR="000157AB">
        <w:t>)</w:t>
      </w:r>
      <w:r w:rsidRPr="00940A89">
        <w:t xml:space="preserve"> to register </w:t>
      </w:r>
      <w:r w:rsidR="00BD2431">
        <w:t xml:space="preserve">Prolastin-C, </w:t>
      </w:r>
      <w:r w:rsidR="009F31FF">
        <w:t>alpha</w:t>
      </w:r>
      <w:r w:rsidR="000157AB" w:rsidRPr="009F31FF">
        <w:rPr>
          <w:vertAlign w:val="subscript"/>
        </w:rPr>
        <w:t>1</w:t>
      </w:r>
      <w:r w:rsidR="000157AB">
        <w:t>-proteinase inhibitor</w:t>
      </w:r>
      <w:r w:rsidRPr="00940A89">
        <w:t xml:space="preserve"> </w:t>
      </w:r>
      <w:r w:rsidR="000157AB">
        <w:t>1,000 mg</w:t>
      </w:r>
      <w:r w:rsidR="000157AB" w:rsidRPr="00940A89">
        <w:t xml:space="preserve"> </w:t>
      </w:r>
      <w:r w:rsidR="000157AB">
        <w:t>powder for injection with diluent vial for the following indication;</w:t>
      </w:r>
    </w:p>
    <w:p w:rsidR="00BD2431" w:rsidRPr="000A7689" w:rsidRDefault="000157AB" w:rsidP="000A7689">
      <w:pPr>
        <w:ind w:left="720"/>
        <w:rPr>
          <w:i/>
        </w:rPr>
      </w:pPr>
      <w:r w:rsidRPr="000157AB">
        <w:rPr>
          <w:i/>
        </w:rPr>
        <w:lastRenderedPageBreak/>
        <w:t>P</w:t>
      </w:r>
      <w:r w:rsidR="00F634F0" w:rsidRPr="000157AB">
        <w:rPr>
          <w:i/>
        </w:rPr>
        <w:t>rolastin</w:t>
      </w:r>
      <w:r w:rsidRPr="000157AB">
        <w:rPr>
          <w:i/>
        </w:rPr>
        <w:t>-C is indicated for chronic augmentation therapy of individuals with congenital deficiency of alpha PI (alpha 1 antitrypsin deficiency) with clinically demonstrable emphysema.</w:t>
      </w:r>
    </w:p>
    <w:p w:rsidR="00BD2431" w:rsidRDefault="00BD2431" w:rsidP="004B700A">
      <w:r>
        <w:t>Alpha-</w:t>
      </w:r>
      <w:r w:rsidRPr="000157AB">
        <w:t xml:space="preserve">1 </w:t>
      </w:r>
      <w:r w:rsidR="008A106C">
        <w:t>proteinase inhibitor (a</w:t>
      </w:r>
      <w:r>
        <w:t>lpha</w:t>
      </w:r>
      <w:r w:rsidRPr="00BD2431">
        <w:rPr>
          <w:vertAlign w:val="subscript"/>
        </w:rPr>
        <w:t>1</w:t>
      </w:r>
      <w:r>
        <w:t xml:space="preserve">-PI) </w:t>
      </w:r>
      <w:r w:rsidR="00B925EA">
        <w:t>(also referred to as alpha-1 antitrypsin (AAT))</w:t>
      </w:r>
      <w:r w:rsidR="009F31FF">
        <w:t xml:space="preserve"> </w:t>
      </w:r>
      <w:r w:rsidRPr="000157AB">
        <w:t>is a protease inhibitor of the enzyme elastase, and also other enzymes including trypsin, chymotryps</w:t>
      </w:r>
      <w:r>
        <w:t>in, C-1 inhibitor and thrombin.</w:t>
      </w:r>
    </w:p>
    <w:p w:rsidR="000157AB" w:rsidRPr="000A7689" w:rsidRDefault="004B700A" w:rsidP="000157AB">
      <w:r w:rsidRPr="00545999">
        <w:t>Alpha</w:t>
      </w:r>
      <w:r w:rsidRPr="00545999">
        <w:rPr>
          <w:vertAlign w:val="subscript"/>
        </w:rPr>
        <w:t>1</w:t>
      </w:r>
      <w:r w:rsidRPr="00545999">
        <w:t xml:space="preserve">-PI </w:t>
      </w:r>
      <w:r w:rsidRPr="000A7689">
        <w:t>deficiency (</w:t>
      </w:r>
      <w:r w:rsidR="00B925EA">
        <w:t xml:space="preserve">also referred to as </w:t>
      </w:r>
      <w:r w:rsidRPr="000A7689">
        <w:t>alpha-1-antitrypsin deficiency, AAT</w:t>
      </w:r>
      <w:r w:rsidR="00545999" w:rsidRPr="000A7689">
        <w:t>D</w:t>
      </w:r>
      <w:r w:rsidRPr="000A7689">
        <w:t xml:space="preserve">) </w:t>
      </w:r>
      <w:r w:rsidR="00545999" w:rsidRPr="000A7689">
        <w:t xml:space="preserve">is inherited as an autosomal co-dominant disorder. Affected individuals have inherited an abnormal AAT gene from each parent. Only some alleles are associated with clinically apparent AATD. Approximately 95% of all severely </w:t>
      </w:r>
      <w:r w:rsidR="009F31FF">
        <w:t>a</w:t>
      </w:r>
      <w:r w:rsidR="00545999" w:rsidRPr="000A7689">
        <w:t>lpha</w:t>
      </w:r>
      <w:r w:rsidR="00545999" w:rsidRPr="00B925EA">
        <w:rPr>
          <w:vertAlign w:val="subscript"/>
        </w:rPr>
        <w:t>1</w:t>
      </w:r>
      <w:r w:rsidR="00545999" w:rsidRPr="000A7689">
        <w:t xml:space="preserve">-PI deficient patients are homozygous for the </w:t>
      </w:r>
      <w:proofErr w:type="spellStart"/>
      <w:r w:rsidR="00545999" w:rsidRPr="000A7689">
        <w:t>PiZ</w:t>
      </w:r>
      <w:proofErr w:type="spellEnd"/>
      <w:r w:rsidR="00545999" w:rsidRPr="000A7689">
        <w:t xml:space="preserve"> allele. Individuals with the </w:t>
      </w:r>
      <w:proofErr w:type="spellStart"/>
      <w:r w:rsidR="00545999" w:rsidRPr="000A7689">
        <w:t>PiZZ</w:t>
      </w:r>
      <w:proofErr w:type="spellEnd"/>
      <w:r w:rsidR="00545999" w:rsidRPr="000A7689">
        <w:t xml:space="preserve"> variant typically have serum </w:t>
      </w:r>
      <w:r w:rsidR="009F31FF">
        <w:t>a</w:t>
      </w:r>
      <w:r w:rsidR="00545999" w:rsidRPr="000A7689">
        <w:t>lpha</w:t>
      </w:r>
      <w:r w:rsidR="00545999" w:rsidRPr="00B925EA">
        <w:rPr>
          <w:vertAlign w:val="subscript"/>
        </w:rPr>
        <w:t>1</w:t>
      </w:r>
      <w:r w:rsidR="00545999" w:rsidRPr="000A7689">
        <w:t>-PI levels less than 35% of the average normal level. Individuals with the Pi</w:t>
      </w:r>
      <w:r w:rsidR="003E6B11" w:rsidRPr="000A7689">
        <w:t xml:space="preserve"> </w:t>
      </w:r>
      <w:r w:rsidR="00545999" w:rsidRPr="000A7689">
        <w:t>(null</w:t>
      </w:r>
      <w:proofErr w:type="gramStart"/>
      <w:r w:rsidR="00545999" w:rsidRPr="000A7689">
        <w:t>)(</w:t>
      </w:r>
      <w:proofErr w:type="gramEnd"/>
      <w:r w:rsidR="00545999" w:rsidRPr="000A7689">
        <w:t>n</w:t>
      </w:r>
      <w:r w:rsidR="009F31FF">
        <w:t>ull) variant have undetectable a</w:t>
      </w:r>
      <w:r w:rsidR="00545999" w:rsidRPr="000A7689">
        <w:t>lpha</w:t>
      </w:r>
      <w:r w:rsidR="00545999" w:rsidRPr="00B925EA">
        <w:rPr>
          <w:vertAlign w:val="subscript"/>
        </w:rPr>
        <w:t>1</w:t>
      </w:r>
      <w:r w:rsidR="00545999" w:rsidRPr="000A7689">
        <w:t>-PI protein in their serum. In</w:t>
      </w:r>
      <w:r w:rsidR="009F31FF">
        <w:t>dividuals with these low serum a</w:t>
      </w:r>
      <w:r w:rsidR="00545999" w:rsidRPr="000A7689">
        <w:t>lpha</w:t>
      </w:r>
      <w:r w:rsidR="00545999" w:rsidRPr="00B925EA">
        <w:rPr>
          <w:vertAlign w:val="subscript"/>
        </w:rPr>
        <w:t>1</w:t>
      </w:r>
      <w:r w:rsidR="00545999" w:rsidRPr="000A7689">
        <w:t>-PI levels</w:t>
      </w:r>
      <w:r w:rsidR="000A7689">
        <w:t xml:space="preserve"> that is</w:t>
      </w:r>
      <w:r w:rsidR="00545999" w:rsidRPr="000A7689">
        <w:t xml:space="preserve">, less than 11 </w:t>
      </w:r>
      <w:r w:rsidR="003E6B11" w:rsidRPr="000A7689">
        <w:t>µ</w:t>
      </w:r>
      <w:r w:rsidR="00545999" w:rsidRPr="000A7689">
        <w:t>M, have a markedly increased risk for developing emphysema over their lifetimes.</w:t>
      </w:r>
      <w:r w:rsidR="003E6B11" w:rsidRPr="000A7689">
        <w:t xml:space="preserve"> The lung disease in AATD is </w:t>
      </w:r>
      <w:r w:rsidR="00E742F6">
        <w:t>associated with</w:t>
      </w:r>
      <w:r w:rsidR="003E6B11" w:rsidRPr="000A7689">
        <w:t xml:space="preserve"> too much elastase (</w:t>
      </w:r>
      <w:r w:rsidR="002A2ABD">
        <w:t>for example</w:t>
      </w:r>
      <w:r w:rsidR="00505217">
        <w:t xml:space="preserve">, </w:t>
      </w:r>
      <w:r w:rsidR="00E742F6">
        <w:t xml:space="preserve">from exposure to </w:t>
      </w:r>
      <w:r w:rsidR="00505217">
        <w:t>pollutants</w:t>
      </w:r>
      <w:r w:rsidR="00E742F6">
        <w:t>,</w:t>
      </w:r>
      <w:r w:rsidR="006F4749">
        <w:t xml:space="preserve"> </w:t>
      </w:r>
      <w:r w:rsidR="003E6B11" w:rsidRPr="000A7689">
        <w:t>smoking</w:t>
      </w:r>
      <w:r w:rsidR="00E742F6">
        <w:t>,</w:t>
      </w:r>
      <w:r w:rsidR="003E6B11" w:rsidRPr="000A7689">
        <w:t xml:space="preserve"> or</w:t>
      </w:r>
      <w:r w:rsidR="00505217">
        <w:t>,</w:t>
      </w:r>
      <w:r w:rsidR="003E6B11" w:rsidRPr="000A7689">
        <w:t xml:space="preserve"> infection) and of insufficient protease inhibitor. A small proportion of patients with </w:t>
      </w:r>
      <w:r w:rsidR="00B925EA">
        <w:t>chronic obstructive pulmonary disease (</w:t>
      </w:r>
      <w:r w:rsidR="003E6B11" w:rsidRPr="000A7689">
        <w:t>COPD</w:t>
      </w:r>
      <w:r w:rsidR="00B925EA">
        <w:t>)</w:t>
      </w:r>
      <w:r w:rsidR="003E6B11" w:rsidRPr="000A7689">
        <w:t xml:space="preserve"> have AATD.</w:t>
      </w:r>
    </w:p>
    <w:p w:rsidR="000157AB" w:rsidRDefault="000157AB" w:rsidP="000157AB">
      <w:r w:rsidRPr="000157AB">
        <w:t xml:space="preserve">In healthy individuals, </w:t>
      </w:r>
      <w:r w:rsidR="009F31FF">
        <w:t>a</w:t>
      </w:r>
      <w:r w:rsidR="000A7689">
        <w:t>lpha</w:t>
      </w:r>
      <w:r w:rsidR="000A7689" w:rsidRPr="00BD2431">
        <w:rPr>
          <w:vertAlign w:val="subscript"/>
        </w:rPr>
        <w:t>1</w:t>
      </w:r>
      <w:r w:rsidR="000A7689">
        <w:t>-PI</w:t>
      </w:r>
      <w:r w:rsidRPr="000A7689">
        <w:rPr>
          <w:i/>
        </w:rPr>
        <w:t xml:space="preserve"> </w:t>
      </w:r>
      <w:r w:rsidRPr="000A7689">
        <w:t>is</w:t>
      </w:r>
      <w:r w:rsidRPr="000157AB">
        <w:t xml:space="preserve"> mainly produced in the liver and reaches the lungs by diffusion from the circulation and by local production in macrophages and bronchial epithelial cells. </w:t>
      </w:r>
      <w:r w:rsidR="00B925EA">
        <w:t>Alpha</w:t>
      </w:r>
      <w:r w:rsidR="00B925EA" w:rsidRPr="00BD2431">
        <w:rPr>
          <w:vertAlign w:val="subscript"/>
        </w:rPr>
        <w:t>1</w:t>
      </w:r>
      <w:r w:rsidR="00B925EA">
        <w:t>-PI</w:t>
      </w:r>
      <w:r w:rsidRPr="000157AB">
        <w:t xml:space="preserve"> provides over 90% of the defence against the </w:t>
      </w:r>
      <w:proofErr w:type="spellStart"/>
      <w:r w:rsidRPr="000157AB">
        <w:t>elastolytic</w:t>
      </w:r>
      <w:proofErr w:type="spellEnd"/>
      <w:r w:rsidRPr="000157AB">
        <w:t xml:space="preserve"> burden in the lower airways posed by neutrophil elastase.</w:t>
      </w:r>
    </w:p>
    <w:p w:rsidR="003E6B11" w:rsidRPr="003E6B11" w:rsidRDefault="003E6B11" w:rsidP="003E6B11">
      <w:r w:rsidRPr="003E6B11">
        <w:t>Augmenting the levels of functional protease inhibitor by intravenous infusion is an approac</w:t>
      </w:r>
      <w:r w:rsidR="009F31FF">
        <w:t>h to therapy for patients with a</w:t>
      </w:r>
      <w:r w:rsidRPr="003E6B11">
        <w:t>lpha</w:t>
      </w:r>
      <w:r w:rsidRPr="00B925EA">
        <w:rPr>
          <w:vertAlign w:val="subscript"/>
        </w:rPr>
        <w:t>1</w:t>
      </w:r>
      <w:r w:rsidRPr="003E6B11">
        <w:t xml:space="preserve">-PI deficiency. The intended goal is to provide protection to the lower respiratory tract by correcting the imbalance between neutrophil elastase and protease inhibitors. The maintenance of blood serum levels of </w:t>
      </w:r>
      <w:r w:rsidR="009F31FF">
        <w:t>a</w:t>
      </w:r>
      <w:r w:rsidRPr="003E6B11">
        <w:t>lpha</w:t>
      </w:r>
      <w:r w:rsidRPr="00FD166D">
        <w:rPr>
          <w:vertAlign w:val="subscript"/>
        </w:rPr>
        <w:t>1</w:t>
      </w:r>
      <w:r w:rsidR="008A106C">
        <w:t>-PI</w:t>
      </w:r>
      <w:r w:rsidRPr="003E6B11">
        <w:t xml:space="preserve"> above 11 </w:t>
      </w:r>
      <w:r w:rsidR="00FD166D">
        <w:t>µ</w:t>
      </w:r>
      <w:r w:rsidRPr="003E6B11">
        <w:t xml:space="preserve">M has been historically postulated to provide therapeutically relevant anti-neutrophil elastase protection. Individuals with severe </w:t>
      </w:r>
      <w:r w:rsidR="009F31FF">
        <w:t>a</w:t>
      </w:r>
      <w:r w:rsidRPr="003E6B11">
        <w:t>lpha</w:t>
      </w:r>
      <w:r w:rsidRPr="00FD166D">
        <w:rPr>
          <w:vertAlign w:val="subscript"/>
        </w:rPr>
        <w:t>1</w:t>
      </w:r>
      <w:r w:rsidR="009F31FF">
        <w:t>-</w:t>
      </w:r>
      <w:r w:rsidRPr="003E6B11">
        <w:t xml:space="preserve">PI deficiency have been shown to have increased neutrophil and neutrophil elastase concentrations in lung epithelial lining fluid compared to normal </w:t>
      </w:r>
      <w:proofErr w:type="spellStart"/>
      <w:r w:rsidRPr="003E6B11">
        <w:t>PiMM</w:t>
      </w:r>
      <w:proofErr w:type="spellEnd"/>
      <w:r w:rsidRPr="003E6B11">
        <w:t xml:space="preserve"> individuals, and some </w:t>
      </w:r>
      <w:proofErr w:type="spellStart"/>
      <w:r w:rsidRPr="003E6B11">
        <w:t>PiSZ</w:t>
      </w:r>
      <w:proofErr w:type="spellEnd"/>
      <w:r w:rsidRPr="003E6B11">
        <w:t xml:space="preserve"> individuals with </w:t>
      </w:r>
      <w:r w:rsidR="009F31FF">
        <w:t>a</w:t>
      </w:r>
      <w:r w:rsidRPr="003E6B11">
        <w:t>lpha</w:t>
      </w:r>
      <w:r w:rsidRPr="00FD166D">
        <w:rPr>
          <w:vertAlign w:val="subscript"/>
        </w:rPr>
        <w:t>1</w:t>
      </w:r>
      <w:r w:rsidRPr="003E6B11">
        <w:t xml:space="preserve">-PI </w:t>
      </w:r>
      <w:r w:rsidR="00FD166D">
        <w:t>less than</w:t>
      </w:r>
      <w:r w:rsidRPr="003E6B11">
        <w:t xml:space="preserve"> 11 </w:t>
      </w:r>
      <w:r w:rsidR="004B3DF9">
        <w:t>µ</w:t>
      </w:r>
      <w:r w:rsidR="009F31FF">
        <w:t>M have emphysema attributed to a</w:t>
      </w:r>
      <w:r w:rsidRPr="003E6B11">
        <w:t>lpha</w:t>
      </w:r>
      <w:r w:rsidRPr="00FD166D">
        <w:rPr>
          <w:vertAlign w:val="subscript"/>
        </w:rPr>
        <w:t>1</w:t>
      </w:r>
      <w:r w:rsidRPr="003E6B11">
        <w:t>-PI deficiency.</w:t>
      </w:r>
    </w:p>
    <w:p w:rsidR="000157AB" w:rsidRPr="000157AB" w:rsidRDefault="000157AB" w:rsidP="000157AB">
      <w:r w:rsidRPr="000157AB">
        <w:t>P</w:t>
      </w:r>
      <w:r w:rsidR="00F634F0" w:rsidRPr="000157AB">
        <w:t>rolastin</w:t>
      </w:r>
      <w:r w:rsidRPr="000157AB">
        <w:t xml:space="preserve">-C is a </w:t>
      </w:r>
      <w:r w:rsidR="009F31FF">
        <w:t xml:space="preserve">human </w:t>
      </w:r>
      <w:r w:rsidRPr="000157AB">
        <w:t xml:space="preserve">plasma derived </w:t>
      </w:r>
      <w:r w:rsidR="009F31FF">
        <w:t>alpha</w:t>
      </w:r>
      <w:r w:rsidR="00FD166D" w:rsidRPr="009F31FF">
        <w:rPr>
          <w:vertAlign w:val="subscript"/>
        </w:rPr>
        <w:t>1</w:t>
      </w:r>
      <w:r w:rsidR="009F31FF">
        <w:t>-PI</w:t>
      </w:r>
      <w:r w:rsidR="00FD166D">
        <w:t>.</w:t>
      </w:r>
      <w:r w:rsidRPr="000157AB">
        <w:t xml:space="preserve"> </w:t>
      </w:r>
      <w:r w:rsidR="00F634F0">
        <w:t>Prolastin</w:t>
      </w:r>
      <w:r w:rsidRPr="000157AB">
        <w:t xml:space="preserve">–C differs from </w:t>
      </w:r>
      <w:r w:rsidR="00FD166D">
        <w:t xml:space="preserve">the earlier versions of </w:t>
      </w:r>
      <w:r w:rsidR="00F634F0">
        <w:t>Prolastin</w:t>
      </w:r>
      <w:r w:rsidRPr="000157AB">
        <w:t xml:space="preserve"> in that the production process has been refined and incorporates additional steps such as cation exchange chromatography and </w:t>
      </w:r>
      <w:proofErr w:type="spellStart"/>
      <w:r w:rsidRPr="000157AB">
        <w:t>nanofiltration</w:t>
      </w:r>
      <w:proofErr w:type="spellEnd"/>
      <w:r w:rsidRPr="000157AB">
        <w:t xml:space="preserve">. The modified process </w:t>
      </w:r>
      <w:r w:rsidR="00F634F0">
        <w:t>has the following advantages</w:t>
      </w:r>
      <w:r w:rsidR="00505217">
        <w:t>:</w:t>
      </w:r>
      <w:r w:rsidR="00505217" w:rsidRPr="000157AB">
        <w:t xml:space="preserve"> </w:t>
      </w:r>
      <w:r w:rsidRPr="000157AB">
        <w:t xml:space="preserve">increased quantity of </w:t>
      </w:r>
      <w:r w:rsidR="009F31FF">
        <w:t>a</w:t>
      </w:r>
      <w:r w:rsidR="00FD166D">
        <w:t>lpha</w:t>
      </w:r>
      <w:r w:rsidRPr="00FD166D">
        <w:rPr>
          <w:vertAlign w:val="subscript"/>
        </w:rPr>
        <w:t>1</w:t>
      </w:r>
      <w:r w:rsidR="009F31FF">
        <w:noBreakHyphen/>
      </w:r>
      <w:r w:rsidRPr="000157AB">
        <w:t>PI that c</w:t>
      </w:r>
      <w:r w:rsidR="008A106C">
        <w:t>an be extracted per mL</w:t>
      </w:r>
      <w:r w:rsidRPr="000157AB">
        <w:t xml:space="preserve"> of plasma (therefore more efficient use o</w:t>
      </w:r>
      <w:r w:rsidR="00505217">
        <w:t>f</w:t>
      </w:r>
      <w:r w:rsidRPr="000157AB">
        <w:t xml:space="preserve"> a scar</w:t>
      </w:r>
      <w:r w:rsidR="002F460D">
        <w:t>c</w:t>
      </w:r>
      <w:r w:rsidRPr="000157AB">
        <w:t>e resource), and a higher concentration of solution (50</w:t>
      </w:r>
      <w:r w:rsidR="00F634F0">
        <w:t xml:space="preserve"> </w:t>
      </w:r>
      <w:r w:rsidRPr="000157AB">
        <w:t>mg</w:t>
      </w:r>
      <w:r w:rsidR="00F634F0">
        <w:t>/mL</w:t>
      </w:r>
      <w:r w:rsidRPr="000157AB">
        <w:t xml:space="preserve">) therefore lower </w:t>
      </w:r>
      <w:r w:rsidR="00F634F0">
        <w:t>fluid volume and infusion time.</w:t>
      </w:r>
    </w:p>
    <w:p w:rsidR="008E7846" w:rsidRPr="003F31A2" w:rsidRDefault="00386150" w:rsidP="008E7846">
      <w:pPr>
        <w:pStyle w:val="Heading3"/>
      </w:pPr>
      <w:bookmarkStart w:id="16" w:name="_Toc314842485"/>
      <w:bookmarkStart w:id="17" w:name="_Toc247691504"/>
      <w:bookmarkStart w:id="18" w:name="_Toc497296892"/>
      <w:r>
        <w:t>Regulatory s</w:t>
      </w:r>
      <w:r w:rsidR="008E7846">
        <w:t>tatus</w:t>
      </w:r>
      <w:bookmarkEnd w:id="16"/>
      <w:bookmarkEnd w:id="17"/>
      <w:bookmarkEnd w:id="18"/>
    </w:p>
    <w:p w:rsidR="00940A89" w:rsidRPr="00940A89" w:rsidRDefault="00940A89" w:rsidP="00940A89">
      <w:bookmarkStart w:id="19" w:name="_Toc247691505"/>
      <w:bookmarkStart w:id="20" w:name="_Toc314842486"/>
      <w:r w:rsidRPr="00940A89">
        <w:t>The product received initial registration on the Australian Register</w:t>
      </w:r>
      <w:r w:rsidR="00922B8B">
        <w:t xml:space="preserve"> of Therapeutic Goods (ARTG) on 10 November 2016.</w:t>
      </w:r>
    </w:p>
    <w:p w:rsidR="000157AB" w:rsidRDefault="000157AB" w:rsidP="000157AB">
      <w:r>
        <w:t xml:space="preserve">Overseas registration of </w:t>
      </w:r>
      <w:r w:rsidR="00F634F0">
        <w:t>Prolastin</w:t>
      </w:r>
      <w:r>
        <w:t xml:space="preserve"> in the 1980s was based on showing that plasma concentrations </w:t>
      </w:r>
      <w:r w:rsidRPr="007D3037">
        <w:t xml:space="preserve">of </w:t>
      </w:r>
      <w:r w:rsidR="009F31FF">
        <w:t>a</w:t>
      </w:r>
      <w:r w:rsidR="00FD166D">
        <w:t>lpha</w:t>
      </w:r>
      <w:r w:rsidRPr="00FD166D">
        <w:rPr>
          <w:vertAlign w:val="subscript"/>
        </w:rPr>
        <w:t>1</w:t>
      </w:r>
      <w:r w:rsidR="00FD166D">
        <w:t>-PI</w:t>
      </w:r>
      <w:r w:rsidRPr="007D3037">
        <w:t xml:space="preserve"> rose </w:t>
      </w:r>
      <w:proofErr w:type="gramStart"/>
      <w:r w:rsidRPr="007D3037">
        <w:t xml:space="preserve">to at least 11 </w:t>
      </w:r>
      <w:r w:rsidR="00F634F0">
        <w:t>µ</w:t>
      </w:r>
      <w:r w:rsidRPr="007D3037">
        <w:t>M/L.</w:t>
      </w:r>
      <w:proofErr w:type="gramEnd"/>
      <w:r w:rsidRPr="007D3037">
        <w:t xml:space="preserve"> A registry</w:t>
      </w:r>
      <w:r>
        <w:t xml:space="preserve"> </w:t>
      </w:r>
      <w:r w:rsidRPr="007D3037">
        <w:t xml:space="preserve">for patients with </w:t>
      </w:r>
      <w:r w:rsidR="00FD166D">
        <w:t>AATD</w:t>
      </w:r>
      <w:r w:rsidRPr="007D3037">
        <w:t xml:space="preserve"> was established in North America </w:t>
      </w:r>
      <w:r>
        <w:t xml:space="preserve">to gather clinical data. </w:t>
      </w:r>
      <w:r w:rsidRPr="007D3037">
        <w:t>Other alpha</w:t>
      </w:r>
      <w:r w:rsidR="009F31FF" w:rsidRPr="009F31FF">
        <w:rPr>
          <w:vertAlign w:val="subscript"/>
        </w:rPr>
        <w:t>1</w:t>
      </w:r>
      <w:r w:rsidR="009F31FF">
        <w:t xml:space="preserve">-PI </w:t>
      </w:r>
      <w:r w:rsidRPr="007D3037">
        <w:t>products (</w:t>
      </w:r>
      <w:proofErr w:type="spellStart"/>
      <w:r w:rsidRPr="007D3037">
        <w:t>Z</w:t>
      </w:r>
      <w:r w:rsidR="00F634F0" w:rsidRPr="007D3037">
        <w:t>emair</w:t>
      </w:r>
      <w:r w:rsidR="00A95318">
        <w:t>a</w:t>
      </w:r>
      <w:proofErr w:type="spellEnd"/>
      <w:r w:rsidRPr="007D3037">
        <w:t xml:space="preserve">, </w:t>
      </w:r>
      <w:proofErr w:type="spellStart"/>
      <w:r w:rsidRPr="007D3037">
        <w:t>A</w:t>
      </w:r>
      <w:r w:rsidR="00F634F0" w:rsidRPr="007D3037">
        <w:t>ral</w:t>
      </w:r>
      <w:r w:rsidR="00A95318">
        <w:t>a</w:t>
      </w:r>
      <w:r w:rsidR="00F634F0" w:rsidRPr="007D3037">
        <w:t>st</w:t>
      </w:r>
      <w:proofErr w:type="spellEnd"/>
      <w:r w:rsidRPr="007D3037">
        <w:t xml:space="preserve">, </w:t>
      </w:r>
      <w:proofErr w:type="spellStart"/>
      <w:proofErr w:type="gramStart"/>
      <w:r w:rsidRPr="007D3037">
        <w:t>G</w:t>
      </w:r>
      <w:r w:rsidR="00F634F0" w:rsidRPr="007D3037">
        <w:t>lassia</w:t>
      </w:r>
      <w:proofErr w:type="spellEnd"/>
      <w:proofErr w:type="gramEnd"/>
      <w:r w:rsidRPr="007D3037">
        <w:t>) were registered in the US based on bioequivalence to Prolastin.</w:t>
      </w:r>
    </w:p>
    <w:p w:rsidR="000157AB" w:rsidRDefault="000157AB" w:rsidP="000157AB">
      <w:r>
        <w:t xml:space="preserve">Overseas registration of </w:t>
      </w:r>
      <w:r w:rsidR="00F634F0">
        <w:t>Prolastin</w:t>
      </w:r>
      <w:r>
        <w:t xml:space="preserve">-C was based on bio-equivalence to </w:t>
      </w:r>
      <w:r w:rsidR="00F634F0">
        <w:t>Prolastin</w:t>
      </w:r>
      <w:r>
        <w:t>.</w:t>
      </w:r>
    </w:p>
    <w:p w:rsidR="000157AB" w:rsidRDefault="00F634F0" w:rsidP="000157AB">
      <w:r>
        <w:t>Prolastin</w:t>
      </w:r>
      <w:r w:rsidR="000157AB">
        <w:t>-C is approved in the USA, Canada, Chile and Turkey.</w:t>
      </w:r>
    </w:p>
    <w:p w:rsidR="000157AB" w:rsidRDefault="000157AB" w:rsidP="00940A89">
      <w:r w:rsidRPr="007D3037">
        <w:lastRenderedPageBreak/>
        <w:t xml:space="preserve">In June 2015, the </w:t>
      </w:r>
      <w:r>
        <w:t>EMA</w:t>
      </w:r>
      <w:r w:rsidRPr="007D3037">
        <w:t xml:space="preserve"> approved the marketing of </w:t>
      </w:r>
      <w:proofErr w:type="spellStart"/>
      <w:r w:rsidRPr="007D3037">
        <w:t>Zemaira</w:t>
      </w:r>
      <w:proofErr w:type="spellEnd"/>
      <w:r w:rsidRPr="007D3037">
        <w:t xml:space="preserve"> (</w:t>
      </w:r>
      <w:proofErr w:type="spellStart"/>
      <w:r w:rsidRPr="007D3037">
        <w:t>Respreeza</w:t>
      </w:r>
      <w:proofErr w:type="spellEnd"/>
      <w:r w:rsidRPr="007D3037">
        <w:t xml:space="preserve">) </w:t>
      </w:r>
      <w:r w:rsidR="00FD166D">
        <w:t>alpha</w:t>
      </w:r>
      <w:r w:rsidR="00FD166D" w:rsidRPr="00FD166D">
        <w:rPr>
          <w:vertAlign w:val="subscript"/>
        </w:rPr>
        <w:t>1</w:t>
      </w:r>
      <w:r w:rsidR="00FD166D">
        <w:t>-</w:t>
      </w:r>
      <w:r w:rsidR="008A106C">
        <w:t>PI</w:t>
      </w:r>
      <w:r w:rsidR="00FD166D">
        <w:t xml:space="preserve"> </w:t>
      </w:r>
      <w:r w:rsidRPr="007D3037">
        <w:t>based on the results of the RAPID study (Phase</w:t>
      </w:r>
      <w:r w:rsidR="00F634F0">
        <w:t xml:space="preserve"> III </w:t>
      </w:r>
      <w:r w:rsidRPr="007D3037">
        <w:t xml:space="preserve">RCT with the primary endpoint of decline of </w:t>
      </w:r>
      <w:r w:rsidR="007B754C">
        <w:t>computed tomography</w:t>
      </w:r>
      <w:r w:rsidR="007B754C" w:rsidRPr="007D3037">
        <w:t xml:space="preserve"> </w:t>
      </w:r>
      <w:r w:rsidR="007B754C">
        <w:t>(</w:t>
      </w:r>
      <w:r w:rsidRPr="007D3037">
        <w:t>CT</w:t>
      </w:r>
      <w:r w:rsidR="007B754C">
        <w:t>)</w:t>
      </w:r>
      <w:r w:rsidRPr="007D3037">
        <w:t xml:space="preserve"> measured lung density)</w:t>
      </w:r>
      <w:r w:rsidRPr="006C41CA">
        <w:t>.</w:t>
      </w:r>
    </w:p>
    <w:p w:rsidR="00940A89" w:rsidRDefault="00940A89" w:rsidP="00940A89">
      <w:r w:rsidRPr="00940A89">
        <w:t>At the time the TGA considered this application, a similar application had b</w:t>
      </w:r>
      <w:r w:rsidR="00D67AC7">
        <w:t>een approved in: USA</w:t>
      </w:r>
      <w:r w:rsidRPr="00940A89">
        <w:t xml:space="preserve">, </w:t>
      </w:r>
      <w:r w:rsidR="00D67AC7">
        <w:t xml:space="preserve">2009; Argentina 2011; Canada 2010; Chile 2015; Columbia 2011; Puerto Rico 2009, Turkey 2014; </w:t>
      </w:r>
      <w:r w:rsidRPr="00940A89">
        <w:t>) was under co</w:t>
      </w:r>
      <w:r>
        <w:t>nsideration in (</w:t>
      </w:r>
      <w:r w:rsidR="00D67AC7">
        <w:t>Brazil, Uruguay</w:t>
      </w:r>
      <w:r>
        <w:t>).</w:t>
      </w:r>
    </w:p>
    <w:p w:rsidR="008E7846" w:rsidRDefault="008E7846" w:rsidP="00940A89">
      <w:pPr>
        <w:pStyle w:val="Heading3"/>
      </w:pPr>
      <w:bookmarkStart w:id="21" w:name="_Toc497296893"/>
      <w:r>
        <w:t>Product Information</w:t>
      </w:r>
      <w:bookmarkEnd w:id="19"/>
      <w:bookmarkEnd w:id="20"/>
      <w:bookmarkEnd w:id="21"/>
    </w:p>
    <w:p w:rsidR="00940A89" w:rsidRDefault="006136D7" w:rsidP="00940A89">
      <w:pPr>
        <w:rPr>
          <w:b/>
          <w:bCs/>
        </w:rPr>
      </w:pPr>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4" w:history="1">
        <w:r w:rsidR="00441C3F" w:rsidRPr="00441C3F">
          <w:rPr>
            <w:rStyle w:val="Hyperlink"/>
          </w:rPr>
          <w:t>https://www.tga.gov.au/product-information-pi</w:t>
        </w:r>
      </w:hyperlink>
      <w:r w:rsidR="00441C3F">
        <w:t>&gt;</w:t>
      </w:r>
      <w:r w:rsidR="00940A89" w:rsidRPr="00940A89">
        <w:t>.</w:t>
      </w:r>
    </w:p>
    <w:p w:rsidR="008E7846" w:rsidRPr="003602A9" w:rsidRDefault="008E7846" w:rsidP="008E7846">
      <w:pPr>
        <w:pStyle w:val="Heading2"/>
        <w:ind w:left="-11"/>
      </w:pPr>
      <w:bookmarkStart w:id="24" w:name="_Toc497296894"/>
      <w:r>
        <w:t>II. Quality</w:t>
      </w:r>
      <w:bookmarkEnd w:id="1"/>
      <w:r>
        <w:t xml:space="preserve"> findings</w:t>
      </w:r>
      <w:bookmarkEnd w:id="22"/>
      <w:bookmarkEnd w:id="23"/>
      <w:bookmarkEnd w:id="24"/>
    </w:p>
    <w:p w:rsidR="00940A89" w:rsidRDefault="00940A89" w:rsidP="00940A89">
      <w:pPr>
        <w:pStyle w:val="Heading3"/>
      </w:pPr>
      <w:bookmarkStart w:id="25" w:name="_Toc247691507"/>
      <w:bookmarkStart w:id="26" w:name="_Toc314842488"/>
      <w:bookmarkStart w:id="27" w:name="_Toc497296895"/>
      <w:r w:rsidRPr="00940A89">
        <w:t>Introduction</w:t>
      </w:r>
      <w:bookmarkEnd w:id="27"/>
    </w:p>
    <w:p w:rsidR="00922B8B" w:rsidRDefault="009A0FC3" w:rsidP="00E31B86">
      <w:pPr>
        <w:pStyle w:val="Heading4"/>
      </w:pPr>
      <w:bookmarkStart w:id="28" w:name="_Toc447176996"/>
      <w:r w:rsidRPr="00DB331C">
        <w:t>Structure</w:t>
      </w:r>
      <w:bookmarkEnd w:id="28"/>
    </w:p>
    <w:p w:rsidR="009A0FC3" w:rsidRPr="00922B8B" w:rsidRDefault="009A0FC3" w:rsidP="00922B8B">
      <w:r w:rsidRPr="00FD5EFE">
        <w:t xml:space="preserve">Human </w:t>
      </w:r>
      <w:r w:rsidR="009F31FF">
        <w:t>a</w:t>
      </w:r>
      <w:r w:rsidRPr="00FD5EFE">
        <w:t>lpha</w:t>
      </w:r>
      <w:r w:rsidRPr="009F31FF">
        <w:rPr>
          <w:vertAlign w:val="subscript"/>
        </w:rPr>
        <w:t>1</w:t>
      </w:r>
      <w:r w:rsidR="009F31FF">
        <w:t>-PI</w:t>
      </w:r>
      <w:r w:rsidRPr="00FD5EFE">
        <w:t xml:space="preserve"> is a glycoprotein containing 394 amino acid residues. It is a typical member of the family of proteins that are serine protease inhibitors. Alpha</w:t>
      </w:r>
      <w:r w:rsidRPr="009F31FF">
        <w:rPr>
          <w:vertAlign w:val="subscript"/>
        </w:rPr>
        <w:t>1</w:t>
      </w:r>
      <w:r w:rsidRPr="00FD5EFE">
        <w:t>-PI has a molecular weight of approximately 51</w:t>
      </w:r>
      <w:r w:rsidR="00D67AC7">
        <w:t>,</w:t>
      </w:r>
      <w:r w:rsidRPr="00FD5EFE">
        <w:t>000 Daltons, and functions by forming a tight complex with target proteases.</w:t>
      </w:r>
    </w:p>
    <w:p w:rsidR="008E7846" w:rsidRDefault="008E7846" w:rsidP="00940A89">
      <w:pPr>
        <w:pStyle w:val="Heading3"/>
      </w:pPr>
      <w:bookmarkStart w:id="29" w:name="_Toc497296896"/>
      <w:r w:rsidRPr="008751DC">
        <w:t xml:space="preserve">Drug </w:t>
      </w:r>
      <w:r>
        <w:t>s</w:t>
      </w:r>
      <w:r w:rsidRPr="008751DC">
        <w:t>ubstance</w:t>
      </w:r>
      <w:r>
        <w:t xml:space="preserve"> (active ingredient)</w:t>
      </w:r>
      <w:bookmarkEnd w:id="25"/>
      <w:bookmarkEnd w:id="26"/>
      <w:bookmarkEnd w:id="29"/>
    </w:p>
    <w:p w:rsidR="008E7846" w:rsidRDefault="009A0FC3" w:rsidP="00940A89">
      <w:r>
        <w:t>The drug substance is manufactured from human plasma by plasma fractionation and the final protein is purified from fraction IV-1 by several steps including PEG precipitation, depth filtration</w:t>
      </w:r>
      <w:r w:rsidRPr="00331554">
        <w:t xml:space="preserve">, </w:t>
      </w:r>
      <w:r w:rsidR="00331554" w:rsidRPr="00331554">
        <w:t xml:space="preserve">solvent detergent </w:t>
      </w:r>
      <w:r w:rsidRPr="00331554">
        <w:t>incubation</w:t>
      </w:r>
      <w:r>
        <w:t>, anion and cation exchange chromatography and nano</w:t>
      </w:r>
      <w:r w:rsidR="00D67AC7">
        <w:t>-</w:t>
      </w:r>
      <w:r>
        <w:t>filtration.</w:t>
      </w:r>
    </w:p>
    <w:p w:rsidR="00383158" w:rsidRPr="00383158" w:rsidRDefault="00383158" w:rsidP="00940A89">
      <w:pPr>
        <w:rPr>
          <w:rFonts w:asciiTheme="minorHAnsi" w:hAnsiTheme="minorHAnsi"/>
        </w:rPr>
      </w:pPr>
      <w:r>
        <w:t xml:space="preserve">The issue of abbreviated drug substance specification has been put to the sponsor. </w:t>
      </w:r>
      <w:proofErr w:type="spellStart"/>
      <w:r>
        <w:t>Grifols</w:t>
      </w:r>
      <w:proofErr w:type="spellEnd"/>
      <w:r>
        <w:t xml:space="preserve"> </w:t>
      </w:r>
      <w:r w:rsidRPr="00813EBB">
        <w:t xml:space="preserve">agrees that in the absence of expansion of the testing listed in specification </w:t>
      </w:r>
      <w:r>
        <w:t xml:space="preserve">of the drug substance </w:t>
      </w:r>
      <w:r w:rsidRPr="00813EBB">
        <w:t xml:space="preserve">all future variations involving changes to any aspect of the manufacturing process in which data evaluation is required must be accompanied by characterization down to the product level and the specification (both release and shelf life) must meet the approved drug product specification. This is standard practice for </w:t>
      </w:r>
      <w:proofErr w:type="spellStart"/>
      <w:r w:rsidRPr="00813EBB">
        <w:t>Grifols</w:t>
      </w:r>
      <w:proofErr w:type="spellEnd"/>
      <w:r w:rsidRPr="00813EBB">
        <w:t xml:space="preserve"> any time a process change is made</w:t>
      </w:r>
      <w:r>
        <w:t xml:space="preserve">. This commitment has been recommended to the </w:t>
      </w:r>
      <w:r w:rsidR="00D67AC7">
        <w:t>D</w:t>
      </w:r>
      <w:r>
        <w:t>elegate as part of the conditions of registration for this product.</w:t>
      </w:r>
    </w:p>
    <w:p w:rsidR="008E7846" w:rsidRDefault="008E7846" w:rsidP="008E7846">
      <w:pPr>
        <w:pStyle w:val="Heading3"/>
      </w:pPr>
      <w:bookmarkStart w:id="30" w:name="_Toc247691508"/>
      <w:bookmarkStart w:id="31" w:name="_Toc314842490"/>
      <w:bookmarkStart w:id="32" w:name="_Toc497296897"/>
      <w:r w:rsidRPr="008751DC">
        <w:t xml:space="preserve">Drug </w:t>
      </w:r>
      <w:r>
        <w:t>p</w:t>
      </w:r>
      <w:r w:rsidRPr="008751DC">
        <w:t>roduct</w:t>
      </w:r>
      <w:bookmarkEnd w:id="30"/>
      <w:bookmarkEnd w:id="31"/>
      <w:bookmarkEnd w:id="32"/>
    </w:p>
    <w:p w:rsidR="00940A89" w:rsidRDefault="00383158" w:rsidP="00940A89">
      <w:r>
        <w:t>The drug product is formulated to a concentration of not less than 44 mg/mL with a specific activity of not less than 0.8 mg/mg. The drug product specification is considered adequate.</w:t>
      </w:r>
    </w:p>
    <w:p w:rsidR="00D67AC7" w:rsidRDefault="00383158" w:rsidP="00940A89">
      <w:r w:rsidRPr="00383158">
        <w:t>The proposed shelf life for this product is 3</w:t>
      </w:r>
      <w:r w:rsidR="00D67AC7">
        <w:t>6 months at not more than 25°C.</w:t>
      </w:r>
    </w:p>
    <w:p w:rsidR="00383158" w:rsidRPr="00940A89" w:rsidRDefault="00383158" w:rsidP="00940A89">
      <w:r w:rsidRPr="00383158">
        <w:t>For reconstituted product, the proposal is to ‘administer w</w:t>
      </w:r>
      <w:r w:rsidR="00D67AC7">
        <w:t>ithin 3 hours of reconstitution’</w:t>
      </w:r>
      <w:r w:rsidRPr="00383158">
        <w:t>.</w:t>
      </w:r>
      <w:r w:rsidR="00650104" w:rsidRPr="00650104">
        <w:rPr>
          <w:rFonts w:asciiTheme="minorHAnsi" w:hAnsiTheme="minorHAnsi"/>
        </w:rPr>
        <w:t xml:space="preserve"> </w:t>
      </w:r>
      <w:r w:rsidR="00650104">
        <w:rPr>
          <w:rFonts w:asciiTheme="minorHAnsi" w:hAnsiTheme="minorHAnsi"/>
        </w:rPr>
        <w:t>The proposed drug product shelf life is supported by the data provided.</w:t>
      </w:r>
    </w:p>
    <w:p w:rsidR="008E7846" w:rsidRPr="008751DC" w:rsidRDefault="008E7846" w:rsidP="008E7846">
      <w:pPr>
        <w:pStyle w:val="Heading3"/>
      </w:pPr>
      <w:bookmarkStart w:id="33" w:name="_Toc247691509"/>
      <w:bookmarkStart w:id="34" w:name="_Toc314842493"/>
      <w:bookmarkStart w:id="35" w:name="_Toc497296898"/>
      <w:r>
        <w:lastRenderedPageBreak/>
        <w:t>Quality s</w:t>
      </w:r>
      <w:r w:rsidRPr="008751DC">
        <w:t>ummary</w:t>
      </w:r>
      <w:r>
        <w:t xml:space="preserve"> and conclusions</w:t>
      </w:r>
      <w:bookmarkEnd w:id="33"/>
      <w:bookmarkEnd w:id="34"/>
      <w:bookmarkEnd w:id="35"/>
    </w:p>
    <w:p w:rsidR="008E7846" w:rsidRDefault="00922B8B" w:rsidP="008E7846">
      <w:r>
        <w:t xml:space="preserve">There are no objections on quality grounds to the approval of </w:t>
      </w:r>
      <w:r w:rsidR="00F634F0">
        <w:t>Prolastin</w:t>
      </w:r>
      <w:r w:rsidR="00D67AC7">
        <w:t>-</w:t>
      </w:r>
      <w:r w:rsidRPr="009F31FF">
        <w:t xml:space="preserve">C </w:t>
      </w:r>
      <w:r w:rsidR="000A58C5" w:rsidRPr="009F31FF">
        <w:t>a</w:t>
      </w:r>
      <w:r w:rsidRPr="009F31FF">
        <w:t>lpha</w:t>
      </w:r>
      <w:r w:rsidR="00E31B86">
        <w:noBreakHyphen/>
      </w:r>
      <w:r w:rsidRPr="009F31FF">
        <w:t>1</w:t>
      </w:r>
      <w:r w:rsidR="00E31B86">
        <w:noBreakHyphen/>
      </w:r>
      <w:r w:rsidR="000A58C5" w:rsidRPr="009F31FF">
        <w:t xml:space="preserve">proteinase inhibitor </w:t>
      </w:r>
      <w:r w:rsidRPr="009F31FF">
        <w:t>(</w:t>
      </w:r>
      <w:r w:rsidR="000A58C5" w:rsidRPr="009F31FF">
        <w:t>h</w:t>
      </w:r>
      <w:r w:rsidRPr="009F31FF">
        <w:t>uman) 1</w:t>
      </w:r>
      <w:r w:rsidRPr="00425D33">
        <w:t xml:space="preserve">,000 </w:t>
      </w:r>
      <w:r w:rsidR="00331554">
        <w:t>mg</w:t>
      </w:r>
      <w:r w:rsidRPr="00425D33">
        <w:t xml:space="preserve">, </w:t>
      </w:r>
      <w:r w:rsidR="00D67AC7" w:rsidRPr="00425D33">
        <w:t>powder for reconstitution for injection</w:t>
      </w:r>
      <w:r>
        <w:t>.</w:t>
      </w:r>
    </w:p>
    <w:p w:rsidR="00922B8B" w:rsidRDefault="00922B8B" w:rsidP="00922B8B">
      <w:pPr>
        <w:pStyle w:val="Heading4"/>
      </w:pPr>
      <w:r w:rsidRPr="00922B8B">
        <w:t>Proposed Conditions of Registration</w:t>
      </w:r>
    </w:p>
    <w:p w:rsidR="00922B8B" w:rsidRPr="00922B8B" w:rsidRDefault="00922B8B" w:rsidP="00922B8B">
      <w:pPr>
        <w:pStyle w:val="Numberbullet0"/>
      </w:pPr>
      <w:r w:rsidRPr="00922B8B">
        <w:t xml:space="preserve">It is a condition of registration that all batches of </w:t>
      </w:r>
      <w:r w:rsidR="00F634F0">
        <w:t>Prolastin</w:t>
      </w:r>
      <w:r w:rsidR="00331554">
        <w:t>-</w:t>
      </w:r>
      <w:r w:rsidR="009F31FF">
        <w:t>C alpha-1-proteinase i</w:t>
      </w:r>
      <w:r w:rsidRPr="00922B8B">
        <w:t>nhibitor (Human) imported into/manufactured in Australia must comply with the product details and specifications approved during evaluation and detailed in the Certified Product Details (CPD).</w:t>
      </w:r>
    </w:p>
    <w:p w:rsidR="00922B8B" w:rsidRPr="00922B8B" w:rsidRDefault="00922B8B" w:rsidP="00922B8B">
      <w:pPr>
        <w:pStyle w:val="Numberbullet0"/>
      </w:pPr>
      <w:r w:rsidRPr="00922B8B">
        <w:t xml:space="preserve">It is a condition of registration that each batch of </w:t>
      </w:r>
      <w:r w:rsidR="00F634F0">
        <w:t>Prolastin</w:t>
      </w:r>
      <w:r w:rsidR="00331554">
        <w:t>-</w:t>
      </w:r>
      <w:r w:rsidRPr="00922B8B">
        <w:t xml:space="preserve">C </w:t>
      </w:r>
      <w:r w:rsidR="009F31FF">
        <w:t>alpha-1-proteinase i</w:t>
      </w:r>
      <w:r w:rsidRPr="00922B8B">
        <w:t xml:space="preserve">nhibitor (Human) imported into/manufactured in Australia is not released for sale until samples and/or the manufacturer’s release data have been assessed and endorsed for release </w:t>
      </w:r>
      <w:r w:rsidR="00D67AC7">
        <w:t>by the TGA Laboratories Branch.</w:t>
      </w:r>
    </w:p>
    <w:p w:rsidR="008E7846" w:rsidRDefault="008E7846" w:rsidP="008E7846">
      <w:pPr>
        <w:pStyle w:val="Heading2"/>
      </w:pPr>
      <w:bookmarkStart w:id="36" w:name="_Toc196046439"/>
      <w:bookmarkStart w:id="37" w:name="_Toc247691510"/>
      <w:bookmarkStart w:id="38" w:name="_Toc314842494"/>
      <w:bookmarkStart w:id="39" w:name="_Toc497296899"/>
      <w:r>
        <w:t>III. Nonclinical</w:t>
      </w:r>
      <w:bookmarkEnd w:id="36"/>
      <w:r>
        <w:t xml:space="preserve"> findings</w:t>
      </w:r>
      <w:bookmarkEnd w:id="37"/>
      <w:bookmarkEnd w:id="38"/>
      <w:bookmarkEnd w:id="39"/>
    </w:p>
    <w:p w:rsidR="008E7846" w:rsidRDefault="008E7846" w:rsidP="00940A89">
      <w:pPr>
        <w:pStyle w:val="Heading3"/>
      </w:pPr>
      <w:bookmarkStart w:id="40" w:name="_Toc247691511"/>
      <w:bookmarkStart w:id="41" w:name="_Toc314842495"/>
      <w:bookmarkStart w:id="42" w:name="_Toc497296900"/>
      <w:r>
        <w:t>Introduction</w:t>
      </w:r>
      <w:bookmarkEnd w:id="40"/>
      <w:bookmarkEnd w:id="41"/>
      <w:bookmarkEnd w:id="42"/>
    </w:p>
    <w:p w:rsidR="00CB48DA" w:rsidRDefault="00CB48DA" w:rsidP="000A58C5">
      <w:r w:rsidRPr="00FA2E07">
        <w:rPr>
          <w:kern w:val="2"/>
        </w:rPr>
        <w:t xml:space="preserve">The submitted </w:t>
      </w:r>
      <w:r w:rsidR="009F31FF">
        <w:rPr>
          <w:kern w:val="2"/>
        </w:rPr>
        <w:t>nonclinical</w:t>
      </w:r>
      <w:r w:rsidRPr="00FA2E07">
        <w:rPr>
          <w:kern w:val="2"/>
        </w:rPr>
        <w:t xml:space="preserve"> dossier was </w:t>
      </w:r>
      <w:r>
        <w:rPr>
          <w:kern w:val="2"/>
        </w:rPr>
        <w:t>substantially</w:t>
      </w:r>
      <w:r w:rsidRPr="00FA2E07">
        <w:rPr>
          <w:kern w:val="2"/>
        </w:rPr>
        <w:t xml:space="preserve"> </w:t>
      </w:r>
      <w:r w:rsidRPr="00FA2E07">
        <w:t xml:space="preserve">smaller than would be expected for </w:t>
      </w:r>
      <w:proofErr w:type="gramStart"/>
      <w:r w:rsidRPr="00FA2E07">
        <w:t>a</w:t>
      </w:r>
      <w:r>
        <w:t>n</w:t>
      </w:r>
      <w:proofErr w:type="gramEnd"/>
      <w:r>
        <w:t xml:space="preserve"> </w:t>
      </w:r>
      <w:r w:rsidR="000A58C5">
        <w:t>new chemical entity submission;</w:t>
      </w:r>
      <w:r w:rsidRPr="00FA2E07">
        <w:t xml:space="preserve"> </w:t>
      </w:r>
      <w:r>
        <w:t>a single</w:t>
      </w:r>
      <w:r w:rsidRPr="00FA2E07">
        <w:t xml:space="preserve"> pharmacology </w:t>
      </w:r>
      <w:r>
        <w:t xml:space="preserve">study was submitted to support efficacy, there was only </w:t>
      </w:r>
      <w:r w:rsidRPr="00384D4C">
        <w:t xml:space="preserve">a basic set of pharmacokinetic and toxicity studies, and no reproductive studies were submitted. </w:t>
      </w:r>
      <w:r w:rsidRPr="00384D4C">
        <w:rPr>
          <w:kern w:val="2"/>
        </w:rPr>
        <w:t>Furthermore, the quality of the submitted studies was generally low. Overall, the submitted dossier was not generally compliant with the relevant guideline</w:t>
      </w:r>
      <w:r w:rsidR="000A58C5">
        <w:rPr>
          <w:kern w:val="2"/>
        </w:rPr>
        <w:t>,</w:t>
      </w:r>
      <w:r w:rsidR="000A58C5">
        <w:rPr>
          <w:rStyle w:val="FootnoteReference"/>
          <w:kern w:val="2"/>
        </w:rPr>
        <w:footnoteReference w:id="1"/>
      </w:r>
      <w:r w:rsidRPr="00384D4C">
        <w:rPr>
          <w:kern w:val="2"/>
        </w:rPr>
        <w:t xml:space="preserve"> </w:t>
      </w:r>
      <w:r w:rsidRPr="00184400">
        <w:t>(</w:t>
      </w:r>
      <w:r>
        <w:t>the principles of</w:t>
      </w:r>
      <w:r w:rsidR="000A58C5">
        <w:t xml:space="preserve"> which can be applied to plasma </w:t>
      </w:r>
      <w:r>
        <w:t>derived products), and is considered inadequate</w:t>
      </w:r>
      <w:r w:rsidRPr="007928B8">
        <w:t>.</w:t>
      </w:r>
    </w:p>
    <w:p w:rsidR="004334C7" w:rsidRPr="00CB48DA" w:rsidRDefault="00CB48DA" w:rsidP="000A58C5">
      <w:r>
        <w:t xml:space="preserve">No data were provided to indicate how the batches of </w:t>
      </w:r>
      <w:r w:rsidR="008A106C">
        <w:t>alpha</w:t>
      </w:r>
      <w:r w:rsidR="008A106C" w:rsidRPr="00BD2431">
        <w:rPr>
          <w:vertAlign w:val="subscript"/>
        </w:rPr>
        <w:t>1</w:t>
      </w:r>
      <w:r w:rsidR="008A106C">
        <w:t>-PI</w:t>
      </w:r>
      <w:r>
        <w:t xml:space="preserve"> used in the animal studies compared with batches proposed for marketing. Many of the studies were </w:t>
      </w:r>
      <w:r w:rsidRPr="000A58C5">
        <w:t>old (</w:t>
      </w:r>
      <w:r w:rsidR="000A58C5" w:rsidRPr="000A58C5">
        <w:t>for example</w:t>
      </w:r>
      <w:r w:rsidRPr="000A58C5">
        <w:t>,</w:t>
      </w:r>
      <w:r>
        <w:t xml:space="preserve"> from the 1980s and 1990s) and changes in the manufacturing process over the course of the products</w:t>
      </w:r>
      <w:r w:rsidR="000A58C5">
        <w:t>’</w:t>
      </w:r>
      <w:r>
        <w:t xml:space="preserve"> development have occurred. In any case, the absence of this information is not considered to be a major concern, given other more serious limitations with the submitted </w:t>
      </w:r>
      <w:r w:rsidRPr="00CB48DA">
        <w:t>data.</w:t>
      </w:r>
    </w:p>
    <w:p w:rsidR="008E7846" w:rsidRDefault="008E7846" w:rsidP="008E7846">
      <w:pPr>
        <w:pStyle w:val="Heading3"/>
      </w:pPr>
      <w:bookmarkStart w:id="43" w:name="_Toc247691512"/>
      <w:bookmarkStart w:id="44" w:name="_Toc314842496"/>
      <w:bookmarkStart w:id="45" w:name="_Toc497296901"/>
      <w:r w:rsidRPr="00020030">
        <w:t>Pharmacology</w:t>
      </w:r>
      <w:bookmarkEnd w:id="43"/>
      <w:bookmarkEnd w:id="44"/>
      <w:bookmarkEnd w:id="45"/>
    </w:p>
    <w:p w:rsidR="00CB48DA" w:rsidRDefault="00CB48DA" w:rsidP="00CB48DA">
      <w:pPr>
        <w:pStyle w:val="Heading4"/>
      </w:pPr>
      <w:r w:rsidRPr="00EB69F1">
        <w:t>Primary pharmacology</w:t>
      </w:r>
    </w:p>
    <w:p w:rsidR="006F1429" w:rsidRDefault="00CB48DA" w:rsidP="00704B63">
      <w:r>
        <w:t xml:space="preserve">A deficiency in </w:t>
      </w:r>
      <w:r w:rsidR="009F31FF">
        <w:t>a</w:t>
      </w:r>
      <w:r w:rsidR="009F31FF" w:rsidRPr="00FD5EFE">
        <w:t>lpha</w:t>
      </w:r>
      <w:r w:rsidR="009F31FF" w:rsidRPr="009F31FF">
        <w:rPr>
          <w:vertAlign w:val="subscript"/>
        </w:rPr>
        <w:t>1</w:t>
      </w:r>
      <w:r w:rsidR="009F31FF">
        <w:t>-PI</w:t>
      </w:r>
      <w:r>
        <w:t xml:space="preserve"> (</w:t>
      </w:r>
      <w:r w:rsidR="009F31FF">
        <w:t>AATD</w:t>
      </w:r>
      <w:r>
        <w:t xml:space="preserve">) is an autosomal, co-dominant condition that is a known genetic risk factor for the development of </w:t>
      </w:r>
      <w:r w:rsidR="00E87968">
        <w:t>COPD</w:t>
      </w:r>
      <w:r w:rsidR="004B3DF9">
        <w:t>.</w:t>
      </w:r>
      <w:r>
        <w:rPr>
          <w:rStyle w:val="FootnoteReference"/>
        </w:rPr>
        <w:footnoteReference w:id="2"/>
      </w:r>
      <w:r>
        <w:t xml:space="preserve"> Several studies have indicated that elastases of both neutrophils and macrophages have been implicated in lung disease initiation and progression</w:t>
      </w:r>
      <w:r w:rsidR="004B3DF9">
        <w:t>.</w:t>
      </w:r>
      <w:r>
        <w:rPr>
          <w:rStyle w:val="FootnoteReference"/>
        </w:rPr>
        <w:footnoteReference w:id="3"/>
      </w:r>
      <w:r>
        <w:t xml:space="preserve"> </w:t>
      </w:r>
      <w:r w:rsidR="009F31FF">
        <w:t>Alpha</w:t>
      </w:r>
      <w:r w:rsidR="009F31FF" w:rsidRPr="009F31FF">
        <w:rPr>
          <w:vertAlign w:val="subscript"/>
        </w:rPr>
        <w:t>1</w:t>
      </w:r>
      <w:r w:rsidR="009F31FF">
        <w:t>-</w:t>
      </w:r>
      <w:r w:rsidR="00331554">
        <w:t>PI</w:t>
      </w:r>
      <w:r>
        <w:t>, the major anti</w:t>
      </w:r>
      <w:r w:rsidR="00E87968">
        <w:t>-</w:t>
      </w:r>
      <w:r>
        <w:t xml:space="preserve">protease in the lower respiratory tract, is considered to have a major role in protecting normal tissues from </w:t>
      </w:r>
      <w:proofErr w:type="spellStart"/>
      <w:r>
        <w:t>elastolytic</w:t>
      </w:r>
      <w:proofErr w:type="spellEnd"/>
      <w:r>
        <w:t xml:space="preserve"> effects. In the absence of </w:t>
      </w:r>
      <w:r w:rsidR="009F31FF">
        <w:t>alpha</w:t>
      </w:r>
      <w:r w:rsidR="009F31FF">
        <w:rPr>
          <w:vertAlign w:val="subscript"/>
        </w:rPr>
        <w:t>1</w:t>
      </w:r>
      <w:r w:rsidR="009F31FF">
        <w:t>-PI</w:t>
      </w:r>
      <w:r w:rsidR="009F31FF">
        <w:rPr>
          <w:i/>
        </w:rPr>
        <w:t xml:space="preserve"> </w:t>
      </w:r>
      <w:r>
        <w:t xml:space="preserve">(or with reduced levels) increased levels of neutrophils </w:t>
      </w:r>
      <w:r w:rsidRPr="000A58C5">
        <w:t>(</w:t>
      </w:r>
      <w:r w:rsidR="000A58C5" w:rsidRPr="000A58C5">
        <w:t>for example</w:t>
      </w:r>
      <w:r w:rsidRPr="000A58C5">
        <w:t>,</w:t>
      </w:r>
      <w:r>
        <w:t xml:space="preserve"> as a result of exposure to </w:t>
      </w:r>
      <w:r w:rsidR="002A2ABD">
        <w:t>cigarette smoke</w:t>
      </w:r>
      <w:r>
        <w:t xml:space="preserve">) leads to increased damage to </w:t>
      </w:r>
      <w:r>
        <w:lastRenderedPageBreak/>
        <w:t>pulmonary tissues</w:t>
      </w:r>
      <w:r w:rsidR="00E87968">
        <w:t>.</w:t>
      </w:r>
      <w:r>
        <w:rPr>
          <w:rStyle w:val="FootnoteReference"/>
        </w:rPr>
        <w:footnoteReference w:id="4"/>
      </w:r>
      <w:r>
        <w:t xml:space="preserve"> Treatment with exogenous </w:t>
      </w:r>
      <w:r w:rsidR="009F31FF">
        <w:t>alpha</w:t>
      </w:r>
      <w:r w:rsidR="009F31FF">
        <w:rPr>
          <w:vertAlign w:val="subscript"/>
        </w:rPr>
        <w:t>1</w:t>
      </w:r>
      <w:r w:rsidR="009F31FF">
        <w:t>-PI</w:t>
      </w:r>
      <w:r w:rsidR="009F31FF">
        <w:rPr>
          <w:i/>
        </w:rPr>
        <w:t xml:space="preserve"> </w:t>
      </w:r>
      <w:r>
        <w:t xml:space="preserve">in individuals with an </w:t>
      </w:r>
      <w:r w:rsidR="009F31FF">
        <w:t>alpha</w:t>
      </w:r>
      <w:r w:rsidR="009F31FF">
        <w:rPr>
          <w:vertAlign w:val="subscript"/>
        </w:rPr>
        <w:t>1</w:t>
      </w:r>
      <w:r w:rsidR="009F31FF">
        <w:t>-PI</w:t>
      </w:r>
      <w:r w:rsidR="009F31FF">
        <w:rPr>
          <w:i/>
        </w:rPr>
        <w:t xml:space="preserve"> </w:t>
      </w:r>
      <w:r>
        <w:t xml:space="preserve">deficiency and </w:t>
      </w:r>
      <w:r w:rsidR="00E87968">
        <w:t>emphysema</w:t>
      </w:r>
      <w:r>
        <w:t xml:space="preserve"> is suggested to alleviate the severity of emphysema</w:t>
      </w:r>
      <w:r w:rsidR="006F1429">
        <w:t>.</w:t>
      </w:r>
    </w:p>
    <w:p w:rsidR="00CB48DA" w:rsidRPr="00704B63" w:rsidRDefault="00CB48DA" w:rsidP="00704B63">
      <w:r w:rsidRPr="00704B63">
        <w:t xml:space="preserve">In vitro, </w:t>
      </w:r>
      <w:r w:rsidR="009F31FF">
        <w:t>alpha</w:t>
      </w:r>
      <w:r w:rsidR="009F31FF">
        <w:rPr>
          <w:vertAlign w:val="subscript"/>
        </w:rPr>
        <w:t>1</w:t>
      </w:r>
      <w:r w:rsidR="009F31FF">
        <w:t>-PI</w:t>
      </w:r>
      <w:r w:rsidRPr="00704B63">
        <w:t xml:space="preserve"> inhibited neutrophil elastase activity with picomolar potency (Ec</w:t>
      </w:r>
      <w:r w:rsidRPr="00704B63">
        <w:rPr>
          <w:vertAlign w:val="subscript"/>
        </w:rPr>
        <w:t>50</w:t>
      </w:r>
      <w:r w:rsidRPr="00704B63">
        <w:t>,</w:t>
      </w:r>
      <w:r w:rsidR="009F31FF">
        <w:t xml:space="preserve"> 22</w:t>
      </w:r>
      <w:r w:rsidR="00E87968">
        <w:t xml:space="preserve"> </w:t>
      </w:r>
      <w:r w:rsidR="009F31FF">
        <w:t xml:space="preserve">to </w:t>
      </w:r>
      <w:r w:rsidR="00704B63">
        <w:t>99 </w:t>
      </w:r>
      <w:proofErr w:type="spellStart"/>
      <w:r w:rsidRPr="00704B63">
        <w:t>pM</w:t>
      </w:r>
      <w:proofErr w:type="spellEnd"/>
      <w:r w:rsidRPr="00704B63">
        <w:t>). No studies were submitted demonstrating efficacy in an appropriate animal model. In a published study retrieved independently by the evaluator</w:t>
      </w:r>
      <w:r w:rsidRPr="00704B63">
        <w:rPr>
          <w:vertAlign w:val="superscript"/>
        </w:rPr>
        <w:footnoteReference w:id="5"/>
      </w:r>
      <w:r w:rsidRPr="00704B63">
        <w:t xml:space="preserve">, treatment of transgenic CD-1 mice (expressing very low levels of human </w:t>
      </w:r>
      <w:r w:rsidR="009F31FF">
        <w:t>alpha</w:t>
      </w:r>
      <w:r w:rsidR="009F31FF">
        <w:rPr>
          <w:vertAlign w:val="subscript"/>
        </w:rPr>
        <w:t>1</w:t>
      </w:r>
      <w:r w:rsidR="009F31FF">
        <w:t>-PI</w:t>
      </w:r>
      <w:r w:rsidRPr="00704B63">
        <w:t>) with Prolastin (</w:t>
      </w:r>
      <w:r w:rsidR="009F31FF">
        <w:t>alpha</w:t>
      </w:r>
      <w:r w:rsidR="009F31FF">
        <w:rPr>
          <w:vertAlign w:val="subscript"/>
        </w:rPr>
        <w:t>1</w:t>
      </w:r>
      <w:r w:rsidR="009F31FF">
        <w:t>-PI</w:t>
      </w:r>
      <w:r w:rsidRPr="00704B63">
        <w:t xml:space="preserve">; 20 mg IP/mouse every 2 days), reduced neutrophil levels and lavage macrophages, increased airspace size and abolished the increase in </w:t>
      </w:r>
      <w:r w:rsidR="00E87968">
        <w:t>t</w:t>
      </w:r>
      <w:r w:rsidR="008A106C">
        <w:t>umour necrosis factor</w:t>
      </w:r>
      <w:r w:rsidR="00E87968">
        <w:t>-</w:t>
      </w:r>
      <w:r w:rsidR="008A106C" w:rsidRPr="008A106C">
        <w:t>alpha (</w:t>
      </w:r>
      <w:r w:rsidRPr="008A106C">
        <w:t>TNF</w:t>
      </w:r>
      <w:r w:rsidRPr="008A106C">
        <w:noBreakHyphen/>
        <w:t>α</w:t>
      </w:r>
      <w:r w:rsidR="008A106C" w:rsidRPr="008A106C">
        <w:t>)</w:t>
      </w:r>
      <w:r w:rsidRPr="008A106C">
        <w:t xml:space="preserve"> levels</w:t>
      </w:r>
      <w:r w:rsidRPr="00704B63">
        <w:t xml:space="preserve"> seen following exposure to smoke. Together, the data generally support the proposed use of exogenous </w:t>
      </w:r>
      <w:r w:rsidR="009F31FF">
        <w:t>alpha</w:t>
      </w:r>
      <w:r w:rsidR="009F31FF">
        <w:rPr>
          <w:vertAlign w:val="subscript"/>
        </w:rPr>
        <w:t>1</w:t>
      </w:r>
      <w:r w:rsidR="009F31FF">
        <w:t>-PI</w:t>
      </w:r>
      <w:r w:rsidRPr="00704B63">
        <w:t xml:space="preserve"> to augment the clinical signs of emphysema occurring as a result of a severe deficiency of </w:t>
      </w:r>
      <w:r w:rsidR="009F31FF">
        <w:t>alpha</w:t>
      </w:r>
      <w:r w:rsidR="009F31FF">
        <w:rPr>
          <w:vertAlign w:val="subscript"/>
        </w:rPr>
        <w:t>1</w:t>
      </w:r>
      <w:r w:rsidR="009F31FF">
        <w:t>-PI</w:t>
      </w:r>
      <w:r w:rsidRPr="00704B63">
        <w:t>. No comment can be made, however, on the appropriateness of the proposed clinical dose.</w:t>
      </w:r>
    </w:p>
    <w:p w:rsidR="00CB48DA" w:rsidRPr="00EB69F1" w:rsidRDefault="00CB48DA" w:rsidP="00CB48DA">
      <w:pPr>
        <w:pStyle w:val="Heading4"/>
      </w:pPr>
      <w:r w:rsidRPr="00EB69F1">
        <w:t>Secondary pharmacodynamics and safety pharmacology</w:t>
      </w:r>
    </w:p>
    <w:p w:rsidR="00CB48DA" w:rsidRDefault="00CB48DA" w:rsidP="00CB48DA">
      <w:r w:rsidRPr="00966D05">
        <w:t>No secondary pharmacology studies were submitted.</w:t>
      </w:r>
      <w:r>
        <w:t xml:space="preserve"> </w:t>
      </w:r>
      <w:r w:rsidR="009F31FF">
        <w:t>Alpha</w:t>
      </w:r>
      <w:r w:rsidR="009F31FF">
        <w:rPr>
          <w:vertAlign w:val="subscript"/>
        </w:rPr>
        <w:t>1</w:t>
      </w:r>
      <w:r w:rsidR="009F31FF">
        <w:t>-PI</w:t>
      </w:r>
      <w:r w:rsidR="009F31FF">
        <w:rPr>
          <w:i/>
        </w:rPr>
        <w:t xml:space="preserve"> </w:t>
      </w:r>
      <w:r>
        <w:t>is a serine protease inhibitor that has the potential to inhibit other enzymes. Inhibitory potency against other proteases should have been examined.</w:t>
      </w:r>
    </w:p>
    <w:p w:rsidR="00CB48DA" w:rsidRDefault="00CB48DA" w:rsidP="00CB48DA">
      <w:r>
        <w:t xml:space="preserve">Specialised safety pharmacology studies assessed effects on the cardiovascular system (male rats, female dogs and </w:t>
      </w:r>
      <w:proofErr w:type="spellStart"/>
      <w:r>
        <w:t>cynomolgus</w:t>
      </w:r>
      <w:proofErr w:type="spellEnd"/>
      <w:r>
        <w:t xml:space="preserve"> monkeys [both sexes]) and on haematology/coagulation parameters (male rats, male rabbits and </w:t>
      </w:r>
      <w:proofErr w:type="spellStart"/>
      <w:r>
        <w:t>cynomolgus</w:t>
      </w:r>
      <w:proofErr w:type="spellEnd"/>
      <w:r>
        <w:t xml:space="preserve"> monkeys [both sexes]). The pivotal cardiovascular studi</w:t>
      </w:r>
      <w:r w:rsidR="000A58C5">
        <w:t xml:space="preserve">es in dogs and monkeys were good laboratory practice (GLP) </w:t>
      </w:r>
      <w:r>
        <w:t>compliant and adequately conducted. The age of the remaining studies influenced the quality of the study reports and design quality of the studies themselves. Nonetheless, no adverse effects were seen on cardiovascular function in rats (at 100 mg/kg IV), dogs and monkeys (at ≤</w:t>
      </w:r>
      <w:r w:rsidR="00704B63">
        <w:t xml:space="preserve"> </w:t>
      </w:r>
      <w:r>
        <w:t xml:space="preserve">240 mg/kg IV). The doses in the most relevant species (dogs and monkeys) were 4 times the clinical dose on </w:t>
      </w:r>
      <w:proofErr w:type="gramStart"/>
      <w:r>
        <w:t>a</w:t>
      </w:r>
      <w:proofErr w:type="gramEnd"/>
      <w:r>
        <w:t xml:space="preserve"> mg/kg basis. Although the dose ratios are modest, given the molecular weight of </w:t>
      </w:r>
      <w:r w:rsidR="00E87968">
        <w:t>alpha</w:t>
      </w:r>
      <w:r w:rsidR="00E87968">
        <w:rPr>
          <w:vertAlign w:val="subscript"/>
        </w:rPr>
        <w:t>1</w:t>
      </w:r>
      <w:r w:rsidR="00E87968">
        <w:t>-PI</w:t>
      </w:r>
      <w:r>
        <w:t>, it is not expected to interact with ion channels in the heart</w:t>
      </w:r>
      <w:r>
        <w:rPr>
          <w:rStyle w:val="FootnoteReference"/>
        </w:rPr>
        <w:footnoteReference w:id="6"/>
      </w:r>
      <w:r>
        <w:t xml:space="preserve">. Altogether, </w:t>
      </w:r>
      <w:r w:rsidR="00E87968">
        <w:t>alpha</w:t>
      </w:r>
      <w:r w:rsidR="00E87968">
        <w:rPr>
          <w:vertAlign w:val="subscript"/>
        </w:rPr>
        <w:t>1</w:t>
      </w:r>
      <w:r w:rsidR="00E87968">
        <w:t>-PI</w:t>
      </w:r>
      <w:r>
        <w:t xml:space="preserve"> may be considered to have a low risk of adverse effects on cardiovascular function.</w:t>
      </w:r>
    </w:p>
    <w:p w:rsidR="00CB48DA" w:rsidRDefault="00CB48DA" w:rsidP="00CB48DA">
      <w:r>
        <w:t>Haematology and coagulation parameters were unaffected by treatment in rats (</w:t>
      </w:r>
      <w:r w:rsidR="00704B63">
        <w:t xml:space="preserve">approximately </w:t>
      </w:r>
      <w:r>
        <w:t xml:space="preserve">100 mg/kg IV), rabbits (100 mg/kg </w:t>
      </w:r>
      <w:r w:rsidR="00704B63">
        <w:t xml:space="preserve">IV) and </w:t>
      </w:r>
      <w:proofErr w:type="spellStart"/>
      <w:r w:rsidR="00704B63">
        <w:t>cynomolgus</w:t>
      </w:r>
      <w:proofErr w:type="spellEnd"/>
      <w:r w:rsidR="00704B63">
        <w:t xml:space="preserve"> monkeys (240 </w:t>
      </w:r>
      <w:r>
        <w:t xml:space="preserve">mg/kg IV). Maximum doses were 4 times the clinical dose on </w:t>
      </w:r>
      <w:proofErr w:type="gramStart"/>
      <w:r>
        <w:t>a</w:t>
      </w:r>
      <w:proofErr w:type="gramEnd"/>
      <w:r>
        <w:t xml:space="preserve"> mg/kg basis.</w:t>
      </w:r>
    </w:p>
    <w:p w:rsidR="00CB48DA" w:rsidRDefault="00CB48DA" w:rsidP="00CB48DA">
      <w:r>
        <w:t xml:space="preserve">In the submitted </w:t>
      </w:r>
      <w:r w:rsidR="00704B63">
        <w:t>repeat dose</w:t>
      </w:r>
      <w:r>
        <w:t xml:space="preserve"> toxicity study, there were no clinical signs of </w:t>
      </w:r>
      <w:r w:rsidR="00704B63">
        <w:t>central nervous system (</w:t>
      </w:r>
      <w:r>
        <w:t>CNS</w:t>
      </w:r>
      <w:r w:rsidR="00704B63">
        <w:t>)</w:t>
      </w:r>
      <w:r>
        <w:t xml:space="preserve"> effects in rabbits that received IV doses of 288 mg/kg (</w:t>
      </w:r>
      <w:r w:rsidR="00704B63">
        <w:t xml:space="preserve">approximately </w:t>
      </w:r>
      <w:r w:rsidR="00E87968">
        <w:t>5 </w:t>
      </w:r>
      <w:r>
        <w:t xml:space="preserve">times the clinical dose on </w:t>
      </w:r>
      <w:proofErr w:type="gramStart"/>
      <w:r>
        <w:t>a</w:t>
      </w:r>
      <w:proofErr w:type="gramEnd"/>
      <w:r>
        <w:t xml:space="preserve"> mg/kg basis). It is unclear if clinical signs were adequately monitored in the acute toxicity studies, as the reporting in these studies was extremely limited and do not meet the standard currently expected for a toxicity study report.</w:t>
      </w:r>
    </w:p>
    <w:p w:rsidR="004334C7" w:rsidRPr="004334C7" w:rsidRDefault="00CB48DA" w:rsidP="004334C7">
      <w:r>
        <w:t xml:space="preserve">Blood gases were unaffected in rabbits that received 100 mg/kg IV </w:t>
      </w:r>
      <w:r w:rsidR="00E87968">
        <w:t>alpha</w:t>
      </w:r>
      <w:r w:rsidR="00E87968">
        <w:rPr>
          <w:vertAlign w:val="subscript"/>
        </w:rPr>
        <w:t>1</w:t>
      </w:r>
      <w:r w:rsidR="00E87968">
        <w:t>-PI</w:t>
      </w:r>
      <w:r>
        <w:t xml:space="preserve">, suggesting no overt effects on the respiratory system in this species. However, the dose tested is low (1.7 times the clinical dose on </w:t>
      </w:r>
      <w:proofErr w:type="gramStart"/>
      <w:r>
        <w:t>a</w:t>
      </w:r>
      <w:proofErr w:type="gramEnd"/>
      <w:r>
        <w:t xml:space="preserve"> mg/kg basis) and a clinically relevant acute effect on respiratory function cannot be definitively ruled out. Based on the anticipated pharmacology of </w:t>
      </w:r>
      <w:r w:rsidR="00331554">
        <w:t>alpha</w:t>
      </w:r>
      <w:r w:rsidR="00331554">
        <w:rPr>
          <w:vertAlign w:val="subscript"/>
        </w:rPr>
        <w:t>1</w:t>
      </w:r>
      <w:r w:rsidR="00331554">
        <w:t>-PI</w:t>
      </w:r>
      <w:r>
        <w:t xml:space="preserve">, improved lung function may be expected with </w:t>
      </w:r>
      <w:r w:rsidR="00331554">
        <w:t>alpha</w:t>
      </w:r>
      <w:r w:rsidR="00331554">
        <w:rPr>
          <w:vertAlign w:val="subscript"/>
        </w:rPr>
        <w:t>1</w:t>
      </w:r>
      <w:r w:rsidR="00331554">
        <w:t>-PI</w:t>
      </w:r>
      <w:r>
        <w:t xml:space="preserve"> treatment to patients</w:t>
      </w:r>
      <w:r w:rsidRPr="00CB48DA">
        <w:t>.</w:t>
      </w:r>
    </w:p>
    <w:p w:rsidR="008E7846" w:rsidRDefault="008E7846" w:rsidP="008E7846">
      <w:pPr>
        <w:pStyle w:val="Heading3"/>
      </w:pPr>
      <w:bookmarkStart w:id="46" w:name="_Toc247691513"/>
      <w:bookmarkStart w:id="47" w:name="_Toc314842497"/>
      <w:bookmarkStart w:id="48" w:name="_Toc497296902"/>
      <w:r>
        <w:lastRenderedPageBreak/>
        <w:t>Pharmacokinetics</w:t>
      </w:r>
      <w:bookmarkEnd w:id="46"/>
      <w:bookmarkEnd w:id="47"/>
      <w:bookmarkEnd w:id="48"/>
    </w:p>
    <w:p w:rsidR="00CB48DA" w:rsidRPr="00F22ED6" w:rsidRDefault="00CB48DA" w:rsidP="00CB48DA">
      <w:bookmarkStart w:id="49" w:name="_Toc247691514"/>
      <w:bookmarkStart w:id="50" w:name="_Toc314842498"/>
      <w:r>
        <w:t xml:space="preserve">The pharmacokinetics of </w:t>
      </w:r>
      <w:r w:rsidR="00331554">
        <w:t>alpha</w:t>
      </w:r>
      <w:r w:rsidR="00331554">
        <w:rPr>
          <w:vertAlign w:val="subscript"/>
        </w:rPr>
        <w:t>1</w:t>
      </w:r>
      <w:r w:rsidR="00331554">
        <w:t>-PI</w:t>
      </w:r>
      <w:r>
        <w:t xml:space="preserve"> </w:t>
      </w:r>
      <w:r w:rsidR="00E87968">
        <w:t>was</w:t>
      </w:r>
      <w:r>
        <w:t xml:space="preserve"> generally typical for this type of compound. Following IV administration, the elimination half-life was long in rabbits and human subjects (</w:t>
      </w:r>
      <w:r w:rsidR="00704B63">
        <w:t>approximately</w:t>
      </w:r>
      <w:r>
        <w:t>60</w:t>
      </w:r>
      <w:r>
        <w:rPr>
          <w:w w:val="50"/>
        </w:rPr>
        <w:t> </w:t>
      </w:r>
      <w:r>
        <w:t>h and 146</w:t>
      </w:r>
      <w:r>
        <w:rPr>
          <w:w w:val="50"/>
        </w:rPr>
        <w:t> </w:t>
      </w:r>
      <w:r>
        <w:t>h, respectively).</w:t>
      </w:r>
      <w:r w:rsidRPr="00F22ED6">
        <w:t xml:space="preserve"> </w:t>
      </w:r>
      <w:r>
        <w:t>The volume of distribution was low in rabbits (less than total body water). Consistent with this, t</w:t>
      </w:r>
      <w:r w:rsidRPr="00C233C8">
        <w:t xml:space="preserve">issue distribution </w:t>
      </w:r>
      <w:r>
        <w:t xml:space="preserve">of radioactivity </w:t>
      </w:r>
      <w:r w:rsidRPr="00C233C8">
        <w:t xml:space="preserve">in rabbits after IV administration of radiolabelled </w:t>
      </w:r>
      <w:r w:rsidR="00331554">
        <w:t>alpha</w:t>
      </w:r>
      <w:r w:rsidR="00331554">
        <w:rPr>
          <w:vertAlign w:val="subscript"/>
        </w:rPr>
        <w:t>1</w:t>
      </w:r>
      <w:r w:rsidR="00331554">
        <w:t>-PI</w:t>
      </w:r>
      <w:r w:rsidRPr="00C233C8">
        <w:t xml:space="preserve"> was limited, with levels generally below blood levels</w:t>
      </w:r>
      <w:r>
        <w:t>. Following IV administration s</w:t>
      </w:r>
      <w:r w:rsidRPr="00C233C8">
        <w:t xml:space="preserve">ignificant levels of </w:t>
      </w:r>
      <w:r w:rsidR="00331554">
        <w:t>alpha</w:t>
      </w:r>
      <w:r w:rsidR="00331554">
        <w:rPr>
          <w:vertAlign w:val="subscript"/>
        </w:rPr>
        <w:t>1</w:t>
      </w:r>
      <w:r w:rsidR="00331554">
        <w:t>-PI</w:t>
      </w:r>
      <w:r w:rsidR="00704B63">
        <w:t xml:space="preserve"> were seen in bronchial </w:t>
      </w:r>
      <w:r w:rsidRPr="00C233C8">
        <w:t>alveolar lavage fluid (BALF)</w:t>
      </w:r>
      <w:r>
        <w:t xml:space="preserve"> of </w:t>
      </w:r>
      <w:proofErr w:type="spellStart"/>
      <w:r>
        <w:t>cynomolgus</w:t>
      </w:r>
      <w:proofErr w:type="spellEnd"/>
      <w:r>
        <w:t xml:space="preserve"> monkeys, suggesting some localisation of the protein to the lungs, the intended site of pharmacological action.</w:t>
      </w:r>
    </w:p>
    <w:p w:rsidR="00CB48DA" w:rsidRDefault="00CB48DA" w:rsidP="00CB48DA">
      <w:r w:rsidRPr="00962FFE">
        <w:t xml:space="preserve">No metabolism </w:t>
      </w:r>
      <w:r>
        <w:t xml:space="preserve">or </w:t>
      </w:r>
      <w:r w:rsidRPr="00747426">
        <w:t>excretion</w:t>
      </w:r>
      <w:r w:rsidRPr="00962FFE">
        <w:t xml:space="preserve"> </w:t>
      </w:r>
      <w:r>
        <w:t>studies were submitted</w:t>
      </w:r>
      <w:r w:rsidRPr="00747426">
        <w:t xml:space="preserve">, which is considered acceptable given the </w:t>
      </w:r>
      <w:r>
        <w:t xml:space="preserve">protein </w:t>
      </w:r>
      <w:r w:rsidRPr="00747426">
        <w:t>nature of the drug.</w:t>
      </w:r>
    </w:p>
    <w:p w:rsidR="00CB48DA" w:rsidRPr="00A33FC5" w:rsidRDefault="00CB48DA" w:rsidP="00CB48DA">
      <w:r w:rsidRPr="00966D05">
        <w:t xml:space="preserve">Overall, the pharmacokinetic profile of </w:t>
      </w:r>
      <w:r w:rsidR="00E87968">
        <w:t>alpha</w:t>
      </w:r>
      <w:r w:rsidR="00E87968">
        <w:rPr>
          <w:vertAlign w:val="subscript"/>
        </w:rPr>
        <w:t>1</w:t>
      </w:r>
      <w:r w:rsidR="00E87968">
        <w:t>-PI</w:t>
      </w:r>
      <w:r w:rsidRPr="00966D05">
        <w:t xml:space="preserve"> in ra</w:t>
      </w:r>
      <w:r>
        <w:t>bbi</w:t>
      </w:r>
      <w:r w:rsidRPr="00966D05">
        <w:t xml:space="preserve">ts and humans was qualitatively similar, thus supporting the use of the chosen animal species in </w:t>
      </w:r>
      <w:r>
        <w:t xml:space="preserve">the </w:t>
      </w:r>
      <w:r w:rsidRPr="00966D05">
        <w:t>toxicity stud</w:t>
      </w:r>
      <w:r>
        <w:t>y (based on pharmacokinetic parameters only)</w:t>
      </w:r>
      <w:r w:rsidRPr="00966D05">
        <w:t>.</w:t>
      </w:r>
    </w:p>
    <w:p w:rsidR="00CB48DA" w:rsidRPr="00EB69F1" w:rsidRDefault="00CB48DA" w:rsidP="00CB48DA">
      <w:pPr>
        <w:pStyle w:val="Heading4"/>
      </w:pPr>
      <w:bookmarkStart w:id="51" w:name="_Toc294861725"/>
      <w:r w:rsidRPr="00EB69F1">
        <w:t>Pharmacokinetic drug interactions</w:t>
      </w:r>
      <w:bookmarkEnd w:id="51"/>
    </w:p>
    <w:p w:rsidR="004334C7" w:rsidRPr="00E87968" w:rsidRDefault="00CB48DA" w:rsidP="004334C7">
      <w:r w:rsidRPr="00954212">
        <w:t xml:space="preserve">No pharmacokinetic drug interaction studies were submitted. Given the protein nature of </w:t>
      </w:r>
      <w:r w:rsidR="00331554">
        <w:t>alpha</w:t>
      </w:r>
      <w:r w:rsidR="00331554">
        <w:rPr>
          <w:vertAlign w:val="subscript"/>
        </w:rPr>
        <w:t>1</w:t>
      </w:r>
      <w:r w:rsidR="00331554">
        <w:t>-PI</w:t>
      </w:r>
      <w:r w:rsidRPr="0038378E">
        <w:t xml:space="preserve">, pharmacokinetic drug interactions involving </w:t>
      </w:r>
      <w:r w:rsidR="00E87968">
        <w:t>cytochrome P450 (</w:t>
      </w:r>
      <w:r w:rsidRPr="0038378E">
        <w:t>CYP450</w:t>
      </w:r>
      <w:r w:rsidR="00E87968">
        <w:t>)</w:t>
      </w:r>
      <w:r w:rsidRPr="0038378E">
        <w:t xml:space="preserve"> enzymes are not expected</w:t>
      </w:r>
      <w:r w:rsidRPr="00E87968">
        <w:t>.</w:t>
      </w:r>
    </w:p>
    <w:p w:rsidR="001B5C90" w:rsidRDefault="008E7846" w:rsidP="001B5C90">
      <w:pPr>
        <w:pStyle w:val="Heading3"/>
      </w:pPr>
      <w:bookmarkStart w:id="52" w:name="_Toc497296903"/>
      <w:r>
        <w:t>Toxicology</w:t>
      </w:r>
      <w:bookmarkEnd w:id="49"/>
      <w:bookmarkEnd w:id="50"/>
      <w:bookmarkEnd w:id="52"/>
    </w:p>
    <w:p w:rsidR="00CB48DA" w:rsidRDefault="00CB48DA" w:rsidP="00CB48DA">
      <w:pPr>
        <w:pStyle w:val="Heading4"/>
      </w:pPr>
      <w:bookmarkStart w:id="53" w:name="_Toc294861727"/>
      <w:r w:rsidRPr="00EB69F1">
        <w:t>Acute toxicity</w:t>
      </w:r>
      <w:bookmarkEnd w:id="53"/>
    </w:p>
    <w:p w:rsidR="00CB48DA" w:rsidRPr="00135088" w:rsidRDefault="00704B63" w:rsidP="00135088">
      <w:r w:rsidRPr="00135088">
        <w:t>Single dose</w:t>
      </w:r>
      <w:r w:rsidR="00CB48DA" w:rsidRPr="00135088">
        <w:t xml:space="preserve"> toxicity studies were conducted in mice, rats and rabbits. The clinical route (IV) was used in all species. The observation period (14 days) was adequate. Given the plasma half-life of the test item (</w:t>
      </w:r>
      <w:r w:rsidR="00767488">
        <w:t>approximately 60</w:t>
      </w:r>
      <w:r w:rsidR="00767488" w:rsidRPr="00135088">
        <w:t> </w:t>
      </w:r>
      <w:r w:rsidR="00CB48DA" w:rsidRPr="00135088">
        <w:t xml:space="preserve">h in rabbits), animals are still likely to have had circulating </w:t>
      </w:r>
      <w:r w:rsidR="00331554">
        <w:t>alpha</w:t>
      </w:r>
      <w:r w:rsidR="00331554">
        <w:rPr>
          <w:vertAlign w:val="subscript"/>
        </w:rPr>
        <w:t>1</w:t>
      </w:r>
      <w:r w:rsidR="00331554">
        <w:t>-PI</w:t>
      </w:r>
      <w:r w:rsidR="00CB48DA" w:rsidRPr="00135088">
        <w:t xml:space="preserve"> at the end of the study. The study reports were of poor quality, with the details of clinical signs, body weight and necropsy findings not fully documented or tabulated. As a result of the limited reporting, target organs for toxicity could not be determined from these studies. The doses tested were extremely high, exceeding the limit dose in rodents. Only males were examined; normally both sexes should be examined. In fact, only males were used in all submitted toxicity studies. Maximum non-lethal doses were 2</w:t>
      </w:r>
      <w:r w:rsidR="00135088">
        <w:t>,</w:t>
      </w:r>
      <w:r w:rsidR="00CB48DA" w:rsidRPr="00135088">
        <w:t xml:space="preserve">500 mg/kg IV in mice and 517.5 mg/kg IV in rabbits (42 and 9 times the clinical dose, respectively, on </w:t>
      </w:r>
      <w:proofErr w:type="gramStart"/>
      <w:r w:rsidR="00CB48DA" w:rsidRPr="00135088">
        <w:t>a</w:t>
      </w:r>
      <w:proofErr w:type="gramEnd"/>
      <w:r w:rsidR="00CB48DA" w:rsidRPr="00135088">
        <w:t xml:space="preserve"> mg/kg basis). A maximum non-lethal dose was not determined in rats (deaths were observed at the lowest tested dose of 2</w:t>
      </w:r>
      <w:r w:rsidR="00E87968">
        <w:t>,500 </w:t>
      </w:r>
      <w:r w:rsidR="00CB48DA" w:rsidRPr="00135088">
        <w:t xml:space="preserve">mg/kg IV), but the LD50 was determined to be </w:t>
      </w:r>
      <w:r w:rsidR="00767488">
        <w:t>approximately 3,625</w:t>
      </w:r>
      <w:r w:rsidR="00CB48DA" w:rsidRPr="00135088">
        <w:t xml:space="preserve"> mg/kg IV in this species (60 times the clinical dose on a mg/kg basis), indicating that </w:t>
      </w:r>
      <w:r w:rsidR="00331554">
        <w:t>alpha</w:t>
      </w:r>
      <w:r w:rsidR="00331554">
        <w:rPr>
          <w:vertAlign w:val="subscript"/>
        </w:rPr>
        <w:t>1</w:t>
      </w:r>
      <w:r w:rsidR="00331554">
        <w:t>-PI</w:t>
      </w:r>
      <w:r w:rsidR="00CB48DA" w:rsidRPr="00135088">
        <w:t xml:space="preserve"> has a low order of </w:t>
      </w:r>
      <w:r w:rsidR="008F3092">
        <w:t>acute toxicity by the IV route.</w:t>
      </w:r>
    </w:p>
    <w:p w:rsidR="00CB48DA" w:rsidRPr="00135088" w:rsidRDefault="00CB48DA" w:rsidP="00135088">
      <w:r w:rsidRPr="00135088">
        <w:t xml:space="preserve">Deaths were seen in mice at </w:t>
      </w:r>
      <w:r w:rsidR="00135088">
        <w:t xml:space="preserve">≥ </w:t>
      </w:r>
      <w:r w:rsidRPr="00135088">
        <w:t>3</w:t>
      </w:r>
      <w:r w:rsidR="008F3092">
        <w:t>,</w:t>
      </w:r>
      <w:r w:rsidRPr="00135088">
        <w:t xml:space="preserve">125 mg/kg IV and rats at </w:t>
      </w:r>
      <w:r w:rsidR="00135088">
        <w:t xml:space="preserve">≥ </w:t>
      </w:r>
      <w:r w:rsidRPr="00135088">
        <w:t>2</w:t>
      </w:r>
      <w:r w:rsidR="008F3092">
        <w:t>,</w:t>
      </w:r>
      <w:r w:rsidRPr="00135088">
        <w:t xml:space="preserve">500 mg/kg IV; no rabbits died prematurely (maximum tested dose, 517.5 mg/kg IV). These deaths generally occurred soon after dosing and may be associated with the injection process (large volumes of liquid containing protein) rather than an actual </w:t>
      </w:r>
      <w:r w:rsidR="008F3092">
        <w:t>drug related</w:t>
      </w:r>
      <w:r w:rsidRPr="00135088">
        <w:t xml:space="preserve"> effect. One rat t</w:t>
      </w:r>
      <w:r w:rsidR="00704B63" w:rsidRPr="00135088">
        <w:t>hat received the vehicle only (phosphate buffered saline (P</w:t>
      </w:r>
      <w:r w:rsidRPr="00135088">
        <w:t>BS</w:t>
      </w:r>
      <w:r w:rsidR="00704B63" w:rsidRPr="00135088">
        <w:t>)</w:t>
      </w:r>
      <w:r w:rsidRPr="00135088">
        <w:t xml:space="preserve">) also died immediately after dosing. The vehicle chosen was possibly not the best control article to use. Perhaps a control article containing an equivalent amount of another relatively innocuous protein (such as albumin) may have been a more appropriate control. The maximum dose volumes used in rodents (156 mL/kg to mice and 125 mL/kg to rats) exceed the maximum recommended volumes for IV administration in these species (25 mL/kg and 20 mL/kg, </w:t>
      </w:r>
      <w:r w:rsidRPr="00135088">
        <w:lastRenderedPageBreak/>
        <w:t>respectively</w:t>
      </w:r>
      <w:r w:rsidR="00E87968">
        <w:t>;</w:t>
      </w:r>
      <w:r w:rsidRPr="008F3092">
        <w:rPr>
          <w:vertAlign w:val="superscript"/>
        </w:rPr>
        <w:footnoteReference w:id="7"/>
      </w:r>
      <w:r w:rsidRPr="00135088">
        <w:t xml:space="preserve"> dosing is estimated to have occurred over no more than 5 minutes), further lending support to the suggestion the deaths are an artefact of the dose volumes used rather than a direct </w:t>
      </w:r>
      <w:r w:rsidR="008F3092">
        <w:t>drug related</w:t>
      </w:r>
      <w:r w:rsidRPr="00135088">
        <w:t xml:space="preserve"> effect.</w:t>
      </w:r>
    </w:p>
    <w:p w:rsidR="004C6102" w:rsidRDefault="008F3092" w:rsidP="004C6102">
      <w:pPr>
        <w:pStyle w:val="Heading4"/>
      </w:pPr>
      <w:bookmarkStart w:id="54" w:name="_Toc294861728"/>
      <w:r>
        <w:t xml:space="preserve">Repeat </w:t>
      </w:r>
      <w:r w:rsidR="004C6102" w:rsidRPr="00EB69F1">
        <w:t>dose toxicity</w:t>
      </w:r>
      <w:bookmarkEnd w:id="54"/>
    </w:p>
    <w:p w:rsidR="004C6102" w:rsidRPr="008F3092" w:rsidRDefault="004C6102" w:rsidP="004C6102">
      <w:r w:rsidRPr="008F3092">
        <w:t xml:space="preserve">Only one </w:t>
      </w:r>
      <w:r w:rsidR="00704B63" w:rsidRPr="008F3092">
        <w:t>repeat dose</w:t>
      </w:r>
      <w:r w:rsidR="008F3092" w:rsidRPr="008F3092">
        <w:t xml:space="preserve"> toxicity study was submitted;</w:t>
      </w:r>
      <w:r w:rsidRPr="008F3092">
        <w:t xml:space="preserve"> a </w:t>
      </w:r>
      <w:r w:rsidR="008F3092" w:rsidRPr="008F3092">
        <w:t>5 day</w:t>
      </w:r>
      <w:r w:rsidRPr="008F3092">
        <w:t xml:space="preserve"> </w:t>
      </w:r>
      <w:r w:rsidR="00704B63" w:rsidRPr="008F3092">
        <w:t>repeat dose</w:t>
      </w:r>
      <w:r w:rsidRPr="008F3092">
        <w:t xml:space="preserve"> tox</w:t>
      </w:r>
      <w:r w:rsidR="008F3092" w:rsidRPr="008F3092">
        <w:t xml:space="preserve">icity study in rabbits with a 4 </w:t>
      </w:r>
      <w:r w:rsidRPr="008F3092">
        <w:t xml:space="preserve">week recovery period. Findings with two lots of </w:t>
      </w:r>
      <w:r w:rsidR="00E87968">
        <w:t>alpha</w:t>
      </w:r>
      <w:r w:rsidR="00E87968">
        <w:rPr>
          <w:vertAlign w:val="subscript"/>
        </w:rPr>
        <w:t>1</w:t>
      </w:r>
      <w:r w:rsidR="00E87968">
        <w:t>-PI</w:t>
      </w:r>
      <w:r w:rsidR="00E87968" w:rsidRPr="008F3092">
        <w:t xml:space="preserve"> </w:t>
      </w:r>
      <w:r w:rsidRPr="008F3092">
        <w:t xml:space="preserve">were compared. Only one species was used. Normally toxicity in two species (including a rodent species) would be examined. The rationale for the choice of species is unclear. Rabbits are an atypical animal species to be used in general toxicity studies. It is unknown if </w:t>
      </w:r>
      <w:r w:rsidR="00331554">
        <w:t>alpha</w:t>
      </w:r>
      <w:r w:rsidR="00331554">
        <w:rPr>
          <w:vertAlign w:val="subscript"/>
        </w:rPr>
        <w:t>1</w:t>
      </w:r>
      <w:r w:rsidR="00331554">
        <w:t>-PI</w:t>
      </w:r>
      <w:r w:rsidR="00E87968">
        <w:t xml:space="preserve"> is pharmacologically </w:t>
      </w:r>
      <w:r w:rsidRPr="008F3092">
        <w:t xml:space="preserve">active in this species, therefore, it is unknown if this is a relevant species to test the toxicity of </w:t>
      </w:r>
      <w:r w:rsidR="00331554">
        <w:t>alpha</w:t>
      </w:r>
      <w:r w:rsidR="00331554">
        <w:rPr>
          <w:vertAlign w:val="subscript"/>
        </w:rPr>
        <w:t>1</w:t>
      </w:r>
      <w:r w:rsidR="00331554">
        <w:t>-PI</w:t>
      </w:r>
      <w:r w:rsidRPr="008F3092">
        <w:t xml:space="preserve">. Only males were assessed (aside from a single female animal that was sexed incorrectly); both sexes would normally be used in a pivotal </w:t>
      </w:r>
      <w:r w:rsidR="00704B63" w:rsidRPr="008F3092">
        <w:t>repeat dose</w:t>
      </w:r>
      <w:r w:rsidRPr="008F3092">
        <w:t xml:space="preserve"> toxicity study. The toxicity of </w:t>
      </w:r>
      <w:r w:rsidR="00331554">
        <w:t>alpha</w:t>
      </w:r>
      <w:r w:rsidR="00331554">
        <w:rPr>
          <w:vertAlign w:val="subscript"/>
        </w:rPr>
        <w:t>1</w:t>
      </w:r>
      <w:r w:rsidR="00331554">
        <w:t>-PI</w:t>
      </w:r>
      <w:r w:rsidR="00331554" w:rsidRPr="008F3092">
        <w:t xml:space="preserve"> </w:t>
      </w:r>
      <w:r w:rsidRPr="008F3092">
        <w:t xml:space="preserve">has not been investigated in females. The dosing period of the study was only 5 days, which is too short in duration for any chronic </w:t>
      </w:r>
      <w:proofErr w:type="gramStart"/>
      <w:r w:rsidRPr="008F3092">
        <w:t>toxicities</w:t>
      </w:r>
      <w:proofErr w:type="gramEnd"/>
      <w:r w:rsidRPr="008F3092">
        <w:t xml:space="preserve"> to manifest. For a biotechnology product intended for chronic use, a </w:t>
      </w:r>
      <w:r w:rsidR="00E87968">
        <w:t>6 </w:t>
      </w:r>
      <w:r w:rsidR="008F3092" w:rsidRPr="008F3092">
        <w:t>month</w:t>
      </w:r>
      <w:r w:rsidRPr="008F3092">
        <w:t xml:space="preserve"> </w:t>
      </w:r>
      <w:r w:rsidR="00704B63" w:rsidRPr="008F3092">
        <w:t>repeat dose</w:t>
      </w:r>
      <w:r w:rsidRPr="008F3092">
        <w:t xml:space="preserve"> toxicity study would normally be expected, unless an adequate explanation is provided to justify a study of shorter duration</w:t>
      </w:r>
      <w:bookmarkStart w:id="55" w:name="_Ref428453645"/>
      <w:r>
        <w:rPr>
          <w:rStyle w:val="FootnoteReference"/>
        </w:rPr>
        <w:footnoteReference w:id="8"/>
      </w:r>
      <w:bookmarkEnd w:id="55"/>
      <w:r>
        <w:t xml:space="preserve">. </w:t>
      </w:r>
      <w:r w:rsidRPr="008F3092">
        <w:t xml:space="preserve">No such justification was provided. Group sizes were too small (5/group; main and recovery groups, with two animals dying during the course of the study and one animal sexed incorrectly). The observations and examinations performed were inadequate; organ weights were not assessed and only a limited set of tissues was examined </w:t>
      </w:r>
      <w:proofErr w:type="spellStart"/>
      <w:r w:rsidRPr="008F3092">
        <w:t>histopathologically</w:t>
      </w:r>
      <w:proofErr w:type="spellEnd"/>
      <w:r w:rsidRPr="008F3092">
        <w:t>. Only one dose level was assessed. Normally multiple doses would be expected to assess the relationship of findings to dose</w:t>
      </w:r>
      <w:r w:rsidR="00E87968">
        <w:t>.</w:t>
      </w:r>
      <w:r>
        <w:rPr>
          <w:vertAlign w:val="superscript"/>
        </w:rPr>
        <w:fldChar w:fldCharType="begin"/>
      </w:r>
      <w:r>
        <w:rPr>
          <w:vertAlign w:val="superscript"/>
        </w:rPr>
        <w:instrText xml:space="preserve"> NOTEREF _Ref428453645  \* MERGEFORMAT </w:instrText>
      </w:r>
      <w:r>
        <w:rPr>
          <w:vertAlign w:val="superscript"/>
        </w:rPr>
        <w:fldChar w:fldCharType="separate"/>
      </w:r>
      <w:r>
        <w:rPr>
          <w:vertAlign w:val="superscript"/>
        </w:rPr>
        <w:t>7</w:t>
      </w:r>
      <w:r>
        <w:rPr>
          <w:vertAlign w:val="superscript"/>
        </w:rPr>
        <w:fldChar w:fldCharType="end"/>
      </w:r>
      <w:r w:rsidRPr="00DF335C">
        <w:rPr>
          <w:vertAlign w:val="superscript"/>
        </w:rPr>
        <w:t>,</w:t>
      </w:r>
      <w:r>
        <w:rPr>
          <w:rStyle w:val="FootnoteReference"/>
        </w:rPr>
        <w:footnoteReference w:id="9"/>
      </w:r>
      <w:r>
        <w:t xml:space="preserve"> </w:t>
      </w:r>
      <w:r w:rsidRPr="008F3092">
        <w:t xml:space="preserve">However, the magnitude of the dose tested (288 mg/kg; 5 times the clinical dose on </w:t>
      </w:r>
      <w:proofErr w:type="gramStart"/>
      <w:r w:rsidRPr="008F3092">
        <w:t>a</w:t>
      </w:r>
      <w:proofErr w:type="gramEnd"/>
      <w:r w:rsidRPr="008F3092">
        <w:t xml:space="preserve"> mg/kg basis) may be considered acceptable given the volume of liquid injected; larger volumes would not have been appropriate on animal ethics grounds. The clinical route of administration (IV) was used, and dosing was more frequent than that proposed clinically (daily </w:t>
      </w:r>
      <w:r w:rsidR="008F3092">
        <w:t>compared with</w:t>
      </w:r>
      <w:r w:rsidRPr="008F3092">
        <w:t xml:space="preserve"> weekly in patients).</w:t>
      </w:r>
    </w:p>
    <w:p w:rsidR="004C6102" w:rsidRDefault="004C6102" w:rsidP="004C6102">
      <w:pPr>
        <w:rPr>
          <w:szCs w:val="20"/>
        </w:rPr>
      </w:pPr>
      <w:r>
        <w:rPr>
          <w:szCs w:val="20"/>
        </w:rPr>
        <w:t xml:space="preserve">There were no adverse effects on bodyweight gain, haematology or clinical chemistry parameters. The only notable effect observed during </w:t>
      </w:r>
      <w:r w:rsidR="00E87968">
        <w:rPr>
          <w:szCs w:val="20"/>
        </w:rPr>
        <w:t>post-mortem</w:t>
      </w:r>
      <w:r w:rsidR="008F3092">
        <w:rPr>
          <w:szCs w:val="20"/>
        </w:rPr>
        <w:t xml:space="preserve"> analyses was a minimal </w:t>
      </w:r>
      <w:r>
        <w:rPr>
          <w:szCs w:val="20"/>
        </w:rPr>
        <w:t xml:space="preserve">mild chronic interstitial nephritis observed in 3/5 rabbits that received one lot of </w:t>
      </w:r>
      <w:r w:rsidR="00331554">
        <w:t>alpha</w:t>
      </w:r>
      <w:r w:rsidR="00331554">
        <w:rPr>
          <w:vertAlign w:val="subscript"/>
        </w:rPr>
        <w:t>1</w:t>
      </w:r>
      <w:r w:rsidR="00331554">
        <w:noBreakHyphen/>
        <w:t>PI</w:t>
      </w:r>
      <w:r>
        <w:rPr>
          <w:szCs w:val="20"/>
        </w:rPr>
        <w:t>. This finding has an uncertain relationship with treatment.</w:t>
      </w:r>
    </w:p>
    <w:p w:rsidR="004C6102" w:rsidRPr="00EB69F1" w:rsidRDefault="004C6102" w:rsidP="004C6102">
      <w:pPr>
        <w:rPr>
          <w:szCs w:val="20"/>
        </w:rPr>
      </w:pPr>
      <w:r>
        <w:rPr>
          <w:szCs w:val="20"/>
        </w:rPr>
        <w:t xml:space="preserve">The absence of any other findings should be interpreted with caution given the numerous serious limitations of the </w:t>
      </w:r>
      <w:r w:rsidR="00704B63">
        <w:rPr>
          <w:szCs w:val="20"/>
        </w:rPr>
        <w:t>repeat dose</w:t>
      </w:r>
      <w:r>
        <w:rPr>
          <w:szCs w:val="20"/>
        </w:rPr>
        <w:t xml:space="preserve"> toxicity programme.</w:t>
      </w:r>
    </w:p>
    <w:p w:rsidR="004C6102" w:rsidRDefault="004C6102" w:rsidP="004C6102">
      <w:pPr>
        <w:pStyle w:val="Heading4"/>
      </w:pPr>
      <w:bookmarkStart w:id="56" w:name="_Toc294861729"/>
      <w:r w:rsidRPr="00EB69F1">
        <w:t>Genotoxicity</w:t>
      </w:r>
      <w:bookmarkEnd w:id="56"/>
      <w:r>
        <w:t xml:space="preserve"> and carcinogenicity</w:t>
      </w:r>
    </w:p>
    <w:p w:rsidR="004C6102" w:rsidRPr="00384D4C" w:rsidRDefault="004C6102" w:rsidP="004C6102">
      <w:r>
        <w:t xml:space="preserve">No genotoxicity or carcinogenicity studies were submitted as </w:t>
      </w:r>
      <w:r w:rsidR="00331554">
        <w:t xml:space="preserve">is usual for most biotechnology </w:t>
      </w:r>
      <w:r>
        <w:t xml:space="preserve">derived pharmaceuticals (ICH S6). Based on its chemical nature, </w:t>
      </w:r>
      <w:r w:rsidR="00331554">
        <w:t>alpha</w:t>
      </w:r>
      <w:r w:rsidR="00331554">
        <w:rPr>
          <w:vertAlign w:val="subscript"/>
        </w:rPr>
        <w:t>1</w:t>
      </w:r>
      <w:r w:rsidR="00331554">
        <w:t>-PI</w:t>
      </w:r>
      <w:r>
        <w:t xml:space="preserve"> is not expected to interact directly with DNA and therefore has a low potential for genotoxic effects.</w:t>
      </w:r>
    </w:p>
    <w:p w:rsidR="004C6102" w:rsidRDefault="004C6102" w:rsidP="004C6102">
      <w:pPr>
        <w:pStyle w:val="Heading4"/>
      </w:pPr>
      <w:r w:rsidRPr="00EB69F1">
        <w:t>Reproductive toxicity</w:t>
      </w:r>
    </w:p>
    <w:p w:rsidR="004C6102" w:rsidRDefault="004C6102" w:rsidP="004C6102">
      <w:r>
        <w:t xml:space="preserve">No reproductive toxicity studies were submitted. The tissue distribution study did not examine localisation to reproductive tissues and the only submitted </w:t>
      </w:r>
      <w:r w:rsidR="00704B63">
        <w:t>repeat dose</w:t>
      </w:r>
      <w:r>
        <w:t xml:space="preserve"> toxicity study did not examine effects on reproductive tissues, hormones, oestrous cycling or sperm parameters. (As well, the study was not of sufficient length nor in an appropriate </w:t>
      </w:r>
      <w:r>
        <w:lastRenderedPageBreak/>
        <w:t>species to do this; furthermore females were not used). Therefore, no comment can be made regarding possible effects of treatment on fertility.</w:t>
      </w:r>
    </w:p>
    <w:p w:rsidR="004C6102" w:rsidRPr="00822BAC" w:rsidRDefault="004C6102" w:rsidP="004C6102">
      <w:r>
        <w:t xml:space="preserve">It is unknown if </w:t>
      </w:r>
      <w:r w:rsidR="00331554">
        <w:t>alpha</w:t>
      </w:r>
      <w:r w:rsidR="00331554">
        <w:rPr>
          <w:vertAlign w:val="subscript"/>
        </w:rPr>
        <w:t>1</w:t>
      </w:r>
      <w:r w:rsidR="00331554">
        <w:t>-PI</w:t>
      </w:r>
      <w:r>
        <w:t xml:space="preserve"> crosses the placenta. Effects on the developing embryo/fetus are unknown.</w:t>
      </w:r>
    </w:p>
    <w:p w:rsidR="004C6102" w:rsidRPr="00E82C40" w:rsidRDefault="004C6102" w:rsidP="004C6102">
      <w:pPr>
        <w:pStyle w:val="Heading5"/>
      </w:pPr>
      <w:r w:rsidRPr="00E82C40">
        <w:t>Pregnancy classification</w:t>
      </w:r>
    </w:p>
    <w:p w:rsidR="006F1429" w:rsidRDefault="004C6102" w:rsidP="004C6102">
      <w:pPr>
        <w:rPr>
          <w:szCs w:val="20"/>
        </w:rPr>
      </w:pPr>
      <w:r w:rsidRPr="00E82C40">
        <w:rPr>
          <w:szCs w:val="20"/>
        </w:rPr>
        <w:t>The sponsor has proposed Pregnancy Category B2</w:t>
      </w:r>
      <w:r w:rsidR="008F3092">
        <w:rPr>
          <w:rStyle w:val="FootnoteReference"/>
          <w:szCs w:val="20"/>
        </w:rPr>
        <w:footnoteReference w:id="10"/>
      </w:r>
      <w:r w:rsidRPr="00E82C40">
        <w:rPr>
          <w:szCs w:val="20"/>
        </w:rPr>
        <w:t>. This category is considered appropriate as it is for drugs in which animal studies examining embryofetal development effects are lacking</w:t>
      </w:r>
      <w:r w:rsidR="006F1429">
        <w:rPr>
          <w:szCs w:val="20"/>
        </w:rPr>
        <w:t>.</w:t>
      </w:r>
    </w:p>
    <w:p w:rsidR="004C6102" w:rsidRPr="006C34B2" w:rsidRDefault="004C6102" w:rsidP="004C6102">
      <w:pPr>
        <w:pStyle w:val="Heading4"/>
      </w:pPr>
      <w:r w:rsidRPr="006C34B2">
        <w:t>Local tolerance</w:t>
      </w:r>
    </w:p>
    <w:p w:rsidR="006F1429" w:rsidRDefault="004C6102" w:rsidP="004C6102">
      <w:pPr>
        <w:rPr>
          <w:szCs w:val="20"/>
        </w:rPr>
      </w:pPr>
      <w:r w:rsidRPr="006C34B2">
        <w:rPr>
          <w:szCs w:val="20"/>
        </w:rPr>
        <w:t>One study made detailed examinations of injection sites following IV administration to rabbits. A minimal inflammatory reaction (</w:t>
      </w:r>
      <w:proofErr w:type="spellStart"/>
      <w:r w:rsidRPr="006C34B2">
        <w:rPr>
          <w:szCs w:val="20"/>
        </w:rPr>
        <w:t>lymphohistiocytic</w:t>
      </w:r>
      <w:proofErr w:type="spellEnd"/>
      <w:r w:rsidRPr="006C34B2">
        <w:rPr>
          <w:szCs w:val="20"/>
        </w:rPr>
        <w:t xml:space="preserve"> infiltrates) was seen at a number of injection sites. Injection site reactions may be seen in patients</w:t>
      </w:r>
      <w:r w:rsidR="006F1429">
        <w:rPr>
          <w:szCs w:val="20"/>
        </w:rPr>
        <w:t>.</w:t>
      </w:r>
    </w:p>
    <w:p w:rsidR="004C6102" w:rsidRPr="007E7E06" w:rsidRDefault="004C6102" w:rsidP="004C6102">
      <w:pPr>
        <w:pStyle w:val="Heading4"/>
      </w:pPr>
      <w:r w:rsidRPr="007E7E06">
        <w:t>Paediatric use</w:t>
      </w:r>
    </w:p>
    <w:p w:rsidR="00CB48DA" w:rsidRPr="004C6102" w:rsidRDefault="001D6CF1" w:rsidP="00C9747E">
      <w:pPr>
        <w:rPr>
          <w:szCs w:val="20"/>
        </w:rPr>
      </w:pPr>
      <w:r>
        <w:t>Alpha</w:t>
      </w:r>
      <w:r>
        <w:rPr>
          <w:vertAlign w:val="subscript"/>
        </w:rPr>
        <w:t>1</w:t>
      </w:r>
      <w:r>
        <w:t>-PI</w:t>
      </w:r>
      <w:r w:rsidR="004C6102" w:rsidRPr="007E7E06">
        <w:rPr>
          <w:szCs w:val="20"/>
        </w:rPr>
        <w:t xml:space="preserve"> is not proposed for paediatric use and no specific studies in juvenile animals were submitted.</w:t>
      </w:r>
    </w:p>
    <w:p w:rsidR="008E7846" w:rsidRDefault="008E7846" w:rsidP="008E7846">
      <w:pPr>
        <w:pStyle w:val="Heading3"/>
      </w:pPr>
      <w:bookmarkStart w:id="57" w:name="_Toc247691515"/>
      <w:bookmarkStart w:id="58" w:name="_Toc314842499"/>
      <w:bookmarkStart w:id="59" w:name="_Toc497296904"/>
      <w:r>
        <w:t>Nonclinical summary and conclusions</w:t>
      </w:r>
      <w:bookmarkEnd w:id="57"/>
      <w:bookmarkEnd w:id="58"/>
      <w:bookmarkEnd w:id="59"/>
    </w:p>
    <w:p w:rsidR="00CB48DA" w:rsidRPr="00721450" w:rsidRDefault="00CB48DA" w:rsidP="00721450">
      <w:pPr>
        <w:pStyle w:val="ListBullet"/>
      </w:pPr>
      <w:bookmarkStart w:id="60" w:name="_Toc196046462"/>
      <w:bookmarkStart w:id="61" w:name="_Toc247691516"/>
      <w:bookmarkStart w:id="62" w:name="_Toc314842500"/>
      <w:bookmarkStart w:id="63" w:name="_Toc163441353"/>
      <w:bookmarkStart w:id="64" w:name="_Toc163441348"/>
      <w:r w:rsidRPr="00721450">
        <w:t xml:space="preserve">In vitro, </w:t>
      </w:r>
      <w:r w:rsidR="001D6CF1">
        <w:t>alpha</w:t>
      </w:r>
      <w:r w:rsidR="001D6CF1">
        <w:rPr>
          <w:vertAlign w:val="subscript"/>
        </w:rPr>
        <w:t>1</w:t>
      </w:r>
      <w:r w:rsidR="001D6CF1">
        <w:t>-PI</w:t>
      </w:r>
      <w:r w:rsidRPr="00721450">
        <w:t xml:space="preserve"> inhibited neutrophil elastase activity with picomolar potency. Reduced pulmonary neutrophil levels were seen following IP administration of </w:t>
      </w:r>
      <w:r w:rsidR="001D6CF1">
        <w:t>alpha</w:t>
      </w:r>
      <w:r w:rsidR="001D6CF1">
        <w:rPr>
          <w:vertAlign w:val="subscript"/>
        </w:rPr>
        <w:t>1</w:t>
      </w:r>
      <w:r w:rsidR="001D6CF1">
        <w:noBreakHyphen/>
        <w:t>PI</w:t>
      </w:r>
      <w:r w:rsidRPr="00721450">
        <w:t xml:space="preserve"> in a mouse model of emphysema associated with reduced </w:t>
      </w:r>
      <w:r w:rsidR="001D6CF1">
        <w:t>alpha</w:t>
      </w:r>
      <w:r w:rsidR="001D6CF1">
        <w:rPr>
          <w:vertAlign w:val="subscript"/>
        </w:rPr>
        <w:t>1</w:t>
      </w:r>
      <w:r w:rsidR="001D6CF1">
        <w:t>-PI</w:t>
      </w:r>
      <w:r w:rsidR="001D6CF1" w:rsidRPr="00721450">
        <w:t xml:space="preserve"> </w:t>
      </w:r>
      <w:r w:rsidRPr="00721450">
        <w:t xml:space="preserve">levels. These pharmacology studies lend some support to the proposed clinical use of </w:t>
      </w:r>
      <w:r w:rsidR="001D6CF1">
        <w:t>alpha</w:t>
      </w:r>
      <w:r w:rsidR="001D6CF1">
        <w:rPr>
          <w:vertAlign w:val="subscript"/>
        </w:rPr>
        <w:t>1</w:t>
      </w:r>
      <w:r w:rsidR="00866299">
        <w:noBreakHyphen/>
      </w:r>
      <w:r w:rsidR="001D6CF1">
        <w:t>PI</w:t>
      </w:r>
      <w:r w:rsidRPr="00721450">
        <w:t>.</w:t>
      </w:r>
    </w:p>
    <w:p w:rsidR="00CB48DA" w:rsidRPr="00721450" w:rsidRDefault="00CB48DA" w:rsidP="00721450">
      <w:pPr>
        <w:pStyle w:val="ListBullet"/>
      </w:pPr>
      <w:r w:rsidRPr="00721450">
        <w:t>No secondary pharmacology studies were submitted.</w:t>
      </w:r>
    </w:p>
    <w:p w:rsidR="00CB48DA" w:rsidRPr="00721450" w:rsidRDefault="00CB48DA" w:rsidP="00721450">
      <w:pPr>
        <w:pStyle w:val="ListBullet"/>
      </w:pPr>
      <w:r w:rsidRPr="00721450">
        <w:t>There were no adverse effects on cardiovascular function in dogs and monkeys or haematology and coagulation parameters in monkeys with single IV administration at 4 times the clinical dose.</w:t>
      </w:r>
    </w:p>
    <w:p w:rsidR="00CB48DA" w:rsidRPr="00721450" w:rsidRDefault="00CB48DA" w:rsidP="00721450">
      <w:pPr>
        <w:pStyle w:val="ListBullet"/>
      </w:pPr>
      <w:r w:rsidRPr="00721450">
        <w:t xml:space="preserve">The pharmacokinetics of </w:t>
      </w:r>
      <w:r w:rsidR="001D6CF1">
        <w:t>alpha</w:t>
      </w:r>
      <w:r w:rsidR="001D6CF1">
        <w:rPr>
          <w:vertAlign w:val="subscript"/>
        </w:rPr>
        <w:t>1</w:t>
      </w:r>
      <w:r w:rsidR="001D6CF1">
        <w:t>-PI</w:t>
      </w:r>
      <w:r w:rsidRPr="00721450">
        <w:t xml:space="preserve"> were generally typical for this type of compound, characterised by a long half-life, low volume of distribution and limited tissue distribution following IV administration to rabbits. Significant levels of </w:t>
      </w:r>
      <w:r w:rsidR="001D6CF1">
        <w:t>alpha</w:t>
      </w:r>
      <w:r w:rsidR="001D6CF1">
        <w:rPr>
          <w:vertAlign w:val="subscript"/>
        </w:rPr>
        <w:t>1</w:t>
      </w:r>
      <w:r w:rsidR="001D6CF1">
        <w:t>-PI</w:t>
      </w:r>
      <w:r w:rsidRPr="00721450">
        <w:t xml:space="preserve"> were seen in </w:t>
      </w:r>
      <w:r w:rsidR="00637064">
        <w:t>BALF</w:t>
      </w:r>
      <w:r w:rsidRPr="00721450">
        <w:t xml:space="preserve"> of </w:t>
      </w:r>
      <w:proofErr w:type="spellStart"/>
      <w:r w:rsidRPr="00721450">
        <w:t>cynomolgus</w:t>
      </w:r>
      <w:proofErr w:type="spellEnd"/>
      <w:r w:rsidRPr="00721450">
        <w:t xml:space="preserve"> monkeys following IV administration, suggesting some localisation of the protein to the lungs, the intended site of pharmacological action.</w:t>
      </w:r>
    </w:p>
    <w:p w:rsidR="00CB48DA" w:rsidRPr="00721450" w:rsidRDefault="00866299" w:rsidP="00721450">
      <w:pPr>
        <w:pStyle w:val="ListBullet"/>
      </w:pPr>
      <w:r>
        <w:t>A</w:t>
      </w:r>
      <w:r w:rsidR="001D6CF1">
        <w:t>lpha</w:t>
      </w:r>
      <w:r w:rsidR="001D6CF1">
        <w:rPr>
          <w:vertAlign w:val="subscript"/>
        </w:rPr>
        <w:t>1</w:t>
      </w:r>
      <w:r w:rsidR="001D6CF1">
        <w:t>-PI</w:t>
      </w:r>
      <w:r w:rsidR="00CB48DA" w:rsidRPr="00721450">
        <w:t xml:space="preserve"> had a low order of acute IV toxicity in mice, rats and rabbits.</w:t>
      </w:r>
    </w:p>
    <w:p w:rsidR="00CB48DA" w:rsidRPr="00721450" w:rsidRDefault="00CB48DA" w:rsidP="00721450">
      <w:pPr>
        <w:pStyle w:val="ListBullet"/>
      </w:pPr>
      <w:r w:rsidRPr="00721450">
        <w:t xml:space="preserve">The </w:t>
      </w:r>
      <w:r w:rsidR="00704B63" w:rsidRPr="00721450">
        <w:t>repeat dose</w:t>
      </w:r>
      <w:r w:rsidRPr="00721450">
        <w:t xml:space="preserve"> toxicity programme for </w:t>
      </w:r>
      <w:r w:rsidR="001D6CF1">
        <w:t>alpha</w:t>
      </w:r>
      <w:r w:rsidR="001D6CF1">
        <w:rPr>
          <w:vertAlign w:val="subscript"/>
        </w:rPr>
        <w:t>1</w:t>
      </w:r>
      <w:r w:rsidR="001D6CF1">
        <w:t>-PI</w:t>
      </w:r>
      <w:r w:rsidRPr="00721450">
        <w:t xml:space="preserve"> was very limited. Only one </w:t>
      </w:r>
      <w:r w:rsidR="00704B63" w:rsidRPr="00721450">
        <w:t>repeat dose</w:t>
      </w:r>
      <w:r w:rsidRPr="00721450">
        <w:t xml:space="preserve"> toxicity study was submitted; a </w:t>
      </w:r>
      <w:r w:rsidR="008F3092" w:rsidRPr="00721450">
        <w:t>5 day</w:t>
      </w:r>
      <w:r w:rsidRPr="00721450">
        <w:t xml:space="preserve"> study in rabbits </w:t>
      </w:r>
      <w:r w:rsidR="006F1429" w:rsidRPr="00721450">
        <w:t xml:space="preserve">with a 4 </w:t>
      </w:r>
      <w:r w:rsidRPr="00721450">
        <w:t>week recovery period. This study had many design flaws which affects the utility of this study for regulatory purposes. The only notable effect observed during post-mortem analyse</w:t>
      </w:r>
      <w:r w:rsidR="001D6CF1">
        <w:t xml:space="preserve">s was a minimal </w:t>
      </w:r>
      <w:r w:rsidRPr="00721450">
        <w:t xml:space="preserve">mild chronic interstitial nephritis observed in 3/5 rabbits that received one lot of </w:t>
      </w:r>
      <w:r w:rsidR="001D6CF1">
        <w:t>alpha</w:t>
      </w:r>
      <w:r w:rsidR="001D6CF1">
        <w:rPr>
          <w:vertAlign w:val="subscript"/>
        </w:rPr>
        <w:t>1</w:t>
      </w:r>
      <w:r w:rsidR="001D6CF1">
        <w:t>-PI</w:t>
      </w:r>
      <w:r w:rsidRPr="00721450">
        <w:t xml:space="preserve">. This finding has an uncertain relationship with treatment. The absence of any other findings should be interpreted with caution. There was no investigation of </w:t>
      </w:r>
      <w:r w:rsidR="00704B63" w:rsidRPr="00721450">
        <w:t>repeat dose</w:t>
      </w:r>
      <w:r w:rsidRPr="00721450">
        <w:t xml:space="preserve"> toxicity in a second species.</w:t>
      </w:r>
    </w:p>
    <w:p w:rsidR="00CB48DA" w:rsidRPr="00721450" w:rsidRDefault="00CB48DA" w:rsidP="00721450">
      <w:pPr>
        <w:pStyle w:val="ListBullet"/>
      </w:pPr>
      <w:r w:rsidRPr="00721450">
        <w:lastRenderedPageBreak/>
        <w:t>No metabol</w:t>
      </w:r>
      <w:r w:rsidR="001D6CF1">
        <w:t xml:space="preserve">ism, excretion, pharmacokinetic </w:t>
      </w:r>
      <w:r w:rsidRPr="00721450">
        <w:t>drug interaction, genotoxicity or carcinogenicity studies were submitted, which is considered acceptable given the protein nature of the drug.</w:t>
      </w:r>
    </w:p>
    <w:p w:rsidR="006F1429" w:rsidRPr="00721450" w:rsidRDefault="00CB48DA" w:rsidP="00721450">
      <w:pPr>
        <w:pStyle w:val="ListBullet"/>
      </w:pPr>
      <w:r w:rsidRPr="00721450">
        <w:t>No reproductive toxicity studies were submitted</w:t>
      </w:r>
      <w:r w:rsidR="006F1429" w:rsidRPr="00721450">
        <w:t>.</w:t>
      </w:r>
    </w:p>
    <w:p w:rsidR="00CB48DA" w:rsidRPr="00721450" w:rsidRDefault="00721450" w:rsidP="00721450">
      <w:pPr>
        <w:pStyle w:val="ListBullet"/>
      </w:pPr>
      <w:r>
        <w:t xml:space="preserve">No clinically </w:t>
      </w:r>
      <w:r w:rsidR="00CB48DA" w:rsidRPr="00721450">
        <w:t xml:space="preserve">relevant toxicity findings were identified in the submitted </w:t>
      </w:r>
      <w:r>
        <w:t>nonclinical</w:t>
      </w:r>
      <w:r w:rsidR="00CB48DA" w:rsidRPr="00721450">
        <w:t xml:space="preserve"> dossier. However, the overall quality of the nonclinical data set was low and the scope extremely limited. Due to numerous serious deficiencies in the </w:t>
      </w:r>
      <w:r w:rsidR="00704B63" w:rsidRPr="00721450">
        <w:t>repeat dose</w:t>
      </w:r>
      <w:r w:rsidR="00CB48DA" w:rsidRPr="00721450">
        <w:t xml:space="preserve"> toxicity programme, evidence of safety has not been properly demonstrated in laboratory animal species, and potential toxicity </w:t>
      </w:r>
      <w:r w:rsidRPr="00721450">
        <w:t>neither identified nor</w:t>
      </w:r>
      <w:r w:rsidR="00CB48DA" w:rsidRPr="00721450">
        <w:t xml:space="preserve"> well characterised. Registration should only proceed if the clinical data are sufficient to allay these concerns.</w:t>
      </w:r>
    </w:p>
    <w:p w:rsidR="004C6102" w:rsidRPr="00721450" w:rsidRDefault="004C6102" w:rsidP="00721450">
      <w:pPr>
        <w:pStyle w:val="ListBullet"/>
      </w:pPr>
      <w:bookmarkStart w:id="65" w:name="_Toc295290868"/>
      <w:bookmarkStart w:id="66" w:name="_Toc428518722"/>
      <w:r w:rsidRPr="00721450">
        <w:t>The nonclinical evaluator also made other comments on the safety specification of the risk management plan</w:t>
      </w:r>
      <w:bookmarkEnd w:id="65"/>
      <w:bookmarkEnd w:id="66"/>
      <w:r w:rsidRPr="00721450">
        <w:t xml:space="preserve"> and PI but presentation of these is beyond the scope of the AusPAR.</w:t>
      </w:r>
    </w:p>
    <w:p w:rsidR="008E7846" w:rsidRPr="00254787" w:rsidRDefault="008E7846" w:rsidP="008E7846">
      <w:pPr>
        <w:pStyle w:val="Heading2"/>
      </w:pPr>
      <w:bookmarkStart w:id="67" w:name="_Toc497296905"/>
      <w:r>
        <w:t xml:space="preserve">IV. </w:t>
      </w:r>
      <w:r w:rsidRPr="00254787">
        <w:t>Clinical</w:t>
      </w:r>
      <w:bookmarkEnd w:id="60"/>
      <w:r>
        <w:t xml:space="preserve"> </w:t>
      </w:r>
      <w:r w:rsidR="003A7F6C">
        <w:t>f</w:t>
      </w:r>
      <w:r>
        <w:t>indings</w:t>
      </w:r>
      <w:bookmarkEnd w:id="61"/>
      <w:bookmarkEnd w:id="62"/>
      <w:bookmarkEnd w:id="67"/>
    </w:p>
    <w:p w:rsidR="00C80137" w:rsidRDefault="00C80137" w:rsidP="00D425BB">
      <w:bookmarkStart w:id="68"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8E7846">
      <w:pPr>
        <w:pStyle w:val="Heading3"/>
      </w:pPr>
      <w:bookmarkStart w:id="69" w:name="_Toc247691517"/>
      <w:bookmarkStart w:id="70" w:name="_Toc314842501"/>
      <w:bookmarkStart w:id="71" w:name="_Toc497296906"/>
      <w:r w:rsidRPr="00254787">
        <w:t>Introduction</w:t>
      </w:r>
      <w:bookmarkEnd w:id="68"/>
      <w:bookmarkEnd w:id="69"/>
      <w:bookmarkEnd w:id="70"/>
      <w:bookmarkEnd w:id="71"/>
    </w:p>
    <w:p w:rsidR="00605AD4" w:rsidRDefault="00605AD4" w:rsidP="00605AD4">
      <w:pPr>
        <w:pStyle w:val="Heading4"/>
      </w:pPr>
      <w:bookmarkStart w:id="72" w:name="_Toc196046464"/>
      <w:bookmarkStart w:id="73" w:name="_Toc247691518"/>
      <w:bookmarkStart w:id="74" w:name="_Toc314842502"/>
      <w:r w:rsidRPr="00605AD4">
        <w:t xml:space="preserve">Clinical </w:t>
      </w:r>
      <w:r w:rsidR="00EF59DC">
        <w:t>r</w:t>
      </w:r>
      <w:r w:rsidRPr="00605AD4">
        <w:t>ationale</w:t>
      </w:r>
    </w:p>
    <w:p w:rsidR="00721450" w:rsidRPr="004B3DF9" w:rsidRDefault="00721450" w:rsidP="00721450">
      <w:r w:rsidRPr="00860C77">
        <w:t>The clinical activity of Prolastin</w:t>
      </w:r>
      <w:r>
        <w:t>-C</w:t>
      </w:r>
      <w:r w:rsidRPr="00860C77">
        <w:t xml:space="preserve"> is related to the ability of the </w:t>
      </w:r>
      <w:r w:rsidR="006473AA">
        <w:t>alpha</w:t>
      </w:r>
      <w:r w:rsidR="006473AA">
        <w:rPr>
          <w:vertAlign w:val="subscript"/>
        </w:rPr>
        <w:t>1</w:t>
      </w:r>
      <w:r w:rsidR="006473AA">
        <w:t>-PI</w:t>
      </w:r>
      <w:r w:rsidRPr="00860C77">
        <w:t xml:space="preserve"> molecule to inhibit tissue proteinases, especially neutrophil elastase. An excess of neutrophil elastase is an important etiologic agent in the development of the lung tissue damage observed in patients with </w:t>
      </w:r>
      <w:proofErr w:type="spellStart"/>
      <w:r w:rsidRPr="00860C77">
        <w:t>panacinar</w:t>
      </w:r>
      <w:proofErr w:type="spellEnd"/>
      <w:r w:rsidRPr="00860C77">
        <w:t xml:space="preserve"> emphysema due to congenital </w:t>
      </w:r>
      <w:r w:rsidR="006473AA">
        <w:t>alpha</w:t>
      </w:r>
      <w:r w:rsidR="006473AA">
        <w:rPr>
          <w:vertAlign w:val="subscript"/>
        </w:rPr>
        <w:t>1</w:t>
      </w:r>
      <w:r w:rsidR="006473AA">
        <w:t>-PI</w:t>
      </w:r>
      <w:r w:rsidR="006473AA" w:rsidRPr="00860C77">
        <w:t xml:space="preserve"> </w:t>
      </w:r>
      <w:r w:rsidRPr="00860C77">
        <w:t xml:space="preserve">deficiency. The augmentation of </w:t>
      </w:r>
      <w:r w:rsidR="006473AA">
        <w:t>alpha</w:t>
      </w:r>
      <w:r w:rsidR="006473AA">
        <w:rPr>
          <w:vertAlign w:val="subscript"/>
        </w:rPr>
        <w:t>1</w:t>
      </w:r>
      <w:r w:rsidR="006473AA">
        <w:t>-PI</w:t>
      </w:r>
      <w:r w:rsidR="006473AA" w:rsidRPr="00860C77">
        <w:t xml:space="preserve"> </w:t>
      </w:r>
      <w:r w:rsidRPr="00860C77">
        <w:t xml:space="preserve">in the lower lung of congenital </w:t>
      </w:r>
      <w:r w:rsidR="006473AA">
        <w:t>alpha</w:t>
      </w:r>
      <w:r w:rsidR="006473AA">
        <w:rPr>
          <w:vertAlign w:val="subscript"/>
        </w:rPr>
        <w:t>1</w:t>
      </w:r>
      <w:r w:rsidR="006473AA">
        <w:t>-PI</w:t>
      </w:r>
      <w:r w:rsidR="006473AA" w:rsidRPr="00860C77">
        <w:t xml:space="preserve"> </w:t>
      </w:r>
      <w:r w:rsidRPr="00860C77">
        <w:t xml:space="preserve">deficient patients could thus potentially reduce </w:t>
      </w:r>
      <w:proofErr w:type="spellStart"/>
      <w:r w:rsidRPr="00860C77">
        <w:t>panacinar</w:t>
      </w:r>
      <w:proofErr w:type="spellEnd"/>
      <w:r w:rsidRPr="00860C77">
        <w:t xml:space="preserve"> damage. Thus to support intravenous </w:t>
      </w:r>
      <w:r w:rsidR="006473AA">
        <w:t>alpha</w:t>
      </w:r>
      <w:r w:rsidR="006473AA">
        <w:rPr>
          <w:vertAlign w:val="subscript"/>
        </w:rPr>
        <w:t>1</w:t>
      </w:r>
      <w:r w:rsidR="006473AA">
        <w:t>-PI</w:t>
      </w:r>
      <w:r w:rsidR="006473AA" w:rsidRPr="00860C77">
        <w:t xml:space="preserve"> </w:t>
      </w:r>
      <w:r w:rsidRPr="00860C77">
        <w:t xml:space="preserve">therapy, first it has to be proven that intravenously administered </w:t>
      </w:r>
      <w:r w:rsidR="006473AA">
        <w:t>alpha</w:t>
      </w:r>
      <w:r w:rsidR="006473AA">
        <w:rPr>
          <w:vertAlign w:val="subscript"/>
        </w:rPr>
        <w:t>1</w:t>
      </w:r>
      <w:r w:rsidR="006473AA">
        <w:t>-PI</w:t>
      </w:r>
      <w:r w:rsidRPr="00860C77">
        <w:t xml:space="preserve"> penetrates to the lower lung and that it exerts its inhibitory action on elastase secreted by lung neutrophils (using activity assays in </w:t>
      </w:r>
      <w:proofErr w:type="spellStart"/>
      <w:r w:rsidRPr="00860C77">
        <w:t>bronchoalveolar</w:t>
      </w:r>
      <w:proofErr w:type="spellEnd"/>
      <w:r w:rsidRPr="00860C77">
        <w:t xml:space="preserve"> lavage fluid</w:t>
      </w:r>
      <w:r w:rsidR="00866299">
        <w:t xml:space="preserve"> (BALF)</w:t>
      </w:r>
      <w:r w:rsidRPr="00860C77">
        <w:t xml:space="preserve">). Then it needs to be shown that the presence of </w:t>
      </w:r>
      <w:r w:rsidR="006473AA">
        <w:t>alpha</w:t>
      </w:r>
      <w:r w:rsidR="006473AA">
        <w:rPr>
          <w:vertAlign w:val="subscript"/>
        </w:rPr>
        <w:t>1</w:t>
      </w:r>
      <w:r w:rsidR="006473AA">
        <w:t>-PI</w:t>
      </w:r>
      <w:r w:rsidR="006473AA" w:rsidRPr="00860C77">
        <w:t xml:space="preserve"> </w:t>
      </w:r>
      <w:r w:rsidRPr="00860C77">
        <w:t xml:space="preserve">in the lung is correlated with improvement in lung function, quality of life and survival. The submission presents data to show the first part of this hypothesis. Data on changes in imaging surrogates in one trial and other published manuscripts are used to examine the effect of </w:t>
      </w:r>
      <w:r>
        <w:t>Prolastin</w:t>
      </w:r>
      <w:r w:rsidRPr="00860C77">
        <w:t xml:space="preserve"> on lung function. There was no information on patient related endpoints such as quality of life </w:t>
      </w:r>
      <w:r w:rsidR="004B3DF9" w:rsidRPr="004B3DF9">
        <w:t>or survival</w:t>
      </w:r>
      <w:r w:rsidRPr="004B3DF9">
        <w:t>.</w:t>
      </w:r>
    </w:p>
    <w:p w:rsidR="00605AD4" w:rsidRDefault="00605AD4" w:rsidP="00605AD4">
      <w:pPr>
        <w:pStyle w:val="Heading4"/>
      </w:pPr>
      <w:r w:rsidRPr="00605AD4">
        <w:t>Contents of the clinical dossier</w:t>
      </w:r>
    </w:p>
    <w:p w:rsidR="00721450" w:rsidRPr="00307348" w:rsidRDefault="00721450" w:rsidP="00721450">
      <w:r>
        <w:t>The submission contained the following clinical information;</w:t>
      </w:r>
    </w:p>
    <w:p w:rsidR="00721450" w:rsidRPr="00721450" w:rsidRDefault="00721450" w:rsidP="00721450">
      <w:pPr>
        <w:pStyle w:val="ListBullet"/>
      </w:pPr>
      <w:r w:rsidRPr="00721450">
        <w:t>Three literature searches; two in Scopus and one in Cochrane database.</w:t>
      </w:r>
    </w:p>
    <w:p w:rsidR="00721450" w:rsidRPr="00721450" w:rsidRDefault="00721450" w:rsidP="00721450">
      <w:pPr>
        <w:pStyle w:val="ListBullet"/>
      </w:pPr>
      <w:r w:rsidRPr="00721450">
        <w:t>Clinical study reports (Reports of human Pharmacokinetic studies, Patient pharmacokinetic and initial tolerability studies, Reports of human pharmacodynamic (PD) studies</w:t>
      </w:r>
    </w:p>
    <w:p w:rsidR="00721450" w:rsidRPr="00721450" w:rsidRDefault="00721450" w:rsidP="00721450">
      <w:pPr>
        <w:pStyle w:val="ListBullet"/>
      </w:pPr>
      <w:r w:rsidRPr="00721450">
        <w:t>Study reports of controlled clinical studies (Study report number: 100533/EudraCT No: 0010/0251)</w:t>
      </w:r>
    </w:p>
    <w:p w:rsidR="00721450" w:rsidRPr="00721450" w:rsidRDefault="00721450" w:rsidP="00721450">
      <w:pPr>
        <w:pStyle w:val="ListBullet"/>
      </w:pPr>
      <w:r w:rsidRPr="00721450">
        <w:t>Study reports of uncontrolled clinical studies,</w:t>
      </w:r>
    </w:p>
    <w:p w:rsidR="00721450" w:rsidRPr="00721450" w:rsidRDefault="00721450" w:rsidP="00721450">
      <w:pPr>
        <w:pStyle w:val="ListBullet"/>
      </w:pPr>
      <w:r w:rsidRPr="00721450">
        <w:lastRenderedPageBreak/>
        <w:t>Reports of post-marketing experience, literature references.</w:t>
      </w:r>
    </w:p>
    <w:p w:rsidR="00721450" w:rsidRPr="00721450" w:rsidRDefault="00721450" w:rsidP="00721450">
      <w:pPr>
        <w:pStyle w:val="ListBullet"/>
      </w:pPr>
      <w:r w:rsidRPr="00721450">
        <w:t>Individual patient data pertaining to this study are stated to be available electronically, listing and narratives of adverse events, serious adverse events, discontinuations and deaths were provided.</w:t>
      </w:r>
    </w:p>
    <w:p w:rsidR="00721450" w:rsidRPr="00721450" w:rsidRDefault="00721450" w:rsidP="00721450">
      <w:pPr>
        <w:pStyle w:val="ListBullet2"/>
      </w:pPr>
      <w:r w:rsidRPr="00721450">
        <w:t>STAMP: Safety and Tolerability of Alpha-1 MP</w:t>
      </w:r>
      <w:r w:rsidR="000D3F01">
        <w:t xml:space="preserve"> (Prolastin–C)</w:t>
      </w:r>
      <w:r w:rsidRPr="00721450">
        <w:t xml:space="preserve">: Study 11815; </w:t>
      </w:r>
      <w:r w:rsidR="004B3DF9" w:rsidRPr="00721450">
        <w:t>multi-centre</w:t>
      </w:r>
      <w:r w:rsidRPr="00721450">
        <w:t xml:space="preserve">, open label trial to evaluate the safety and tolerability of Alpha-1 MP in subject with </w:t>
      </w:r>
      <w:r w:rsidR="000D3F01">
        <w:t>AATD</w:t>
      </w:r>
      <w:r w:rsidRPr="00721450">
        <w:t>.</w:t>
      </w:r>
    </w:p>
    <w:p w:rsidR="00721450" w:rsidRPr="00721450" w:rsidRDefault="00721450" w:rsidP="00721450">
      <w:pPr>
        <w:pStyle w:val="ListBullet2"/>
      </w:pPr>
      <w:proofErr w:type="spellStart"/>
      <w:r w:rsidRPr="00721450">
        <w:t>ChAMP</w:t>
      </w:r>
      <w:proofErr w:type="spellEnd"/>
      <w:r w:rsidRPr="00721450">
        <w:t>: Pharmacokinetic Comparability of Alpha-1 MP</w:t>
      </w:r>
      <w:r w:rsidR="000D3F01">
        <w:t xml:space="preserve"> (Prolastin-C)</w:t>
      </w:r>
      <w:r w:rsidRPr="00721450">
        <w:t xml:space="preserve">: Study 11816; </w:t>
      </w:r>
      <w:r w:rsidR="004B3DF9" w:rsidRPr="00721450">
        <w:t>multi-centre</w:t>
      </w:r>
      <w:r w:rsidRPr="00721450">
        <w:t>, randomized, double blind, crossover trial to evaluate the pharmacokinetic comparability of Alpha- 1 MP to P</w:t>
      </w:r>
      <w:r w:rsidR="000D3F01" w:rsidRPr="00721450">
        <w:t>rolastin</w:t>
      </w:r>
      <w:r w:rsidRPr="00721450">
        <w:t xml:space="preserve"> in subjects with </w:t>
      </w:r>
      <w:r w:rsidR="000D3F01">
        <w:t>AATD</w:t>
      </w:r>
      <w:r w:rsidRPr="00721450">
        <w:t>.</w:t>
      </w:r>
    </w:p>
    <w:p w:rsidR="00721450" w:rsidRPr="009E6095" w:rsidRDefault="00721450" w:rsidP="00110DC4">
      <w:pPr>
        <w:pStyle w:val="ListBullet2"/>
      </w:pPr>
      <w:r w:rsidRPr="00307348">
        <w:t xml:space="preserve">EXACTLE: The </w:t>
      </w:r>
      <w:proofErr w:type="spellStart"/>
      <w:r w:rsidRPr="00307348">
        <w:t>EXAcerbations</w:t>
      </w:r>
      <w:proofErr w:type="spellEnd"/>
      <w:r w:rsidRPr="00307348">
        <w:t xml:space="preserve"> and Computed Tomograph</w:t>
      </w:r>
      <w:r>
        <w:t>y scan as Lung Endpoints: Study</w:t>
      </w:r>
      <w:r w:rsidRPr="00307348">
        <w:t xml:space="preserve"> 100533</w:t>
      </w:r>
      <w:r>
        <w:t>;</w:t>
      </w:r>
      <w:r w:rsidRPr="00307348">
        <w:t xml:space="preserve"> </w:t>
      </w:r>
      <w:r w:rsidR="004B3DF9">
        <w:t>multi-centre</w:t>
      </w:r>
      <w:r w:rsidRPr="00307348">
        <w:t xml:space="preserve">, randomized trial with </w:t>
      </w:r>
      <w:r>
        <w:t>IV</w:t>
      </w:r>
      <w:r w:rsidR="000D3F01">
        <w:t xml:space="preserve"> </w:t>
      </w:r>
      <w:r w:rsidRPr="00307348">
        <w:t>P</w:t>
      </w:r>
      <w:r w:rsidR="000D3F01" w:rsidRPr="00307348">
        <w:t>rolastin</w:t>
      </w:r>
      <w:r w:rsidRPr="00307348">
        <w:t xml:space="preserve"> to evaluate frequency of exacerbations and progression of emphysema by means of multi-slice </w:t>
      </w:r>
      <w:r w:rsidR="007B754C">
        <w:t>computed tomography</w:t>
      </w:r>
      <w:r w:rsidR="007B754C" w:rsidRPr="00307348">
        <w:t xml:space="preserve"> </w:t>
      </w:r>
      <w:r w:rsidR="007B754C">
        <w:t>(</w:t>
      </w:r>
      <w:r w:rsidRPr="00307348">
        <w:t>CT</w:t>
      </w:r>
      <w:r w:rsidR="007B754C">
        <w:t>)</w:t>
      </w:r>
      <w:r w:rsidRPr="00307348">
        <w:t xml:space="preserve"> scans in pa</w:t>
      </w:r>
      <w:r>
        <w:t xml:space="preserve">tients with congenital </w:t>
      </w:r>
      <w:r w:rsidR="000D3F01">
        <w:t>AATD</w:t>
      </w:r>
      <w:r w:rsidRPr="00307348">
        <w:t>. Data from this study was pooled with similar data to examine effects of P</w:t>
      </w:r>
      <w:r w:rsidR="000D3F01" w:rsidRPr="00307348">
        <w:t>rolastin</w:t>
      </w:r>
      <w:r w:rsidR="001D6CF1">
        <w:t xml:space="preserve"> on CT </w:t>
      </w:r>
      <w:r w:rsidRPr="00307348">
        <w:t>guided change in lung function (</w:t>
      </w:r>
      <w:r w:rsidRPr="009E6095">
        <w:t xml:space="preserve">published as </w:t>
      </w:r>
      <w:proofErr w:type="spellStart"/>
      <w:r w:rsidRPr="009E6095">
        <w:t>Stockley</w:t>
      </w:r>
      <w:proofErr w:type="spellEnd"/>
      <w:r w:rsidRPr="009E6095">
        <w:t xml:space="preserve"> 2010</w:t>
      </w:r>
      <w:bookmarkStart w:id="75" w:name="_Ref488673444"/>
      <w:r w:rsidR="00866299" w:rsidRPr="009E6095">
        <w:rPr>
          <w:rStyle w:val="FootnoteReference"/>
        </w:rPr>
        <w:footnoteReference w:id="11"/>
      </w:r>
      <w:bookmarkEnd w:id="75"/>
      <w:r w:rsidRPr="009E6095">
        <w:t>).</w:t>
      </w:r>
    </w:p>
    <w:p w:rsidR="00605AD4" w:rsidRDefault="00605AD4" w:rsidP="00605AD4">
      <w:pPr>
        <w:pStyle w:val="Heading4"/>
      </w:pPr>
      <w:r w:rsidRPr="00605AD4">
        <w:t>Paediatric data</w:t>
      </w:r>
    </w:p>
    <w:p w:rsidR="00110DC4" w:rsidRPr="00110DC4" w:rsidRDefault="00110DC4" w:rsidP="00110DC4">
      <w:r w:rsidRPr="00860C77">
        <w:t xml:space="preserve">The submission did not include paediatric data and is not requesting use in a paediatric population. Specifically, the </w:t>
      </w:r>
      <w:r>
        <w:t>sponsor</w:t>
      </w:r>
      <w:r w:rsidRPr="00860C77">
        <w:t xml:space="preserve"> has not submitted data to the US Food and Drug Administration for any of the four paediatric age ranges for the use(s) in this application to TGA. There is no agreed Paediatric Investigation Plan (PIP) in Europe and no waiver to submit a PIP has been sought.</w:t>
      </w:r>
    </w:p>
    <w:p w:rsidR="00605AD4" w:rsidRDefault="00605AD4" w:rsidP="00605AD4">
      <w:pPr>
        <w:pStyle w:val="Heading4"/>
      </w:pPr>
      <w:r w:rsidRPr="00605AD4">
        <w:t>Good clinical practice</w:t>
      </w:r>
    </w:p>
    <w:p w:rsidR="00110DC4" w:rsidRPr="00110DC4" w:rsidRDefault="00110DC4" w:rsidP="00110DC4">
      <w:pPr>
        <w:rPr>
          <w:color w:val="000000"/>
        </w:rPr>
      </w:pPr>
      <w:r w:rsidRPr="00860C77">
        <w:rPr>
          <w:color w:val="000000"/>
        </w:rPr>
        <w:t>All trials were stated to be in complia</w:t>
      </w:r>
      <w:r w:rsidR="006F7390">
        <w:rPr>
          <w:color w:val="000000"/>
        </w:rPr>
        <w:t>nce with good clinical practice</w:t>
      </w:r>
      <w:r w:rsidR="006F7390" w:rsidRPr="00860C77">
        <w:rPr>
          <w:color w:val="000000"/>
        </w:rPr>
        <w:t xml:space="preserve"> </w:t>
      </w:r>
      <w:r w:rsidR="001D6CF1">
        <w:rPr>
          <w:color w:val="000000"/>
        </w:rPr>
        <w:t xml:space="preserve">(GCP) </w:t>
      </w:r>
      <w:r w:rsidRPr="00860C77">
        <w:rPr>
          <w:color w:val="000000"/>
        </w:rPr>
        <w:t>and International Conference on Harmonisation</w:t>
      </w:r>
      <w:r w:rsidR="001D6CF1">
        <w:rPr>
          <w:color w:val="000000"/>
        </w:rPr>
        <w:t xml:space="preserve"> (ICH)</w:t>
      </w:r>
      <w:r w:rsidRPr="00860C77">
        <w:rPr>
          <w:color w:val="000000"/>
        </w:rPr>
        <w:t xml:space="preserve"> recommendations, as well as applicable local, state, and federal regulations and guidelines regarding </w:t>
      </w:r>
      <w:r>
        <w:rPr>
          <w:color w:val="000000"/>
        </w:rPr>
        <w:t>the conduct of clinical trials.</w:t>
      </w:r>
    </w:p>
    <w:p w:rsidR="008E7846" w:rsidRDefault="008E7846" w:rsidP="00605AD4">
      <w:pPr>
        <w:pStyle w:val="Heading3"/>
      </w:pPr>
      <w:bookmarkStart w:id="76" w:name="_Toc497296907"/>
      <w:r w:rsidRPr="00254787">
        <w:t>Pharmacokinetics</w:t>
      </w:r>
      <w:bookmarkEnd w:id="63"/>
      <w:bookmarkEnd w:id="72"/>
      <w:bookmarkEnd w:id="73"/>
      <w:bookmarkEnd w:id="74"/>
      <w:bookmarkEnd w:id="76"/>
    </w:p>
    <w:p w:rsidR="00605AD4" w:rsidRDefault="00605AD4" w:rsidP="00605AD4">
      <w:pPr>
        <w:pStyle w:val="Heading4"/>
      </w:pPr>
      <w:r>
        <w:t>Studies</w:t>
      </w:r>
      <w:r w:rsidR="00110DC4">
        <w:t xml:space="preserve"> providing pharmacokinetic data</w:t>
      </w:r>
    </w:p>
    <w:p w:rsidR="00110DC4" w:rsidRDefault="00110DC4" w:rsidP="00110DC4">
      <w:pPr>
        <w:widowControl w:val="0"/>
        <w:autoSpaceDE w:val="0"/>
        <w:autoSpaceDN w:val="0"/>
        <w:spacing w:before="128" w:after="0" w:line="240" w:lineRule="auto"/>
        <w:ind w:right="81"/>
        <w:rPr>
          <w:rFonts w:cs="Cambria"/>
          <w:lang w:val="en-US"/>
        </w:rPr>
      </w:pPr>
      <w:r w:rsidRPr="00860C77">
        <w:rPr>
          <w:rFonts w:cs="Cambria"/>
          <w:lang w:val="en-US"/>
        </w:rPr>
        <w:t xml:space="preserve">The absence of biopharmaceutic and bioavailability data was justified by the </w:t>
      </w:r>
      <w:r>
        <w:rPr>
          <w:rFonts w:cs="Cambria"/>
          <w:lang w:val="en-US"/>
        </w:rPr>
        <w:t>sponsor</w:t>
      </w:r>
      <w:r w:rsidRPr="00860C77">
        <w:rPr>
          <w:rFonts w:cs="Cambria"/>
          <w:lang w:val="en-US"/>
        </w:rPr>
        <w:t xml:space="preserve"> because the active ingredient of </w:t>
      </w:r>
      <w:r>
        <w:rPr>
          <w:rFonts w:cs="Cambria"/>
          <w:lang w:val="en-US"/>
        </w:rPr>
        <w:t>Prolastin-C</w:t>
      </w:r>
      <w:r w:rsidRPr="00860C77">
        <w:rPr>
          <w:rFonts w:cs="Cambria"/>
          <w:lang w:val="en-US"/>
        </w:rPr>
        <w:t xml:space="preserve"> is a human plasma protein and it has not been modified during the manufacturing process. The bioavailability of the product and of the natural protein is the same.</w:t>
      </w:r>
    </w:p>
    <w:p w:rsidR="00110DC4" w:rsidRDefault="00110DC4" w:rsidP="00110DC4">
      <w:pPr>
        <w:widowControl w:val="0"/>
        <w:autoSpaceDE w:val="0"/>
        <w:autoSpaceDN w:val="0"/>
        <w:spacing w:before="128" w:after="0" w:line="240" w:lineRule="auto"/>
        <w:ind w:right="81"/>
      </w:pPr>
      <w:r w:rsidRPr="00307348">
        <w:t xml:space="preserve">A single </w:t>
      </w:r>
      <w:r w:rsidR="007B754C">
        <w:t>pharmacokinetic (</w:t>
      </w:r>
      <w:r w:rsidRPr="00307348">
        <w:t>PK</w:t>
      </w:r>
      <w:r w:rsidR="007B754C">
        <w:t>)</w:t>
      </w:r>
      <w:r w:rsidRPr="00307348">
        <w:t xml:space="preserve"> study (</w:t>
      </w:r>
      <w:proofErr w:type="spellStart"/>
      <w:r w:rsidRPr="00307348">
        <w:t>ChAMP</w:t>
      </w:r>
      <w:proofErr w:type="spellEnd"/>
      <w:r w:rsidRPr="00307348">
        <w:t>) was provided in addition to 4 PK published studies.</w:t>
      </w:r>
    </w:p>
    <w:p w:rsidR="00110DC4" w:rsidRPr="00110DC4" w:rsidRDefault="00110DC4" w:rsidP="00110DC4">
      <w:pPr>
        <w:widowControl w:val="0"/>
        <w:autoSpaceDE w:val="0"/>
        <w:autoSpaceDN w:val="0"/>
        <w:spacing w:before="128" w:after="0" w:line="240" w:lineRule="auto"/>
        <w:ind w:right="81"/>
        <w:rPr>
          <w:rFonts w:cs="Cambria"/>
          <w:lang w:val="en-US"/>
        </w:rPr>
      </w:pPr>
      <w:r>
        <w:t>For the full details of the evaluation of this study please see Attachment 2, extract from the clinical evaluation report.</w:t>
      </w:r>
    </w:p>
    <w:p w:rsidR="00605AD4" w:rsidRDefault="00605AD4" w:rsidP="00605AD4">
      <w:pPr>
        <w:pStyle w:val="Heading4"/>
      </w:pPr>
      <w:r>
        <w:lastRenderedPageBreak/>
        <w:t>Evaluator’s conclusions on pharmacokinetics</w:t>
      </w:r>
    </w:p>
    <w:p w:rsidR="00110DC4" w:rsidRPr="00860C77" w:rsidRDefault="00110DC4" w:rsidP="00110DC4">
      <w:pPr>
        <w:rPr>
          <w:lang w:val="en-US"/>
        </w:rPr>
      </w:pPr>
      <w:r w:rsidRPr="00860C77">
        <w:rPr>
          <w:lang w:val="en-US"/>
        </w:rPr>
        <w:t xml:space="preserve">The </w:t>
      </w:r>
      <w:proofErr w:type="spellStart"/>
      <w:r w:rsidRPr="00860C77">
        <w:rPr>
          <w:lang w:val="en-US"/>
        </w:rPr>
        <w:t>ChAMP</w:t>
      </w:r>
      <w:proofErr w:type="spellEnd"/>
      <w:r w:rsidRPr="00860C77">
        <w:rPr>
          <w:lang w:val="en-US"/>
        </w:rPr>
        <w:t xml:space="preserve"> study has shown that when administered at a dose of 60</w:t>
      </w:r>
      <w:r>
        <w:rPr>
          <w:lang w:val="en-US"/>
        </w:rPr>
        <w:t xml:space="preserve"> mg</w:t>
      </w:r>
      <w:r w:rsidRPr="00860C77">
        <w:rPr>
          <w:lang w:val="en-US"/>
        </w:rPr>
        <w:t xml:space="preserve">/kg </w:t>
      </w:r>
      <w:r w:rsidR="006473AA">
        <w:t>alpha</w:t>
      </w:r>
      <w:r w:rsidR="006473AA">
        <w:rPr>
          <w:vertAlign w:val="subscript"/>
        </w:rPr>
        <w:t>1</w:t>
      </w:r>
      <w:r w:rsidR="006473AA">
        <w:t>-PI</w:t>
      </w:r>
      <w:r w:rsidRPr="00860C77">
        <w:rPr>
          <w:lang w:val="en-US"/>
        </w:rPr>
        <w:t xml:space="preserve"> per potency</w:t>
      </w:r>
      <w:r w:rsidR="001D6CF1">
        <w:rPr>
          <w:lang w:val="en-US"/>
        </w:rPr>
        <w:t xml:space="preserve"> or functional activity assay, a</w:t>
      </w:r>
      <w:r w:rsidRPr="00860C77">
        <w:rPr>
          <w:lang w:val="en-US"/>
        </w:rPr>
        <w:t>lpha-1 MP</w:t>
      </w:r>
      <w:r w:rsidR="000D3F01">
        <w:rPr>
          <w:lang w:val="en-US"/>
        </w:rPr>
        <w:t xml:space="preserve"> (Prolastin-C)</w:t>
      </w:r>
      <w:r w:rsidRPr="00860C77">
        <w:rPr>
          <w:lang w:val="en-US"/>
        </w:rPr>
        <w:t xml:space="preserve"> has PK comparability to</w:t>
      </w:r>
      <w:r>
        <w:rPr>
          <w:lang w:val="en-US"/>
        </w:rPr>
        <w:t xml:space="preserve"> Prolastin based on the primary e</w:t>
      </w:r>
      <w:r w:rsidRPr="00860C77">
        <w:rPr>
          <w:lang w:val="en-US"/>
        </w:rPr>
        <w:t>ndpoint (AUC</w:t>
      </w:r>
      <w:r w:rsidRPr="002A1B5D">
        <w:rPr>
          <w:vertAlign w:val="subscript"/>
          <w:lang w:val="en-US"/>
        </w:rPr>
        <w:t>0-7 days</w:t>
      </w:r>
      <w:r w:rsidRPr="00860C77">
        <w:rPr>
          <w:lang w:val="en-US"/>
        </w:rPr>
        <w:t xml:space="preserve"> of plasma alpha</w:t>
      </w:r>
      <w:r w:rsidRPr="001D6CF1">
        <w:rPr>
          <w:vertAlign w:val="subscript"/>
          <w:lang w:val="en-US"/>
        </w:rPr>
        <w:t>1</w:t>
      </w:r>
      <w:r w:rsidRPr="00860C77">
        <w:rPr>
          <w:lang w:val="en-US"/>
        </w:rPr>
        <w:t>-PI measured by potency</w:t>
      </w:r>
      <w:r>
        <w:rPr>
          <w:lang w:val="en-US"/>
        </w:rPr>
        <w:t xml:space="preserve"> or functional activity assay; </w:t>
      </w:r>
      <w:r w:rsidRPr="00860C77">
        <w:rPr>
          <w:lang w:val="en-US"/>
        </w:rPr>
        <w:t>155.9</w:t>
      </w:r>
      <w:r>
        <w:rPr>
          <w:lang w:val="en-US"/>
        </w:rPr>
        <w:t> </w:t>
      </w:r>
      <w:proofErr w:type="spellStart"/>
      <w:r>
        <w:rPr>
          <w:lang w:val="en-US"/>
        </w:rPr>
        <w:t>mg</w:t>
      </w:r>
      <w:r w:rsidRPr="00860C77">
        <w:rPr>
          <w:lang w:val="en-US"/>
        </w:rPr>
        <w:t>.h</w:t>
      </w:r>
      <w:proofErr w:type="spellEnd"/>
      <w:r w:rsidRPr="00860C77">
        <w:rPr>
          <w:lang w:val="en-US"/>
        </w:rPr>
        <w:t xml:space="preserve">/mL for </w:t>
      </w:r>
      <w:proofErr w:type="spellStart"/>
      <w:r w:rsidR="001D6CF1">
        <w:rPr>
          <w:lang w:val="en-US"/>
        </w:rPr>
        <w:t>Prolastin</w:t>
      </w:r>
      <w:proofErr w:type="spellEnd"/>
      <w:r w:rsidR="001D6CF1">
        <w:rPr>
          <w:lang w:val="en-US"/>
        </w:rPr>
        <w:t>-C</w:t>
      </w:r>
      <w:r w:rsidRPr="00860C77">
        <w:rPr>
          <w:lang w:val="en-US"/>
        </w:rPr>
        <w:t xml:space="preserve"> and 152.4</w:t>
      </w:r>
      <w:r>
        <w:rPr>
          <w:lang w:val="en-US"/>
        </w:rPr>
        <w:t xml:space="preserve"> </w:t>
      </w:r>
      <w:proofErr w:type="spellStart"/>
      <w:r>
        <w:rPr>
          <w:lang w:val="en-US"/>
        </w:rPr>
        <w:t>mg</w:t>
      </w:r>
      <w:r w:rsidRPr="00860C77">
        <w:rPr>
          <w:lang w:val="en-US"/>
        </w:rPr>
        <w:t>.h</w:t>
      </w:r>
      <w:proofErr w:type="spellEnd"/>
      <w:r w:rsidRPr="00860C77">
        <w:rPr>
          <w:lang w:val="en-US"/>
        </w:rPr>
        <w:t xml:space="preserve">/mL for </w:t>
      </w:r>
      <w:proofErr w:type="spellStart"/>
      <w:r>
        <w:rPr>
          <w:lang w:val="en-US"/>
        </w:rPr>
        <w:t>Prolastin</w:t>
      </w:r>
      <w:proofErr w:type="spellEnd"/>
      <w:r w:rsidRPr="00860C77">
        <w:rPr>
          <w:lang w:val="en-US"/>
        </w:rPr>
        <w:t>, point estimate and 90% confi</w:t>
      </w:r>
      <w:r>
        <w:rPr>
          <w:lang w:val="en-US"/>
        </w:rPr>
        <w:t xml:space="preserve">dence interval of 1.03 and 0.97 to </w:t>
      </w:r>
      <w:r w:rsidRPr="00860C77">
        <w:rPr>
          <w:lang w:val="en-US"/>
        </w:rPr>
        <w:t xml:space="preserve">1.09, respectively). The point estimate and 90% confidence interval of the geometric least-squares mean ratio, </w:t>
      </w:r>
      <w:r w:rsidR="001D6CF1">
        <w:rPr>
          <w:lang w:val="en-US"/>
        </w:rPr>
        <w:t>Prolastin-C</w:t>
      </w:r>
      <w:r w:rsidRPr="00860C77">
        <w:rPr>
          <w:lang w:val="en-US"/>
        </w:rPr>
        <w:t xml:space="preserve"> </w:t>
      </w:r>
      <w:r>
        <w:rPr>
          <w:lang w:val="en-US"/>
        </w:rPr>
        <w:t>versus</w:t>
      </w:r>
      <w:r w:rsidRPr="00860C77">
        <w:rPr>
          <w:lang w:val="en-US"/>
        </w:rPr>
        <w:t xml:space="preserve"> </w:t>
      </w:r>
      <w:r>
        <w:rPr>
          <w:lang w:val="en-US"/>
        </w:rPr>
        <w:t>Prolastin</w:t>
      </w:r>
      <w:r w:rsidRPr="00860C77">
        <w:rPr>
          <w:lang w:val="en-US"/>
        </w:rPr>
        <w:t>, for AUC</w:t>
      </w:r>
      <w:r w:rsidRPr="002A1B5D">
        <w:rPr>
          <w:vertAlign w:val="subscript"/>
          <w:lang w:val="en-US"/>
        </w:rPr>
        <w:t>0-7 days</w:t>
      </w:r>
      <w:r w:rsidRPr="00860C77">
        <w:rPr>
          <w:lang w:val="en-US"/>
        </w:rPr>
        <w:t xml:space="preserve"> by the content assay, were also calculated at 0.</w:t>
      </w:r>
      <w:r>
        <w:rPr>
          <w:lang w:val="en-US"/>
        </w:rPr>
        <w:t>98 and 0.95 to 1.02, respectively.</w:t>
      </w:r>
    </w:p>
    <w:p w:rsidR="00110DC4" w:rsidRPr="00860C77" w:rsidRDefault="00110DC4" w:rsidP="00110DC4">
      <w:pPr>
        <w:rPr>
          <w:lang w:val="en-US"/>
        </w:rPr>
      </w:pPr>
      <w:r w:rsidRPr="00860C77">
        <w:rPr>
          <w:lang w:val="en-US"/>
        </w:rPr>
        <w:t xml:space="preserve">Alpha-1 MP </w:t>
      </w:r>
      <w:r w:rsidR="000D3F01">
        <w:rPr>
          <w:lang w:val="en-US"/>
        </w:rPr>
        <w:t xml:space="preserve">(Prolastin-C) </w:t>
      </w:r>
      <w:r w:rsidRPr="00860C77">
        <w:rPr>
          <w:lang w:val="en-US"/>
        </w:rPr>
        <w:t xml:space="preserve">and </w:t>
      </w:r>
      <w:r>
        <w:rPr>
          <w:lang w:val="en-US"/>
        </w:rPr>
        <w:t>Prolastin</w:t>
      </w:r>
      <w:r w:rsidRPr="00860C77">
        <w:rPr>
          <w:lang w:val="en-US"/>
        </w:rPr>
        <w:t xml:space="preserve"> administered at the same dose of 60</w:t>
      </w:r>
      <w:r>
        <w:rPr>
          <w:lang w:val="en-US"/>
        </w:rPr>
        <w:t xml:space="preserve"> mg</w:t>
      </w:r>
      <w:r w:rsidRPr="00860C77">
        <w:rPr>
          <w:lang w:val="en-US"/>
        </w:rPr>
        <w:t xml:space="preserve">/kg </w:t>
      </w:r>
      <w:r w:rsidR="006473AA">
        <w:t>alpha</w:t>
      </w:r>
      <w:r w:rsidR="006473AA">
        <w:rPr>
          <w:vertAlign w:val="subscript"/>
        </w:rPr>
        <w:t>1</w:t>
      </w:r>
      <w:r w:rsidR="001D6CF1">
        <w:noBreakHyphen/>
      </w:r>
      <w:r w:rsidR="006473AA">
        <w:t>PI</w:t>
      </w:r>
      <w:r w:rsidR="006473AA" w:rsidRPr="00860C77">
        <w:rPr>
          <w:lang w:val="en-US"/>
        </w:rPr>
        <w:t xml:space="preserve"> </w:t>
      </w:r>
      <w:r w:rsidRPr="00860C77">
        <w:rPr>
          <w:lang w:val="en-US"/>
        </w:rPr>
        <w:t xml:space="preserve">per potency assay produced comparable mean trough concentrations of plasma </w:t>
      </w:r>
      <w:r w:rsidR="006473AA">
        <w:t>alpha</w:t>
      </w:r>
      <w:r w:rsidR="006473AA">
        <w:rPr>
          <w:vertAlign w:val="subscript"/>
        </w:rPr>
        <w:t>1</w:t>
      </w:r>
      <w:r w:rsidR="006473AA">
        <w:t>-PI</w:t>
      </w:r>
      <w:r w:rsidRPr="00860C77">
        <w:rPr>
          <w:lang w:val="en-US"/>
        </w:rPr>
        <w:t xml:space="preserve">, 16.9 and 16.7 </w:t>
      </w:r>
      <w:r>
        <w:rPr>
          <w:lang w:val="en-US"/>
        </w:rPr>
        <w:t>µ</w:t>
      </w:r>
      <w:r w:rsidRPr="00860C77">
        <w:rPr>
          <w:lang w:val="en-US"/>
        </w:rPr>
        <w:t xml:space="preserve">M, respectively, as measured </w:t>
      </w:r>
      <w:r>
        <w:rPr>
          <w:lang w:val="en-US"/>
        </w:rPr>
        <w:t>by the antigenic content assay.</w:t>
      </w:r>
    </w:p>
    <w:p w:rsidR="00110DC4" w:rsidRPr="00860C77" w:rsidRDefault="00110DC4" w:rsidP="00110DC4">
      <w:pPr>
        <w:rPr>
          <w:lang w:val="en-US"/>
        </w:rPr>
      </w:pPr>
      <w:r w:rsidRPr="00860C77">
        <w:rPr>
          <w:lang w:val="en-US"/>
        </w:rPr>
        <w:t>The published literature showed some inconsistencies with this data. The Hubbard study supported the f</w:t>
      </w:r>
      <w:r>
        <w:rPr>
          <w:lang w:val="en-US"/>
        </w:rPr>
        <w:t>indings;</w:t>
      </w:r>
      <w:r w:rsidRPr="00860C77">
        <w:rPr>
          <w:lang w:val="en-US"/>
        </w:rPr>
        <w:t xml:space="preserve"> </w:t>
      </w:r>
      <w:r w:rsidRPr="00860C77">
        <w:rPr>
          <w:spacing w:val="-3"/>
          <w:lang w:val="en-US"/>
        </w:rPr>
        <w:t xml:space="preserve">here </w:t>
      </w:r>
      <w:r w:rsidRPr="00860C77">
        <w:rPr>
          <w:lang w:val="en-US"/>
        </w:rPr>
        <w:t xml:space="preserve">after a single </w:t>
      </w:r>
      <w:r>
        <w:rPr>
          <w:lang w:val="en-US"/>
        </w:rPr>
        <w:t>250 mg</w:t>
      </w:r>
      <w:r w:rsidRPr="00860C77">
        <w:rPr>
          <w:lang w:val="en-US"/>
        </w:rPr>
        <w:t xml:space="preserve">/kg dose, serum </w:t>
      </w:r>
      <w:r w:rsidR="001D6CF1">
        <w:t>alpha</w:t>
      </w:r>
      <w:r w:rsidR="001D6CF1">
        <w:rPr>
          <w:vertAlign w:val="subscript"/>
        </w:rPr>
        <w:t>1</w:t>
      </w:r>
      <w:r w:rsidR="001D6CF1">
        <w:t>-PI</w:t>
      </w:r>
      <w:r w:rsidRPr="00860C77">
        <w:rPr>
          <w:spacing w:val="-5"/>
          <w:lang w:val="en-US"/>
        </w:rPr>
        <w:t xml:space="preserve"> </w:t>
      </w:r>
      <w:r w:rsidRPr="00860C77">
        <w:rPr>
          <w:lang w:val="en-US"/>
        </w:rPr>
        <w:t xml:space="preserve">concentrations remained </w:t>
      </w:r>
      <w:r w:rsidRPr="00860C77">
        <w:rPr>
          <w:spacing w:val="-3"/>
          <w:lang w:val="en-US"/>
        </w:rPr>
        <w:t xml:space="preserve">above </w:t>
      </w:r>
      <w:r w:rsidRPr="00860C77">
        <w:rPr>
          <w:lang w:val="en-US"/>
        </w:rPr>
        <w:t>the 80</w:t>
      </w:r>
      <w:r>
        <w:rPr>
          <w:lang w:val="en-US"/>
        </w:rPr>
        <w:t xml:space="preserve"> mg</w:t>
      </w:r>
      <w:r w:rsidRPr="00860C77">
        <w:rPr>
          <w:lang w:val="en-US"/>
        </w:rPr>
        <w:t>/</w:t>
      </w:r>
      <w:proofErr w:type="spellStart"/>
      <w:r w:rsidRPr="00860C77">
        <w:rPr>
          <w:lang w:val="en-US"/>
        </w:rPr>
        <w:t>dL</w:t>
      </w:r>
      <w:proofErr w:type="spellEnd"/>
      <w:r w:rsidRPr="00860C77">
        <w:rPr>
          <w:lang w:val="en-US"/>
        </w:rPr>
        <w:t xml:space="preserve"> </w:t>
      </w:r>
      <w:r w:rsidRPr="00860C77">
        <w:rPr>
          <w:spacing w:val="-3"/>
          <w:lang w:val="en-US"/>
        </w:rPr>
        <w:t xml:space="preserve">level for </w:t>
      </w:r>
      <w:r w:rsidRPr="00860C77">
        <w:rPr>
          <w:lang w:val="en-US"/>
        </w:rPr>
        <w:t xml:space="preserve">21 days and the concentration </w:t>
      </w:r>
      <w:r w:rsidRPr="00860C77">
        <w:rPr>
          <w:spacing w:val="-4"/>
          <w:lang w:val="en-US"/>
        </w:rPr>
        <w:t xml:space="preserve">above </w:t>
      </w:r>
      <w:r w:rsidRPr="00860C77">
        <w:rPr>
          <w:lang w:val="en-US"/>
        </w:rPr>
        <w:t xml:space="preserve">the </w:t>
      </w:r>
      <w:r>
        <w:rPr>
          <w:lang w:val="en-US"/>
        </w:rPr>
        <w:t>pre-infusion</w:t>
      </w:r>
      <w:r w:rsidRPr="00860C77">
        <w:rPr>
          <w:lang w:val="en-US"/>
        </w:rPr>
        <w:t xml:space="preserve"> </w:t>
      </w:r>
      <w:r w:rsidR="001D6CF1">
        <w:t>alpha</w:t>
      </w:r>
      <w:r w:rsidR="001D6CF1">
        <w:rPr>
          <w:vertAlign w:val="subscript"/>
        </w:rPr>
        <w:t>1</w:t>
      </w:r>
      <w:r w:rsidR="001D6CF1">
        <w:t>-PI</w:t>
      </w:r>
      <w:r w:rsidRPr="00860C77">
        <w:rPr>
          <w:spacing w:val="-8"/>
          <w:lang w:val="en-US"/>
        </w:rPr>
        <w:t xml:space="preserve"> </w:t>
      </w:r>
      <w:r w:rsidRPr="00860C77">
        <w:rPr>
          <w:lang w:val="en-US"/>
        </w:rPr>
        <w:t xml:space="preserve">concentration </w:t>
      </w:r>
      <w:r w:rsidRPr="00860C77">
        <w:rPr>
          <w:spacing w:val="-3"/>
          <w:lang w:val="en-US"/>
        </w:rPr>
        <w:t xml:space="preserve">for </w:t>
      </w:r>
      <w:r w:rsidRPr="00860C77">
        <w:rPr>
          <w:lang w:val="en-US"/>
        </w:rPr>
        <w:t xml:space="preserve">28 days. </w:t>
      </w:r>
      <w:r w:rsidR="00DD351A">
        <w:t>Anti-neutrophil elastase capacity in the lung fluid (ELF)</w:t>
      </w:r>
      <w:r w:rsidRPr="00860C77">
        <w:rPr>
          <w:lang w:val="en-US"/>
        </w:rPr>
        <w:t xml:space="preserve"> </w:t>
      </w:r>
      <w:r w:rsidRPr="00860C77">
        <w:rPr>
          <w:spacing w:val="-3"/>
          <w:lang w:val="en-US"/>
        </w:rPr>
        <w:t xml:space="preserve">levels </w:t>
      </w:r>
      <w:r w:rsidR="003E7485" w:rsidRPr="00860C77">
        <w:rPr>
          <w:spacing w:val="-3"/>
          <w:lang w:val="en-US"/>
        </w:rPr>
        <w:t>w</w:t>
      </w:r>
      <w:r w:rsidR="003E7485">
        <w:rPr>
          <w:spacing w:val="-3"/>
          <w:lang w:val="en-US"/>
        </w:rPr>
        <w:t>as</w:t>
      </w:r>
      <w:r w:rsidR="003E7485" w:rsidRPr="00860C77">
        <w:rPr>
          <w:spacing w:val="-3"/>
          <w:lang w:val="en-US"/>
        </w:rPr>
        <w:t xml:space="preserve"> </w:t>
      </w:r>
      <w:r w:rsidRPr="00860C77">
        <w:rPr>
          <w:lang w:val="en-US"/>
        </w:rPr>
        <w:t>elevated at 7,</w:t>
      </w:r>
      <w:r>
        <w:rPr>
          <w:lang w:val="en-US"/>
        </w:rPr>
        <w:t xml:space="preserve"> </w:t>
      </w:r>
      <w:r w:rsidRPr="00860C77">
        <w:rPr>
          <w:lang w:val="en-US"/>
        </w:rPr>
        <w:t>14 and 28 days after each monthly infusion</w:t>
      </w:r>
      <w:r w:rsidRPr="009E6095">
        <w:rPr>
          <w:lang w:val="en-US"/>
        </w:rPr>
        <w:t>. ELF</w:t>
      </w:r>
      <w:r w:rsidRPr="00860C77">
        <w:rPr>
          <w:lang w:val="en-US"/>
        </w:rPr>
        <w:t xml:space="preserve"> </w:t>
      </w:r>
      <w:r w:rsidR="001D6CF1">
        <w:t>alpha</w:t>
      </w:r>
      <w:r w:rsidR="001D6CF1">
        <w:rPr>
          <w:vertAlign w:val="subscript"/>
        </w:rPr>
        <w:t>1</w:t>
      </w:r>
      <w:r w:rsidR="001D6CF1">
        <w:t>-PI</w:t>
      </w:r>
      <w:r w:rsidRPr="00860C77">
        <w:rPr>
          <w:spacing w:val="-5"/>
          <w:lang w:val="en-US"/>
        </w:rPr>
        <w:t xml:space="preserve"> </w:t>
      </w:r>
      <w:r w:rsidRPr="00860C77">
        <w:rPr>
          <w:lang w:val="en-US"/>
        </w:rPr>
        <w:t xml:space="preserve">was </w:t>
      </w:r>
      <w:r w:rsidRPr="00860C77">
        <w:rPr>
          <w:spacing w:val="-3"/>
          <w:lang w:val="en-US"/>
        </w:rPr>
        <w:t xml:space="preserve">more </w:t>
      </w:r>
      <w:r w:rsidRPr="00860C77">
        <w:rPr>
          <w:lang w:val="en-US"/>
        </w:rPr>
        <w:t xml:space="preserve">than 10 fold higher than the </w:t>
      </w:r>
      <w:r>
        <w:rPr>
          <w:lang w:val="en-US"/>
        </w:rPr>
        <w:t>pre-infusion</w:t>
      </w:r>
      <w:r w:rsidRPr="00860C77">
        <w:rPr>
          <w:lang w:val="en-US"/>
        </w:rPr>
        <w:t xml:space="preserve"> </w:t>
      </w:r>
      <w:r w:rsidRPr="00860C77">
        <w:rPr>
          <w:spacing w:val="-3"/>
          <w:lang w:val="en-US"/>
        </w:rPr>
        <w:t xml:space="preserve">ELF </w:t>
      </w:r>
      <w:r w:rsidR="001D6CF1">
        <w:t>alpha</w:t>
      </w:r>
      <w:r w:rsidR="001D6CF1">
        <w:rPr>
          <w:vertAlign w:val="subscript"/>
        </w:rPr>
        <w:t>1</w:t>
      </w:r>
      <w:r w:rsidR="001D6CF1">
        <w:t>-PI</w:t>
      </w:r>
      <w:r w:rsidRPr="00860C77">
        <w:rPr>
          <w:spacing w:val="-5"/>
          <w:lang w:val="en-US"/>
        </w:rPr>
        <w:t xml:space="preserve"> </w:t>
      </w:r>
      <w:r w:rsidRPr="00860C77">
        <w:rPr>
          <w:spacing w:val="-3"/>
          <w:lang w:val="en-US"/>
        </w:rPr>
        <w:t xml:space="preserve">level. </w:t>
      </w:r>
      <w:r w:rsidRPr="00860C77">
        <w:rPr>
          <w:lang w:val="en-US"/>
        </w:rPr>
        <w:t xml:space="preserve">The ELF </w:t>
      </w:r>
      <w:r w:rsidR="001D6CF1">
        <w:t>alpha</w:t>
      </w:r>
      <w:r w:rsidR="001D6CF1">
        <w:rPr>
          <w:vertAlign w:val="subscript"/>
        </w:rPr>
        <w:t>1</w:t>
      </w:r>
      <w:r w:rsidR="001D6CF1">
        <w:t>-PI</w:t>
      </w:r>
      <w:r w:rsidRPr="00860C77">
        <w:rPr>
          <w:spacing w:val="-5"/>
          <w:lang w:val="en-US"/>
        </w:rPr>
        <w:t xml:space="preserve"> </w:t>
      </w:r>
      <w:r w:rsidRPr="00860C77">
        <w:rPr>
          <w:spacing w:val="-3"/>
          <w:lang w:val="en-US"/>
        </w:rPr>
        <w:t>levels</w:t>
      </w:r>
      <w:r>
        <w:rPr>
          <w:spacing w:val="-3"/>
          <w:lang w:val="en-US"/>
        </w:rPr>
        <w:t xml:space="preserve"> </w:t>
      </w:r>
      <w:r w:rsidRPr="00860C77">
        <w:rPr>
          <w:lang w:val="en-US"/>
        </w:rPr>
        <w:t xml:space="preserve">28 days post infusion of 2.35 </w:t>
      </w:r>
      <w:r>
        <w:t>µ</w:t>
      </w:r>
      <w:proofErr w:type="spellStart"/>
      <w:r w:rsidRPr="00696999">
        <w:t>mol</w:t>
      </w:r>
      <w:proofErr w:type="spellEnd"/>
      <w:r w:rsidRPr="00860C77">
        <w:rPr>
          <w:lang w:val="en-US"/>
        </w:rPr>
        <w:t xml:space="preserve"> were nearly 7</w:t>
      </w:r>
      <w:r w:rsidR="009E6095">
        <w:rPr>
          <w:lang w:val="en-US"/>
        </w:rPr>
        <w:t> </w:t>
      </w:r>
      <w:r>
        <w:rPr>
          <w:lang w:val="en-US"/>
        </w:rPr>
        <w:t>fold</w:t>
      </w:r>
      <w:r w:rsidRPr="00860C77">
        <w:rPr>
          <w:lang w:val="en-US"/>
        </w:rPr>
        <w:t xml:space="preserve"> higher than the </w:t>
      </w:r>
      <w:r>
        <w:rPr>
          <w:lang w:val="en-US"/>
        </w:rPr>
        <w:t>pre-infusion</w:t>
      </w:r>
      <w:r w:rsidRPr="00860C77">
        <w:rPr>
          <w:lang w:val="en-US"/>
        </w:rPr>
        <w:t xml:space="preserve"> </w:t>
      </w:r>
      <w:r w:rsidRPr="00860C77">
        <w:rPr>
          <w:spacing w:val="-3"/>
          <w:lang w:val="en-US"/>
        </w:rPr>
        <w:t xml:space="preserve">level </w:t>
      </w:r>
      <w:r w:rsidRPr="00860C77">
        <w:rPr>
          <w:lang w:val="en-US"/>
        </w:rPr>
        <w:t>and higher than the theoretical ‘threshold’ of 1.3</w:t>
      </w:r>
      <w:r w:rsidR="009E6095">
        <w:rPr>
          <w:lang w:val="en-US"/>
        </w:rPr>
        <w:t> </w:t>
      </w:r>
      <w:r>
        <w:t>µ</w:t>
      </w:r>
      <w:proofErr w:type="spellStart"/>
      <w:r w:rsidRPr="00696999">
        <w:t>mol</w:t>
      </w:r>
      <w:proofErr w:type="spellEnd"/>
      <w:r w:rsidRPr="00860C77">
        <w:rPr>
          <w:lang w:val="en-US"/>
        </w:rPr>
        <w:t xml:space="preserve">. The infusion was </w:t>
      </w:r>
      <w:r w:rsidRPr="00860C77">
        <w:rPr>
          <w:spacing w:val="-3"/>
          <w:lang w:val="en-US"/>
        </w:rPr>
        <w:t xml:space="preserve">well </w:t>
      </w:r>
      <w:r w:rsidRPr="00860C77">
        <w:rPr>
          <w:lang w:val="en-US"/>
        </w:rPr>
        <w:t xml:space="preserve">tolerated and no new </w:t>
      </w:r>
      <w:r w:rsidR="000D3F01">
        <w:rPr>
          <w:lang w:val="en-US"/>
        </w:rPr>
        <w:t>adverse events (</w:t>
      </w:r>
      <w:r w:rsidRPr="00860C77">
        <w:rPr>
          <w:lang w:val="en-US"/>
        </w:rPr>
        <w:t>AEs</w:t>
      </w:r>
      <w:r w:rsidR="000D3F01">
        <w:rPr>
          <w:lang w:val="en-US"/>
        </w:rPr>
        <w:t>)</w:t>
      </w:r>
      <w:r w:rsidRPr="00860C77">
        <w:rPr>
          <w:lang w:val="en-US"/>
        </w:rPr>
        <w:t xml:space="preserve"> </w:t>
      </w:r>
      <w:r w:rsidRPr="00860C77">
        <w:rPr>
          <w:spacing w:val="-3"/>
          <w:lang w:val="en-US"/>
        </w:rPr>
        <w:t xml:space="preserve">were </w:t>
      </w:r>
      <w:r w:rsidRPr="00860C77">
        <w:rPr>
          <w:lang w:val="en-US"/>
        </w:rPr>
        <w:t xml:space="preserve">noted in the chronic study of 12 months. </w:t>
      </w:r>
      <w:r w:rsidRPr="00860C77">
        <w:rPr>
          <w:spacing w:val="-3"/>
          <w:lang w:val="en-US"/>
        </w:rPr>
        <w:t xml:space="preserve">However </w:t>
      </w:r>
      <w:r w:rsidRPr="00860C77">
        <w:rPr>
          <w:lang w:val="en-US"/>
        </w:rPr>
        <w:t xml:space="preserve">it was noted that despite the increase in ELF </w:t>
      </w:r>
      <w:r w:rsidR="001D6CF1">
        <w:t>alpha</w:t>
      </w:r>
      <w:r w:rsidR="001D6CF1">
        <w:rPr>
          <w:vertAlign w:val="subscript"/>
        </w:rPr>
        <w:t>1</w:t>
      </w:r>
      <w:r w:rsidR="001D6CF1">
        <w:t>-PI</w:t>
      </w:r>
      <w:r w:rsidRPr="00860C77">
        <w:rPr>
          <w:spacing w:val="-9"/>
          <w:lang w:val="en-US"/>
        </w:rPr>
        <w:t xml:space="preserve">, </w:t>
      </w:r>
      <w:r w:rsidRPr="00860C77">
        <w:rPr>
          <w:lang w:val="en-US"/>
        </w:rPr>
        <w:t>pulmonary status did not</w:t>
      </w:r>
      <w:r w:rsidRPr="00860C77">
        <w:rPr>
          <w:spacing w:val="2"/>
          <w:lang w:val="en-US"/>
        </w:rPr>
        <w:t xml:space="preserve"> </w:t>
      </w:r>
      <w:r>
        <w:rPr>
          <w:lang w:val="en-US"/>
        </w:rPr>
        <w:t>change.</w:t>
      </w:r>
    </w:p>
    <w:p w:rsidR="00110DC4" w:rsidRPr="00860C77" w:rsidRDefault="00110DC4" w:rsidP="00110DC4">
      <w:pPr>
        <w:rPr>
          <w:lang w:val="en-US"/>
        </w:rPr>
      </w:pPr>
      <w:r w:rsidRPr="00860C77">
        <w:rPr>
          <w:lang w:val="en-US"/>
        </w:rPr>
        <w:t xml:space="preserve">In another </w:t>
      </w:r>
      <w:r w:rsidRPr="009A772C">
        <w:rPr>
          <w:lang w:val="en-US"/>
        </w:rPr>
        <w:t>study (</w:t>
      </w:r>
      <w:proofErr w:type="spellStart"/>
      <w:r w:rsidR="00C0230F" w:rsidRPr="009A772C">
        <w:rPr>
          <w:lang w:val="en-US"/>
        </w:rPr>
        <w:t>Wew</w:t>
      </w:r>
      <w:r w:rsidRPr="009A772C">
        <w:rPr>
          <w:lang w:val="en-US"/>
        </w:rPr>
        <w:t>er</w:t>
      </w:r>
      <w:r w:rsidR="00C0230F" w:rsidRPr="009A772C">
        <w:rPr>
          <w:lang w:val="en-US"/>
        </w:rPr>
        <w:t>s</w:t>
      </w:r>
      <w:proofErr w:type="spellEnd"/>
      <w:r w:rsidR="00C0230F" w:rsidRPr="009A772C">
        <w:rPr>
          <w:lang w:val="en-US"/>
        </w:rPr>
        <w:t xml:space="preserve"> 1987</w:t>
      </w:r>
      <w:r w:rsidRPr="009A772C">
        <w:rPr>
          <w:lang w:val="en-US"/>
        </w:rPr>
        <w:t>)</w:t>
      </w:r>
      <w:bookmarkStart w:id="77" w:name="_Ref488669900"/>
      <w:r w:rsidR="00C0230F" w:rsidRPr="009A772C">
        <w:rPr>
          <w:rStyle w:val="FootnoteReference"/>
          <w:lang w:val="en-US"/>
        </w:rPr>
        <w:footnoteReference w:id="12"/>
      </w:r>
      <w:bookmarkEnd w:id="77"/>
      <w:r w:rsidRPr="009A772C">
        <w:rPr>
          <w:lang w:val="en-US"/>
        </w:rPr>
        <w:t>, there</w:t>
      </w:r>
      <w:r w:rsidRPr="00860C77">
        <w:rPr>
          <w:lang w:val="en-US"/>
        </w:rPr>
        <w:t xml:space="preserve"> was a 4</w:t>
      </w:r>
      <w:r>
        <w:rPr>
          <w:lang w:val="en-US"/>
        </w:rPr>
        <w:t xml:space="preserve"> fold</w:t>
      </w:r>
      <w:r w:rsidRPr="00860C77">
        <w:rPr>
          <w:lang w:val="en-US"/>
        </w:rPr>
        <w:t xml:space="preserve"> increase in serum </w:t>
      </w:r>
      <w:r w:rsidR="001D6CF1">
        <w:t>alpha</w:t>
      </w:r>
      <w:r w:rsidR="001D6CF1">
        <w:rPr>
          <w:vertAlign w:val="subscript"/>
        </w:rPr>
        <w:t>1</w:t>
      </w:r>
      <w:r w:rsidR="001D6CF1">
        <w:t>-PI</w:t>
      </w:r>
      <w:r w:rsidRPr="00860C77">
        <w:rPr>
          <w:lang w:val="en-US"/>
        </w:rPr>
        <w:t xml:space="preserve"> concentrations and a 2 fold increase in capacity of the lung to inhibit neutroph</w:t>
      </w:r>
      <w:r>
        <w:rPr>
          <w:lang w:val="en-US"/>
        </w:rPr>
        <w:t xml:space="preserve">il elastase capacity over the 5 to </w:t>
      </w:r>
      <w:r w:rsidRPr="00860C77">
        <w:rPr>
          <w:lang w:val="en-US"/>
        </w:rPr>
        <w:t xml:space="preserve">6 months with both serum concentrations of serum </w:t>
      </w:r>
      <w:r w:rsidR="001D6CF1">
        <w:t>alpha</w:t>
      </w:r>
      <w:r w:rsidR="001D6CF1">
        <w:rPr>
          <w:vertAlign w:val="subscript"/>
        </w:rPr>
        <w:t>1</w:t>
      </w:r>
      <w:r w:rsidR="001D6CF1">
        <w:t>-PI</w:t>
      </w:r>
      <w:r w:rsidRPr="00860C77">
        <w:rPr>
          <w:lang w:val="en-US"/>
        </w:rPr>
        <w:t xml:space="preserve"> and serum anti-neutrophil elastase activity elevated during LT (up t</w:t>
      </w:r>
      <w:r>
        <w:rPr>
          <w:lang w:val="en-US"/>
        </w:rPr>
        <w:t>o 6 months) use in 21 patients.</w:t>
      </w:r>
    </w:p>
    <w:p w:rsidR="00110DC4" w:rsidRPr="00F0609A" w:rsidRDefault="00110DC4" w:rsidP="00110DC4">
      <w:pPr>
        <w:rPr>
          <w:lang w:val="en-US"/>
        </w:rPr>
      </w:pPr>
      <w:r w:rsidRPr="00860C77">
        <w:rPr>
          <w:lang w:val="en-US"/>
        </w:rPr>
        <w:t>However in another study (</w:t>
      </w:r>
      <w:r w:rsidRPr="00F922F5">
        <w:rPr>
          <w:lang w:val="en-US"/>
        </w:rPr>
        <w:t>Barker</w:t>
      </w:r>
      <w:r w:rsidRPr="00860C77">
        <w:rPr>
          <w:lang w:val="en-US"/>
        </w:rPr>
        <w:t>)</w:t>
      </w:r>
      <w:r w:rsidR="00F922F5">
        <w:rPr>
          <w:rStyle w:val="FootnoteReference"/>
          <w:lang w:val="en-US"/>
        </w:rPr>
        <w:footnoteReference w:id="13"/>
      </w:r>
      <w:r w:rsidRPr="00860C77">
        <w:rPr>
          <w:lang w:val="en-US"/>
        </w:rPr>
        <w:t>, 23 patients given 120</w:t>
      </w:r>
      <w:r>
        <w:rPr>
          <w:lang w:val="en-US"/>
        </w:rPr>
        <w:t xml:space="preserve"> mg</w:t>
      </w:r>
      <w:r w:rsidRPr="00860C77">
        <w:rPr>
          <w:lang w:val="en-US"/>
        </w:rPr>
        <w:t xml:space="preserve">/kg </w:t>
      </w:r>
      <w:r>
        <w:rPr>
          <w:lang w:val="en-US"/>
        </w:rPr>
        <w:t xml:space="preserve">IV </w:t>
      </w:r>
      <w:r w:rsidR="00F922F5">
        <w:rPr>
          <w:lang w:val="en-US"/>
        </w:rPr>
        <w:t>infusion every 2 </w:t>
      </w:r>
      <w:r w:rsidRPr="00860C77">
        <w:rPr>
          <w:lang w:val="en-US"/>
        </w:rPr>
        <w:t>weeks did not maintain</w:t>
      </w:r>
      <w:r>
        <w:rPr>
          <w:lang w:val="en-US"/>
        </w:rPr>
        <w:t xml:space="preserve"> a nadir concentration above 70 to </w:t>
      </w:r>
      <w:r w:rsidRPr="00860C77">
        <w:rPr>
          <w:lang w:val="en-US"/>
        </w:rPr>
        <w:t>80</w:t>
      </w:r>
      <w:r>
        <w:rPr>
          <w:lang w:val="en-US"/>
        </w:rPr>
        <w:t xml:space="preserve"> mg</w:t>
      </w:r>
      <w:r w:rsidRPr="00860C77">
        <w:rPr>
          <w:lang w:val="en-US"/>
        </w:rPr>
        <w:t>/</w:t>
      </w:r>
      <w:proofErr w:type="spellStart"/>
      <w:r w:rsidRPr="00860C77">
        <w:rPr>
          <w:lang w:val="en-US"/>
        </w:rPr>
        <w:t>dL</w:t>
      </w:r>
      <w:proofErr w:type="spellEnd"/>
      <w:r w:rsidRPr="00860C77">
        <w:rPr>
          <w:lang w:val="en-US"/>
        </w:rPr>
        <w:t xml:space="preserve"> for most patients. The serum </w:t>
      </w:r>
      <w:r w:rsidR="001D6CF1">
        <w:t>alpha</w:t>
      </w:r>
      <w:r w:rsidR="001D6CF1">
        <w:rPr>
          <w:vertAlign w:val="subscript"/>
        </w:rPr>
        <w:t>1</w:t>
      </w:r>
      <w:r w:rsidR="001D6CF1">
        <w:t>-PI</w:t>
      </w:r>
      <w:r w:rsidRPr="00860C77">
        <w:rPr>
          <w:lang w:val="en-US"/>
        </w:rPr>
        <w:t xml:space="preserve"> and neutralizing elastase levels correlated but did not correlate with </w:t>
      </w:r>
      <w:r w:rsidRPr="009E6095">
        <w:rPr>
          <w:lang w:val="en-US"/>
        </w:rPr>
        <w:t>lung BAL</w:t>
      </w:r>
      <w:r w:rsidR="00866299" w:rsidRPr="009E6095">
        <w:rPr>
          <w:lang w:val="en-US"/>
        </w:rPr>
        <w:t>F</w:t>
      </w:r>
      <w:r w:rsidRPr="00860C77">
        <w:rPr>
          <w:lang w:val="en-US"/>
        </w:rPr>
        <w:t xml:space="preserve"> </w:t>
      </w:r>
      <w:r w:rsidR="001D6CF1">
        <w:t>alpha</w:t>
      </w:r>
      <w:r w:rsidR="001D6CF1">
        <w:rPr>
          <w:vertAlign w:val="subscript"/>
        </w:rPr>
        <w:t>1</w:t>
      </w:r>
      <w:r w:rsidR="001D6CF1">
        <w:t>-PI</w:t>
      </w:r>
      <w:r w:rsidRPr="00860C77">
        <w:rPr>
          <w:lang w:val="en-US"/>
        </w:rPr>
        <w:t xml:space="preserve"> or neutralizing elastase levels (measu</w:t>
      </w:r>
      <w:r>
        <w:rPr>
          <w:lang w:val="en-US"/>
        </w:rPr>
        <w:t xml:space="preserve">red in 5 people). AEs did occur; </w:t>
      </w:r>
      <w:r w:rsidRPr="00860C77">
        <w:rPr>
          <w:lang w:val="en-US"/>
        </w:rPr>
        <w:t>there was one discontinuation after the first infusion and almost all had AEs judged probably or possibly related to study drug. Further, despite the infusions</w:t>
      </w:r>
      <w:r>
        <w:rPr>
          <w:lang w:val="en-US"/>
        </w:rPr>
        <w:t>, t</w:t>
      </w:r>
      <w:r w:rsidRPr="00860C77">
        <w:rPr>
          <w:lang w:val="en-US"/>
        </w:rPr>
        <w:t>he FEV1 did not cha</w:t>
      </w:r>
      <w:r>
        <w:rPr>
          <w:lang w:val="en-US"/>
        </w:rPr>
        <w:t>nge and the FVC declined 0.17L.</w:t>
      </w:r>
    </w:p>
    <w:p w:rsidR="008E7846" w:rsidRDefault="008E7846" w:rsidP="008E7846">
      <w:pPr>
        <w:pStyle w:val="Heading3"/>
      </w:pPr>
      <w:bookmarkStart w:id="78" w:name="_Toc196046481"/>
      <w:bookmarkStart w:id="79" w:name="_Toc247691520"/>
      <w:bookmarkStart w:id="80" w:name="_Toc314842503"/>
      <w:bookmarkStart w:id="81" w:name="_Toc497296908"/>
      <w:r w:rsidRPr="00254787">
        <w:t>Pharmacodynamics</w:t>
      </w:r>
      <w:bookmarkEnd w:id="64"/>
      <w:bookmarkEnd w:id="78"/>
      <w:bookmarkEnd w:id="79"/>
      <w:bookmarkEnd w:id="80"/>
      <w:bookmarkEnd w:id="81"/>
    </w:p>
    <w:p w:rsidR="00605AD4" w:rsidRDefault="00605AD4" w:rsidP="00605AD4">
      <w:pPr>
        <w:pStyle w:val="Heading4"/>
      </w:pPr>
      <w:r>
        <w:t>Studies providing pharmacodynamic data</w:t>
      </w:r>
    </w:p>
    <w:p w:rsidR="00F0609A" w:rsidRPr="00DF2D14" w:rsidRDefault="00F0609A" w:rsidP="00F0609A">
      <w:pPr>
        <w:pStyle w:val="Tabletitle0"/>
      </w:pPr>
      <w:r>
        <w:t xml:space="preserve">Table </w:t>
      </w:r>
      <w:r w:rsidR="005F429F">
        <w:t>1</w:t>
      </w:r>
      <w:r>
        <w:t>: Studies providing pharmacokinetic data</w:t>
      </w:r>
    </w:p>
    <w:p w:rsidR="00F0609A" w:rsidRDefault="00D81752" w:rsidP="00F0609A">
      <w:r>
        <w:rPr>
          <w:noProof/>
          <w:lang w:eastAsia="en-AU"/>
        </w:rPr>
        <w:drawing>
          <wp:inline distT="0" distB="0" distL="0" distR="0" wp14:anchorId="4C006CB4" wp14:editId="47570ABC">
            <wp:extent cx="5400040" cy="808275"/>
            <wp:effectExtent l="0" t="0" r="0" b="0"/>
            <wp:docPr id="5" name="Picture 5" descr="screen capture of table 1 listing the studies providing pharmacokinetic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400040" cy="808275"/>
                    </a:xfrm>
                    <a:prstGeom prst="rect">
                      <a:avLst/>
                    </a:prstGeom>
                  </pic:spPr>
                </pic:pic>
              </a:graphicData>
            </a:graphic>
          </wp:inline>
        </w:drawing>
      </w:r>
    </w:p>
    <w:p w:rsidR="00D81752" w:rsidRDefault="00D81752" w:rsidP="00D81752">
      <w:pPr>
        <w:pStyle w:val="ListBullet"/>
      </w:pPr>
      <w:r>
        <w:lastRenderedPageBreak/>
        <w:t>Study PH30125</w:t>
      </w:r>
      <w:bookmarkStart w:id="82" w:name="_Ref488671182"/>
      <w:r>
        <w:rPr>
          <w:rStyle w:val="FootnoteReference"/>
        </w:rPr>
        <w:footnoteReference w:id="14"/>
      </w:r>
      <w:bookmarkEnd w:id="82"/>
    </w:p>
    <w:p w:rsidR="00D81752" w:rsidRPr="00F0609A" w:rsidRDefault="00D81752" w:rsidP="00D81752">
      <w:pPr>
        <w:pStyle w:val="ListBullet"/>
      </w:pPr>
      <w:proofErr w:type="spellStart"/>
      <w:r w:rsidRPr="00DF2D14">
        <w:rPr>
          <w:lang w:val="en-US"/>
        </w:rPr>
        <w:t>Stockley</w:t>
      </w:r>
      <w:proofErr w:type="spellEnd"/>
      <w:r w:rsidRPr="00DF2D14">
        <w:rPr>
          <w:lang w:val="en-US"/>
        </w:rPr>
        <w:t xml:space="preserve"> 2002</w:t>
      </w:r>
      <w:r>
        <w:rPr>
          <w:lang w:val="en-US"/>
        </w:rPr>
        <w:t xml:space="preserve">; </w:t>
      </w:r>
      <w:r w:rsidRPr="00DF2D14">
        <w:t>BAYX5747 200034 – PH 30567/1 Report 2001</w:t>
      </w:r>
      <w:bookmarkStart w:id="83" w:name="_Ref488671829"/>
      <w:r>
        <w:rPr>
          <w:rStyle w:val="FootnoteReference"/>
        </w:rPr>
        <w:footnoteReference w:id="15"/>
      </w:r>
      <w:bookmarkEnd w:id="83"/>
    </w:p>
    <w:p w:rsidR="00605AD4" w:rsidRDefault="00605AD4" w:rsidP="00605AD4">
      <w:pPr>
        <w:pStyle w:val="Heading4"/>
      </w:pPr>
      <w:r>
        <w:t>Evaluator’s conclusions on pharmacodynamics</w:t>
      </w:r>
    </w:p>
    <w:p w:rsidR="00743598" w:rsidRDefault="00743598" w:rsidP="00743598">
      <w:r w:rsidRPr="00484771">
        <w:t xml:space="preserve">Study PH30125 showed that using a biochemical assay or urinary excretion of </w:t>
      </w:r>
      <w:r w:rsidR="009A772C">
        <w:t>desmosine</w:t>
      </w:r>
      <w:r w:rsidRPr="00484771">
        <w:t xml:space="preserve">, baseline levels of </w:t>
      </w:r>
      <w:r w:rsidR="009A772C">
        <w:t>desmosine</w:t>
      </w:r>
      <w:r w:rsidRPr="00484771">
        <w:t xml:space="preserve"> in this population group with AAT</w:t>
      </w:r>
      <w:r w:rsidR="001D6CF1">
        <w:t>D</w:t>
      </w:r>
      <w:r w:rsidRPr="00484771">
        <w:t xml:space="preserve"> </w:t>
      </w:r>
      <w:proofErr w:type="gramStart"/>
      <w:r w:rsidRPr="00484771">
        <w:t>were</w:t>
      </w:r>
      <w:proofErr w:type="gramEnd"/>
      <w:r w:rsidRPr="00484771">
        <w:t xml:space="preserve"> very high but that 8 weeks of IV </w:t>
      </w:r>
      <w:r>
        <w:t>alpha</w:t>
      </w:r>
      <w:r>
        <w:rPr>
          <w:vertAlign w:val="subscript"/>
        </w:rPr>
        <w:t>1</w:t>
      </w:r>
      <w:r>
        <w:t>-PI</w:t>
      </w:r>
      <w:r w:rsidRPr="00484771">
        <w:t xml:space="preserve"> therapy did not change this. It raises issues as to whether the protective levels of </w:t>
      </w:r>
      <w:r>
        <w:t>alpha</w:t>
      </w:r>
      <w:r>
        <w:rPr>
          <w:vertAlign w:val="subscript"/>
        </w:rPr>
        <w:t>1</w:t>
      </w:r>
      <w:r>
        <w:t>-PI</w:t>
      </w:r>
      <w:r w:rsidRPr="00484771">
        <w:t xml:space="preserve"> are insufficient or if elastin degradation is dependent on other pathways. It is likely that Prolastin is not </w:t>
      </w:r>
      <w:proofErr w:type="gramStart"/>
      <w:r w:rsidRPr="00484771">
        <w:t>be</w:t>
      </w:r>
      <w:proofErr w:type="gramEnd"/>
      <w:r w:rsidRPr="00484771">
        <w:t xml:space="preserve"> having even an acute effect on these excretion</w:t>
      </w:r>
      <w:r>
        <w:t xml:space="preserve"> parameters as evidenced by the lack of difference in peak and trough values.</w:t>
      </w:r>
    </w:p>
    <w:p w:rsidR="00743598" w:rsidRPr="00743598" w:rsidRDefault="00743598" w:rsidP="00743598">
      <w:pPr>
        <w:rPr>
          <w:lang w:val="en-US"/>
        </w:rPr>
      </w:pPr>
      <w:r w:rsidRPr="00DF2D14">
        <w:t>BAYX5747 200034 – PH 30567/1 Report 2001</w:t>
      </w:r>
      <w:r>
        <w:t xml:space="preserve"> </w:t>
      </w:r>
      <w:r w:rsidRPr="00860C77">
        <w:rPr>
          <w:lang w:val="en-US"/>
        </w:rPr>
        <w:t xml:space="preserve">similarly showed that although the </w:t>
      </w:r>
      <w:r>
        <w:t>alpha</w:t>
      </w:r>
      <w:r>
        <w:rPr>
          <w:vertAlign w:val="subscript"/>
        </w:rPr>
        <w:t>1</w:t>
      </w:r>
      <w:r>
        <w:noBreakHyphen/>
        <w:t>PI</w:t>
      </w:r>
      <w:r w:rsidRPr="00860C77">
        <w:rPr>
          <w:lang w:val="en-US"/>
        </w:rPr>
        <w:t xml:space="preserve"> concentration increased post infusion, that there were no beneficial effects on PD </w:t>
      </w:r>
      <w:r w:rsidRPr="00B71F00">
        <w:rPr>
          <w:lang w:val="en-US"/>
        </w:rPr>
        <w:t>parameters or BORG</w:t>
      </w:r>
      <w:r w:rsidRPr="00860C77">
        <w:rPr>
          <w:lang w:val="en-US"/>
        </w:rPr>
        <w:t xml:space="preserve"> score</w:t>
      </w:r>
      <w:r w:rsidR="00B71F00">
        <w:rPr>
          <w:rStyle w:val="FootnoteReference"/>
          <w:lang w:val="en-US"/>
        </w:rPr>
        <w:footnoteReference w:id="16"/>
      </w:r>
      <w:r w:rsidRPr="00860C77">
        <w:rPr>
          <w:lang w:val="en-US"/>
        </w:rPr>
        <w:t xml:space="preserve"> se</w:t>
      </w:r>
      <w:r>
        <w:rPr>
          <w:lang w:val="en-US"/>
        </w:rPr>
        <w:t>en. Infusion AEs were reported.</w:t>
      </w:r>
    </w:p>
    <w:p w:rsidR="008E7846" w:rsidRDefault="00605AD4" w:rsidP="00605AD4">
      <w:pPr>
        <w:pStyle w:val="Heading3"/>
      </w:pPr>
      <w:bookmarkStart w:id="84" w:name="_Toc497296909"/>
      <w:r>
        <w:t>Dosage selection for the pivotal studies</w:t>
      </w:r>
      <w:bookmarkEnd w:id="84"/>
    </w:p>
    <w:p w:rsidR="00743598" w:rsidRPr="00743598" w:rsidRDefault="00743598" w:rsidP="00743598">
      <w:pPr>
        <w:rPr>
          <w:lang w:val="en-US"/>
        </w:rPr>
      </w:pPr>
      <w:r w:rsidRPr="00860C77">
        <w:rPr>
          <w:lang w:val="en-US"/>
        </w:rPr>
        <w:t>The dosage selected for the single pivotal study is N/A as there was</w:t>
      </w:r>
      <w:r>
        <w:rPr>
          <w:lang w:val="en-US"/>
        </w:rPr>
        <w:t xml:space="preserve"> no pivotal study. PK data </w:t>
      </w:r>
      <w:r w:rsidRPr="00860C77">
        <w:rPr>
          <w:lang w:val="en-US"/>
        </w:rPr>
        <w:t>suggested the dosage requested in the indication o</w:t>
      </w:r>
      <w:r>
        <w:rPr>
          <w:lang w:val="en-US"/>
        </w:rPr>
        <w:t>f 60 mg/kg weekly is reasonable.</w:t>
      </w:r>
    </w:p>
    <w:p w:rsidR="008E7846" w:rsidRPr="00254787" w:rsidRDefault="008E7846" w:rsidP="008E7846">
      <w:pPr>
        <w:pStyle w:val="Heading3"/>
      </w:pPr>
      <w:bookmarkStart w:id="85" w:name="_Toc163441372"/>
      <w:bookmarkStart w:id="86" w:name="_Toc196046485"/>
      <w:bookmarkStart w:id="87" w:name="_Toc247691521"/>
      <w:bookmarkStart w:id="88" w:name="_Toc314842504"/>
      <w:bookmarkStart w:id="89" w:name="_Toc497296910"/>
      <w:r w:rsidRPr="00254787">
        <w:t>Efficacy</w:t>
      </w:r>
      <w:bookmarkEnd w:id="85"/>
      <w:bookmarkEnd w:id="86"/>
      <w:bookmarkEnd w:id="87"/>
      <w:bookmarkEnd w:id="88"/>
      <w:bookmarkEnd w:id="89"/>
    </w:p>
    <w:p w:rsidR="00605AD4" w:rsidRDefault="00743598" w:rsidP="00743598">
      <w:bookmarkStart w:id="90" w:name="_Toc184439992"/>
      <w:bookmarkStart w:id="91" w:name="_Toc184440279"/>
      <w:bookmarkStart w:id="92" w:name="_Toc184444657"/>
      <w:bookmarkStart w:id="93" w:name="_Toc196046487"/>
      <w:r>
        <w:t xml:space="preserve">For evaluation of the studies which provided evidence of efficacy please see </w:t>
      </w:r>
      <w:r w:rsidR="00237508">
        <w:t>Attachment</w:t>
      </w:r>
      <w:r>
        <w:t xml:space="preserve"> 2, extract of the clinical evaluation report.</w:t>
      </w:r>
    </w:p>
    <w:p w:rsidR="008E7846" w:rsidRDefault="00605AD4" w:rsidP="00605AD4">
      <w:pPr>
        <w:pStyle w:val="Heading4"/>
      </w:pPr>
      <w:r>
        <w:t>Evaluator’s conclusions on efficacy</w:t>
      </w:r>
    </w:p>
    <w:p w:rsidR="00743598" w:rsidRPr="00743598" w:rsidRDefault="00743598" w:rsidP="00743598">
      <w:r w:rsidRPr="00743598">
        <w:t xml:space="preserve">In the comparative study disease progression was demonstrated in both treatment groups </w:t>
      </w:r>
      <w:r w:rsidRPr="0038469A">
        <w:t>using CT densitometry</w:t>
      </w:r>
      <w:r w:rsidRPr="00743598">
        <w:t xml:space="preserve"> to assess emphysema severity. There was no difference in the primary endpoint.</w:t>
      </w:r>
    </w:p>
    <w:p w:rsidR="00743598" w:rsidRPr="00743598" w:rsidRDefault="00743598" w:rsidP="00743598">
      <w:r w:rsidRPr="00743598">
        <w:t xml:space="preserve">There was a treatment difference in the rate of lung density progression (unadjusted 15th percentile of lung density) between the Prolastin and placebo groups of 1.472 (95% confidence interval: 0.009 to 2.935), p = 0.049. But when adjusted for </w:t>
      </w:r>
      <w:r w:rsidR="009A772C">
        <w:t>total lung capacity (</w:t>
      </w:r>
      <w:r w:rsidRPr="009A772C">
        <w:t>TLC</w:t>
      </w:r>
      <w:r w:rsidR="009A772C" w:rsidRPr="009A772C">
        <w:t>)</w:t>
      </w:r>
      <w:r w:rsidRPr="009A772C">
        <w:t xml:space="preserve"> this</w:t>
      </w:r>
      <w:r w:rsidRPr="00743598">
        <w:t xml:space="preserve"> was no longer significant. There was a non-significant trend evident in the four analysis methods used for primary efficacy endpoint analysis perhaps suggesting a slight deceleration of lung density decline in the Prolastin group.</w:t>
      </w:r>
    </w:p>
    <w:p w:rsidR="00743598" w:rsidRPr="00743598" w:rsidRDefault="00743598" w:rsidP="00743598">
      <w:r w:rsidRPr="00743598">
        <w:t>Prolastin was associated with significantly less severe exacerbations but it did not have a significant effect on duration or number of exacerbations.</w:t>
      </w:r>
    </w:p>
    <w:p w:rsidR="00743598" w:rsidRPr="00743598" w:rsidRDefault="00743598" w:rsidP="00743598">
      <w:r w:rsidRPr="00743598">
        <w:t xml:space="preserve">Prolastin did not have an effect on FEV1 or </w:t>
      </w:r>
      <w:r w:rsidR="006F7390">
        <w:t xml:space="preserve">transfer factor of carbon </w:t>
      </w:r>
      <w:r w:rsidR="006F7390" w:rsidRPr="006F7390">
        <w:t>monoxide (</w:t>
      </w:r>
      <w:r w:rsidRPr="006F7390">
        <w:t>KCO</w:t>
      </w:r>
      <w:r w:rsidR="006F7390" w:rsidRPr="006F7390">
        <w:t>)</w:t>
      </w:r>
      <w:r w:rsidRPr="006F7390">
        <w:t xml:space="preserve"> and</w:t>
      </w:r>
      <w:r w:rsidRPr="00743598">
        <w:t xml:space="preserve"> </w:t>
      </w:r>
      <w:r w:rsidR="006F7390">
        <w:t xml:space="preserve">pulmonary diffusing capacity </w:t>
      </w:r>
      <w:r w:rsidR="006F7390" w:rsidRPr="006F7390">
        <w:t xml:space="preserve">for </w:t>
      </w:r>
      <w:r w:rsidR="006F7390">
        <w:t>CO</w:t>
      </w:r>
      <w:r w:rsidR="006F7390" w:rsidRPr="006F7390">
        <w:t xml:space="preserve"> (</w:t>
      </w:r>
      <w:r w:rsidRPr="006F7390">
        <w:t>DLCO</w:t>
      </w:r>
      <w:r w:rsidR="006F7390" w:rsidRPr="006F7390">
        <w:t>)</w:t>
      </w:r>
      <w:r w:rsidRPr="006F7390">
        <w:t xml:space="preserve"> indicated any advantage of the Prolastin treatment. All of these parameters</w:t>
      </w:r>
      <w:r w:rsidRPr="00743598">
        <w:t xml:space="preserve"> consistently reflected a deterioration of lung function. As to be expected, the speed of deterioration was not markedly different under Prolastin treatment when compared to placebo treatment (all p values &gt; 0.1; random coefficient regression model). These results were further in accordance with the results referring to other lung function parameters.</w:t>
      </w:r>
    </w:p>
    <w:p w:rsidR="00743598" w:rsidRPr="00743598" w:rsidRDefault="00743598" w:rsidP="00743598">
      <w:r w:rsidRPr="00743598">
        <w:lastRenderedPageBreak/>
        <w:t>The interpretation of the pooled dataset (</w:t>
      </w:r>
      <w:proofErr w:type="spellStart"/>
      <w:r w:rsidRPr="00743598">
        <w:t>Stockley</w:t>
      </w:r>
      <w:proofErr w:type="spellEnd"/>
      <w:r>
        <w:rPr>
          <w:rStyle w:val="FootnoteReference"/>
        </w:rPr>
        <w:footnoteReference w:id="17"/>
      </w:r>
      <w:r w:rsidRPr="00743598">
        <w:t>) is unclear as is the clinical significance of a difference in lung density of 1.01</w:t>
      </w:r>
      <w:r w:rsidR="001D6CF1">
        <w:t xml:space="preserve"> </w:t>
      </w:r>
      <w:r w:rsidRPr="00743598">
        <w:t>g/L over 2.5 years which not discussed.</w:t>
      </w:r>
    </w:p>
    <w:p w:rsidR="00743598" w:rsidRPr="00743598" w:rsidRDefault="00743598" w:rsidP="00743598">
      <w:r w:rsidRPr="00743598">
        <w:t>Overall, Prolastin may have minor effects on lung decline; however these are likely to be small and clinically insignificant. There is no effect on quality of life.</w:t>
      </w:r>
    </w:p>
    <w:p w:rsidR="008E7846" w:rsidRPr="002E238E" w:rsidRDefault="008E7846" w:rsidP="008E7846">
      <w:pPr>
        <w:pStyle w:val="Heading3"/>
      </w:pPr>
      <w:bookmarkStart w:id="94" w:name="_Toc163441378"/>
      <w:bookmarkStart w:id="95" w:name="_Toc196046495"/>
      <w:bookmarkStart w:id="96" w:name="_Toc247691522"/>
      <w:bookmarkStart w:id="97" w:name="_Toc314842505"/>
      <w:bookmarkStart w:id="98" w:name="_Toc497296911"/>
      <w:bookmarkEnd w:id="90"/>
      <w:bookmarkEnd w:id="91"/>
      <w:bookmarkEnd w:id="92"/>
      <w:bookmarkEnd w:id="93"/>
      <w:r w:rsidRPr="002E238E">
        <w:t>Safety</w:t>
      </w:r>
      <w:bookmarkEnd w:id="94"/>
      <w:bookmarkEnd w:id="95"/>
      <w:bookmarkEnd w:id="96"/>
      <w:bookmarkEnd w:id="97"/>
      <w:bookmarkEnd w:id="98"/>
    </w:p>
    <w:p w:rsidR="00605AD4" w:rsidRDefault="00605AD4" w:rsidP="00605AD4">
      <w:pPr>
        <w:pStyle w:val="Heading4"/>
      </w:pPr>
      <w:bookmarkStart w:id="99" w:name="_Toc247691524"/>
      <w:bookmarkStart w:id="100" w:name="_Toc314842508"/>
      <w:bookmarkStart w:id="101" w:name="_Toc196046504"/>
      <w:bookmarkStart w:id="102" w:name="_Toc163441390"/>
      <w:r w:rsidRPr="00605AD4">
        <w:t>Studies providing safety data</w:t>
      </w:r>
    </w:p>
    <w:p w:rsidR="00237508" w:rsidRPr="00237508" w:rsidRDefault="00237508" w:rsidP="00237508">
      <w:r>
        <w:t>For evaluation of the studies providing safety data and other safety aspects please see Attachment 2, extract of the clinical evaluation report.</w:t>
      </w:r>
    </w:p>
    <w:p w:rsidR="00605AD4" w:rsidRPr="00605AD4" w:rsidRDefault="00605AD4" w:rsidP="00605AD4">
      <w:pPr>
        <w:pStyle w:val="Heading4"/>
      </w:pPr>
      <w:r w:rsidRPr="00605AD4">
        <w:t>Evaluator’s conclusions on safety</w:t>
      </w:r>
    </w:p>
    <w:p w:rsidR="00237508" w:rsidRPr="004026BA" w:rsidRDefault="00237508" w:rsidP="00237508">
      <w:r w:rsidRPr="00237508">
        <w:t>STAMP</w:t>
      </w:r>
      <w:r>
        <w:t xml:space="preserve"> Study; functional Alpha-1 MP (Prolastin–C) administered at a dose of 60 mg/kg for 20 weeks was safe and well tolerated in naïve and non- naïve adult subjects with AATD. Overall, the </w:t>
      </w:r>
      <w:r w:rsidR="006F7390">
        <w:t xml:space="preserve">adverse </w:t>
      </w:r>
      <w:r w:rsidR="006F7390" w:rsidRPr="006F7390">
        <w:t>event (</w:t>
      </w:r>
      <w:r w:rsidRPr="006F7390">
        <w:t>AE</w:t>
      </w:r>
      <w:r w:rsidR="006F7390" w:rsidRPr="006F7390">
        <w:t>)</w:t>
      </w:r>
      <w:r w:rsidRPr="006F7390">
        <w:t xml:space="preserve"> profile of alpha</w:t>
      </w:r>
      <w:r w:rsidRPr="006F7390">
        <w:rPr>
          <w:vertAlign w:val="subscript"/>
        </w:rPr>
        <w:t>1</w:t>
      </w:r>
      <w:r>
        <w:t>-PI as Prolastin-C in both naïve and non-naïve subjects was consistent with the known AE profile of alpha</w:t>
      </w:r>
      <w:r w:rsidRPr="00237508">
        <w:rPr>
          <w:vertAlign w:val="subscript"/>
        </w:rPr>
        <w:t>1</w:t>
      </w:r>
      <w:r>
        <w:t>-PI as Prolastin. There was no treatment emergent safety concerns with regard to clinical laboratory assessments, including immunogenicity test results and vital signs, and there were no viral seroconversions for Hepatitis B, Hepatitis C, Human Immunodeficiency Virus, or Parvovirus B19.</w:t>
      </w:r>
    </w:p>
    <w:p w:rsidR="00605AD4" w:rsidRPr="00605AD4" w:rsidRDefault="00237508" w:rsidP="00605AD4">
      <w:r>
        <w:t xml:space="preserve">Other studies show ‘immune’ like reactions such as rash, urticaria, chest tightness, which is well known to occur with this medicine, occurred infrequently. There were no new concerns in the studies and no new concerns highlighted by the </w:t>
      </w:r>
      <w:r w:rsidR="007B754C">
        <w:t xml:space="preserve">periodic safety update </w:t>
      </w:r>
      <w:r w:rsidR="007B754C" w:rsidRPr="007B754C">
        <w:t>report (</w:t>
      </w:r>
      <w:r w:rsidRPr="007B754C">
        <w:t>PSUR</w:t>
      </w:r>
      <w:r w:rsidR="007B754C" w:rsidRPr="007B754C">
        <w:t>)</w:t>
      </w:r>
      <w:r w:rsidRPr="007B754C">
        <w:t>.</w:t>
      </w:r>
    </w:p>
    <w:p w:rsidR="00605AD4" w:rsidRPr="00605AD4" w:rsidRDefault="00605AD4" w:rsidP="00605AD4">
      <w:pPr>
        <w:pStyle w:val="Heading3"/>
        <w:rPr>
          <w:rFonts w:eastAsia="Cambria"/>
        </w:rPr>
      </w:pPr>
      <w:bookmarkStart w:id="103" w:name="_Toc497296912"/>
      <w:r w:rsidRPr="00605AD4">
        <w:rPr>
          <w:rFonts w:eastAsia="Cambria"/>
        </w:rPr>
        <w:t>First Round Benefit-Risk Assessment</w:t>
      </w:r>
      <w:bookmarkEnd w:id="103"/>
    </w:p>
    <w:p w:rsidR="00605AD4" w:rsidRDefault="00605AD4" w:rsidP="00605AD4">
      <w:pPr>
        <w:pStyle w:val="Heading4"/>
      </w:pPr>
      <w:r w:rsidRPr="00605AD4">
        <w:t>First round assessment of benefits</w:t>
      </w:r>
    </w:p>
    <w:p w:rsidR="0068323E" w:rsidRPr="00031619" w:rsidRDefault="0068323E" w:rsidP="0068323E">
      <w:r w:rsidRPr="00031619">
        <w:t xml:space="preserve">The sponsor’s application in favour of registration is in the biochemical efficacy of augmentation therapy for the treatment of alpha-1 antitrypsin deficiency. These studies are found in </w:t>
      </w:r>
      <w:r w:rsidR="001D6CF1">
        <w:t>the clinical module</w:t>
      </w:r>
      <w:r w:rsidRPr="00031619">
        <w:t>. The literature review was provided to suppo</w:t>
      </w:r>
      <w:r w:rsidR="001D6CF1">
        <w:t>rt clinical efficacy of alpha-1-</w:t>
      </w:r>
      <w:r w:rsidRPr="00031619">
        <w:t xml:space="preserve">PI as augmentation therapy in patients with severe </w:t>
      </w:r>
      <w:r w:rsidR="001D6CF1">
        <w:t>A</w:t>
      </w:r>
      <w:r w:rsidR="00A22803">
        <w:t>A</w:t>
      </w:r>
      <w:r w:rsidR="001D6CF1">
        <w:t>T</w:t>
      </w:r>
      <w:r w:rsidR="00A22803">
        <w:t>D</w:t>
      </w:r>
      <w:r w:rsidRPr="00031619">
        <w:t xml:space="preserve"> and clinically evident emphysemas.</w:t>
      </w:r>
    </w:p>
    <w:p w:rsidR="0068323E" w:rsidRPr="00031619" w:rsidRDefault="0068323E" w:rsidP="0068323E">
      <w:r>
        <w:t>It is the opinion of the e</w:t>
      </w:r>
      <w:r w:rsidRPr="00031619">
        <w:t xml:space="preserve">valuator that Prolastin-C increases lung </w:t>
      </w:r>
      <w:r w:rsidR="00A22803">
        <w:t>alpha</w:t>
      </w:r>
      <w:r w:rsidR="00A22803">
        <w:rPr>
          <w:vertAlign w:val="subscript"/>
        </w:rPr>
        <w:t>1</w:t>
      </w:r>
      <w:r w:rsidR="00A22803">
        <w:t>-PI</w:t>
      </w:r>
      <w:r w:rsidRPr="00031619">
        <w:t xml:space="preserve"> concentration. Further that Prolastin-C is effective on the inhibitory actions on lung elastase.</w:t>
      </w:r>
    </w:p>
    <w:p w:rsidR="0068323E" w:rsidRPr="004026BA" w:rsidRDefault="0068323E" w:rsidP="0068323E">
      <w:r w:rsidRPr="00031619">
        <w:t>The literature review did not clearly demonstrate a benefit of b</w:t>
      </w:r>
      <w:r>
        <w:t>iochemical improvement on clinical outcome.</w:t>
      </w:r>
    </w:p>
    <w:p w:rsidR="0068323E" w:rsidRPr="004026BA" w:rsidRDefault="0068323E" w:rsidP="0068323E">
      <w:r>
        <w:t>The literature review did not clearly demonstrate a clear relationship of surrogate marker such as CT measurements to clinical outcomes in this patient group. Further the effects of Prolastin on clinically relevant surrogates of lung disease in this submission were not consistent. There was variable discussion in the literature provided regarding the most appropriate surrogate in lung imaging for this endpoint in this particular condition.</w:t>
      </w:r>
    </w:p>
    <w:p w:rsidR="0068323E" w:rsidRPr="004026BA" w:rsidRDefault="0068323E" w:rsidP="0068323E">
      <w:r>
        <w:lastRenderedPageBreak/>
        <w:t xml:space="preserve">Thus the benefit of Prolastin-C in the proposed usage is thus to increase concentrations of lung </w:t>
      </w:r>
      <w:r w:rsidR="00A22803">
        <w:t>alpha</w:t>
      </w:r>
      <w:r w:rsidR="00A22803">
        <w:rPr>
          <w:vertAlign w:val="subscript"/>
        </w:rPr>
        <w:t>1</w:t>
      </w:r>
      <w:r w:rsidR="00A22803">
        <w:t>-PI</w:t>
      </w:r>
      <w:r>
        <w:t xml:space="preserve"> concentrations and inhibitory effects of neutrophil elastase function.</w:t>
      </w:r>
    </w:p>
    <w:p w:rsidR="0068323E" w:rsidRDefault="0068323E" w:rsidP="0068323E">
      <w:r>
        <w:t xml:space="preserve">There were two additional potential clinical efficacy benefits seen in the placebo controlled study. The applied </w:t>
      </w:r>
      <w:r w:rsidR="009E6095">
        <w:t xml:space="preserve">analysis of </w:t>
      </w:r>
      <w:r w:rsidR="009E6095" w:rsidRPr="009E6095">
        <w:t>covariance (</w:t>
      </w:r>
      <w:r w:rsidRPr="009E6095">
        <w:t>ANCOVA</w:t>
      </w:r>
      <w:r w:rsidR="009E6095" w:rsidRPr="009E6095">
        <w:t>)</w:t>
      </w:r>
      <w:r w:rsidRPr="009E6095">
        <w:t xml:space="preserve"> model demonstrated</w:t>
      </w:r>
      <w:r>
        <w:t xml:space="preserve"> a treatment difference in the rate of lung density progression between the Prolastin and placebo groups of 1.472 (95% </w:t>
      </w:r>
      <w:r w:rsidR="00832EF8">
        <w:t>confidence interval (</w:t>
      </w:r>
      <w:r>
        <w:t>CI</w:t>
      </w:r>
      <w:r w:rsidR="00832EF8">
        <w:t>)</w:t>
      </w:r>
      <w:r>
        <w:t>: 0.009 to 2.935), p</w:t>
      </w:r>
      <w:r>
        <w:rPr>
          <w:i/>
        </w:rPr>
        <w:t xml:space="preserve"> </w:t>
      </w:r>
      <w:r>
        <w:t xml:space="preserve">= 0.049. But note that </w:t>
      </w:r>
      <w:r w:rsidRPr="009E3322">
        <w:t>when TLC adjusted</w:t>
      </w:r>
      <w:r>
        <w:t xml:space="preserve"> this was not significant.</w:t>
      </w:r>
    </w:p>
    <w:p w:rsidR="0068323E" w:rsidRPr="004026BA" w:rsidRDefault="0068323E" w:rsidP="0068323E">
      <w:r>
        <w:t xml:space="preserve">Further, one of the secondary endpoints, analysis of the lung sub-regions, was significantly different between the two groups. Here a significant change in </w:t>
      </w:r>
      <w:r w:rsidRPr="004026BA">
        <w:t>unadjusted</w:t>
      </w:r>
      <w:r>
        <w:rPr>
          <w:b/>
        </w:rPr>
        <w:t xml:space="preserve"> </w:t>
      </w:r>
      <w:r>
        <w:t xml:space="preserve">lung density using slope analysis was seen when comparing the decrease in lung density in the basal third of the lung; between Prolastin and placebo. Comparison of the slopes of the decrease in lung density in the middle and apical thirds did not identify a significant difference however. Further, the mean lung volume values remained nearly unchanged from baseline to endpoint in both treatment groups and </w:t>
      </w:r>
      <w:r w:rsidR="004B3DF9">
        <w:t xml:space="preserve">were </w:t>
      </w:r>
      <w:r>
        <w:t>not significant.</w:t>
      </w:r>
    </w:p>
    <w:p w:rsidR="0068323E" w:rsidRDefault="0068323E" w:rsidP="0068323E">
      <w:r>
        <w:t>There was no improvement in quality of life raising the issue of uncertainty in benefit.</w:t>
      </w:r>
    </w:p>
    <w:p w:rsidR="0068323E" w:rsidRDefault="0068323E" w:rsidP="0068323E">
      <w:r>
        <w:t>Clinical trial data on clinical benefits of this drug including morbidity and mortality will be presented in the near future. SPARTA is one such Phase III study with comparative and clinical endpoint data. This is a</w:t>
      </w:r>
      <w:r w:rsidR="00A22803">
        <w:t xml:space="preserve"> three year randomised, placebo </w:t>
      </w:r>
      <w:r>
        <w:t xml:space="preserve">controlled trial that is currently recruiting. It aims to assess the efficacy and safety of two separate doses of Prolastin-C (60 and 120 mg/kg) administered weekly over 3 years in patients aged 18 to 70 years with a diagnosis of </w:t>
      </w:r>
      <w:r w:rsidR="00A22803">
        <w:t>AATD</w:t>
      </w:r>
      <w:r>
        <w:t xml:space="preserve"> and clinical evidence of pulmonary emphysema. The primary measure of efficacy is a change from baseline whole lung 15th percentile lung density (PD15). Secondary efficacy variables will be the evaluation of severe chronic obstructive pulmonary disease exacerbations and PD15 of the basal lung region using CT densitometry. The study will also examine the evidence for the justification of the surrogate endpoints.</w:t>
      </w:r>
    </w:p>
    <w:p w:rsidR="0068323E" w:rsidRPr="0068323E" w:rsidRDefault="0068323E" w:rsidP="0068323E">
      <w:r>
        <w:t>Overall it is the evaluator’s opinion that the biochemical improvement noted with Prolastin has not been demonstrated to result in a clinically relevant translation of those results as may be seen with increased density of lung, improved lung capacity or improved quality of life.</w:t>
      </w:r>
    </w:p>
    <w:p w:rsidR="00605AD4" w:rsidRDefault="00605AD4" w:rsidP="00605AD4">
      <w:pPr>
        <w:pStyle w:val="Heading4"/>
      </w:pPr>
      <w:r w:rsidRPr="00605AD4">
        <w:t>First round assessment of risks</w:t>
      </w:r>
    </w:p>
    <w:p w:rsidR="0068323E" w:rsidRPr="004026BA" w:rsidRDefault="0068323E" w:rsidP="0068323E">
      <w:r>
        <w:t>Adverse events are reported with this therapy. These are relatively minor and uncommon and consist predominantly of allergic/urticarial symptoms. Psoriasis is a reported event, the incidence of which should be monitored.</w:t>
      </w:r>
    </w:p>
    <w:p w:rsidR="0068323E" w:rsidRPr="0068323E" w:rsidRDefault="0068323E" w:rsidP="0068323E">
      <w:r>
        <w:t>The infusion has been used for 30 years.</w:t>
      </w:r>
    </w:p>
    <w:p w:rsidR="00605AD4" w:rsidRPr="00605AD4" w:rsidRDefault="00605AD4" w:rsidP="00605AD4">
      <w:pPr>
        <w:pStyle w:val="Heading4"/>
      </w:pPr>
      <w:r w:rsidRPr="00605AD4">
        <w:t>First round assessment of benefit-risk balance</w:t>
      </w:r>
    </w:p>
    <w:p w:rsidR="0068323E" w:rsidRPr="004026BA" w:rsidRDefault="0068323E" w:rsidP="0068323E">
      <w:r>
        <w:t xml:space="preserve">Prolastin-C is accepted as being bioequivalent to </w:t>
      </w:r>
      <w:r w:rsidR="004B3DF9">
        <w:t>Prolastin;</w:t>
      </w:r>
      <w:r>
        <w:t xml:space="preserve"> however data on clinical benefits (including quality of life) of this therapy is needed.</w:t>
      </w:r>
    </w:p>
    <w:p w:rsidR="0068323E" w:rsidRPr="004026BA" w:rsidRDefault="0068323E" w:rsidP="0068323E">
      <w:r>
        <w:t xml:space="preserve">The benefits to date are in the improvement of the concentrations of </w:t>
      </w:r>
      <w:r w:rsidR="00A22803">
        <w:t>alpha</w:t>
      </w:r>
      <w:r w:rsidR="00A22803">
        <w:rPr>
          <w:vertAlign w:val="subscript"/>
        </w:rPr>
        <w:t>1</w:t>
      </w:r>
      <w:r w:rsidR="00A22803">
        <w:t>-PI</w:t>
      </w:r>
      <w:r>
        <w:t>, which per se are suggestive but not yet proven as improving patient outcomes. The latter has not been demonstrated in current data, in the literature review provided nor any such randomised controlled clinical trials.</w:t>
      </w:r>
    </w:p>
    <w:p w:rsidR="0068323E" w:rsidRDefault="0068323E" w:rsidP="0068323E">
      <w:r>
        <w:t>There are minor side effects with the therapy and potential effects on quality of life regarding need (cost/time) for infusions.</w:t>
      </w:r>
    </w:p>
    <w:p w:rsidR="00605AD4" w:rsidRPr="00605AD4" w:rsidRDefault="0068323E" w:rsidP="00605AD4">
      <w:r>
        <w:t xml:space="preserve">This assessment is thus negative; predominantly because of the lack of documented clinical benefit (notwithstanding the biochemical benefit). The risk of assuming a clinical </w:t>
      </w:r>
      <w:r>
        <w:lastRenderedPageBreak/>
        <w:t xml:space="preserve">benefit from a biochemical benefit of Prolastin-C in the proposed usage is that increasing levels of protein may not be related to improved disease status that is the effect of </w:t>
      </w:r>
      <w:r w:rsidR="00A22803">
        <w:t>alpha</w:t>
      </w:r>
      <w:r w:rsidR="00A22803">
        <w:rPr>
          <w:vertAlign w:val="subscript"/>
        </w:rPr>
        <w:t>1</w:t>
      </w:r>
      <w:r w:rsidR="00A22803">
        <w:noBreakHyphen/>
        <w:t xml:space="preserve">PI </w:t>
      </w:r>
      <w:r>
        <w:t xml:space="preserve">therapy on pulmonary exacerbations, quality of life, morbidity and mortality (including the progression of emphysema in </w:t>
      </w:r>
      <w:r w:rsidR="00A22803">
        <w:t>AATD</w:t>
      </w:r>
      <w:r>
        <w:t xml:space="preserve">). There are several reasons why this may be the case including a lack of knowledge around the disease process (for example other pathways or processes to damage respiratory tissue) or a need for concentrations to be consistently above a ‘threshold’ rather than just the </w:t>
      </w:r>
      <w:r w:rsidR="006F7390">
        <w:t>maximum concentration (</w:t>
      </w:r>
      <w:proofErr w:type="spellStart"/>
      <w:r>
        <w:t>C</w:t>
      </w:r>
      <w:r w:rsidRPr="00031619">
        <w:rPr>
          <w:vertAlign w:val="subscript"/>
        </w:rPr>
        <w:t>max</w:t>
      </w:r>
      <w:proofErr w:type="spellEnd"/>
      <w:r w:rsidR="006F7390">
        <w:t>)</w:t>
      </w:r>
      <w:r>
        <w:t>.</w:t>
      </w:r>
    </w:p>
    <w:p w:rsidR="00605AD4" w:rsidRPr="00605AD4" w:rsidRDefault="00605AD4" w:rsidP="00605AD4">
      <w:pPr>
        <w:pStyle w:val="Heading3"/>
        <w:rPr>
          <w:rFonts w:eastAsia="Cambria"/>
        </w:rPr>
      </w:pPr>
      <w:bookmarkStart w:id="104" w:name="_Toc497296913"/>
      <w:r w:rsidRPr="00605AD4">
        <w:rPr>
          <w:rFonts w:eastAsia="Cambria"/>
        </w:rPr>
        <w:t>First Round Recommendation Regarding Authorisation</w:t>
      </w:r>
      <w:bookmarkEnd w:id="104"/>
    </w:p>
    <w:p w:rsidR="00605AD4" w:rsidRPr="00605AD4" w:rsidRDefault="0068323E" w:rsidP="00605AD4">
      <w:pPr>
        <w:rPr>
          <w:lang w:eastAsia="ja-JP"/>
        </w:rPr>
      </w:pPr>
      <w:r w:rsidRPr="00860C77">
        <w:t xml:space="preserve">Reject because of lack of convincing </w:t>
      </w:r>
      <w:r w:rsidR="009E3322">
        <w:t xml:space="preserve">evidence of efficacy on patient relevant/patient </w:t>
      </w:r>
      <w:r w:rsidRPr="00860C77">
        <w:t>important endpoints.</w:t>
      </w:r>
      <w:r>
        <w:t xml:space="preserve"> The safety is well understood and well </w:t>
      </w:r>
      <w:r w:rsidRPr="00860C77">
        <w:t>characterised. The product (or its bioequivalent precursor, Prola</w:t>
      </w:r>
      <w:r w:rsidR="009E3322">
        <w:t xml:space="preserve">stin) has been marketed in high </w:t>
      </w:r>
      <w:r w:rsidRPr="00860C77">
        <w:t xml:space="preserve">income countries with </w:t>
      </w:r>
      <w:r>
        <w:t>sophisticated systems for post-</w:t>
      </w:r>
      <w:r w:rsidRPr="00860C77">
        <w:t>marketing surveillance (similar to those in Australia) for nearly 30 years.</w:t>
      </w:r>
      <w:r>
        <w:t xml:space="preserve"> </w:t>
      </w:r>
      <w:r w:rsidRPr="00860C77">
        <w:t>Recommend respiratory physician input.</w:t>
      </w:r>
    </w:p>
    <w:p w:rsidR="00605AD4" w:rsidRPr="00605AD4" w:rsidRDefault="00605AD4" w:rsidP="00605AD4">
      <w:pPr>
        <w:pStyle w:val="Heading3"/>
        <w:rPr>
          <w:rFonts w:eastAsia="Cambria"/>
        </w:rPr>
      </w:pPr>
      <w:bookmarkStart w:id="105" w:name="_Toc497296914"/>
      <w:r w:rsidRPr="00605AD4">
        <w:rPr>
          <w:rFonts w:eastAsia="Cambria"/>
        </w:rPr>
        <w:t xml:space="preserve">Clinical </w:t>
      </w:r>
      <w:r w:rsidR="0068323E" w:rsidRPr="00605AD4">
        <w:rPr>
          <w:rFonts w:eastAsia="Cambria"/>
        </w:rPr>
        <w:t>questions</w:t>
      </w:r>
      <w:r w:rsidR="0068323E">
        <w:rPr>
          <w:rFonts w:eastAsia="Cambria"/>
        </w:rPr>
        <w:t xml:space="preserve"> and </w:t>
      </w:r>
      <w:r w:rsidR="0068323E" w:rsidRPr="00605AD4">
        <w:rPr>
          <w:rFonts w:eastAsia="Cambria"/>
        </w:rPr>
        <w:t>second round evaluation</w:t>
      </w:r>
      <w:r w:rsidRPr="00605AD4">
        <w:rPr>
          <w:rFonts w:eastAsia="Cambria"/>
        </w:rPr>
        <w:t xml:space="preserve"> of clinical data submitted in response to questions</w:t>
      </w:r>
      <w:bookmarkEnd w:id="105"/>
    </w:p>
    <w:p w:rsidR="006136D7" w:rsidRPr="00605AD4" w:rsidRDefault="006136D7" w:rsidP="006136D7">
      <w:r>
        <w:t>For details of the sponsor’s responses and the evaluation of these responses please see Attachment 2.</w:t>
      </w:r>
    </w:p>
    <w:p w:rsidR="00605AD4" w:rsidRPr="00605AD4" w:rsidRDefault="00605AD4" w:rsidP="00546154">
      <w:pPr>
        <w:pStyle w:val="Heading3"/>
        <w:rPr>
          <w:rFonts w:eastAsia="Cambria"/>
        </w:rPr>
      </w:pPr>
      <w:bookmarkStart w:id="106" w:name="_Toc497296915"/>
      <w:r w:rsidRPr="00605AD4">
        <w:rPr>
          <w:rFonts w:eastAsia="Cambria"/>
        </w:rPr>
        <w:t>Second Round Benefit-Risk Assessment</w:t>
      </w:r>
      <w:bookmarkEnd w:id="106"/>
    </w:p>
    <w:p w:rsidR="0068323E" w:rsidRPr="0068323E" w:rsidRDefault="0068323E" w:rsidP="0068323E">
      <w:pPr>
        <w:pStyle w:val="Heading4"/>
      </w:pPr>
      <w:bookmarkStart w:id="107" w:name="_TOC_250010"/>
      <w:bookmarkStart w:id="108" w:name="_Toc484788331"/>
      <w:r w:rsidRPr="0068323E">
        <w:t xml:space="preserve">Second round assessment of </w:t>
      </w:r>
      <w:bookmarkEnd w:id="107"/>
      <w:r w:rsidRPr="0068323E">
        <w:t>benefits</w:t>
      </w:r>
      <w:bookmarkEnd w:id="108"/>
    </w:p>
    <w:p w:rsidR="0068323E" w:rsidRPr="0068323E" w:rsidRDefault="0068323E" w:rsidP="0068323E">
      <w:r w:rsidRPr="0068323E">
        <w:t xml:space="preserve">The responses to questions were complete. There were no new matters arising or matters or error in the </w:t>
      </w:r>
      <w:r w:rsidR="009E3322">
        <w:t>clinical evaluation report</w:t>
      </w:r>
      <w:r w:rsidRPr="0068323E">
        <w:t xml:space="preserve">. A correction was made by the sponsor in regards to the expected adverse event of psoriasis with </w:t>
      </w:r>
      <w:r w:rsidR="00A22803" w:rsidRPr="0068323E">
        <w:t>Prolastin;</w:t>
      </w:r>
      <w:r w:rsidRPr="0068323E">
        <w:t xml:space="preserve"> this event was reported to regulatory agencies. There were responses to errors and omissions which highlighted that all but one of the manuscripts had been evaluated.</w:t>
      </w:r>
    </w:p>
    <w:p w:rsidR="0068323E" w:rsidRPr="0068323E" w:rsidRDefault="0068323E" w:rsidP="0068323E">
      <w:r w:rsidRPr="0068323E">
        <w:t>There were also two expert reviews which whilst stating that low CT volumes correlated with mortality were not able to reference any study that showed that a gain of the amount seen in the pivotal study made a difference to outcome (there being a difference in a low concentration of an agent versus the benefit when the concentration of the agent increases with this therapy).</w:t>
      </w:r>
    </w:p>
    <w:p w:rsidR="0068323E" w:rsidRPr="0068323E" w:rsidRDefault="0068323E" w:rsidP="0068323E">
      <w:r w:rsidRPr="0068323E">
        <w:t>It is assumed the trial data from SPARTA will help in this regard however this will not be reporting until 2022.</w:t>
      </w:r>
    </w:p>
    <w:p w:rsidR="0068323E" w:rsidRPr="0068323E" w:rsidRDefault="0068323E" w:rsidP="0068323E">
      <w:r w:rsidRPr="0068323E">
        <w:t>After consideration of the responses to clinical questions, the benefits of Prolastin in the proposed usage are unchanged from the first round evaluation.</w:t>
      </w:r>
    </w:p>
    <w:p w:rsidR="0068323E" w:rsidRPr="0068323E" w:rsidRDefault="0068323E" w:rsidP="0068323E">
      <w:pPr>
        <w:pStyle w:val="Heading4"/>
      </w:pPr>
      <w:bookmarkStart w:id="109" w:name="14.2._Second_round_assessment_of_risks"/>
      <w:bookmarkStart w:id="110" w:name="_TOC_250009"/>
      <w:bookmarkStart w:id="111" w:name="_Toc484788332"/>
      <w:bookmarkEnd w:id="109"/>
      <w:r w:rsidRPr="0068323E">
        <w:t xml:space="preserve">Second round assessment of </w:t>
      </w:r>
      <w:bookmarkEnd w:id="110"/>
      <w:r w:rsidRPr="0068323E">
        <w:t>risks</w:t>
      </w:r>
      <w:bookmarkEnd w:id="111"/>
    </w:p>
    <w:p w:rsidR="0068323E" w:rsidRPr="0068323E" w:rsidRDefault="0068323E" w:rsidP="0068323E">
      <w:r w:rsidRPr="0068323E">
        <w:t>No new clinical information was submitted in response to questions except the reported psoriasis was in a patient with a family history of this disease. The possibility of Prolastin precipitating the development of such an immunological event remains.</w:t>
      </w:r>
    </w:p>
    <w:p w:rsidR="0068323E" w:rsidRPr="0068323E" w:rsidRDefault="0068323E" w:rsidP="0068323E">
      <w:pPr>
        <w:pStyle w:val="Heading4"/>
      </w:pPr>
      <w:bookmarkStart w:id="112" w:name="14.3._Second_round_assessment_of_benefit"/>
      <w:bookmarkStart w:id="113" w:name="_TOC_250008"/>
      <w:bookmarkStart w:id="114" w:name="_Toc484788333"/>
      <w:bookmarkEnd w:id="112"/>
      <w:r w:rsidRPr="0068323E">
        <w:lastRenderedPageBreak/>
        <w:t xml:space="preserve">Second round assessment of benefit-risk </w:t>
      </w:r>
      <w:bookmarkEnd w:id="113"/>
      <w:r w:rsidRPr="0068323E">
        <w:t>balance</w:t>
      </w:r>
      <w:bookmarkEnd w:id="114"/>
    </w:p>
    <w:p w:rsidR="0068323E" w:rsidRPr="0068323E" w:rsidRDefault="0068323E" w:rsidP="0068323E">
      <w:r w:rsidRPr="0068323E">
        <w:t xml:space="preserve">The benefit-risk balance of Prolastin-C, given the </w:t>
      </w:r>
      <w:r w:rsidRPr="009E3322">
        <w:t xml:space="preserve">proposed usage is unfavourable. It is noted that there is a single relatively high volume user of this drug via </w:t>
      </w:r>
      <w:r w:rsidR="009E3322" w:rsidRPr="009E3322">
        <w:t>special access scheme (</w:t>
      </w:r>
      <w:r w:rsidRPr="009E3322">
        <w:t>SAS</w:t>
      </w:r>
      <w:r w:rsidR="009E3322" w:rsidRPr="009E3322">
        <w:t>)</w:t>
      </w:r>
      <w:r w:rsidRPr="009E3322">
        <w:t xml:space="preserve"> in Austra</w:t>
      </w:r>
      <w:r w:rsidRPr="0068323E">
        <w:t>lia.</w:t>
      </w:r>
    </w:p>
    <w:p w:rsidR="0068323E" w:rsidRPr="0068323E" w:rsidRDefault="0068323E" w:rsidP="0068323E">
      <w:pPr>
        <w:pStyle w:val="Heading4"/>
      </w:pPr>
      <w:bookmarkStart w:id="115" w:name="_Toc484788334"/>
      <w:r w:rsidRPr="0068323E">
        <w:t>Second round recommendation regarding authorisation</w:t>
      </w:r>
      <w:bookmarkEnd w:id="115"/>
    </w:p>
    <w:p w:rsidR="00605AD4" w:rsidRPr="0068323E" w:rsidRDefault="0068323E" w:rsidP="0068323E">
      <w:r w:rsidRPr="0068323E">
        <w:t>Reject, based on unclear clinical benefit despite biochemical improvements.</w:t>
      </w:r>
    </w:p>
    <w:p w:rsidR="008E7846" w:rsidRPr="00E41208" w:rsidRDefault="008E7846" w:rsidP="00546154">
      <w:pPr>
        <w:pStyle w:val="Heading2"/>
      </w:pPr>
      <w:bookmarkStart w:id="116" w:name="_Toc497296916"/>
      <w:r w:rsidRPr="00E41208">
        <w:t xml:space="preserve">V. Pharmacovigilance </w:t>
      </w:r>
      <w:r>
        <w:t>f</w:t>
      </w:r>
      <w:r w:rsidRPr="00E41208">
        <w:t>indings</w:t>
      </w:r>
      <w:bookmarkEnd w:id="99"/>
      <w:bookmarkEnd w:id="100"/>
      <w:bookmarkEnd w:id="116"/>
    </w:p>
    <w:p w:rsidR="008E7846" w:rsidRDefault="00386150" w:rsidP="008E7846">
      <w:pPr>
        <w:pStyle w:val="Heading3"/>
        <w:rPr>
          <w:lang w:eastAsia="en-AU"/>
        </w:rPr>
      </w:pPr>
      <w:bookmarkStart w:id="117" w:name="_Toc247691526"/>
      <w:bookmarkStart w:id="118" w:name="_Toc314842509"/>
      <w:bookmarkStart w:id="119" w:name="_Toc497296917"/>
      <w:r>
        <w:rPr>
          <w:lang w:eastAsia="en-AU"/>
        </w:rPr>
        <w:t>Risk m</w:t>
      </w:r>
      <w:r w:rsidR="008E7846">
        <w:rPr>
          <w:lang w:eastAsia="en-AU"/>
        </w:rPr>
        <w:t xml:space="preserve">anagement </w:t>
      </w:r>
      <w:r>
        <w:rPr>
          <w:lang w:eastAsia="en-AU"/>
        </w:rPr>
        <w:t>p</w:t>
      </w:r>
      <w:r w:rsidR="008E7846">
        <w:rPr>
          <w:lang w:eastAsia="en-AU"/>
        </w:rPr>
        <w:t>lan</w:t>
      </w:r>
      <w:bookmarkEnd w:id="117"/>
      <w:bookmarkEnd w:id="118"/>
      <w:bookmarkEnd w:id="119"/>
    </w:p>
    <w:p w:rsidR="008E7846" w:rsidRDefault="008E7846" w:rsidP="008E7846">
      <w:pPr>
        <w:rPr>
          <w:lang w:eastAsia="en-AU"/>
        </w:rPr>
      </w:pPr>
      <w:r>
        <w:rPr>
          <w:lang w:eastAsia="en-AU"/>
        </w:rPr>
        <w:t xml:space="preserve">The sponsor submitted a </w:t>
      </w:r>
      <w:r w:rsidR="00650104" w:rsidRPr="00650104">
        <w:t xml:space="preserve">Risk Management Plan for </w:t>
      </w:r>
      <w:r w:rsidR="00F634F0">
        <w:t>Prolastin</w:t>
      </w:r>
      <w:r w:rsidR="00650104" w:rsidRPr="00650104">
        <w:t>-C alpha</w:t>
      </w:r>
      <w:r w:rsidR="00650104" w:rsidRPr="006473AA">
        <w:rPr>
          <w:vertAlign w:val="subscript"/>
        </w:rPr>
        <w:t>1</w:t>
      </w:r>
      <w:r w:rsidR="00650104" w:rsidRPr="00650104">
        <w:t>-proteinase inhibitor (human) 1,000 mg powder for intravenous infusion vial</w:t>
      </w:r>
      <w:r w:rsidR="00650104" w:rsidRPr="006F25B8">
        <w:rPr>
          <w:lang w:eastAsia="en-AU"/>
        </w:rPr>
        <w:t xml:space="preserve"> </w:t>
      </w:r>
      <w:r w:rsidR="00650104" w:rsidRPr="00650104">
        <w:t>EU-RMP (Version: 1.1, dated 19 May 2015) with an Australian Specific Annex (ASA) as Annex 13 (undated)</w:t>
      </w:r>
      <w:r w:rsidR="00650104">
        <w:rPr>
          <w:iCs/>
          <w:sz w:val="24"/>
          <w:szCs w:val="24"/>
        </w:rPr>
        <w:t xml:space="preserve"> </w:t>
      </w:r>
      <w:r>
        <w:rPr>
          <w:lang w:eastAsia="en-AU"/>
        </w:rPr>
        <w:t xml:space="preserve">which was reviewed by the </w:t>
      </w:r>
      <w:r w:rsidR="00FC1FCA">
        <w:rPr>
          <w:lang w:eastAsia="en-AU"/>
        </w:rPr>
        <w:t>RMP evaluator.</w:t>
      </w:r>
    </w:p>
    <w:p w:rsidR="008E7846" w:rsidRDefault="003A7F6C" w:rsidP="008E7846">
      <w:pPr>
        <w:pStyle w:val="Heading4"/>
        <w:rPr>
          <w:lang w:eastAsia="en-AU"/>
        </w:rPr>
      </w:pPr>
      <w:r>
        <w:rPr>
          <w:lang w:eastAsia="en-AU"/>
        </w:rPr>
        <w:t>Safety s</w:t>
      </w:r>
      <w:r w:rsidR="008E7846">
        <w:rPr>
          <w:lang w:eastAsia="en-AU"/>
        </w:rPr>
        <w:t>pecification</w:t>
      </w:r>
    </w:p>
    <w:p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on</w:t>
      </w:r>
      <w:r w:rsidR="005F429F">
        <w:rPr>
          <w:lang w:eastAsia="en-AU"/>
        </w:rPr>
        <w:t>cerns which are shown at Table 2</w:t>
      </w:r>
      <w:r>
        <w:rPr>
          <w:lang w:eastAsia="en-AU"/>
        </w:rPr>
        <w:t>.</w:t>
      </w:r>
    </w:p>
    <w:p w:rsidR="00650104" w:rsidRDefault="005F429F" w:rsidP="00650104">
      <w:pPr>
        <w:pStyle w:val="TableTitle"/>
        <w:rPr>
          <w:lang w:eastAsia="en-AU"/>
        </w:rPr>
      </w:pPr>
      <w:r>
        <w:rPr>
          <w:lang w:eastAsia="en-AU"/>
        </w:rPr>
        <w:t>Table 2</w:t>
      </w:r>
      <w:r w:rsidR="00650104">
        <w:rPr>
          <w:lang w:eastAsia="en-AU"/>
        </w:rPr>
        <w:t>: Summary on ongoing safety concerns</w:t>
      </w:r>
    </w:p>
    <w:tbl>
      <w:tblPr>
        <w:tblStyle w:val="TableTGAblue"/>
        <w:tblW w:w="0" w:type="auto"/>
        <w:tblLook w:val="04A0" w:firstRow="1" w:lastRow="0" w:firstColumn="1" w:lastColumn="0" w:noHBand="0" w:noVBand="1"/>
        <w:tblDescription w:val="Table 2 is a summary of on ongoing safety concerns"/>
      </w:tblPr>
      <w:tblGrid>
        <w:gridCol w:w="4360"/>
        <w:gridCol w:w="4360"/>
      </w:tblGrid>
      <w:tr w:rsidR="00650104" w:rsidTr="005703D4">
        <w:trPr>
          <w:cnfStyle w:val="100000000000" w:firstRow="1" w:lastRow="0" w:firstColumn="0" w:lastColumn="0" w:oddVBand="0" w:evenVBand="0" w:oddHBand="0" w:evenHBand="0" w:firstRowFirstColumn="0" w:firstRowLastColumn="0" w:lastRowFirstColumn="0" w:lastRowLastColumn="0"/>
        </w:trPr>
        <w:tc>
          <w:tcPr>
            <w:tcW w:w="8720" w:type="dxa"/>
            <w:gridSpan w:val="2"/>
          </w:tcPr>
          <w:p w:rsidR="00650104" w:rsidRDefault="00650104" w:rsidP="00650104">
            <w:r>
              <w:t>Summary of safety concerns</w:t>
            </w:r>
          </w:p>
        </w:tc>
      </w:tr>
      <w:tr w:rsidR="00650104" w:rsidTr="00650104">
        <w:tc>
          <w:tcPr>
            <w:tcW w:w="4360" w:type="dxa"/>
          </w:tcPr>
          <w:p w:rsidR="00650104" w:rsidRDefault="00650104" w:rsidP="00650104">
            <w:r>
              <w:t>Important identified risks</w:t>
            </w:r>
          </w:p>
        </w:tc>
        <w:tc>
          <w:tcPr>
            <w:tcW w:w="4360" w:type="dxa"/>
          </w:tcPr>
          <w:p w:rsidR="00650104" w:rsidRDefault="00650104" w:rsidP="00650104">
            <w:r>
              <w:t>Anaphylactic and hypersensitivity reactions</w:t>
            </w:r>
          </w:p>
        </w:tc>
      </w:tr>
      <w:tr w:rsidR="00650104" w:rsidTr="00650104">
        <w:tc>
          <w:tcPr>
            <w:tcW w:w="4360" w:type="dxa"/>
          </w:tcPr>
          <w:p w:rsidR="00650104" w:rsidRDefault="00650104" w:rsidP="00650104">
            <w:r>
              <w:t>Important potential risks</w:t>
            </w:r>
          </w:p>
        </w:tc>
        <w:tc>
          <w:tcPr>
            <w:tcW w:w="4360" w:type="dxa"/>
          </w:tcPr>
          <w:p w:rsidR="00650104" w:rsidRDefault="00650104" w:rsidP="00650104">
            <w:r>
              <w:t>Theoretical risk of pathogen infection</w:t>
            </w:r>
          </w:p>
        </w:tc>
      </w:tr>
      <w:tr w:rsidR="00650104" w:rsidTr="00650104">
        <w:tc>
          <w:tcPr>
            <w:tcW w:w="4360" w:type="dxa"/>
          </w:tcPr>
          <w:p w:rsidR="00650104" w:rsidRDefault="00650104" w:rsidP="00650104">
            <w:r>
              <w:t>Important missing information</w:t>
            </w:r>
          </w:p>
        </w:tc>
        <w:tc>
          <w:tcPr>
            <w:tcW w:w="4360" w:type="dxa"/>
          </w:tcPr>
          <w:p w:rsidR="00650104" w:rsidRDefault="00351BCE" w:rsidP="00650104">
            <w:r>
              <w:t>Use in women who are pregnant or lactating</w:t>
            </w:r>
          </w:p>
          <w:p w:rsidR="00351BCE" w:rsidRDefault="00351BCE" w:rsidP="00650104">
            <w:r>
              <w:t>Use in children</w:t>
            </w:r>
          </w:p>
        </w:tc>
      </w:tr>
    </w:tbl>
    <w:p w:rsidR="008E7846" w:rsidRDefault="008E7846" w:rsidP="008E7846">
      <w:pPr>
        <w:pStyle w:val="Heading4"/>
        <w:rPr>
          <w:lang w:eastAsia="en-AU"/>
        </w:rPr>
      </w:pPr>
      <w:r>
        <w:rPr>
          <w:lang w:eastAsia="en-AU"/>
        </w:rPr>
        <w:t xml:space="preserve">Pharmacovigilance </w:t>
      </w:r>
      <w:r w:rsidR="003A7F6C">
        <w:rPr>
          <w:lang w:eastAsia="en-AU"/>
        </w:rPr>
        <w:t>p</w:t>
      </w:r>
      <w:r>
        <w:rPr>
          <w:lang w:eastAsia="en-AU"/>
        </w:rPr>
        <w:t>lan</w:t>
      </w:r>
    </w:p>
    <w:p w:rsidR="00351BCE" w:rsidRPr="00351BCE" w:rsidRDefault="00351BCE" w:rsidP="00351BCE">
      <w:r w:rsidRPr="00351BCE">
        <w:t>The sponsor proposes routine pharmacovigilance activities to monitor all the specified safety c</w:t>
      </w:r>
      <w:r w:rsidR="007B65D7">
        <w:t>oncerns and missing information.</w:t>
      </w:r>
    </w:p>
    <w:p w:rsidR="008E7846" w:rsidRDefault="008E7846" w:rsidP="008E7846">
      <w:pPr>
        <w:pStyle w:val="Heading4"/>
        <w:rPr>
          <w:lang w:eastAsia="en-AU"/>
        </w:rPr>
      </w:pPr>
      <w:r>
        <w:rPr>
          <w:lang w:eastAsia="en-AU"/>
        </w:rPr>
        <w:t xml:space="preserve">Risk </w:t>
      </w:r>
      <w:r w:rsidR="003A7F6C">
        <w:rPr>
          <w:lang w:eastAsia="en-AU"/>
        </w:rPr>
        <w:t>m</w:t>
      </w:r>
      <w:r>
        <w:rPr>
          <w:lang w:eastAsia="en-AU"/>
        </w:rPr>
        <w:t xml:space="preserve">inimisation </w:t>
      </w:r>
      <w:r w:rsidR="003A7F6C">
        <w:rPr>
          <w:lang w:eastAsia="en-AU"/>
        </w:rPr>
        <w:t>a</w:t>
      </w:r>
      <w:r>
        <w:rPr>
          <w:lang w:eastAsia="en-AU"/>
        </w:rPr>
        <w:t>ctivities</w:t>
      </w:r>
    </w:p>
    <w:p w:rsidR="00351BCE" w:rsidRDefault="00351BCE" w:rsidP="00351BCE">
      <w:bookmarkStart w:id="120" w:name="_Toc247691527"/>
      <w:r w:rsidRPr="00351BCE">
        <w:t>The sponsor concludes that routine risk minimisation activities for all the specified safety concerns and mis</w:t>
      </w:r>
      <w:r w:rsidR="007B65D7">
        <w:t>sing information are sufficient.</w:t>
      </w:r>
    </w:p>
    <w:p w:rsidR="00351BCE" w:rsidRPr="00351BCE" w:rsidRDefault="00351BCE" w:rsidP="00351BCE">
      <w:r w:rsidRPr="00351BCE">
        <w:t>Routine risk minimisation activities will comprise labelling, including contraindications, precautionary statements and/or notification of undesirable effects for all the specified safety concerns and missing information.</w:t>
      </w:r>
    </w:p>
    <w:p w:rsidR="006F25B8" w:rsidRDefault="006F25B8" w:rsidP="006F25B8">
      <w:pPr>
        <w:pStyle w:val="Heading4"/>
        <w:rPr>
          <w:lang w:eastAsia="en-AU"/>
        </w:rPr>
      </w:pPr>
      <w:r w:rsidRPr="006F25B8">
        <w:rPr>
          <w:lang w:eastAsia="en-AU"/>
        </w:rPr>
        <w:t>Reconciliation of is</w:t>
      </w:r>
      <w:r w:rsidR="009E3322">
        <w:rPr>
          <w:lang w:eastAsia="en-AU"/>
        </w:rPr>
        <w:t>sues outlined in the RMP report</w:t>
      </w:r>
    </w:p>
    <w:p w:rsidR="006F25B8" w:rsidRDefault="006F25B8" w:rsidP="006F25B8">
      <w:pPr>
        <w:rPr>
          <w:lang w:eastAsia="en-AU"/>
        </w:rPr>
      </w:pPr>
      <w:r w:rsidRPr="005F429F">
        <w:rPr>
          <w:lang w:eastAsia="en-AU"/>
        </w:rPr>
        <w:t xml:space="preserve">Table </w:t>
      </w:r>
      <w:r w:rsidR="005F429F" w:rsidRPr="005F429F">
        <w:rPr>
          <w:lang w:eastAsia="en-AU"/>
        </w:rPr>
        <w:t>3</w:t>
      </w:r>
      <w:r>
        <w:rPr>
          <w:lang w:eastAsia="en-AU"/>
        </w:rPr>
        <w:t xml:space="preserve"> summarises the OPR’s first round evaluation of the RMP, the sponsor’s responses to issues raised by the OPR and the OPR’s evaluat</w:t>
      </w:r>
      <w:r w:rsidR="007B65D7">
        <w:rPr>
          <w:lang w:eastAsia="en-AU"/>
        </w:rPr>
        <w:t>ion of the sponsor’s responses.</w:t>
      </w:r>
    </w:p>
    <w:p w:rsidR="009E3322" w:rsidRDefault="009E3322" w:rsidP="009E3322">
      <w:pPr>
        <w:pStyle w:val="Tabletitle0"/>
        <w:rPr>
          <w:lang w:eastAsia="en-AU"/>
        </w:rPr>
      </w:pPr>
      <w:r>
        <w:rPr>
          <w:lang w:eastAsia="en-AU"/>
        </w:rPr>
        <w:lastRenderedPageBreak/>
        <w:t xml:space="preserve">Table </w:t>
      </w:r>
      <w:r w:rsidR="005F429F">
        <w:rPr>
          <w:lang w:eastAsia="en-AU"/>
        </w:rPr>
        <w:t>3:</w:t>
      </w:r>
      <w:r>
        <w:rPr>
          <w:lang w:eastAsia="en-AU"/>
        </w:rPr>
        <w:t xml:space="preserve"> Reconciliation of issues outlined in the RMP report</w:t>
      </w:r>
    </w:p>
    <w:tbl>
      <w:tblPr>
        <w:tblStyle w:val="TableTGAblue"/>
        <w:tblW w:w="4758" w:type="pct"/>
        <w:jc w:val="center"/>
        <w:tblLayout w:type="fixed"/>
        <w:tblLook w:val="04A0" w:firstRow="1" w:lastRow="0" w:firstColumn="1" w:lastColumn="0" w:noHBand="0" w:noVBand="1"/>
        <w:tblDescription w:val="Table 3 is a list of reconciliation of issues outlined in the RMP report.  This table contains 3 heading columns: 1.  Recommendations in the evaluation report, 2. sponsor's response and 3. RMP evaluators comments."/>
      </w:tblPr>
      <w:tblGrid>
        <w:gridCol w:w="3196"/>
        <w:gridCol w:w="2425"/>
        <w:gridCol w:w="2677"/>
      </w:tblGrid>
      <w:tr w:rsidR="00351BCE" w:rsidRPr="007B65D7" w:rsidTr="006F4749">
        <w:trPr>
          <w:cnfStyle w:val="100000000000" w:firstRow="1" w:lastRow="0" w:firstColumn="0" w:lastColumn="0" w:oddVBand="0" w:evenVBand="0" w:oddHBand="0" w:evenHBand="0" w:firstRowFirstColumn="0" w:firstRowLastColumn="0" w:lastRowFirstColumn="0" w:lastRowLastColumn="0"/>
          <w:jc w:val="center"/>
        </w:trPr>
        <w:tc>
          <w:tcPr>
            <w:tcW w:w="1926" w:type="pct"/>
            <w:noWrap/>
          </w:tcPr>
          <w:p w:rsidR="00351BCE" w:rsidRPr="007B65D7" w:rsidRDefault="00351BCE" w:rsidP="007B65D7">
            <w:pPr>
              <w:ind w:left="0" w:right="0"/>
              <w:rPr>
                <w:sz w:val="20"/>
                <w:szCs w:val="20"/>
              </w:rPr>
            </w:pPr>
            <w:r w:rsidRPr="007B65D7">
              <w:rPr>
                <w:sz w:val="20"/>
                <w:szCs w:val="20"/>
              </w:rPr>
              <w:t>Recommendation in RMP evaluation report</w:t>
            </w:r>
          </w:p>
        </w:tc>
        <w:tc>
          <w:tcPr>
            <w:tcW w:w="1461" w:type="pct"/>
            <w:noWrap/>
          </w:tcPr>
          <w:p w:rsidR="00351BCE" w:rsidRPr="007B65D7" w:rsidRDefault="00351BCE" w:rsidP="007B65D7">
            <w:pPr>
              <w:ind w:left="0" w:right="0"/>
              <w:rPr>
                <w:sz w:val="20"/>
                <w:szCs w:val="20"/>
              </w:rPr>
            </w:pPr>
            <w:r w:rsidRPr="007B65D7">
              <w:rPr>
                <w:sz w:val="20"/>
                <w:szCs w:val="20"/>
              </w:rPr>
              <w:t>Sponsor’s response</w:t>
            </w:r>
          </w:p>
          <w:p w:rsidR="00351BCE" w:rsidRPr="007B65D7" w:rsidRDefault="00351BCE" w:rsidP="007B65D7">
            <w:pPr>
              <w:ind w:left="0" w:right="0"/>
              <w:rPr>
                <w:sz w:val="20"/>
                <w:szCs w:val="20"/>
              </w:rPr>
            </w:pPr>
          </w:p>
        </w:tc>
        <w:tc>
          <w:tcPr>
            <w:tcW w:w="1613" w:type="pct"/>
            <w:noWrap/>
          </w:tcPr>
          <w:p w:rsidR="00351BCE" w:rsidRPr="007B65D7" w:rsidRDefault="00351BCE" w:rsidP="007B65D7">
            <w:pPr>
              <w:ind w:left="0" w:right="0"/>
              <w:rPr>
                <w:sz w:val="20"/>
                <w:szCs w:val="20"/>
              </w:rPr>
            </w:pPr>
            <w:r w:rsidRPr="007B65D7">
              <w:rPr>
                <w:sz w:val="20"/>
                <w:szCs w:val="20"/>
              </w:rPr>
              <w:t>RMP evaluator’s comment</w:t>
            </w:r>
          </w:p>
        </w:tc>
      </w:tr>
      <w:tr w:rsidR="00351BCE" w:rsidRPr="007B65D7" w:rsidTr="006F4749">
        <w:trPr>
          <w:trHeight w:val="1250"/>
          <w:jc w:val="center"/>
        </w:trPr>
        <w:tc>
          <w:tcPr>
            <w:tcW w:w="19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sponsor should apply appropriate document control (</w:t>
            </w:r>
            <w:r w:rsidR="000A58C5">
              <w:rPr>
                <w:sz w:val="20"/>
                <w:szCs w:val="20"/>
              </w:rPr>
              <w:t>for example</w:t>
            </w:r>
            <w:r w:rsidRPr="007B65D7">
              <w:rPr>
                <w:sz w:val="20"/>
                <w:szCs w:val="20"/>
              </w:rPr>
              <w:t xml:space="preserve"> version and date) to the ASA.</w:t>
            </w:r>
          </w:p>
        </w:tc>
        <w:tc>
          <w:tcPr>
            <w:tcW w:w="1461"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sponsor states: “A revised RMP is provided, which addresses the recommendations made in the RMP Evaluation Report”.</w:t>
            </w:r>
          </w:p>
        </w:tc>
        <w:tc>
          <w:tcPr>
            <w:tcW w:w="16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Appropriate document control ha</w:t>
            </w:r>
            <w:r w:rsidR="007B65D7">
              <w:rPr>
                <w:sz w:val="20"/>
                <w:szCs w:val="20"/>
              </w:rPr>
              <w:t xml:space="preserve">s now been applied to the ASA. </w:t>
            </w:r>
            <w:r w:rsidRPr="007B65D7">
              <w:rPr>
                <w:sz w:val="20"/>
                <w:szCs w:val="20"/>
              </w:rPr>
              <w:t>This is acceptable.</w:t>
            </w:r>
          </w:p>
        </w:tc>
      </w:tr>
      <w:tr w:rsidR="00351BCE" w:rsidRPr="007B65D7" w:rsidTr="006F4749">
        <w:trPr>
          <w:trHeight w:val="1084"/>
          <w:jc w:val="center"/>
        </w:trPr>
        <w:tc>
          <w:tcPr>
            <w:tcW w:w="19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Safety considerations may be raised by the nonclinical and clinical evaluators through the consolidated section 31 request and/or the Nonclinical and Clinical Evaluation Reports respectively.</w:t>
            </w:r>
            <w:r w:rsidR="00135088">
              <w:rPr>
                <w:sz w:val="20"/>
                <w:szCs w:val="20"/>
              </w:rPr>
              <w:t xml:space="preserve"> </w:t>
            </w:r>
            <w:r w:rsidRPr="007B65D7">
              <w:rPr>
                <w:sz w:val="20"/>
                <w:szCs w:val="20"/>
              </w:rPr>
              <w:t>It is important to ensure that the information provided in response to these include</w:t>
            </w:r>
            <w:r w:rsidR="004B3DF9">
              <w:rPr>
                <w:sz w:val="20"/>
                <w:szCs w:val="20"/>
              </w:rPr>
              <w:t>s</w:t>
            </w:r>
            <w:r w:rsidRPr="007B65D7">
              <w:rPr>
                <w:sz w:val="20"/>
                <w:szCs w:val="20"/>
              </w:rPr>
              <w:t xml:space="preserve"> a consideration of the relevance for the Risk Management Plan, and any specific information needed to address this issue in the RMP.</w:t>
            </w:r>
            <w:r w:rsidR="00135088">
              <w:rPr>
                <w:sz w:val="20"/>
                <w:szCs w:val="20"/>
              </w:rPr>
              <w:t xml:space="preserve"> </w:t>
            </w:r>
            <w:r w:rsidRPr="007B65D7">
              <w:rPr>
                <w:sz w:val="20"/>
                <w:szCs w:val="20"/>
              </w:rPr>
              <w:t>For any safety considerations so raised, the sponsor should provide information that is relevant and necessary to address the issue in the RMP.</w:t>
            </w:r>
          </w:p>
        </w:tc>
        <w:tc>
          <w:tcPr>
            <w:tcW w:w="1461"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sponsor does not appear to have directly addressed the Clinical Evaluator’s comment that “psoriasis is a possible side effect of Prolastin, which might need to be included in the RMP”.</w:t>
            </w:r>
          </w:p>
        </w:tc>
        <w:tc>
          <w:tcPr>
            <w:tcW w:w="16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sponsor should include ‘Psoriasis’ as an ongoing safety concern giving due consideration to proposing appropriate pharmacovigilance and risk minimisation activities for this potential risk, which need only be reflected in a revised ASA preferably before</w:t>
            </w:r>
            <w:r w:rsidR="007B65D7">
              <w:rPr>
                <w:sz w:val="20"/>
                <w:szCs w:val="20"/>
              </w:rPr>
              <w:t xml:space="preserve"> this application is approved. </w:t>
            </w:r>
            <w:r w:rsidRPr="007B65D7">
              <w:rPr>
                <w:sz w:val="20"/>
                <w:szCs w:val="20"/>
              </w:rPr>
              <w:t>Alternatively the sponsor should provide to the TGA for review compelling justification for the omission of the important potential risk: ‘Psoriasis’ from the RMP.</w:t>
            </w:r>
          </w:p>
        </w:tc>
      </w:tr>
      <w:tr w:rsidR="00351BCE" w:rsidRPr="007B65D7" w:rsidTr="006F4749">
        <w:trPr>
          <w:trHeight w:val="1153"/>
          <w:jc w:val="center"/>
        </w:trPr>
        <w:tc>
          <w:tcPr>
            <w:tcW w:w="1926"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 xml:space="preserve">The proposed Australian PI states: “Clinical studies with </w:t>
            </w:r>
            <w:r w:rsidR="00F634F0">
              <w:rPr>
                <w:sz w:val="20"/>
                <w:szCs w:val="20"/>
              </w:rPr>
              <w:t>Prolastin</w:t>
            </w:r>
            <w:r w:rsidRPr="007B65D7">
              <w:rPr>
                <w:sz w:val="20"/>
                <w:szCs w:val="20"/>
              </w:rPr>
              <w:t>-C did not contain sufficient numbers of subjects aged 65 and older to determine whether they respond diffe</w:t>
            </w:r>
            <w:r w:rsidR="007B65D7">
              <w:rPr>
                <w:sz w:val="20"/>
                <w:szCs w:val="20"/>
              </w:rPr>
              <w:t xml:space="preserve">rently from younger subjects”. </w:t>
            </w:r>
            <w:r w:rsidRPr="007B65D7">
              <w:rPr>
                <w:sz w:val="20"/>
                <w:szCs w:val="20"/>
              </w:rPr>
              <w:t>Consequently for completeness it is recommended that the sponsor include the missing information: ‘Use in adults aged 65 years and older’ as a new safety concern. The ASA should be amended accordingly noting that routine pharmacovigilance and risk minimisation activities are considered appropriate for this new safety concern.</w:t>
            </w:r>
          </w:p>
        </w:tc>
        <w:tc>
          <w:tcPr>
            <w:tcW w:w="1461" w:type="pct"/>
            <w:tcBorders>
              <w:top w:val="single" w:sz="8" w:space="0" w:color="000000" w:themeColor="text1"/>
              <w:left w:val="single" w:sz="8" w:space="0" w:color="000000" w:themeColor="text1"/>
              <w:bottom w:val="single" w:sz="4" w:space="0" w:color="auto"/>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sponsor states: “A revised RMP is provided, which addresses the recommendations made in the RMP Evaluation Report”.</w:t>
            </w:r>
          </w:p>
        </w:tc>
        <w:tc>
          <w:tcPr>
            <w:tcW w:w="1613"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rsidR="00351BCE" w:rsidRPr="007B65D7" w:rsidRDefault="00351BCE" w:rsidP="007B65D7">
            <w:pPr>
              <w:ind w:left="0" w:right="0"/>
              <w:rPr>
                <w:sz w:val="20"/>
                <w:szCs w:val="20"/>
              </w:rPr>
            </w:pPr>
            <w:r w:rsidRPr="007B65D7">
              <w:rPr>
                <w:sz w:val="20"/>
                <w:szCs w:val="20"/>
              </w:rPr>
              <w:t>The missing information: ‘Use in adults aged 65 years and older’ has been added to the RMP with the application of routine pharmacovigilance and routine risk minimisation proposed.</w:t>
            </w:r>
            <w:r w:rsidR="00135088">
              <w:rPr>
                <w:sz w:val="20"/>
                <w:szCs w:val="20"/>
              </w:rPr>
              <w:t xml:space="preserve"> </w:t>
            </w:r>
            <w:r w:rsidRPr="007B65D7">
              <w:rPr>
                <w:sz w:val="20"/>
                <w:szCs w:val="20"/>
              </w:rPr>
              <w:t xml:space="preserve">This is acceptable. </w:t>
            </w:r>
          </w:p>
        </w:tc>
      </w:tr>
    </w:tbl>
    <w:p w:rsidR="00351BCE" w:rsidRDefault="00351BCE" w:rsidP="006F25B8">
      <w:pPr>
        <w:rPr>
          <w:lang w:eastAsia="en-AU"/>
        </w:rPr>
      </w:pPr>
    </w:p>
    <w:p w:rsidR="008E7846" w:rsidRDefault="008E7846" w:rsidP="008E7846">
      <w:pPr>
        <w:pStyle w:val="Heading4"/>
        <w:rPr>
          <w:lang w:eastAsia="en-AU"/>
        </w:rPr>
      </w:pPr>
      <w:r>
        <w:rPr>
          <w:lang w:eastAsia="en-AU"/>
        </w:rPr>
        <w:lastRenderedPageBreak/>
        <w:t xml:space="preserve">Summary of </w:t>
      </w:r>
      <w:r w:rsidR="003A7F6C">
        <w:rPr>
          <w:lang w:eastAsia="en-AU"/>
        </w:rPr>
        <w:t>r</w:t>
      </w:r>
      <w:r>
        <w:rPr>
          <w:lang w:eastAsia="en-AU"/>
        </w:rPr>
        <w:t>ecommendations</w:t>
      </w:r>
    </w:p>
    <w:p w:rsidR="00A912D9" w:rsidRPr="00A912D9" w:rsidRDefault="00A912D9" w:rsidP="00A912D9">
      <w:pPr>
        <w:pStyle w:val="Heading5"/>
      </w:pPr>
      <w:bookmarkStart w:id="121" w:name="_Toc314842510"/>
      <w:r w:rsidRPr="00A912D9">
        <w:t>Outstanding issues</w:t>
      </w:r>
    </w:p>
    <w:p w:rsidR="00A912D9" w:rsidRPr="00A912D9" w:rsidRDefault="00A912D9" w:rsidP="00A912D9">
      <w:pPr>
        <w:pStyle w:val="Heading6"/>
      </w:pPr>
      <w:r>
        <w:t>Issues in relation to the RMP</w:t>
      </w:r>
    </w:p>
    <w:p w:rsidR="00A912D9" w:rsidRPr="00A912D9" w:rsidRDefault="00A912D9" w:rsidP="00A912D9">
      <w:r w:rsidRPr="00A912D9">
        <w:t xml:space="preserve">The sponsor was asked to respond to safety considerations raised by the nonclinical and clinical evaluators, in the context of </w:t>
      </w:r>
      <w:r>
        <w:t xml:space="preserve">relevance to the RMP. </w:t>
      </w:r>
      <w:r w:rsidRPr="00A912D9">
        <w:t>However, the sponsor does not appear to have directly addressed the clinical evaluator’s comment that “</w:t>
      </w:r>
      <w:r w:rsidRPr="00A912D9">
        <w:rPr>
          <w:i/>
        </w:rPr>
        <w:t>psoriasis is a possible side effect of Prolastin, which might need to be included in the RMP</w:t>
      </w:r>
      <w:r w:rsidRPr="00A912D9">
        <w:t>” (see below).</w:t>
      </w:r>
      <w:r>
        <w:t xml:space="preserve"> </w:t>
      </w:r>
      <w:r w:rsidRPr="00A912D9">
        <w:t>Consequently the sponsor should include ‘Psoriasis’ as an ongoing safety concern giving due consideration to proposing appropriate pharmacovigilance and risk minimisation activities for this potential risk, which need only be reflected in a revised ASA preferably before</w:t>
      </w:r>
      <w:r>
        <w:t xml:space="preserve"> this application is approved. </w:t>
      </w:r>
      <w:r w:rsidRPr="00A912D9">
        <w:t>Alternatively the sponsor should provide to the TGA for review compelling justification for the omission of the important potential risk: ‘Psoriasis’ from the RMP.</w:t>
      </w:r>
    </w:p>
    <w:p w:rsidR="00A912D9" w:rsidRPr="00A912D9" w:rsidRDefault="00A912D9" w:rsidP="00A912D9">
      <w:pPr>
        <w:pStyle w:val="Heading6"/>
      </w:pPr>
      <w:r w:rsidRPr="00A912D9">
        <w:t>Advice from the Advisory Committee on the Safety of Medicines (ACSOM)</w:t>
      </w:r>
    </w:p>
    <w:p w:rsidR="00A912D9" w:rsidRDefault="00A912D9" w:rsidP="00A912D9">
      <w:r w:rsidRPr="00A912D9">
        <w:t>ACSOM advice was not sought for this submission.</w:t>
      </w:r>
    </w:p>
    <w:p w:rsidR="006F4749" w:rsidRDefault="00A912D9" w:rsidP="00A912D9">
      <w:pPr>
        <w:pStyle w:val="Heading6"/>
      </w:pPr>
      <w:r w:rsidRPr="00A912D9">
        <w:t>Key changes to the updated RMP</w:t>
      </w:r>
    </w:p>
    <w:p w:rsidR="00A912D9" w:rsidRDefault="00A912D9" w:rsidP="00A912D9">
      <w:r w:rsidRPr="00A912D9">
        <w:t xml:space="preserve">In their response to the TGA </w:t>
      </w:r>
      <w:r>
        <w:t>r</w:t>
      </w:r>
      <w:r w:rsidRPr="00A912D9">
        <w:t xml:space="preserve">equests </w:t>
      </w:r>
      <w:r>
        <w:t xml:space="preserve">for information </w:t>
      </w:r>
      <w:r w:rsidRPr="00A912D9">
        <w:t>the sponsor provided an updated EU-RMP (Version 1.2, dated 16 October 2015) with an updated ASA (Version 1.1, dated 16 October 2015</w:t>
      </w:r>
      <w:r>
        <w:t xml:space="preserve">). </w:t>
      </w:r>
      <w:r w:rsidRPr="00A912D9">
        <w:t xml:space="preserve">Key changes from the versions evaluated at Round 1 are summarised </w:t>
      </w:r>
      <w:r>
        <w:t xml:space="preserve">in Table </w:t>
      </w:r>
      <w:r w:rsidR="005F429F">
        <w:t>4</w:t>
      </w:r>
      <w:r>
        <w:t xml:space="preserve"> below.</w:t>
      </w:r>
    </w:p>
    <w:p w:rsidR="00A912D9" w:rsidRPr="00A912D9" w:rsidRDefault="00A912D9" w:rsidP="00A912D9">
      <w:pPr>
        <w:pStyle w:val="Tabletitle0"/>
      </w:pPr>
      <w:r>
        <w:t xml:space="preserve">Table </w:t>
      </w:r>
      <w:r w:rsidR="005F429F">
        <w:t>4: K</w:t>
      </w:r>
      <w:r>
        <w:t>ey changes to the update</w:t>
      </w:r>
      <w:r w:rsidR="005F429F">
        <w:t>d RMP</w:t>
      </w:r>
    </w:p>
    <w:tbl>
      <w:tblPr>
        <w:tblStyle w:val="TableTGAblue1"/>
        <w:tblW w:w="0" w:type="auto"/>
        <w:tblInd w:w="534" w:type="dxa"/>
        <w:tblLook w:val="04A0" w:firstRow="1" w:lastRow="0" w:firstColumn="1" w:lastColumn="0" w:noHBand="0" w:noVBand="1"/>
        <w:tblDescription w:val="Table 4 is a list of key changes to the updated RMP"/>
      </w:tblPr>
      <w:tblGrid>
        <w:gridCol w:w="1583"/>
        <w:gridCol w:w="6603"/>
      </w:tblGrid>
      <w:tr w:rsidR="00A912D9" w:rsidRPr="00A912D9" w:rsidTr="00A912D9">
        <w:trPr>
          <w:cnfStyle w:val="100000000000" w:firstRow="1" w:lastRow="0" w:firstColumn="0" w:lastColumn="0" w:oddVBand="0" w:evenVBand="0" w:oddHBand="0" w:evenHBand="0" w:firstRowFirstColumn="0" w:firstRowLastColumn="0" w:lastRowFirstColumn="0" w:lastRowLastColumn="0"/>
          <w:cantSplit/>
          <w:trHeight w:val="536"/>
          <w:tblHeader/>
        </w:trPr>
        <w:tc>
          <w:tcPr>
            <w:tcW w:w="8186" w:type="dxa"/>
            <w:gridSpan w:val="2"/>
          </w:tcPr>
          <w:p w:rsidR="00A912D9" w:rsidRPr="00A912D9" w:rsidRDefault="00A912D9" w:rsidP="00A912D9">
            <w:r w:rsidRPr="00A912D9">
              <w:t>Key changes to the updated RMP</w:t>
            </w:r>
          </w:p>
        </w:tc>
      </w:tr>
      <w:tr w:rsidR="00A912D9" w:rsidRPr="00A912D9" w:rsidTr="00A912D9">
        <w:trPr>
          <w:cantSplit/>
          <w:trHeight w:val="524"/>
        </w:trPr>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rsidR="00A912D9" w:rsidRPr="00A912D9" w:rsidRDefault="00A912D9" w:rsidP="00A912D9">
            <w:r w:rsidRPr="00A912D9">
              <w:t>EU-RMP</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12D9" w:rsidRPr="00A912D9" w:rsidRDefault="00A912D9" w:rsidP="00A912D9">
            <w:r w:rsidRPr="00A912D9">
              <w:t>Part VI.2.7: ‘Summary of changes to the Risk Management Plan over time’ states: “Not applicable”.</w:t>
            </w:r>
            <w:r w:rsidR="006F4749">
              <w:t xml:space="preserve"> </w:t>
            </w:r>
            <w:r w:rsidRPr="00A912D9">
              <w:t>Nevertheless the missing information: ‘Use in adults aged 65 years and older’ has been added with the application of routine pharmacovigilance and routine risk minimisation proposed.</w:t>
            </w:r>
          </w:p>
        </w:tc>
      </w:tr>
      <w:tr w:rsidR="00A912D9" w:rsidRPr="00A912D9" w:rsidTr="00A912D9">
        <w:trPr>
          <w:cantSplit/>
          <w:trHeight w:val="524"/>
        </w:trPr>
        <w:tc>
          <w:tcPr>
            <w:tcW w:w="15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12D9" w:rsidRPr="00A912D9" w:rsidRDefault="00A912D9" w:rsidP="00A912D9">
            <w:r w:rsidRPr="00A912D9">
              <w:t>ASA</w:t>
            </w:r>
          </w:p>
        </w:tc>
        <w:tc>
          <w:tcPr>
            <w:tcW w:w="66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912D9" w:rsidRPr="00A912D9" w:rsidRDefault="00A912D9" w:rsidP="00A912D9">
            <w:r w:rsidRPr="00A912D9">
              <w:t xml:space="preserve">The table titled: ‘How risk minimisation activities will be implemented in Australia” and the table in Section 4: ‘Summary of the RMP’ </w:t>
            </w:r>
            <w:proofErr w:type="gramStart"/>
            <w:r w:rsidRPr="00A912D9">
              <w:t>have</w:t>
            </w:r>
            <w:proofErr w:type="gramEnd"/>
            <w:r w:rsidRPr="00A912D9">
              <w:t xml:space="preserve"> been updated to incorporate the above change in the EU-RMP.</w:t>
            </w:r>
          </w:p>
        </w:tc>
      </w:tr>
    </w:tbl>
    <w:p w:rsidR="00A912D9" w:rsidRPr="00A912D9" w:rsidRDefault="00A912D9" w:rsidP="00A912D9">
      <w:pPr>
        <w:pStyle w:val="Heading5"/>
      </w:pPr>
      <w:r w:rsidRPr="00A912D9">
        <w:t>Suggested wording</w:t>
      </w:r>
      <w:r>
        <w:t xml:space="preserve"> for conditions of registration</w:t>
      </w:r>
    </w:p>
    <w:p w:rsidR="00A912D9" w:rsidRPr="00A912D9" w:rsidRDefault="00A912D9" w:rsidP="00E31B86">
      <w:pPr>
        <w:keepNext/>
      </w:pPr>
      <w:r w:rsidRPr="00A912D9">
        <w:t>RMP</w:t>
      </w:r>
      <w:r>
        <w:t>:</w:t>
      </w:r>
    </w:p>
    <w:p w:rsidR="00A912D9" w:rsidRPr="00A912D9" w:rsidRDefault="00A912D9" w:rsidP="00A912D9">
      <w:r w:rsidRPr="00A912D9">
        <w:t>Any changes to which the sponsor agreed become part of the risk management system, whether they are included in the currently available version of the RMP document, or not included, inadvertently or otherwise.</w:t>
      </w:r>
    </w:p>
    <w:p w:rsidR="00A912D9" w:rsidRPr="00A912D9" w:rsidRDefault="00A912D9" w:rsidP="00A912D9">
      <w:r w:rsidRPr="00A912D9">
        <w:t>At this time no wording can be provided, as it is recommended that an acceptably revised ASA be submitted before this application is approved.</w:t>
      </w:r>
    </w:p>
    <w:p w:rsidR="008E7846" w:rsidRPr="00792A32" w:rsidRDefault="008E7846" w:rsidP="00A912D9">
      <w:pPr>
        <w:pStyle w:val="Heading2"/>
      </w:pPr>
      <w:bookmarkStart w:id="122" w:name="_Toc497296918"/>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01"/>
      <w:bookmarkEnd w:id="120"/>
      <w:bookmarkEnd w:id="121"/>
      <w:bookmarkEnd w:id="122"/>
    </w:p>
    <w:p w:rsidR="008E7846" w:rsidRDefault="008E7846" w:rsidP="008E7846">
      <w:bookmarkStart w:id="123"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24" w:name="_Toc314842511"/>
      <w:bookmarkStart w:id="125" w:name="_Toc497296919"/>
      <w:r>
        <w:lastRenderedPageBreak/>
        <w:t>Quality</w:t>
      </w:r>
      <w:bookmarkEnd w:id="123"/>
      <w:bookmarkEnd w:id="124"/>
      <w:bookmarkEnd w:id="125"/>
    </w:p>
    <w:p w:rsidR="006F1429" w:rsidRDefault="003F16F6" w:rsidP="003F16F6">
      <w:r w:rsidRPr="003F16F6">
        <w:t>There were a number of critical issues identified in the initial evaluation</w:t>
      </w:r>
      <w:r w:rsidR="006F1429">
        <w:t>.</w:t>
      </w:r>
    </w:p>
    <w:p w:rsidR="003F16F6" w:rsidRPr="003F16F6" w:rsidRDefault="003F16F6" w:rsidP="004458AF">
      <w:pPr>
        <w:pStyle w:val="Numberbullet0"/>
        <w:numPr>
          <w:ilvl w:val="0"/>
          <w:numId w:val="11"/>
        </w:numPr>
      </w:pPr>
      <w:r w:rsidRPr="003F16F6">
        <w:t xml:space="preserve">There is no validated control in place for </w:t>
      </w:r>
      <w:r w:rsidR="006473AA">
        <w:t>alpha</w:t>
      </w:r>
      <w:r w:rsidR="006473AA">
        <w:rPr>
          <w:vertAlign w:val="subscript"/>
        </w:rPr>
        <w:t>1</w:t>
      </w:r>
      <w:r w:rsidR="006473AA">
        <w:t>-PI</w:t>
      </w:r>
      <w:r w:rsidR="006473AA" w:rsidRPr="003F16F6">
        <w:t xml:space="preserve"> </w:t>
      </w:r>
      <w:r w:rsidRPr="003F16F6">
        <w:t xml:space="preserve">glycosylation patterns, contents and limits in the drug substance or drug product specification. </w:t>
      </w:r>
      <w:r w:rsidR="006473AA">
        <w:t>Alpha</w:t>
      </w:r>
      <w:r w:rsidR="006473AA">
        <w:rPr>
          <w:vertAlign w:val="subscript"/>
        </w:rPr>
        <w:t>1</w:t>
      </w:r>
      <w:r w:rsidR="006473AA">
        <w:t>-PI</w:t>
      </w:r>
      <w:r w:rsidRPr="003F16F6">
        <w:t xml:space="preserve"> contains approximately 12% carbohydrate and is a highly </w:t>
      </w:r>
      <w:r w:rsidR="00A912D9" w:rsidRPr="003F16F6">
        <w:t>heterogeneous</w:t>
      </w:r>
      <w:r w:rsidRPr="003F16F6">
        <w:t xml:space="preserve"> protein due to variably trimmed glycosylation. Without information on its glycosylation pattern and content following manufacture, it is impossible to determine the impact of future process changes on glycosylation of </w:t>
      </w:r>
      <w:r w:rsidR="006473AA">
        <w:t>alpha</w:t>
      </w:r>
      <w:r w:rsidR="006473AA">
        <w:rPr>
          <w:vertAlign w:val="subscript"/>
        </w:rPr>
        <w:t>1</w:t>
      </w:r>
      <w:r w:rsidR="006473AA">
        <w:t>-PI</w:t>
      </w:r>
      <w:r w:rsidR="006473AA" w:rsidRPr="003F16F6">
        <w:t xml:space="preserve"> </w:t>
      </w:r>
      <w:r w:rsidRPr="003F16F6">
        <w:t>with potential consequential effects on potency, stability and efficacy.</w:t>
      </w:r>
    </w:p>
    <w:p w:rsidR="003F16F6" w:rsidRPr="003F16F6" w:rsidRDefault="003F16F6" w:rsidP="004458AF">
      <w:pPr>
        <w:pStyle w:val="Numberbullet0"/>
        <w:numPr>
          <w:ilvl w:val="0"/>
          <w:numId w:val="11"/>
        </w:numPr>
      </w:pPr>
      <w:r w:rsidRPr="003F16F6">
        <w:t xml:space="preserve">A number of process related and plasma protein impurities were identified during evaluation whose level appeared not to be monitored or whose concentration increased during purification. These include PEG, polysorbate 20, TNBP, alpha – acid glycoprotein, </w:t>
      </w:r>
      <w:proofErr w:type="spellStart"/>
      <w:r w:rsidRPr="003F16F6">
        <w:t>haptoglobin</w:t>
      </w:r>
      <w:proofErr w:type="spellEnd"/>
      <w:r w:rsidRPr="003F16F6">
        <w:t xml:space="preserve"> and IgA (the sponsor has disputed this)</w:t>
      </w:r>
    </w:p>
    <w:p w:rsidR="003F16F6" w:rsidRPr="003F16F6" w:rsidRDefault="003F16F6" w:rsidP="004458AF">
      <w:pPr>
        <w:pStyle w:val="Numberbullet0"/>
        <w:numPr>
          <w:ilvl w:val="0"/>
          <w:numId w:val="11"/>
        </w:numPr>
      </w:pPr>
      <w:r w:rsidRPr="003F16F6">
        <w:t>The drug company provided only two parameters in the drug substance spe</w:t>
      </w:r>
      <w:r w:rsidR="007B65D7">
        <w:t>ci</w:t>
      </w:r>
      <w:r w:rsidRPr="003F16F6">
        <w:t>fication list (potency and sterility)</w:t>
      </w:r>
    </w:p>
    <w:p w:rsidR="003F16F6" w:rsidRPr="003F16F6" w:rsidRDefault="003F16F6" w:rsidP="004458AF">
      <w:pPr>
        <w:pStyle w:val="Numberbullet0"/>
        <w:numPr>
          <w:ilvl w:val="0"/>
          <w:numId w:val="11"/>
        </w:numPr>
      </w:pPr>
      <w:r w:rsidRPr="003F16F6">
        <w:t>The sterile water for injections proposed for this product has been prepared with USP as the standard. This does not meet the requirements of TGO 89 (Standard for water for Injections for Parenteral Medicines) which mandates that “water for injections must comply with the monograph for water for injections in the British Pharmacopoeia or the European Pharmacopoeia”</w:t>
      </w:r>
    </w:p>
    <w:p w:rsidR="003F16F6" w:rsidRPr="003F16F6" w:rsidRDefault="003F16F6" w:rsidP="003F16F6">
      <w:r w:rsidRPr="003F16F6">
        <w:t>These issues have all since been addressed with the by sponsor.</w:t>
      </w:r>
    </w:p>
    <w:p w:rsidR="008E7846" w:rsidRDefault="008E7846" w:rsidP="008E7846">
      <w:pPr>
        <w:pStyle w:val="Heading3"/>
      </w:pPr>
      <w:bookmarkStart w:id="126" w:name="_Toc314842512"/>
      <w:bookmarkStart w:id="127" w:name="_Toc497296920"/>
      <w:r>
        <w:t>Nonclinical</w:t>
      </w:r>
      <w:bookmarkEnd w:id="126"/>
      <w:bookmarkEnd w:id="127"/>
    </w:p>
    <w:p w:rsidR="003F16F6" w:rsidRPr="003F16F6" w:rsidRDefault="003F16F6" w:rsidP="003F16F6">
      <w:pPr>
        <w:pStyle w:val="ListBullet"/>
      </w:pPr>
      <w:r w:rsidRPr="003F16F6">
        <w:t xml:space="preserve">The submitted </w:t>
      </w:r>
      <w:r w:rsidR="006473AA">
        <w:t>nonclinical</w:t>
      </w:r>
      <w:r w:rsidRPr="003F16F6">
        <w:t xml:space="preserve"> dossier was substantially smaller than would be expected for a </w:t>
      </w:r>
      <w:r w:rsidR="00597B59" w:rsidRPr="003F16F6">
        <w:t xml:space="preserve">new chemical entity </w:t>
      </w:r>
      <w:r w:rsidRPr="003F16F6">
        <w:t>submission and the overall quality of the submitted studies was generally low.</w:t>
      </w:r>
    </w:p>
    <w:p w:rsidR="003F16F6" w:rsidRPr="003F16F6" w:rsidRDefault="003F16F6" w:rsidP="003F16F6">
      <w:r w:rsidRPr="003F16F6">
        <w:t>“Overall, the submitted dossier was not generally compliant with the relevant guideline, ICH S6: Preclinical saf</w:t>
      </w:r>
      <w:r w:rsidR="00597B59">
        <w:t xml:space="preserve">ety evaluation of biotechnology </w:t>
      </w:r>
      <w:r w:rsidRPr="003F16F6">
        <w:t>derived pharmaceuticals (the principles of</w:t>
      </w:r>
      <w:r w:rsidR="00597B59">
        <w:t xml:space="preserve"> which can be applied to plasma </w:t>
      </w:r>
      <w:r w:rsidRPr="003F16F6">
        <w:t>derived products), and is considered inadequate.”</w:t>
      </w:r>
    </w:p>
    <w:p w:rsidR="003F16F6" w:rsidRPr="003F16F6" w:rsidRDefault="003F16F6" w:rsidP="003F16F6">
      <w:pPr>
        <w:pStyle w:val="ListBullet"/>
      </w:pPr>
      <w:r w:rsidRPr="003F16F6">
        <w:t xml:space="preserve">In vitro, </w:t>
      </w:r>
      <w:r w:rsidR="006473AA">
        <w:t>alpha</w:t>
      </w:r>
      <w:r w:rsidR="006473AA">
        <w:rPr>
          <w:vertAlign w:val="subscript"/>
        </w:rPr>
        <w:t>1</w:t>
      </w:r>
      <w:r w:rsidR="006473AA">
        <w:t>-PI</w:t>
      </w:r>
      <w:r w:rsidR="006473AA" w:rsidRPr="003F16F6">
        <w:t xml:space="preserve"> </w:t>
      </w:r>
      <w:r w:rsidRPr="003F16F6">
        <w:t xml:space="preserve">inhibited neutrophil elastase activity with picomolar potency. Reduced pulmonary neutrophil levels were seen following IP administration of </w:t>
      </w:r>
      <w:r w:rsidR="006473AA">
        <w:t>alpha</w:t>
      </w:r>
      <w:r w:rsidR="006473AA">
        <w:rPr>
          <w:vertAlign w:val="subscript"/>
        </w:rPr>
        <w:t>1</w:t>
      </w:r>
      <w:r w:rsidR="006473AA">
        <w:t>-PI</w:t>
      </w:r>
      <w:r w:rsidRPr="003F16F6">
        <w:t xml:space="preserve"> in a mouse model of emphysema associated with reduced </w:t>
      </w:r>
      <w:r w:rsidR="006473AA">
        <w:t>alpha</w:t>
      </w:r>
      <w:r w:rsidR="006473AA">
        <w:rPr>
          <w:vertAlign w:val="subscript"/>
        </w:rPr>
        <w:t>1</w:t>
      </w:r>
      <w:r w:rsidR="006473AA">
        <w:t>-PI</w:t>
      </w:r>
      <w:r w:rsidR="006473AA" w:rsidRPr="003F16F6">
        <w:t xml:space="preserve"> </w:t>
      </w:r>
      <w:r w:rsidRPr="003F16F6">
        <w:t xml:space="preserve">levels. These pharmacology studies lend some support to the proposed clinical use of </w:t>
      </w:r>
      <w:r w:rsidR="00597B59">
        <w:t>alpha</w:t>
      </w:r>
      <w:r w:rsidR="00597B59">
        <w:rPr>
          <w:vertAlign w:val="subscript"/>
        </w:rPr>
        <w:t>1</w:t>
      </w:r>
      <w:r w:rsidR="00597B59">
        <w:t>-PI</w:t>
      </w:r>
      <w:r w:rsidRPr="003F16F6">
        <w:t>.</w:t>
      </w:r>
    </w:p>
    <w:p w:rsidR="003F16F6" w:rsidRPr="003F16F6" w:rsidRDefault="003F16F6" w:rsidP="003F16F6">
      <w:pPr>
        <w:pStyle w:val="ListBullet"/>
      </w:pPr>
      <w:r w:rsidRPr="003F16F6">
        <w:t>No secondary pharmacology studies were submitted.</w:t>
      </w:r>
    </w:p>
    <w:p w:rsidR="003F16F6" w:rsidRPr="003F16F6" w:rsidRDefault="003F16F6" w:rsidP="003F16F6">
      <w:pPr>
        <w:pStyle w:val="ListBullet"/>
      </w:pPr>
      <w:r w:rsidRPr="003F16F6">
        <w:t>There were no adverse effects on cardiovascular function in dogs and monkeys or haematology and coagulation parameters in monkeys with single IV administration at 4 times the clinical dose.</w:t>
      </w:r>
    </w:p>
    <w:p w:rsidR="003F16F6" w:rsidRPr="003F16F6" w:rsidRDefault="003F16F6" w:rsidP="003F16F6">
      <w:pPr>
        <w:pStyle w:val="ListBullet"/>
      </w:pPr>
      <w:r w:rsidRPr="003F16F6">
        <w:t xml:space="preserve">The pharmacokinetics of </w:t>
      </w:r>
      <w:r w:rsidR="006473AA">
        <w:t>alpha</w:t>
      </w:r>
      <w:r w:rsidR="006473AA">
        <w:rPr>
          <w:vertAlign w:val="subscript"/>
        </w:rPr>
        <w:t>1</w:t>
      </w:r>
      <w:r w:rsidR="006473AA">
        <w:t>-PI</w:t>
      </w:r>
      <w:r w:rsidR="006473AA" w:rsidRPr="003F16F6">
        <w:t xml:space="preserve"> </w:t>
      </w:r>
      <w:r w:rsidRPr="003F16F6">
        <w:t xml:space="preserve">were generally typical for this type of compound, characterised by a long half-life, low volume of distribution and limited tissue distribution following IV administration to rabbits. Significant levels of </w:t>
      </w:r>
      <w:r w:rsidR="00597B59">
        <w:t>alpha</w:t>
      </w:r>
      <w:r w:rsidR="00597B59">
        <w:rPr>
          <w:vertAlign w:val="subscript"/>
        </w:rPr>
        <w:t>1</w:t>
      </w:r>
      <w:r w:rsidR="00597B59">
        <w:t>-PI</w:t>
      </w:r>
      <w:r w:rsidR="00637064">
        <w:t>were seen in BALF</w:t>
      </w:r>
      <w:r w:rsidRPr="003F16F6">
        <w:t xml:space="preserve"> of </w:t>
      </w:r>
      <w:proofErr w:type="spellStart"/>
      <w:r w:rsidRPr="003F16F6">
        <w:t>cynomolgus</w:t>
      </w:r>
      <w:proofErr w:type="spellEnd"/>
      <w:r w:rsidRPr="003F16F6">
        <w:t xml:space="preserve"> monkeys following IV administration, suggesting some localisation of the protein to the lungs, the intended site of pharmacological action.</w:t>
      </w:r>
    </w:p>
    <w:p w:rsidR="003F16F6" w:rsidRPr="003F16F6" w:rsidRDefault="00597B59" w:rsidP="003F16F6">
      <w:pPr>
        <w:pStyle w:val="ListBullet"/>
      </w:pPr>
      <w:proofErr w:type="gramStart"/>
      <w:r>
        <w:t>alpha</w:t>
      </w:r>
      <w:r>
        <w:rPr>
          <w:vertAlign w:val="subscript"/>
        </w:rPr>
        <w:t>1</w:t>
      </w:r>
      <w:r>
        <w:t>-PI</w:t>
      </w:r>
      <w:proofErr w:type="gramEnd"/>
      <w:r w:rsidR="00F9718C">
        <w:t xml:space="preserve"> </w:t>
      </w:r>
      <w:r w:rsidR="003F16F6" w:rsidRPr="003F16F6">
        <w:t>had a low order of acute IV toxicity in mice, rats and rabbits.</w:t>
      </w:r>
    </w:p>
    <w:p w:rsidR="003F16F6" w:rsidRPr="003F16F6" w:rsidRDefault="003F16F6" w:rsidP="003F16F6">
      <w:pPr>
        <w:pStyle w:val="ListBullet"/>
      </w:pPr>
      <w:r w:rsidRPr="003F16F6">
        <w:t xml:space="preserve">The </w:t>
      </w:r>
      <w:r w:rsidR="00704B63">
        <w:t>repeat dose</w:t>
      </w:r>
      <w:r w:rsidRPr="003F16F6">
        <w:t xml:space="preserve"> toxicity programme for </w:t>
      </w:r>
      <w:r w:rsidR="00597B59">
        <w:t>alpha</w:t>
      </w:r>
      <w:r w:rsidR="00597B59">
        <w:rPr>
          <w:vertAlign w:val="subscript"/>
        </w:rPr>
        <w:t>1</w:t>
      </w:r>
      <w:r w:rsidR="00597B59">
        <w:t>-PI</w:t>
      </w:r>
      <w:r w:rsidRPr="003F16F6">
        <w:t xml:space="preserve"> was very limited. Only one </w:t>
      </w:r>
      <w:r w:rsidR="00704B63">
        <w:t>repeat dose</w:t>
      </w:r>
      <w:r w:rsidR="00597B59">
        <w:t xml:space="preserve"> toxicity study was submitted; </w:t>
      </w:r>
      <w:r w:rsidRPr="003F16F6">
        <w:t xml:space="preserve">a </w:t>
      </w:r>
      <w:r w:rsidR="008F3092">
        <w:t>5 day</w:t>
      </w:r>
      <w:r w:rsidR="00597B59">
        <w:t xml:space="preserve"> study in rabbits with a 4 </w:t>
      </w:r>
      <w:r w:rsidRPr="003F16F6">
        <w:t xml:space="preserve">week recovery </w:t>
      </w:r>
      <w:r w:rsidRPr="003F16F6">
        <w:lastRenderedPageBreak/>
        <w:t>period. This study had many design flaws which affects the utility of this study for regulatory purposes. The only notable effect observed during pos</w:t>
      </w:r>
      <w:r w:rsidR="00597B59">
        <w:t xml:space="preserve">t-mortem analyses was a minimal </w:t>
      </w:r>
      <w:r w:rsidRPr="003F16F6">
        <w:t xml:space="preserve">mild chronic interstitial nephritis observed in 3/5 rabbits that received one lot of </w:t>
      </w:r>
      <w:r w:rsidR="005125DC">
        <w:t>alpha</w:t>
      </w:r>
      <w:r w:rsidR="005125DC">
        <w:rPr>
          <w:vertAlign w:val="subscript"/>
        </w:rPr>
        <w:t>1</w:t>
      </w:r>
      <w:r w:rsidR="005125DC">
        <w:t>-PI</w:t>
      </w:r>
      <w:r w:rsidRPr="003F16F6">
        <w:t xml:space="preserve">. This finding has an uncertain relationship with treatment. The absence of any other findings should be interpreted with caution. There was no investigation of </w:t>
      </w:r>
      <w:r w:rsidR="00704B63">
        <w:t>repeat dose</w:t>
      </w:r>
      <w:r w:rsidRPr="003F16F6">
        <w:t xml:space="preserve"> toxicity in a second species.</w:t>
      </w:r>
    </w:p>
    <w:p w:rsidR="003F16F6" w:rsidRPr="003F16F6" w:rsidRDefault="003F16F6" w:rsidP="003F16F6">
      <w:pPr>
        <w:pStyle w:val="ListBullet"/>
      </w:pPr>
      <w:r w:rsidRPr="003F16F6">
        <w:t>No metabolism, excretion, pharmacokinetic-drug interaction, genotoxicity or carcinogenicity studies were submitted, which is considered acceptable given the protein nature of the drug.</w:t>
      </w:r>
    </w:p>
    <w:p w:rsidR="003F16F6" w:rsidRDefault="003F16F6" w:rsidP="003F16F6">
      <w:pPr>
        <w:pStyle w:val="ListBullet"/>
      </w:pPr>
      <w:r w:rsidRPr="003F16F6">
        <w:t>No reproductive toxicity studies were submitted.</w:t>
      </w:r>
    </w:p>
    <w:p w:rsidR="003F16F6" w:rsidRPr="003F16F6" w:rsidRDefault="003F16F6" w:rsidP="003F16F6">
      <w:pPr>
        <w:pStyle w:val="ListBullet"/>
      </w:pPr>
      <w:r w:rsidRPr="003F16F6">
        <w:t xml:space="preserve">No clinically-relevant toxicity findings were identified in the submitted </w:t>
      </w:r>
      <w:proofErr w:type="spellStart"/>
      <w:r w:rsidR="00597B59">
        <w:t>nonclincial</w:t>
      </w:r>
      <w:proofErr w:type="spellEnd"/>
      <w:r w:rsidRPr="003F16F6">
        <w:t xml:space="preserve"> dossier. However, the overall quality of the nonclinical data set was low and the scope extremely limited. Due to numerous serious deficiencies in the </w:t>
      </w:r>
      <w:r w:rsidR="00704B63">
        <w:t>repeat dose</w:t>
      </w:r>
      <w:r w:rsidRPr="003F16F6">
        <w:t xml:space="preserve"> toxicity programme, evidence of safety has not been properly demonstrated in laboratory animal species, and potential toxicity neither identified </w:t>
      </w:r>
      <w:r>
        <w:t>n</w:t>
      </w:r>
      <w:r w:rsidRPr="003F16F6">
        <w:t>or well characterised. Registration should only proceed if the clinical data are sufficient to allay these concerns.</w:t>
      </w:r>
    </w:p>
    <w:p w:rsidR="008E7846" w:rsidRDefault="008E7846" w:rsidP="008E7846">
      <w:pPr>
        <w:pStyle w:val="Heading3"/>
      </w:pPr>
      <w:bookmarkStart w:id="128" w:name="_Toc247691530"/>
      <w:bookmarkStart w:id="129" w:name="_Toc314842513"/>
      <w:bookmarkStart w:id="130" w:name="_Toc497296921"/>
      <w:r>
        <w:t>Clinical</w:t>
      </w:r>
      <w:bookmarkEnd w:id="128"/>
      <w:bookmarkEnd w:id="129"/>
      <w:bookmarkEnd w:id="130"/>
    </w:p>
    <w:p w:rsidR="003F16F6" w:rsidRPr="003F16F6" w:rsidRDefault="00597B59" w:rsidP="003F16F6">
      <w:pPr>
        <w:pStyle w:val="Heading4"/>
      </w:pPr>
      <w:bookmarkStart w:id="131" w:name="_Toc314842514"/>
      <w:r>
        <w:t>Scope of clinical dossier</w:t>
      </w:r>
    </w:p>
    <w:p w:rsidR="006F1429" w:rsidRDefault="003F16F6" w:rsidP="003F16F6">
      <w:r w:rsidRPr="003F16F6">
        <w:t>The dossier submitted i</w:t>
      </w:r>
      <w:r w:rsidR="005125DC">
        <w:t>ncluded a PK</w:t>
      </w:r>
      <w:r w:rsidR="00597B59">
        <w:t xml:space="preserve"> study CHAMP 11816</w:t>
      </w:r>
      <w:r w:rsidRPr="003F16F6">
        <w:t>, clinical</w:t>
      </w:r>
      <w:r w:rsidR="00135088">
        <w:t xml:space="preserve"> </w:t>
      </w:r>
      <w:r w:rsidRPr="003F16F6">
        <w:t>study 10053(EXA</w:t>
      </w:r>
      <w:r w:rsidR="00597B59">
        <w:t>CTLE), safety study STAMP 11815,</w:t>
      </w:r>
      <w:r w:rsidR="00135088">
        <w:t xml:space="preserve"> </w:t>
      </w:r>
      <w:r w:rsidRPr="003F16F6">
        <w:t>as well as a number of literature references</w:t>
      </w:r>
      <w:r w:rsidR="006F1429">
        <w:t>.</w:t>
      </w:r>
    </w:p>
    <w:p w:rsidR="003F16F6" w:rsidRPr="003F16F6" w:rsidRDefault="003F16F6" w:rsidP="003F16F6">
      <w:pPr>
        <w:pStyle w:val="Heading4"/>
      </w:pPr>
      <w:bookmarkStart w:id="132" w:name="_Toc427841287"/>
      <w:r w:rsidRPr="003F16F6">
        <w:t>Pharmacokinetics</w:t>
      </w:r>
      <w:bookmarkEnd w:id="132"/>
    </w:p>
    <w:p w:rsidR="006F1429" w:rsidRDefault="003F16F6" w:rsidP="003F16F6">
      <w:r w:rsidRPr="003F16F6">
        <w:t xml:space="preserve">The absence of biopharmaceutic and bioavailability data in the dossier was justified because the active ingredient of </w:t>
      </w:r>
      <w:r w:rsidR="00F634F0">
        <w:t>Prolastin</w:t>
      </w:r>
      <w:r w:rsidRPr="003F16F6">
        <w:t>-C is a human plasma protein that has not been modified during the manufacturing process. The bioavailability of the product and natural protein is thought to be the same</w:t>
      </w:r>
      <w:r w:rsidR="006F1429">
        <w:t>.</w:t>
      </w:r>
    </w:p>
    <w:p w:rsidR="003F16F6" w:rsidRPr="003F16F6" w:rsidRDefault="003F16F6" w:rsidP="003F16F6">
      <w:r w:rsidRPr="003F16F6">
        <w:t>Note: The 11</w:t>
      </w:r>
      <w:r w:rsidR="00F9718C">
        <w:t xml:space="preserve"> </w:t>
      </w:r>
      <w:r w:rsidRPr="003F16F6">
        <w:t>µM threshold for AAT is based upon a historical publication that showed individuals with AAAT level &lt; 11</w:t>
      </w:r>
      <w:r w:rsidR="00F9718C">
        <w:t xml:space="preserve"> </w:t>
      </w:r>
      <w:r w:rsidRPr="003F16F6">
        <w:t>µM were at increased risk of emphysema.</w:t>
      </w:r>
    </w:p>
    <w:p w:rsidR="00F9718C" w:rsidRDefault="00F9718C" w:rsidP="003F16F6">
      <w:pPr>
        <w:pStyle w:val="Heading5"/>
      </w:pPr>
      <w:r>
        <w:t>PK Study 11816</w:t>
      </w:r>
    </w:p>
    <w:p w:rsidR="003F16F6" w:rsidRPr="00F9718C" w:rsidRDefault="00F9718C" w:rsidP="00F9718C">
      <w:r>
        <w:t>Study 11816 was a p</w:t>
      </w:r>
      <w:r w:rsidR="003F16F6" w:rsidRPr="00F9718C">
        <w:t xml:space="preserve">harmacokinetic comparability </w:t>
      </w:r>
      <w:r>
        <w:t xml:space="preserve">study </w:t>
      </w:r>
      <w:r w:rsidR="003F16F6" w:rsidRPr="00F9718C">
        <w:t xml:space="preserve">of </w:t>
      </w:r>
      <w:r w:rsidRPr="00F9718C">
        <w:t>alpha</w:t>
      </w:r>
      <w:r w:rsidRPr="00F9718C">
        <w:rPr>
          <w:vertAlign w:val="subscript"/>
        </w:rPr>
        <w:t>1</w:t>
      </w:r>
      <w:r w:rsidRPr="00F9718C">
        <w:t xml:space="preserve">-PI </w:t>
      </w:r>
      <w:r w:rsidR="003F16F6" w:rsidRPr="00F9718C">
        <w:t>MP (</w:t>
      </w:r>
      <w:r w:rsidR="00F634F0" w:rsidRPr="00F9718C">
        <w:t>Prolastin</w:t>
      </w:r>
      <w:r w:rsidR="003F16F6" w:rsidRPr="00F9718C">
        <w:t xml:space="preserve">-C) versus </w:t>
      </w:r>
      <w:r w:rsidR="00F634F0" w:rsidRPr="00F9718C">
        <w:t>Prolastin</w:t>
      </w:r>
      <w:r>
        <w:t>.</w:t>
      </w:r>
    </w:p>
    <w:p w:rsidR="003F16F6" w:rsidRPr="003F16F6" w:rsidRDefault="003F16F6" w:rsidP="003F16F6">
      <w:r w:rsidRPr="003F16F6">
        <w:t xml:space="preserve">Multi-centred, randomised, double blind cross over trial to evaluate the PK comparability of </w:t>
      </w:r>
      <w:r w:rsidR="00F634F0">
        <w:t>Prolastin</w:t>
      </w:r>
      <w:r w:rsidRPr="003F16F6">
        <w:t xml:space="preserve">-C to </w:t>
      </w:r>
      <w:r w:rsidR="00F634F0">
        <w:t>Prolastin</w:t>
      </w:r>
      <w:r w:rsidRPr="003F16F6">
        <w:t xml:space="preserve"> in 24 adults with </w:t>
      </w:r>
      <w:r w:rsidR="006473AA">
        <w:t>AATD</w:t>
      </w:r>
      <w:r w:rsidRPr="003F16F6">
        <w:t>.</w:t>
      </w:r>
    </w:p>
    <w:p w:rsidR="003F16F6" w:rsidRDefault="003F16F6" w:rsidP="003F16F6">
      <w:r w:rsidRPr="003F16F6">
        <w:t xml:space="preserve">There were 24 subjects, 100% white, PI*ZZ in 23, </w:t>
      </w:r>
      <w:r w:rsidR="006473AA">
        <w:t xml:space="preserve">at risk SZ in 1 subject. Age 40 to </w:t>
      </w:r>
      <w:r w:rsidRPr="003F16F6">
        <w:t>72, mean age 57.7 years .A bioassay and immunoassay were performed.</w:t>
      </w:r>
    </w:p>
    <w:p w:rsidR="004F3705" w:rsidRDefault="004F3705" w:rsidP="004F3705">
      <w:pPr>
        <w:pStyle w:val="FigureTitle"/>
        <w:rPr>
          <w:lang w:val="en-US"/>
        </w:rPr>
      </w:pPr>
      <w:r>
        <w:rPr>
          <w:lang w:val="en-US"/>
        </w:rPr>
        <w:lastRenderedPageBreak/>
        <w:t>Figure 1: Mean Plasma Alpha1-PI post</w:t>
      </w:r>
      <w:r>
        <w:rPr>
          <w:spacing w:val="-14"/>
          <w:lang w:val="en-US"/>
        </w:rPr>
        <w:t xml:space="preserve"> </w:t>
      </w:r>
      <w:r>
        <w:rPr>
          <w:lang w:val="en-US"/>
        </w:rPr>
        <w:t>Alpha-1 MP or Prolastin; Potency</w:t>
      </w:r>
      <w:r>
        <w:rPr>
          <w:spacing w:val="-9"/>
          <w:lang w:val="en-US"/>
        </w:rPr>
        <w:t xml:space="preserve"> </w:t>
      </w:r>
      <w:r>
        <w:rPr>
          <w:lang w:val="en-US"/>
        </w:rPr>
        <w:t>Assay</w:t>
      </w:r>
      <w:r w:rsidR="005F429F">
        <w:rPr>
          <w:lang w:val="en-US"/>
        </w:rPr>
        <w:t xml:space="preserve"> </w:t>
      </w:r>
      <w:r>
        <w:rPr>
          <w:lang w:val="en-US"/>
        </w:rPr>
        <w:t>(left) and Content Assay</w:t>
      </w:r>
      <w:r w:rsidR="00010795">
        <w:rPr>
          <w:lang w:val="en-US"/>
        </w:rPr>
        <w:t xml:space="preserve"> </w:t>
      </w:r>
      <w:r>
        <w:rPr>
          <w:lang w:val="en-US"/>
        </w:rPr>
        <w:t>(right)</w:t>
      </w:r>
    </w:p>
    <w:p w:rsidR="003F16F6" w:rsidRDefault="003F16F6" w:rsidP="007B6132">
      <w:r>
        <w:rPr>
          <w:noProof/>
          <w:lang w:eastAsia="en-AU"/>
        </w:rPr>
        <w:drawing>
          <wp:inline distT="0" distB="0" distL="0" distR="0" wp14:anchorId="7143A3DD" wp14:editId="4AF23FC2">
            <wp:extent cx="5400040" cy="2274248"/>
            <wp:effectExtent l="0" t="0" r="0" b="0"/>
            <wp:docPr id="1" name="Picture 1" descr="Figure 1 is a screen capture of 2 line graphs. Graph 1. illustrates the mean Plasma Alpha1-PI post Alpha-1 MP or Prolastin; Potency Assay(left) and Graph 2. illustrates the content Assa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00040" cy="2274248"/>
                    </a:xfrm>
                    <a:prstGeom prst="rect">
                      <a:avLst/>
                    </a:prstGeom>
                  </pic:spPr>
                </pic:pic>
              </a:graphicData>
            </a:graphic>
          </wp:inline>
        </w:drawing>
      </w:r>
    </w:p>
    <w:p w:rsidR="003F16F6" w:rsidRPr="003F16F6" w:rsidRDefault="003F16F6" w:rsidP="003F16F6">
      <w:r w:rsidRPr="003F16F6">
        <w:t>Primary PK Endpoint: The A</w:t>
      </w:r>
      <w:r w:rsidR="006473AA">
        <w:t>UC</w:t>
      </w:r>
      <w:r w:rsidRPr="006473AA">
        <w:rPr>
          <w:vertAlign w:val="subscript"/>
        </w:rPr>
        <w:t>0-7days</w:t>
      </w:r>
      <w:r w:rsidRPr="003F16F6">
        <w:t xml:space="preserve"> by the bioassay assay was </w:t>
      </w:r>
      <w:proofErr w:type="gramStart"/>
      <w:r w:rsidRPr="003F16F6">
        <w:t xml:space="preserve">155.9 </w:t>
      </w:r>
      <w:proofErr w:type="spellStart"/>
      <w:r w:rsidRPr="003F16F6">
        <w:t>mg.h</w:t>
      </w:r>
      <w:proofErr w:type="spellEnd"/>
      <w:r w:rsidRPr="003F16F6">
        <w:t>/mL</w:t>
      </w:r>
      <w:proofErr w:type="gramEnd"/>
      <w:r w:rsidRPr="003F16F6">
        <w:t xml:space="preserve"> for </w:t>
      </w:r>
      <w:proofErr w:type="spellStart"/>
      <w:r w:rsidR="00F634F0">
        <w:t>Prolastin</w:t>
      </w:r>
      <w:proofErr w:type="spellEnd"/>
      <w:r w:rsidRPr="003F16F6">
        <w:t xml:space="preserve">-C and 152.4 </w:t>
      </w:r>
      <w:proofErr w:type="spellStart"/>
      <w:r w:rsidRPr="003F16F6">
        <w:t>mg.h</w:t>
      </w:r>
      <w:proofErr w:type="spellEnd"/>
      <w:r w:rsidRPr="003F16F6">
        <w:t xml:space="preserve">/mL for </w:t>
      </w:r>
      <w:proofErr w:type="spellStart"/>
      <w:r w:rsidR="00F634F0">
        <w:t>Prolastin</w:t>
      </w:r>
      <w:proofErr w:type="spellEnd"/>
      <w:r w:rsidRPr="003F16F6">
        <w:t xml:space="preserve">. </w:t>
      </w:r>
      <w:r w:rsidR="00637064">
        <w:t>Analysis of variance</w:t>
      </w:r>
      <w:r w:rsidR="00637064" w:rsidRPr="003F16F6">
        <w:t xml:space="preserve"> </w:t>
      </w:r>
      <w:r w:rsidR="00637064">
        <w:t>(</w:t>
      </w:r>
      <w:r w:rsidRPr="003F16F6">
        <w:t>ANOVA</w:t>
      </w:r>
      <w:r w:rsidR="00637064">
        <w:t>)</w:t>
      </w:r>
      <w:r w:rsidRPr="003F16F6">
        <w:t xml:space="preserve"> analysis showed that the geometric least-squares mea</w:t>
      </w:r>
      <w:r w:rsidR="006473AA">
        <w:t>n ratio for the bioassay of AUC</w:t>
      </w:r>
      <w:r w:rsidRPr="006473AA">
        <w:rPr>
          <w:vertAlign w:val="subscript"/>
        </w:rPr>
        <w:t>0-7days</w:t>
      </w:r>
      <w:r w:rsidRPr="003F16F6">
        <w:t xml:space="preserve"> had a point estimate and 90% confidence interval</w:t>
      </w:r>
      <w:r w:rsidR="005125DC">
        <w:t xml:space="preserve"> (CI)</w:t>
      </w:r>
      <w:r w:rsidRPr="003F16F6">
        <w:t xml:space="preserve"> of 1.03 and 0.97-1.09, respectively. The 90% CI falls within the limit of 0.80- 1.25 </w:t>
      </w:r>
      <w:r w:rsidR="006473AA">
        <w:t>that is</w:t>
      </w:r>
      <w:r w:rsidRPr="003F16F6">
        <w:t xml:space="preserve"> “bioequivalent”. The point estimate and 90% confidence interval of the geometric least-squares mean ratio for </w:t>
      </w:r>
      <w:r w:rsidR="006473AA">
        <w:t>AUC</w:t>
      </w:r>
      <w:r w:rsidR="006473AA">
        <w:rPr>
          <w:vertAlign w:val="subscript"/>
        </w:rPr>
        <w:t>0-7days</w:t>
      </w:r>
      <w:r w:rsidR="006473AA" w:rsidRPr="003F16F6">
        <w:t xml:space="preserve"> </w:t>
      </w:r>
      <w:r w:rsidRPr="003F16F6">
        <w:t>by the immunoassay assay, were also calculated at 0.98 and 0.95-1.02, respectively</w:t>
      </w:r>
    </w:p>
    <w:p w:rsidR="003F16F6" w:rsidRPr="003F16F6" w:rsidRDefault="00271841" w:rsidP="003F16F6">
      <w:pPr>
        <w:pStyle w:val="TableTitle"/>
      </w:pPr>
      <w:r>
        <w:t xml:space="preserve">Table </w:t>
      </w:r>
      <w:r w:rsidR="005F429F">
        <w:t>5</w:t>
      </w:r>
      <w:r>
        <w:t xml:space="preserve">: </w:t>
      </w:r>
      <w:r w:rsidR="003F16F6" w:rsidRPr="003F16F6">
        <w:t>PK Studies submitted as literature references</w:t>
      </w:r>
      <w:r w:rsidR="006473AA">
        <w:t xml:space="preserve"> and relevant to the submission</w:t>
      </w:r>
    </w:p>
    <w:tbl>
      <w:tblPr>
        <w:tblStyle w:val="TableTGAblue"/>
        <w:tblW w:w="0" w:type="auto"/>
        <w:tblLook w:val="04A0" w:firstRow="1" w:lastRow="0" w:firstColumn="1" w:lastColumn="0" w:noHBand="0" w:noVBand="1"/>
        <w:tblDescription w:val="Table 5 is a list of PK Studies submitted as literature references and relevant to the submission.  This table contains 6 heading columns: 1. study, 2. objective, 3. intervention, 4. population, 5. duration and 6. outcome."/>
      </w:tblPr>
      <w:tblGrid>
        <w:gridCol w:w="942"/>
        <w:gridCol w:w="1337"/>
        <w:gridCol w:w="1530"/>
        <w:gridCol w:w="1231"/>
        <w:gridCol w:w="1121"/>
        <w:gridCol w:w="2559"/>
      </w:tblGrid>
      <w:tr w:rsidR="003F16F6" w:rsidRPr="001F03D6" w:rsidTr="003F16F6">
        <w:trPr>
          <w:cnfStyle w:val="100000000000" w:firstRow="1" w:lastRow="0" w:firstColumn="0" w:lastColumn="0" w:oddVBand="0" w:evenVBand="0" w:oddHBand="0" w:evenHBand="0" w:firstRowFirstColumn="0" w:firstRowLastColumn="0" w:lastRowFirstColumn="0" w:lastRowLastColumn="0"/>
        </w:trPr>
        <w:tc>
          <w:tcPr>
            <w:tcW w:w="0" w:type="auto"/>
          </w:tcPr>
          <w:p w:rsidR="003F16F6" w:rsidRPr="001F03D6" w:rsidRDefault="003F16F6" w:rsidP="003F16F6">
            <w:pPr>
              <w:ind w:left="0" w:right="0"/>
              <w:rPr>
                <w:sz w:val="20"/>
                <w:szCs w:val="20"/>
              </w:rPr>
            </w:pPr>
            <w:r w:rsidRPr="001F03D6">
              <w:rPr>
                <w:sz w:val="20"/>
                <w:szCs w:val="20"/>
              </w:rPr>
              <w:t>Study</w:t>
            </w:r>
          </w:p>
        </w:tc>
        <w:tc>
          <w:tcPr>
            <w:tcW w:w="0" w:type="auto"/>
          </w:tcPr>
          <w:p w:rsidR="003F16F6" w:rsidRPr="001F03D6" w:rsidRDefault="003F16F6" w:rsidP="003F16F6">
            <w:pPr>
              <w:ind w:left="0" w:right="0"/>
              <w:rPr>
                <w:sz w:val="20"/>
                <w:szCs w:val="20"/>
              </w:rPr>
            </w:pPr>
            <w:r w:rsidRPr="001F03D6">
              <w:rPr>
                <w:sz w:val="20"/>
                <w:szCs w:val="20"/>
              </w:rPr>
              <w:t>Objective</w:t>
            </w:r>
          </w:p>
        </w:tc>
        <w:tc>
          <w:tcPr>
            <w:tcW w:w="0" w:type="auto"/>
          </w:tcPr>
          <w:p w:rsidR="003F16F6" w:rsidRPr="001F03D6" w:rsidRDefault="005125DC" w:rsidP="003F16F6">
            <w:pPr>
              <w:ind w:left="0" w:right="0"/>
              <w:rPr>
                <w:sz w:val="20"/>
                <w:szCs w:val="20"/>
              </w:rPr>
            </w:pPr>
            <w:r>
              <w:rPr>
                <w:sz w:val="20"/>
                <w:szCs w:val="20"/>
              </w:rPr>
              <w:t>I</w:t>
            </w:r>
            <w:r w:rsidR="003F16F6" w:rsidRPr="001F03D6">
              <w:rPr>
                <w:sz w:val="20"/>
                <w:szCs w:val="20"/>
              </w:rPr>
              <w:t>ntervention</w:t>
            </w:r>
          </w:p>
        </w:tc>
        <w:tc>
          <w:tcPr>
            <w:tcW w:w="0" w:type="auto"/>
          </w:tcPr>
          <w:p w:rsidR="003F16F6" w:rsidRPr="001F03D6" w:rsidRDefault="005125DC" w:rsidP="003F16F6">
            <w:pPr>
              <w:ind w:left="0" w:right="0"/>
              <w:rPr>
                <w:sz w:val="20"/>
                <w:szCs w:val="20"/>
              </w:rPr>
            </w:pPr>
            <w:r>
              <w:rPr>
                <w:sz w:val="20"/>
                <w:szCs w:val="20"/>
              </w:rPr>
              <w:t>P</w:t>
            </w:r>
            <w:r w:rsidR="003F16F6" w:rsidRPr="001F03D6">
              <w:rPr>
                <w:sz w:val="20"/>
                <w:szCs w:val="20"/>
              </w:rPr>
              <w:t>opulation</w:t>
            </w:r>
          </w:p>
        </w:tc>
        <w:tc>
          <w:tcPr>
            <w:tcW w:w="0" w:type="auto"/>
          </w:tcPr>
          <w:p w:rsidR="003F16F6" w:rsidRPr="001F03D6" w:rsidRDefault="005125DC" w:rsidP="003F16F6">
            <w:pPr>
              <w:ind w:left="0" w:right="0"/>
              <w:rPr>
                <w:sz w:val="20"/>
                <w:szCs w:val="20"/>
              </w:rPr>
            </w:pPr>
            <w:r>
              <w:rPr>
                <w:sz w:val="20"/>
                <w:szCs w:val="20"/>
              </w:rPr>
              <w:t>D</w:t>
            </w:r>
            <w:r w:rsidR="003F16F6" w:rsidRPr="001F03D6">
              <w:rPr>
                <w:sz w:val="20"/>
                <w:szCs w:val="20"/>
              </w:rPr>
              <w:t>uration</w:t>
            </w:r>
          </w:p>
        </w:tc>
        <w:tc>
          <w:tcPr>
            <w:tcW w:w="0" w:type="auto"/>
          </w:tcPr>
          <w:p w:rsidR="003F16F6" w:rsidRPr="001F03D6" w:rsidRDefault="005125DC" w:rsidP="003F16F6">
            <w:pPr>
              <w:ind w:left="0" w:right="0"/>
              <w:rPr>
                <w:sz w:val="20"/>
                <w:szCs w:val="20"/>
              </w:rPr>
            </w:pPr>
            <w:r>
              <w:rPr>
                <w:sz w:val="20"/>
                <w:szCs w:val="20"/>
              </w:rPr>
              <w:t>O</w:t>
            </w:r>
            <w:r w:rsidR="003F16F6" w:rsidRPr="001F03D6">
              <w:rPr>
                <w:sz w:val="20"/>
                <w:szCs w:val="20"/>
              </w:rPr>
              <w:t>utcome</w:t>
            </w:r>
          </w:p>
        </w:tc>
      </w:tr>
      <w:tr w:rsidR="001F03D6" w:rsidRPr="001F03D6" w:rsidTr="003F16F6">
        <w:tc>
          <w:tcPr>
            <w:tcW w:w="0" w:type="auto"/>
          </w:tcPr>
          <w:p w:rsidR="003F16F6" w:rsidRPr="001F03D6" w:rsidRDefault="003F16F6" w:rsidP="003F16F6">
            <w:pPr>
              <w:ind w:left="0" w:right="0"/>
              <w:rPr>
                <w:sz w:val="20"/>
                <w:szCs w:val="20"/>
              </w:rPr>
            </w:pPr>
            <w:proofErr w:type="spellStart"/>
            <w:r w:rsidRPr="005125DC">
              <w:rPr>
                <w:sz w:val="20"/>
                <w:szCs w:val="20"/>
              </w:rPr>
              <w:t>Wewer</w:t>
            </w:r>
            <w:r w:rsidR="005125DC" w:rsidRPr="005125DC">
              <w:rPr>
                <w:sz w:val="20"/>
                <w:szCs w:val="20"/>
              </w:rPr>
              <w:t>s</w:t>
            </w:r>
            <w:proofErr w:type="spellEnd"/>
            <w:r w:rsidRPr="005125DC">
              <w:rPr>
                <w:sz w:val="20"/>
                <w:szCs w:val="20"/>
              </w:rPr>
              <w:t xml:space="preserve"> 1987</w:t>
            </w:r>
            <w:r w:rsidR="005125DC" w:rsidRPr="005125DC">
              <w:rPr>
                <w:sz w:val="20"/>
                <w:szCs w:val="20"/>
                <w:vertAlign w:val="superscript"/>
              </w:rPr>
              <w:fldChar w:fldCharType="begin"/>
            </w:r>
            <w:r w:rsidR="005125DC" w:rsidRPr="005125DC">
              <w:rPr>
                <w:sz w:val="20"/>
                <w:szCs w:val="20"/>
                <w:vertAlign w:val="superscript"/>
              </w:rPr>
              <w:instrText xml:space="preserve"> NOTEREF _Ref488669900 \h  \* MERGEFORMAT </w:instrText>
            </w:r>
            <w:r w:rsidR="005125DC" w:rsidRPr="005125DC">
              <w:rPr>
                <w:sz w:val="20"/>
                <w:szCs w:val="20"/>
                <w:vertAlign w:val="superscript"/>
              </w:rPr>
            </w:r>
            <w:r w:rsidR="005125DC" w:rsidRPr="005125DC">
              <w:rPr>
                <w:sz w:val="20"/>
                <w:szCs w:val="20"/>
                <w:vertAlign w:val="superscript"/>
              </w:rPr>
              <w:fldChar w:fldCharType="separate"/>
            </w:r>
            <w:r w:rsidR="005125DC" w:rsidRPr="005125DC">
              <w:rPr>
                <w:sz w:val="20"/>
                <w:szCs w:val="20"/>
                <w:vertAlign w:val="superscript"/>
              </w:rPr>
              <w:t>12</w:t>
            </w:r>
            <w:r w:rsidR="005125DC" w:rsidRPr="005125DC">
              <w:rPr>
                <w:sz w:val="20"/>
                <w:szCs w:val="20"/>
                <w:vertAlign w:val="superscript"/>
              </w:rPr>
              <w:fldChar w:fldCharType="end"/>
            </w:r>
          </w:p>
        </w:tc>
        <w:tc>
          <w:tcPr>
            <w:tcW w:w="0" w:type="auto"/>
          </w:tcPr>
          <w:p w:rsidR="003F16F6" w:rsidRPr="001F03D6" w:rsidRDefault="003F16F6" w:rsidP="003F16F6">
            <w:pPr>
              <w:ind w:left="0" w:right="0"/>
              <w:rPr>
                <w:sz w:val="20"/>
                <w:szCs w:val="20"/>
              </w:rPr>
            </w:pPr>
            <w:r w:rsidRPr="001F03D6">
              <w:rPr>
                <w:sz w:val="20"/>
                <w:szCs w:val="20"/>
              </w:rPr>
              <w:t>Feasibility, safety and biochemical efficacy</w:t>
            </w:r>
          </w:p>
        </w:tc>
        <w:tc>
          <w:tcPr>
            <w:tcW w:w="0" w:type="auto"/>
          </w:tcPr>
          <w:p w:rsidR="003F16F6" w:rsidRPr="001F03D6" w:rsidRDefault="003F16F6" w:rsidP="003F16F6">
            <w:pPr>
              <w:ind w:left="0" w:right="0"/>
              <w:rPr>
                <w:sz w:val="20"/>
                <w:szCs w:val="20"/>
              </w:rPr>
            </w:pPr>
            <w:r w:rsidRPr="001F03D6">
              <w:rPr>
                <w:sz w:val="20"/>
                <w:szCs w:val="20"/>
              </w:rPr>
              <w:t>60mg/kg alpha</w:t>
            </w:r>
            <w:r w:rsidRPr="006473AA">
              <w:rPr>
                <w:sz w:val="20"/>
                <w:szCs w:val="20"/>
                <w:vertAlign w:val="subscript"/>
              </w:rPr>
              <w:t>1</w:t>
            </w:r>
            <w:r w:rsidRPr="001F03D6">
              <w:rPr>
                <w:sz w:val="20"/>
                <w:szCs w:val="20"/>
              </w:rPr>
              <w:t xml:space="preserve"> antitrypsin weekly</w:t>
            </w:r>
          </w:p>
        </w:tc>
        <w:tc>
          <w:tcPr>
            <w:tcW w:w="0" w:type="auto"/>
          </w:tcPr>
          <w:p w:rsidR="003F16F6" w:rsidRPr="001F03D6" w:rsidRDefault="003F16F6" w:rsidP="003F16F6">
            <w:pPr>
              <w:ind w:left="0" w:right="0"/>
              <w:rPr>
                <w:sz w:val="20"/>
                <w:szCs w:val="20"/>
              </w:rPr>
            </w:pPr>
            <w:r w:rsidRPr="001F03D6">
              <w:rPr>
                <w:sz w:val="20"/>
                <w:szCs w:val="20"/>
              </w:rPr>
              <w:t>5 subjects</w:t>
            </w:r>
          </w:p>
        </w:tc>
        <w:tc>
          <w:tcPr>
            <w:tcW w:w="0" w:type="auto"/>
          </w:tcPr>
          <w:p w:rsidR="003F16F6" w:rsidRPr="001F03D6" w:rsidRDefault="003F16F6" w:rsidP="003F16F6">
            <w:pPr>
              <w:ind w:left="0" w:right="0"/>
              <w:rPr>
                <w:sz w:val="20"/>
                <w:szCs w:val="20"/>
              </w:rPr>
            </w:pPr>
            <w:r w:rsidRPr="001F03D6">
              <w:rPr>
                <w:sz w:val="20"/>
                <w:szCs w:val="20"/>
              </w:rPr>
              <w:t>6 months</w:t>
            </w:r>
          </w:p>
        </w:tc>
        <w:tc>
          <w:tcPr>
            <w:tcW w:w="0" w:type="auto"/>
          </w:tcPr>
          <w:p w:rsidR="003F16F6" w:rsidRPr="001F03D6" w:rsidRDefault="003F16F6" w:rsidP="005125DC">
            <w:pPr>
              <w:ind w:left="0" w:right="0"/>
              <w:rPr>
                <w:sz w:val="20"/>
                <w:szCs w:val="20"/>
              </w:rPr>
            </w:pPr>
            <w:r w:rsidRPr="001F03D6">
              <w:rPr>
                <w:sz w:val="20"/>
                <w:szCs w:val="20"/>
              </w:rPr>
              <w:t xml:space="preserve">After steady state had been reached, the group had serum trough levels of </w:t>
            </w:r>
            <w:r w:rsidR="005125DC" w:rsidRPr="005125DC">
              <w:rPr>
                <w:sz w:val="20"/>
                <w:szCs w:val="20"/>
              </w:rPr>
              <w:t>alpha</w:t>
            </w:r>
            <w:r w:rsidR="005125DC" w:rsidRPr="005125DC">
              <w:rPr>
                <w:sz w:val="20"/>
                <w:szCs w:val="20"/>
                <w:vertAlign w:val="subscript"/>
              </w:rPr>
              <w:t>1</w:t>
            </w:r>
            <w:r w:rsidR="005125DC" w:rsidRPr="005125DC">
              <w:rPr>
                <w:sz w:val="20"/>
                <w:szCs w:val="20"/>
              </w:rPr>
              <w:t>-PI</w:t>
            </w:r>
            <w:r w:rsidRPr="005125DC">
              <w:rPr>
                <w:sz w:val="20"/>
                <w:szCs w:val="20"/>
              </w:rPr>
              <w:t xml:space="preserve"> of</w:t>
            </w:r>
            <w:r w:rsidRPr="001F03D6">
              <w:rPr>
                <w:sz w:val="20"/>
                <w:szCs w:val="20"/>
              </w:rPr>
              <w:t xml:space="preserve"> 126 ± 1 mg/</w:t>
            </w:r>
            <w:proofErr w:type="spellStart"/>
            <w:r w:rsidRPr="001F03D6">
              <w:rPr>
                <w:sz w:val="20"/>
                <w:szCs w:val="20"/>
              </w:rPr>
              <w:t>dL</w:t>
            </w:r>
            <w:proofErr w:type="spellEnd"/>
            <w:r w:rsidRPr="001F03D6">
              <w:rPr>
                <w:sz w:val="20"/>
                <w:szCs w:val="20"/>
              </w:rPr>
              <w:t xml:space="preserve"> (</w:t>
            </w:r>
            <w:r w:rsidR="005125DC">
              <w:rPr>
                <w:sz w:val="20"/>
                <w:szCs w:val="20"/>
              </w:rPr>
              <w:t>compared with</w:t>
            </w:r>
            <w:r w:rsidRPr="001F03D6">
              <w:rPr>
                <w:sz w:val="20"/>
                <w:szCs w:val="20"/>
              </w:rPr>
              <w:t xml:space="preserve"> 30 ± 1</w:t>
            </w:r>
            <w:r w:rsidR="005125DC">
              <w:rPr>
                <w:sz w:val="20"/>
                <w:szCs w:val="20"/>
              </w:rPr>
              <w:t> </w:t>
            </w:r>
            <w:r w:rsidRPr="001F03D6">
              <w:rPr>
                <w:sz w:val="20"/>
                <w:szCs w:val="20"/>
              </w:rPr>
              <w:t>mg/</w:t>
            </w:r>
            <w:proofErr w:type="spellStart"/>
            <w:r w:rsidRPr="001F03D6">
              <w:rPr>
                <w:sz w:val="20"/>
                <w:szCs w:val="20"/>
              </w:rPr>
              <w:t>dL</w:t>
            </w:r>
            <w:proofErr w:type="spellEnd"/>
            <w:r w:rsidRPr="001F03D6">
              <w:rPr>
                <w:sz w:val="20"/>
                <w:szCs w:val="20"/>
              </w:rPr>
              <w:t xml:space="preserve"> before treatment). Serum anti-neutrophil elastase levels were 13.3 ± 0.1 µM (compared with pre-treatment 5.4 ± 1 µM. The </w:t>
            </w:r>
            <w:r w:rsidR="005125DC" w:rsidRPr="005125DC">
              <w:rPr>
                <w:sz w:val="20"/>
                <w:szCs w:val="20"/>
              </w:rPr>
              <w:t>alpha</w:t>
            </w:r>
            <w:r w:rsidR="005125DC" w:rsidRPr="005125DC">
              <w:rPr>
                <w:sz w:val="20"/>
                <w:szCs w:val="20"/>
                <w:vertAlign w:val="subscript"/>
              </w:rPr>
              <w:t>1</w:t>
            </w:r>
            <w:r w:rsidR="005125DC" w:rsidRPr="005125DC">
              <w:rPr>
                <w:sz w:val="20"/>
                <w:szCs w:val="20"/>
              </w:rPr>
              <w:t>-PI</w:t>
            </w:r>
            <w:r w:rsidRPr="005125DC">
              <w:rPr>
                <w:sz w:val="20"/>
                <w:szCs w:val="20"/>
              </w:rPr>
              <w:t xml:space="preserve"> and</w:t>
            </w:r>
            <w:r w:rsidRPr="001F03D6">
              <w:rPr>
                <w:sz w:val="20"/>
                <w:szCs w:val="20"/>
              </w:rPr>
              <w:t xml:space="preserve"> ant neutrophil elastase capacities in the lung also improved. There was no change in lung function or X</w:t>
            </w:r>
            <w:r w:rsidR="006473AA">
              <w:rPr>
                <w:sz w:val="20"/>
                <w:szCs w:val="20"/>
              </w:rPr>
              <w:t xml:space="preserve"> </w:t>
            </w:r>
            <w:r w:rsidRPr="001F03D6">
              <w:rPr>
                <w:sz w:val="20"/>
                <w:szCs w:val="20"/>
              </w:rPr>
              <w:t>ray changes.</w:t>
            </w:r>
          </w:p>
        </w:tc>
      </w:tr>
      <w:tr w:rsidR="001F03D6" w:rsidRPr="001F03D6" w:rsidTr="003F16F6">
        <w:tc>
          <w:tcPr>
            <w:tcW w:w="0" w:type="auto"/>
          </w:tcPr>
          <w:p w:rsidR="003F16F6" w:rsidRPr="001F03D6" w:rsidRDefault="003F16F6" w:rsidP="003F16F6">
            <w:pPr>
              <w:ind w:left="0" w:right="0"/>
              <w:rPr>
                <w:sz w:val="20"/>
                <w:szCs w:val="20"/>
              </w:rPr>
            </w:pPr>
            <w:r w:rsidRPr="001F03D6">
              <w:rPr>
                <w:sz w:val="20"/>
                <w:szCs w:val="20"/>
              </w:rPr>
              <w:t>Campos 2013</w:t>
            </w:r>
            <w:r w:rsidR="005125DC">
              <w:rPr>
                <w:rStyle w:val="FootnoteReference"/>
                <w:sz w:val="20"/>
                <w:szCs w:val="20"/>
              </w:rPr>
              <w:footnoteReference w:id="18"/>
            </w:r>
          </w:p>
        </w:tc>
        <w:tc>
          <w:tcPr>
            <w:tcW w:w="0" w:type="auto"/>
          </w:tcPr>
          <w:p w:rsidR="003F16F6" w:rsidRPr="001F03D6" w:rsidRDefault="003F16F6" w:rsidP="003F16F6">
            <w:pPr>
              <w:ind w:left="0" w:right="0"/>
              <w:rPr>
                <w:sz w:val="20"/>
                <w:szCs w:val="20"/>
              </w:rPr>
            </w:pPr>
            <w:r w:rsidRPr="001F03D6">
              <w:rPr>
                <w:sz w:val="20"/>
                <w:szCs w:val="20"/>
              </w:rPr>
              <w:t>PK and safety</w:t>
            </w:r>
          </w:p>
        </w:tc>
        <w:tc>
          <w:tcPr>
            <w:tcW w:w="0" w:type="auto"/>
          </w:tcPr>
          <w:p w:rsidR="003F16F6" w:rsidRPr="001F03D6" w:rsidRDefault="003F16F6" w:rsidP="003F16F6">
            <w:pPr>
              <w:ind w:left="0" w:right="0"/>
              <w:rPr>
                <w:sz w:val="20"/>
                <w:szCs w:val="20"/>
              </w:rPr>
            </w:pPr>
            <w:r w:rsidRPr="001F03D6">
              <w:rPr>
                <w:sz w:val="20"/>
                <w:szCs w:val="20"/>
              </w:rPr>
              <w:t xml:space="preserve">Randomised trial of 120mg/kg weekly versus 60mg/kg </w:t>
            </w:r>
            <w:r w:rsidRPr="001F03D6">
              <w:rPr>
                <w:sz w:val="20"/>
                <w:szCs w:val="20"/>
              </w:rPr>
              <w:lastRenderedPageBreak/>
              <w:t>weekly</w:t>
            </w:r>
          </w:p>
        </w:tc>
        <w:tc>
          <w:tcPr>
            <w:tcW w:w="0" w:type="auto"/>
          </w:tcPr>
          <w:p w:rsidR="003F16F6" w:rsidRPr="001F03D6" w:rsidRDefault="003F16F6" w:rsidP="003F16F6">
            <w:pPr>
              <w:ind w:left="0" w:right="0"/>
              <w:rPr>
                <w:sz w:val="20"/>
                <w:szCs w:val="20"/>
              </w:rPr>
            </w:pPr>
            <w:r w:rsidRPr="001F03D6">
              <w:rPr>
                <w:sz w:val="20"/>
                <w:szCs w:val="20"/>
              </w:rPr>
              <w:lastRenderedPageBreak/>
              <w:t>30 subjects</w:t>
            </w:r>
          </w:p>
        </w:tc>
        <w:tc>
          <w:tcPr>
            <w:tcW w:w="0" w:type="auto"/>
          </w:tcPr>
          <w:p w:rsidR="003F16F6" w:rsidRPr="001F03D6" w:rsidRDefault="003F16F6" w:rsidP="003F16F6">
            <w:pPr>
              <w:ind w:left="0" w:right="0"/>
              <w:rPr>
                <w:sz w:val="20"/>
                <w:szCs w:val="20"/>
              </w:rPr>
            </w:pPr>
            <w:r w:rsidRPr="001F03D6">
              <w:rPr>
                <w:sz w:val="20"/>
                <w:szCs w:val="20"/>
              </w:rPr>
              <w:t>Cross over trial- 8 weeks each arm</w:t>
            </w:r>
          </w:p>
        </w:tc>
        <w:tc>
          <w:tcPr>
            <w:tcW w:w="0" w:type="auto"/>
          </w:tcPr>
          <w:p w:rsidR="003F16F6" w:rsidRPr="001F03D6" w:rsidRDefault="003F16F6" w:rsidP="003F16F6">
            <w:pPr>
              <w:ind w:left="0" w:right="0"/>
              <w:rPr>
                <w:sz w:val="20"/>
                <w:szCs w:val="20"/>
              </w:rPr>
            </w:pPr>
            <w:r w:rsidRPr="001F03D6">
              <w:rPr>
                <w:sz w:val="20"/>
                <w:szCs w:val="20"/>
              </w:rPr>
              <w:t xml:space="preserve">Mean steady state and trough concentrations higher and more physiological after higher dose. Less adverse events </w:t>
            </w:r>
            <w:r w:rsidRPr="001F03D6">
              <w:rPr>
                <w:sz w:val="20"/>
                <w:szCs w:val="20"/>
              </w:rPr>
              <w:lastRenderedPageBreak/>
              <w:t>due to COPD exacerbations in high dose group</w:t>
            </w:r>
          </w:p>
        </w:tc>
      </w:tr>
    </w:tbl>
    <w:p w:rsidR="001F03D6" w:rsidRPr="001F03D6" w:rsidRDefault="001F03D6" w:rsidP="001F03D6">
      <w:pPr>
        <w:pStyle w:val="Heading4"/>
      </w:pPr>
      <w:r w:rsidRPr="001F03D6">
        <w:lastRenderedPageBreak/>
        <w:t>Pharmacodynamics</w:t>
      </w:r>
    </w:p>
    <w:p w:rsidR="001F03D6" w:rsidRPr="001F03D6" w:rsidRDefault="001F03D6" w:rsidP="001F03D6">
      <w:pPr>
        <w:pStyle w:val="Heading5"/>
      </w:pPr>
      <w:proofErr w:type="spellStart"/>
      <w:r w:rsidRPr="001F03D6">
        <w:t>Gottleib</w:t>
      </w:r>
      <w:proofErr w:type="spellEnd"/>
      <w:r w:rsidRPr="001F03D6">
        <w:t xml:space="preserve"> 2000: Urinary</w:t>
      </w:r>
      <w:r w:rsidR="006473AA">
        <w:t xml:space="preserve"> markers of elastin degradation</w:t>
      </w:r>
      <w:r w:rsidR="00C145D1" w:rsidRPr="00C145D1">
        <w:rPr>
          <w:vertAlign w:val="superscript"/>
        </w:rPr>
        <w:fldChar w:fldCharType="begin"/>
      </w:r>
      <w:r w:rsidR="00C145D1" w:rsidRPr="00C145D1">
        <w:rPr>
          <w:vertAlign w:val="superscript"/>
        </w:rPr>
        <w:instrText xml:space="preserve"> NOTEREF _Ref488671182 \h </w:instrText>
      </w:r>
      <w:r w:rsidR="00C145D1">
        <w:rPr>
          <w:vertAlign w:val="superscript"/>
        </w:rPr>
        <w:instrText xml:space="preserve"> \* MERGEFORMAT </w:instrText>
      </w:r>
      <w:r w:rsidR="00C145D1" w:rsidRPr="00C145D1">
        <w:rPr>
          <w:vertAlign w:val="superscript"/>
        </w:rPr>
      </w:r>
      <w:r w:rsidR="00C145D1" w:rsidRPr="00C145D1">
        <w:rPr>
          <w:vertAlign w:val="superscript"/>
        </w:rPr>
        <w:fldChar w:fldCharType="separate"/>
      </w:r>
      <w:r w:rsidR="00C145D1" w:rsidRPr="00C145D1">
        <w:rPr>
          <w:vertAlign w:val="superscript"/>
        </w:rPr>
        <w:t>14</w:t>
      </w:r>
      <w:r w:rsidR="00C145D1" w:rsidRPr="00C145D1">
        <w:rPr>
          <w:vertAlign w:val="superscript"/>
        </w:rPr>
        <w:fldChar w:fldCharType="end"/>
      </w:r>
    </w:p>
    <w:p w:rsidR="001F03D6" w:rsidRPr="001F03D6" w:rsidRDefault="001F03D6" w:rsidP="001F03D6">
      <w:r w:rsidRPr="001F03D6">
        <w:t>The study involved 12 patients with AATD</w:t>
      </w:r>
      <w:r w:rsidR="00135088">
        <w:t xml:space="preserve"> </w:t>
      </w:r>
      <w:r w:rsidRPr="001F03D6">
        <w:t>and FEV1</w:t>
      </w:r>
      <w:r w:rsidR="006473AA">
        <w:t xml:space="preserve"> </w:t>
      </w:r>
      <w:r w:rsidRPr="001F03D6">
        <w:t xml:space="preserve">&lt; 80% predicted. The rate of elastin degradation by urinary elastin degradation was high at baseline and did not change significantly with </w:t>
      </w:r>
      <w:r w:rsidR="00F634F0">
        <w:t>Prolastin</w:t>
      </w:r>
      <w:r w:rsidRPr="001F03D6">
        <w:t xml:space="preserve"> therapy. The </w:t>
      </w:r>
      <w:r w:rsidR="006473AA" w:rsidRPr="001F03D6">
        <w:t>negative</w:t>
      </w:r>
      <w:r w:rsidRPr="001F03D6">
        <w:t xml:space="preserve"> finding may be due to either lack of validity of the endpoint or lack of efficacy.</w:t>
      </w:r>
    </w:p>
    <w:p w:rsidR="001F03D6" w:rsidRPr="001F03D6" w:rsidRDefault="006473AA" w:rsidP="001F03D6">
      <w:pPr>
        <w:pStyle w:val="Heading5"/>
      </w:pPr>
      <w:proofErr w:type="spellStart"/>
      <w:r>
        <w:t>Sto</w:t>
      </w:r>
      <w:r w:rsidR="00C145D1">
        <w:t>ckley</w:t>
      </w:r>
      <w:proofErr w:type="spellEnd"/>
      <w:r w:rsidR="00C145D1">
        <w:t xml:space="preserve"> 2002</w:t>
      </w:r>
      <w:r w:rsidR="00C145D1" w:rsidRPr="00C145D1">
        <w:rPr>
          <w:vertAlign w:val="superscript"/>
        </w:rPr>
        <w:fldChar w:fldCharType="begin"/>
      </w:r>
      <w:r w:rsidR="00C145D1" w:rsidRPr="00C145D1">
        <w:rPr>
          <w:vertAlign w:val="superscript"/>
        </w:rPr>
        <w:instrText xml:space="preserve"> NOTEREF _Ref488671829 \h </w:instrText>
      </w:r>
      <w:r w:rsidR="00C145D1">
        <w:rPr>
          <w:vertAlign w:val="superscript"/>
        </w:rPr>
        <w:instrText xml:space="preserve"> \* MERGEFORMAT </w:instrText>
      </w:r>
      <w:r w:rsidR="00C145D1" w:rsidRPr="00C145D1">
        <w:rPr>
          <w:vertAlign w:val="superscript"/>
        </w:rPr>
      </w:r>
      <w:r w:rsidR="00C145D1" w:rsidRPr="00C145D1">
        <w:rPr>
          <w:vertAlign w:val="superscript"/>
        </w:rPr>
        <w:fldChar w:fldCharType="separate"/>
      </w:r>
      <w:r w:rsidR="00C145D1" w:rsidRPr="00C145D1">
        <w:rPr>
          <w:vertAlign w:val="superscript"/>
        </w:rPr>
        <w:t>15</w:t>
      </w:r>
      <w:r w:rsidR="00C145D1" w:rsidRPr="00C145D1">
        <w:rPr>
          <w:vertAlign w:val="superscript"/>
        </w:rPr>
        <w:fldChar w:fldCharType="end"/>
      </w:r>
    </w:p>
    <w:p w:rsidR="003F16F6" w:rsidRPr="00C145D1" w:rsidRDefault="006473AA" w:rsidP="001F03D6">
      <w:r>
        <w:t>This was a P</w:t>
      </w:r>
      <w:r w:rsidR="001F03D6" w:rsidRPr="001F03D6">
        <w:t xml:space="preserve">hase II, open label, prospective study of </w:t>
      </w:r>
      <w:r w:rsidR="00F634F0">
        <w:t>Prolastin</w:t>
      </w:r>
      <w:r>
        <w:t xml:space="preserve"> 60mg/kg weekly over 4 </w:t>
      </w:r>
      <w:r w:rsidR="001F03D6" w:rsidRPr="001F03D6">
        <w:t xml:space="preserve">weeks. Main outcomes were </w:t>
      </w:r>
      <w:r>
        <w:t>alpha</w:t>
      </w:r>
      <w:r>
        <w:rPr>
          <w:vertAlign w:val="subscript"/>
        </w:rPr>
        <w:t>1</w:t>
      </w:r>
      <w:r>
        <w:t>-PI</w:t>
      </w:r>
      <w:r w:rsidR="001F03D6" w:rsidRPr="001F03D6">
        <w:t xml:space="preserve"> level, neutrophil elastase activity, neutrophil elastase inhibitory ability and other. Sputum and serum </w:t>
      </w:r>
      <w:r>
        <w:t>alpha</w:t>
      </w:r>
      <w:r>
        <w:rPr>
          <w:vertAlign w:val="subscript"/>
        </w:rPr>
        <w:t>1</w:t>
      </w:r>
      <w:r>
        <w:t>-PI</w:t>
      </w:r>
      <w:r w:rsidR="001F03D6" w:rsidRPr="001F03D6">
        <w:t xml:space="preserve"> levels were clinically and significantly raised after 4 weeks. There was a trend to reduction in sputum elastase, </w:t>
      </w:r>
      <w:r w:rsidR="001F03D6" w:rsidRPr="00C145D1">
        <w:t xml:space="preserve">IL-8, </w:t>
      </w:r>
      <w:proofErr w:type="spellStart"/>
      <w:r w:rsidR="00C145D1" w:rsidRPr="00C145D1">
        <w:t>Leukotrine</w:t>
      </w:r>
      <w:proofErr w:type="spellEnd"/>
      <w:r w:rsidR="00C145D1" w:rsidRPr="00C145D1">
        <w:t xml:space="preserve"> B4 (</w:t>
      </w:r>
      <w:r w:rsidR="001F03D6" w:rsidRPr="00C145D1">
        <w:t>LTB4</w:t>
      </w:r>
      <w:r w:rsidR="00C145D1" w:rsidRPr="00C145D1">
        <w:t>)</w:t>
      </w:r>
      <w:r w:rsidR="001F03D6" w:rsidRPr="00C145D1">
        <w:t xml:space="preserve">, sputum elastase inhibitory capacity and </w:t>
      </w:r>
      <w:r w:rsidR="00C145D1" w:rsidRPr="00C145D1">
        <w:t>myeloperoxidase (</w:t>
      </w:r>
      <w:r w:rsidR="001F03D6" w:rsidRPr="00C145D1">
        <w:t>MPO</w:t>
      </w:r>
      <w:r w:rsidR="00C145D1" w:rsidRPr="00C145D1">
        <w:t>)</w:t>
      </w:r>
      <w:r w:rsidR="001F03D6" w:rsidRPr="00C145D1">
        <w:t>. There were no clinically significant changes in lung function, BORG dyspnoea score or sputum bacteriology.</w:t>
      </w:r>
    </w:p>
    <w:p w:rsidR="001F03D6" w:rsidRPr="001F03D6" w:rsidRDefault="001F03D6" w:rsidP="001F03D6">
      <w:pPr>
        <w:pStyle w:val="Heading4"/>
      </w:pPr>
      <w:bookmarkStart w:id="133" w:name="_Toc427841289"/>
      <w:r w:rsidRPr="00C145D1">
        <w:t>Efficacy</w:t>
      </w:r>
      <w:bookmarkEnd w:id="133"/>
    </w:p>
    <w:p w:rsidR="001F03D6" w:rsidRPr="001F03D6" w:rsidRDefault="001F03D6" w:rsidP="001F03D6">
      <w:pPr>
        <w:pStyle w:val="Heading5"/>
      </w:pPr>
      <w:bookmarkStart w:id="134" w:name="_Toc427841290"/>
      <w:r w:rsidRPr="001F03D6">
        <w:t>Morbidity</w:t>
      </w:r>
      <w:bookmarkEnd w:id="134"/>
    </w:p>
    <w:p w:rsidR="001F03D6" w:rsidRPr="001F03D6" w:rsidRDefault="006473AA" w:rsidP="001F03D6">
      <w:pPr>
        <w:pStyle w:val="Heading6"/>
      </w:pPr>
      <w:r>
        <w:t>NHLBI Registry- uncontrolled</w:t>
      </w:r>
    </w:p>
    <w:p w:rsidR="001F03D6" w:rsidRPr="001F03D6" w:rsidRDefault="001F03D6" w:rsidP="001F03D6">
      <w:r w:rsidRPr="001F03D6">
        <w:t xml:space="preserve">Initiated in 1988, following registration in US, includes 36 centres in the US and 1 in Canada. </w:t>
      </w:r>
      <w:r w:rsidR="006473AA">
        <w:t xml:space="preserve">Some </w:t>
      </w:r>
      <w:r w:rsidRPr="001F03D6">
        <w:t>1</w:t>
      </w:r>
      <w:r w:rsidR="006473AA">
        <w:t>,</w:t>
      </w:r>
      <w:r w:rsidRPr="001F03D6">
        <w:t xml:space="preserve">129 subjects with severe AATD were enrolled over 4 years. Eligibility criteria included age &gt; 18 years, </w:t>
      </w:r>
      <w:r w:rsidR="006473AA">
        <w:t>alpha</w:t>
      </w:r>
      <w:r w:rsidR="006473AA">
        <w:rPr>
          <w:vertAlign w:val="subscript"/>
        </w:rPr>
        <w:t>1</w:t>
      </w:r>
      <w:r w:rsidR="006473AA">
        <w:t>-PI</w:t>
      </w:r>
      <w:r w:rsidRPr="001F03D6">
        <w:t xml:space="preserve"> &lt; 11</w:t>
      </w:r>
      <w:r w:rsidR="006473AA">
        <w:t xml:space="preserve"> </w:t>
      </w:r>
      <w:r w:rsidRPr="001F03D6">
        <w:t>µM/L, PI*ZZ phenotype. The registry included patients on augmentation therapy and not. The differences in mortality used internal comparisons.</w:t>
      </w:r>
    </w:p>
    <w:p w:rsidR="001F03D6" w:rsidRPr="001F03D6" w:rsidRDefault="001F03D6" w:rsidP="001F03D6">
      <w:r w:rsidRPr="001F03D6">
        <w:t>Mean baseline FEV1 was 46.7% and age 48 ± 10 years.</w:t>
      </w:r>
      <w:r w:rsidR="00135088">
        <w:t xml:space="preserve"> </w:t>
      </w:r>
      <w:r w:rsidRPr="001F03D6">
        <w:t>More than 20% of subjects were receiving augmentation therapy at enrolment, the propo</w:t>
      </w:r>
      <w:r w:rsidR="00C145D1">
        <w:t>rtion increased to 46% within 3 </w:t>
      </w:r>
      <w:r w:rsidRPr="001F03D6">
        <w:t>months. Approximately 58% of subjects with FEV1 &lt; 30% received augmentation therapy, compar</w:t>
      </w:r>
      <w:r w:rsidR="006473AA">
        <w:t xml:space="preserve">ed to 54% of those with FEV1 30 to </w:t>
      </w:r>
      <w:r w:rsidRPr="001F03D6">
        <w:t>50% predicted. Significant reduction in mortality in patients who received augmentation (</w:t>
      </w:r>
      <w:r w:rsidR="00C145D1">
        <w:t>relative risk (</w:t>
      </w:r>
      <w:r w:rsidRPr="001F03D6">
        <w:t>RR</w:t>
      </w:r>
      <w:r w:rsidR="00C145D1">
        <w:t>)</w:t>
      </w:r>
      <w:r w:rsidRPr="001F03D6">
        <w:t xml:space="preserve"> 0.64, 95% CI 0.43-0.95 p</w:t>
      </w:r>
      <w:r w:rsidR="006473AA">
        <w:t xml:space="preserve"> </w:t>
      </w:r>
      <w:r w:rsidRPr="001F03D6">
        <w:t>=</w:t>
      </w:r>
      <w:r w:rsidR="006473AA">
        <w:t xml:space="preserve"> </w:t>
      </w:r>
      <w:r w:rsidRPr="001F03D6">
        <w:t>0.02).The greatest clinical benef</w:t>
      </w:r>
      <w:r w:rsidR="006473AA">
        <w:t xml:space="preserve">it was in patients with FEV1 35 to </w:t>
      </w:r>
      <w:r w:rsidRPr="001F03D6">
        <w:t xml:space="preserve">49% of predicted </w:t>
      </w:r>
      <w:r w:rsidRPr="00C145D1">
        <w:t>(RR</w:t>
      </w:r>
      <w:r w:rsidR="006473AA" w:rsidRPr="00C145D1">
        <w:t xml:space="preserve"> </w:t>
      </w:r>
      <w:r w:rsidRPr="00C145D1">
        <w:t>=</w:t>
      </w:r>
      <w:r w:rsidR="006473AA" w:rsidRPr="00C145D1">
        <w:t xml:space="preserve"> </w:t>
      </w:r>
      <w:r w:rsidRPr="00C145D1">
        <w:t>0</w:t>
      </w:r>
      <w:r w:rsidRPr="001F03D6">
        <w:t>.21, 95% CI 0.09-0.5 p</w:t>
      </w:r>
      <w:r w:rsidR="006473AA">
        <w:t xml:space="preserve"> </w:t>
      </w:r>
      <w:r w:rsidRPr="001F03D6">
        <w:t>&lt;</w:t>
      </w:r>
      <w:r w:rsidR="006473AA">
        <w:t xml:space="preserve"> </w:t>
      </w:r>
      <w:r w:rsidRPr="001F03D6">
        <w:t>0.01). No significant difference were seen in patients with FEV1 &lt; 35% or &gt;</w:t>
      </w:r>
      <w:r w:rsidR="006473AA">
        <w:t> </w:t>
      </w:r>
      <w:r w:rsidRPr="001F03D6">
        <w:t>50%.</w:t>
      </w:r>
    </w:p>
    <w:p w:rsidR="001F03D6" w:rsidRPr="001F03D6" w:rsidRDefault="001F03D6" w:rsidP="001F03D6">
      <w:pPr>
        <w:pStyle w:val="Heading6"/>
      </w:pPr>
      <w:r w:rsidRPr="001F03D6">
        <w:t>German registry (</w:t>
      </w:r>
      <w:proofErr w:type="spellStart"/>
      <w:r w:rsidRPr="001F03D6">
        <w:t>Seer</w:t>
      </w:r>
      <w:r w:rsidR="00BC4BD7">
        <w:t>s</w:t>
      </w:r>
      <w:r w:rsidRPr="001F03D6">
        <w:t>holm</w:t>
      </w:r>
      <w:proofErr w:type="spellEnd"/>
      <w:r w:rsidRPr="001F03D6">
        <w:t xml:space="preserve"> 1997)</w:t>
      </w:r>
      <w:r w:rsidR="00BC4BD7">
        <w:rPr>
          <w:rStyle w:val="FootnoteReference"/>
        </w:rPr>
        <w:footnoteReference w:id="19"/>
      </w:r>
    </w:p>
    <w:p w:rsidR="006F1429" w:rsidRDefault="001F03D6" w:rsidP="001F03D6">
      <w:r w:rsidRPr="001F03D6">
        <w:t>198 subjects who received Prolastin were compared to 97 from a D</w:t>
      </w:r>
      <w:r w:rsidR="00BC4BD7">
        <w:t xml:space="preserve">anish registry with no therapy. </w:t>
      </w:r>
      <w:r w:rsidRPr="001F03D6">
        <w:t xml:space="preserve">The patients in the German registry included patients with </w:t>
      </w:r>
      <w:r w:rsidR="006473AA">
        <w:t>alpha</w:t>
      </w:r>
      <w:r w:rsidR="006473AA">
        <w:rPr>
          <w:vertAlign w:val="subscript"/>
        </w:rPr>
        <w:t>1</w:t>
      </w:r>
      <w:r w:rsidR="006473AA">
        <w:t>-PI</w:t>
      </w:r>
      <w:r w:rsidRPr="001F03D6">
        <w:t xml:space="preserve"> levels &lt; 35% normal, FEV1</w:t>
      </w:r>
      <w:r w:rsidR="00BC4BD7">
        <w:t xml:space="preserve"> </w:t>
      </w:r>
      <w:r w:rsidRPr="001F03D6">
        <w:t>&lt;</w:t>
      </w:r>
      <w:r w:rsidR="006473AA">
        <w:t xml:space="preserve"> </w:t>
      </w:r>
      <w:r w:rsidRPr="001F03D6">
        <w:t>65% or annual decl</w:t>
      </w:r>
      <w:r w:rsidR="00BC4BD7">
        <w:t>ine in FEV1 of &gt; 120mL</w:t>
      </w:r>
      <w:r w:rsidRPr="001F03D6">
        <w:t xml:space="preserve"> and not smoking at the time of enrolment. All received 60</w:t>
      </w:r>
      <w:r w:rsidR="006473AA">
        <w:t xml:space="preserve"> </w:t>
      </w:r>
      <w:r w:rsidR="00BC4BD7">
        <w:t>mL</w:t>
      </w:r>
      <w:r w:rsidRPr="001F03D6">
        <w:t xml:space="preserve">/kg </w:t>
      </w:r>
      <w:r w:rsidR="00F634F0">
        <w:t>Prolastin</w:t>
      </w:r>
      <w:r w:rsidRPr="001F03D6">
        <w:t xml:space="preserve"> weekly. The Danish registry was established in 1978, and included patients with PI*ZZ or PI*ZO and </w:t>
      </w:r>
      <w:r w:rsidR="006473AA">
        <w:t>alpha</w:t>
      </w:r>
      <w:r w:rsidR="006473AA">
        <w:rPr>
          <w:vertAlign w:val="subscript"/>
        </w:rPr>
        <w:t>1</w:t>
      </w:r>
      <w:r w:rsidR="006473AA">
        <w:t>-PI</w:t>
      </w:r>
      <w:r w:rsidRPr="001F03D6">
        <w:t xml:space="preserve"> levels &lt; 12 µM</w:t>
      </w:r>
      <w:r w:rsidR="006F1429">
        <w:t>.</w:t>
      </w:r>
    </w:p>
    <w:p w:rsidR="001F03D6" w:rsidRPr="001F03D6" w:rsidRDefault="001F03D6" w:rsidP="001F03D6">
      <w:r w:rsidRPr="001F03D6">
        <w:t>There was a significant slower decline in FEV1 in the treatment group. The decline in FEV1 in the treatment group was 52</w:t>
      </w:r>
      <w:r w:rsidR="006473AA">
        <w:t xml:space="preserve"> </w:t>
      </w:r>
      <w:r w:rsidR="00BC4BD7">
        <w:t xml:space="preserve">mL/year (95% CI 48 to </w:t>
      </w:r>
      <w:r w:rsidRPr="001F03D6">
        <w:t>598) compared with 75</w:t>
      </w:r>
      <w:r w:rsidR="006473AA">
        <w:t xml:space="preserve"> </w:t>
      </w:r>
      <w:r w:rsidR="00BC4BD7">
        <w:t>mL</w:t>
      </w:r>
      <w:r w:rsidRPr="001F03D6">
        <w:t>/ye</w:t>
      </w:r>
      <w:r w:rsidR="006473AA">
        <w:t xml:space="preserve">ar in </w:t>
      </w:r>
      <w:r w:rsidR="006473AA">
        <w:lastRenderedPageBreak/>
        <w:t xml:space="preserve">the non-treatment group (95% CI 63 to </w:t>
      </w:r>
      <w:r w:rsidRPr="001F03D6">
        <w:t>87</w:t>
      </w:r>
      <w:r w:rsidR="006473AA">
        <w:t xml:space="preserve"> </w:t>
      </w:r>
      <w:r w:rsidRPr="001F03D6">
        <w:t>ml/year) p</w:t>
      </w:r>
      <w:r w:rsidR="006473AA">
        <w:t xml:space="preserve"> </w:t>
      </w:r>
      <w:r w:rsidRPr="001F03D6">
        <w:t>=</w:t>
      </w:r>
      <w:r w:rsidR="006473AA">
        <w:t xml:space="preserve"> </w:t>
      </w:r>
      <w:r w:rsidRPr="001F03D6">
        <w:t>0.02. However</w:t>
      </w:r>
      <w:r w:rsidR="003E7485">
        <w:t>,</w:t>
      </w:r>
      <w:r w:rsidRPr="001F03D6">
        <w:t xml:space="preserve"> when the results were corrected for initial FEV1, the difference only remained signif</w:t>
      </w:r>
      <w:r w:rsidR="006473AA">
        <w:t xml:space="preserve">icant in the group with FEV1 31 to </w:t>
      </w:r>
      <w:r w:rsidRPr="001F03D6">
        <w:t>65% predicted.</w:t>
      </w:r>
    </w:p>
    <w:p w:rsidR="003F16F6" w:rsidRPr="001F03D6" w:rsidRDefault="001F03D6" w:rsidP="001F03D6">
      <w:pPr>
        <w:pStyle w:val="TableTitle"/>
      </w:pPr>
      <w:r>
        <w:t xml:space="preserve">Table </w:t>
      </w:r>
      <w:r w:rsidR="005F429F">
        <w:t>6</w:t>
      </w:r>
      <w:r>
        <w:t>: Demographic da</w:t>
      </w:r>
      <w:r w:rsidR="005703D4">
        <w:t>ta for the treated German group</w:t>
      </w:r>
      <w:r>
        <w:t xml:space="preserve"> and the untreated Danish group</w:t>
      </w:r>
    </w:p>
    <w:p w:rsidR="001F03D6" w:rsidRDefault="001F03D6" w:rsidP="001F03D6">
      <w:r>
        <w:rPr>
          <w:noProof/>
          <w:lang w:eastAsia="en-AU"/>
        </w:rPr>
        <w:drawing>
          <wp:inline distT="0" distB="0" distL="0" distR="0" wp14:anchorId="4A84D3A9" wp14:editId="64B8E098">
            <wp:extent cx="3343275" cy="1905000"/>
            <wp:effectExtent l="0" t="0" r="9525" b="0"/>
            <wp:docPr id="2" name="Picture 2" descr="Screen capture of table 6 which illustrates the demographic data for the treated German group and the untreated Danish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Lst>
                    </a:blip>
                    <a:stretch>
                      <a:fillRect/>
                    </a:stretch>
                  </pic:blipFill>
                  <pic:spPr>
                    <a:xfrm>
                      <a:off x="0" y="0"/>
                      <a:ext cx="3343275" cy="1905000"/>
                    </a:xfrm>
                    <a:prstGeom prst="rect">
                      <a:avLst/>
                    </a:prstGeom>
                  </pic:spPr>
                </pic:pic>
              </a:graphicData>
            </a:graphic>
          </wp:inline>
        </w:drawing>
      </w:r>
    </w:p>
    <w:p w:rsidR="001F03D6" w:rsidRDefault="005F429F" w:rsidP="001F03D6">
      <w:pPr>
        <w:pStyle w:val="TableTitle"/>
      </w:pPr>
      <w:r>
        <w:t xml:space="preserve">Table 7: Annual change </w:t>
      </w:r>
      <w:r w:rsidR="001F03D6">
        <w:t>FEV1 for the treated German group and the untreated Danish group stratified by initial FEV1% predicted</w:t>
      </w:r>
    </w:p>
    <w:p w:rsidR="001F03D6" w:rsidRDefault="001F03D6" w:rsidP="001F03D6">
      <w:r>
        <w:rPr>
          <w:noProof/>
          <w:lang w:eastAsia="en-AU"/>
        </w:rPr>
        <w:drawing>
          <wp:inline distT="0" distB="0" distL="0" distR="0" wp14:anchorId="238D1E22" wp14:editId="77C9BBF1">
            <wp:extent cx="4524375" cy="1857375"/>
            <wp:effectExtent l="0" t="0" r="9525" b="9525"/>
            <wp:docPr id="3" name="Picture 3" descr="Screen capture of table 7 which illustrates the annual change FEV1 for the treated German group and the untreated Danish group stratified by initial FEV1% predi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Lst>
                    </a:blip>
                    <a:stretch>
                      <a:fillRect/>
                    </a:stretch>
                  </pic:blipFill>
                  <pic:spPr>
                    <a:xfrm>
                      <a:off x="0" y="0"/>
                      <a:ext cx="4524375" cy="1857375"/>
                    </a:xfrm>
                    <a:prstGeom prst="rect">
                      <a:avLst/>
                    </a:prstGeom>
                  </pic:spPr>
                </pic:pic>
              </a:graphicData>
            </a:graphic>
          </wp:inline>
        </w:drawing>
      </w:r>
    </w:p>
    <w:p w:rsidR="005703D4" w:rsidRPr="005703D4" w:rsidRDefault="005703D4" w:rsidP="005703D4">
      <w:pPr>
        <w:pStyle w:val="Heading5"/>
      </w:pPr>
      <w:r w:rsidRPr="005703D4">
        <w:t>EXACTLE (randomised data)</w:t>
      </w:r>
    </w:p>
    <w:p w:rsidR="005703D4" w:rsidRPr="005703D4" w:rsidRDefault="006473AA" w:rsidP="005703D4">
      <w:r>
        <w:t xml:space="preserve">100533/EudraCT </w:t>
      </w:r>
      <w:r w:rsidR="005703D4" w:rsidRPr="005703D4">
        <w:t xml:space="preserve">multicentre, randomised trial with intravenous </w:t>
      </w:r>
      <w:r w:rsidR="00F634F0">
        <w:t>Prolastin</w:t>
      </w:r>
      <w:r w:rsidR="005703D4" w:rsidRPr="005703D4">
        <w:t xml:space="preserve"> to evaluate the frequency of exacerbation and progression of emphysema by means of multi</w:t>
      </w:r>
      <w:r w:rsidR="005703D4">
        <w:t>-</w:t>
      </w:r>
      <w:r w:rsidR="005703D4" w:rsidRPr="00BC4BD7">
        <w:t>slice CT</w:t>
      </w:r>
      <w:r w:rsidR="005703D4" w:rsidRPr="005703D4">
        <w:t xml:space="preserve"> scans in patients with congenital </w:t>
      </w:r>
      <w:r>
        <w:t>AATD</w:t>
      </w:r>
      <w:r w:rsidR="005703D4" w:rsidRPr="005703D4">
        <w:t>.</w:t>
      </w:r>
    </w:p>
    <w:p w:rsidR="005703D4" w:rsidRPr="005703D4" w:rsidRDefault="005703D4" w:rsidP="005703D4">
      <w:r w:rsidRPr="005703D4">
        <w:t xml:space="preserve">Phase II, multicentre, double blind </w:t>
      </w:r>
      <w:r w:rsidR="00BC4BD7">
        <w:t>randomised controlled trial</w:t>
      </w:r>
      <w:r w:rsidRPr="005703D4">
        <w:t>, to assess the utility of CT scans to measure the progression of emphysema</w:t>
      </w:r>
      <w:r>
        <w:t xml:space="preserve"> and the potential efficacy of </w:t>
      </w:r>
      <w:r w:rsidR="00F634F0">
        <w:t>Prolastin</w:t>
      </w:r>
      <w:r w:rsidRPr="005703D4">
        <w:t xml:space="preserve"> administered weekly by IV infusion at 60</w:t>
      </w:r>
      <w:r w:rsidR="006473AA">
        <w:t xml:space="preserve"> </w:t>
      </w:r>
      <w:r w:rsidRPr="005703D4">
        <w:t xml:space="preserve">mg/kg in patients with progressive emphysema with severe </w:t>
      </w:r>
      <w:r w:rsidR="006473AA">
        <w:t>alpha</w:t>
      </w:r>
      <w:r w:rsidR="006473AA">
        <w:rPr>
          <w:vertAlign w:val="subscript"/>
        </w:rPr>
        <w:t>1</w:t>
      </w:r>
      <w:r w:rsidR="006473AA">
        <w:t>-PI</w:t>
      </w:r>
      <w:r w:rsidRPr="005703D4">
        <w:t xml:space="preserve"> deficiency from Nov</w:t>
      </w:r>
      <w:r>
        <w:t>ember</w:t>
      </w:r>
      <w:r w:rsidRPr="005703D4">
        <w:t xml:space="preserve"> 2003 and Dec</w:t>
      </w:r>
      <w:r>
        <w:t>ember</w:t>
      </w:r>
      <w:r w:rsidRPr="005703D4">
        <w:t xml:space="preserve"> 2006.</w:t>
      </w:r>
    </w:p>
    <w:p w:rsidR="005703D4" w:rsidRPr="005703D4" w:rsidRDefault="005703D4" w:rsidP="005703D4">
      <w:r w:rsidRPr="005703D4">
        <w:t>Efficacy endpoint was the 15th percentile of lung parenchyma tissue loss, calculated by analysis of CT lung histograms and exacerbations as clinical endpoints for the progression of emphysema.</w:t>
      </w:r>
    </w:p>
    <w:p w:rsidR="005703D4" w:rsidRPr="005703D4" w:rsidRDefault="005703D4" w:rsidP="005703D4">
      <w:r w:rsidRPr="005703D4">
        <w:t>The study population was</w:t>
      </w:r>
      <w:r>
        <w:t xml:space="preserve"> 77 adult Caucasians aged 35 to </w:t>
      </w:r>
      <w:r w:rsidRPr="005703D4">
        <w:t xml:space="preserve">74 years. Subjects had severe congenital </w:t>
      </w:r>
      <w:r w:rsidR="006473AA">
        <w:t>AATD</w:t>
      </w:r>
      <w:r w:rsidRPr="005703D4">
        <w:t xml:space="preserve"> with phenotype </w:t>
      </w:r>
      <w:proofErr w:type="spellStart"/>
      <w:r w:rsidRPr="005703D4">
        <w:t>PiZ</w:t>
      </w:r>
      <w:proofErr w:type="spellEnd"/>
      <w:r w:rsidRPr="005703D4">
        <w:t xml:space="preserve">, serum </w:t>
      </w:r>
      <w:r w:rsidR="00BC4BD7">
        <w:t>alpha</w:t>
      </w:r>
      <w:r w:rsidR="00BC4BD7">
        <w:rPr>
          <w:vertAlign w:val="subscript"/>
        </w:rPr>
        <w:t>1</w:t>
      </w:r>
      <w:r w:rsidR="00BC4BD7">
        <w:t>-PI</w:t>
      </w:r>
      <w:r w:rsidRPr="005703D4">
        <w:t xml:space="preserve"> &lt; 11</w:t>
      </w:r>
      <w:r w:rsidR="006473AA">
        <w:t xml:space="preserve"> </w:t>
      </w:r>
      <w:r w:rsidRPr="005703D4">
        <w:t>µM, FEV1</w:t>
      </w:r>
      <w:r>
        <w:t xml:space="preserve"> </w:t>
      </w:r>
      <w:r w:rsidRPr="005703D4">
        <w:t>&lt;</w:t>
      </w:r>
      <w:r>
        <w:t xml:space="preserve"> </w:t>
      </w:r>
      <w:r w:rsidRPr="005703D4">
        <w:t>80% and FEV1/VC</w:t>
      </w:r>
      <w:r w:rsidR="00BC4BD7">
        <w:t> </w:t>
      </w:r>
      <w:r w:rsidR="006473AA">
        <w:t>&lt; </w:t>
      </w:r>
      <w:r w:rsidRPr="005703D4">
        <w:t>70%.</w:t>
      </w:r>
    </w:p>
    <w:p w:rsidR="005703D4" w:rsidRPr="005703D4" w:rsidRDefault="005703D4" w:rsidP="005703D4">
      <w:r w:rsidRPr="005703D4">
        <w:t xml:space="preserve">After 24 months, there was a numerically slower rate of loss of tissue density in the </w:t>
      </w:r>
      <w:r w:rsidR="006473AA">
        <w:t>P</w:t>
      </w:r>
      <w:r w:rsidRPr="005703D4">
        <w:t>rolastin group (-1.38) than the placebo group (2.24), but this was not statistically significant.</w:t>
      </w:r>
    </w:p>
    <w:p w:rsidR="005703D4" w:rsidRPr="005703D4" w:rsidRDefault="005F429F" w:rsidP="005703D4">
      <w:pPr>
        <w:pStyle w:val="TableTitle"/>
      </w:pPr>
      <w:r>
        <w:lastRenderedPageBreak/>
        <w:t>Table 8</w:t>
      </w:r>
      <w:r w:rsidR="005703D4">
        <w:t xml:space="preserve">: </w:t>
      </w:r>
      <w:r w:rsidR="005703D4" w:rsidRPr="005703D4">
        <w:t>Changes in TLC adjusted 15th percentile of lung density (g/L) from baseline to endpoint (</w:t>
      </w:r>
      <w:proofErr w:type="spellStart"/>
      <w:r w:rsidR="005703D4" w:rsidRPr="005703D4">
        <w:t>mITT</w:t>
      </w:r>
      <w:proofErr w:type="spellEnd"/>
      <w:r w:rsidR="005703D4" w:rsidRPr="005703D4">
        <w:t xml:space="preserve"> population) with exclusion of data at Months 3 and </w:t>
      </w:r>
      <w:r>
        <w:t>21</w:t>
      </w:r>
    </w:p>
    <w:p w:rsidR="001F03D6" w:rsidRPr="005703D4" w:rsidRDefault="005703D4" w:rsidP="005703D4">
      <w:r>
        <w:rPr>
          <w:noProof/>
          <w:lang w:eastAsia="en-AU"/>
        </w:rPr>
        <w:drawing>
          <wp:inline distT="0" distB="0" distL="0" distR="0" wp14:anchorId="113BF23B" wp14:editId="43C887A4">
            <wp:extent cx="5400040" cy="1493088"/>
            <wp:effectExtent l="0" t="0" r="0" b="0"/>
            <wp:docPr id="4" name="Picture 4" descr="Screen capture of table 8 which illustrates changes in TLC adjusted 15th percentile of lung density (g/L) from baseline to endpoint (mITT population) with exclusion of data at Months 3 an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400040" cy="1493088"/>
                    </a:xfrm>
                    <a:prstGeom prst="rect">
                      <a:avLst/>
                    </a:prstGeom>
                  </pic:spPr>
                </pic:pic>
              </a:graphicData>
            </a:graphic>
          </wp:inline>
        </w:drawing>
      </w:r>
    </w:p>
    <w:p w:rsidR="005703D4" w:rsidRPr="005703D4" w:rsidRDefault="005703D4" w:rsidP="005703D4">
      <w:r w:rsidRPr="005703D4">
        <w:t xml:space="preserve">The applied ANCOVA model demonstrated a treatment difference in the rate of lung density progression between the </w:t>
      </w:r>
      <w:r w:rsidR="00F634F0">
        <w:t>Prolastin</w:t>
      </w:r>
      <w:r w:rsidRPr="005703D4">
        <w:t xml:space="preserve"> and placebo groups of 1.472 (95% confide</w:t>
      </w:r>
      <w:r w:rsidR="006473AA">
        <w:t>nce interval: 0.009 to 2.935), p</w:t>
      </w:r>
      <w:r w:rsidRPr="005703D4">
        <w:t xml:space="preserve"> = 0.049.</w:t>
      </w:r>
    </w:p>
    <w:p w:rsidR="005703D4" w:rsidRPr="005703D4" w:rsidRDefault="005703D4" w:rsidP="005703D4">
      <w:r w:rsidRPr="005703D4">
        <w:t xml:space="preserve">Comparison of the slopes of the decrease in lung density in the basal third of the lung showed a difference between </w:t>
      </w:r>
      <w:r w:rsidR="00F634F0">
        <w:t>Prolastin</w:t>
      </w:r>
      <w:r w:rsidRPr="005703D4">
        <w:t xml:space="preserve"> (mean slope: -0.850 ± 0.2767) and placebo (mean slope: -1.747 ± 0.2880) of 0.897 ± </w:t>
      </w:r>
      <w:r w:rsidR="006473AA">
        <w:t>0.3994, 95% CI 0.100 to 1.694, p</w:t>
      </w:r>
      <w:r w:rsidRPr="005703D4">
        <w:t xml:space="preserve"> = 0.028. Comparison of the slopes of the decrease in lung density in the middle and apical thirds did not identify a significant difference.</w:t>
      </w:r>
    </w:p>
    <w:p w:rsidR="005703D4" w:rsidRPr="005703D4" w:rsidRDefault="00F634F0" w:rsidP="005703D4">
      <w:r>
        <w:t>Prolastin</w:t>
      </w:r>
      <w:r w:rsidR="005703D4" w:rsidRPr="005703D4">
        <w:t xml:space="preserve"> shortened the duration of the exacerbation in the </w:t>
      </w:r>
      <w:r>
        <w:t>Prolastin</w:t>
      </w:r>
      <w:r w:rsidR="005703D4" w:rsidRPr="005703D4">
        <w:t xml:space="preserve"> group by about 10% compared to placebo group (not statistically significant). There were less severe</w:t>
      </w:r>
      <w:r w:rsidR="00135088">
        <w:t xml:space="preserve"> </w:t>
      </w:r>
      <w:r w:rsidR="005703D4" w:rsidRPr="005703D4">
        <w:t xml:space="preserve">exacerbations in the </w:t>
      </w:r>
      <w:r>
        <w:t>Prolastin</w:t>
      </w:r>
      <w:r w:rsidR="005703D4" w:rsidRPr="005703D4">
        <w:t xml:space="preserve"> group (6.7% </w:t>
      </w:r>
      <w:r w:rsidR="006473AA">
        <w:t>versus 13.5% under placebo treatment; p</w:t>
      </w:r>
      <w:r w:rsidR="00BC4BD7">
        <w:t> = </w:t>
      </w:r>
      <w:r w:rsidR="005703D4" w:rsidRPr="005703D4">
        <w:t>0.013</w:t>
      </w:r>
      <w:r w:rsidR="005703D4" w:rsidRPr="008260BB">
        <w:t xml:space="preserve">; </w:t>
      </w:r>
      <w:r w:rsidR="008260BB">
        <w:t>Cochran–Mantel–</w:t>
      </w:r>
      <w:proofErr w:type="spellStart"/>
      <w:r w:rsidR="008260BB" w:rsidRPr="008260BB">
        <w:t>Haenszel</w:t>
      </w:r>
      <w:proofErr w:type="spellEnd"/>
      <w:r w:rsidR="008260BB" w:rsidRPr="008260BB">
        <w:t xml:space="preserve"> (</w:t>
      </w:r>
      <w:r w:rsidR="005703D4" w:rsidRPr="008260BB">
        <w:t>CMH</w:t>
      </w:r>
      <w:r w:rsidR="008260BB" w:rsidRPr="008260BB">
        <w:t>)</w:t>
      </w:r>
      <w:r w:rsidR="005703D4" w:rsidRPr="008260BB">
        <w:t xml:space="preserve"> test). The</w:t>
      </w:r>
      <w:r w:rsidR="005703D4" w:rsidRPr="005703D4">
        <w:t xml:space="preserve"> annual exacerbation rate was not significantly different.</w:t>
      </w:r>
    </w:p>
    <w:p w:rsidR="005703D4" w:rsidRPr="005703D4" w:rsidRDefault="005703D4" w:rsidP="005703D4">
      <w:r w:rsidRPr="005703D4">
        <w:t xml:space="preserve">There was no significant change in the carbon monoxide transfer </w:t>
      </w:r>
      <w:r w:rsidRPr="006F7390">
        <w:t xml:space="preserve">or </w:t>
      </w:r>
      <w:r w:rsidR="00BC4BD7">
        <w:t xml:space="preserve">pulmonary diffusing capacity for </w:t>
      </w:r>
      <w:r w:rsidR="00BC4BD7" w:rsidRPr="00BC4BD7">
        <w:t>CO (</w:t>
      </w:r>
      <w:r w:rsidRPr="00BC4BD7">
        <w:t>DLCO</w:t>
      </w:r>
      <w:r w:rsidR="00BC4BD7" w:rsidRPr="00BC4BD7">
        <w:t>)</w:t>
      </w:r>
      <w:r w:rsidRPr="00BC4BD7">
        <w:t>.</w:t>
      </w:r>
    </w:p>
    <w:p w:rsidR="005703D4" w:rsidRDefault="005703D4" w:rsidP="005703D4">
      <w:pPr>
        <w:pStyle w:val="Heading5"/>
      </w:pPr>
      <w:proofErr w:type="spellStart"/>
      <w:r w:rsidRPr="005703D4">
        <w:t>Stockley</w:t>
      </w:r>
      <w:proofErr w:type="spellEnd"/>
      <w:r w:rsidRPr="005703D4">
        <w:t xml:space="preserve"> 2010</w:t>
      </w:r>
      <w:r w:rsidR="00BC4BD7" w:rsidRPr="00BC4BD7">
        <w:rPr>
          <w:vertAlign w:val="superscript"/>
        </w:rPr>
        <w:fldChar w:fldCharType="begin"/>
      </w:r>
      <w:r w:rsidR="00BC4BD7" w:rsidRPr="00BC4BD7">
        <w:rPr>
          <w:vertAlign w:val="superscript"/>
        </w:rPr>
        <w:instrText xml:space="preserve"> NOTEREF _Ref488673444 \h </w:instrText>
      </w:r>
      <w:r w:rsidR="00BC4BD7">
        <w:rPr>
          <w:vertAlign w:val="superscript"/>
        </w:rPr>
        <w:instrText xml:space="preserve"> \* MERGEFORMAT </w:instrText>
      </w:r>
      <w:r w:rsidR="00BC4BD7" w:rsidRPr="00BC4BD7">
        <w:rPr>
          <w:vertAlign w:val="superscript"/>
        </w:rPr>
      </w:r>
      <w:r w:rsidR="00BC4BD7" w:rsidRPr="00BC4BD7">
        <w:rPr>
          <w:vertAlign w:val="superscript"/>
        </w:rPr>
        <w:fldChar w:fldCharType="separate"/>
      </w:r>
      <w:r w:rsidR="00BC4BD7" w:rsidRPr="00BC4BD7">
        <w:rPr>
          <w:vertAlign w:val="superscript"/>
        </w:rPr>
        <w:t>11</w:t>
      </w:r>
      <w:r w:rsidR="00BC4BD7" w:rsidRPr="00BC4BD7">
        <w:rPr>
          <w:vertAlign w:val="superscript"/>
        </w:rPr>
        <w:fldChar w:fldCharType="end"/>
      </w:r>
    </w:p>
    <w:p w:rsidR="005703D4" w:rsidRPr="005703D4" w:rsidRDefault="005703D4" w:rsidP="005703D4">
      <w:proofErr w:type="spellStart"/>
      <w:r w:rsidRPr="005703D4">
        <w:t>Stockley</w:t>
      </w:r>
      <w:proofErr w:type="spellEnd"/>
      <w:r w:rsidRPr="005703D4">
        <w:t xml:space="preserve"> 2010 pooled d</w:t>
      </w:r>
      <w:r w:rsidR="006473AA">
        <w:t>ata from two randomised, double blind, placebo</w:t>
      </w:r>
      <w:r w:rsidR="00135088">
        <w:t xml:space="preserve"> </w:t>
      </w:r>
      <w:r w:rsidRPr="005703D4">
        <w:t xml:space="preserve">controlled trials that had investigated the efficacy of IV </w:t>
      </w:r>
      <w:r w:rsidR="006473AA">
        <w:t>alpha</w:t>
      </w:r>
      <w:r w:rsidR="006473AA">
        <w:rPr>
          <w:vertAlign w:val="subscript"/>
        </w:rPr>
        <w:t>1</w:t>
      </w:r>
      <w:r w:rsidR="006473AA">
        <w:t>-PI</w:t>
      </w:r>
      <w:r w:rsidRPr="005703D4">
        <w:t xml:space="preserve"> augmentation therapy on emphysema progression using CT densitometry. These two similar trials were</w:t>
      </w:r>
      <w:r w:rsidR="006473AA">
        <w:t>;</w:t>
      </w:r>
      <w:r w:rsidRPr="005703D4">
        <w:t xml:space="preserve"> the </w:t>
      </w:r>
      <w:r w:rsidR="006473AA">
        <w:t>two</w:t>
      </w:r>
      <w:r w:rsidRPr="005703D4">
        <w:t xml:space="preserve"> </w:t>
      </w:r>
      <w:r w:rsidR="006473AA" w:rsidRPr="005703D4">
        <w:t>centre</w:t>
      </w:r>
      <w:r w:rsidRPr="005703D4">
        <w:t xml:space="preserve"> Danish-Dutch study (n = 54) and the EXACTLE study described above. </w:t>
      </w:r>
      <w:r w:rsidRPr="008260BB">
        <w:t>The PD endpoint</w:t>
      </w:r>
      <w:r w:rsidRPr="005703D4">
        <w:t xml:space="preserve"> of interest was the change in 15th percentile of lung density measured by CT scan was obtained from both trials.</w:t>
      </w:r>
    </w:p>
    <w:p w:rsidR="005703D4" w:rsidRPr="005703D4" w:rsidRDefault="005703D4" w:rsidP="005703D4">
      <w:r w:rsidRPr="005703D4">
        <w:t xml:space="preserve">Mean follow-up was approximately 2.5 years. The mean change in lung density from baseline to last CT scan was -4.082 g/L for </w:t>
      </w:r>
      <w:r w:rsidR="006473AA">
        <w:t>alpha</w:t>
      </w:r>
      <w:r w:rsidR="006473AA">
        <w:rPr>
          <w:vertAlign w:val="subscript"/>
        </w:rPr>
        <w:t>1</w:t>
      </w:r>
      <w:r w:rsidR="006473AA">
        <w:t>-PI</w:t>
      </w:r>
      <w:r w:rsidRPr="005703D4">
        <w:t xml:space="preserve"> and -6.379 g/L for placebo with a treatment difference of 2.297 (95% CI, 0.669 to 3.926; p = 0.006). The corresponding annual declines were - 1.73 and -2.74 g/L/y</w:t>
      </w:r>
      <w:r w:rsidR="006473AA">
        <w:t>ea</w:t>
      </w:r>
      <w:r w:rsidRPr="005703D4">
        <w:t>r, respectively.</w:t>
      </w:r>
    </w:p>
    <w:p w:rsidR="005703D4" w:rsidRPr="005703D4" w:rsidRDefault="005703D4" w:rsidP="005703D4">
      <w:r w:rsidRPr="005703D4">
        <w:t>Using pooled data there was a statistically significant reduction in the reduction in lung density over 2.5 years of 2.3</w:t>
      </w:r>
      <w:r w:rsidR="006473AA">
        <w:t xml:space="preserve"> </w:t>
      </w:r>
      <w:r w:rsidRPr="005703D4">
        <w:t xml:space="preserve">g/L in a combined </w:t>
      </w:r>
      <w:r w:rsidR="00271841">
        <w:t>alpha</w:t>
      </w:r>
      <w:r w:rsidR="00271841">
        <w:rPr>
          <w:vertAlign w:val="subscript"/>
        </w:rPr>
        <w:t>1</w:t>
      </w:r>
      <w:r w:rsidR="00271841">
        <w:t>-</w:t>
      </w:r>
      <w:r w:rsidR="00271841" w:rsidRPr="00271841">
        <w:t>PI</w:t>
      </w:r>
      <w:r w:rsidRPr="00271841">
        <w:t>/</w:t>
      </w:r>
      <w:r w:rsidR="00F634F0" w:rsidRPr="00271841">
        <w:t>Prolastin</w:t>
      </w:r>
      <w:r w:rsidRPr="005703D4">
        <w:t xml:space="preserve"> group.</w:t>
      </w:r>
    </w:p>
    <w:p w:rsidR="002B657A" w:rsidRDefault="002B657A" w:rsidP="002B657A">
      <w:pPr>
        <w:pStyle w:val="Heading5"/>
      </w:pPr>
      <w:r w:rsidRPr="002B657A">
        <w:t>RAPID Tria</w:t>
      </w:r>
      <w:r>
        <w:t>l</w:t>
      </w:r>
    </w:p>
    <w:p w:rsidR="006F4749" w:rsidRDefault="006473AA" w:rsidP="002B657A">
      <w:r>
        <w:t>RAPID Trial;</w:t>
      </w:r>
      <w:r w:rsidR="005703D4" w:rsidRPr="002B657A">
        <w:t xml:space="preserve"> not included in the dossier</w:t>
      </w:r>
      <w:r w:rsidR="002B657A">
        <w:t>.</w:t>
      </w:r>
      <w:r w:rsidR="00271841">
        <w:t xml:space="preserve"> </w:t>
      </w:r>
      <w:r w:rsidR="005703D4" w:rsidRPr="002B657A">
        <w:t xml:space="preserve">Intravenous augmentation treatment and lung density in severe </w:t>
      </w:r>
      <w:r>
        <w:t>AATD</w:t>
      </w:r>
      <w:r w:rsidR="005703D4" w:rsidRPr="002B657A">
        <w:t xml:space="preserve"> (RAPID): a randomised, double blind, placebo controlled trial.</w:t>
      </w:r>
      <w:r>
        <w:rPr>
          <w:rStyle w:val="FootnoteReference"/>
        </w:rPr>
        <w:footnoteReference w:id="20"/>
      </w:r>
    </w:p>
    <w:p w:rsidR="002B657A" w:rsidRDefault="006473AA" w:rsidP="002B657A">
      <w:pPr>
        <w:pStyle w:val="Heading6"/>
      </w:pPr>
      <w:r>
        <w:t>Methods</w:t>
      </w:r>
    </w:p>
    <w:p w:rsidR="006F1429" w:rsidRDefault="006473AA" w:rsidP="002B657A">
      <w:r>
        <w:t>T</w:t>
      </w:r>
      <w:r w:rsidR="005703D4" w:rsidRPr="002B657A">
        <w:t xml:space="preserve">his was a multicentre, double blind, randomised, parallel group, placebo controlled trial of </w:t>
      </w:r>
      <w:r>
        <w:t>alpha</w:t>
      </w:r>
      <w:r>
        <w:rPr>
          <w:vertAlign w:val="subscript"/>
        </w:rPr>
        <w:t>1</w:t>
      </w:r>
      <w:r>
        <w:t>-PI</w:t>
      </w:r>
      <w:r w:rsidRPr="002B657A">
        <w:t xml:space="preserve"> </w:t>
      </w:r>
      <w:r w:rsidR="005703D4" w:rsidRPr="002B657A">
        <w:t>(</w:t>
      </w:r>
      <w:proofErr w:type="spellStart"/>
      <w:r w:rsidR="005703D4" w:rsidRPr="002B657A">
        <w:t>Z</w:t>
      </w:r>
      <w:r w:rsidRPr="002B657A">
        <w:t>emaira</w:t>
      </w:r>
      <w:proofErr w:type="spellEnd"/>
      <w:r w:rsidR="005703D4" w:rsidRPr="002B657A">
        <w:t>) in patients</w:t>
      </w:r>
      <w:r>
        <w:t xml:space="preserve"> with AATD. Non-smokers aged 18 to </w:t>
      </w:r>
      <w:r w:rsidR="005703D4" w:rsidRPr="002B657A">
        <w:t xml:space="preserve">65 years were </w:t>
      </w:r>
      <w:r w:rsidR="005703D4" w:rsidRPr="002B657A">
        <w:lastRenderedPageBreak/>
        <w:t>recruited if they had severe AATD (&lt; 11</w:t>
      </w:r>
      <w:r>
        <w:t xml:space="preserve"> µM) and FEV1 35 to </w:t>
      </w:r>
      <w:r w:rsidR="005703D4" w:rsidRPr="002B657A">
        <w:t>70% predicted. Patients received 60</w:t>
      </w:r>
      <w:r>
        <w:t xml:space="preserve"> </w:t>
      </w:r>
      <w:r w:rsidR="005703D4" w:rsidRPr="002B657A">
        <w:t xml:space="preserve">mg/kg </w:t>
      </w:r>
      <w:r>
        <w:t>alpha</w:t>
      </w:r>
      <w:r>
        <w:rPr>
          <w:vertAlign w:val="subscript"/>
        </w:rPr>
        <w:t>1</w:t>
      </w:r>
      <w:r>
        <w:t xml:space="preserve">-PI </w:t>
      </w:r>
      <w:r w:rsidR="005703D4" w:rsidRPr="002B657A">
        <w:t xml:space="preserve">for 24 months or placebo. The primary end point was CT lung density at total lung </w:t>
      </w:r>
      <w:r w:rsidR="005703D4" w:rsidRPr="006F7390">
        <w:t>capacity</w:t>
      </w:r>
      <w:r w:rsidRPr="006F7390">
        <w:t xml:space="preserve"> </w:t>
      </w:r>
      <w:r w:rsidR="005703D4" w:rsidRPr="006F7390">
        <w:t>(TLC) and functional</w:t>
      </w:r>
      <w:r w:rsidR="005703D4" w:rsidRPr="002B657A">
        <w:t xml:space="preserve"> residual </w:t>
      </w:r>
      <w:r w:rsidR="005703D4" w:rsidRPr="006F7390">
        <w:t>capacity (FRC)</w:t>
      </w:r>
      <w:r w:rsidR="005703D4" w:rsidRPr="002B657A">
        <w:t xml:space="preserve"> at 0, 3, 12, 21 and 24 months</w:t>
      </w:r>
      <w:r w:rsidR="006F1429">
        <w:t>.</w:t>
      </w:r>
    </w:p>
    <w:p w:rsidR="002B657A" w:rsidRDefault="006473AA" w:rsidP="002B657A">
      <w:pPr>
        <w:pStyle w:val="Heading6"/>
      </w:pPr>
      <w:r>
        <w:t>Results</w:t>
      </w:r>
    </w:p>
    <w:p w:rsidR="002B657A" w:rsidRPr="002B657A" w:rsidRDefault="002B657A" w:rsidP="002B657A">
      <w:r w:rsidRPr="002B657A">
        <w:t xml:space="preserve">93 patients were randomised to </w:t>
      </w:r>
      <w:r w:rsidR="006473AA">
        <w:t>alpha</w:t>
      </w:r>
      <w:r w:rsidR="006473AA">
        <w:rPr>
          <w:vertAlign w:val="subscript"/>
        </w:rPr>
        <w:t>1</w:t>
      </w:r>
      <w:r w:rsidR="006473AA">
        <w:t>-PI</w:t>
      </w:r>
      <w:r w:rsidRPr="002B657A">
        <w:t xml:space="preserve">, 87 to placebo. The annual rate of lung density loss at TLC was significantly less in patients treated with </w:t>
      </w:r>
      <w:r w:rsidR="006473AA">
        <w:t>alpha</w:t>
      </w:r>
      <w:r w:rsidR="006473AA">
        <w:rPr>
          <w:vertAlign w:val="subscript"/>
        </w:rPr>
        <w:t>1</w:t>
      </w:r>
      <w:r w:rsidR="006473AA">
        <w:t>-PI</w:t>
      </w:r>
      <w:r w:rsidRPr="002B657A">
        <w:t>, -1.</w:t>
      </w:r>
      <w:r w:rsidRPr="00271841">
        <w:t>45g/L (</w:t>
      </w:r>
      <w:r w:rsidR="00271841" w:rsidRPr="00271841">
        <w:t>standard error (SE)</w:t>
      </w:r>
      <w:r w:rsidRPr="00271841">
        <w:t xml:space="preserve"> 0.23) per year </w:t>
      </w:r>
      <w:r w:rsidR="006473AA" w:rsidRPr="00271841">
        <w:t>compared with</w:t>
      </w:r>
      <w:r w:rsidRPr="00271841">
        <w:t xml:space="preserve"> -2.19 g/L in the placebo group (SE</w:t>
      </w:r>
      <w:r w:rsidR="00271841">
        <w:t xml:space="preserve"> 0.25), (</w:t>
      </w:r>
      <w:r w:rsidRPr="002B657A">
        <w:t>placebo</w:t>
      </w:r>
      <w:r w:rsidR="006473AA">
        <w:t xml:space="preserve"> </w:t>
      </w:r>
      <w:r w:rsidR="00271841">
        <w:t>–</w:t>
      </w:r>
      <w:r w:rsidR="006473AA">
        <w:t xml:space="preserve"> </w:t>
      </w:r>
      <w:r w:rsidR="00271841">
        <w:t xml:space="preserve">subtracted) </w:t>
      </w:r>
      <w:r w:rsidRPr="002B657A">
        <w:t>difference 0.74</w:t>
      </w:r>
      <w:r w:rsidR="006473AA">
        <w:t xml:space="preserve"> </w:t>
      </w:r>
      <w:r w:rsidRPr="002B657A">
        <w:t>g/L per year (95% CI 0.06-1.42) p</w:t>
      </w:r>
      <w:r w:rsidR="006473AA">
        <w:t xml:space="preserve"> </w:t>
      </w:r>
      <w:r w:rsidRPr="002B657A">
        <w:t>=</w:t>
      </w:r>
      <w:r w:rsidR="006473AA">
        <w:t xml:space="preserve"> </w:t>
      </w:r>
      <w:r w:rsidRPr="002B657A">
        <w:t>0.03. The loss of lung tissue was not</w:t>
      </w:r>
      <w:r w:rsidR="006473AA">
        <w:t xml:space="preserve"> significantly different at FRC</w:t>
      </w:r>
      <w:r w:rsidRPr="002B657A">
        <w:t xml:space="preserve">, -1.54g/L per year </w:t>
      </w:r>
      <w:r w:rsidR="006473AA">
        <w:t>compared with</w:t>
      </w:r>
      <w:r w:rsidRPr="002B657A">
        <w:t xml:space="preserve"> -2.02g/L difference 0.48</w:t>
      </w:r>
      <w:r w:rsidR="006473AA">
        <w:t xml:space="preserve"> </w:t>
      </w:r>
      <w:r w:rsidRPr="002B657A">
        <w:t xml:space="preserve">g/L (95% CI -0.22 to 1.18). Treatment emergent adverse events were similar in the two groups. There was no significant change in FEV1, </w:t>
      </w:r>
      <w:r w:rsidR="006F7390">
        <w:t xml:space="preserve">St George’s Respiratory </w:t>
      </w:r>
      <w:r w:rsidR="006F7390" w:rsidRPr="006F7390">
        <w:t>Questionnaire (</w:t>
      </w:r>
      <w:r w:rsidRPr="006F7390">
        <w:t>SGRQ</w:t>
      </w:r>
      <w:r w:rsidR="006F7390" w:rsidRPr="006F7390">
        <w:t>)</w:t>
      </w:r>
      <w:r w:rsidRPr="006F7390">
        <w:t xml:space="preserve"> score</w:t>
      </w:r>
      <w:r w:rsidRPr="002B657A">
        <w:t>, or exacerbations.</w:t>
      </w:r>
    </w:p>
    <w:p w:rsidR="002B657A" w:rsidRPr="002B657A" w:rsidRDefault="002B657A" w:rsidP="002B657A">
      <w:pPr>
        <w:pStyle w:val="Heading5"/>
      </w:pPr>
      <w:bookmarkStart w:id="135" w:name="_Toc427841294"/>
      <w:r w:rsidRPr="002B657A">
        <w:t>FEV1 rate of progression</w:t>
      </w:r>
      <w:bookmarkEnd w:id="135"/>
    </w:p>
    <w:p w:rsidR="002B657A" w:rsidRPr="002B657A" w:rsidRDefault="002B657A" w:rsidP="002B657A">
      <w:r w:rsidRPr="002B657A">
        <w:t>FEV1 data from 1</w:t>
      </w:r>
      <w:r w:rsidR="006473AA">
        <w:t xml:space="preserve">,509 patients; </w:t>
      </w:r>
      <w:r w:rsidR="007343FA">
        <w:t xml:space="preserve">derived </w:t>
      </w:r>
      <w:r w:rsidR="003E7485">
        <w:t xml:space="preserve">from </w:t>
      </w:r>
      <w:r w:rsidRPr="002B657A">
        <w:t>4 non randomised trials</w:t>
      </w:r>
      <w:r w:rsidR="007343FA">
        <w:t xml:space="preserve"> and</w:t>
      </w:r>
      <w:r w:rsidRPr="002B657A">
        <w:t xml:space="preserve"> 1 RCT </w:t>
      </w:r>
      <w:r w:rsidR="007343FA">
        <w:t>c</w:t>
      </w:r>
      <w:r w:rsidR="007343FA" w:rsidRPr="002B657A">
        <w:t xml:space="preserve">ombined </w:t>
      </w:r>
      <w:r w:rsidRPr="002B657A">
        <w:t>using random effects</w:t>
      </w:r>
      <w:r>
        <w:t xml:space="preserve">. </w:t>
      </w:r>
      <w:r w:rsidRPr="002B657A">
        <w:t>The decline in lung function was slower by 23% with augmentation. No significant effect where FEV1 &lt; 30% or &gt; 65%.</w:t>
      </w:r>
    </w:p>
    <w:p w:rsidR="002B657A" w:rsidRDefault="002B657A" w:rsidP="002B657A">
      <w:pPr>
        <w:pStyle w:val="Heading5"/>
      </w:pPr>
      <w:bookmarkStart w:id="136" w:name="_Toc427841295"/>
      <w:r w:rsidRPr="002B657A">
        <w:t>Cochrane review 2010</w:t>
      </w:r>
      <w:bookmarkEnd w:id="136"/>
      <w:r w:rsidR="00271841">
        <w:rPr>
          <w:rStyle w:val="FootnoteReference"/>
        </w:rPr>
        <w:footnoteReference w:id="21"/>
      </w:r>
    </w:p>
    <w:p w:rsidR="002B657A" w:rsidRPr="002B657A" w:rsidRDefault="002B657A" w:rsidP="002B657A">
      <w:r w:rsidRPr="002B657A">
        <w:t>Two trials were included (total 140 patients) that ran for two to three years. All patients were ex- or never-smokers and had genetic variants that carried a very high risk of developing chronic obstructive pulmonary disease. Mortality data were not reported. Annual number of exacerbations and quality of life were similar in the two groups. FEV1 deteriorated more in the active group than in the plac</w:t>
      </w:r>
      <w:r w:rsidR="00271841">
        <w:t>ebo group (difference was -20 mL</w:t>
      </w:r>
      <w:r w:rsidRPr="002B657A">
        <w:t xml:space="preserve"> per year; 95% confidence interval -41 to 1; p = 0.06).</w:t>
      </w:r>
      <w:r w:rsidR="00135088">
        <w:t xml:space="preserve"> </w:t>
      </w:r>
      <w:r w:rsidRPr="002B657A">
        <w:t>Lung density measured by CT scan deteriorated a little less in the active group than in the</w:t>
      </w:r>
      <w:r w:rsidR="006473AA">
        <w:t xml:space="preserve"> placebo group (difference </w:t>
      </w:r>
      <w:r w:rsidRPr="002B657A">
        <w:t>1.14 g/</w:t>
      </w:r>
      <w:r w:rsidR="006473AA">
        <w:t>L</w:t>
      </w:r>
      <w:r w:rsidRPr="002B657A">
        <w:t>; 95% confidence interval 0.14 to 2.14; p = 0.03).</w:t>
      </w:r>
    </w:p>
    <w:p w:rsidR="002B657A" w:rsidRPr="002B657A" w:rsidRDefault="002B657A" w:rsidP="002B657A">
      <w:pPr>
        <w:pStyle w:val="Heading4"/>
      </w:pPr>
      <w:r w:rsidRPr="002B657A">
        <w:t>Safety</w:t>
      </w:r>
    </w:p>
    <w:p w:rsidR="006F1429" w:rsidRDefault="002B657A" w:rsidP="002B657A">
      <w:r w:rsidRPr="002B657A">
        <w:t>The most serious adverse reaction in clinical trials was a rash</w:t>
      </w:r>
      <w:r w:rsidR="006473AA">
        <w:t>;</w:t>
      </w:r>
      <w:r w:rsidRPr="002B657A">
        <w:t xml:space="preserve"> consistent with hypersensitivity. The most common drug related adverse events observed in &gt; 1% of patients were chills, malaise, headach</w:t>
      </w:r>
      <w:r w:rsidR="006473AA">
        <w:t xml:space="preserve">e, rash, hot flush and </w:t>
      </w:r>
      <w:proofErr w:type="spellStart"/>
      <w:r w:rsidR="006473AA">
        <w:t>pruritis</w:t>
      </w:r>
      <w:proofErr w:type="spellEnd"/>
      <w:r w:rsidR="006473AA">
        <w:t>;</w:t>
      </w:r>
      <w:r w:rsidRPr="002B657A">
        <w:t xml:space="preserve"> consistent with an infusion reaction to a therapeutic protein</w:t>
      </w:r>
      <w:r w:rsidR="006F1429">
        <w:t>.</w:t>
      </w:r>
    </w:p>
    <w:p w:rsidR="002B657A" w:rsidRPr="002B657A" w:rsidRDefault="002B657A" w:rsidP="002B657A">
      <w:r w:rsidRPr="002B657A">
        <w:t>In Study 100533/</w:t>
      </w:r>
      <w:proofErr w:type="spellStart"/>
      <w:r w:rsidRPr="002B657A">
        <w:t>EurdraCT</w:t>
      </w:r>
      <w:proofErr w:type="spellEnd"/>
      <w:r w:rsidR="00D67E6B">
        <w:t>,</w:t>
      </w:r>
      <w:r w:rsidRPr="002B657A">
        <w:t xml:space="preserve"> one patient in the </w:t>
      </w:r>
      <w:r w:rsidR="00F634F0">
        <w:t>Prolastin</w:t>
      </w:r>
      <w:r w:rsidRPr="002B657A">
        <w:t xml:space="preserve"> group developed psoriasis. The sponsor did not consider this as a treatment related </w:t>
      </w:r>
      <w:r w:rsidR="00D67E6B" w:rsidRPr="002B657A">
        <w:t>event;</w:t>
      </w:r>
      <w:r w:rsidRPr="002B657A">
        <w:t xml:space="preserve"> however the clinical evaluator has disagreed. In this study, overall there were similar amounts of AE and TEA in the treatment and placebo groups.</w:t>
      </w:r>
    </w:p>
    <w:p w:rsidR="002B657A" w:rsidRPr="002B657A" w:rsidRDefault="002B657A" w:rsidP="002B657A">
      <w:r w:rsidRPr="002B657A">
        <w:t xml:space="preserve">In the STAMP study, 38 subjects received open label treatment with </w:t>
      </w:r>
      <w:r w:rsidR="006473AA">
        <w:t>alpha</w:t>
      </w:r>
      <w:r w:rsidR="006473AA">
        <w:rPr>
          <w:vertAlign w:val="subscript"/>
        </w:rPr>
        <w:t>1</w:t>
      </w:r>
      <w:r w:rsidR="006473AA">
        <w:t>-PI</w:t>
      </w:r>
      <w:r w:rsidRPr="002B657A">
        <w:t xml:space="preserve"> for 20 weeks. Of these, 19 were treatment naïve. There were 752 treatment infusions, of these interruptions</w:t>
      </w:r>
      <w:r w:rsidR="00D67E6B">
        <w:t xml:space="preserve"> occurred in 10 subjects (</w:t>
      </w:r>
      <w:r w:rsidRPr="002B657A">
        <w:t>IV infiltration in 3, infusion reactions in 2).</w:t>
      </w:r>
    </w:p>
    <w:p w:rsidR="002B657A" w:rsidRPr="002B657A" w:rsidRDefault="002B657A" w:rsidP="002B657A">
      <w:r w:rsidRPr="00271841">
        <w:t>Two PSUR were</w:t>
      </w:r>
      <w:r w:rsidRPr="002B657A">
        <w:t xml:space="preserve"> submitted from 2013 and 2014. No new safety concerns were identified. In 2013 the estimated exposu</w:t>
      </w:r>
      <w:r w:rsidR="00D67E6B">
        <w:t>re was 4 948 patients per year.</w:t>
      </w:r>
    </w:p>
    <w:p w:rsidR="002B657A" w:rsidRPr="002B657A" w:rsidRDefault="00271841" w:rsidP="00D67E6B">
      <w:pPr>
        <w:pStyle w:val="Heading5"/>
      </w:pPr>
      <w:r>
        <w:t>Unknown safety concerns</w:t>
      </w:r>
    </w:p>
    <w:p w:rsidR="002B657A" w:rsidRPr="002B657A" w:rsidRDefault="006473AA" w:rsidP="00D67E6B">
      <w:pPr>
        <w:pStyle w:val="ListBullet"/>
      </w:pPr>
      <w:r>
        <w:t>Antibodies and immunogenicity:</w:t>
      </w:r>
      <w:r w:rsidR="002B657A" w:rsidRPr="002B657A">
        <w:t xml:space="preserve"> There were no immunogenicity data from clinical trials. In the STAMP and CHAMP a total of 4 patients develop</w:t>
      </w:r>
      <w:r>
        <w:t>ed antibodies detected by ELISA;</w:t>
      </w:r>
      <w:r w:rsidR="002B657A" w:rsidRPr="002B657A">
        <w:t xml:space="preserve"> non</w:t>
      </w:r>
      <w:r>
        <w:t>e</w:t>
      </w:r>
      <w:r w:rsidR="002B657A" w:rsidRPr="002B657A">
        <w:t xml:space="preserve"> of these were neutralising</w:t>
      </w:r>
    </w:p>
    <w:p w:rsidR="001F03D6" w:rsidRPr="001F03D6" w:rsidRDefault="002B657A" w:rsidP="00D67E6B">
      <w:pPr>
        <w:pStyle w:val="ListBullet"/>
      </w:pPr>
      <w:r>
        <w:lastRenderedPageBreak/>
        <w:t>Effect on other proteins</w:t>
      </w:r>
    </w:p>
    <w:p w:rsidR="007B6132" w:rsidRDefault="007B6132" w:rsidP="00555280">
      <w:pPr>
        <w:pStyle w:val="Heading4"/>
      </w:pPr>
      <w:r w:rsidRPr="007B6132">
        <w:t>Clinical evaluator’s r</w:t>
      </w:r>
      <w:r w:rsidR="00D67E6B">
        <w:t>ecommendation</w:t>
      </w:r>
    </w:p>
    <w:p w:rsidR="00A20918" w:rsidRDefault="00D67E6B" w:rsidP="00D67E6B">
      <w:r w:rsidRPr="00860C77">
        <w:t xml:space="preserve">Reject because of lack of convincing </w:t>
      </w:r>
      <w:r w:rsidR="006473AA">
        <w:t xml:space="preserve">evidence of efficacy on patient relevant/ patient </w:t>
      </w:r>
      <w:r w:rsidRPr="00860C77">
        <w:t>important endpoints.</w:t>
      </w:r>
    </w:p>
    <w:p w:rsidR="00A20918" w:rsidRDefault="00D67E6B" w:rsidP="00D67E6B">
      <w:r>
        <w:t xml:space="preserve">The safety is well understood and well </w:t>
      </w:r>
      <w:r w:rsidRPr="00860C77">
        <w:t>characterised. The product (or its bioequivalent precursor, Prola</w:t>
      </w:r>
      <w:r w:rsidR="006473AA">
        <w:t xml:space="preserve">stin) has been marketed in high </w:t>
      </w:r>
      <w:r w:rsidRPr="00860C77">
        <w:t xml:space="preserve">income countries with </w:t>
      </w:r>
      <w:r>
        <w:t>sophisticated systems for post-</w:t>
      </w:r>
      <w:r w:rsidRPr="00860C77">
        <w:t>marketing surveillance (similar to those in Australia) for nearly 30 years.</w:t>
      </w:r>
    </w:p>
    <w:p w:rsidR="00D67E6B" w:rsidRDefault="00D67E6B" w:rsidP="00D67E6B">
      <w:r w:rsidRPr="00860C77">
        <w:t>Recommend respiratory physician input.</w:t>
      </w:r>
    </w:p>
    <w:p w:rsidR="003F7375" w:rsidRDefault="003F7375" w:rsidP="003F7375">
      <w:pPr>
        <w:pStyle w:val="Heading4"/>
      </w:pPr>
      <w:r>
        <w:t>Other clinical input</w:t>
      </w:r>
    </w:p>
    <w:p w:rsidR="003F7375" w:rsidRPr="00A20918" w:rsidRDefault="003F7375" w:rsidP="003F7375">
      <w:pPr>
        <w:pStyle w:val="Heading5"/>
      </w:pPr>
      <w:r w:rsidRPr="00A20918">
        <w:t>Results of EU Working Group regarding use of CT Lung density</w:t>
      </w:r>
    </w:p>
    <w:p w:rsidR="003F7375" w:rsidRPr="00A20918" w:rsidRDefault="003F7375" w:rsidP="003F7375">
      <w:r w:rsidRPr="00A20918">
        <w:t>Minutes of Ad hoc experts group meeting, January 14, 2015</w:t>
      </w:r>
    </w:p>
    <w:p w:rsidR="003F7375" w:rsidRPr="00A20918" w:rsidRDefault="003F7375" w:rsidP="003F7375">
      <w:r w:rsidRPr="00A20918">
        <w:t xml:space="preserve"> “…lung density measurement by CT scan have been used since the 19</w:t>
      </w:r>
      <w:r w:rsidR="00607220">
        <w:t xml:space="preserve">80s and is the most sensitive to </w:t>
      </w:r>
      <w:r w:rsidRPr="00A20918">
        <w:t>change endpoint in [</w:t>
      </w:r>
      <w:r w:rsidR="00607220">
        <w:t>alpha</w:t>
      </w:r>
      <w:r w:rsidR="00607220">
        <w:rPr>
          <w:vertAlign w:val="subscript"/>
        </w:rPr>
        <w:t>1</w:t>
      </w:r>
      <w:r w:rsidR="00607220">
        <w:t>-PI deficiency</w:t>
      </w:r>
      <w:r w:rsidRPr="00A20918">
        <w:t>] emphysema and uniquely suitable as a clinical study endpoint due to its direct and validated representation and quantification of the anatomical chan</w:t>
      </w:r>
      <w:r w:rsidR="00607220">
        <w:t>ges underlying this condition.”</w:t>
      </w:r>
    </w:p>
    <w:p w:rsidR="003F7375" w:rsidRPr="00A20918" w:rsidRDefault="003F7375" w:rsidP="003F7375">
      <w:pPr>
        <w:pStyle w:val="Heading5"/>
      </w:pPr>
      <w:r w:rsidRPr="00A20918">
        <w:t xml:space="preserve">EU Evaluation report from </w:t>
      </w:r>
      <w:proofErr w:type="spellStart"/>
      <w:r w:rsidRPr="00A20918">
        <w:t>Repreeza</w:t>
      </w:r>
      <w:proofErr w:type="spellEnd"/>
      <w:r w:rsidRPr="00A20918">
        <w:t xml:space="preserve"> (</w:t>
      </w:r>
      <w:proofErr w:type="spellStart"/>
      <w:r w:rsidRPr="00A20918">
        <w:t>Zemaira</w:t>
      </w:r>
      <w:proofErr w:type="spellEnd"/>
      <w:r w:rsidRPr="00A20918">
        <w:t>) WC 500193167</w:t>
      </w:r>
    </w:p>
    <w:p w:rsidR="003F7375" w:rsidRDefault="003F7375" w:rsidP="003F7375">
      <w:r>
        <w:t>The primary</w:t>
      </w:r>
      <w:r w:rsidR="00607220">
        <w:t xml:space="preserve"> efficacy variable was the lung </w:t>
      </w:r>
      <w:r w:rsidR="00271841">
        <w:t>volume adjusted lu</w:t>
      </w:r>
      <w:r>
        <w:t>ng density (Adjusted P15) estimated by the 15</w:t>
      </w:r>
      <w:r w:rsidRPr="00A20918">
        <w:rPr>
          <w:vertAlign w:val="superscript"/>
        </w:rPr>
        <w:t>th</w:t>
      </w:r>
      <w:r>
        <w:t xml:space="preserve"> percentile of the frequency histogram of the lung pixels. Lung loss is measured via whole</w:t>
      </w:r>
      <w:r w:rsidR="00271841">
        <w:t xml:space="preserve"> lung CT densitometry;</w:t>
      </w:r>
      <w:r>
        <w:t xml:space="preserve"> </w:t>
      </w:r>
      <w:r w:rsidR="00607220">
        <w:t>that is</w:t>
      </w:r>
      <w:r>
        <w:t xml:space="preserve"> the 15</w:t>
      </w:r>
      <w:r w:rsidRPr="00A20918">
        <w:rPr>
          <w:vertAlign w:val="superscript"/>
        </w:rPr>
        <w:t>th</w:t>
      </w:r>
      <w:r>
        <w:t xml:space="preserve"> percentile point, is a physiological endpoint used in clinical </w:t>
      </w:r>
      <w:r w:rsidR="00607220">
        <w:t>alpha</w:t>
      </w:r>
      <w:r w:rsidR="00607220">
        <w:rPr>
          <w:vertAlign w:val="subscript"/>
        </w:rPr>
        <w:t>1</w:t>
      </w:r>
      <w:r w:rsidR="00607220">
        <w:t xml:space="preserve">-PI </w:t>
      </w:r>
      <w:r>
        <w:t>augmentation therapy studies. CT densitometry has previously been accepted by the CHMP</w:t>
      </w:r>
      <w:r w:rsidR="00271841">
        <w:rPr>
          <w:rStyle w:val="FootnoteReference"/>
        </w:rPr>
        <w:footnoteReference w:id="22"/>
      </w:r>
      <w:r>
        <w:t xml:space="preserve"> as an acceptable method to detect progression of emphysema in patients with </w:t>
      </w:r>
      <w:r w:rsidR="00607220">
        <w:t>alpha</w:t>
      </w:r>
      <w:r w:rsidR="00607220">
        <w:rPr>
          <w:vertAlign w:val="subscript"/>
        </w:rPr>
        <w:t>1</w:t>
      </w:r>
      <w:r w:rsidR="00607220">
        <w:t>-PI deficiency</w:t>
      </w:r>
      <w:r>
        <w:t>. It is agreed the “TLC” inspirations state is the most suitable endpoint to use in studies since it has the best possibility to detect small differences in lung density. Thus, lung density measured at the “TLC” inspiration state is a relevant parameter to use as it measures the physiological change in the organ which is affected of the disease.</w:t>
      </w:r>
    </w:p>
    <w:p w:rsidR="003F7375" w:rsidRPr="00A20918" w:rsidRDefault="003F7375" w:rsidP="003F7375">
      <w:pPr>
        <w:pStyle w:val="Heading5"/>
      </w:pPr>
      <w:r w:rsidRPr="00A20918">
        <w:t>Expert Opinions</w:t>
      </w:r>
    </w:p>
    <w:p w:rsidR="003F7375" w:rsidRDefault="003F7375" w:rsidP="003F7375">
      <w:r w:rsidRPr="00A20918">
        <w:t>Expert opinions were sought in view of the negative opin</w:t>
      </w:r>
      <w:r>
        <w:t>ion from the clinical evaluator.</w:t>
      </w:r>
    </w:p>
    <w:p w:rsidR="003F7375" w:rsidRPr="00A20918" w:rsidRDefault="003F7375" w:rsidP="003F7375">
      <w:pPr>
        <w:pStyle w:val="Heading6"/>
      </w:pPr>
      <w:r w:rsidRPr="00A20918">
        <w:t>Sponsor’s Expert Op</w:t>
      </w:r>
      <w:r w:rsidR="00271841">
        <w:t>inions</w:t>
      </w:r>
    </w:p>
    <w:p w:rsidR="003F7375" w:rsidRDefault="003F7375" w:rsidP="00271841">
      <w:pPr>
        <w:pStyle w:val="Heading7"/>
      </w:pPr>
      <w:r w:rsidRPr="00271841">
        <w:t>Expert 1</w:t>
      </w:r>
      <w:r w:rsidR="00B03271">
        <w:t xml:space="preserve"> Dr [Information redacted]</w:t>
      </w:r>
    </w:p>
    <w:p w:rsidR="00B03271" w:rsidRDefault="00B03271" w:rsidP="00B03271">
      <w:r>
        <w:t>Dr [Information redacted] stated ‘</w:t>
      </w:r>
      <w:r w:rsidRPr="00B03271">
        <w:t>Unfortunately, robust data that would directly correlate lung density (as measured by CT densitometry) to patient-reported outcomes (symptom-based) do not exist. However, a growing body of evidence links the extent of emphysema (derived by CT-techniques) to mortality</w:t>
      </w:r>
      <w:r>
        <w:t>.’ Some data were presented showing a relationship between CT volumes on outcomes; it is assumed that by increasing CT volumes (or slowing the decline) there will be a benefit on mortality.</w:t>
      </w:r>
    </w:p>
    <w:p w:rsidR="00B03271" w:rsidRDefault="00B03271" w:rsidP="00B03271">
      <w:r>
        <w:t>CT morphology is stated to be the clinical marker most closely related to clinical endpoints.</w:t>
      </w:r>
    </w:p>
    <w:p w:rsidR="00B03271" w:rsidRPr="00B03271" w:rsidRDefault="007343FA" w:rsidP="00B03271">
      <w:proofErr w:type="gramStart"/>
      <w:r>
        <w:t xml:space="preserve">Commenting on </w:t>
      </w:r>
      <w:r w:rsidR="00B03271">
        <w:t xml:space="preserve">registry data, </w:t>
      </w:r>
      <w:r w:rsidR="00B03271" w:rsidRPr="00B03271">
        <w:t>‘In my point of view, the body of evidence is not suited to answer the question on symptom-based patient-relevant endpoints.</w:t>
      </w:r>
      <w:proofErr w:type="gramEnd"/>
      <w:r w:rsidR="00B03271" w:rsidRPr="00B03271">
        <w:t xml:space="preserve"> None of the present studies has been powered adequately to do so. Also, registry data (at least in the given quality, present at the moment) are most likely not suited to answer the question. </w:t>
      </w:r>
      <w:r w:rsidR="00B03271" w:rsidRPr="00B03271">
        <w:lastRenderedPageBreak/>
        <w:t>However, based on the evidence about lung density and mortality, it may be assumed that a disease modifying effect (that is very likely) would result in a life-prolonging effect that certainly is important for patients. It is not suitable to apply the same strict rules about approval in a rare disease like AATD as in a frequent disease like COPD in general</w:t>
      </w:r>
      <w:r w:rsidR="004A0275">
        <w:t>’</w:t>
      </w:r>
      <w:r w:rsidR="00B03271" w:rsidRPr="00B03271">
        <w:t>.</w:t>
      </w:r>
    </w:p>
    <w:p w:rsidR="00B03271" w:rsidRPr="00B03271" w:rsidRDefault="004A0275" w:rsidP="00B03271">
      <w:r>
        <w:t>Adverse events are considered minor in clinical practice.</w:t>
      </w:r>
    </w:p>
    <w:p w:rsidR="003F7375" w:rsidRDefault="003F7375" w:rsidP="004A0275">
      <w:pPr>
        <w:pStyle w:val="Heading7"/>
      </w:pPr>
      <w:r>
        <w:t>Expert 2</w:t>
      </w:r>
      <w:r w:rsidR="004A0275">
        <w:t xml:space="preserve"> Dr [Information redacted]</w:t>
      </w:r>
    </w:p>
    <w:p w:rsidR="004A0275" w:rsidRDefault="004A0275" w:rsidP="004A0275">
      <w:r>
        <w:t>To the question of whether the small treatment differences identified on lung CT clinically meaningful, Dr [Information redacted] states: ‘Yes these studies indicated that loss of lung is reduced. This is indirect evidence that AAT replacement therapy decrease the loss of lung tissue characteristic of alpha-1-antitrypsin deficiency.’ It thus remains unclear if the Expert believed this small numerical change was clinically relevant.</w:t>
      </w:r>
    </w:p>
    <w:p w:rsidR="004A0275" w:rsidRDefault="004A0275" w:rsidP="004A0275">
      <w:r>
        <w:t>The totality of data from registries and RCLs indicated that AAT therapy decreases lung loss.</w:t>
      </w:r>
    </w:p>
    <w:p w:rsidR="004A0275" w:rsidRPr="004A0275" w:rsidRDefault="004A0275" w:rsidP="004A0275">
      <w:r>
        <w:t>Therefore there appears to be a consistent belief that this therapy improves AAT concentrations; that CT volumes are better than FEV1 as a predictor of clinical endpoints, and that symptom related data is not available. There is disagreement with the evaluator on the statements that the noted changes on CT are not clinically relevant however evidence to refute this was not given.</w:t>
      </w:r>
    </w:p>
    <w:p w:rsidR="008E7846" w:rsidRDefault="00386150" w:rsidP="007B6132">
      <w:pPr>
        <w:pStyle w:val="Heading3"/>
        <w:rPr>
          <w:lang w:eastAsia="en-AU"/>
        </w:rPr>
      </w:pPr>
      <w:bookmarkStart w:id="137" w:name="_Toc497296922"/>
      <w:r>
        <w:rPr>
          <w:lang w:eastAsia="en-AU"/>
        </w:rPr>
        <w:t>Risk m</w:t>
      </w:r>
      <w:r w:rsidR="008E7846">
        <w:rPr>
          <w:lang w:eastAsia="en-AU"/>
        </w:rPr>
        <w:t xml:space="preserve">anagement </w:t>
      </w:r>
      <w:r>
        <w:rPr>
          <w:lang w:eastAsia="en-AU"/>
        </w:rPr>
        <w:t>p</w:t>
      </w:r>
      <w:r w:rsidR="008E7846">
        <w:rPr>
          <w:lang w:eastAsia="en-AU"/>
        </w:rPr>
        <w:t>lan</w:t>
      </w:r>
      <w:bookmarkEnd w:id="131"/>
      <w:bookmarkEnd w:id="137"/>
    </w:p>
    <w:p w:rsidR="00A20918" w:rsidRPr="00A20918" w:rsidRDefault="00A20918" w:rsidP="00A20918">
      <w:r w:rsidRPr="00A20918">
        <w:t>A revised RMP with ASA is required prior to registration.</w:t>
      </w:r>
    </w:p>
    <w:p w:rsidR="008E7846" w:rsidRDefault="003F7375" w:rsidP="008E7846">
      <w:r>
        <w:t>Routine pharmacovigilance and risk minimisation is proposed.</w:t>
      </w:r>
    </w:p>
    <w:p w:rsidR="008E7846" w:rsidRDefault="00AA0ED0" w:rsidP="008E7846">
      <w:pPr>
        <w:pStyle w:val="Heading3"/>
      </w:pPr>
      <w:bookmarkStart w:id="138" w:name="_Toc247691531"/>
      <w:bookmarkStart w:id="139" w:name="_Toc314842515"/>
      <w:bookmarkStart w:id="140" w:name="_Toc196046505"/>
      <w:bookmarkStart w:id="141" w:name="_Toc196046949"/>
      <w:bookmarkStart w:id="142" w:name="_Toc497296923"/>
      <w:r>
        <w:t>Risk-benefit a</w:t>
      </w:r>
      <w:r w:rsidR="008E7846">
        <w:t>nalysis</w:t>
      </w:r>
      <w:bookmarkEnd w:id="138"/>
      <w:bookmarkEnd w:id="139"/>
      <w:bookmarkEnd w:id="142"/>
    </w:p>
    <w:p w:rsidR="00D23139" w:rsidRDefault="003F7375" w:rsidP="00D23139">
      <w:pPr>
        <w:pStyle w:val="Heading4"/>
      </w:pPr>
      <w:r>
        <w:t>Delegate’s considerations</w:t>
      </w:r>
    </w:p>
    <w:p w:rsidR="003F7375" w:rsidRPr="003F7375" w:rsidRDefault="003F7375" w:rsidP="003F7375">
      <w:r w:rsidRPr="003F7375">
        <w:t>There were a number of deficiencies in the data provided</w:t>
      </w:r>
    </w:p>
    <w:p w:rsidR="003F7375" w:rsidRPr="003F7375" w:rsidRDefault="00607220" w:rsidP="004458AF">
      <w:pPr>
        <w:pStyle w:val="Numberbullet0"/>
        <w:numPr>
          <w:ilvl w:val="0"/>
          <w:numId w:val="6"/>
        </w:numPr>
      </w:pPr>
      <w:r>
        <w:t xml:space="preserve">Concerns regarding quality; </w:t>
      </w:r>
      <w:r w:rsidR="003F7375" w:rsidRPr="003F7375">
        <w:t>lack of well characterised glycosylation, poorly characterised product specifications, con</w:t>
      </w:r>
      <w:r>
        <w:t>cerns about water for injection;</w:t>
      </w:r>
      <w:r w:rsidR="003F7375" w:rsidRPr="003F7375">
        <w:t xml:space="preserve"> these have been resolved</w:t>
      </w:r>
    </w:p>
    <w:p w:rsidR="003F7375" w:rsidRPr="003F7375" w:rsidRDefault="003F7375" w:rsidP="004458AF">
      <w:pPr>
        <w:pStyle w:val="Numberbullet0"/>
        <w:numPr>
          <w:ilvl w:val="0"/>
          <w:numId w:val="6"/>
        </w:numPr>
      </w:pPr>
      <w:r w:rsidRPr="003F7375">
        <w:t>Lack of toxicology data</w:t>
      </w:r>
    </w:p>
    <w:p w:rsidR="003F7375" w:rsidRPr="003F7375" w:rsidRDefault="003F7375" w:rsidP="004458AF">
      <w:pPr>
        <w:pStyle w:val="Numberbullet0"/>
        <w:numPr>
          <w:ilvl w:val="0"/>
          <w:numId w:val="6"/>
        </w:numPr>
      </w:pPr>
      <w:r w:rsidRPr="003F7375">
        <w:t>Poor quality evidence for efficacy- based on raising PK endpoint, PD data, surrogate markers and registry studies</w:t>
      </w:r>
    </w:p>
    <w:p w:rsidR="003F7375" w:rsidRPr="003F7375" w:rsidRDefault="003F7375" w:rsidP="004458AF">
      <w:pPr>
        <w:pStyle w:val="Numberbullet0"/>
        <w:numPr>
          <w:ilvl w:val="0"/>
          <w:numId w:val="6"/>
        </w:numPr>
      </w:pPr>
      <w:r w:rsidRPr="003F7375">
        <w:t>Poorly described safety in terms of immunogenicity.</w:t>
      </w:r>
    </w:p>
    <w:p w:rsidR="003F7375" w:rsidRPr="003F7375" w:rsidRDefault="003F7375" w:rsidP="003F7375">
      <w:pPr>
        <w:pStyle w:val="Heading5"/>
      </w:pPr>
      <w:r w:rsidRPr="003F7375">
        <w:t>Efficacy</w:t>
      </w:r>
    </w:p>
    <w:p w:rsidR="006F1429" w:rsidRDefault="003F7375" w:rsidP="003F7375">
      <w:r w:rsidRPr="003F7375">
        <w:t xml:space="preserve">In other jurisdictions such as the USA, Prolastin C was registered on the basis of an increase in the level of deficient protein above the level considered to cause emphysema </w:t>
      </w:r>
      <w:proofErr w:type="gramStart"/>
      <w:r w:rsidRPr="003F7375">
        <w:t>(11 µM/L)</w:t>
      </w:r>
      <w:proofErr w:type="gramEnd"/>
      <w:r w:rsidRPr="003F7375">
        <w:t>. This level is the level below which patients are likely to develop emphysema (which is below the lower limit of the normal adult level of 20</w:t>
      </w:r>
      <w:r w:rsidR="004A0275">
        <w:t xml:space="preserve"> </w:t>
      </w:r>
      <w:r w:rsidRPr="003F7375">
        <w:t>µM). Although raising the level of a deficient enzyme or substrate is considered to be a relevant marker of efficacy in small populations for a disease associated with a deficiency, there are several concerns in this case. Firstly, not all patients with a deficiency develop emphysema thus other factors are also involved.</w:t>
      </w:r>
      <w:r w:rsidR="00135088">
        <w:t xml:space="preserve"> </w:t>
      </w:r>
      <w:r w:rsidRPr="003F7375">
        <w:t xml:space="preserve">There is a lack of correlation between raising the levels of </w:t>
      </w:r>
      <w:r w:rsidR="004A0275">
        <w:t>alpha</w:t>
      </w:r>
      <w:r w:rsidR="004A0275">
        <w:rPr>
          <w:vertAlign w:val="subscript"/>
        </w:rPr>
        <w:t>1</w:t>
      </w:r>
      <w:r w:rsidR="004A0275">
        <w:t>-PI</w:t>
      </w:r>
      <w:r w:rsidRPr="003F7375">
        <w:t xml:space="preserve"> and clinical markers such as FEV1, symptoms and quality of life</w:t>
      </w:r>
      <w:r w:rsidR="006F1429">
        <w:t>.</w:t>
      </w:r>
    </w:p>
    <w:p w:rsidR="003F7375" w:rsidRPr="003F7375" w:rsidRDefault="003F7375" w:rsidP="003F7375">
      <w:r w:rsidRPr="003F7375">
        <w:lastRenderedPageBreak/>
        <w:t>In recent studies, a small reduction in the loss of CT lung density has been demonstrated. This is considered to be a valid clinical</w:t>
      </w:r>
      <w:r>
        <w:t xml:space="preserve"> endpoint by experts in Europe.</w:t>
      </w:r>
    </w:p>
    <w:p w:rsidR="003F7375" w:rsidRPr="003F7375" w:rsidRDefault="003F7375" w:rsidP="003F7375">
      <w:r w:rsidRPr="003F7375">
        <w:t>Registry studies support an effect on improvements in mortality.</w:t>
      </w:r>
    </w:p>
    <w:p w:rsidR="003F7375" w:rsidRPr="003F7375" w:rsidRDefault="003F7375" w:rsidP="003F7375">
      <w:pPr>
        <w:pStyle w:val="Heading5"/>
      </w:pPr>
      <w:r w:rsidRPr="003F7375">
        <w:t>Safety</w:t>
      </w:r>
    </w:p>
    <w:p w:rsidR="003F7375" w:rsidRPr="003F7375" w:rsidRDefault="003F7375" w:rsidP="003F7375">
      <w:r w:rsidRPr="003F7375">
        <w:t>The main safety concerns relate to infusion reactions, risk of anaphylaxis and a theoretical risk of transmission of infectious disease. This product is given intravenously, thus it comes with the risk of repeated vascular access.</w:t>
      </w:r>
    </w:p>
    <w:p w:rsidR="003F7375" w:rsidRPr="003F7375" w:rsidRDefault="00607220" w:rsidP="003F7375">
      <w:pPr>
        <w:pStyle w:val="Heading5"/>
      </w:pPr>
      <w:r>
        <w:t>Risk-benefit balance</w:t>
      </w:r>
    </w:p>
    <w:p w:rsidR="003F7375" w:rsidRPr="003F7375" w:rsidRDefault="003F7375" w:rsidP="003F7375">
      <w:r w:rsidRPr="003F7375">
        <w:t>This product has been approved for use in other first world countries and appears relatively safe. It has efficacy on a PK and surrogate endpoint, but the evidence for significant changes in clinical endpoints is minimal. The lack of good clinical data to support the efficacy is surprising given the long history of the product.</w:t>
      </w:r>
    </w:p>
    <w:p w:rsidR="003F7375" w:rsidRPr="003F7375" w:rsidRDefault="003F7375" w:rsidP="003F7375">
      <w:pPr>
        <w:pStyle w:val="Heading5"/>
      </w:pPr>
      <w:r w:rsidRPr="003F7375">
        <w:t>Indications</w:t>
      </w:r>
    </w:p>
    <w:p w:rsidR="003F7375" w:rsidRPr="003F7375" w:rsidRDefault="003F7375" w:rsidP="003F7375">
      <w:r w:rsidRPr="003F7375">
        <w:t>The following could be considered based on the wording from other jurisdictions:</w:t>
      </w:r>
    </w:p>
    <w:p w:rsidR="003F7375" w:rsidRPr="003F7375" w:rsidRDefault="003F7375" w:rsidP="003F7375">
      <w:pPr>
        <w:pStyle w:val="ListBullet"/>
      </w:pPr>
      <w:r w:rsidRPr="003F7375">
        <w:t>use in in conjunction with other therapy for emphysema</w:t>
      </w:r>
    </w:p>
    <w:p w:rsidR="003F7375" w:rsidRPr="003F7375" w:rsidRDefault="003F7375" w:rsidP="003F7375">
      <w:pPr>
        <w:pStyle w:val="ListBullet"/>
      </w:pPr>
      <w:r w:rsidRPr="003F7375">
        <w:t>specifying genotype</w:t>
      </w:r>
    </w:p>
    <w:p w:rsidR="003F7375" w:rsidRPr="003F7375" w:rsidRDefault="00607220" w:rsidP="003F7375">
      <w:pPr>
        <w:pStyle w:val="ListBullet"/>
      </w:pPr>
      <w:proofErr w:type="gramStart"/>
      <w:r>
        <w:t>specifying</w:t>
      </w:r>
      <w:proofErr w:type="gramEnd"/>
      <w:r>
        <w:t xml:space="preserve"> severity;</w:t>
      </w:r>
      <w:r w:rsidR="003F7375" w:rsidRPr="003F7375">
        <w:t xml:space="preserve"> clinical trials have shown it is most beneficial where FEV1 is between 35 and 70% (would we then recommend</w:t>
      </w:r>
      <w:r>
        <w:t xml:space="preserve"> stopping P</w:t>
      </w:r>
      <w:r w:rsidR="003F7375">
        <w:t>rolastin</w:t>
      </w:r>
      <w:r>
        <w:t>-C</w:t>
      </w:r>
      <w:r w:rsidR="003F7375">
        <w:t xml:space="preserve"> when FEV1 &lt; </w:t>
      </w:r>
      <w:r w:rsidR="003F7375" w:rsidRPr="003F7375">
        <w:t>35%?)</w:t>
      </w:r>
    </w:p>
    <w:p w:rsidR="003F7375" w:rsidRPr="003F7375" w:rsidRDefault="003F7375" w:rsidP="003F7375">
      <w:pPr>
        <w:pStyle w:val="Heading5"/>
      </w:pPr>
      <w:r w:rsidRPr="003F7375">
        <w:t>RMP</w:t>
      </w:r>
    </w:p>
    <w:p w:rsidR="003F7375" w:rsidRPr="003F7375" w:rsidRDefault="003F7375" w:rsidP="003F7375">
      <w:r>
        <w:t>This needs to be updated.</w:t>
      </w:r>
    </w:p>
    <w:p w:rsidR="003F7375" w:rsidRPr="003F7375" w:rsidRDefault="003F7375" w:rsidP="003F7375">
      <w:pPr>
        <w:pStyle w:val="Heading5"/>
      </w:pPr>
      <w:r w:rsidRPr="003F7375">
        <w:t>Unknown</w:t>
      </w:r>
    </w:p>
    <w:p w:rsidR="003F7375" w:rsidRPr="003F7375" w:rsidRDefault="003F7375" w:rsidP="003F7375">
      <w:pPr>
        <w:pStyle w:val="ListBullet"/>
      </w:pPr>
      <w:r w:rsidRPr="003F7375">
        <w:t>Is a higher dose more efficacious?</w:t>
      </w:r>
    </w:p>
    <w:p w:rsidR="003F7375" w:rsidRPr="003F7375" w:rsidRDefault="003F7375" w:rsidP="003F7375">
      <w:pPr>
        <w:pStyle w:val="ListBullet"/>
      </w:pPr>
      <w:r w:rsidRPr="003F7375">
        <w:t xml:space="preserve">Is targeting </w:t>
      </w:r>
      <w:r w:rsidR="00607220">
        <w:t>alpha</w:t>
      </w:r>
      <w:r w:rsidR="00607220">
        <w:rPr>
          <w:vertAlign w:val="subscript"/>
        </w:rPr>
        <w:t>1</w:t>
      </w:r>
      <w:r w:rsidR="00607220">
        <w:t>-PI</w:t>
      </w:r>
      <w:r w:rsidRPr="003F7375">
        <w:t xml:space="preserve"> levels helpful?</w:t>
      </w:r>
    </w:p>
    <w:p w:rsidR="003F7375" w:rsidRPr="003F7375" w:rsidRDefault="003F7375" w:rsidP="003F7375">
      <w:pPr>
        <w:pStyle w:val="Heading5"/>
      </w:pPr>
      <w:r w:rsidRPr="003F7375">
        <w:t>PI/CMI</w:t>
      </w:r>
    </w:p>
    <w:p w:rsidR="003F7375" w:rsidRPr="003F7375" w:rsidRDefault="003F7375" w:rsidP="003F7375">
      <w:r w:rsidRPr="003F7375">
        <w:t>The need to not smoke needs to be highlighted</w:t>
      </w:r>
      <w:r>
        <w:t>.</w:t>
      </w:r>
    </w:p>
    <w:p w:rsidR="003F7375" w:rsidRPr="003F7375" w:rsidRDefault="003F7375" w:rsidP="003F7375">
      <w:pPr>
        <w:pStyle w:val="Heading5"/>
      </w:pPr>
      <w:r w:rsidRPr="003F7375">
        <w:t>Conditions of registration</w:t>
      </w:r>
    </w:p>
    <w:p w:rsidR="003F7375" w:rsidRPr="003F7375" w:rsidRDefault="003F7375" w:rsidP="004458AF">
      <w:pPr>
        <w:pStyle w:val="Numberbullet0"/>
        <w:numPr>
          <w:ilvl w:val="0"/>
          <w:numId w:val="7"/>
        </w:numPr>
      </w:pPr>
      <w:r w:rsidRPr="003F7375">
        <w:t>Satisfactory RMP</w:t>
      </w:r>
    </w:p>
    <w:p w:rsidR="003F7375" w:rsidRPr="003F7375" w:rsidRDefault="003F7375" w:rsidP="004458AF">
      <w:pPr>
        <w:pStyle w:val="Numberbullet0"/>
        <w:numPr>
          <w:ilvl w:val="0"/>
          <w:numId w:val="7"/>
        </w:numPr>
      </w:pPr>
      <w:r w:rsidRPr="003F7375">
        <w:t xml:space="preserve">Submit the final study report of trial GTi1201: A </w:t>
      </w:r>
      <w:r w:rsidR="00FF08AC" w:rsidRPr="003F7375">
        <w:t xml:space="preserve">randomised double blind placebo controlled study to assess the efficacy and safety of two dose regimen </w:t>
      </w:r>
      <w:r w:rsidRPr="003F7375">
        <w:t>(60</w:t>
      </w:r>
      <w:r w:rsidR="00FF08AC">
        <w:t xml:space="preserve"> </w:t>
      </w:r>
      <w:r w:rsidRPr="003F7375">
        <w:t>mg/kg and 120</w:t>
      </w:r>
      <w:r w:rsidR="00FF08AC">
        <w:t xml:space="preserve"> </w:t>
      </w:r>
      <w:r w:rsidRPr="003F7375">
        <w:t xml:space="preserve">mg/kg) of weekly IV </w:t>
      </w:r>
      <w:r w:rsidR="00FF08AC">
        <w:t>alpha</w:t>
      </w:r>
      <w:r w:rsidR="00FF08AC">
        <w:rPr>
          <w:vertAlign w:val="subscript"/>
        </w:rPr>
        <w:t>1</w:t>
      </w:r>
      <w:r w:rsidR="00FF08AC">
        <w:t>-PI</w:t>
      </w:r>
      <w:r w:rsidRPr="003F7375">
        <w:t xml:space="preserve"> in subjects with p</w:t>
      </w:r>
      <w:r>
        <w:t>ulmonary emphysema due to AATD.</w:t>
      </w:r>
    </w:p>
    <w:p w:rsidR="003F7375" w:rsidRPr="003F7375" w:rsidRDefault="003F7375" w:rsidP="004458AF">
      <w:pPr>
        <w:pStyle w:val="Numberbullet0"/>
        <w:numPr>
          <w:ilvl w:val="0"/>
          <w:numId w:val="7"/>
        </w:numPr>
      </w:pPr>
      <w:r w:rsidRPr="003F7375">
        <w:t>All future variations involving changes to any aspect of the manufacturing process in which data evaluation is required (Category 3 submission) must be accom</w:t>
      </w:r>
      <w:r>
        <w:t>panied by characterization data</w:t>
      </w:r>
      <w:r w:rsidRPr="003F7375">
        <w:t xml:space="preserve"> down to the product level and the specification (both release and shelf life) must meet the appr</w:t>
      </w:r>
      <w:r w:rsidR="00FF08AC">
        <w:t>oved drug product specification</w:t>
      </w:r>
      <w:r w:rsidRPr="003F7375">
        <w:t>.</w:t>
      </w:r>
    </w:p>
    <w:p w:rsidR="003F7375" w:rsidRDefault="00FF08AC" w:rsidP="004458AF">
      <w:pPr>
        <w:pStyle w:val="Numberbullet0"/>
        <w:numPr>
          <w:ilvl w:val="0"/>
          <w:numId w:val="7"/>
        </w:numPr>
      </w:pPr>
      <w:r>
        <w:t>Batch Release Testing and</w:t>
      </w:r>
      <w:r w:rsidR="003F7375" w:rsidRPr="003F7375">
        <w:t xml:space="preserve"> Compliance with Certified Product Details.</w:t>
      </w:r>
    </w:p>
    <w:p w:rsidR="008B06B0" w:rsidRDefault="008B06B0" w:rsidP="008B06B0">
      <w:pPr>
        <w:pStyle w:val="Heading5"/>
      </w:pPr>
      <w:r>
        <w:t>Summary</w:t>
      </w:r>
    </w:p>
    <w:p w:rsidR="008B06B0" w:rsidRPr="008B06B0" w:rsidRDefault="00811058" w:rsidP="004458AF">
      <w:pPr>
        <w:pStyle w:val="Numberbullet0"/>
        <w:numPr>
          <w:ilvl w:val="0"/>
          <w:numId w:val="8"/>
        </w:numPr>
      </w:pPr>
      <w:r>
        <w:t xml:space="preserve">Prolastin –C is an </w:t>
      </w:r>
      <w:r w:rsidR="008B06B0" w:rsidRPr="008B06B0">
        <w:t>orphan drug for rare disease</w:t>
      </w:r>
    </w:p>
    <w:p w:rsidR="008B06B0" w:rsidRPr="008B06B0" w:rsidRDefault="008B06B0" w:rsidP="004458AF">
      <w:pPr>
        <w:pStyle w:val="Numberbullet0"/>
        <w:numPr>
          <w:ilvl w:val="0"/>
          <w:numId w:val="8"/>
        </w:numPr>
      </w:pPr>
      <w:r w:rsidRPr="008B06B0">
        <w:t>No similar product is available on the Australian market</w:t>
      </w:r>
    </w:p>
    <w:p w:rsidR="008B06B0" w:rsidRPr="008B06B0" w:rsidRDefault="008B06B0" w:rsidP="004458AF">
      <w:pPr>
        <w:pStyle w:val="Numberbullet0"/>
        <w:numPr>
          <w:ilvl w:val="0"/>
          <w:numId w:val="8"/>
        </w:numPr>
      </w:pPr>
      <w:r w:rsidRPr="008B06B0">
        <w:t xml:space="preserve">Prolastin has been approved for use in USA for over </w:t>
      </w:r>
      <w:r w:rsidR="00363A2B" w:rsidRPr="008B06B0">
        <w:t>2</w:t>
      </w:r>
      <w:r w:rsidR="00363A2B">
        <w:t>5</w:t>
      </w:r>
      <w:r w:rsidR="00363A2B" w:rsidRPr="008B06B0">
        <w:t xml:space="preserve"> </w:t>
      </w:r>
      <w:r w:rsidRPr="008B06B0">
        <w:t xml:space="preserve">years. Regulatory approval was based upon raising </w:t>
      </w:r>
      <w:r w:rsidR="00FF08AC">
        <w:t>alpha</w:t>
      </w:r>
      <w:r w:rsidR="00FF08AC">
        <w:rPr>
          <w:vertAlign w:val="subscript"/>
        </w:rPr>
        <w:t>1</w:t>
      </w:r>
      <w:r w:rsidR="00811058">
        <w:t>-PI</w:t>
      </w:r>
      <w:r w:rsidR="00FF08AC" w:rsidRPr="008B06B0">
        <w:t xml:space="preserve"> </w:t>
      </w:r>
      <w:r w:rsidRPr="008B06B0">
        <w:t>levels</w:t>
      </w:r>
    </w:p>
    <w:p w:rsidR="008B06B0" w:rsidRPr="008B06B0" w:rsidRDefault="008B06B0" w:rsidP="004458AF">
      <w:pPr>
        <w:pStyle w:val="Numberbullet0"/>
        <w:numPr>
          <w:ilvl w:val="0"/>
          <w:numId w:val="8"/>
        </w:numPr>
      </w:pPr>
      <w:r w:rsidRPr="008B06B0">
        <w:lastRenderedPageBreak/>
        <w:t xml:space="preserve">The evidence for efficacy in the pivotal clinical trial is based on a surrogate endpoint (lung density on CT). For another </w:t>
      </w:r>
      <w:r w:rsidR="00FF08AC">
        <w:t>alpha</w:t>
      </w:r>
      <w:r w:rsidR="00FF08AC">
        <w:rPr>
          <w:vertAlign w:val="subscript"/>
        </w:rPr>
        <w:t>1</w:t>
      </w:r>
      <w:r w:rsidR="00FF08AC">
        <w:t>-PI</w:t>
      </w:r>
      <w:r w:rsidRPr="008B06B0">
        <w:t>, this endpoint was evaluated by an expert working group of the EMA and ac</w:t>
      </w:r>
      <w:r w:rsidR="00811058">
        <w:t>cepted as a regulatory endpoint</w:t>
      </w:r>
    </w:p>
    <w:p w:rsidR="008B06B0" w:rsidRPr="008B06B0" w:rsidRDefault="008B06B0" w:rsidP="004458AF">
      <w:pPr>
        <w:pStyle w:val="Numberbullet0"/>
        <w:numPr>
          <w:ilvl w:val="0"/>
          <w:numId w:val="8"/>
        </w:numPr>
      </w:pPr>
      <w:r w:rsidRPr="008B06B0">
        <w:t>For Prolastin/Prolastin-C, there is supportive evidence from long term registries on mortality</w:t>
      </w:r>
    </w:p>
    <w:p w:rsidR="008B06B0" w:rsidRPr="008B06B0" w:rsidRDefault="008B06B0" w:rsidP="004458AF">
      <w:pPr>
        <w:pStyle w:val="Numberbullet0"/>
        <w:numPr>
          <w:ilvl w:val="0"/>
          <w:numId w:val="8"/>
        </w:numPr>
      </w:pPr>
      <w:r w:rsidRPr="008B06B0">
        <w:t xml:space="preserve">No major safety concerns have been identified over the past </w:t>
      </w:r>
      <w:r w:rsidR="00363A2B">
        <w:t xml:space="preserve">25 </w:t>
      </w:r>
      <w:r w:rsidRPr="008B06B0">
        <w:t>years of use</w:t>
      </w:r>
      <w:r w:rsidR="00FF08AC">
        <w:t>.</w:t>
      </w:r>
    </w:p>
    <w:p w:rsidR="00D23139" w:rsidRDefault="00D23139" w:rsidP="00D23139">
      <w:pPr>
        <w:pStyle w:val="Heading4"/>
      </w:pPr>
      <w:r w:rsidRPr="00D23139">
        <w:t>Proposed action</w:t>
      </w:r>
    </w:p>
    <w:p w:rsidR="003F7375" w:rsidRPr="003F7375" w:rsidRDefault="003F7375" w:rsidP="003F7375">
      <w:r>
        <w:rPr>
          <w:rFonts w:asciiTheme="minorHAnsi" w:hAnsiTheme="minorHAnsi"/>
          <w:bCs/>
        </w:rPr>
        <w:t>The Delegate had</w:t>
      </w:r>
      <w:r w:rsidRPr="00C80339">
        <w:rPr>
          <w:rFonts w:asciiTheme="minorHAnsi" w:hAnsiTheme="minorHAnsi"/>
          <w:bCs/>
        </w:rPr>
        <w:t xml:space="preserve"> no reason to say, at this time, that the application for </w:t>
      </w:r>
      <w:r w:rsidR="00FF08AC">
        <w:rPr>
          <w:rFonts w:asciiTheme="minorHAnsi" w:hAnsiTheme="minorHAnsi"/>
          <w:bCs/>
        </w:rPr>
        <w:t>Prolastin-</w:t>
      </w:r>
      <w:r>
        <w:rPr>
          <w:rFonts w:asciiTheme="minorHAnsi" w:hAnsiTheme="minorHAnsi"/>
          <w:bCs/>
        </w:rPr>
        <w:t>C</w:t>
      </w:r>
      <w:r w:rsidRPr="00C80339">
        <w:rPr>
          <w:rFonts w:asciiTheme="minorHAnsi" w:hAnsiTheme="minorHAnsi"/>
          <w:bCs/>
        </w:rPr>
        <w:t xml:space="preserve"> should not be approved for registration.</w:t>
      </w:r>
    </w:p>
    <w:p w:rsidR="00D23139" w:rsidRDefault="00D23139" w:rsidP="00D23139">
      <w:pPr>
        <w:pStyle w:val="Heading4"/>
      </w:pPr>
      <w:r w:rsidRPr="00D23139">
        <w:t>Request for ACPM advice</w:t>
      </w:r>
    </w:p>
    <w:p w:rsidR="008B06B0" w:rsidRPr="008B06B0" w:rsidRDefault="008B06B0" w:rsidP="008B06B0">
      <w:r w:rsidRPr="008B06B0">
        <w:t>The committee is requested to provide advice on any issues that it thinks may be relevant to a decision on whether or not to approve this application.</w:t>
      </w:r>
    </w:p>
    <w:p w:rsidR="006F4749" w:rsidRDefault="00D23139" w:rsidP="00D23139">
      <w:pPr>
        <w:pStyle w:val="Heading4"/>
      </w:pPr>
      <w:r w:rsidRPr="00D23139">
        <w:t>Response from Sponsor</w:t>
      </w:r>
    </w:p>
    <w:p w:rsidR="008B06B0" w:rsidRPr="008B06B0" w:rsidRDefault="008B06B0" w:rsidP="004458AF">
      <w:pPr>
        <w:pStyle w:val="Numberbullet0"/>
        <w:numPr>
          <w:ilvl w:val="0"/>
          <w:numId w:val="9"/>
        </w:numPr>
        <w:rPr>
          <w:i/>
        </w:rPr>
      </w:pPr>
      <w:r w:rsidRPr="008B06B0">
        <w:rPr>
          <w:i/>
        </w:rPr>
        <w:t>The non-clinical evaluation which requires comment from the sponsor in its pre-ACPM response is regarding the overall quality of the nonclinical data set was low and the scope was extremely limited. Due to the numerous serious deficiencies in the repeat dose toxicity programme evidence of safety has not been properly demonstrated in laboratory animal species, and potential toxicity neither identified nor well characterized. In addition comments were made regarding the lack of toxicology data.</w:t>
      </w:r>
    </w:p>
    <w:p w:rsidR="008B06B0" w:rsidRDefault="008B06B0" w:rsidP="008B06B0">
      <w:proofErr w:type="spellStart"/>
      <w:r w:rsidRPr="008B06B0">
        <w:t>Grifols</w:t>
      </w:r>
      <w:proofErr w:type="spellEnd"/>
      <w:r w:rsidRPr="008B06B0">
        <w:t xml:space="preserve"> recognizes that the data submitted in </w:t>
      </w:r>
      <w:r w:rsidR="00802489">
        <w:t>the nonclinical dossier</w:t>
      </w:r>
      <w:r>
        <w:t xml:space="preserve"> was not generally compliant </w:t>
      </w:r>
      <w:r w:rsidRPr="008B06B0">
        <w:t>with ICH S6. The ICH S6 guideline was finali</w:t>
      </w:r>
      <w:r>
        <w:t xml:space="preserve">zed in July 1997. The precursor </w:t>
      </w:r>
      <w:r w:rsidRPr="008B06B0">
        <w:t xml:space="preserve">product, Prolastin, was originally licensed in 1987. Therefore, most of the </w:t>
      </w:r>
      <w:r>
        <w:t xml:space="preserve">studies </w:t>
      </w:r>
      <w:r w:rsidRPr="008B06B0">
        <w:t>conducted pre-date the ICH guideline. The change to</w:t>
      </w:r>
      <w:r>
        <w:t xml:space="preserve"> Prolastin-C in 2008 involved a </w:t>
      </w:r>
      <w:r w:rsidRPr="008B06B0">
        <w:t>modification to the manufacturing process. Until tha</w:t>
      </w:r>
      <w:r>
        <w:t xml:space="preserve">t time, Prolastin had been used </w:t>
      </w:r>
      <w:r w:rsidRPr="008B06B0">
        <w:t xml:space="preserve">clinically in humans for over </w:t>
      </w:r>
      <w:r w:rsidR="00363A2B" w:rsidRPr="008B06B0">
        <w:t>2</w:t>
      </w:r>
      <w:r w:rsidR="00363A2B">
        <w:t>5</w:t>
      </w:r>
      <w:r w:rsidR="00363A2B" w:rsidRPr="008B06B0">
        <w:t xml:space="preserve"> </w:t>
      </w:r>
      <w:r w:rsidRPr="008B06B0">
        <w:t>years. Pre-clinical studies conducted for Prolas</w:t>
      </w:r>
      <w:r>
        <w:t xml:space="preserve">tin-C </w:t>
      </w:r>
      <w:r w:rsidRPr="008B06B0">
        <w:t xml:space="preserve">were designed to focus on the process change, as </w:t>
      </w:r>
      <w:r w:rsidR="00FF08AC">
        <w:t>alpha</w:t>
      </w:r>
      <w:r w:rsidR="00FF08AC">
        <w:rPr>
          <w:vertAlign w:val="subscript"/>
        </w:rPr>
        <w:t>1</w:t>
      </w:r>
      <w:r w:rsidR="00FF08AC">
        <w:t xml:space="preserve">-PI </w:t>
      </w:r>
      <w:r>
        <w:t xml:space="preserve">was </w:t>
      </w:r>
      <w:r w:rsidRPr="008B06B0">
        <w:t>not considered a new product. Prolastin-C manufac</w:t>
      </w:r>
      <w:r>
        <w:t xml:space="preserve">tured with the modified process </w:t>
      </w:r>
      <w:r w:rsidRPr="008B06B0">
        <w:t>has now been used clinically in humans for over 8 years</w:t>
      </w:r>
      <w:r>
        <w:t xml:space="preserve">. Safety of the product is well </w:t>
      </w:r>
      <w:r w:rsidRPr="008B06B0">
        <w:t xml:space="preserve">characterized and well understood as demonstrated by </w:t>
      </w:r>
      <w:r>
        <w:t xml:space="preserve">controlled clinical studies and </w:t>
      </w:r>
      <w:r w:rsidRPr="008B06B0">
        <w:t>long term clinical use. Prolastin-C and its bioequiva</w:t>
      </w:r>
      <w:r>
        <w:t xml:space="preserve">lent precursor, Prolastin, have </w:t>
      </w:r>
      <w:r w:rsidRPr="008B06B0">
        <w:t>been marketed in countries with sophistic</w:t>
      </w:r>
      <w:r>
        <w:t xml:space="preserve">ated systems for post marketing </w:t>
      </w:r>
      <w:r w:rsidRPr="008B06B0">
        <w:t>surveillance for nearly 30 years.</w:t>
      </w:r>
    </w:p>
    <w:p w:rsidR="008B06B0" w:rsidRPr="008B06B0" w:rsidRDefault="008B06B0" w:rsidP="008B06B0">
      <w:r w:rsidRPr="008B06B0">
        <w:t>It should also be noted that additional data was added to the submission during the</w:t>
      </w:r>
      <w:r>
        <w:t xml:space="preserve"> </w:t>
      </w:r>
      <w:r w:rsidR="00FF08AC">
        <w:t>pre-evaluation</w:t>
      </w:r>
      <w:r w:rsidRPr="008B06B0">
        <w:t xml:space="preserve"> responses which provided mor</w:t>
      </w:r>
      <w:r>
        <w:t>e informati</w:t>
      </w:r>
      <w:r w:rsidR="00FF08AC">
        <w:t>on. The non</w:t>
      </w:r>
      <w:r>
        <w:t xml:space="preserve">clinical </w:t>
      </w:r>
      <w:r w:rsidRPr="008B06B0">
        <w:t>data have also been addressed in the RMP Part II SII.</w:t>
      </w:r>
    </w:p>
    <w:p w:rsidR="008B06B0" w:rsidRPr="008B06B0" w:rsidRDefault="008B06B0" w:rsidP="008B06B0">
      <w:pPr>
        <w:pStyle w:val="Numberbullet0"/>
        <w:rPr>
          <w:i/>
        </w:rPr>
      </w:pPr>
      <w:r w:rsidRPr="008B06B0">
        <w:rPr>
          <w:i/>
        </w:rPr>
        <w:t>Comments concerning the efficacy of the product based on raising PK endpoint, PD data, surrogate markers and registry studies.</w:t>
      </w:r>
    </w:p>
    <w:p w:rsidR="008B06B0" w:rsidRPr="008B06B0" w:rsidRDefault="008B06B0" w:rsidP="008B06B0">
      <w:r w:rsidRPr="008B06B0">
        <w:t>Efficacy has been demonstrated for Prolasti</w:t>
      </w:r>
      <w:r>
        <w:t xml:space="preserve">n-C in the bioequivalence study </w:t>
      </w:r>
      <w:r w:rsidRPr="008B06B0">
        <w:t xml:space="preserve">performed using a comparison of </w:t>
      </w:r>
      <w:proofErr w:type="spellStart"/>
      <w:r w:rsidRPr="008B06B0">
        <w:t>Prolastin</w:t>
      </w:r>
      <w:proofErr w:type="spellEnd"/>
      <w:r w:rsidRPr="008B06B0">
        <w:t xml:space="preserve"> to </w:t>
      </w:r>
      <w:proofErr w:type="spellStart"/>
      <w:r w:rsidRPr="008B06B0">
        <w:t>Prolastin</w:t>
      </w:r>
      <w:proofErr w:type="spellEnd"/>
      <w:r w:rsidRPr="008B06B0">
        <w:t xml:space="preserve">-C in the </w:t>
      </w:r>
      <w:proofErr w:type="spellStart"/>
      <w:r w:rsidRPr="008B06B0">
        <w:t>ChAMP</w:t>
      </w:r>
      <w:proofErr w:type="spellEnd"/>
      <w:r w:rsidRPr="008B06B0">
        <w:t xml:space="preserve"> PK </w:t>
      </w:r>
      <w:r>
        <w:t xml:space="preserve">study </w:t>
      </w:r>
      <w:r w:rsidRPr="008B06B0">
        <w:t xml:space="preserve">previously provided. As Prolastin has a history as a </w:t>
      </w:r>
      <w:r>
        <w:t xml:space="preserve">safe and efficacious product in </w:t>
      </w:r>
      <w:r w:rsidRPr="008B06B0">
        <w:t>the US and Canada, the bioequivalence stud</w:t>
      </w:r>
      <w:r>
        <w:t xml:space="preserve">y demonstrates that the process </w:t>
      </w:r>
      <w:r w:rsidRPr="008B06B0">
        <w:t>change for Prolastin-C continues to provide a s</w:t>
      </w:r>
      <w:r>
        <w:t xml:space="preserve">afe and efficacious product. In </w:t>
      </w:r>
      <w:r w:rsidRPr="008B06B0">
        <w:t xml:space="preserve">addition, there are three additional </w:t>
      </w:r>
      <w:r w:rsidR="00FF08AC">
        <w:t>alpha</w:t>
      </w:r>
      <w:r w:rsidR="00FF08AC">
        <w:rPr>
          <w:vertAlign w:val="subscript"/>
        </w:rPr>
        <w:t>1</w:t>
      </w:r>
      <w:r w:rsidR="00FF08AC">
        <w:t>-PI</w:t>
      </w:r>
      <w:r w:rsidRPr="008B06B0">
        <w:t xml:space="preserve"> produc</w:t>
      </w:r>
      <w:r>
        <w:t>ts marketed in the US (</w:t>
      </w:r>
      <w:proofErr w:type="spellStart"/>
      <w:r>
        <w:t>Aralast</w:t>
      </w:r>
      <w:proofErr w:type="spellEnd"/>
      <w:r>
        <w:t xml:space="preserve">, </w:t>
      </w:r>
      <w:proofErr w:type="spellStart"/>
      <w:r w:rsidRPr="008B06B0">
        <w:t>Zemaira</w:t>
      </w:r>
      <w:proofErr w:type="spellEnd"/>
      <w:r w:rsidRPr="008B06B0">
        <w:t xml:space="preserve"> and </w:t>
      </w:r>
      <w:proofErr w:type="spellStart"/>
      <w:r w:rsidRPr="008B06B0">
        <w:t>Glassia</w:t>
      </w:r>
      <w:proofErr w:type="spellEnd"/>
      <w:r w:rsidRPr="008B06B0">
        <w:t>) that achieved licensure b</w:t>
      </w:r>
      <w:r>
        <w:t xml:space="preserve">y way of comparative PK studies </w:t>
      </w:r>
      <w:r w:rsidRPr="008B06B0">
        <w:t>where Prolastin was used as the control article</w:t>
      </w:r>
      <w:r>
        <w:t xml:space="preserve">. Please refer to the responses </w:t>
      </w:r>
      <w:r w:rsidRPr="008B06B0">
        <w:t>previously provided that includes the clinical r</w:t>
      </w:r>
      <w:r>
        <w:t xml:space="preserve">esponses that were submitted in </w:t>
      </w:r>
      <w:r w:rsidRPr="008B06B0">
        <w:t>January 2014. Both products, Prolastin and Prolast</w:t>
      </w:r>
      <w:r w:rsidR="00FF08AC">
        <w:t>in-C have more than 25 </w:t>
      </w:r>
      <w:r>
        <w:t xml:space="preserve">years of </w:t>
      </w:r>
      <w:r w:rsidRPr="008B06B0">
        <w:t>treatment with a good safety profile.</w:t>
      </w:r>
    </w:p>
    <w:p w:rsidR="008B06B0" w:rsidRPr="008B06B0" w:rsidRDefault="008B06B0" w:rsidP="008B06B0">
      <w:pPr>
        <w:pStyle w:val="Numberbullet0"/>
        <w:rPr>
          <w:i/>
        </w:rPr>
      </w:pPr>
      <w:r w:rsidRPr="008B06B0">
        <w:rPr>
          <w:i/>
        </w:rPr>
        <w:lastRenderedPageBreak/>
        <w:t>Comments concerning the safety of the product in addition to the safety in terms of immunogenicity.</w:t>
      </w:r>
    </w:p>
    <w:p w:rsidR="008B06B0" w:rsidRPr="008B06B0" w:rsidRDefault="008B06B0" w:rsidP="008B06B0">
      <w:r w:rsidRPr="008B06B0">
        <w:t xml:space="preserve">As discussed </w:t>
      </w:r>
      <w:r w:rsidR="00811058">
        <w:t>(</w:t>
      </w:r>
      <w:r w:rsidRPr="008B06B0">
        <w:t xml:space="preserve">during the teleconference with the </w:t>
      </w:r>
      <w:r>
        <w:t>TGA</w:t>
      </w:r>
      <w:r w:rsidR="00811058">
        <w:t>)</w:t>
      </w:r>
      <w:r>
        <w:t xml:space="preserve">, immunogenicity testing was </w:t>
      </w:r>
      <w:r w:rsidRPr="008B06B0">
        <w:t>performed during clinical trials and confirmed no</w:t>
      </w:r>
      <w:r>
        <w:t xml:space="preserve"> positive neutralizing antibody </w:t>
      </w:r>
      <w:r w:rsidR="00FF08AC">
        <w:t>responses. The clinical S</w:t>
      </w:r>
      <w:r w:rsidRPr="008B06B0">
        <w:t>tudy 11816-ChAMP a</w:t>
      </w:r>
      <w:r w:rsidR="00FF08AC">
        <w:t>nd S</w:t>
      </w:r>
      <w:r>
        <w:t xml:space="preserve">tudy 11815-STAMP as well as </w:t>
      </w:r>
      <w:r w:rsidRPr="008B06B0">
        <w:t xml:space="preserve">the integrated </w:t>
      </w:r>
      <w:r w:rsidR="00FF08AC" w:rsidRPr="008B06B0">
        <w:t xml:space="preserve">summary of safety </w:t>
      </w:r>
      <w:r w:rsidRPr="008B06B0">
        <w:t>provided all of</w:t>
      </w:r>
      <w:r>
        <w:t xml:space="preserve"> the immunogenicity results. In </w:t>
      </w:r>
      <w:r w:rsidRPr="008B06B0">
        <w:t>addition characterization testing will be performed twic</w:t>
      </w:r>
      <w:r>
        <w:t xml:space="preserve">e per year and </w:t>
      </w:r>
      <w:proofErr w:type="spellStart"/>
      <w:r>
        <w:t>Grifols</w:t>
      </w:r>
      <w:proofErr w:type="spellEnd"/>
      <w:r>
        <w:t xml:space="preserve"> will add </w:t>
      </w:r>
      <w:r w:rsidRPr="008B06B0">
        <w:t>an evaluation of glycosylation profiles to this testing. I</w:t>
      </w:r>
      <w:r>
        <w:t xml:space="preserve">soelectric focus testing of the </w:t>
      </w:r>
      <w:r w:rsidRPr="008B06B0">
        <w:t>drug product will continue to be performed when a</w:t>
      </w:r>
      <w:r>
        <w:t xml:space="preserve"> process change is made as part </w:t>
      </w:r>
      <w:r w:rsidRPr="008B06B0">
        <w:t>of the characterization.</w:t>
      </w:r>
    </w:p>
    <w:p w:rsidR="008B06B0" w:rsidRPr="008B06B0" w:rsidRDefault="008B06B0" w:rsidP="008B06B0">
      <w:r w:rsidRPr="008B06B0">
        <w:t>It is important to note that this product has been lic</w:t>
      </w:r>
      <w:r>
        <w:t xml:space="preserve">ensed for approximately 8 years </w:t>
      </w:r>
      <w:r w:rsidRPr="008B06B0">
        <w:t>using the current process and more than 25 years for the precursor product.</w:t>
      </w:r>
    </w:p>
    <w:p w:rsidR="008B06B0" w:rsidRPr="008B06B0" w:rsidRDefault="008B06B0" w:rsidP="008B06B0">
      <w:pPr>
        <w:pStyle w:val="Numberbullet0"/>
        <w:rPr>
          <w:i/>
        </w:rPr>
      </w:pPr>
      <w:r w:rsidRPr="008B06B0">
        <w:rPr>
          <w:i/>
        </w:rPr>
        <w:t>Comments concerning the risk/benefit balance. This product has been approved for use in other first world countries and appears relatively safe. It has efficacy on a PK and surrogate endpoint, but the evidence for significant changes in clinical endpoints is minimal. The lack of good clinical data to support the efficacy is surprising given the long history of the product.</w:t>
      </w:r>
    </w:p>
    <w:p w:rsidR="008B06B0" w:rsidRPr="008B06B0" w:rsidRDefault="008B06B0" w:rsidP="008B06B0">
      <w:r w:rsidRPr="008B06B0">
        <w:t>Please see the response to comment 2 concerni</w:t>
      </w:r>
      <w:r>
        <w:t xml:space="preserve">ng the efficacy of the product. </w:t>
      </w:r>
      <w:r w:rsidRPr="008B06B0">
        <w:t>Since the international birthdate (Dec</w:t>
      </w:r>
      <w:r w:rsidR="00811058">
        <w:t>ember</w:t>
      </w:r>
      <w:r w:rsidRPr="008B06B0">
        <w:t xml:space="preserve"> 1987), </w:t>
      </w:r>
      <w:proofErr w:type="spellStart"/>
      <w:r w:rsidRPr="008B06B0">
        <w:t>Gri</w:t>
      </w:r>
      <w:r w:rsidR="00FF36FE">
        <w:t>fols</w:t>
      </w:r>
      <w:proofErr w:type="spellEnd"/>
      <w:r w:rsidR="00FF36FE">
        <w:t xml:space="preserve"> a</w:t>
      </w:r>
      <w:r>
        <w:t>lpha</w:t>
      </w:r>
      <w:r w:rsidRPr="00FF36FE">
        <w:rPr>
          <w:vertAlign w:val="subscript"/>
        </w:rPr>
        <w:t>1</w:t>
      </w:r>
      <w:r>
        <w:t>-PI (</w:t>
      </w:r>
      <w:proofErr w:type="spellStart"/>
      <w:r>
        <w:t>Prolastin</w:t>
      </w:r>
      <w:proofErr w:type="spellEnd"/>
      <w:r>
        <w:t xml:space="preserve"> and </w:t>
      </w:r>
      <w:r w:rsidRPr="008B06B0">
        <w:t xml:space="preserve">Prolastin-C) has continued to demonstrate a </w:t>
      </w:r>
      <w:r w:rsidR="009D6055" w:rsidRPr="008B06B0">
        <w:t>favoura</w:t>
      </w:r>
      <w:r w:rsidR="009D6055">
        <w:t>ble</w:t>
      </w:r>
      <w:r>
        <w:t xml:space="preserve"> benefit risk ratio. To date, </w:t>
      </w:r>
      <w:r w:rsidR="009D6055" w:rsidRPr="008B06B0">
        <w:t>post marketing</w:t>
      </w:r>
      <w:r w:rsidRPr="008B06B0">
        <w:t xml:space="preserve"> data has not identified a safety issue th</w:t>
      </w:r>
      <w:r>
        <w:t xml:space="preserve">at would alter the benefit risk </w:t>
      </w:r>
      <w:r w:rsidRPr="008B06B0">
        <w:t>ratio. Given the overall quantity and quality of informa</w:t>
      </w:r>
      <w:r>
        <w:t xml:space="preserve">tion, the </w:t>
      </w:r>
      <w:r w:rsidR="009D6055">
        <w:t>favourable</w:t>
      </w:r>
      <w:r>
        <w:t xml:space="preserve"> product </w:t>
      </w:r>
      <w:r w:rsidRPr="008B06B0">
        <w:t>safety profile remains consistent with cumulati</w:t>
      </w:r>
      <w:r>
        <w:t xml:space="preserve">ve experience and the reference </w:t>
      </w:r>
      <w:r w:rsidRPr="008B06B0">
        <w:t xml:space="preserve">safety information as reflected in the product </w:t>
      </w:r>
      <w:r w:rsidR="009D6055" w:rsidRPr="008B06B0">
        <w:t>labelling</w:t>
      </w:r>
      <w:r w:rsidRPr="008B06B0">
        <w:t>.</w:t>
      </w:r>
    </w:p>
    <w:p w:rsidR="008B06B0" w:rsidRPr="008B06B0" w:rsidRDefault="008B06B0" w:rsidP="008B06B0">
      <w:r w:rsidRPr="008B06B0">
        <w:t>Prolastin was initially licensed based on its ability to</w:t>
      </w:r>
      <w:r>
        <w:t xml:space="preserve"> raise lung and serum levels of </w:t>
      </w:r>
      <w:r w:rsidRPr="008B06B0">
        <w:t>alpha</w:t>
      </w:r>
      <w:r w:rsidRPr="00FF36FE">
        <w:rPr>
          <w:vertAlign w:val="subscript"/>
        </w:rPr>
        <w:t>1</w:t>
      </w:r>
      <w:r w:rsidR="00FF36FE">
        <w:noBreakHyphen/>
      </w:r>
      <w:r w:rsidRPr="008B06B0">
        <w:t>PI. At the time, non-invasive monitoring o</w:t>
      </w:r>
      <w:r>
        <w:t xml:space="preserve">f emphysema was conducted using </w:t>
      </w:r>
      <w:r w:rsidRPr="008B06B0">
        <w:t xml:space="preserve">pulmonary function tests, in particular the rate of decline of FEV1. However, FEV1 </w:t>
      </w:r>
      <w:r>
        <w:t xml:space="preserve">is </w:t>
      </w:r>
      <w:r w:rsidRPr="008B06B0">
        <w:t>a measure of both airway wall thickening and colla</w:t>
      </w:r>
      <w:r>
        <w:t xml:space="preserve">pse of the small airways due to </w:t>
      </w:r>
      <w:r w:rsidRPr="008B06B0">
        <w:t xml:space="preserve">loss of elastic recoil in the lung lobes, whereas </w:t>
      </w:r>
      <w:r>
        <w:t xml:space="preserve">lung density is a more specific </w:t>
      </w:r>
      <w:r w:rsidRPr="008B06B0">
        <w:t>reflection of airspace enlargement by alveolar destruction present in emphysema.</w:t>
      </w:r>
    </w:p>
    <w:p w:rsidR="008B06B0" w:rsidRPr="008B06B0" w:rsidRDefault="008B06B0" w:rsidP="008B06B0">
      <w:r w:rsidRPr="008B06B0">
        <w:t>Therefore, FEV1 fails to characterize all aspects of COPD, most notably emphysema</w:t>
      </w:r>
      <w:r>
        <w:t xml:space="preserve"> </w:t>
      </w:r>
      <w:r w:rsidRPr="008B06B0">
        <w:t>and even chronic bronchitis. It has been estimated t</w:t>
      </w:r>
      <w:r>
        <w:t xml:space="preserve">hat hundreds of subjects over a </w:t>
      </w:r>
      <w:r w:rsidRPr="008B06B0">
        <w:t xml:space="preserve">3 to 5 year period would be needed to detect differences in FEV1 </w:t>
      </w:r>
      <w:r>
        <w:t xml:space="preserve">decline. Therefore, </w:t>
      </w:r>
      <w:r w:rsidRPr="008B06B0">
        <w:t>it was considered to be infeasible to conduct an effic</w:t>
      </w:r>
      <w:r>
        <w:t xml:space="preserve">acy study (not only by </w:t>
      </w:r>
      <w:proofErr w:type="spellStart"/>
      <w:r>
        <w:t>Grifols</w:t>
      </w:r>
      <w:proofErr w:type="spellEnd"/>
      <w:r>
        <w:t xml:space="preserve">, </w:t>
      </w:r>
      <w:r w:rsidRPr="008B06B0">
        <w:t>but also other companies in conjunction with re</w:t>
      </w:r>
      <w:r>
        <w:t xml:space="preserve">gulatory bodies such as FDA and </w:t>
      </w:r>
      <w:r w:rsidRPr="008B06B0">
        <w:t>EMEA) with FEV1 as a primary measure of efficacy wit</w:t>
      </w:r>
      <w:r>
        <w:t>h alpha</w:t>
      </w:r>
      <w:r w:rsidRPr="00FF36FE">
        <w:rPr>
          <w:vertAlign w:val="subscript"/>
        </w:rPr>
        <w:t>1</w:t>
      </w:r>
      <w:r>
        <w:t xml:space="preserve">-PI in the treatment of </w:t>
      </w:r>
      <w:r w:rsidRPr="008B06B0">
        <w:t>AATD, particularly as AATD is rare (orphan). Thi</w:t>
      </w:r>
      <w:r>
        <w:t xml:space="preserve">s has led to the development of </w:t>
      </w:r>
      <w:r w:rsidR="00FF36FE">
        <w:t>CT</w:t>
      </w:r>
      <w:r w:rsidRPr="008B06B0">
        <w:t xml:space="preserve"> lung densitometry because </w:t>
      </w:r>
      <w:r>
        <w:t xml:space="preserve">it is a minimally invasive tool </w:t>
      </w:r>
      <w:r w:rsidRPr="008B06B0">
        <w:t>for identifying destructive changes in the lu</w:t>
      </w:r>
      <w:r>
        <w:t xml:space="preserve">ng, which can provide objective </w:t>
      </w:r>
      <w:r w:rsidRPr="008B06B0">
        <w:t>quantification of parenchymal changes.</w:t>
      </w:r>
    </w:p>
    <w:p w:rsidR="008B06B0" w:rsidRPr="008B06B0" w:rsidRDefault="008B06B0" w:rsidP="008B06B0">
      <w:r w:rsidRPr="008B06B0">
        <w:t>More recently, a number of other studies in A</w:t>
      </w:r>
      <w:r>
        <w:t xml:space="preserve">ATD patients have shown that CT </w:t>
      </w:r>
      <w:r w:rsidRPr="008B06B0">
        <w:t>densitometry is an appropriate clinical endpoint and co</w:t>
      </w:r>
      <w:r w:rsidR="00FF36FE">
        <w:t xml:space="preserve">rrelates cross </w:t>
      </w:r>
      <w:proofErr w:type="spellStart"/>
      <w:r>
        <w:t>sectionally</w:t>
      </w:r>
      <w:proofErr w:type="spellEnd"/>
      <w:r>
        <w:t xml:space="preserve"> with </w:t>
      </w:r>
      <w:r w:rsidRPr="008B06B0">
        <w:t>lung function (including FEV1 and the carbon</w:t>
      </w:r>
      <w:r w:rsidR="00FF36FE">
        <w:t xml:space="preserve"> monoxide transfer coefficient (</w:t>
      </w:r>
      <w:r w:rsidRPr="008B06B0">
        <w:t>KCO</w:t>
      </w:r>
      <w:r w:rsidR="00FF36FE">
        <w:t>)</w:t>
      </w:r>
      <w:r>
        <w:t xml:space="preserve">), </w:t>
      </w:r>
      <w:r w:rsidRPr="008B06B0">
        <w:t>health status, exercise capacity, and mortality. In</w:t>
      </w:r>
      <w:r>
        <w:t xml:space="preserve"> addition, the US Food and Drug </w:t>
      </w:r>
      <w:r w:rsidRPr="008B06B0">
        <w:t xml:space="preserve">Administration (FDA) recently accepted serial </w:t>
      </w:r>
      <w:r>
        <w:t xml:space="preserve">lung density measurements by CT </w:t>
      </w:r>
      <w:r w:rsidRPr="008B06B0">
        <w:t>scan as an appropriate clinically meaningful end</w:t>
      </w:r>
      <w:r>
        <w:t xml:space="preserve">point to assess the efficacy of </w:t>
      </w:r>
      <w:r w:rsidRPr="008B06B0">
        <w:t>augmentation therapy with IV alpha</w:t>
      </w:r>
      <w:r w:rsidRPr="00FF36FE">
        <w:rPr>
          <w:vertAlign w:val="subscript"/>
        </w:rPr>
        <w:t>1</w:t>
      </w:r>
      <w:r w:rsidRPr="008B06B0">
        <w:t>-PI products.</w:t>
      </w:r>
    </w:p>
    <w:p w:rsidR="008B06B0" w:rsidRPr="008B06B0" w:rsidRDefault="00811058" w:rsidP="008B06B0">
      <w:r>
        <w:t xml:space="preserve">There are now three placebo </w:t>
      </w:r>
      <w:r w:rsidR="008B06B0" w:rsidRPr="008B06B0">
        <w:t>controlled clinical trials using CT densi</w:t>
      </w:r>
      <w:r w:rsidR="008B06B0">
        <w:t xml:space="preserve">tometry as the </w:t>
      </w:r>
      <w:r w:rsidR="008B06B0" w:rsidRPr="008B06B0">
        <w:t>primary efficacy endpoint. These studies have a</w:t>
      </w:r>
      <w:r w:rsidR="008B06B0">
        <w:t xml:space="preserve">ll demonstrated the efficacy of </w:t>
      </w:r>
      <w:r w:rsidR="008B06B0" w:rsidRPr="008B06B0">
        <w:t>alpha</w:t>
      </w:r>
      <w:r w:rsidR="008B06B0" w:rsidRPr="00FF36FE">
        <w:rPr>
          <w:vertAlign w:val="subscript"/>
        </w:rPr>
        <w:t>1</w:t>
      </w:r>
      <w:r w:rsidR="008B06B0" w:rsidRPr="008B06B0">
        <w:t xml:space="preserve">-PI products in slowing the progression of </w:t>
      </w:r>
      <w:r w:rsidR="008B06B0">
        <w:t xml:space="preserve">lung density loss over time and </w:t>
      </w:r>
      <w:r w:rsidR="008B06B0" w:rsidRPr="008B06B0">
        <w:t>confirmed that it is possible to quantify the extent of emphysema and measure the</w:t>
      </w:r>
      <w:r w:rsidR="008B06B0">
        <w:t xml:space="preserve"> </w:t>
      </w:r>
      <w:r w:rsidR="008B06B0" w:rsidRPr="008B06B0">
        <w:t xml:space="preserve">progressive lung density </w:t>
      </w:r>
      <w:r w:rsidR="008B06B0" w:rsidRPr="008B06B0">
        <w:lastRenderedPageBreak/>
        <w:t>loss with CT lung densitometry</w:t>
      </w:r>
      <w:r w:rsidR="008B06B0">
        <w:t xml:space="preserve"> over a relatively short period </w:t>
      </w:r>
      <w:r w:rsidR="008B06B0" w:rsidRPr="008B06B0">
        <w:t>of time compared to FEV1. As TGA notes, CT dens</w:t>
      </w:r>
      <w:r w:rsidR="00FF36FE">
        <w:t>itometry is ‘</w:t>
      </w:r>
      <w:r w:rsidR="008B06B0">
        <w:t xml:space="preserve">considered to be a </w:t>
      </w:r>
      <w:r w:rsidR="008B06B0" w:rsidRPr="008B06B0">
        <w:t>valid clinical</w:t>
      </w:r>
      <w:r w:rsidR="00FF36FE">
        <w:t xml:space="preserve"> endpoint by experts in Europe.’</w:t>
      </w:r>
    </w:p>
    <w:p w:rsidR="008B06B0" w:rsidRPr="00F84096" w:rsidRDefault="008B06B0" w:rsidP="00F84096">
      <w:pPr>
        <w:pStyle w:val="Numberbullet0"/>
        <w:rPr>
          <w:i/>
        </w:rPr>
      </w:pPr>
      <w:r w:rsidRPr="00F84096">
        <w:rPr>
          <w:i/>
        </w:rPr>
        <w:t>Comments concerning the indications which could be considered based on</w:t>
      </w:r>
      <w:r w:rsidR="00F84096" w:rsidRPr="00F84096">
        <w:rPr>
          <w:i/>
        </w:rPr>
        <w:t xml:space="preserve"> </w:t>
      </w:r>
      <w:r w:rsidRPr="00F84096">
        <w:rPr>
          <w:i/>
        </w:rPr>
        <w:t>the wording from other jurisdictions:</w:t>
      </w:r>
    </w:p>
    <w:p w:rsidR="008B06B0" w:rsidRPr="00F84096" w:rsidRDefault="008B06B0" w:rsidP="00F84096">
      <w:pPr>
        <w:rPr>
          <w:i/>
        </w:rPr>
      </w:pPr>
      <w:r w:rsidRPr="00F84096">
        <w:rPr>
          <w:i/>
        </w:rPr>
        <w:t>Use in conjunction with other therapy for emphysema</w:t>
      </w:r>
    </w:p>
    <w:p w:rsidR="008B06B0" w:rsidRPr="00F84096" w:rsidRDefault="008B06B0" w:rsidP="00F84096">
      <w:proofErr w:type="spellStart"/>
      <w:r w:rsidRPr="00F84096">
        <w:t>Grifols</w:t>
      </w:r>
      <w:proofErr w:type="spellEnd"/>
      <w:r w:rsidRPr="00F84096">
        <w:t xml:space="preserve"> does not currently have this termino</w:t>
      </w:r>
      <w:r w:rsidR="00F84096">
        <w:t xml:space="preserve">logy included in the US Package </w:t>
      </w:r>
      <w:r w:rsidRPr="00F84096">
        <w:t>Insert. If TGA feels this information is necessary to inc</w:t>
      </w:r>
      <w:r w:rsidR="00F84096">
        <w:t xml:space="preserve">lude this clarification </w:t>
      </w:r>
      <w:r w:rsidRPr="00F84096">
        <w:t xml:space="preserve">then </w:t>
      </w:r>
      <w:proofErr w:type="spellStart"/>
      <w:r w:rsidRPr="00F84096">
        <w:t>Grifols</w:t>
      </w:r>
      <w:proofErr w:type="spellEnd"/>
      <w:r w:rsidRPr="00F84096">
        <w:t xml:space="preserve"> agrees to do so.</w:t>
      </w:r>
    </w:p>
    <w:p w:rsidR="008B06B0" w:rsidRPr="00F84096" w:rsidRDefault="008B06B0" w:rsidP="00F84096">
      <w:pPr>
        <w:rPr>
          <w:i/>
        </w:rPr>
      </w:pPr>
      <w:r w:rsidRPr="00F84096">
        <w:rPr>
          <w:i/>
        </w:rPr>
        <w:t>Specifying genotype</w:t>
      </w:r>
    </w:p>
    <w:p w:rsidR="008B06B0" w:rsidRPr="00F84096" w:rsidRDefault="008B06B0" w:rsidP="00F84096">
      <w:proofErr w:type="spellStart"/>
      <w:r w:rsidRPr="00F84096">
        <w:t>Grifols</w:t>
      </w:r>
      <w:proofErr w:type="spellEnd"/>
      <w:r w:rsidRPr="00F84096">
        <w:t xml:space="preserve"> would prefer to not include the phenotyp</w:t>
      </w:r>
      <w:r w:rsidR="00F84096">
        <w:t xml:space="preserve">e information in the indication </w:t>
      </w:r>
      <w:r w:rsidRPr="00F84096">
        <w:t>section. There is the potential that a patient c</w:t>
      </w:r>
      <w:r w:rsidR="00F84096">
        <w:t xml:space="preserve">ould be excluded from using the </w:t>
      </w:r>
      <w:r w:rsidRPr="00F84096">
        <w:t>product if the information is too specific.</w:t>
      </w:r>
    </w:p>
    <w:p w:rsidR="008B06B0" w:rsidRPr="00F84096" w:rsidRDefault="00FF36FE" w:rsidP="00F84096">
      <w:pPr>
        <w:rPr>
          <w:i/>
        </w:rPr>
      </w:pPr>
      <w:r>
        <w:rPr>
          <w:i/>
        </w:rPr>
        <w:t>Specifying severity;</w:t>
      </w:r>
      <w:r w:rsidR="008B06B0" w:rsidRPr="00F84096">
        <w:rPr>
          <w:i/>
        </w:rPr>
        <w:t xml:space="preserve"> clinical trials h</w:t>
      </w:r>
      <w:r w:rsidR="00F84096" w:rsidRPr="00F84096">
        <w:rPr>
          <w:i/>
        </w:rPr>
        <w:t xml:space="preserve">ave shown it is most beneficial </w:t>
      </w:r>
      <w:r w:rsidR="008B06B0" w:rsidRPr="00F84096">
        <w:rPr>
          <w:i/>
        </w:rPr>
        <w:t>where FEV1 is between 35 and 70% (would we then recommend</w:t>
      </w:r>
      <w:r w:rsidR="00F84096" w:rsidRPr="00F84096">
        <w:rPr>
          <w:i/>
        </w:rPr>
        <w:t xml:space="preserve"> </w:t>
      </w:r>
      <w:r w:rsidR="008B06B0" w:rsidRPr="00F84096">
        <w:rPr>
          <w:i/>
        </w:rPr>
        <w:t>stopping Prolastin-C when FEV1 &lt;</w:t>
      </w:r>
      <w:r>
        <w:rPr>
          <w:i/>
        </w:rPr>
        <w:t xml:space="preserve"> 35</w:t>
      </w:r>
      <w:r w:rsidRPr="00F84096">
        <w:rPr>
          <w:i/>
        </w:rPr>
        <w:t>%</w:t>
      </w:r>
      <w:r>
        <w:rPr>
          <w:i/>
        </w:rPr>
        <w:t>?)</w:t>
      </w:r>
    </w:p>
    <w:p w:rsidR="008B06B0" w:rsidRPr="00F84096" w:rsidRDefault="008B06B0" w:rsidP="00F84096">
      <w:proofErr w:type="spellStart"/>
      <w:r w:rsidRPr="00F84096">
        <w:t>Grifols</w:t>
      </w:r>
      <w:proofErr w:type="spellEnd"/>
      <w:r w:rsidRPr="00F84096">
        <w:t xml:space="preserve"> is concerned that the inclusion of stopping rules in th</w:t>
      </w:r>
      <w:r w:rsidR="00F84096">
        <w:t xml:space="preserve">e labelling will </w:t>
      </w:r>
      <w:r w:rsidRPr="00F84096">
        <w:t>prevent patients from therapy that may still der</w:t>
      </w:r>
      <w:r w:rsidR="00F84096">
        <w:t xml:space="preserve">ive benefit. Therefore, </w:t>
      </w:r>
      <w:proofErr w:type="spellStart"/>
      <w:r w:rsidR="00F84096">
        <w:t>Grifols</w:t>
      </w:r>
      <w:proofErr w:type="spellEnd"/>
      <w:r w:rsidR="00F84096">
        <w:t xml:space="preserve"> </w:t>
      </w:r>
      <w:r w:rsidRPr="00F84096">
        <w:t>prefers to include the language in the re</w:t>
      </w:r>
      <w:r w:rsidR="00FF36FE">
        <w:t>commendations for a</w:t>
      </w:r>
      <w:r w:rsidR="00F84096">
        <w:t xml:space="preserve">mendments to </w:t>
      </w:r>
      <w:r w:rsidRPr="00F84096">
        <w:t>the PI to state for the indication… “</w:t>
      </w:r>
      <w:proofErr w:type="gramStart"/>
      <w:r w:rsidRPr="00F84096">
        <w:t>c</w:t>
      </w:r>
      <w:r w:rsidR="00F84096">
        <w:t>linically</w:t>
      </w:r>
      <w:proofErr w:type="gramEnd"/>
      <w:r w:rsidR="00F84096">
        <w:t xml:space="preserve"> significant emphysema </w:t>
      </w:r>
      <w:r w:rsidRPr="00F84096">
        <w:t>(FEV1</w:t>
      </w:r>
      <w:r w:rsidR="00811058">
        <w:t xml:space="preserve"> </w:t>
      </w:r>
      <w:r w:rsidRPr="00F84096">
        <w:t>&lt;</w:t>
      </w:r>
      <w:r w:rsidR="00FF36FE">
        <w:t xml:space="preserve"> </w:t>
      </w:r>
      <w:r w:rsidRPr="00F84096">
        <w:t>80%)”.</w:t>
      </w:r>
    </w:p>
    <w:p w:rsidR="009D6055" w:rsidRPr="009D6055" w:rsidRDefault="00811058" w:rsidP="009D6055">
      <w:pPr>
        <w:pStyle w:val="Numberbullet0"/>
        <w:rPr>
          <w:i/>
        </w:rPr>
      </w:pPr>
      <w:r>
        <w:rPr>
          <w:i/>
        </w:rPr>
        <w:t>Comments concerning the RMP</w:t>
      </w:r>
    </w:p>
    <w:p w:rsidR="009D6055" w:rsidRPr="009D6055" w:rsidRDefault="009D6055" w:rsidP="009D6055">
      <w:r w:rsidRPr="009D6055">
        <w:t xml:space="preserve">An updated risk management plan was provided to </w:t>
      </w:r>
      <w:r>
        <w:t xml:space="preserve">TGA as part of the October 2015 </w:t>
      </w:r>
      <w:r w:rsidRPr="009D6055">
        <w:t>responses and now complies with the format r</w:t>
      </w:r>
      <w:r>
        <w:t xml:space="preserve">equested. Based on the document </w:t>
      </w:r>
      <w:r w:rsidRPr="009D6055">
        <w:t xml:space="preserve">previously provided, </w:t>
      </w:r>
      <w:proofErr w:type="spellStart"/>
      <w:r w:rsidRPr="009D6055">
        <w:t>Grifols</w:t>
      </w:r>
      <w:proofErr w:type="spellEnd"/>
      <w:r w:rsidRPr="009D6055">
        <w:t xml:space="preserve"> considers that the RMP</w:t>
      </w:r>
      <w:r>
        <w:t xml:space="preserve"> meets the requests of the TGA. </w:t>
      </w:r>
      <w:r w:rsidRPr="009D6055">
        <w:t xml:space="preserve">The RMP includes reference to the European </w:t>
      </w:r>
      <w:proofErr w:type="spellStart"/>
      <w:r>
        <w:t>SmPC</w:t>
      </w:r>
      <w:proofErr w:type="spellEnd"/>
      <w:r>
        <w:t xml:space="preserve"> Version 6.1.1, March 2014. </w:t>
      </w:r>
      <w:r w:rsidR="00811058">
        <w:t>Since Prolastin</w:t>
      </w:r>
      <w:r w:rsidR="00811058">
        <w:noBreakHyphen/>
      </w:r>
      <w:r w:rsidRPr="009D6055">
        <w:t xml:space="preserve">C is not registered in Europe, the </w:t>
      </w:r>
      <w:r>
        <w:t>‘</w:t>
      </w:r>
      <w:proofErr w:type="spellStart"/>
      <w:r>
        <w:t>Prolastin</w:t>
      </w:r>
      <w:proofErr w:type="spellEnd"/>
      <w:r>
        <w:t xml:space="preserve">’ </w:t>
      </w:r>
      <w:proofErr w:type="spellStart"/>
      <w:r>
        <w:t>SmPC</w:t>
      </w:r>
      <w:proofErr w:type="spellEnd"/>
      <w:r>
        <w:t xml:space="preserve"> is included in </w:t>
      </w:r>
      <w:r w:rsidRPr="009D6055">
        <w:t xml:space="preserve">Foreign </w:t>
      </w:r>
      <w:r w:rsidR="00811058">
        <w:t>PI</w:t>
      </w:r>
      <w:r w:rsidRPr="009D6055">
        <w:t xml:space="preserve"> under European </w:t>
      </w:r>
      <w:proofErr w:type="spellStart"/>
      <w:r w:rsidRPr="009D6055">
        <w:t>SmPC</w:t>
      </w:r>
      <w:proofErr w:type="spellEnd"/>
      <w:r w:rsidRPr="009D6055">
        <w:t>.</w:t>
      </w:r>
    </w:p>
    <w:p w:rsidR="009D6055" w:rsidRPr="009D6055" w:rsidRDefault="009D6055" w:rsidP="009D6055">
      <w:pPr>
        <w:pStyle w:val="Numberbullet0"/>
        <w:rPr>
          <w:i/>
        </w:rPr>
      </w:pPr>
      <w:r w:rsidRPr="009D6055">
        <w:rPr>
          <w:i/>
        </w:rPr>
        <w:t>Comments concerning the unknown such as:</w:t>
      </w:r>
    </w:p>
    <w:p w:rsidR="009D6055" w:rsidRPr="009D6055" w:rsidRDefault="009D6055" w:rsidP="009D6055">
      <w:pPr>
        <w:rPr>
          <w:i/>
        </w:rPr>
      </w:pPr>
      <w:r w:rsidRPr="009D6055">
        <w:rPr>
          <w:i/>
        </w:rPr>
        <w:t>Is a higher dose more efficacious?</w:t>
      </w:r>
    </w:p>
    <w:p w:rsidR="008B06B0" w:rsidRPr="009D6055" w:rsidRDefault="009D6055" w:rsidP="009D6055">
      <w:r w:rsidRPr="009D6055">
        <w:t xml:space="preserve">Currently, </w:t>
      </w:r>
      <w:proofErr w:type="spellStart"/>
      <w:r w:rsidRPr="009D6055">
        <w:t>Grifols</w:t>
      </w:r>
      <w:proofErr w:type="spellEnd"/>
      <w:r w:rsidRPr="009D6055">
        <w:t xml:space="preserve"> has a clinical trial ongoing (Gti</w:t>
      </w:r>
      <w:r>
        <w:t xml:space="preserve">1201-SPARTA) which compares two </w:t>
      </w:r>
      <w:r w:rsidR="00842AD4">
        <w:t>different doses of a</w:t>
      </w:r>
      <w:r w:rsidRPr="009D6055">
        <w:t>lpha</w:t>
      </w:r>
      <w:r w:rsidRPr="00842AD4">
        <w:rPr>
          <w:vertAlign w:val="subscript"/>
        </w:rPr>
        <w:t>1</w:t>
      </w:r>
      <w:r w:rsidR="00842AD4">
        <w:t>-</w:t>
      </w:r>
      <w:r w:rsidRPr="009D6055">
        <w:t>PI. Augmentation therapy with weekly IV infusions of</w:t>
      </w:r>
      <w:r>
        <w:t xml:space="preserve"> 60 </w:t>
      </w:r>
      <w:r w:rsidRPr="009D6055">
        <w:t>mg/kg alpha</w:t>
      </w:r>
      <w:r w:rsidRPr="00842AD4">
        <w:rPr>
          <w:vertAlign w:val="subscript"/>
        </w:rPr>
        <w:t>1</w:t>
      </w:r>
      <w:r w:rsidRPr="009D6055">
        <w:t>-PI may be sufficient to slow progres</w:t>
      </w:r>
      <w:r>
        <w:t xml:space="preserve">sion of lung density decline in </w:t>
      </w:r>
      <w:r w:rsidRPr="009D6055">
        <w:t>AATD patients; however, whether higher doses are ab</w:t>
      </w:r>
      <w:r>
        <w:t xml:space="preserve">le to provide better protection </w:t>
      </w:r>
      <w:r w:rsidRPr="009D6055">
        <w:t>is currently unknown. There are data indicating</w:t>
      </w:r>
      <w:r>
        <w:t xml:space="preserve"> that severe AATD patients have </w:t>
      </w:r>
      <w:r w:rsidRPr="009D6055">
        <w:t xml:space="preserve">increased concentrations of neutrophils and </w:t>
      </w:r>
      <w:r w:rsidR="00EA1E8B">
        <w:t>neutrophil elastase</w:t>
      </w:r>
      <w:r w:rsidR="00EA1E8B" w:rsidRPr="009D6055">
        <w:t xml:space="preserve"> </w:t>
      </w:r>
      <w:r w:rsidR="00EA1E8B">
        <w:t>(</w:t>
      </w:r>
      <w:r w:rsidRPr="009D6055">
        <w:t>NE</w:t>
      </w:r>
      <w:r w:rsidR="00EA1E8B">
        <w:t>)</w:t>
      </w:r>
      <w:r w:rsidRPr="009D6055">
        <w:t xml:space="preserve"> in th</w:t>
      </w:r>
      <w:r>
        <w:t xml:space="preserve">eir lungs; therefore, increased </w:t>
      </w:r>
      <w:r w:rsidRPr="009D6055">
        <w:t>serum alpha</w:t>
      </w:r>
      <w:r w:rsidRPr="00842AD4">
        <w:rPr>
          <w:vertAlign w:val="subscript"/>
        </w:rPr>
        <w:t>1</w:t>
      </w:r>
      <w:r w:rsidRPr="009D6055">
        <w:t>-PI concentrations may help to c</w:t>
      </w:r>
      <w:r>
        <w:t xml:space="preserve">ombat this increase and provide </w:t>
      </w:r>
      <w:r w:rsidRPr="009D6055">
        <w:t>additional benefit in patients with AATD.</w:t>
      </w:r>
    </w:p>
    <w:p w:rsidR="009D6055" w:rsidRPr="009D6055" w:rsidRDefault="00842AD4" w:rsidP="009D6055">
      <w:pPr>
        <w:rPr>
          <w:i/>
        </w:rPr>
      </w:pPr>
      <w:r>
        <w:rPr>
          <w:i/>
        </w:rPr>
        <w:t>Is targeting alpha</w:t>
      </w:r>
      <w:r w:rsidR="009D6055" w:rsidRPr="00842AD4">
        <w:rPr>
          <w:i/>
          <w:vertAlign w:val="subscript"/>
        </w:rPr>
        <w:t>1</w:t>
      </w:r>
      <w:r w:rsidR="009D6055" w:rsidRPr="009D6055">
        <w:rPr>
          <w:i/>
        </w:rPr>
        <w:t>-PI levels helpful?</w:t>
      </w:r>
    </w:p>
    <w:p w:rsidR="009D6055" w:rsidRPr="009D6055" w:rsidRDefault="009D6055" w:rsidP="009D6055">
      <w:r w:rsidRPr="009D6055">
        <w:t>Based on the discussion above regarding the dosin</w:t>
      </w:r>
      <w:r w:rsidR="00842AD4">
        <w:t>g information of a</w:t>
      </w:r>
      <w:r>
        <w:t>lpha</w:t>
      </w:r>
      <w:r w:rsidRPr="00842AD4">
        <w:rPr>
          <w:vertAlign w:val="subscript"/>
        </w:rPr>
        <w:t>1</w:t>
      </w:r>
      <w:r w:rsidR="00842AD4">
        <w:t>-</w:t>
      </w:r>
      <w:r>
        <w:t xml:space="preserve">PI, the </w:t>
      </w:r>
      <w:r w:rsidRPr="009D6055">
        <w:t xml:space="preserve">approved dosing of 60 mg/kg of </w:t>
      </w:r>
      <w:r w:rsidR="00842AD4">
        <w:t>alpha</w:t>
      </w:r>
      <w:r w:rsidR="00842AD4" w:rsidRPr="00842AD4">
        <w:rPr>
          <w:vertAlign w:val="subscript"/>
        </w:rPr>
        <w:t>1</w:t>
      </w:r>
      <w:r w:rsidR="00842AD4">
        <w:t>-PI</w:t>
      </w:r>
      <w:r w:rsidRPr="009D6055">
        <w:t xml:space="preserve"> slows </w:t>
      </w:r>
      <w:r>
        <w:t xml:space="preserve">the progression of emphysema in </w:t>
      </w:r>
      <w:r w:rsidRPr="009D6055">
        <w:t xml:space="preserve">AATD patients. This shows that targeting 60 mg/kg </w:t>
      </w:r>
      <w:r>
        <w:t xml:space="preserve">weekly is clinically meaningful </w:t>
      </w:r>
      <w:r w:rsidRPr="009D6055">
        <w:t>for patients.</w:t>
      </w:r>
    </w:p>
    <w:p w:rsidR="009D6055" w:rsidRPr="009D6055" w:rsidRDefault="009D6055" w:rsidP="009D6055">
      <w:r w:rsidRPr="009D6055">
        <w:t>The RAPID trial identified the need to explore poten</w:t>
      </w:r>
      <w:r>
        <w:t xml:space="preserve">tial benefits associated with a </w:t>
      </w:r>
      <w:r w:rsidRPr="009D6055">
        <w:t>higher dose/optimal dose for severe AATD patien</w:t>
      </w:r>
      <w:r>
        <w:t xml:space="preserve">ts. The post-hoc pharmacometrics </w:t>
      </w:r>
      <w:r w:rsidRPr="009D6055">
        <w:t>analysis showed that patients with the highest troug</w:t>
      </w:r>
      <w:r>
        <w:t xml:space="preserve">h serum concentration tended to </w:t>
      </w:r>
      <w:r w:rsidRPr="009D6055">
        <w:t>have the slowest annual rates of lung dens</w:t>
      </w:r>
      <w:r>
        <w:t xml:space="preserve">ity loss. The RAPID publication </w:t>
      </w:r>
      <w:r w:rsidRPr="009D6055">
        <w:t>references the SPARK study as data sup</w:t>
      </w:r>
      <w:r>
        <w:t xml:space="preserve">porting higher dose therapy. As </w:t>
      </w:r>
      <w:r w:rsidRPr="009D6055">
        <w:t xml:space="preserve">demonstrated in SPARK, the 120 mg/kg </w:t>
      </w:r>
      <w:r w:rsidR="00842AD4">
        <w:t>alpha</w:t>
      </w:r>
      <w:r w:rsidR="00842AD4">
        <w:rPr>
          <w:vertAlign w:val="subscript"/>
        </w:rPr>
        <w:t>1</w:t>
      </w:r>
      <w:r w:rsidR="00842AD4">
        <w:t xml:space="preserve">-PI </w:t>
      </w:r>
      <w:r>
        <w:t xml:space="preserve">weekly dose was considered to </w:t>
      </w:r>
      <w:r w:rsidRPr="009D6055">
        <w:t xml:space="preserve">be safe and well tolerated as well as provided a favourable physiologic </w:t>
      </w:r>
      <w:r w:rsidR="00842AD4">
        <w:t>alpha</w:t>
      </w:r>
      <w:r w:rsidR="00842AD4">
        <w:rPr>
          <w:vertAlign w:val="subscript"/>
        </w:rPr>
        <w:t>1</w:t>
      </w:r>
      <w:r w:rsidR="00842AD4">
        <w:t>-PI</w:t>
      </w:r>
      <w:r>
        <w:t xml:space="preserve"> serum </w:t>
      </w:r>
      <w:r w:rsidRPr="009D6055">
        <w:t>level than the currently recommended 60 mg/kg dose</w:t>
      </w:r>
      <w:r>
        <w:t xml:space="preserve">. </w:t>
      </w:r>
      <w:proofErr w:type="spellStart"/>
      <w:r>
        <w:t>Grifols</w:t>
      </w:r>
      <w:proofErr w:type="spellEnd"/>
      <w:r>
        <w:t xml:space="preserve"> SPARTA trial will use </w:t>
      </w:r>
      <w:r w:rsidRPr="009D6055">
        <w:t>CT lung densitometry measured at TLC as a primary</w:t>
      </w:r>
      <w:r>
        <w:t xml:space="preserve"> </w:t>
      </w:r>
      <w:r>
        <w:lastRenderedPageBreak/>
        <w:t xml:space="preserve">endpoint, to assess the degree </w:t>
      </w:r>
      <w:r w:rsidRPr="009D6055">
        <w:t>of lung tissue preservation over time. In addition, SPARTA will be the first trial t</w:t>
      </w:r>
      <w:r>
        <w:t xml:space="preserve">o </w:t>
      </w:r>
      <w:r w:rsidRPr="009D6055">
        <w:t>evaluate the efficacy of Prolastin-C at the higher d</w:t>
      </w:r>
      <w:r>
        <w:t xml:space="preserve">ose of 120 mg/kg weekly and the </w:t>
      </w:r>
      <w:r w:rsidRPr="009D6055">
        <w:t xml:space="preserve">standard 60 mg/kg dose vs placebo. This will </w:t>
      </w:r>
      <w:r>
        <w:t xml:space="preserve">allow further assessment of the </w:t>
      </w:r>
      <w:r w:rsidRPr="009D6055">
        <w:t>potential impact of the 120 mg/kg dose on increa</w:t>
      </w:r>
      <w:r>
        <w:t xml:space="preserve">sing serum levels to within the </w:t>
      </w:r>
      <w:r w:rsidRPr="009D6055">
        <w:t>normal range, and slowing the annual rate of lung function decline.</w:t>
      </w:r>
    </w:p>
    <w:p w:rsidR="009D6055" w:rsidRPr="009D6055" w:rsidRDefault="009D6055" w:rsidP="009D6055">
      <w:pPr>
        <w:pStyle w:val="Numberbullet0"/>
        <w:rPr>
          <w:i/>
        </w:rPr>
      </w:pPr>
      <w:r w:rsidRPr="009D6055">
        <w:rPr>
          <w:i/>
        </w:rPr>
        <w:t xml:space="preserve">Comments concerning the PI and CMI as provided in the Delegates </w:t>
      </w:r>
      <w:r w:rsidR="00EA1E8B">
        <w:rPr>
          <w:i/>
        </w:rPr>
        <w:t>o</w:t>
      </w:r>
      <w:r w:rsidRPr="009D6055">
        <w:rPr>
          <w:i/>
        </w:rPr>
        <w:t xml:space="preserve">verview report and the provided </w:t>
      </w:r>
      <w:r w:rsidR="00EA1E8B">
        <w:rPr>
          <w:i/>
        </w:rPr>
        <w:t>a</w:t>
      </w:r>
      <w:r w:rsidRPr="009D6055">
        <w:rPr>
          <w:i/>
        </w:rPr>
        <w:t>ttachment.</w:t>
      </w:r>
    </w:p>
    <w:p w:rsidR="009D6055" w:rsidRPr="009D6055" w:rsidRDefault="009D6055" w:rsidP="009D6055">
      <w:proofErr w:type="spellStart"/>
      <w:r w:rsidRPr="009D6055">
        <w:t>Grifols</w:t>
      </w:r>
      <w:proofErr w:type="spellEnd"/>
      <w:r w:rsidRPr="009D6055">
        <w:t xml:space="preserve"> has evaluated the TGA request</w:t>
      </w:r>
      <w:r>
        <w:t xml:space="preserve">s and an updated PI is provided. </w:t>
      </w:r>
      <w:r w:rsidRPr="009D6055">
        <w:t>The updated PI addresses all of</w:t>
      </w:r>
      <w:r>
        <w:t xml:space="preserve"> </w:t>
      </w:r>
      <w:r w:rsidRPr="009D6055">
        <w:t>the comments provided by the TGA. In additi</w:t>
      </w:r>
      <w:r>
        <w:t xml:space="preserve">on, the CMI has been updated to </w:t>
      </w:r>
      <w:r w:rsidRPr="009D6055">
        <w:t>address the need to highlight that the patient doe</w:t>
      </w:r>
      <w:r>
        <w:t xml:space="preserve">s not need to smoke. An updated </w:t>
      </w:r>
      <w:r w:rsidRPr="009D6055">
        <w:t>annotated CMI is provided</w:t>
      </w:r>
      <w:r>
        <w:t>.</w:t>
      </w:r>
    </w:p>
    <w:p w:rsidR="009D6055" w:rsidRPr="009D6055" w:rsidRDefault="009D6055" w:rsidP="009D6055">
      <w:pPr>
        <w:rPr>
          <w:i/>
        </w:rPr>
      </w:pPr>
      <w:r w:rsidRPr="009D6055">
        <w:rPr>
          <w:i/>
        </w:rPr>
        <w:t>9. Comments concerning the conditions of registration that has been provided by TGA.</w:t>
      </w:r>
    </w:p>
    <w:p w:rsidR="009D6055" w:rsidRPr="009D6055" w:rsidRDefault="009D6055" w:rsidP="009D6055">
      <w:r w:rsidRPr="009D6055">
        <w:rPr>
          <w:i/>
        </w:rPr>
        <w:t>Satisfactory RMP</w:t>
      </w:r>
      <w:r w:rsidRPr="009D6055">
        <w:t>: See the response 6 above.</w:t>
      </w:r>
    </w:p>
    <w:p w:rsidR="009D6055" w:rsidRPr="009D6055" w:rsidRDefault="009D6055" w:rsidP="009D6055">
      <w:r w:rsidRPr="009D6055">
        <w:rPr>
          <w:i/>
        </w:rPr>
        <w:t>Submit the final study report of trial GTi1201</w:t>
      </w:r>
      <w:r w:rsidRPr="009D6055">
        <w:t xml:space="preserve">: </w:t>
      </w:r>
      <w:proofErr w:type="spellStart"/>
      <w:r w:rsidRPr="009D6055">
        <w:t>G</w:t>
      </w:r>
      <w:r>
        <w:t>rifols</w:t>
      </w:r>
      <w:proofErr w:type="spellEnd"/>
      <w:r>
        <w:t xml:space="preserve"> commits to providing the </w:t>
      </w:r>
      <w:r w:rsidRPr="009D6055">
        <w:t>final study report of clinical trial GTi1201.</w:t>
      </w:r>
    </w:p>
    <w:p w:rsidR="008E7846" w:rsidRDefault="008E7846" w:rsidP="008B06B0">
      <w:pPr>
        <w:pStyle w:val="Heading4"/>
      </w:pPr>
      <w:r>
        <w:t>Advisory Committee Considerations</w:t>
      </w:r>
    </w:p>
    <w:p w:rsidR="008E7846" w:rsidRDefault="00D23139" w:rsidP="008E7846">
      <w:pPr>
        <w:rPr>
          <w:bCs/>
        </w:rPr>
      </w:pPr>
      <w:r w:rsidRPr="00D23139">
        <w:rPr>
          <w:bCs/>
        </w:rPr>
        <w:t>The Advisory Committee on Prescription Medicines (ACPM), having considered the evaluations and the Delegate’s overview, as well as the sponsor’s response to these documents, advised the following:</w:t>
      </w:r>
    </w:p>
    <w:p w:rsidR="007B65D7" w:rsidRPr="007B65D7" w:rsidRDefault="007B65D7" w:rsidP="007B65D7">
      <w:r w:rsidRPr="007B65D7">
        <w:t xml:space="preserve">The ACPM concluded that the evidence provided in the sponsor’s submission did not satisfactorily establish the efficacy of </w:t>
      </w:r>
      <w:r w:rsidR="00F634F0">
        <w:t>Prolastin</w:t>
      </w:r>
      <w:r w:rsidRPr="007B65D7">
        <w:t>-C Powder for solution for injection, vial</w:t>
      </w:r>
      <w:r w:rsidR="00842AD4">
        <w:t>s containing 1000 mg of Alpha-1-</w:t>
      </w:r>
      <w:r w:rsidR="00802489">
        <w:t>proteinase inhibitor</w:t>
      </w:r>
      <w:r w:rsidRPr="007B65D7">
        <w:t xml:space="preserve"> for the following indication:</w:t>
      </w:r>
    </w:p>
    <w:p w:rsidR="007B65D7" w:rsidRPr="007B65D7" w:rsidRDefault="00F634F0" w:rsidP="007B65D7">
      <w:pPr>
        <w:ind w:left="720"/>
        <w:rPr>
          <w:i/>
        </w:rPr>
      </w:pPr>
      <w:r>
        <w:rPr>
          <w:i/>
        </w:rPr>
        <w:t>Prolastin</w:t>
      </w:r>
      <w:r w:rsidR="007B65D7" w:rsidRPr="007B65D7">
        <w:rPr>
          <w:i/>
        </w:rPr>
        <w:t>-C is indicated for chronic augmentation therapy of individuals with congenital deficiency of alpha PI (alpha 1 antitrypsin deficiency) with clinically demonstrable emphysema.</w:t>
      </w:r>
    </w:p>
    <w:p w:rsidR="007B65D7" w:rsidRPr="007B65D7" w:rsidRDefault="007B65D7" w:rsidP="007B65D7">
      <w:r w:rsidRPr="007B65D7">
        <w:t>The ACPM taking into account the submitted evidence of pharmaceutical efficacy, safety and quality considered this product to have an overall negative benefit–risk profile.</w:t>
      </w:r>
    </w:p>
    <w:p w:rsidR="007B65D7" w:rsidRPr="007B65D7" w:rsidRDefault="007B65D7" w:rsidP="007B65D7">
      <w:r w:rsidRPr="007B65D7">
        <w:t>In making this recommendation the ACPM</w:t>
      </w:r>
    </w:p>
    <w:p w:rsidR="007B65D7" w:rsidRPr="007B65D7" w:rsidRDefault="007B65D7" w:rsidP="007B65D7">
      <w:pPr>
        <w:pStyle w:val="ListBullet"/>
      </w:pPr>
      <w:proofErr w:type="gramStart"/>
      <w:r w:rsidRPr="007B65D7">
        <w:t>took</w:t>
      </w:r>
      <w:proofErr w:type="gramEnd"/>
      <w:r w:rsidRPr="007B65D7">
        <w:t xml:space="preserve"> a negative view of approval due to the lack of convincing evidence of efficacy on patient-relevant and patient-important endpoints.</w:t>
      </w:r>
    </w:p>
    <w:p w:rsidR="007B65D7" w:rsidRPr="007B65D7" w:rsidRDefault="007B65D7" w:rsidP="007B65D7">
      <w:pPr>
        <w:pStyle w:val="ListBullet"/>
      </w:pPr>
      <w:proofErr w:type="gramStart"/>
      <w:r w:rsidRPr="007B65D7">
        <w:t>noted</w:t>
      </w:r>
      <w:proofErr w:type="gramEnd"/>
      <w:r w:rsidRPr="007B65D7">
        <w:t xml:space="preserve"> that there was some evidence demonstrating a statistically significant reduction in rates of lung density loss, however this evidence was very limited and the impact on lung density considered to be underwhelming.</w:t>
      </w:r>
    </w:p>
    <w:p w:rsidR="007B65D7" w:rsidRPr="007B65D7" w:rsidRDefault="007B65D7" w:rsidP="007B65D7">
      <w:pPr>
        <w:pStyle w:val="ListBullet"/>
      </w:pPr>
      <w:r w:rsidRPr="007B65D7">
        <w:t>noted that regarding secondary endpoints, shortening duration of exacerbations and differences in annual exacerbation rates were non-significant, no benefit was shown through lung function testing and gas exchange, speed of deterioration was not markedly different and overall quality of life (SGRQ scoring) was unchanged.</w:t>
      </w:r>
    </w:p>
    <w:p w:rsidR="007B65D7" w:rsidRPr="007B65D7" w:rsidRDefault="007B65D7" w:rsidP="007B65D7">
      <w:pPr>
        <w:pStyle w:val="ListBullet"/>
      </w:pPr>
      <w:proofErr w:type="gramStart"/>
      <w:r w:rsidRPr="007B65D7">
        <w:t>noted</w:t>
      </w:r>
      <w:proofErr w:type="gramEnd"/>
      <w:r w:rsidRPr="007B65D7">
        <w:t xml:space="preserve"> that the overall benefit-risk assessment was negative. Although the risks associated with Prolastin-C were considered to be relatively minor and uncommon, consisting predominantly of allergic/urticarial type symptoms, the benefits of such treatment have not been proved with biochemical improvement not having been demonstrated to result in a clinically relevant translation of those results into physiological or clinically meaningful outcomes such as increased lung density, improved lung capacity or improved quality of life.</w:t>
      </w:r>
    </w:p>
    <w:p w:rsidR="007B65D7" w:rsidRPr="007B65D7" w:rsidRDefault="007B65D7" w:rsidP="007B65D7">
      <w:r w:rsidRPr="007B65D7">
        <w:t>Advice sought from the Delegate included:</w:t>
      </w:r>
    </w:p>
    <w:p w:rsidR="007B65D7" w:rsidRPr="007B65D7" w:rsidRDefault="007B65D7" w:rsidP="004458AF">
      <w:pPr>
        <w:pStyle w:val="Numberbullet0"/>
        <w:numPr>
          <w:ilvl w:val="0"/>
          <w:numId w:val="10"/>
        </w:numPr>
        <w:rPr>
          <w:i/>
        </w:rPr>
      </w:pPr>
      <w:r w:rsidRPr="007B65D7">
        <w:rPr>
          <w:i/>
        </w:rPr>
        <w:lastRenderedPageBreak/>
        <w:t>Is efficacy adequately established?</w:t>
      </w:r>
    </w:p>
    <w:p w:rsidR="007B65D7" w:rsidRPr="007B65D7" w:rsidRDefault="007B65D7" w:rsidP="007B65D7">
      <w:r w:rsidRPr="007B65D7">
        <w:t>The ACPM did not consider that efficacy was adequately established based on the reasons described above.</w:t>
      </w:r>
    </w:p>
    <w:p w:rsidR="007B65D7" w:rsidRPr="007B65D7" w:rsidRDefault="007B65D7" w:rsidP="007B65D7">
      <w:pPr>
        <w:pStyle w:val="Numberbullet0"/>
        <w:rPr>
          <w:i/>
        </w:rPr>
      </w:pPr>
      <w:r w:rsidRPr="007B65D7">
        <w:rPr>
          <w:i/>
        </w:rPr>
        <w:t>Are amendments to the indications required?</w:t>
      </w:r>
    </w:p>
    <w:p w:rsidR="007B65D7" w:rsidRDefault="007B65D7" w:rsidP="008E7846">
      <w:r w:rsidRPr="007B65D7">
        <w:t>This issue was not addressed given the ACPM were of the opinion that the product should not be approved for registration.</w:t>
      </w:r>
    </w:p>
    <w:p w:rsidR="00442A72" w:rsidRDefault="00442A72" w:rsidP="00442A72">
      <w:pPr>
        <w:pStyle w:val="Heading4"/>
      </w:pPr>
      <w:r>
        <w:t>Delegate’s evaluation of sponsor’s post ACPM response</w:t>
      </w:r>
    </w:p>
    <w:p w:rsidR="00442A72" w:rsidRPr="00442A72" w:rsidRDefault="00442A72" w:rsidP="007C2505">
      <w:r w:rsidRPr="00442A72">
        <w:t>The Sponsor was given the opportunity to respond to t</w:t>
      </w:r>
      <w:r w:rsidR="007C2505">
        <w:t>he ACPM’s advice.</w:t>
      </w:r>
    </w:p>
    <w:p w:rsidR="00442A72" w:rsidRPr="00442A72" w:rsidRDefault="00442A72" w:rsidP="00442A72">
      <w:pPr>
        <w:pStyle w:val="Heading5"/>
      </w:pPr>
      <w:r w:rsidRPr="00442A72">
        <w:t>Conclusions</w:t>
      </w:r>
    </w:p>
    <w:p w:rsidR="00442A72" w:rsidRPr="00442A72" w:rsidRDefault="00802489" w:rsidP="00442A72">
      <w:r>
        <w:t>The s</w:t>
      </w:r>
      <w:r w:rsidR="00442A72" w:rsidRPr="00442A72">
        <w:t>ponsor has clarified the use of CT lung density as an endpoint in studi</w:t>
      </w:r>
      <w:r w:rsidR="00442A72">
        <w:t xml:space="preserve">es of </w:t>
      </w:r>
      <w:r w:rsidR="00FD6181">
        <w:t>alpha</w:t>
      </w:r>
      <w:r w:rsidR="00FD6181">
        <w:rPr>
          <w:vertAlign w:val="subscript"/>
        </w:rPr>
        <w:t>1</w:t>
      </w:r>
      <w:r w:rsidR="00FD6181">
        <w:t>-PI</w:t>
      </w:r>
      <w:r w:rsidR="00442A72">
        <w:t xml:space="preserve"> replacement therapy.</w:t>
      </w:r>
    </w:p>
    <w:p w:rsidR="00442A72" w:rsidRPr="00442A72" w:rsidRDefault="00442A72" w:rsidP="00442A72">
      <w:r w:rsidRPr="00442A72">
        <w:t>Taken together, the results from:</w:t>
      </w:r>
    </w:p>
    <w:p w:rsidR="00442A72" w:rsidRPr="00442A72" w:rsidRDefault="00442A72" w:rsidP="00442A72">
      <w:pPr>
        <w:pStyle w:val="ListBullet"/>
      </w:pPr>
      <w:r w:rsidRPr="00442A72">
        <w:t xml:space="preserve">serum </w:t>
      </w:r>
      <w:r w:rsidR="00FD6181">
        <w:t>alpha</w:t>
      </w:r>
      <w:r w:rsidR="00FD6181">
        <w:rPr>
          <w:vertAlign w:val="subscript"/>
        </w:rPr>
        <w:t>1</w:t>
      </w:r>
      <w:r w:rsidR="00FD6181">
        <w:t>-PI</w:t>
      </w:r>
      <w:r w:rsidR="00802489">
        <w:t xml:space="preserve"> levels from PK studies</w:t>
      </w:r>
    </w:p>
    <w:p w:rsidR="00442A72" w:rsidRPr="00442A72" w:rsidRDefault="00442A72" w:rsidP="00442A72">
      <w:pPr>
        <w:pStyle w:val="ListBullet"/>
      </w:pPr>
      <w:r w:rsidRPr="00442A72">
        <w:t>the EXACTL</w:t>
      </w:r>
      <w:r w:rsidR="00802489">
        <w:t>E randomised study</w:t>
      </w:r>
    </w:p>
    <w:p w:rsidR="00442A72" w:rsidRPr="00442A72" w:rsidRDefault="00442A72" w:rsidP="00442A72">
      <w:pPr>
        <w:pStyle w:val="ListBullet"/>
      </w:pPr>
      <w:r w:rsidRPr="00442A72">
        <w:t xml:space="preserve">the </w:t>
      </w:r>
      <w:r w:rsidR="00802489">
        <w:t>non-randomised registry studies</w:t>
      </w:r>
    </w:p>
    <w:p w:rsidR="00442A72" w:rsidRPr="00442A72" w:rsidRDefault="00442A72" w:rsidP="00442A72">
      <w:proofErr w:type="gramStart"/>
      <w:r w:rsidRPr="00442A72">
        <w:t>provide</w:t>
      </w:r>
      <w:proofErr w:type="gramEnd"/>
      <w:r w:rsidRPr="00442A72">
        <w:t xml:space="preserve"> support for the efficacy of Prolastin</w:t>
      </w:r>
      <w:r>
        <w:t>-C for the proposed usage.</w:t>
      </w:r>
    </w:p>
    <w:p w:rsidR="00442A72" w:rsidRPr="00442A72" w:rsidRDefault="00442A72" w:rsidP="00442A72">
      <w:r w:rsidRPr="00442A72">
        <w:t>It is accepted that these efficacy results are subject to uncertainty. However, this is not unusual for rare diseases. Regulators (globally and in Australia) have set a precedent, for other medicines, of being more tolerant of uncertainty aro</w:t>
      </w:r>
      <w:r w:rsidR="00802489">
        <w:t>und efficacy for rare diseases.</w:t>
      </w:r>
    </w:p>
    <w:p w:rsidR="00442A72" w:rsidRPr="00442A72" w:rsidRDefault="00442A72" w:rsidP="00442A72">
      <w:r w:rsidRPr="00442A72">
        <w:t>The ACPM’s concerns could be addressed by communicating the uncertainty around efficacy to prescribers and patients; via relevan</w:t>
      </w:r>
      <w:r w:rsidR="00802489">
        <w:t>t statements in the PI and CMI.</w:t>
      </w:r>
    </w:p>
    <w:p w:rsidR="00442A72" w:rsidRPr="00442A72" w:rsidRDefault="00802489" w:rsidP="00442A72">
      <w:r>
        <w:t xml:space="preserve">Safety is well </w:t>
      </w:r>
      <w:r w:rsidR="00442A72" w:rsidRPr="00442A72">
        <w:t xml:space="preserve">characterised </w:t>
      </w:r>
      <w:r>
        <w:t>following several years of post-</w:t>
      </w:r>
      <w:r w:rsidRPr="00442A72">
        <w:t>approval</w:t>
      </w:r>
      <w:r w:rsidR="00442A72" w:rsidRPr="00442A72">
        <w:t xml:space="preserve"> use in the U</w:t>
      </w:r>
      <w:r>
        <w:t>SA</w:t>
      </w:r>
      <w:r w:rsidR="00442A72" w:rsidRPr="00442A72">
        <w:t xml:space="preserve"> and Canada. Both counties have sophisticated systems for post-approval surveillance.</w:t>
      </w:r>
    </w:p>
    <w:p w:rsidR="00442A72" w:rsidRPr="00442A72" w:rsidRDefault="00802489" w:rsidP="00442A72">
      <w:r>
        <w:t>The s</w:t>
      </w:r>
      <w:r w:rsidR="00442A72" w:rsidRPr="00442A72">
        <w:t>ponsor’s update o</w:t>
      </w:r>
      <w:r>
        <w:t>n the on</w:t>
      </w:r>
      <w:r w:rsidR="00442A72" w:rsidRPr="00442A72">
        <w:t>going SPARTA trial is also noted. This trial is comparing the efficacy and safety of two doses of Prolastin-C (60 mg/kg and 120 mg/kg) versus placebo. The primary endpoint is lung CT density. The planned sample size is 113 patients per arm or 339 in all; planned follow-up is 3 years. The first patient was recruited in April 2014. As of August 2016, 135 patients had been randomised and 128 were on treatment (24 in Australia).</w:t>
      </w:r>
    </w:p>
    <w:p w:rsidR="008E7846" w:rsidRPr="002E238E" w:rsidRDefault="008E7846" w:rsidP="008E7846">
      <w:pPr>
        <w:pStyle w:val="Heading3"/>
      </w:pPr>
      <w:bookmarkStart w:id="143" w:name="_Toc247691532"/>
      <w:bookmarkStart w:id="144" w:name="_Toc314842516"/>
      <w:bookmarkStart w:id="145" w:name="_Toc497296924"/>
      <w:bookmarkEnd w:id="102"/>
      <w:bookmarkEnd w:id="140"/>
      <w:bookmarkEnd w:id="141"/>
      <w:r>
        <w:t>Outcome</w:t>
      </w:r>
      <w:bookmarkEnd w:id="143"/>
      <w:bookmarkEnd w:id="144"/>
      <w:bookmarkEnd w:id="145"/>
    </w:p>
    <w:p w:rsidR="00D23139" w:rsidRPr="00D23139" w:rsidRDefault="00D23139" w:rsidP="00D23139">
      <w:bookmarkStart w:id="146" w:name="_Toc247691533"/>
      <w:bookmarkStart w:id="147" w:name="_Toc314842517"/>
      <w:r w:rsidRPr="00D23139">
        <w:t xml:space="preserve">Based on a review of quality, safety and efficacy, TGA approved the registration of </w:t>
      </w:r>
      <w:r w:rsidR="00FD6181">
        <w:t>Prolastin-C alpha-1-</w:t>
      </w:r>
      <w:r w:rsidR="00D4150F">
        <w:t>proteinase inhibitor (human) 1000</w:t>
      </w:r>
      <w:r w:rsidR="00FD6181">
        <w:t xml:space="preserve"> </w:t>
      </w:r>
      <w:r w:rsidR="00D4150F">
        <w:t xml:space="preserve">mg powder for injection vial </w:t>
      </w:r>
      <w:r w:rsidR="00FD6181">
        <w:t>(</w:t>
      </w:r>
      <w:r w:rsidR="00D4150F">
        <w:t>with diluent vial</w:t>
      </w:r>
      <w:r w:rsidR="00FD6181">
        <w:t>)</w:t>
      </w:r>
      <w:r w:rsidRPr="00D23139">
        <w:t>, indicated for:</w:t>
      </w:r>
    </w:p>
    <w:p w:rsidR="00D4150F" w:rsidRPr="00BF5E1E" w:rsidRDefault="00D4150F" w:rsidP="00D4150F">
      <w:pPr>
        <w:ind w:left="720"/>
        <w:rPr>
          <w:i/>
        </w:rPr>
      </w:pPr>
      <w:r>
        <w:rPr>
          <w:i/>
        </w:rPr>
        <w:t>Prolastin</w:t>
      </w:r>
      <w:r w:rsidRPr="00BF5E1E">
        <w:rPr>
          <w:i/>
        </w:rPr>
        <w:t>-C is an alpha-1-proteinase inhibitor (human, Alpha1-PI) indicated to increase serum Alpha1-PI levels in adults with congenital deficiency of alpha-1 antitrypsin and with clinically significant emphysema (FEV1 &lt; 80%).</w:t>
      </w:r>
    </w:p>
    <w:p w:rsidR="00D4150F" w:rsidRPr="00BF5E1E" w:rsidRDefault="00D4150F" w:rsidP="00D4150F">
      <w:pPr>
        <w:ind w:left="720"/>
        <w:rPr>
          <w:i/>
        </w:rPr>
      </w:pPr>
      <w:r w:rsidRPr="00BF5E1E">
        <w:rPr>
          <w:i/>
        </w:rPr>
        <w:t xml:space="preserve">The data for clinical efficacy of </w:t>
      </w:r>
      <w:r>
        <w:rPr>
          <w:i/>
        </w:rPr>
        <w:t>Prolastin</w:t>
      </w:r>
      <w:r w:rsidRPr="00BF5E1E">
        <w:rPr>
          <w:i/>
        </w:rPr>
        <w:t>-C is derived from changes in the biomarkers alpha-1 anti-protease level and CT lung density. Efficacy on FEV1 or patient relevant endpoints such as quality of life or pulmonary exacerbations has not been established in randomised clinical trials.</w:t>
      </w:r>
    </w:p>
    <w:p w:rsidR="00D23139" w:rsidRPr="00D23139" w:rsidRDefault="00D4150F" w:rsidP="00D4150F">
      <w:pPr>
        <w:ind w:left="720"/>
      </w:pPr>
      <w:r w:rsidRPr="00BF5E1E">
        <w:rPr>
          <w:i/>
        </w:rPr>
        <w:t>Clinical trials have only included patients who were not smoking.</w:t>
      </w:r>
    </w:p>
    <w:p w:rsidR="00D23139" w:rsidRPr="00D23139" w:rsidRDefault="00D23139" w:rsidP="00D23139">
      <w:pPr>
        <w:pStyle w:val="Heading4"/>
      </w:pPr>
      <w:r w:rsidRPr="00D23139">
        <w:lastRenderedPageBreak/>
        <w:t>Specific conditions of registration applying to these goods</w:t>
      </w:r>
    </w:p>
    <w:p w:rsidR="00D4150F" w:rsidRDefault="00F0609A" w:rsidP="00D4150F">
      <w:pPr>
        <w:pStyle w:val="ListBullet"/>
      </w:pPr>
      <w:r>
        <w:t>The Prolastin-C (</w:t>
      </w:r>
      <w:r w:rsidR="00D4150F" w:rsidRPr="00D4150F">
        <w:t>alpha</w:t>
      </w:r>
      <w:r>
        <w:t>-1-proteinase inhibitor (human))</w:t>
      </w:r>
      <w:r w:rsidR="00D4150F" w:rsidRPr="00D4150F">
        <w:t xml:space="preserve"> EU Risk Management Plan</w:t>
      </w:r>
      <w:r w:rsidR="00D4150F">
        <w:t xml:space="preserve"> </w:t>
      </w:r>
      <w:r w:rsidR="00D4150F" w:rsidRPr="00D4150F">
        <w:t>(RMP), version 1.2, dated 16 October 2015, data lo</w:t>
      </w:r>
      <w:r w:rsidR="00D4150F">
        <w:t xml:space="preserve">ck point (DLP) 31 December 2014 </w:t>
      </w:r>
      <w:r w:rsidR="00D4150F" w:rsidRPr="00D4150F">
        <w:t xml:space="preserve">with Australian Specific Annex version 1.2, </w:t>
      </w:r>
      <w:r w:rsidR="00D4150F">
        <w:t xml:space="preserve">dated 22 December 2015, and any </w:t>
      </w:r>
      <w:r w:rsidR="00D4150F" w:rsidRPr="00D4150F">
        <w:t>subsequent revisions, as agreed with the TGA will be implemented in Australia</w:t>
      </w:r>
      <w:r w:rsidR="00D4150F">
        <w:t>.</w:t>
      </w:r>
    </w:p>
    <w:p w:rsidR="00D4150F" w:rsidRDefault="00D4150F" w:rsidP="00D4150F">
      <w:pPr>
        <w:pStyle w:val="ListBullet"/>
      </w:pPr>
      <w:r w:rsidRPr="00D4150F">
        <w:t xml:space="preserve">Submit the final study report of trial GTi1201: A </w:t>
      </w:r>
      <w:r w:rsidR="00F0609A" w:rsidRPr="00D4150F">
        <w:t>randomised double blind placebo</w:t>
      </w:r>
      <w:r w:rsidR="00F0609A">
        <w:t xml:space="preserve"> </w:t>
      </w:r>
      <w:r w:rsidR="00F0609A" w:rsidRPr="00D4150F">
        <w:t>controlled study to assess the efficacy and safety of</w:t>
      </w:r>
      <w:r w:rsidR="00F0609A">
        <w:t xml:space="preserve"> two dose regimen </w:t>
      </w:r>
      <w:r>
        <w:t xml:space="preserve">(60 mg/kg and </w:t>
      </w:r>
      <w:r w:rsidRPr="00D4150F">
        <w:t xml:space="preserve">120 mg/kg) of weekly IV </w:t>
      </w:r>
      <w:r w:rsidR="00F0609A">
        <w:t>alpha</w:t>
      </w:r>
      <w:r w:rsidR="00F0609A">
        <w:rPr>
          <w:vertAlign w:val="subscript"/>
        </w:rPr>
        <w:t>1</w:t>
      </w:r>
      <w:r w:rsidR="00F0609A">
        <w:t>-PI</w:t>
      </w:r>
      <w:r w:rsidRPr="00D4150F">
        <w:t xml:space="preserve"> in subjects with pulmonary emphysema due to AATD</w:t>
      </w:r>
      <w:r>
        <w:t>.</w:t>
      </w:r>
    </w:p>
    <w:p w:rsidR="00D4150F" w:rsidRDefault="00D4150F" w:rsidP="00D4150F">
      <w:pPr>
        <w:pStyle w:val="ListBullet"/>
      </w:pPr>
      <w:r w:rsidRPr="00D4150F">
        <w:t>All future variations involving changes to any aspect of the manufacturing process in</w:t>
      </w:r>
      <w:r>
        <w:t xml:space="preserve"> </w:t>
      </w:r>
      <w:r w:rsidRPr="00D4150F">
        <w:t>which data evaluation is required (Category 3 sub</w:t>
      </w:r>
      <w:r>
        <w:t xml:space="preserve">mission) must be accompanied by </w:t>
      </w:r>
      <w:r w:rsidRPr="00D4150F">
        <w:t xml:space="preserve">characterisation data down to the product level and the </w:t>
      </w:r>
      <w:r>
        <w:t xml:space="preserve">specification (both release and </w:t>
      </w:r>
      <w:r w:rsidRPr="00D4150F">
        <w:t>shelf life) must meet the approved drug product specification.</w:t>
      </w:r>
    </w:p>
    <w:p w:rsidR="00D4150F" w:rsidRPr="00D4150F" w:rsidRDefault="00D4150F" w:rsidP="009D4F17">
      <w:pPr>
        <w:pStyle w:val="ListBullet"/>
        <w:ind w:left="357" w:hanging="357"/>
      </w:pPr>
      <w:r w:rsidRPr="00D4150F">
        <w:t>Batch Release Testing</w:t>
      </w:r>
    </w:p>
    <w:p w:rsidR="00D4150F" w:rsidRPr="00D4150F" w:rsidRDefault="00D4150F" w:rsidP="009D4F17">
      <w:pPr>
        <w:ind w:left="357"/>
      </w:pPr>
      <w:r w:rsidRPr="00D4150F">
        <w:t>All batches of P</w:t>
      </w:r>
      <w:r w:rsidR="00F0609A" w:rsidRPr="00D4150F">
        <w:t>rolastin</w:t>
      </w:r>
      <w:r w:rsidR="00F0609A">
        <w:t>-</w:t>
      </w:r>
      <w:r w:rsidRPr="00D4150F">
        <w:t xml:space="preserve">C alpha-1-proteinase inhibitor (human) </w:t>
      </w:r>
      <w:r>
        <w:t xml:space="preserve">imported </w:t>
      </w:r>
      <w:r w:rsidRPr="00D4150F">
        <w:t>into/manufactured in Australia must comp</w:t>
      </w:r>
      <w:r>
        <w:t xml:space="preserve">ly with the product details and </w:t>
      </w:r>
      <w:r w:rsidRPr="00D4150F">
        <w:t>specifications approved during evaluation and detailed i</w:t>
      </w:r>
      <w:r>
        <w:t xml:space="preserve">n the Certified Product Details </w:t>
      </w:r>
      <w:r w:rsidRPr="00D4150F">
        <w:t>(CPD).</w:t>
      </w:r>
    </w:p>
    <w:p w:rsidR="00D4150F" w:rsidRPr="00D4150F" w:rsidRDefault="00D4150F" w:rsidP="009D4F17">
      <w:pPr>
        <w:ind w:left="357"/>
      </w:pPr>
      <w:r w:rsidRPr="00D4150F">
        <w:t>Each batch of P</w:t>
      </w:r>
      <w:r w:rsidR="00F0609A" w:rsidRPr="00D4150F">
        <w:t xml:space="preserve">rolastin </w:t>
      </w:r>
      <w:r w:rsidRPr="00D4150F">
        <w:t xml:space="preserve">C alpha-1-proteinase inhibitor (human) </w:t>
      </w:r>
      <w:r>
        <w:t xml:space="preserve">imported </w:t>
      </w:r>
      <w:r w:rsidRPr="00D4150F">
        <w:t>into/manufactured in Australia is not released fo</w:t>
      </w:r>
      <w:r>
        <w:t xml:space="preserve">r sale until samples and/or the </w:t>
      </w:r>
      <w:r w:rsidRPr="00D4150F">
        <w:t xml:space="preserve">manufacturer’s release data have been assessed and </w:t>
      </w:r>
      <w:r>
        <w:t xml:space="preserve">endorsed for release by the TGA </w:t>
      </w:r>
      <w:r w:rsidRPr="00D4150F">
        <w:t>Laboratories Branch</w:t>
      </w:r>
      <w:r w:rsidR="009D4F17">
        <w:t xml:space="preserve">. [further details </w:t>
      </w:r>
      <w:r w:rsidR="007343FA">
        <w:t xml:space="preserve">were </w:t>
      </w:r>
      <w:r w:rsidR="009D4F17">
        <w:t>not included]</w:t>
      </w:r>
    </w:p>
    <w:p w:rsidR="008E7846" w:rsidRDefault="00A80B5B" w:rsidP="00D4150F">
      <w:pPr>
        <w:pStyle w:val="Heading2"/>
      </w:pPr>
      <w:bookmarkStart w:id="148" w:name="_Toc497296925"/>
      <w:proofErr w:type="gramStart"/>
      <w:r>
        <w:t>Attachment 1.</w:t>
      </w:r>
      <w:proofErr w:type="gramEnd"/>
      <w:r>
        <w:t xml:space="preserve"> </w:t>
      </w:r>
      <w:r w:rsidR="008E7846">
        <w:t xml:space="preserve">Product </w:t>
      </w:r>
      <w:r w:rsidR="00AA0ED0">
        <w:t>I</w:t>
      </w:r>
      <w:r w:rsidR="008E7846">
        <w:t>nformation</w:t>
      </w:r>
      <w:bookmarkEnd w:id="146"/>
      <w:bookmarkEnd w:id="147"/>
      <w:bookmarkEnd w:id="148"/>
    </w:p>
    <w:p w:rsidR="00C80137" w:rsidRDefault="006136D7" w:rsidP="00C80137">
      <w:pPr>
        <w:rPr>
          <w:color w:val="000000"/>
          <w:lang w:eastAsia="en-AU"/>
        </w:rPr>
      </w:pPr>
      <w:r w:rsidRPr="002B3624">
        <w:t xml:space="preserve">The </w:t>
      </w:r>
      <w:r>
        <w:t>PI</w:t>
      </w:r>
      <w:r w:rsidRPr="002B3624">
        <w:t xml:space="preserve"> for </w:t>
      </w:r>
      <w:r w:rsidR="005703D4">
        <w:t>Prolastin-C</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2" w:history="1">
        <w:r w:rsidR="007C6B9B" w:rsidRPr="007C6B9B">
          <w:rPr>
            <w:rStyle w:val="Hyperlink"/>
          </w:rPr>
          <w:t>https://www.tga.gov.au/product-information-pi</w:t>
        </w:r>
      </w:hyperlink>
      <w:r w:rsidR="005703D4">
        <w:t>&gt;.</w:t>
      </w:r>
    </w:p>
    <w:p w:rsidR="00C80137" w:rsidRDefault="00C80137" w:rsidP="00C80137">
      <w:pPr>
        <w:pStyle w:val="Heading2"/>
        <w:rPr>
          <w:lang w:eastAsia="en-AU"/>
        </w:rPr>
      </w:pPr>
      <w:bookmarkStart w:id="149" w:name="_Toc497296926"/>
      <w:proofErr w:type="gramStart"/>
      <w:r>
        <w:rPr>
          <w:lang w:eastAsia="en-AU"/>
        </w:rPr>
        <w:t>Attachment 2.</w:t>
      </w:r>
      <w:proofErr w:type="gramEnd"/>
      <w:r w:rsidR="00A80B5B">
        <w:rPr>
          <w:lang w:eastAsia="en-AU"/>
        </w:rPr>
        <w:t xml:space="preserve"> </w:t>
      </w:r>
      <w:r>
        <w:rPr>
          <w:lang w:eastAsia="en-AU"/>
        </w:rPr>
        <w:t>Extract from the Clinical Evaluation Report</w:t>
      </w:r>
      <w:bookmarkEnd w:id="149"/>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3"/>
          <w:headerReference w:type="default" r:id="rId24"/>
          <w:headerReference w:type="first" r:id="rId25"/>
          <w:footerReference w:type="first" r:id="rId26"/>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Description w:val="Therapeutic Goods Administration&#10;PO Box 100 Woden ACT 2606 Australia&#10;Email: info@tga.gov.au Phone: 1800 020 653 Fax: 02 6232 8605&#10;https://www.tga.gov.au"/>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27" w:history="1">
              <w:r w:rsidRPr="004C239D">
                <w:rPr>
                  <w:rStyle w:val="Hyperlink"/>
                </w:rPr>
                <w:t>info@tga.gov.au</w:t>
              </w:r>
            </w:hyperlink>
            <w:r w:rsidR="00135088">
              <w:t xml:space="preserve"> </w:t>
            </w:r>
            <w:r w:rsidRPr="00487162">
              <w:t>Phone: 1800 020 653</w:t>
            </w:r>
            <w:r w:rsidR="00135088">
              <w:t xml:space="preserve"> </w:t>
            </w:r>
            <w:r w:rsidRPr="00487162">
              <w:t>Fax: 02 6232 8605</w:t>
            </w:r>
          </w:p>
          <w:p w:rsidR="001C32CD" w:rsidRPr="004C239D" w:rsidRDefault="00FE45D0" w:rsidP="00A05FA4">
            <w:pPr>
              <w:pStyle w:val="Address"/>
              <w:spacing w:line="260" w:lineRule="atLeast"/>
              <w:rPr>
                <w:b/>
                <w:color w:val="0000FF"/>
                <w:u w:val="single"/>
              </w:rPr>
            </w:pPr>
            <w:hyperlink r:id="rId28" w:history="1">
              <w:r w:rsidR="007C6B9B" w:rsidRPr="007C6B9B">
                <w:rPr>
                  <w:rStyle w:val="Hyperlink"/>
                  <w:b/>
                </w:rPr>
                <w:t>https://www.tga.gov.au</w:t>
              </w:r>
            </w:hyperlink>
          </w:p>
        </w:tc>
      </w:tr>
    </w:tbl>
    <w:p w:rsidR="00774E1D" w:rsidRPr="008A5E0B" w:rsidRDefault="00774E1D" w:rsidP="004C239D"/>
    <w:sectPr w:rsidR="00774E1D" w:rsidRPr="008A5E0B" w:rsidSect="001C32CD">
      <w:headerReference w:type="even" r:id="rId29"/>
      <w:headerReference w:type="default" r:id="rId30"/>
      <w:footerReference w:type="default" r:id="rId31"/>
      <w:headerReference w:type="first" r:id="rId32"/>
      <w:footerReference w:type="first" r:id="rId33"/>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F26" w:rsidRDefault="00427F26" w:rsidP="00C40A36">
      <w:pPr>
        <w:spacing w:after="0"/>
      </w:pPr>
      <w:r>
        <w:separator/>
      </w:r>
    </w:p>
  </w:endnote>
  <w:endnote w:type="continuationSeparator" w:id="0">
    <w:p w:rsidR="00427F26" w:rsidRDefault="00427F2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427F26" w:rsidRPr="00487162" w:rsidTr="00DB750B">
      <w:trPr>
        <w:trHeight w:val="269"/>
      </w:trPr>
      <w:tc>
        <w:tcPr>
          <w:tcW w:w="7371" w:type="dxa"/>
          <w:tcMar>
            <w:top w:w="142" w:type="dxa"/>
            <w:bottom w:w="0" w:type="dxa"/>
          </w:tcMar>
        </w:tcPr>
        <w:p w:rsidR="00427F26" w:rsidRPr="00487162" w:rsidRDefault="00427F26" w:rsidP="00B66A9D">
          <w:pPr>
            <w:pStyle w:val="Footer"/>
          </w:pPr>
          <w:r w:rsidRPr="00913A57">
            <w:t xml:space="preserve">PROLASTIN-C - </w:t>
          </w:r>
          <w:r>
            <w:t>a</w:t>
          </w:r>
          <w:r w:rsidRPr="00802489">
            <w:t xml:space="preserve">lpha-1 proteinase inhibitor </w:t>
          </w:r>
          <w:r w:rsidRPr="00913A57">
            <w:t xml:space="preserve">- </w:t>
          </w:r>
          <w:proofErr w:type="spellStart"/>
          <w:r w:rsidRPr="00913A57">
            <w:t>Grifols</w:t>
          </w:r>
          <w:proofErr w:type="spellEnd"/>
          <w:r w:rsidRPr="00913A57">
            <w:t xml:space="preserve"> Australia Pty Ltd - PM-2014-04721-1-5 - Australian Public Assessment Report (AusPAR)</w:t>
          </w:r>
          <w:r>
            <w:t xml:space="preserve"> FINAL 11 October 2017</w:t>
          </w:r>
        </w:p>
      </w:tc>
      <w:tc>
        <w:tcPr>
          <w:tcW w:w="1490" w:type="dxa"/>
          <w:tcMar>
            <w:top w:w="142" w:type="dxa"/>
            <w:bottom w:w="0" w:type="dxa"/>
          </w:tcMar>
        </w:tcPr>
        <w:p w:rsidR="00427F26" w:rsidRPr="00487162" w:rsidRDefault="00427F26" w:rsidP="00DB750B">
          <w:pPr>
            <w:pStyle w:val="Footer"/>
            <w:jc w:val="right"/>
          </w:pPr>
          <w:r w:rsidRPr="00487162">
            <w:t xml:space="preserve">Page </w:t>
          </w:r>
          <w:r>
            <w:fldChar w:fldCharType="begin"/>
          </w:r>
          <w:r>
            <w:instrText xml:space="preserve"> PAGE  \* Arabic </w:instrText>
          </w:r>
          <w:r>
            <w:fldChar w:fldCharType="separate"/>
          </w:r>
          <w:r w:rsidR="00FE45D0">
            <w:rPr>
              <w:noProof/>
            </w:rPr>
            <w:t>3</w:t>
          </w:r>
          <w:r>
            <w:fldChar w:fldCharType="end"/>
          </w:r>
          <w:r w:rsidRPr="00487162">
            <w:t xml:space="preserve"> of </w:t>
          </w:r>
          <w:r w:rsidR="00FE45D0">
            <w:fldChar w:fldCharType="begin"/>
          </w:r>
          <w:r w:rsidR="00FE45D0">
            <w:instrText xml:space="preserve"> NUMPAGES  \* Arabic </w:instrText>
          </w:r>
          <w:r w:rsidR="00FE45D0">
            <w:fldChar w:fldCharType="separate"/>
          </w:r>
          <w:r w:rsidR="00FE45D0">
            <w:rPr>
              <w:noProof/>
            </w:rPr>
            <w:t>41</w:t>
          </w:r>
          <w:r w:rsidR="00FE45D0">
            <w:rPr>
              <w:noProof/>
            </w:rPr>
            <w:fldChar w:fldCharType="end"/>
          </w:r>
        </w:p>
      </w:tc>
    </w:tr>
  </w:tbl>
  <w:p w:rsidR="00427F26" w:rsidRDefault="00427F26"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27F26" w:rsidRPr="00487162" w:rsidTr="00E45619">
      <w:trPr>
        <w:trHeight w:val="269"/>
      </w:trPr>
      <w:tc>
        <w:tcPr>
          <w:tcW w:w="4519" w:type="dxa"/>
          <w:tcBorders>
            <w:top w:val="single" w:sz="4" w:space="0" w:color="auto"/>
          </w:tcBorders>
          <w:tcMar>
            <w:top w:w="142" w:type="dxa"/>
            <w:bottom w:w="0" w:type="dxa"/>
          </w:tcMar>
        </w:tcPr>
        <w:p w:rsidR="00427F26" w:rsidRPr="00487162" w:rsidRDefault="00427F26" w:rsidP="00FE1DEE">
          <w:pPr>
            <w:pStyle w:val="Footer"/>
          </w:pPr>
          <w:r w:rsidRPr="00487162">
            <w:t>Document title, Part #, Section # - Section title</w:t>
          </w:r>
        </w:p>
        <w:p w:rsidR="00427F26" w:rsidRPr="00487162" w:rsidRDefault="00427F26" w:rsidP="00FE1DEE">
          <w:pPr>
            <w:pStyle w:val="Footer"/>
          </w:pPr>
          <w:r w:rsidRPr="00487162">
            <w:t>V1.0 October 2010</w:t>
          </w:r>
        </w:p>
      </w:tc>
      <w:tc>
        <w:tcPr>
          <w:tcW w:w="4342" w:type="dxa"/>
          <w:tcBorders>
            <w:top w:val="single" w:sz="4" w:space="0" w:color="auto"/>
          </w:tcBorders>
          <w:tcMar>
            <w:top w:w="142" w:type="dxa"/>
            <w:bottom w:w="0" w:type="dxa"/>
          </w:tcMar>
        </w:tcPr>
        <w:p w:rsidR="00427F26" w:rsidRPr="00487162" w:rsidRDefault="00427F26"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FE45D0">
            <w:fldChar w:fldCharType="begin"/>
          </w:r>
          <w:r w:rsidR="00FE45D0">
            <w:instrText xml:space="preserve"> NUMPAGES  </w:instrText>
          </w:r>
          <w:r w:rsidR="00FE45D0">
            <w:fldChar w:fldCharType="separate"/>
          </w:r>
          <w:r>
            <w:rPr>
              <w:noProof/>
            </w:rPr>
            <w:t>3</w:t>
          </w:r>
          <w:r w:rsidR="00FE45D0">
            <w:rPr>
              <w:noProof/>
            </w:rPr>
            <w:fldChar w:fldCharType="end"/>
          </w:r>
        </w:p>
      </w:tc>
    </w:tr>
  </w:tbl>
  <w:p w:rsidR="00427F26" w:rsidRDefault="00427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Pr="001C32CD" w:rsidRDefault="00427F26"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27F26" w:rsidTr="0010601F">
      <w:trPr>
        <w:trHeight w:val="108"/>
      </w:trPr>
      <w:tc>
        <w:tcPr>
          <w:tcW w:w="8875" w:type="dxa"/>
          <w:gridSpan w:val="2"/>
          <w:tcBorders>
            <w:bottom w:val="single" w:sz="4" w:space="0" w:color="auto"/>
          </w:tcBorders>
          <w:tcMar>
            <w:right w:w="284" w:type="dxa"/>
          </w:tcMar>
        </w:tcPr>
        <w:p w:rsidR="00427F26" w:rsidRDefault="00427F26" w:rsidP="006E08B3">
          <w:pPr>
            <w:pStyle w:val="Heading3"/>
          </w:pPr>
          <w:r>
            <w:t>Copyright</w:t>
          </w:r>
        </w:p>
        <w:p w:rsidR="00427F26" w:rsidRDefault="00427F26" w:rsidP="006E08B3">
          <w:r>
            <w:rPr>
              <w:rFonts w:cs="Arial"/>
            </w:rPr>
            <w:t>©</w:t>
          </w:r>
          <w:r>
            <w:t xml:space="preserve"> Commonwealth of Australia [add year]</w:t>
          </w:r>
        </w:p>
        <w:p w:rsidR="00427F26" w:rsidRDefault="00427F26" w:rsidP="006E08B3"/>
        <w:p w:rsidR="00427F26" w:rsidRDefault="00427F26"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427F26" w:rsidRDefault="00427F26" w:rsidP="006E08B3"/>
        <w:p w:rsidR="00427F26" w:rsidRDefault="00427F26" w:rsidP="006E08B3">
          <w:pPr>
            <w:pStyle w:val="Heading3"/>
          </w:pPr>
          <w:r>
            <w:t>Confidentiality</w:t>
          </w:r>
        </w:p>
        <w:p w:rsidR="00427F26" w:rsidRDefault="00427F26"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427F26" w:rsidRDefault="00427F26" w:rsidP="006E08B3"/>
        <w:p w:rsidR="00427F26" w:rsidRDefault="00427F26" w:rsidP="006E08B3">
          <w:r>
            <w:t>For submission made by individuals, all personal details, other than your name, will be removed from your submission before it is published on the TGA’s Internet site.</w:t>
          </w:r>
        </w:p>
        <w:p w:rsidR="00427F26" w:rsidRDefault="00427F26" w:rsidP="006E08B3"/>
        <w:p w:rsidR="00427F26" w:rsidRDefault="00427F26"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427F26" w:rsidTr="0010601F">
      <w:trPr>
        <w:trHeight w:val="417"/>
      </w:trPr>
      <w:tc>
        <w:tcPr>
          <w:tcW w:w="4519" w:type="dxa"/>
          <w:tcBorders>
            <w:top w:val="single" w:sz="4" w:space="0" w:color="auto"/>
          </w:tcBorders>
          <w:tcMar>
            <w:top w:w="142" w:type="dxa"/>
            <w:bottom w:w="0" w:type="dxa"/>
          </w:tcMar>
        </w:tcPr>
        <w:p w:rsidR="00427F26" w:rsidRDefault="00427F26" w:rsidP="006E08B3">
          <w:r>
            <w:t>Document title, Part #, Section # - Section title</w:t>
          </w:r>
        </w:p>
        <w:p w:rsidR="00427F26" w:rsidRDefault="00427F26" w:rsidP="006E08B3">
          <w:r>
            <w:t>V1.0 October 2010</w:t>
          </w:r>
        </w:p>
      </w:tc>
      <w:tc>
        <w:tcPr>
          <w:tcW w:w="4356" w:type="dxa"/>
          <w:tcBorders>
            <w:top w:val="single" w:sz="4" w:space="0" w:color="auto"/>
          </w:tcBorders>
          <w:tcMar>
            <w:top w:w="142" w:type="dxa"/>
            <w:bottom w:w="0" w:type="dxa"/>
          </w:tcMar>
        </w:tcPr>
        <w:p w:rsidR="00427F26" w:rsidRDefault="00427F26"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FE45D0">
            <w:fldChar w:fldCharType="begin"/>
          </w:r>
          <w:r w:rsidR="00FE45D0">
            <w:instrText xml:space="preserve"> NUMPAGES  \* Arabic </w:instrText>
          </w:r>
          <w:r w:rsidR="00FE45D0">
            <w:fldChar w:fldCharType="separate"/>
          </w:r>
          <w:r>
            <w:rPr>
              <w:noProof/>
            </w:rPr>
            <w:t>3</w:t>
          </w:r>
          <w:r w:rsidR="00FE45D0">
            <w:rPr>
              <w:noProof/>
            </w:rPr>
            <w:fldChar w:fldCharType="end"/>
          </w:r>
          <w:r>
            <w:t xml:space="preserve"> </w:t>
          </w:r>
        </w:p>
      </w:tc>
    </w:tr>
  </w:tbl>
  <w:p w:rsidR="00427F26" w:rsidRDefault="00427F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F26" w:rsidRDefault="00427F26" w:rsidP="00C40A36">
      <w:pPr>
        <w:spacing w:after="0"/>
      </w:pPr>
      <w:r>
        <w:separator/>
      </w:r>
    </w:p>
  </w:footnote>
  <w:footnote w:type="continuationSeparator" w:id="0">
    <w:p w:rsidR="00427F26" w:rsidRDefault="00427F26" w:rsidP="00C40A36">
      <w:pPr>
        <w:spacing w:after="0"/>
      </w:pPr>
      <w:r>
        <w:continuationSeparator/>
      </w:r>
    </w:p>
  </w:footnote>
  <w:footnote w:id="1">
    <w:p w:rsidR="00427F26" w:rsidRPr="000A58C5" w:rsidRDefault="00427F26">
      <w:pPr>
        <w:pStyle w:val="FootnoteText"/>
        <w:rPr>
          <w:lang w:val="en-US"/>
        </w:rPr>
      </w:pPr>
      <w:r>
        <w:rPr>
          <w:rStyle w:val="FootnoteReference"/>
        </w:rPr>
        <w:footnoteRef/>
      </w:r>
      <w:r w:rsidRPr="00384D4C">
        <w:rPr>
          <w:kern w:val="2"/>
        </w:rPr>
        <w:t xml:space="preserve">ICH S6: </w:t>
      </w:r>
      <w:r w:rsidRPr="000A58C5">
        <w:t>Preclinical safety evaluation of biotechnology-derived pharmaceuticals</w:t>
      </w:r>
      <w:r>
        <w:t xml:space="preserve"> </w:t>
      </w:r>
    </w:p>
  </w:footnote>
  <w:footnote w:id="2">
    <w:p w:rsidR="00427F26" w:rsidRPr="008D10C6" w:rsidRDefault="00427F26" w:rsidP="00CB48DA">
      <w:pPr>
        <w:pStyle w:val="FootnoteText"/>
      </w:pPr>
      <w:r>
        <w:rPr>
          <w:rStyle w:val="FootnoteReference"/>
        </w:rPr>
        <w:footnoteRef/>
      </w:r>
      <w:r>
        <w:t xml:space="preserve"> </w:t>
      </w:r>
      <w:proofErr w:type="spellStart"/>
      <w:r>
        <w:t>Chotirmall</w:t>
      </w:r>
      <w:proofErr w:type="spellEnd"/>
      <w:r>
        <w:t xml:space="preserve">, S.H. et al. (2015) Alpha-1 proteinase inhibitors for the treatment of alpha-1 antitrypsin deficiency: safety, tolerability, and patient outcomes. </w:t>
      </w:r>
      <w:proofErr w:type="spellStart"/>
      <w:proofErr w:type="gramStart"/>
      <w:r>
        <w:rPr>
          <w:i/>
        </w:rPr>
        <w:t>Ther</w:t>
      </w:r>
      <w:proofErr w:type="spellEnd"/>
      <w:r>
        <w:rPr>
          <w:i/>
        </w:rPr>
        <w:t>.</w:t>
      </w:r>
      <w:proofErr w:type="gramEnd"/>
      <w:r>
        <w:rPr>
          <w:i/>
        </w:rPr>
        <w:t xml:space="preserve"> </w:t>
      </w:r>
      <w:proofErr w:type="spellStart"/>
      <w:proofErr w:type="gramStart"/>
      <w:r>
        <w:rPr>
          <w:i/>
        </w:rPr>
        <w:t>Clin</w:t>
      </w:r>
      <w:proofErr w:type="spellEnd"/>
      <w:r>
        <w:rPr>
          <w:i/>
        </w:rPr>
        <w:t>.</w:t>
      </w:r>
      <w:proofErr w:type="gramEnd"/>
      <w:r>
        <w:rPr>
          <w:i/>
        </w:rPr>
        <w:t xml:space="preserve"> Risk </w:t>
      </w:r>
      <w:proofErr w:type="spellStart"/>
      <w:r>
        <w:rPr>
          <w:i/>
        </w:rPr>
        <w:t>Manag</w:t>
      </w:r>
      <w:proofErr w:type="spellEnd"/>
      <w:r>
        <w:rPr>
          <w:i/>
        </w:rPr>
        <w:t>.</w:t>
      </w:r>
      <w:r>
        <w:t xml:space="preserve"> </w:t>
      </w:r>
      <w:proofErr w:type="gramStart"/>
      <w:r w:rsidRPr="000A58C5">
        <w:t>2015 11:</w:t>
      </w:r>
      <w:r w:rsidRPr="00066885">
        <w:rPr>
          <w:w w:val="50"/>
        </w:rPr>
        <w:t xml:space="preserve"> </w:t>
      </w:r>
      <w:r>
        <w:t>143–151.</w:t>
      </w:r>
      <w:proofErr w:type="gramEnd"/>
    </w:p>
  </w:footnote>
  <w:footnote w:id="3">
    <w:p w:rsidR="00427F26" w:rsidRPr="008D10C6" w:rsidRDefault="00427F26" w:rsidP="00CB48DA">
      <w:pPr>
        <w:pStyle w:val="FootnoteText"/>
      </w:pPr>
      <w:r>
        <w:rPr>
          <w:rStyle w:val="FootnoteReference"/>
        </w:rPr>
        <w:footnoteRef/>
      </w:r>
      <w:r>
        <w:t xml:space="preserve"> </w:t>
      </w:r>
      <w:proofErr w:type="spellStart"/>
      <w:proofErr w:type="gramStart"/>
      <w:r>
        <w:t>Sandhaus</w:t>
      </w:r>
      <w:proofErr w:type="spellEnd"/>
      <w:r>
        <w:t xml:space="preserve">, R.A. and G. </w:t>
      </w:r>
      <w:proofErr w:type="spellStart"/>
      <w:r>
        <w:t>Turino</w:t>
      </w:r>
      <w:proofErr w:type="spellEnd"/>
      <w:r>
        <w:t>.</w:t>
      </w:r>
      <w:proofErr w:type="gramEnd"/>
      <w:r>
        <w:t xml:space="preserve"> </w:t>
      </w:r>
      <w:proofErr w:type="gramStart"/>
      <w:r>
        <w:t>(2013) Neutrophil elastase-mediated lung disease.</w:t>
      </w:r>
      <w:proofErr w:type="gramEnd"/>
      <w:r>
        <w:t xml:space="preserve"> </w:t>
      </w:r>
      <w:r>
        <w:rPr>
          <w:i/>
        </w:rPr>
        <w:t>COPD</w:t>
      </w:r>
      <w:r>
        <w:t xml:space="preserve"> 2013; </w:t>
      </w:r>
      <w:r w:rsidRPr="000A58C5">
        <w:t>10(S1):</w:t>
      </w:r>
      <w:r>
        <w:t xml:space="preserve"> 60–63.</w:t>
      </w:r>
    </w:p>
  </w:footnote>
  <w:footnote w:id="4">
    <w:p w:rsidR="00427F26" w:rsidRPr="001A2D8A" w:rsidRDefault="00427F26" w:rsidP="00CB48DA">
      <w:pPr>
        <w:pStyle w:val="FootnoteText"/>
      </w:pPr>
      <w:r>
        <w:rPr>
          <w:rStyle w:val="FootnoteReference"/>
        </w:rPr>
        <w:footnoteRef/>
      </w:r>
      <w:r>
        <w:t xml:space="preserve"> </w:t>
      </w:r>
      <w:proofErr w:type="spellStart"/>
      <w:r>
        <w:t>Turino</w:t>
      </w:r>
      <w:proofErr w:type="spellEnd"/>
      <w:r>
        <w:t xml:space="preserve">, G.M. (2002) The origins of a concept: the </w:t>
      </w:r>
      <w:proofErr w:type="spellStart"/>
      <w:r>
        <w:t>protease</w:t>
      </w:r>
      <w:proofErr w:type="gramStart"/>
      <w:r>
        <w:t>:antiprotase</w:t>
      </w:r>
      <w:proofErr w:type="spellEnd"/>
      <w:proofErr w:type="gramEnd"/>
      <w:r>
        <w:t xml:space="preserve"> imbalance hypothesis. </w:t>
      </w:r>
      <w:r>
        <w:rPr>
          <w:i/>
        </w:rPr>
        <w:t>Chest</w:t>
      </w:r>
      <w:r>
        <w:t xml:space="preserve"> 2002; </w:t>
      </w:r>
      <w:r w:rsidRPr="000A58C5">
        <w:t>122:</w:t>
      </w:r>
      <w:r w:rsidRPr="000A58C5">
        <w:rPr>
          <w:w w:val="50"/>
        </w:rPr>
        <w:t xml:space="preserve"> </w:t>
      </w:r>
      <w:r w:rsidRPr="000A58C5">
        <w:t>1058</w:t>
      </w:r>
      <w:r>
        <w:t>–1060.</w:t>
      </w:r>
    </w:p>
  </w:footnote>
  <w:footnote w:id="5">
    <w:p w:rsidR="00427F26" w:rsidRDefault="00427F26" w:rsidP="00CB48DA">
      <w:pPr>
        <w:pStyle w:val="FootnoteText"/>
      </w:pPr>
      <w:r>
        <w:rPr>
          <w:rStyle w:val="FootnoteReference"/>
        </w:rPr>
        <w:footnoteRef/>
      </w:r>
      <w:r>
        <w:t xml:space="preserve"> </w:t>
      </w:r>
      <w:proofErr w:type="spellStart"/>
      <w:r w:rsidRPr="00A33FC5">
        <w:t>Churg</w:t>
      </w:r>
      <w:proofErr w:type="spellEnd"/>
      <w:r w:rsidRPr="00A33FC5">
        <w:t xml:space="preserve">, A., </w:t>
      </w:r>
      <w:r>
        <w:t>et al</w:t>
      </w:r>
      <w:r w:rsidRPr="00A33FC5">
        <w:t xml:space="preserve"> (2003) α</w:t>
      </w:r>
      <w:r w:rsidRPr="00A33FC5">
        <w:rPr>
          <w:vertAlign w:val="subscript"/>
        </w:rPr>
        <w:t>1</w:t>
      </w:r>
      <w:r w:rsidRPr="00A33FC5">
        <w:t xml:space="preserve">-Antitrypsin ameliorates cigarette smoke-induced emphysema in the mouse. </w:t>
      </w:r>
      <w:r w:rsidRPr="00A33FC5">
        <w:rPr>
          <w:i/>
        </w:rPr>
        <w:t xml:space="preserve">Am. J. </w:t>
      </w:r>
      <w:proofErr w:type="spellStart"/>
      <w:r w:rsidRPr="00A33FC5">
        <w:rPr>
          <w:i/>
        </w:rPr>
        <w:t>Respir</w:t>
      </w:r>
      <w:proofErr w:type="spellEnd"/>
      <w:r w:rsidRPr="00A33FC5">
        <w:rPr>
          <w:i/>
        </w:rPr>
        <w:t xml:space="preserve">. </w:t>
      </w:r>
      <w:proofErr w:type="gramStart"/>
      <w:r w:rsidRPr="00A33FC5">
        <w:rPr>
          <w:i/>
        </w:rPr>
        <w:t>Crit. Care Med.</w:t>
      </w:r>
      <w:r w:rsidRPr="00A33FC5">
        <w:t xml:space="preserve"> </w:t>
      </w:r>
      <w:r>
        <w:t>2003</w:t>
      </w:r>
      <w:r w:rsidRPr="00704B63">
        <w:t>; 168:</w:t>
      </w:r>
      <w:r w:rsidRPr="00066885">
        <w:rPr>
          <w:w w:val="50"/>
        </w:rPr>
        <w:t xml:space="preserve"> </w:t>
      </w:r>
      <w:r w:rsidRPr="00A33FC5">
        <w:t>199–207.</w:t>
      </w:r>
      <w:proofErr w:type="gramEnd"/>
    </w:p>
  </w:footnote>
  <w:footnote w:id="6">
    <w:p w:rsidR="00427F26" w:rsidRDefault="00427F26" w:rsidP="00CB48DA">
      <w:pPr>
        <w:pStyle w:val="FootnoteText"/>
      </w:pPr>
      <w:r>
        <w:rPr>
          <w:rStyle w:val="FootnoteReference"/>
        </w:rPr>
        <w:footnoteRef/>
      </w:r>
      <w:r>
        <w:t xml:space="preserve"> Vargas, HM. </w:t>
      </w:r>
      <w:r w:rsidRPr="00704B63">
        <w:t>et al.</w:t>
      </w:r>
      <w:r>
        <w:t xml:space="preserve"> (2008) </w:t>
      </w:r>
      <w:proofErr w:type="gramStart"/>
      <w:r>
        <w:t>Scientific</w:t>
      </w:r>
      <w:proofErr w:type="gramEnd"/>
      <w:r>
        <w:t xml:space="preserve"> review and recommendations on preclinical cardiovascular safety evaluation of biologics. </w:t>
      </w:r>
      <w:r>
        <w:rPr>
          <w:i/>
        </w:rPr>
        <w:t xml:space="preserve">J. </w:t>
      </w:r>
      <w:proofErr w:type="spellStart"/>
      <w:r>
        <w:rPr>
          <w:i/>
        </w:rPr>
        <w:t>Pharmacol</w:t>
      </w:r>
      <w:proofErr w:type="spellEnd"/>
      <w:r>
        <w:rPr>
          <w:i/>
        </w:rPr>
        <w:t xml:space="preserve">. </w:t>
      </w:r>
      <w:proofErr w:type="spellStart"/>
      <w:proofErr w:type="gramStart"/>
      <w:r>
        <w:rPr>
          <w:i/>
        </w:rPr>
        <w:t>Toxicol</w:t>
      </w:r>
      <w:proofErr w:type="spellEnd"/>
      <w:r>
        <w:rPr>
          <w:i/>
        </w:rPr>
        <w:t>.</w:t>
      </w:r>
      <w:proofErr w:type="gramEnd"/>
      <w:r>
        <w:rPr>
          <w:i/>
        </w:rPr>
        <w:t xml:space="preserve"> Methods 2008</w:t>
      </w:r>
      <w:r w:rsidRPr="00704B63">
        <w:rPr>
          <w:i/>
        </w:rPr>
        <w:t xml:space="preserve">; </w:t>
      </w:r>
      <w:r w:rsidRPr="00704B63">
        <w:t>58</w:t>
      </w:r>
      <w:r>
        <w:rPr>
          <w:b/>
        </w:rPr>
        <w:t>:</w:t>
      </w:r>
      <w:r>
        <w:t xml:space="preserve"> 72–76.</w:t>
      </w:r>
    </w:p>
  </w:footnote>
  <w:footnote w:id="7">
    <w:p w:rsidR="00427F26" w:rsidRDefault="00427F26" w:rsidP="00CB48DA">
      <w:pPr>
        <w:pStyle w:val="FootnoteText"/>
      </w:pPr>
      <w:r>
        <w:rPr>
          <w:rStyle w:val="FootnoteReference"/>
        </w:rPr>
        <w:footnoteRef/>
      </w:r>
      <w:r>
        <w:t xml:space="preserve"> </w:t>
      </w:r>
      <w:proofErr w:type="spellStart"/>
      <w:proofErr w:type="gramStart"/>
      <w:r w:rsidRPr="00DF335C">
        <w:rPr>
          <w:szCs w:val="19"/>
        </w:rPr>
        <w:t>Derelanko</w:t>
      </w:r>
      <w:proofErr w:type="spellEnd"/>
      <w:r w:rsidRPr="00DF335C">
        <w:rPr>
          <w:szCs w:val="19"/>
        </w:rPr>
        <w:t>, M.J. and M.A. Hollinger.</w:t>
      </w:r>
      <w:proofErr w:type="gramEnd"/>
      <w:r w:rsidRPr="00DF335C">
        <w:rPr>
          <w:szCs w:val="19"/>
        </w:rPr>
        <w:t xml:space="preserve"> </w:t>
      </w:r>
      <w:proofErr w:type="gramStart"/>
      <w:r w:rsidRPr="00DF335C">
        <w:rPr>
          <w:szCs w:val="19"/>
        </w:rPr>
        <w:t>Eds. CRC Handbook of Toxicology.</w:t>
      </w:r>
      <w:proofErr w:type="gramEnd"/>
      <w:r w:rsidRPr="00DF335C">
        <w:rPr>
          <w:szCs w:val="19"/>
        </w:rPr>
        <w:t xml:space="preserve"> CRC Press </w:t>
      </w:r>
      <w:proofErr w:type="spellStart"/>
      <w:r w:rsidRPr="00DF335C">
        <w:rPr>
          <w:szCs w:val="19"/>
        </w:rPr>
        <w:t>Inc</w:t>
      </w:r>
      <w:proofErr w:type="spellEnd"/>
      <w:r w:rsidRPr="00DF335C">
        <w:rPr>
          <w:szCs w:val="19"/>
        </w:rPr>
        <w:t>, Florida, USA.</w:t>
      </w:r>
    </w:p>
  </w:footnote>
  <w:footnote w:id="8">
    <w:p w:rsidR="00427F26" w:rsidRPr="008F3092" w:rsidRDefault="00427F26" w:rsidP="004C6102">
      <w:pPr>
        <w:pStyle w:val="FootnoteText"/>
      </w:pPr>
      <w:r>
        <w:rPr>
          <w:rStyle w:val="FootnoteReference"/>
        </w:rPr>
        <w:footnoteRef/>
      </w:r>
      <w:r>
        <w:t xml:space="preserve"> </w:t>
      </w:r>
      <w:r w:rsidRPr="007928B8">
        <w:rPr>
          <w:kern w:val="2"/>
        </w:rPr>
        <w:t xml:space="preserve">ICH S6: </w:t>
      </w:r>
      <w:r w:rsidRPr="008F3092">
        <w:t>Preclinical safety evaluation of biotechnology-derived pharmaceuticals.</w:t>
      </w:r>
    </w:p>
  </w:footnote>
  <w:footnote w:id="9">
    <w:p w:rsidR="00427F26" w:rsidRPr="008F3092" w:rsidRDefault="00427F26" w:rsidP="004C6102">
      <w:pPr>
        <w:pStyle w:val="FootnoteText"/>
      </w:pPr>
      <w:r>
        <w:rPr>
          <w:rStyle w:val="FootnoteReference"/>
        </w:rPr>
        <w:footnoteRef/>
      </w:r>
      <w:r>
        <w:t xml:space="preserve"> </w:t>
      </w:r>
      <w:r w:rsidRPr="008F3092">
        <w:t>Guideline on repeated dose toxicity (CPMP/SWP/1042/99 Rev 1)</w:t>
      </w:r>
    </w:p>
  </w:footnote>
  <w:footnote w:id="10">
    <w:p w:rsidR="00427F26" w:rsidRPr="008F3092" w:rsidRDefault="00427F26">
      <w:pPr>
        <w:pStyle w:val="FootnoteText"/>
        <w:rPr>
          <w:lang w:val="en-US"/>
        </w:rPr>
      </w:pPr>
      <w:r>
        <w:rPr>
          <w:rStyle w:val="FootnoteReference"/>
        </w:rPr>
        <w:footnoteRef/>
      </w:r>
      <w:r>
        <w:t xml:space="preserve"> </w:t>
      </w:r>
      <w:r>
        <w:rPr>
          <w:lang w:val="en-US"/>
        </w:rPr>
        <w:t>Pregnancy Category B2 is defined as</w:t>
      </w:r>
      <w:r w:rsidRPr="008F3092">
        <w:rPr>
          <w:i/>
          <w:lang w:val="en-US"/>
        </w:rPr>
        <w:t xml:space="preserve">: </w:t>
      </w:r>
      <w:r w:rsidRPr="008F3092">
        <w:rPr>
          <w:i/>
        </w:rPr>
        <w:t>Drugs which have been taken by only a limited number of pregnant women and women of childbearing age, without an increase in the frequency of malformation or other direct or indirect harmful effects on the human fetus having been observed. Studies in animals are inadequate or may be lacking, but available data show no evidence of an increased occurrence of fetal damage.</w:t>
      </w:r>
    </w:p>
  </w:footnote>
  <w:footnote w:id="11">
    <w:p w:rsidR="00427F26" w:rsidRPr="00866299" w:rsidRDefault="00427F26">
      <w:pPr>
        <w:pStyle w:val="FootnoteText"/>
        <w:rPr>
          <w:lang w:val="en-US"/>
        </w:rPr>
      </w:pPr>
      <w:r>
        <w:rPr>
          <w:rStyle w:val="FootnoteReference"/>
        </w:rPr>
        <w:footnoteRef/>
      </w:r>
      <w:r>
        <w:t xml:space="preserve"> </w:t>
      </w:r>
      <w:proofErr w:type="spellStart"/>
      <w:r w:rsidRPr="00500D2D">
        <w:t>Stockley</w:t>
      </w:r>
      <w:proofErr w:type="spellEnd"/>
      <w:r w:rsidRPr="00500D2D">
        <w:t xml:space="preserve"> RA et al 2010 </w:t>
      </w:r>
      <w:r w:rsidRPr="00500D2D">
        <w:rPr>
          <w:rFonts w:eastAsiaTheme="minorHAnsi"/>
        </w:rPr>
        <w:t xml:space="preserve">Therapeutic efficacy of alpha-1 antitrypsin augmentation therapy on the loss of lung tissue: an integrated analysis of 2 randomised clinical trials using computed tomography densitometry. </w:t>
      </w:r>
      <w:r w:rsidRPr="00743598">
        <w:rPr>
          <w:rFonts w:eastAsiaTheme="minorHAnsi"/>
          <w:i/>
        </w:rPr>
        <w:t>Respiratory Research</w:t>
      </w:r>
      <w:r w:rsidRPr="00500D2D">
        <w:rPr>
          <w:rFonts w:eastAsiaTheme="minorHAnsi"/>
        </w:rPr>
        <w:t xml:space="preserve"> 2010; 11:136-144</w:t>
      </w:r>
    </w:p>
  </w:footnote>
  <w:footnote w:id="12">
    <w:p w:rsidR="00427F26" w:rsidRPr="00C0230F" w:rsidRDefault="00427F26">
      <w:pPr>
        <w:pStyle w:val="FootnoteText"/>
        <w:rPr>
          <w:lang w:val="en-US"/>
        </w:rPr>
      </w:pPr>
      <w:r>
        <w:rPr>
          <w:rStyle w:val="FootnoteReference"/>
        </w:rPr>
        <w:footnoteRef/>
      </w:r>
      <w:r>
        <w:t xml:space="preserve"> </w:t>
      </w:r>
      <w:proofErr w:type="spellStart"/>
      <w:r>
        <w:rPr>
          <w:lang w:val="en-US"/>
        </w:rPr>
        <w:t>Wewers</w:t>
      </w:r>
      <w:proofErr w:type="spellEnd"/>
      <w:r>
        <w:rPr>
          <w:lang w:val="en-US"/>
        </w:rPr>
        <w:t xml:space="preserve">, MD et al 1987 Replacement therapy for Alpha1-antitrypsin deficiency associated with emphysema. </w:t>
      </w:r>
      <w:r w:rsidRPr="00F0609A">
        <w:rPr>
          <w:i/>
          <w:lang w:val="en-US"/>
        </w:rPr>
        <w:t xml:space="preserve">N </w:t>
      </w:r>
      <w:proofErr w:type="spellStart"/>
      <w:r w:rsidRPr="00F0609A">
        <w:rPr>
          <w:i/>
          <w:lang w:val="en-US"/>
        </w:rPr>
        <w:t>Engl</w:t>
      </w:r>
      <w:proofErr w:type="spellEnd"/>
      <w:r w:rsidRPr="00F0609A">
        <w:rPr>
          <w:i/>
          <w:lang w:val="en-US"/>
        </w:rPr>
        <w:t xml:space="preserve"> J Med</w:t>
      </w:r>
      <w:r>
        <w:rPr>
          <w:lang w:val="en-US"/>
        </w:rPr>
        <w:t xml:space="preserve"> 1987; 316: 1055-1062</w:t>
      </w:r>
    </w:p>
  </w:footnote>
  <w:footnote w:id="13">
    <w:p w:rsidR="00427F26" w:rsidRPr="00F922F5" w:rsidRDefault="00427F26">
      <w:pPr>
        <w:pStyle w:val="FootnoteText"/>
        <w:rPr>
          <w:lang w:val="en-US"/>
        </w:rPr>
      </w:pPr>
      <w:r>
        <w:rPr>
          <w:rStyle w:val="FootnoteReference"/>
        </w:rPr>
        <w:footnoteRef/>
      </w:r>
      <w:r>
        <w:t xml:space="preserve"> </w:t>
      </w:r>
      <w:r>
        <w:rPr>
          <w:lang w:val="en-US"/>
        </w:rPr>
        <w:t xml:space="preserve">Barker AF et al 1997 Pharmacokinetic study of α1-Antitrypsin Deficiency. </w:t>
      </w:r>
      <w:proofErr w:type="gramStart"/>
      <w:r w:rsidRPr="00F922F5">
        <w:rPr>
          <w:i/>
          <w:lang w:val="en-US"/>
        </w:rPr>
        <w:t xml:space="preserve">Chest </w:t>
      </w:r>
      <w:r>
        <w:rPr>
          <w:lang w:val="en-US"/>
        </w:rPr>
        <w:t>1997; 112: 607-613.</w:t>
      </w:r>
      <w:proofErr w:type="gramEnd"/>
    </w:p>
  </w:footnote>
  <w:footnote w:id="14">
    <w:p w:rsidR="00427F26" w:rsidRPr="00D81752" w:rsidRDefault="00427F26">
      <w:pPr>
        <w:pStyle w:val="FootnoteText"/>
        <w:rPr>
          <w:lang w:val="en-US"/>
        </w:rPr>
      </w:pPr>
      <w:r>
        <w:rPr>
          <w:rStyle w:val="FootnoteReference"/>
        </w:rPr>
        <w:footnoteRef/>
      </w:r>
      <w:r>
        <w:t xml:space="preserve"> </w:t>
      </w:r>
      <w:r>
        <w:rPr>
          <w:color w:val="1A1718"/>
          <w:lang w:val="en-US"/>
        </w:rPr>
        <w:t xml:space="preserve">Gottlieb, D.J., et al. 2000 </w:t>
      </w:r>
      <w:r w:rsidRPr="00484771">
        <w:rPr>
          <w:color w:val="1A1718"/>
          <w:lang w:val="en-US"/>
        </w:rPr>
        <w:t>Short-term supplementation therapy does not affect elas</w:t>
      </w:r>
      <w:r>
        <w:rPr>
          <w:color w:val="1A1718"/>
          <w:lang w:val="en-US"/>
        </w:rPr>
        <w:t>tin degradation in severe alpha1</w:t>
      </w:r>
      <w:r w:rsidRPr="00484771">
        <w:rPr>
          <w:color w:val="1A1718"/>
          <w:lang w:val="en-US"/>
        </w:rPr>
        <w:t xml:space="preserve">-antitrypsin deficiency”. </w:t>
      </w:r>
      <w:proofErr w:type="gramStart"/>
      <w:r w:rsidRPr="00484771">
        <w:rPr>
          <w:color w:val="1A1718"/>
          <w:lang w:val="en-US"/>
        </w:rPr>
        <w:t>The American-Italian AATD Study Group.</w:t>
      </w:r>
      <w:proofErr w:type="gramEnd"/>
      <w:r w:rsidRPr="00484771">
        <w:rPr>
          <w:color w:val="1A1718"/>
          <w:lang w:val="en-US"/>
        </w:rPr>
        <w:t xml:space="preserve"> </w:t>
      </w:r>
      <w:proofErr w:type="gramStart"/>
      <w:r w:rsidRPr="00D81752">
        <w:rPr>
          <w:i/>
          <w:color w:val="1A1718"/>
          <w:lang w:val="en-US"/>
        </w:rPr>
        <w:t>Am</w:t>
      </w:r>
      <w:proofErr w:type="gramEnd"/>
      <w:r w:rsidRPr="00D81752">
        <w:rPr>
          <w:i/>
          <w:color w:val="1A1718"/>
          <w:lang w:val="en-US"/>
        </w:rPr>
        <w:t xml:space="preserve"> J </w:t>
      </w:r>
      <w:proofErr w:type="spellStart"/>
      <w:r w:rsidRPr="00D81752">
        <w:rPr>
          <w:i/>
          <w:color w:val="1A1718"/>
          <w:lang w:val="en-US"/>
        </w:rPr>
        <w:t>Respir</w:t>
      </w:r>
      <w:proofErr w:type="spellEnd"/>
      <w:r w:rsidRPr="00D81752">
        <w:rPr>
          <w:i/>
          <w:color w:val="1A1718"/>
          <w:lang w:val="en-US"/>
        </w:rPr>
        <w:t xml:space="preserve"> </w:t>
      </w:r>
      <w:proofErr w:type="spellStart"/>
      <w:r w:rsidRPr="00D81752">
        <w:rPr>
          <w:i/>
          <w:color w:val="1A1718"/>
          <w:lang w:val="en-US"/>
        </w:rPr>
        <w:t>Crit</w:t>
      </w:r>
      <w:proofErr w:type="spellEnd"/>
      <w:r w:rsidRPr="00D81752">
        <w:rPr>
          <w:i/>
          <w:color w:val="1A1718"/>
          <w:lang w:val="en-US"/>
        </w:rPr>
        <w:t xml:space="preserve"> Care Med</w:t>
      </w:r>
      <w:r>
        <w:rPr>
          <w:color w:val="1A1718"/>
          <w:lang w:val="en-US"/>
        </w:rPr>
        <w:t>, 2000. 162:</w:t>
      </w:r>
      <w:r w:rsidRPr="00484771">
        <w:rPr>
          <w:color w:val="1A1718"/>
          <w:lang w:val="en-US"/>
        </w:rPr>
        <w:t xml:space="preserve"> 2069-</w:t>
      </w:r>
      <w:r>
        <w:rPr>
          <w:color w:val="1A1718"/>
          <w:lang w:val="en-US"/>
        </w:rPr>
        <w:t>20</w:t>
      </w:r>
      <w:r w:rsidRPr="00484771">
        <w:rPr>
          <w:color w:val="1A1718"/>
          <w:lang w:val="en-US"/>
        </w:rPr>
        <w:t>72.</w:t>
      </w:r>
    </w:p>
  </w:footnote>
  <w:footnote w:id="15">
    <w:p w:rsidR="00427F26" w:rsidRPr="00D81752" w:rsidRDefault="00427F26">
      <w:pPr>
        <w:pStyle w:val="FootnoteText"/>
        <w:rPr>
          <w:lang w:val="en-US"/>
        </w:rPr>
      </w:pPr>
      <w:r>
        <w:rPr>
          <w:rStyle w:val="FootnoteReference"/>
        </w:rPr>
        <w:footnoteRef/>
      </w:r>
      <w:r>
        <w:t xml:space="preserve"> </w:t>
      </w:r>
      <w:proofErr w:type="spellStart"/>
      <w:r>
        <w:t>Stockley</w:t>
      </w:r>
      <w:proofErr w:type="spellEnd"/>
      <w:r>
        <w:t xml:space="preserve">, R.A., et al. (2002) </w:t>
      </w:r>
      <w:proofErr w:type="gramStart"/>
      <w:r>
        <w:t>The</w:t>
      </w:r>
      <w:proofErr w:type="gramEnd"/>
      <w:r>
        <w:t xml:space="preserve"> effect of augmentation therapy on bronchial inflammation in alpha1- antitrypsin deficiency. </w:t>
      </w:r>
      <w:r w:rsidRPr="00D81752">
        <w:rPr>
          <w:i/>
        </w:rPr>
        <w:t xml:space="preserve">Am J </w:t>
      </w:r>
      <w:proofErr w:type="spellStart"/>
      <w:r w:rsidRPr="00D81752">
        <w:rPr>
          <w:i/>
        </w:rPr>
        <w:t>Respir</w:t>
      </w:r>
      <w:proofErr w:type="spellEnd"/>
      <w:r w:rsidRPr="00D81752">
        <w:rPr>
          <w:i/>
        </w:rPr>
        <w:t xml:space="preserve"> </w:t>
      </w:r>
      <w:proofErr w:type="spellStart"/>
      <w:r w:rsidRPr="00D81752">
        <w:rPr>
          <w:i/>
        </w:rPr>
        <w:t>Crit</w:t>
      </w:r>
      <w:proofErr w:type="spellEnd"/>
      <w:r w:rsidRPr="00D81752">
        <w:rPr>
          <w:i/>
        </w:rPr>
        <w:t xml:space="preserve"> Care Med</w:t>
      </w:r>
      <w:r>
        <w:t>, 2002; 165: 1494-1498.</w:t>
      </w:r>
    </w:p>
  </w:footnote>
  <w:footnote w:id="16">
    <w:p w:rsidR="00427F26" w:rsidRPr="00B71F00" w:rsidRDefault="00427F26">
      <w:pPr>
        <w:pStyle w:val="FootnoteText"/>
        <w:rPr>
          <w:color w:val="1A1718"/>
          <w:lang w:val="en-US"/>
        </w:rPr>
      </w:pPr>
      <w:r>
        <w:rPr>
          <w:rStyle w:val="FootnoteReference"/>
        </w:rPr>
        <w:footnoteRef/>
      </w:r>
      <w:r>
        <w:t xml:space="preserve"> </w:t>
      </w:r>
      <w:r w:rsidRPr="00B71F00">
        <w:rPr>
          <w:color w:val="1A1718"/>
          <w:lang w:val="en-US"/>
        </w:rPr>
        <w:t>The Borg Rating of Perceived Exertion (RPE) is a way of measuring physical activity intensity level</w:t>
      </w:r>
    </w:p>
  </w:footnote>
  <w:footnote w:id="17">
    <w:p w:rsidR="00427F26" w:rsidRPr="00743598" w:rsidRDefault="00427F26">
      <w:pPr>
        <w:pStyle w:val="FootnoteText"/>
        <w:rPr>
          <w:lang w:val="en-US"/>
        </w:rPr>
      </w:pPr>
      <w:r>
        <w:rPr>
          <w:rStyle w:val="FootnoteReference"/>
        </w:rPr>
        <w:footnoteRef/>
      </w:r>
      <w:r>
        <w:t xml:space="preserve"> </w:t>
      </w:r>
      <w:proofErr w:type="spellStart"/>
      <w:r w:rsidRPr="00500D2D">
        <w:t>Stockley</w:t>
      </w:r>
      <w:proofErr w:type="spellEnd"/>
      <w:r w:rsidRPr="00500D2D">
        <w:t xml:space="preserve"> RA et al 2010 </w:t>
      </w:r>
      <w:r w:rsidRPr="00500D2D">
        <w:rPr>
          <w:rFonts w:eastAsiaTheme="minorHAnsi"/>
        </w:rPr>
        <w:t xml:space="preserve">Therapeutic efficacy of alpha-1 antitrypsin augmentation therapy on the loss of lung tissue: an integrated analysis of 2 randomised clinical trials using computed tomography densitometry. </w:t>
      </w:r>
      <w:r w:rsidRPr="00743598">
        <w:rPr>
          <w:rFonts w:eastAsiaTheme="minorHAnsi"/>
          <w:i/>
        </w:rPr>
        <w:t>Respiratory Research</w:t>
      </w:r>
      <w:r w:rsidRPr="00500D2D">
        <w:rPr>
          <w:rFonts w:eastAsiaTheme="minorHAnsi"/>
        </w:rPr>
        <w:t xml:space="preserve"> 2010; 11:136-144</w:t>
      </w:r>
    </w:p>
  </w:footnote>
  <w:footnote w:id="18">
    <w:p w:rsidR="00427F26" w:rsidRPr="005125DC" w:rsidRDefault="00427F26">
      <w:pPr>
        <w:pStyle w:val="FootnoteText"/>
        <w:rPr>
          <w:lang w:val="en-US"/>
        </w:rPr>
      </w:pPr>
      <w:r>
        <w:rPr>
          <w:rStyle w:val="FootnoteReference"/>
        </w:rPr>
        <w:footnoteRef/>
      </w:r>
      <w:r>
        <w:t xml:space="preserve"> </w:t>
      </w:r>
      <w:r>
        <w:rPr>
          <w:lang w:val="en-US"/>
        </w:rPr>
        <w:t xml:space="preserve">Campos MA et al (2013) Safety and Pharmacokinetics of 120 mg/kg versus 60 mg/kg weekly intravenous infusions of Alpha-1 proteinase inhibitor in Alpha-1 antitrypsin deficiency: a multicenter randomized double-blind crossover study (SPARK). </w:t>
      </w:r>
      <w:r w:rsidRPr="005125DC">
        <w:rPr>
          <w:i/>
          <w:lang w:val="en-US"/>
        </w:rPr>
        <w:t>COPD</w:t>
      </w:r>
      <w:r>
        <w:rPr>
          <w:lang w:val="en-US"/>
        </w:rPr>
        <w:t xml:space="preserve"> 2013; 10: 687-695.</w:t>
      </w:r>
    </w:p>
  </w:footnote>
  <w:footnote w:id="19">
    <w:p w:rsidR="00427F26" w:rsidRPr="00BC4BD7" w:rsidRDefault="00427F26" w:rsidP="00E31B86">
      <w:pPr>
        <w:pStyle w:val="FootnoteText"/>
      </w:pPr>
      <w:r>
        <w:rPr>
          <w:rStyle w:val="FootnoteReference"/>
        </w:rPr>
        <w:footnoteRef/>
      </w:r>
      <w:r>
        <w:t xml:space="preserve"> </w:t>
      </w:r>
      <w:proofErr w:type="spellStart"/>
      <w:r w:rsidRPr="00BC4BD7">
        <w:t>Seersholm</w:t>
      </w:r>
      <w:proofErr w:type="spellEnd"/>
      <w:r w:rsidRPr="00BC4BD7">
        <w:t>, N., et al.</w:t>
      </w:r>
      <w:r>
        <w:t xml:space="preserve"> </w:t>
      </w:r>
      <w:r w:rsidRPr="00BC4BD7">
        <w:t xml:space="preserve">(1997) Does alpha1-antitrypsin augmentation </w:t>
      </w:r>
      <w:proofErr w:type="gramStart"/>
      <w:r w:rsidRPr="00BC4BD7">
        <w:t>therapy slow</w:t>
      </w:r>
      <w:proofErr w:type="gramEnd"/>
      <w:r w:rsidRPr="00BC4BD7">
        <w:t xml:space="preserve"> the annual decline in FEV1 in patients with severe hereditary alpha1-antitrypsin deficiency? </w:t>
      </w:r>
      <w:proofErr w:type="spellStart"/>
      <w:proofErr w:type="gramStart"/>
      <w:r w:rsidRPr="00BC4BD7">
        <w:t>Wissenschaftliche</w:t>
      </w:r>
      <w:proofErr w:type="spellEnd"/>
      <w:r w:rsidRPr="00BC4BD7">
        <w:t xml:space="preserve"> </w:t>
      </w:r>
      <w:proofErr w:type="spellStart"/>
      <w:r w:rsidRPr="00BC4BD7">
        <w:t>Arbeitsgemeinschaft</w:t>
      </w:r>
      <w:proofErr w:type="spellEnd"/>
      <w:r w:rsidRPr="00BC4BD7">
        <w:t xml:space="preserve"> </w:t>
      </w:r>
      <w:proofErr w:type="spellStart"/>
      <w:r w:rsidRPr="00BC4BD7">
        <w:t>zur</w:t>
      </w:r>
      <w:proofErr w:type="spellEnd"/>
      <w:r w:rsidRPr="00BC4BD7">
        <w:t xml:space="preserve"> </w:t>
      </w:r>
      <w:proofErr w:type="spellStart"/>
      <w:r w:rsidRPr="00BC4BD7">
        <w:t>Therapie</w:t>
      </w:r>
      <w:proofErr w:type="spellEnd"/>
      <w:r w:rsidRPr="00BC4BD7">
        <w:t xml:space="preserve"> von </w:t>
      </w:r>
      <w:proofErr w:type="spellStart"/>
      <w:r w:rsidRPr="00BC4BD7">
        <w:t>Lungenerkrankungen</w:t>
      </w:r>
      <w:proofErr w:type="spellEnd"/>
      <w:r w:rsidRPr="00BC4BD7">
        <w:t xml:space="preserve"> (WATL) alpha1-AT study group</w:t>
      </w:r>
      <w:r w:rsidRPr="00BC4BD7">
        <w:rPr>
          <w:i/>
        </w:rPr>
        <w:t>.</w:t>
      </w:r>
      <w:proofErr w:type="gramEnd"/>
      <w:r w:rsidRPr="00BC4BD7">
        <w:rPr>
          <w:i/>
        </w:rPr>
        <w:t xml:space="preserve"> </w:t>
      </w:r>
      <w:proofErr w:type="spellStart"/>
      <w:r w:rsidRPr="00BC4BD7">
        <w:rPr>
          <w:i/>
        </w:rPr>
        <w:t>Eur</w:t>
      </w:r>
      <w:proofErr w:type="spellEnd"/>
      <w:r w:rsidRPr="00BC4BD7">
        <w:rPr>
          <w:i/>
        </w:rPr>
        <w:t xml:space="preserve"> </w:t>
      </w:r>
      <w:proofErr w:type="spellStart"/>
      <w:r w:rsidRPr="00BC4BD7">
        <w:rPr>
          <w:i/>
        </w:rPr>
        <w:t>Respir</w:t>
      </w:r>
      <w:proofErr w:type="spellEnd"/>
      <w:r w:rsidRPr="00BC4BD7">
        <w:rPr>
          <w:i/>
        </w:rPr>
        <w:t xml:space="preserve"> J,</w:t>
      </w:r>
      <w:r w:rsidRPr="00BC4BD7">
        <w:t xml:space="preserve"> 1997; </w:t>
      </w:r>
      <w:r w:rsidRPr="00BC4BD7">
        <w:rPr>
          <w:bCs/>
        </w:rPr>
        <w:t>10</w:t>
      </w:r>
      <w:r w:rsidRPr="00BC4BD7">
        <w:t>: p. 2260-</w:t>
      </w:r>
      <w:r>
        <w:t>226</w:t>
      </w:r>
      <w:r w:rsidRPr="00BC4BD7">
        <w:t>3.</w:t>
      </w:r>
    </w:p>
  </w:footnote>
  <w:footnote w:id="20">
    <w:p w:rsidR="00427F26" w:rsidRPr="00271841" w:rsidRDefault="00427F26">
      <w:pPr>
        <w:pStyle w:val="FootnoteText"/>
      </w:pPr>
      <w:r>
        <w:rPr>
          <w:rStyle w:val="FootnoteReference"/>
        </w:rPr>
        <w:footnoteRef/>
      </w:r>
      <w:r>
        <w:t xml:space="preserve"> </w:t>
      </w:r>
      <w:r w:rsidRPr="002B657A">
        <w:t>Chapman, KR et al</w:t>
      </w:r>
      <w:r w:rsidRPr="00271841">
        <w:t xml:space="preserve">. </w:t>
      </w:r>
      <w:r>
        <w:t xml:space="preserve">2015 </w:t>
      </w:r>
      <w:r w:rsidRPr="00271841">
        <w:t xml:space="preserve">Intravenous augmentation treatment and lung density in severe α1 antitrypsin deficiency (RAPID): a randomised, double-blind, placebo-controlled trial </w:t>
      </w:r>
      <w:r w:rsidRPr="00E31B86">
        <w:rPr>
          <w:i/>
        </w:rPr>
        <w:t>Lancet</w:t>
      </w:r>
      <w:r w:rsidRPr="00271841">
        <w:t xml:space="preserve"> 2015; 386: 360-</w:t>
      </w:r>
      <w:r>
        <w:t>3</w:t>
      </w:r>
      <w:r w:rsidRPr="00271841">
        <w:t>68.</w:t>
      </w:r>
    </w:p>
  </w:footnote>
  <w:footnote w:id="21">
    <w:p w:rsidR="00427F26" w:rsidRPr="00271841" w:rsidRDefault="00427F26">
      <w:pPr>
        <w:pStyle w:val="FootnoteText"/>
        <w:rPr>
          <w:lang w:val="en-US"/>
        </w:rPr>
      </w:pPr>
      <w:r>
        <w:rPr>
          <w:rStyle w:val="FootnoteReference"/>
        </w:rPr>
        <w:footnoteRef/>
      </w:r>
      <w:r>
        <w:t xml:space="preserve"> </w:t>
      </w:r>
      <w:proofErr w:type="spellStart"/>
      <w:r w:rsidRPr="002B657A">
        <w:t>Gotzsce</w:t>
      </w:r>
      <w:proofErr w:type="spellEnd"/>
      <w:r>
        <w:t xml:space="preserve"> PC </w:t>
      </w:r>
      <w:proofErr w:type="gramStart"/>
      <w:r>
        <w:t xml:space="preserve">and </w:t>
      </w:r>
      <w:r w:rsidRPr="002B657A">
        <w:t>,</w:t>
      </w:r>
      <w:proofErr w:type="gramEnd"/>
      <w:r w:rsidRPr="002B657A">
        <w:t xml:space="preserve"> Johansen</w:t>
      </w:r>
      <w:r>
        <w:t xml:space="preserve"> HK .</w:t>
      </w:r>
      <w:r w:rsidRPr="002B657A">
        <w:t xml:space="preserve"> </w:t>
      </w:r>
      <w:proofErr w:type="gramStart"/>
      <w:r w:rsidRPr="002B657A">
        <w:t>Intravenous alpha-1 antitrypsin augmentation therapy for treating patients with alpha-1 antitrypsin deficiency and lung disease.</w:t>
      </w:r>
      <w:proofErr w:type="gramEnd"/>
      <w:r>
        <w:t xml:space="preserve"> </w:t>
      </w:r>
      <w:r w:rsidRPr="00271841">
        <w:rPr>
          <w:i/>
        </w:rPr>
        <w:t>The Cochrane Library</w:t>
      </w:r>
      <w:r>
        <w:t xml:space="preserve"> 2010 Issue 7</w:t>
      </w:r>
    </w:p>
  </w:footnote>
  <w:footnote w:id="22">
    <w:p w:rsidR="00427F26" w:rsidRPr="00271841" w:rsidRDefault="00427F26" w:rsidP="00271841">
      <w:pPr>
        <w:pStyle w:val="FootnoteText"/>
      </w:pPr>
      <w:r w:rsidRPr="00271841">
        <w:rPr>
          <w:rStyle w:val="FootnoteReference"/>
        </w:rPr>
        <w:footnoteRef/>
      </w:r>
      <w:r w:rsidRPr="00271841">
        <w:t xml:space="preserve"> The Committee for Medicinal Products for Human Use (</w:t>
      </w:r>
      <w:r w:rsidRPr="00271841">
        <w:rPr>
          <w:rStyle w:val="Emphasis"/>
          <w:i w:val="0"/>
          <w:iCs w:val="0"/>
        </w:rPr>
        <w:t>CHMP) European Medicines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rsidP="006F4749">
    <w:r w:rsidRPr="00347824">
      <w:rPr>
        <w:noProof/>
        <w:lang w:eastAsia="en-AU"/>
      </w:rPr>
      <w:drawing>
        <wp:anchor distT="0" distB="0" distL="114300" distR="114300" simplePos="0" relativeHeight="251659264" behindDoc="1" locked="0" layoutInCell="1" allowOverlap="1" wp14:anchorId="7D79C5F2" wp14:editId="43ABE287">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F26" w:rsidRDefault="00427F26" w:rsidP="006E08B3">
    <w:r>
      <w:t>Therapeutic Goods Administration</w:t>
    </w:r>
  </w:p>
  <w:p w:rsidR="00427F26" w:rsidRDefault="00427F26"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105592"/>
    <w:lvl w:ilvl="0">
      <w:start w:val="1"/>
      <w:numFmt w:val="decimal"/>
      <w:lvlText w:val="%1."/>
      <w:lvlJc w:val="left"/>
      <w:pPr>
        <w:tabs>
          <w:tab w:val="num" w:pos="1492"/>
        </w:tabs>
        <w:ind w:left="1492" w:hanging="360"/>
      </w:pPr>
    </w:lvl>
  </w:abstractNum>
  <w:abstractNum w:abstractNumId="1">
    <w:nsid w:val="FFFFFF7D"/>
    <w:multiLevelType w:val="singleLevel"/>
    <w:tmpl w:val="6EA416C0"/>
    <w:lvl w:ilvl="0">
      <w:start w:val="1"/>
      <w:numFmt w:val="decimal"/>
      <w:lvlText w:val="%1."/>
      <w:lvlJc w:val="left"/>
      <w:pPr>
        <w:tabs>
          <w:tab w:val="num" w:pos="1209"/>
        </w:tabs>
        <w:ind w:left="1209" w:hanging="360"/>
      </w:pPr>
    </w:lvl>
  </w:abstractNum>
  <w:abstractNum w:abstractNumId="2">
    <w:nsid w:val="FFFFFF7E"/>
    <w:multiLevelType w:val="singleLevel"/>
    <w:tmpl w:val="9822D7FC"/>
    <w:lvl w:ilvl="0">
      <w:start w:val="1"/>
      <w:numFmt w:val="decimal"/>
      <w:lvlText w:val="%1."/>
      <w:lvlJc w:val="left"/>
      <w:pPr>
        <w:tabs>
          <w:tab w:val="num" w:pos="926"/>
        </w:tabs>
        <w:ind w:left="926" w:hanging="360"/>
      </w:pPr>
    </w:lvl>
  </w:abstractNum>
  <w:abstractNum w:abstractNumId="3">
    <w:nsid w:val="FFFFFF7F"/>
    <w:multiLevelType w:val="singleLevel"/>
    <w:tmpl w:val="1F4CF4C6"/>
    <w:lvl w:ilvl="0">
      <w:start w:val="1"/>
      <w:numFmt w:val="decimal"/>
      <w:lvlText w:val="%1."/>
      <w:lvlJc w:val="left"/>
      <w:pPr>
        <w:tabs>
          <w:tab w:val="num" w:pos="643"/>
        </w:tabs>
        <w:ind w:left="643" w:hanging="360"/>
      </w:pPr>
    </w:lvl>
  </w:abstractNum>
  <w:abstractNum w:abstractNumId="4">
    <w:nsid w:val="FFFFFF80"/>
    <w:multiLevelType w:val="singleLevel"/>
    <w:tmpl w:val="CAA48C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B65FAE"/>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36108728"/>
    <w:lvl w:ilvl="0">
      <w:start w:val="1"/>
      <w:numFmt w:val="decimal"/>
      <w:lvlText w:val="%1."/>
      <w:lvlJc w:val="left"/>
      <w:pPr>
        <w:tabs>
          <w:tab w:val="num" w:pos="360"/>
        </w:tabs>
        <w:ind w:left="360" w:hanging="360"/>
      </w:pPr>
    </w:lvl>
  </w:abstractNum>
  <w:abstractNum w:abstractNumId="7">
    <w:nsid w:val="FFFFFF89"/>
    <w:multiLevelType w:val="singleLevel"/>
    <w:tmpl w:val="7CE8475C"/>
    <w:lvl w:ilvl="0">
      <w:start w:val="1"/>
      <w:numFmt w:val="bullet"/>
      <w:lvlText w:val=""/>
      <w:lvlJc w:val="left"/>
      <w:pPr>
        <w:tabs>
          <w:tab w:val="num" w:pos="360"/>
        </w:tabs>
        <w:ind w:left="360" w:hanging="360"/>
      </w:pPr>
      <w:rPr>
        <w:rFonts w:ascii="Symbol" w:hAnsi="Symbol" w:hint="default"/>
      </w:rPr>
    </w:lvl>
  </w:abstractNum>
  <w:abstractNum w:abstractNumId="8">
    <w:nsid w:val="09F65444"/>
    <w:multiLevelType w:val="hybridMultilevel"/>
    <w:tmpl w:val="7A1E3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1A9B6F14"/>
    <w:multiLevelType w:val="hybridMultilevel"/>
    <w:tmpl w:val="2A6619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9C51DC0"/>
    <w:multiLevelType w:val="hybridMultilevel"/>
    <w:tmpl w:val="288CD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2BCF57AC"/>
    <w:multiLevelType w:val="hybridMultilevel"/>
    <w:tmpl w:val="02C8EC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694CE2"/>
    <w:multiLevelType w:val="hybridMultilevel"/>
    <w:tmpl w:val="9856A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7D37A00"/>
    <w:multiLevelType w:val="hybridMultilevel"/>
    <w:tmpl w:val="4D227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7B703D1F"/>
    <w:multiLevelType w:val="hybridMultilevel"/>
    <w:tmpl w:val="FE84C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0"/>
  </w:num>
  <w:num w:numId="4">
    <w:abstractNumId w:val="9"/>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11"/>
  </w:num>
  <w:num w:numId="15">
    <w:abstractNumId w:val="6"/>
  </w:num>
  <w:num w:numId="16">
    <w:abstractNumId w:val="3"/>
  </w:num>
  <w:num w:numId="17">
    <w:abstractNumId w:val="2"/>
  </w:num>
  <w:num w:numId="18">
    <w:abstractNumId w:val="1"/>
  </w:num>
  <w:num w:numId="19">
    <w:abstractNumId w:val="0"/>
  </w:num>
  <w:num w:numId="20">
    <w:abstractNumId w:val="12"/>
  </w:num>
  <w:num w:numId="21">
    <w:abstractNumId w:val="8"/>
  </w:num>
  <w:num w:numId="22">
    <w:abstractNumId w:val="16"/>
  </w:num>
  <w:num w:numId="23">
    <w:abstractNumId w:val="7"/>
  </w:num>
  <w:num w:numId="24">
    <w:abstractNumId w:val="17"/>
  </w:num>
  <w:num w:numId="25">
    <w:abstractNumId w:val="13"/>
  </w:num>
  <w:num w:numId="2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71"/>
    <w:rsid w:val="00002031"/>
    <w:rsid w:val="00004734"/>
    <w:rsid w:val="00006B22"/>
    <w:rsid w:val="00010795"/>
    <w:rsid w:val="0001276A"/>
    <w:rsid w:val="000157AB"/>
    <w:rsid w:val="000246AE"/>
    <w:rsid w:val="00025C67"/>
    <w:rsid w:val="00044772"/>
    <w:rsid w:val="0005559E"/>
    <w:rsid w:val="000604D6"/>
    <w:rsid w:val="000734D8"/>
    <w:rsid w:val="00077775"/>
    <w:rsid w:val="00090471"/>
    <w:rsid w:val="00096AA7"/>
    <w:rsid w:val="000A3AED"/>
    <w:rsid w:val="000A58C5"/>
    <w:rsid w:val="000A7689"/>
    <w:rsid w:val="000B3532"/>
    <w:rsid w:val="000B3A75"/>
    <w:rsid w:val="000C00C2"/>
    <w:rsid w:val="000C690F"/>
    <w:rsid w:val="000D1295"/>
    <w:rsid w:val="000D391B"/>
    <w:rsid w:val="000D3D6D"/>
    <w:rsid w:val="000D3F01"/>
    <w:rsid w:val="000D4FC7"/>
    <w:rsid w:val="000E6196"/>
    <w:rsid w:val="000F4869"/>
    <w:rsid w:val="000F5B42"/>
    <w:rsid w:val="000F6E6F"/>
    <w:rsid w:val="0010601F"/>
    <w:rsid w:val="0010788A"/>
    <w:rsid w:val="00107A31"/>
    <w:rsid w:val="00110DC4"/>
    <w:rsid w:val="00110EA5"/>
    <w:rsid w:val="00112F56"/>
    <w:rsid w:val="00125318"/>
    <w:rsid w:val="001305A2"/>
    <w:rsid w:val="00133238"/>
    <w:rsid w:val="00133A1B"/>
    <w:rsid w:val="00135088"/>
    <w:rsid w:val="0014197B"/>
    <w:rsid w:val="001447CD"/>
    <w:rsid w:val="001516B1"/>
    <w:rsid w:val="00154EBB"/>
    <w:rsid w:val="00156316"/>
    <w:rsid w:val="00161181"/>
    <w:rsid w:val="00162D14"/>
    <w:rsid w:val="00165389"/>
    <w:rsid w:val="0017693F"/>
    <w:rsid w:val="0018110E"/>
    <w:rsid w:val="00181684"/>
    <w:rsid w:val="001843C6"/>
    <w:rsid w:val="001850E0"/>
    <w:rsid w:val="00193ACE"/>
    <w:rsid w:val="001A2158"/>
    <w:rsid w:val="001A525F"/>
    <w:rsid w:val="001B09F9"/>
    <w:rsid w:val="001B5C90"/>
    <w:rsid w:val="001B6448"/>
    <w:rsid w:val="001C32CD"/>
    <w:rsid w:val="001D2984"/>
    <w:rsid w:val="001D6CF1"/>
    <w:rsid w:val="001E07CF"/>
    <w:rsid w:val="001E59F1"/>
    <w:rsid w:val="001F03D6"/>
    <w:rsid w:val="001F2CEE"/>
    <w:rsid w:val="001F49EB"/>
    <w:rsid w:val="001F6CBA"/>
    <w:rsid w:val="00201D4E"/>
    <w:rsid w:val="002076C9"/>
    <w:rsid w:val="0021435A"/>
    <w:rsid w:val="00220B8A"/>
    <w:rsid w:val="002257F3"/>
    <w:rsid w:val="00233456"/>
    <w:rsid w:val="002339A5"/>
    <w:rsid w:val="00234305"/>
    <w:rsid w:val="00237508"/>
    <w:rsid w:val="00257848"/>
    <w:rsid w:val="0027084A"/>
    <w:rsid w:val="00271841"/>
    <w:rsid w:val="00286434"/>
    <w:rsid w:val="00286C59"/>
    <w:rsid w:val="00291957"/>
    <w:rsid w:val="002942D1"/>
    <w:rsid w:val="0029501A"/>
    <w:rsid w:val="002A2ABD"/>
    <w:rsid w:val="002A3721"/>
    <w:rsid w:val="002B1638"/>
    <w:rsid w:val="002B3624"/>
    <w:rsid w:val="002B657A"/>
    <w:rsid w:val="002D0952"/>
    <w:rsid w:val="002D1D01"/>
    <w:rsid w:val="002E40B3"/>
    <w:rsid w:val="002E4C9A"/>
    <w:rsid w:val="002F11F8"/>
    <w:rsid w:val="002F124D"/>
    <w:rsid w:val="002F3F56"/>
    <w:rsid w:val="002F428A"/>
    <w:rsid w:val="002F44B5"/>
    <w:rsid w:val="002F460D"/>
    <w:rsid w:val="00311AC0"/>
    <w:rsid w:val="00316E54"/>
    <w:rsid w:val="003176FC"/>
    <w:rsid w:val="0032583B"/>
    <w:rsid w:val="00327883"/>
    <w:rsid w:val="00331554"/>
    <w:rsid w:val="00335504"/>
    <w:rsid w:val="00340C18"/>
    <w:rsid w:val="003442FD"/>
    <w:rsid w:val="00347824"/>
    <w:rsid w:val="00350567"/>
    <w:rsid w:val="00351BCE"/>
    <w:rsid w:val="003521E8"/>
    <w:rsid w:val="00363A2B"/>
    <w:rsid w:val="00370CE3"/>
    <w:rsid w:val="003728F3"/>
    <w:rsid w:val="0037496E"/>
    <w:rsid w:val="00383158"/>
    <w:rsid w:val="00383221"/>
    <w:rsid w:val="0038469A"/>
    <w:rsid w:val="00386150"/>
    <w:rsid w:val="003874CE"/>
    <w:rsid w:val="00390900"/>
    <w:rsid w:val="003A7F6C"/>
    <w:rsid w:val="003B4D60"/>
    <w:rsid w:val="003B7E39"/>
    <w:rsid w:val="003C58DC"/>
    <w:rsid w:val="003D1E62"/>
    <w:rsid w:val="003E0B99"/>
    <w:rsid w:val="003E2486"/>
    <w:rsid w:val="003E3208"/>
    <w:rsid w:val="003E6B11"/>
    <w:rsid w:val="003E7485"/>
    <w:rsid w:val="003F0B04"/>
    <w:rsid w:val="003F16F6"/>
    <w:rsid w:val="003F7375"/>
    <w:rsid w:val="0040134E"/>
    <w:rsid w:val="00427F26"/>
    <w:rsid w:val="004334C7"/>
    <w:rsid w:val="00435D5D"/>
    <w:rsid w:val="00440A2D"/>
    <w:rsid w:val="00441C3F"/>
    <w:rsid w:val="00442A72"/>
    <w:rsid w:val="004458AF"/>
    <w:rsid w:val="004564A7"/>
    <w:rsid w:val="004617BF"/>
    <w:rsid w:val="00463658"/>
    <w:rsid w:val="004637A0"/>
    <w:rsid w:val="004722CC"/>
    <w:rsid w:val="004825B9"/>
    <w:rsid w:val="004936E4"/>
    <w:rsid w:val="00494E60"/>
    <w:rsid w:val="00497487"/>
    <w:rsid w:val="004A0275"/>
    <w:rsid w:val="004A6189"/>
    <w:rsid w:val="004A7390"/>
    <w:rsid w:val="004B3DF9"/>
    <w:rsid w:val="004B700A"/>
    <w:rsid w:val="004B7B76"/>
    <w:rsid w:val="004C239D"/>
    <w:rsid w:val="004C2DCA"/>
    <w:rsid w:val="004C6102"/>
    <w:rsid w:val="004C61D2"/>
    <w:rsid w:val="004E1B8F"/>
    <w:rsid w:val="004F0C4A"/>
    <w:rsid w:val="004F0F38"/>
    <w:rsid w:val="004F3705"/>
    <w:rsid w:val="004F47D6"/>
    <w:rsid w:val="00501921"/>
    <w:rsid w:val="00505217"/>
    <w:rsid w:val="005125DC"/>
    <w:rsid w:val="00530354"/>
    <w:rsid w:val="0053625B"/>
    <w:rsid w:val="005434C6"/>
    <w:rsid w:val="00543B39"/>
    <w:rsid w:val="00545999"/>
    <w:rsid w:val="00546154"/>
    <w:rsid w:val="00550096"/>
    <w:rsid w:val="00555280"/>
    <w:rsid w:val="00557FF9"/>
    <w:rsid w:val="00562327"/>
    <w:rsid w:val="005703D4"/>
    <w:rsid w:val="005711D5"/>
    <w:rsid w:val="00576378"/>
    <w:rsid w:val="00577130"/>
    <w:rsid w:val="00577945"/>
    <w:rsid w:val="00577E38"/>
    <w:rsid w:val="00585322"/>
    <w:rsid w:val="005857C6"/>
    <w:rsid w:val="00592F6E"/>
    <w:rsid w:val="00593AD1"/>
    <w:rsid w:val="00597B59"/>
    <w:rsid w:val="005A68B6"/>
    <w:rsid w:val="005C5570"/>
    <w:rsid w:val="005C79A4"/>
    <w:rsid w:val="005D5442"/>
    <w:rsid w:val="005F429F"/>
    <w:rsid w:val="00603F32"/>
    <w:rsid w:val="00605AD4"/>
    <w:rsid w:val="00607220"/>
    <w:rsid w:val="006136D7"/>
    <w:rsid w:val="00625A6E"/>
    <w:rsid w:val="00632398"/>
    <w:rsid w:val="00635599"/>
    <w:rsid w:val="00637064"/>
    <w:rsid w:val="00640FC3"/>
    <w:rsid w:val="00642020"/>
    <w:rsid w:val="006473AA"/>
    <w:rsid w:val="00650104"/>
    <w:rsid w:val="0065337B"/>
    <w:rsid w:val="0065419D"/>
    <w:rsid w:val="006604D8"/>
    <w:rsid w:val="00664A5B"/>
    <w:rsid w:val="0066735C"/>
    <w:rsid w:val="006763D2"/>
    <w:rsid w:val="00680C08"/>
    <w:rsid w:val="0068323E"/>
    <w:rsid w:val="006916A0"/>
    <w:rsid w:val="006931B1"/>
    <w:rsid w:val="006A15C0"/>
    <w:rsid w:val="006C029E"/>
    <w:rsid w:val="006C3E2A"/>
    <w:rsid w:val="006C642F"/>
    <w:rsid w:val="006D03E5"/>
    <w:rsid w:val="006D5D3E"/>
    <w:rsid w:val="006D6582"/>
    <w:rsid w:val="006E08B3"/>
    <w:rsid w:val="006F1429"/>
    <w:rsid w:val="006F17AC"/>
    <w:rsid w:val="006F25B8"/>
    <w:rsid w:val="006F4749"/>
    <w:rsid w:val="006F572E"/>
    <w:rsid w:val="006F7390"/>
    <w:rsid w:val="007046D6"/>
    <w:rsid w:val="00704B63"/>
    <w:rsid w:val="00705DB0"/>
    <w:rsid w:val="007155FE"/>
    <w:rsid w:val="00721450"/>
    <w:rsid w:val="00722B57"/>
    <w:rsid w:val="00730F8A"/>
    <w:rsid w:val="007343FA"/>
    <w:rsid w:val="00735A8C"/>
    <w:rsid w:val="0074253D"/>
    <w:rsid w:val="00743598"/>
    <w:rsid w:val="0074429B"/>
    <w:rsid w:val="007615BC"/>
    <w:rsid w:val="00762F05"/>
    <w:rsid w:val="007652FF"/>
    <w:rsid w:val="00767488"/>
    <w:rsid w:val="00770CAC"/>
    <w:rsid w:val="00770EF1"/>
    <w:rsid w:val="00773EF7"/>
    <w:rsid w:val="00774E1D"/>
    <w:rsid w:val="007765D8"/>
    <w:rsid w:val="0077675A"/>
    <w:rsid w:val="00780355"/>
    <w:rsid w:val="007819FD"/>
    <w:rsid w:val="00785717"/>
    <w:rsid w:val="00785721"/>
    <w:rsid w:val="00793A59"/>
    <w:rsid w:val="007B6132"/>
    <w:rsid w:val="007B65D7"/>
    <w:rsid w:val="007B6E9F"/>
    <w:rsid w:val="007B754C"/>
    <w:rsid w:val="007C1216"/>
    <w:rsid w:val="007C1AF7"/>
    <w:rsid w:val="007C2505"/>
    <w:rsid w:val="007C6B9B"/>
    <w:rsid w:val="007D34EB"/>
    <w:rsid w:val="00802489"/>
    <w:rsid w:val="00805D27"/>
    <w:rsid w:val="00806DCB"/>
    <w:rsid w:val="00811058"/>
    <w:rsid w:val="00821776"/>
    <w:rsid w:val="008260BB"/>
    <w:rsid w:val="008321F5"/>
    <w:rsid w:val="00832369"/>
    <w:rsid w:val="00832EF8"/>
    <w:rsid w:val="00834660"/>
    <w:rsid w:val="00836BC2"/>
    <w:rsid w:val="00842AD4"/>
    <w:rsid w:val="0085156D"/>
    <w:rsid w:val="0085641B"/>
    <w:rsid w:val="00856BEE"/>
    <w:rsid w:val="00857136"/>
    <w:rsid w:val="00866299"/>
    <w:rsid w:val="00875A6B"/>
    <w:rsid w:val="00885B11"/>
    <w:rsid w:val="00886D15"/>
    <w:rsid w:val="00887DD8"/>
    <w:rsid w:val="00891BA9"/>
    <w:rsid w:val="00896018"/>
    <w:rsid w:val="008960DD"/>
    <w:rsid w:val="0089635C"/>
    <w:rsid w:val="008A106C"/>
    <w:rsid w:val="008A2B9D"/>
    <w:rsid w:val="008A3D9F"/>
    <w:rsid w:val="008A5E0B"/>
    <w:rsid w:val="008A6D59"/>
    <w:rsid w:val="008B06B0"/>
    <w:rsid w:val="008B4B03"/>
    <w:rsid w:val="008B596F"/>
    <w:rsid w:val="008C159F"/>
    <w:rsid w:val="008C1623"/>
    <w:rsid w:val="008C1850"/>
    <w:rsid w:val="008C51A9"/>
    <w:rsid w:val="008E7846"/>
    <w:rsid w:val="008F02E5"/>
    <w:rsid w:val="008F1CCC"/>
    <w:rsid w:val="008F2967"/>
    <w:rsid w:val="008F3092"/>
    <w:rsid w:val="008F6943"/>
    <w:rsid w:val="00902A21"/>
    <w:rsid w:val="00913A57"/>
    <w:rsid w:val="00920330"/>
    <w:rsid w:val="009219D7"/>
    <w:rsid w:val="00922B8B"/>
    <w:rsid w:val="00922D53"/>
    <w:rsid w:val="00923B70"/>
    <w:rsid w:val="00924482"/>
    <w:rsid w:val="00930237"/>
    <w:rsid w:val="00937C17"/>
    <w:rsid w:val="00940A89"/>
    <w:rsid w:val="00946EA5"/>
    <w:rsid w:val="00952445"/>
    <w:rsid w:val="00963C08"/>
    <w:rsid w:val="009752A5"/>
    <w:rsid w:val="0098585A"/>
    <w:rsid w:val="009A0FC3"/>
    <w:rsid w:val="009A4CED"/>
    <w:rsid w:val="009A690D"/>
    <w:rsid w:val="009A772C"/>
    <w:rsid w:val="009B1D12"/>
    <w:rsid w:val="009B3561"/>
    <w:rsid w:val="009B416B"/>
    <w:rsid w:val="009C4BD5"/>
    <w:rsid w:val="009D4F17"/>
    <w:rsid w:val="009D6055"/>
    <w:rsid w:val="009D7B77"/>
    <w:rsid w:val="009E0BB0"/>
    <w:rsid w:val="009E3322"/>
    <w:rsid w:val="009E3FBB"/>
    <w:rsid w:val="009E400F"/>
    <w:rsid w:val="009E6095"/>
    <w:rsid w:val="009F31FF"/>
    <w:rsid w:val="009F4A5A"/>
    <w:rsid w:val="009F7353"/>
    <w:rsid w:val="00A04F85"/>
    <w:rsid w:val="00A05FA4"/>
    <w:rsid w:val="00A102E4"/>
    <w:rsid w:val="00A12C42"/>
    <w:rsid w:val="00A14DF7"/>
    <w:rsid w:val="00A20918"/>
    <w:rsid w:val="00A22803"/>
    <w:rsid w:val="00A3246D"/>
    <w:rsid w:val="00A36FA7"/>
    <w:rsid w:val="00A44DDB"/>
    <w:rsid w:val="00A475B7"/>
    <w:rsid w:val="00A47AF7"/>
    <w:rsid w:val="00A47C3E"/>
    <w:rsid w:val="00A50226"/>
    <w:rsid w:val="00A56327"/>
    <w:rsid w:val="00A60BAD"/>
    <w:rsid w:val="00A80B5B"/>
    <w:rsid w:val="00A84E36"/>
    <w:rsid w:val="00A912D9"/>
    <w:rsid w:val="00A93992"/>
    <w:rsid w:val="00A95318"/>
    <w:rsid w:val="00A964D1"/>
    <w:rsid w:val="00AA0ED0"/>
    <w:rsid w:val="00AC2B40"/>
    <w:rsid w:val="00AC2BB2"/>
    <w:rsid w:val="00AC2C3C"/>
    <w:rsid w:val="00AC512D"/>
    <w:rsid w:val="00AD0083"/>
    <w:rsid w:val="00AD3935"/>
    <w:rsid w:val="00AE65EB"/>
    <w:rsid w:val="00AE67A7"/>
    <w:rsid w:val="00AF0081"/>
    <w:rsid w:val="00AF1D94"/>
    <w:rsid w:val="00AF60C5"/>
    <w:rsid w:val="00B009C6"/>
    <w:rsid w:val="00B01548"/>
    <w:rsid w:val="00B03271"/>
    <w:rsid w:val="00B05456"/>
    <w:rsid w:val="00B13EBD"/>
    <w:rsid w:val="00B21D29"/>
    <w:rsid w:val="00B25034"/>
    <w:rsid w:val="00B33588"/>
    <w:rsid w:val="00B33863"/>
    <w:rsid w:val="00B37D17"/>
    <w:rsid w:val="00B4175E"/>
    <w:rsid w:val="00B452CE"/>
    <w:rsid w:val="00B4561A"/>
    <w:rsid w:val="00B54C25"/>
    <w:rsid w:val="00B66A9D"/>
    <w:rsid w:val="00B71F00"/>
    <w:rsid w:val="00B76B91"/>
    <w:rsid w:val="00B77EB1"/>
    <w:rsid w:val="00B811C6"/>
    <w:rsid w:val="00B855B0"/>
    <w:rsid w:val="00B925EA"/>
    <w:rsid w:val="00B92E08"/>
    <w:rsid w:val="00BC4BD7"/>
    <w:rsid w:val="00BC622A"/>
    <w:rsid w:val="00BD2431"/>
    <w:rsid w:val="00BE0A78"/>
    <w:rsid w:val="00BE79F0"/>
    <w:rsid w:val="00BF046D"/>
    <w:rsid w:val="00BF1190"/>
    <w:rsid w:val="00BF5D04"/>
    <w:rsid w:val="00BF5E1E"/>
    <w:rsid w:val="00C009AA"/>
    <w:rsid w:val="00C0230F"/>
    <w:rsid w:val="00C1164D"/>
    <w:rsid w:val="00C145D1"/>
    <w:rsid w:val="00C16861"/>
    <w:rsid w:val="00C345CD"/>
    <w:rsid w:val="00C346AB"/>
    <w:rsid w:val="00C404A6"/>
    <w:rsid w:val="00C40A36"/>
    <w:rsid w:val="00C44419"/>
    <w:rsid w:val="00C45E7B"/>
    <w:rsid w:val="00C471B1"/>
    <w:rsid w:val="00C6316B"/>
    <w:rsid w:val="00C634A9"/>
    <w:rsid w:val="00C64586"/>
    <w:rsid w:val="00C70D53"/>
    <w:rsid w:val="00C73D0B"/>
    <w:rsid w:val="00C772FF"/>
    <w:rsid w:val="00C80137"/>
    <w:rsid w:val="00C801AF"/>
    <w:rsid w:val="00C80256"/>
    <w:rsid w:val="00C94CD4"/>
    <w:rsid w:val="00C9747E"/>
    <w:rsid w:val="00CA2557"/>
    <w:rsid w:val="00CB48DA"/>
    <w:rsid w:val="00CB6BC0"/>
    <w:rsid w:val="00CC1B7C"/>
    <w:rsid w:val="00CC5504"/>
    <w:rsid w:val="00CC727F"/>
    <w:rsid w:val="00CF15C3"/>
    <w:rsid w:val="00CF2B6F"/>
    <w:rsid w:val="00CF2F3E"/>
    <w:rsid w:val="00CF58B6"/>
    <w:rsid w:val="00D0062D"/>
    <w:rsid w:val="00D017ED"/>
    <w:rsid w:val="00D040D3"/>
    <w:rsid w:val="00D04C65"/>
    <w:rsid w:val="00D1720E"/>
    <w:rsid w:val="00D201D2"/>
    <w:rsid w:val="00D224FE"/>
    <w:rsid w:val="00D23139"/>
    <w:rsid w:val="00D408A4"/>
    <w:rsid w:val="00D4150F"/>
    <w:rsid w:val="00D425BB"/>
    <w:rsid w:val="00D53D89"/>
    <w:rsid w:val="00D6493E"/>
    <w:rsid w:val="00D67AC7"/>
    <w:rsid w:val="00D67E6B"/>
    <w:rsid w:val="00D7195D"/>
    <w:rsid w:val="00D7301E"/>
    <w:rsid w:val="00D81752"/>
    <w:rsid w:val="00D83AE1"/>
    <w:rsid w:val="00D855D4"/>
    <w:rsid w:val="00D902C9"/>
    <w:rsid w:val="00D93466"/>
    <w:rsid w:val="00DA1124"/>
    <w:rsid w:val="00DB6124"/>
    <w:rsid w:val="00DB750B"/>
    <w:rsid w:val="00DB75B7"/>
    <w:rsid w:val="00DC6E02"/>
    <w:rsid w:val="00DD28CD"/>
    <w:rsid w:val="00DD351A"/>
    <w:rsid w:val="00DE02AE"/>
    <w:rsid w:val="00DF1D7F"/>
    <w:rsid w:val="00DF4BE4"/>
    <w:rsid w:val="00E02FB4"/>
    <w:rsid w:val="00E04258"/>
    <w:rsid w:val="00E13FC7"/>
    <w:rsid w:val="00E20571"/>
    <w:rsid w:val="00E235F7"/>
    <w:rsid w:val="00E23659"/>
    <w:rsid w:val="00E239D4"/>
    <w:rsid w:val="00E26130"/>
    <w:rsid w:val="00E31B86"/>
    <w:rsid w:val="00E40B22"/>
    <w:rsid w:val="00E44ED1"/>
    <w:rsid w:val="00E45619"/>
    <w:rsid w:val="00E4588F"/>
    <w:rsid w:val="00E46DA3"/>
    <w:rsid w:val="00E51BB1"/>
    <w:rsid w:val="00E624A5"/>
    <w:rsid w:val="00E64BA4"/>
    <w:rsid w:val="00E7344E"/>
    <w:rsid w:val="00E742F6"/>
    <w:rsid w:val="00E82665"/>
    <w:rsid w:val="00E87968"/>
    <w:rsid w:val="00EA1E8B"/>
    <w:rsid w:val="00EB0798"/>
    <w:rsid w:val="00EB40AD"/>
    <w:rsid w:val="00EB586E"/>
    <w:rsid w:val="00EB5FC8"/>
    <w:rsid w:val="00EC463D"/>
    <w:rsid w:val="00EC7A85"/>
    <w:rsid w:val="00ED2922"/>
    <w:rsid w:val="00ED3CAD"/>
    <w:rsid w:val="00ED5A41"/>
    <w:rsid w:val="00EE1DE8"/>
    <w:rsid w:val="00EE27C2"/>
    <w:rsid w:val="00EF4BAD"/>
    <w:rsid w:val="00EF59DC"/>
    <w:rsid w:val="00F033EC"/>
    <w:rsid w:val="00F04F68"/>
    <w:rsid w:val="00F0609A"/>
    <w:rsid w:val="00F10771"/>
    <w:rsid w:val="00F12670"/>
    <w:rsid w:val="00F14B27"/>
    <w:rsid w:val="00F3148D"/>
    <w:rsid w:val="00F325C5"/>
    <w:rsid w:val="00F32FE0"/>
    <w:rsid w:val="00F35298"/>
    <w:rsid w:val="00F47333"/>
    <w:rsid w:val="00F47E37"/>
    <w:rsid w:val="00F53C07"/>
    <w:rsid w:val="00F54B65"/>
    <w:rsid w:val="00F634F0"/>
    <w:rsid w:val="00F640B6"/>
    <w:rsid w:val="00F66DF2"/>
    <w:rsid w:val="00F80E40"/>
    <w:rsid w:val="00F84096"/>
    <w:rsid w:val="00F848D9"/>
    <w:rsid w:val="00F85BF0"/>
    <w:rsid w:val="00F922F5"/>
    <w:rsid w:val="00F9718C"/>
    <w:rsid w:val="00FA5B82"/>
    <w:rsid w:val="00FA639E"/>
    <w:rsid w:val="00FC1FCA"/>
    <w:rsid w:val="00FC25E4"/>
    <w:rsid w:val="00FC4EF7"/>
    <w:rsid w:val="00FD0824"/>
    <w:rsid w:val="00FD119B"/>
    <w:rsid w:val="00FD166D"/>
    <w:rsid w:val="00FD1EDC"/>
    <w:rsid w:val="00FD6181"/>
    <w:rsid w:val="00FE1DEE"/>
    <w:rsid w:val="00FE45D0"/>
    <w:rsid w:val="00FF08AC"/>
    <w:rsid w:val="00FF2126"/>
    <w:rsid w:val="00FF36FE"/>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4150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3F16F6"/>
    <w:pPr>
      <w:spacing w:before="0" w:after="0" w:line="240" w:lineRule="auto"/>
      <w:ind w:left="720"/>
    </w:pPr>
    <w:rPr>
      <w:rFonts w:ascii="Calibri" w:eastAsiaTheme="minorHAnsi" w:hAnsi="Calibri" w:cs="Calibri"/>
      <w:lang w:eastAsia="en-AU"/>
    </w:rPr>
  </w:style>
  <w:style w:type="paragraph" w:customStyle="1" w:styleId="Default">
    <w:name w:val="Default"/>
    <w:rsid w:val="00F85BF0"/>
    <w:pPr>
      <w:autoSpaceDE w:val="0"/>
      <w:autoSpaceDN w:val="0"/>
      <w:adjustRightInd w:val="0"/>
      <w:spacing w:after="0" w:line="240" w:lineRule="auto"/>
    </w:pPr>
    <w:rPr>
      <w:rFonts w:ascii="Arial" w:hAnsi="Arial" w:cs="Arial"/>
      <w:color w:val="000000"/>
      <w:sz w:val="24"/>
      <w:szCs w:val="24"/>
    </w:rPr>
  </w:style>
  <w:style w:type="paragraph" w:customStyle="1" w:styleId="Bulletpoint">
    <w:name w:val="Bullet point"/>
    <w:basedOn w:val="Normal"/>
    <w:rsid w:val="00CB48DA"/>
    <w:pPr>
      <w:numPr>
        <w:numId w:val="5"/>
      </w:numPr>
      <w:tabs>
        <w:tab w:val="clear" w:pos="369"/>
        <w:tab w:val="left" w:pos="397"/>
        <w:tab w:val="num" w:pos="511"/>
      </w:tabs>
      <w:spacing w:before="0" w:after="180" w:line="252" w:lineRule="auto"/>
    </w:pPr>
    <w:rPr>
      <w:rFonts w:eastAsia="Times New Roman"/>
      <w:snapToGrid w:val="0"/>
      <w:kern w:val="16"/>
      <w:szCs w:val="24"/>
    </w:rPr>
  </w:style>
  <w:style w:type="character" w:customStyle="1" w:styleId="pubtitle">
    <w:name w:val="pubtitle"/>
    <w:basedOn w:val="DefaultParagraphFont"/>
    <w:rsid w:val="00CB48DA"/>
  </w:style>
  <w:style w:type="paragraph" w:customStyle="1" w:styleId="Standard">
    <w:name w:val="Standard"/>
    <w:basedOn w:val="Normal"/>
    <w:link w:val="StandardChar"/>
    <w:rsid w:val="00CB48DA"/>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CB48DA"/>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CB48DA"/>
    <w:pPr>
      <w:spacing w:after="0"/>
    </w:pPr>
    <w:rPr>
      <w:sz w:val="16"/>
      <w:szCs w:val="16"/>
    </w:rPr>
  </w:style>
  <w:style w:type="paragraph" w:customStyle="1" w:styleId="AssessmentSubsection">
    <w:name w:val="Assessment Subsection"/>
    <w:basedOn w:val="Standard"/>
    <w:next w:val="Standard"/>
    <w:rsid w:val="00CB48DA"/>
    <w:pPr>
      <w:keepNext/>
      <w:spacing w:after="110"/>
      <w:outlineLvl w:val="2"/>
    </w:pPr>
    <w:rPr>
      <w:b/>
      <w:i/>
    </w:rPr>
  </w:style>
  <w:style w:type="character" w:customStyle="1" w:styleId="WhiteSpaceChar">
    <w:name w:val="White Space Char"/>
    <w:basedOn w:val="DefaultParagraphFont"/>
    <w:link w:val="WhiteSpace"/>
    <w:rsid w:val="00CB48DA"/>
    <w:rPr>
      <w:rFonts w:ascii="Cambria" w:eastAsia="Times New Roman" w:hAnsi="Cambria" w:cs="Times New Roman"/>
      <w:snapToGrid w:val="0"/>
      <w:kern w:val="16"/>
      <w:sz w:val="16"/>
      <w:szCs w:val="16"/>
    </w:rPr>
  </w:style>
  <w:style w:type="paragraph" w:customStyle="1" w:styleId="AssessmentSubsection2">
    <w:name w:val="Assessment Subsection 2"/>
    <w:basedOn w:val="Normal"/>
    <w:next w:val="Standard"/>
    <w:rsid w:val="004C6102"/>
    <w:pPr>
      <w:keepNext/>
      <w:spacing w:before="0" w:after="110" w:line="252" w:lineRule="auto"/>
      <w:outlineLvl w:val="3"/>
    </w:pPr>
    <w:rPr>
      <w:rFonts w:eastAsia="Times New Roman"/>
      <w:i/>
      <w:snapToGrid w:val="0"/>
      <w:kern w:val="16"/>
      <w:szCs w:val="24"/>
    </w:rPr>
  </w:style>
  <w:style w:type="paragraph" w:customStyle="1" w:styleId="AssessmentSection">
    <w:name w:val="Assessment Section"/>
    <w:basedOn w:val="Normal"/>
    <w:next w:val="Normal"/>
    <w:rsid w:val="004C6102"/>
    <w:pPr>
      <w:keepNext/>
      <w:spacing w:before="0" w:after="110" w:line="252" w:lineRule="auto"/>
      <w:outlineLvl w:val="1"/>
    </w:pPr>
    <w:rPr>
      <w:rFonts w:eastAsia="Times New Roman"/>
      <w:b/>
      <w:snapToGrid w:val="0"/>
      <w:kern w:val="16"/>
      <w:szCs w:val="24"/>
    </w:rPr>
  </w:style>
  <w:style w:type="paragraph" w:styleId="NormalWeb">
    <w:name w:val="Normal (Web)"/>
    <w:basedOn w:val="Normal"/>
    <w:uiPriority w:val="99"/>
    <w:semiHidden/>
    <w:unhideWhenUsed/>
    <w:rsid w:val="008F3092"/>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1"/>
    <w:unhideWhenUsed/>
    <w:qFormat/>
    <w:rsid w:val="00721450"/>
  </w:style>
  <w:style w:type="character" w:customStyle="1" w:styleId="BodyTextChar">
    <w:name w:val="Body Text Char"/>
    <w:basedOn w:val="DefaultParagraphFont"/>
    <w:link w:val="BodyText"/>
    <w:uiPriority w:val="1"/>
    <w:rsid w:val="00721450"/>
    <w:rPr>
      <w:rFonts w:ascii="Cambria" w:eastAsia="Cambria" w:hAnsi="Cambria" w:cs="Times New Roman"/>
    </w:rPr>
  </w:style>
  <w:style w:type="paragraph" w:styleId="NoSpacing">
    <w:name w:val="No Spacing"/>
    <w:uiPriority w:val="1"/>
    <w:qFormat/>
    <w:rsid w:val="00442A72"/>
    <w:pPr>
      <w:spacing w:after="0" w:line="240" w:lineRule="auto"/>
    </w:pPr>
    <w:rPr>
      <w:rFonts w:ascii="Times New Roman" w:hAnsi="Times New Roman"/>
      <w:sz w:val="24"/>
    </w:rPr>
  </w:style>
  <w:style w:type="paragraph" w:customStyle="1" w:styleId="Tabletitle0">
    <w:name w:val="Table title"/>
    <w:basedOn w:val="Normal"/>
    <w:next w:val="Normal"/>
    <w:rsid w:val="00F0609A"/>
    <w:pPr>
      <w:keepNext/>
      <w:spacing w:after="180"/>
      <w:outlineLvl w:val="4"/>
    </w:pPr>
    <w:rPr>
      <w:rFonts w:cstheme="minorBidi"/>
      <w:b/>
    </w:rPr>
  </w:style>
  <w:style w:type="character" w:customStyle="1" w:styleId="st1">
    <w:name w:val="st1"/>
    <w:basedOn w:val="DefaultParagraphFont"/>
    <w:rsid w:val="00A912D9"/>
  </w:style>
  <w:style w:type="table" w:customStyle="1" w:styleId="TableTGAblue1">
    <w:name w:val="Table TGA blue1"/>
    <w:basedOn w:val="TableNormal"/>
    <w:uiPriority w:val="99"/>
    <w:qFormat/>
    <w:rsid w:val="00A912D9"/>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apple-converted-space">
    <w:name w:val="apple-converted-space"/>
    <w:basedOn w:val="DefaultParagraphFont"/>
    <w:rsid w:val="008260BB"/>
  </w:style>
  <w:style w:type="character" w:styleId="Emphasis">
    <w:name w:val="Emphasis"/>
    <w:basedOn w:val="DefaultParagraphFont"/>
    <w:uiPriority w:val="20"/>
    <w:qFormat/>
    <w:rsid w:val="00271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D4150F"/>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3"/>
      </w:numPr>
    </w:pPr>
  </w:style>
  <w:style w:type="paragraph" w:styleId="ListBullet2">
    <w:name w:val="List Bullet 2"/>
    <w:basedOn w:val="Normal"/>
    <w:uiPriority w:val="99"/>
    <w:qFormat/>
    <w:rsid w:val="004C2DCA"/>
    <w:pPr>
      <w:numPr>
        <w:ilvl w:val="1"/>
        <w:numId w:val="3"/>
      </w:numPr>
    </w:pPr>
  </w:style>
  <w:style w:type="paragraph" w:styleId="ListBullet3">
    <w:name w:val="List Bullet 3"/>
    <w:basedOn w:val="Normal"/>
    <w:uiPriority w:val="99"/>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3F16F6"/>
    <w:pPr>
      <w:spacing w:before="0" w:after="0" w:line="240" w:lineRule="auto"/>
      <w:ind w:left="720"/>
    </w:pPr>
    <w:rPr>
      <w:rFonts w:ascii="Calibri" w:eastAsiaTheme="minorHAnsi" w:hAnsi="Calibri" w:cs="Calibri"/>
      <w:lang w:eastAsia="en-AU"/>
    </w:rPr>
  </w:style>
  <w:style w:type="paragraph" w:customStyle="1" w:styleId="Default">
    <w:name w:val="Default"/>
    <w:rsid w:val="00F85BF0"/>
    <w:pPr>
      <w:autoSpaceDE w:val="0"/>
      <w:autoSpaceDN w:val="0"/>
      <w:adjustRightInd w:val="0"/>
      <w:spacing w:after="0" w:line="240" w:lineRule="auto"/>
    </w:pPr>
    <w:rPr>
      <w:rFonts w:ascii="Arial" w:hAnsi="Arial" w:cs="Arial"/>
      <w:color w:val="000000"/>
      <w:sz w:val="24"/>
      <w:szCs w:val="24"/>
    </w:rPr>
  </w:style>
  <w:style w:type="paragraph" w:customStyle="1" w:styleId="Bulletpoint">
    <w:name w:val="Bullet point"/>
    <w:basedOn w:val="Normal"/>
    <w:rsid w:val="00CB48DA"/>
    <w:pPr>
      <w:numPr>
        <w:numId w:val="5"/>
      </w:numPr>
      <w:tabs>
        <w:tab w:val="clear" w:pos="369"/>
        <w:tab w:val="left" w:pos="397"/>
        <w:tab w:val="num" w:pos="511"/>
      </w:tabs>
      <w:spacing w:before="0" w:after="180" w:line="252" w:lineRule="auto"/>
    </w:pPr>
    <w:rPr>
      <w:rFonts w:eastAsia="Times New Roman"/>
      <w:snapToGrid w:val="0"/>
      <w:kern w:val="16"/>
      <w:szCs w:val="24"/>
    </w:rPr>
  </w:style>
  <w:style w:type="character" w:customStyle="1" w:styleId="pubtitle">
    <w:name w:val="pubtitle"/>
    <w:basedOn w:val="DefaultParagraphFont"/>
    <w:rsid w:val="00CB48DA"/>
  </w:style>
  <w:style w:type="paragraph" w:customStyle="1" w:styleId="Standard">
    <w:name w:val="Standard"/>
    <w:basedOn w:val="Normal"/>
    <w:link w:val="StandardChar"/>
    <w:rsid w:val="00CB48DA"/>
    <w:pPr>
      <w:spacing w:before="0" w:after="220" w:line="252" w:lineRule="auto"/>
    </w:pPr>
    <w:rPr>
      <w:rFonts w:eastAsia="Times New Roman"/>
      <w:snapToGrid w:val="0"/>
      <w:kern w:val="16"/>
      <w:szCs w:val="24"/>
    </w:rPr>
  </w:style>
  <w:style w:type="character" w:customStyle="1" w:styleId="StandardChar">
    <w:name w:val="Standard Char"/>
    <w:basedOn w:val="DefaultParagraphFont"/>
    <w:link w:val="Standard"/>
    <w:rsid w:val="00CB48DA"/>
    <w:rPr>
      <w:rFonts w:ascii="Cambria" w:eastAsia="Times New Roman" w:hAnsi="Cambria" w:cs="Times New Roman"/>
      <w:snapToGrid w:val="0"/>
      <w:kern w:val="16"/>
      <w:szCs w:val="24"/>
    </w:rPr>
  </w:style>
  <w:style w:type="paragraph" w:customStyle="1" w:styleId="WhiteSpace">
    <w:name w:val="White Space"/>
    <w:basedOn w:val="Standard"/>
    <w:next w:val="Standard"/>
    <w:link w:val="WhiteSpaceChar"/>
    <w:rsid w:val="00CB48DA"/>
    <w:pPr>
      <w:spacing w:after="0"/>
    </w:pPr>
    <w:rPr>
      <w:sz w:val="16"/>
      <w:szCs w:val="16"/>
    </w:rPr>
  </w:style>
  <w:style w:type="paragraph" w:customStyle="1" w:styleId="AssessmentSubsection">
    <w:name w:val="Assessment Subsection"/>
    <w:basedOn w:val="Standard"/>
    <w:next w:val="Standard"/>
    <w:rsid w:val="00CB48DA"/>
    <w:pPr>
      <w:keepNext/>
      <w:spacing w:after="110"/>
      <w:outlineLvl w:val="2"/>
    </w:pPr>
    <w:rPr>
      <w:b/>
      <w:i/>
    </w:rPr>
  </w:style>
  <w:style w:type="character" w:customStyle="1" w:styleId="WhiteSpaceChar">
    <w:name w:val="White Space Char"/>
    <w:basedOn w:val="DefaultParagraphFont"/>
    <w:link w:val="WhiteSpace"/>
    <w:rsid w:val="00CB48DA"/>
    <w:rPr>
      <w:rFonts w:ascii="Cambria" w:eastAsia="Times New Roman" w:hAnsi="Cambria" w:cs="Times New Roman"/>
      <w:snapToGrid w:val="0"/>
      <w:kern w:val="16"/>
      <w:sz w:val="16"/>
      <w:szCs w:val="16"/>
    </w:rPr>
  </w:style>
  <w:style w:type="paragraph" w:customStyle="1" w:styleId="AssessmentSubsection2">
    <w:name w:val="Assessment Subsection 2"/>
    <w:basedOn w:val="Normal"/>
    <w:next w:val="Standard"/>
    <w:rsid w:val="004C6102"/>
    <w:pPr>
      <w:keepNext/>
      <w:spacing w:before="0" w:after="110" w:line="252" w:lineRule="auto"/>
      <w:outlineLvl w:val="3"/>
    </w:pPr>
    <w:rPr>
      <w:rFonts w:eastAsia="Times New Roman"/>
      <w:i/>
      <w:snapToGrid w:val="0"/>
      <w:kern w:val="16"/>
      <w:szCs w:val="24"/>
    </w:rPr>
  </w:style>
  <w:style w:type="paragraph" w:customStyle="1" w:styleId="AssessmentSection">
    <w:name w:val="Assessment Section"/>
    <w:basedOn w:val="Normal"/>
    <w:next w:val="Normal"/>
    <w:rsid w:val="004C6102"/>
    <w:pPr>
      <w:keepNext/>
      <w:spacing w:before="0" w:after="110" w:line="252" w:lineRule="auto"/>
      <w:outlineLvl w:val="1"/>
    </w:pPr>
    <w:rPr>
      <w:rFonts w:eastAsia="Times New Roman"/>
      <w:b/>
      <w:snapToGrid w:val="0"/>
      <w:kern w:val="16"/>
      <w:szCs w:val="24"/>
    </w:rPr>
  </w:style>
  <w:style w:type="paragraph" w:styleId="NormalWeb">
    <w:name w:val="Normal (Web)"/>
    <w:basedOn w:val="Normal"/>
    <w:uiPriority w:val="99"/>
    <w:semiHidden/>
    <w:unhideWhenUsed/>
    <w:rsid w:val="008F3092"/>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uiPriority w:val="1"/>
    <w:unhideWhenUsed/>
    <w:qFormat/>
    <w:rsid w:val="00721450"/>
  </w:style>
  <w:style w:type="character" w:customStyle="1" w:styleId="BodyTextChar">
    <w:name w:val="Body Text Char"/>
    <w:basedOn w:val="DefaultParagraphFont"/>
    <w:link w:val="BodyText"/>
    <w:uiPriority w:val="1"/>
    <w:rsid w:val="00721450"/>
    <w:rPr>
      <w:rFonts w:ascii="Cambria" w:eastAsia="Cambria" w:hAnsi="Cambria" w:cs="Times New Roman"/>
    </w:rPr>
  </w:style>
  <w:style w:type="paragraph" w:styleId="NoSpacing">
    <w:name w:val="No Spacing"/>
    <w:uiPriority w:val="1"/>
    <w:qFormat/>
    <w:rsid w:val="00442A72"/>
    <w:pPr>
      <w:spacing w:after="0" w:line="240" w:lineRule="auto"/>
    </w:pPr>
    <w:rPr>
      <w:rFonts w:ascii="Times New Roman" w:hAnsi="Times New Roman"/>
      <w:sz w:val="24"/>
    </w:rPr>
  </w:style>
  <w:style w:type="paragraph" w:customStyle="1" w:styleId="Tabletitle0">
    <w:name w:val="Table title"/>
    <w:basedOn w:val="Normal"/>
    <w:next w:val="Normal"/>
    <w:rsid w:val="00F0609A"/>
    <w:pPr>
      <w:keepNext/>
      <w:spacing w:after="180"/>
      <w:outlineLvl w:val="4"/>
    </w:pPr>
    <w:rPr>
      <w:rFonts w:cstheme="minorBidi"/>
      <w:b/>
    </w:rPr>
  </w:style>
  <w:style w:type="character" w:customStyle="1" w:styleId="st1">
    <w:name w:val="st1"/>
    <w:basedOn w:val="DefaultParagraphFont"/>
    <w:rsid w:val="00A912D9"/>
  </w:style>
  <w:style w:type="table" w:customStyle="1" w:styleId="TableTGAblue1">
    <w:name w:val="Table TGA blue1"/>
    <w:basedOn w:val="TableNormal"/>
    <w:uiPriority w:val="99"/>
    <w:qFormat/>
    <w:rsid w:val="00A912D9"/>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character" w:customStyle="1" w:styleId="apple-converted-space">
    <w:name w:val="apple-converted-space"/>
    <w:basedOn w:val="DefaultParagraphFont"/>
    <w:rsid w:val="008260BB"/>
  </w:style>
  <w:style w:type="character" w:styleId="Emphasis">
    <w:name w:val="Emphasis"/>
    <w:basedOn w:val="DefaultParagraphFont"/>
    <w:uiPriority w:val="20"/>
    <w:qFormat/>
    <w:rsid w:val="00271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0004">
      <w:bodyDiv w:val="1"/>
      <w:marLeft w:val="0"/>
      <w:marRight w:val="0"/>
      <w:marTop w:val="0"/>
      <w:marBottom w:val="0"/>
      <w:divBdr>
        <w:top w:val="none" w:sz="0" w:space="0" w:color="auto"/>
        <w:left w:val="none" w:sz="0" w:space="0" w:color="auto"/>
        <w:bottom w:val="none" w:sz="0" w:space="0" w:color="auto"/>
        <w:right w:val="none" w:sz="0" w:space="0" w:color="auto"/>
      </w:divBdr>
    </w:div>
    <w:div w:id="368722121">
      <w:bodyDiv w:val="1"/>
      <w:marLeft w:val="0"/>
      <w:marRight w:val="0"/>
      <w:marTop w:val="0"/>
      <w:marBottom w:val="0"/>
      <w:divBdr>
        <w:top w:val="none" w:sz="0" w:space="0" w:color="auto"/>
        <w:left w:val="none" w:sz="0" w:space="0" w:color="auto"/>
        <w:bottom w:val="none" w:sz="0" w:space="0" w:color="auto"/>
        <w:right w:val="none" w:sz="0" w:space="0" w:color="auto"/>
      </w:divBdr>
    </w:div>
    <w:div w:id="399863349">
      <w:bodyDiv w:val="1"/>
      <w:marLeft w:val="0"/>
      <w:marRight w:val="0"/>
      <w:marTop w:val="0"/>
      <w:marBottom w:val="0"/>
      <w:divBdr>
        <w:top w:val="none" w:sz="0" w:space="0" w:color="auto"/>
        <w:left w:val="none" w:sz="0" w:space="0" w:color="auto"/>
        <w:bottom w:val="none" w:sz="0" w:space="0" w:color="auto"/>
        <w:right w:val="none" w:sz="0" w:space="0" w:color="auto"/>
      </w:divBdr>
    </w:div>
    <w:div w:id="489635254">
      <w:bodyDiv w:val="1"/>
      <w:marLeft w:val="0"/>
      <w:marRight w:val="0"/>
      <w:marTop w:val="0"/>
      <w:marBottom w:val="0"/>
      <w:divBdr>
        <w:top w:val="none" w:sz="0" w:space="0" w:color="auto"/>
        <w:left w:val="none" w:sz="0" w:space="0" w:color="auto"/>
        <w:bottom w:val="none" w:sz="0" w:space="0" w:color="auto"/>
        <w:right w:val="none" w:sz="0" w:space="0" w:color="auto"/>
      </w:divBdr>
    </w:div>
    <w:div w:id="917637496">
      <w:bodyDiv w:val="1"/>
      <w:marLeft w:val="0"/>
      <w:marRight w:val="0"/>
      <w:marTop w:val="0"/>
      <w:marBottom w:val="0"/>
      <w:divBdr>
        <w:top w:val="none" w:sz="0" w:space="0" w:color="auto"/>
        <w:left w:val="none" w:sz="0" w:space="0" w:color="auto"/>
        <w:bottom w:val="none" w:sz="0" w:space="0" w:color="auto"/>
        <w:right w:val="none" w:sz="0" w:space="0" w:color="auto"/>
      </w:divBdr>
    </w:div>
    <w:div w:id="1070691301">
      <w:bodyDiv w:val="1"/>
      <w:marLeft w:val="0"/>
      <w:marRight w:val="0"/>
      <w:marTop w:val="0"/>
      <w:marBottom w:val="0"/>
      <w:divBdr>
        <w:top w:val="none" w:sz="0" w:space="0" w:color="auto"/>
        <w:left w:val="none" w:sz="0" w:space="0" w:color="auto"/>
        <w:bottom w:val="none" w:sz="0" w:space="0" w:color="auto"/>
        <w:right w:val="none" w:sz="0" w:space="0" w:color="auto"/>
      </w:divBdr>
    </w:div>
    <w:div w:id="164307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hdphoto" Target="media/hdphoto1.wd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eader" Target="header5.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07/relationships/hdphoto" Target="media/hdphoto2.wdp"/><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28" Type="http://schemas.openxmlformats.org/officeDocument/2006/relationships/hyperlink" Target="https://www.tga.gov.au" TargetMode="External"/><Relationship Id="rId10" Type="http://schemas.openxmlformats.org/officeDocument/2006/relationships/hyperlink" Target="mailto:tga.copyright@tga.gov.au" TargetMode="External"/><Relationship Id="rId19" Type="http://schemas.openxmlformats.org/officeDocument/2006/relationships/image" Target="media/image5.png"/><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yperlink" Target="https://www.tga.gov.au/product-information-pi" TargetMode="External"/><Relationship Id="rId22" Type="http://schemas.openxmlformats.org/officeDocument/2006/relationships/hyperlink" Target="https://www.tga.gov.au/product-information-pi" TargetMode="External"/><Relationship Id="rId27" Type="http://schemas.openxmlformats.org/officeDocument/2006/relationships/hyperlink" Target="mailto:info@tga.gov.au" TargetMode="External"/><Relationship Id="rId30" Type="http://schemas.openxmlformats.org/officeDocument/2006/relationships/header" Target="head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6976\R12%20926607%20%20AusPAR%20-%20template(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B5B9B-59CB-4F3A-A8F4-E8FF1C08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template(2).DOTX</Template>
  <TotalTime>18</TotalTime>
  <Pages>41</Pages>
  <Words>15140</Words>
  <Characters>86301</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Australian Public Assessment Report for Alpha-1 proteinase inhibitor</vt:lpstr>
    </vt:vector>
  </TitlesOfParts>
  <Company>Department of Health</Company>
  <LinksUpToDate>false</LinksUpToDate>
  <CharactersWithSpaces>101239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Alpha-1 proteinase inhibitor</dc:title>
  <dc:subject>prescription medicine</dc:subject>
  <dc:creator>Therapeutic Goods Administration</dc:creator>
  <cp:keywords>AusPARs</cp:keywords>
  <cp:lastModifiedBy>Therapeutic Goods Administration (TGA) </cp:lastModifiedBy>
  <cp:revision>5</cp:revision>
  <cp:lastPrinted>2015-09-22T23:39:00Z</cp:lastPrinted>
  <dcterms:created xsi:type="dcterms:W3CDTF">2017-10-31T22:52:00Z</dcterms:created>
  <dcterms:modified xsi:type="dcterms:W3CDTF">2017-10-31T23:52:00Z</dcterms:modified>
  <cp:category>external publication</cp:category>
</cp:coreProperties>
</file>