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B83B029" w14:textId="77777777" w:rsidTr="00BF1190">
        <w:trPr>
          <w:trHeight w:val="1863"/>
        </w:trPr>
        <w:tc>
          <w:tcPr>
            <w:tcW w:w="3652" w:type="dxa"/>
            <w:tcBorders>
              <w:top w:val="nil"/>
              <w:left w:val="nil"/>
              <w:bottom w:val="nil"/>
              <w:right w:val="nil"/>
            </w:tcBorders>
          </w:tcPr>
          <w:p w14:paraId="4904E2F5" w14:textId="08623115" w:rsidR="008E7846" w:rsidRPr="00096AA7" w:rsidRDefault="003A2870" w:rsidP="008D751D">
            <w:pPr>
              <w:rPr>
                <w:rFonts w:ascii="Arial" w:hAnsi="Arial" w:cs="Arial"/>
                <w:b/>
                <w:color w:val="002C47"/>
                <w:sz w:val="36"/>
                <w:szCs w:val="36"/>
              </w:rPr>
            </w:pPr>
            <w:r>
              <w:rPr>
                <w:rFonts w:ascii="Arial" w:hAnsi="Arial" w:cs="Arial"/>
                <w:b/>
                <w:color w:val="002C47"/>
                <w:sz w:val="36"/>
                <w:szCs w:val="36"/>
              </w:rPr>
              <w:t>January</w:t>
            </w:r>
            <w:r w:rsidR="00895199">
              <w:rPr>
                <w:rFonts w:ascii="Arial" w:hAnsi="Arial" w:cs="Arial"/>
                <w:b/>
                <w:color w:val="002C47"/>
                <w:sz w:val="36"/>
                <w:szCs w:val="36"/>
              </w:rPr>
              <w:t xml:space="preserve"> </w:t>
            </w:r>
            <w:r w:rsidR="002940E9">
              <w:rPr>
                <w:rFonts w:ascii="Arial" w:hAnsi="Arial" w:cs="Arial"/>
                <w:b/>
                <w:color w:val="002C47"/>
                <w:sz w:val="36"/>
                <w:szCs w:val="36"/>
              </w:rPr>
              <w:t>202</w:t>
            </w:r>
            <w:r w:rsidR="005A19AC">
              <w:rPr>
                <w:rFonts w:ascii="Arial" w:hAnsi="Arial" w:cs="Arial"/>
                <w:b/>
                <w:color w:val="002C47"/>
                <w:sz w:val="36"/>
                <w:szCs w:val="36"/>
              </w:rPr>
              <w:t>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A0686B5" w14:textId="77777777" w:rsidTr="0032583B">
        <w:trPr>
          <w:trHeight w:val="868"/>
        </w:trPr>
        <w:tc>
          <w:tcPr>
            <w:tcW w:w="9079" w:type="dxa"/>
          </w:tcPr>
          <w:p w14:paraId="660A08F5" w14:textId="77777777" w:rsidR="0032583B" w:rsidRPr="00A964D1" w:rsidRDefault="0032583B" w:rsidP="002940E9">
            <w:pPr>
              <w:pStyle w:val="Title"/>
              <w:rPr>
                <w:color w:val="FFFFFF" w:themeColor="background1"/>
              </w:rPr>
            </w:pPr>
            <w:r w:rsidRPr="00383C24">
              <w:rPr>
                <w:color w:val="FFFFFF" w:themeColor="background1"/>
              </w:rPr>
              <w:t>Australia</w:t>
            </w:r>
            <w:r w:rsidR="002940E9" w:rsidRPr="00383C24">
              <w:rPr>
                <w:color w:val="FFFFFF" w:themeColor="background1"/>
              </w:rPr>
              <w:t>n Public Assessment Report for Rabies immunoglobulin</w:t>
            </w:r>
          </w:p>
        </w:tc>
      </w:tr>
      <w:tr w:rsidR="0032583B" w:rsidRPr="00B64760" w14:paraId="2E2B6C3E" w14:textId="77777777" w:rsidTr="0032583B">
        <w:tc>
          <w:tcPr>
            <w:tcW w:w="9079" w:type="dxa"/>
          </w:tcPr>
          <w:p w14:paraId="576A9037" w14:textId="40ACA02D" w:rsidR="0032583B" w:rsidRPr="008E7846" w:rsidRDefault="002940E9" w:rsidP="00460036">
            <w:pPr>
              <w:pStyle w:val="Subtitle"/>
              <w:rPr>
                <w:color w:val="FFFFFF" w:themeColor="background1"/>
              </w:rPr>
            </w:pPr>
            <w:r>
              <w:rPr>
                <w:color w:val="FFFFFF" w:themeColor="background1"/>
              </w:rPr>
              <w:t xml:space="preserve">Proprietary Product Name: </w:t>
            </w:r>
            <w:proofErr w:type="spellStart"/>
            <w:r w:rsidR="00B471D6">
              <w:rPr>
                <w:color w:val="FFFFFF" w:themeColor="background1"/>
              </w:rPr>
              <w:t>KamRAB</w:t>
            </w:r>
            <w:proofErr w:type="spellEnd"/>
          </w:p>
        </w:tc>
      </w:tr>
      <w:tr w:rsidR="0032583B" w:rsidRPr="00B64760" w14:paraId="1B77824F" w14:textId="77777777" w:rsidTr="0032583B">
        <w:trPr>
          <w:trHeight w:val="486"/>
        </w:trPr>
        <w:tc>
          <w:tcPr>
            <w:tcW w:w="9079" w:type="dxa"/>
          </w:tcPr>
          <w:p w14:paraId="52E44D54" w14:textId="77777777" w:rsidR="0032583B" w:rsidRPr="008E7846" w:rsidRDefault="002940E9" w:rsidP="0032583B">
            <w:pPr>
              <w:pStyle w:val="Subtitle"/>
              <w:rPr>
                <w:color w:val="FFFFFF" w:themeColor="background1"/>
              </w:rPr>
            </w:pPr>
            <w:r>
              <w:rPr>
                <w:color w:val="FFFFFF" w:themeColor="background1"/>
              </w:rPr>
              <w:t>Sponsor: Link Medical Products Pty Ltd / Link Pharmaceuticals</w:t>
            </w:r>
          </w:p>
        </w:tc>
      </w:tr>
    </w:tbl>
    <w:p w14:paraId="52CECEAA" w14:textId="77777777" w:rsidR="008E7846" w:rsidRPr="0085156D" w:rsidRDefault="008E7846" w:rsidP="0085156D">
      <w:r w:rsidRPr="0085156D">
        <w:br w:type="page"/>
      </w:r>
    </w:p>
    <w:p w14:paraId="62DB31E9" w14:textId="77777777" w:rsidR="008E7846" w:rsidRPr="001F6CBA" w:rsidRDefault="008E7846" w:rsidP="008E7846">
      <w:pPr>
        <w:pStyle w:val="NonTOCHeading2"/>
      </w:pPr>
      <w:r w:rsidRPr="001F6CBA">
        <w:lastRenderedPageBreak/>
        <w:t>About the Therapeutic Goods Administration (TGA)</w:t>
      </w:r>
    </w:p>
    <w:p w14:paraId="0E16B5E7"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84D14DE"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60265A18"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3A5B3591"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822D643" w14:textId="0515C7AB"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4B82B955" w14:textId="77777777" w:rsidR="008E7846" w:rsidRDefault="008E7846" w:rsidP="00875A6B">
      <w:pPr>
        <w:pStyle w:val="NonTOCHeading2"/>
      </w:pPr>
      <w:r>
        <w:t xml:space="preserve">About </w:t>
      </w:r>
      <w:proofErr w:type="spellStart"/>
      <w:r>
        <w:t>AusPARs</w:t>
      </w:r>
      <w:proofErr w:type="spellEnd"/>
    </w:p>
    <w:p w14:paraId="710CC86B"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1271A936"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2D75254E"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0224ED05"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5DA57776"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2FE4CEE0" w14:textId="77777777" w:rsidR="00924482" w:rsidRPr="00DF1D7F" w:rsidRDefault="00924482" w:rsidP="00F54B65">
      <w:pPr>
        <w:pStyle w:val="LegalSubheading"/>
        <w:spacing w:before="3120"/>
      </w:pPr>
      <w:r w:rsidRPr="00DF1D7F">
        <w:t>Copyright</w:t>
      </w:r>
    </w:p>
    <w:p w14:paraId="77E12C28" w14:textId="5678FF5E"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7038EA">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1467F0FF"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29520DA" w14:textId="77777777" w:rsidR="0089635C" w:rsidRPr="0089635C" w:rsidRDefault="0089635C" w:rsidP="0010788A">
          <w:pPr>
            <w:pStyle w:val="Contents"/>
          </w:pPr>
          <w:r w:rsidRPr="0010788A">
            <w:t>Contents</w:t>
          </w:r>
        </w:p>
        <w:p w14:paraId="07F24B12" w14:textId="04011A9D" w:rsidR="00383C24"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92715890" w:history="1">
            <w:r w:rsidR="00383C24" w:rsidRPr="007E3665">
              <w:rPr>
                <w:rStyle w:val="Hyperlink"/>
                <w:noProof/>
              </w:rPr>
              <w:t>List of abbreviations</w:t>
            </w:r>
            <w:r w:rsidR="00383C24">
              <w:rPr>
                <w:noProof/>
                <w:webHidden/>
              </w:rPr>
              <w:tab/>
            </w:r>
            <w:r w:rsidR="00383C24">
              <w:rPr>
                <w:noProof/>
                <w:webHidden/>
              </w:rPr>
              <w:fldChar w:fldCharType="begin"/>
            </w:r>
            <w:r w:rsidR="00383C24">
              <w:rPr>
                <w:noProof/>
                <w:webHidden/>
              </w:rPr>
              <w:instrText xml:space="preserve"> PAGEREF _Toc92715890 \h </w:instrText>
            </w:r>
            <w:r w:rsidR="00383C24">
              <w:rPr>
                <w:noProof/>
                <w:webHidden/>
              </w:rPr>
            </w:r>
            <w:r w:rsidR="00383C24">
              <w:rPr>
                <w:noProof/>
                <w:webHidden/>
              </w:rPr>
              <w:fldChar w:fldCharType="separate"/>
            </w:r>
            <w:r w:rsidR="00383C24">
              <w:rPr>
                <w:noProof/>
                <w:webHidden/>
              </w:rPr>
              <w:t>4</w:t>
            </w:r>
            <w:r w:rsidR="00383C24">
              <w:rPr>
                <w:noProof/>
                <w:webHidden/>
              </w:rPr>
              <w:fldChar w:fldCharType="end"/>
            </w:r>
          </w:hyperlink>
        </w:p>
        <w:p w14:paraId="75369F18" w14:textId="29290FBE" w:rsidR="00383C24" w:rsidRDefault="00383C24">
          <w:pPr>
            <w:pStyle w:val="TOC1"/>
            <w:rPr>
              <w:rFonts w:asciiTheme="minorHAnsi" w:eastAsiaTheme="minorEastAsia" w:hAnsiTheme="minorHAnsi" w:cstheme="minorBidi"/>
              <w:b w:val="0"/>
              <w:noProof/>
              <w:sz w:val="22"/>
              <w:lang w:eastAsia="en-AU"/>
            </w:rPr>
          </w:pPr>
          <w:hyperlink w:anchor="_Toc92715891" w:history="1">
            <w:r w:rsidRPr="007E3665">
              <w:rPr>
                <w:rStyle w:val="Hyperlink"/>
                <w:noProof/>
              </w:rPr>
              <w:t>I. Introduction to product submission</w:t>
            </w:r>
            <w:r>
              <w:rPr>
                <w:noProof/>
                <w:webHidden/>
              </w:rPr>
              <w:tab/>
            </w:r>
            <w:r>
              <w:rPr>
                <w:noProof/>
                <w:webHidden/>
              </w:rPr>
              <w:fldChar w:fldCharType="begin"/>
            </w:r>
            <w:r>
              <w:rPr>
                <w:noProof/>
                <w:webHidden/>
              </w:rPr>
              <w:instrText xml:space="preserve"> PAGEREF _Toc92715891 \h </w:instrText>
            </w:r>
            <w:r>
              <w:rPr>
                <w:noProof/>
                <w:webHidden/>
              </w:rPr>
            </w:r>
            <w:r>
              <w:rPr>
                <w:noProof/>
                <w:webHidden/>
              </w:rPr>
              <w:fldChar w:fldCharType="separate"/>
            </w:r>
            <w:r>
              <w:rPr>
                <w:noProof/>
                <w:webHidden/>
              </w:rPr>
              <w:t>6</w:t>
            </w:r>
            <w:r>
              <w:rPr>
                <w:noProof/>
                <w:webHidden/>
              </w:rPr>
              <w:fldChar w:fldCharType="end"/>
            </w:r>
          </w:hyperlink>
        </w:p>
        <w:p w14:paraId="4B824657" w14:textId="28F1A90C" w:rsidR="00383C24" w:rsidRDefault="00383C24">
          <w:pPr>
            <w:pStyle w:val="TOC2"/>
            <w:rPr>
              <w:rFonts w:asciiTheme="minorHAnsi" w:eastAsiaTheme="minorEastAsia" w:hAnsiTheme="minorHAnsi" w:cstheme="minorBidi"/>
              <w:b w:val="0"/>
              <w:noProof/>
              <w:sz w:val="22"/>
              <w:lang w:eastAsia="en-AU"/>
            </w:rPr>
          </w:pPr>
          <w:hyperlink w:anchor="_Toc92715892" w:history="1">
            <w:r w:rsidRPr="007E3665">
              <w:rPr>
                <w:rStyle w:val="Hyperlink"/>
                <w:noProof/>
                <w:lang w:eastAsia="en-AU"/>
              </w:rPr>
              <w:t>Submission details</w:t>
            </w:r>
            <w:r>
              <w:rPr>
                <w:noProof/>
                <w:webHidden/>
              </w:rPr>
              <w:tab/>
            </w:r>
            <w:r>
              <w:rPr>
                <w:noProof/>
                <w:webHidden/>
              </w:rPr>
              <w:fldChar w:fldCharType="begin"/>
            </w:r>
            <w:r>
              <w:rPr>
                <w:noProof/>
                <w:webHidden/>
              </w:rPr>
              <w:instrText xml:space="preserve"> PAGEREF _Toc92715892 \h </w:instrText>
            </w:r>
            <w:r>
              <w:rPr>
                <w:noProof/>
                <w:webHidden/>
              </w:rPr>
            </w:r>
            <w:r>
              <w:rPr>
                <w:noProof/>
                <w:webHidden/>
              </w:rPr>
              <w:fldChar w:fldCharType="separate"/>
            </w:r>
            <w:r>
              <w:rPr>
                <w:noProof/>
                <w:webHidden/>
              </w:rPr>
              <w:t>6</w:t>
            </w:r>
            <w:r>
              <w:rPr>
                <w:noProof/>
                <w:webHidden/>
              </w:rPr>
              <w:fldChar w:fldCharType="end"/>
            </w:r>
          </w:hyperlink>
        </w:p>
        <w:p w14:paraId="5FD163BA" w14:textId="02E87081" w:rsidR="00383C24" w:rsidRDefault="00383C24">
          <w:pPr>
            <w:pStyle w:val="TOC2"/>
            <w:rPr>
              <w:rFonts w:asciiTheme="minorHAnsi" w:eastAsiaTheme="minorEastAsia" w:hAnsiTheme="minorHAnsi" w:cstheme="minorBidi"/>
              <w:b w:val="0"/>
              <w:noProof/>
              <w:sz w:val="22"/>
              <w:lang w:eastAsia="en-AU"/>
            </w:rPr>
          </w:pPr>
          <w:hyperlink w:anchor="_Toc92715893" w:history="1">
            <w:r w:rsidRPr="007E3665">
              <w:rPr>
                <w:rStyle w:val="Hyperlink"/>
                <w:noProof/>
              </w:rPr>
              <w:t>Product background</w:t>
            </w:r>
            <w:r>
              <w:rPr>
                <w:noProof/>
                <w:webHidden/>
              </w:rPr>
              <w:tab/>
            </w:r>
            <w:r>
              <w:rPr>
                <w:noProof/>
                <w:webHidden/>
              </w:rPr>
              <w:fldChar w:fldCharType="begin"/>
            </w:r>
            <w:r>
              <w:rPr>
                <w:noProof/>
                <w:webHidden/>
              </w:rPr>
              <w:instrText xml:space="preserve"> PAGEREF _Toc92715893 \h </w:instrText>
            </w:r>
            <w:r>
              <w:rPr>
                <w:noProof/>
                <w:webHidden/>
              </w:rPr>
            </w:r>
            <w:r>
              <w:rPr>
                <w:noProof/>
                <w:webHidden/>
              </w:rPr>
              <w:fldChar w:fldCharType="separate"/>
            </w:r>
            <w:r>
              <w:rPr>
                <w:noProof/>
                <w:webHidden/>
              </w:rPr>
              <w:t>7</w:t>
            </w:r>
            <w:r>
              <w:rPr>
                <w:noProof/>
                <w:webHidden/>
              </w:rPr>
              <w:fldChar w:fldCharType="end"/>
            </w:r>
          </w:hyperlink>
        </w:p>
        <w:p w14:paraId="7EEBB487" w14:textId="50286DEE" w:rsidR="00383C24" w:rsidRDefault="00383C24">
          <w:pPr>
            <w:pStyle w:val="TOC2"/>
            <w:rPr>
              <w:rFonts w:asciiTheme="minorHAnsi" w:eastAsiaTheme="minorEastAsia" w:hAnsiTheme="minorHAnsi" w:cstheme="minorBidi"/>
              <w:b w:val="0"/>
              <w:noProof/>
              <w:sz w:val="22"/>
              <w:lang w:eastAsia="en-AU"/>
            </w:rPr>
          </w:pPr>
          <w:hyperlink w:anchor="_Toc92715894" w:history="1">
            <w:r w:rsidRPr="007E3665">
              <w:rPr>
                <w:rStyle w:val="Hyperlink"/>
                <w:noProof/>
              </w:rPr>
              <w:t>Regulatory status</w:t>
            </w:r>
            <w:r>
              <w:rPr>
                <w:noProof/>
                <w:webHidden/>
              </w:rPr>
              <w:tab/>
            </w:r>
            <w:r>
              <w:rPr>
                <w:noProof/>
                <w:webHidden/>
              </w:rPr>
              <w:fldChar w:fldCharType="begin"/>
            </w:r>
            <w:r>
              <w:rPr>
                <w:noProof/>
                <w:webHidden/>
              </w:rPr>
              <w:instrText xml:space="preserve"> PAGEREF _Toc92715894 \h </w:instrText>
            </w:r>
            <w:r>
              <w:rPr>
                <w:noProof/>
                <w:webHidden/>
              </w:rPr>
            </w:r>
            <w:r>
              <w:rPr>
                <w:noProof/>
                <w:webHidden/>
              </w:rPr>
              <w:fldChar w:fldCharType="separate"/>
            </w:r>
            <w:r>
              <w:rPr>
                <w:noProof/>
                <w:webHidden/>
              </w:rPr>
              <w:t>11</w:t>
            </w:r>
            <w:r>
              <w:rPr>
                <w:noProof/>
                <w:webHidden/>
              </w:rPr>
              <w:fldChar w:fldCharType="end"/>
            </w:r>
          </w:hyperlink>
        </w:p>
        <w:p w14:paraId="337996B4" w14:textId="7D51ACD8" w:rsidR="00383C24" w:rsidRDefault="00383C24">
          <w:pPr>
            <w:pStyle w:val="TOC2"/>
            <w:rPr>
              <w:rFonts w:asciiTheme="minorHAnsi" w:eastAsiaTheme="minorEastAsia" w:hAnsiTheme="minorHAnsi" w:cstheme="minorBidi"/>
              <w:b w:val="0"/>
              <w:noProof/>
              <w:sz w:val="22"/>
              <w:lang w:eastAsia="en-AU"/>
            </w:rPr>
          </w:pPr>
          <w:hyperlink w:anchor="_Toc92715895" w:history="1">
            <w:r w:rsidRPr="007E3665">
              <w:rPr>
                <w:rStyle w:val="Hyperlink"/>
                <w:noProof/>
              </w:rPr>
              <w:t>Product Information</w:t>
            </w:r>
            <w:r>
              <w:rPr>
                <w:noProof/>
                <w:webHidden/>
              </w:rPr>
              <w:tab/>
            </w:r>
            <w:r>
              <w:rPr>
                <w:noProof/>
                <w:webHidden/>
              </w:rPr>
              <w:fldChar w:fldCharType="begin"/>
            </w:r>
            <w:r>
              <w:rPr>
                <w:noProof/>
                <w:webHidden/>
              </w:rPr>
              <w:instrText xml:space="preserve"> PAGEREF _Toc92715895 \h </w:instrText>
            </w:r>
            <w:r>
              <w:rPr>
                <w:noProof/>
                <w:webHidden/>
              </w:rPr>
            </w:r>
            <w:r>
              <w:rPr>
                <w:noProof/>
                <w:webHidden/>
              </w:rPr>
              <w:fldChar w:fldCharType="separate"/>
            </w:r>
            <w:r>
              <w:rPr>
                <w:noProof/>
                <w:webHidden/>
              </w:rPr>
              <w:t>12</w:t>
            </w:r>
            <w:r>
              <w:rPr>
                <w:noProof/>
                <w:webHidden/>
              </w:rPr>
              <w:fldChar w:fldCharType="end"/>
            </w:r>
          </w:hyperlink>
        </w:p>
        <w:p w14:paraId="5A975460" w14:textId="3F48FEC7" w:rsidR="00383C24" w:rsidRDefault="00383C24">
          <w:pPr>
            <w:pStyle w:val="TOC1"/>
            <w:rPr>
              <w:rFonts w:asciiTheme="minorHAnsi" w:eastAsiaTheme="minorEastAsia" w:hAnsiTheme="minorHAnsi" w:cstheme="minorBidi"/>
              <w:b w:val="0"/>
              <w:noProof/>
              <w:sz w:val="22"/>
              <w:lang w:eastAsia="en-AU"/>
            </w:rPr>
          </w:pPr>
          <w:hyperlink w:anchor="_Toc92715896" w:history="1">
            <w:r w:rsidRPr="007E3665">
              <w:rPr>
                <w:rStyle w:val="Hyperlink"/>
                <w:noProof/>
              </w:rPr>
              <w:t>II. Registration timeline</w:t>
            </w:r>
            <w:r>
              <w:rPr>
                <w:noProof/>
                <w:webHidden/>
              </w:rPr>
              <w:tab/>
            </w:r>
            <w:r>
              <w:rPr>
                <w:noProof/>
                <w:webHidden/>
              </w:rPr>
              <w:fldChar w:fldCharType="begin"/>
            </w:r>
            <w:r>
              <w:rPr>
                <w:noProof/>
                <w:webHidden/>
              </w:rPr>
              <w:instrText xml:space="preserve"> PAGEREF _Toc92715896 \h </w:instrText>
            </w:r>
            <w:r>
              <w:rPr>
                <w:noProof/>
                <w:webHidden/>
              </w:rPr>
            </w:r>
            <w:r>
              <w:rPr>
                <w:noProof/>
                <w:webHidden/>
              </w:rPr>
              <w:fldChar w:fldCharType="separate"/>
            </w:r>
            <w:r>
              <w:rPr>
                <w:noProof/>
                <w:webHidden/>
              </w:rPr>
              <w:t>12</w:t>
            </w:r>
            <w:r>
              <w:rPr>
                <w:noProof/>
                <w:webHidden/>
              </w:rPr>
              <w:fldChar w:fldCharType="end"/>
            </w:r>
          </w:hyperlink>
        </w:p>
        <w:p w14:paraId="7A8CD0AC" w14:textId="6AE2140D" w:rsidR="00383C24" w:rsidRDefault="00383C24">
          <w:pPr>
            <w:pStyle w:val="TOC1"/>
            <w:rPr>
              <w:rFonts w:asciiTheme="minorHAnsi" w:eastAsiaTheme="minorEastAsia" w:hAnsiTheme="minorHAnsi" w:cstheme="minorBidi"/>
              <w:b w:val="0"/>
              <w:noProof/>
              <w:sz w:val="22"/>
              <w:lang w:eastAsia="en-AU"/>
            </w:rPr>
          </w:pPr>
          <w:hyperlink w:anchor="_Toc92715897" w:history="1">
            <w:r w:rsidRPr="007E3665">
              <w:rPr>
                <w:rStyle w:val="Hyperlink"/>
                <w:noProof/>
              </w:rPr>
              <w:t>III. Submission overview and risk/benefit assessment</w:t>
            </w:r>
            <w:r>
              <w:rPr>
                <w:noProof/>
                <w:webHidden/>
              </w:rPr>
              <w:tab/>
            </w:r>
            <w:r>
              <w:rPr>
                <w:noProof/>
                <w:webHidden/>
              </w:rPr>
              <w:fldChar w:fldCharType="begin"/>
            </w:r>
            <w:r>
              <w:rPr>
                <w:noProof/>
                <w:webHidden/>
              </w:rPr>
              <w:instrText xml:space="preserve"> PAGEREF _Toc92715897 \h </w:instrText>
            </w:r>
            <w:r>
              <w:rPr>
                <w:noProof/>
                <w:webHidden/>
              </w:rPr>
            </w:r>
            <w:r>
              <w:rPr>
                <w:noProof/>
                <w:webHidden/>
              </w:rPr>
              <w:fldChar w:fldCharType="separate"/>
            </w:r>
            <w:r>
              <w:rPr>
                <w:noProof/>
                <w:webHidden/>
              </w:rPr>
              <w:t>12</w:t>
            </w:r>
            <w:r>
              <w:rPr>
                <w:noProof/>
                <w:webHidden/>
              </w:rPr>
              <w:fldChar w:fldCharType="end"/>
            </w:r>
          </w:hyperlink>
        </w:p>
        <w:p w14:paraId="072E429C" w14:textId="5EC9E25B" w:rsidR="00383C24" w:rsidRDefault="00383C24">
          <w:pPr>
            <w:pStyle w:val="TOC2"/>
            <w:rPr>
              <w:rFonts w:asciiTheme="minorHAnsi" w:eastAsiaTheme="minorEastAsia" w:hAnsiTheme="minorHAnsi" w:cstheme="minorBidi"/>
              <w:b w:val="0"/>
              <w:noProof/>
              <w:sz w:val="22"/>
              <w:lang w:eastAsia="en-AU"/>
            </w:rPr>
          </w:pPr>
          <w:hyperlink w:anchor="_Toc92715898" w:history="1">
            <w:r w:rsidRPr="007E3665">
              <w:rPr>
                <w:rStyle w:val="Hyperlink"/>
                <w:noProof/>
              </w:rPr>
              <w:t>Quality</w:t>
            </w:r>
            <w:r>
              <w:rPr>
                <w:noProof/>
                <w:webHidden/>
              </w:rPr>
              <w:tab/>
            </w:r>
            <w:r>
              <w:rPr>
                <w:noProof/>
                <w:webHidden/>
              </w:rPr>
              <w:fldChar w:fldCharType="begin"/>
            </w:r>
            <w:r>
              <w:rPr>
                <w:noProof/>
                <w:webHidden/>
              </w:rPr>
              <w:instrText xml:space="preserve"> PAGEREF _Toc92715898 \h </w:instrText>
            </w:r>
            <w:r>
              <w:rPr>
                <w:noProof/>
                <w:webHidden/>
              </w:rPr>
            </w:r>
            <w:r>
              <w:rPr>
                <w:noProof/>
                <w:webHidden/>
              </w:rPr>
              <w:fldChar w:fldCharType="separate"/>
            </w:r>
            <w:r>
              <w:rPr>
                <w:noProof/>
                <w:webHidden/>
              </w:rPr>
              <w:t>13</w:t>
            </w:r>
            <w:r>
              <w:rPr>
                <w:noProof/>
                <w:webHidden/>
              </w:rPr>
              <w:fldChar w:fldCharType="end"/>
            </w:r>
          </w:hyperlink>
        </w:p>
        <w:p w14:paraId="14BE1259" w14:textId="232C47B4" w:rsidR="00383C24" w:rsidRDefault="00383C24">
          <w:pPr>
            <w:pStyle w:val="TOC2"/>
            <w:rPr>
              <w:rFonts w:asciiTheme="minorHAnsi" w:eastAsiaTheme="minorEastAsia" w:hAnsiTheme="minorHAnsi" w:cstheme="minorBidi"/>
              <w:b w:val="0"/>
              <w:noProof/>
              <w:sz w:val="22"/>
              <w:lang w:eastAsia="en-AU"/>
            </w:rPr>
          </w:pPr>
          <w:hyperlink w:anchor="_Toc92715899" w:history="1">
            <w:r w:rsidRPr="007E3665">
              <w:rPr>
                <w:rStyle w:val="Hyperlink"/>
                <w:noProof/>
              </w:rPr>
              <w:t>Nonclinical</w:t>
            </w:r>
            <w:r>
              <w:rPr>
                <w:noProof/>
                <w:webHidden/>
              </w:rPr>
              <w:tab/>
            </w:r>
            <w:r>
              <w:rPr>
                <w:noProof/>
                <w:webHidden/>
              </w:rPr>
              <w:fldChar w:fldCharType="begin"/>
            </w:r>
            <w:r>
              <w:rPr>
                <w:noProof/>
                <w:webHidden/>
              </w:rPr>
              <w:instrText xml:space="preserve"> PAGEREF _Toc92715899 \h </w:instrText>
            </w:r>
            <w:r>
              <w:rPr>
                <w:noProof/>
                <w:webHidden/>
              </w:rPr>
            </w:r>
            <w:r>
              <w:rPr>
                <w:noProof/>
                <w:webHidden/>
              </w:rPr>
              <w:fldChar w:fldCharType="separate"/>
            </w:r>
            <w:r>
              <w:rPr>
                <w:noProof/>
                <w:webHidden/>
              </w:rPr>
              <w:t>14</w:t>
            </w:r>
            <w:r>
              <w:rPr>
                <w:noProof/>
                <w:webHidden/>
              </w:rPr>
              <w:fldChar w:fldCharType="end"/>
            </w:r>
          </w:hyperlink>
        </w:p>
        <w:p w14:paraId="5AD2923C" w14:textId="75FE195D" w:rsidR="00383C24" w:rsidRDefault="00383C24">
          <w:pPr>
            <w:pStyle w:val="TOC2"/>
            <w:rPr>
              <w:rFonts w:asciiTheme="minorHAnsi" w:eastAsiaTheme="minorEastAsia" w:hAnsiTheme="minorHAnsi" w:cstheme="minorBidi"/>
              <w:b w:val="0"/>
              <w:noProof/>
              <w:sz w:val="22"/>
              <w:lang w:eastAsia="en-AU"/>
            </w:rPr>
          </w:pPr>
          <w:hyperlink w:anchor="_Toc92715900" w:history="1">
            <w:r w:rsidRPr="007E3665">
              <w:rPr>
                <w:rStyle w:val="Hyperlink"/>
                <w:noProof/>
              </w:rPr>
              <w:t>Clinical</w:t>
            </w:r>
            <w:r>
              <w:rPr>
                <w:noProof/>
                <w:webHidden/>
              </w:rPr>
              <w:tab/>
            </w:r>
            <w:r>
              <w:rPr>
                <w:noProof/>
                <w:webHidden/>
              </w:rPr>
              <w:fldChar w:fldCharType="begin"/>
            </w:r>
            <w:r>
              <w:rPr>
                <w:noProof/>
                <w:webHidden/>
              </w:rPr>
              <w:instrText xml:space="preserve"> PAGEREF _Toc92715900 \h </w:instrText>
            </w:r>
            <w:r>
              <w:rPr>
                <w:noProof/>
                <w:webHidden/>
              </w:rPr>
            </w:r>
            <w:r>
              <w:rPr>
                <w:noProof/>
                <w:webHidden/>
              </w:rPr>
              <w:fldChar w:fldCharType="separate"/>
            </w:r>
            <w:r>
              <w:rPr>
                <w:noProof/>
                <w:webHidden/>
              </w:rPr>
              <w:t>14</w:t>
            </w:r>
            <w:r>
              <w:rPr>
                <w:noProof/>
                <w:webHidden/>
              </w:rPr>
              <w:fldChar w:fldCharType="end"/>
            </w:r>
          </w:hyperlink>
        </w:p>
        <w:p w14:paraId="5B40E096" w14:textId="1C6A205C" w:rsidR="00383C24" w:rsidRDefault="00383C24">
          <w:pPr>
            <w:pStyle w:val="TOC2"/>
            <w:rPr>
              <w:rFonts w:asciiTheme="minorHAnsi" w:eastAsiaTheme="minorEastAsia" w:hAnsiTheme="minorHAnsi" w:cstheme="minorBidi"/>
              <w:b w:val="0"/>
              <w:noProof/>
              <w:sz w:val="22"/>
              <w:lang w:eastAsia="en-AU"/>
            </w:rPr>
          </w:pPr>
          <w:hyperlink w:anchor="_Toc92715901" w:history="1">
            <w:r w:rsidRPr="007E3665">
              <w:rPr>
                <w:rStyle w:val="Hyperlink"/>
                <w:noProof/>
                <w:lang w:eastAsia="en-AU"/>
              </w:rPr>
              <w:t>Risk management plan</w:t>
            </w:r>
            <w:r>
              <w:rPr>
                <w:noProof/>
                <w:webHidden/>
              </w:rPr>
              <w:tab/>
            </w:r>
            <w:r>
              <w:rPr>
                <w:noProof/>
                <w:webHidden/>
              </w:rPr>
              <w:fldChar w:fldCharType="begin"/>
            </w:r>
            <w:r>
              <w:rPr>
                <w:noProof/>
                <w:webHidden/>
              </w:rPr>
              <w:instrText xml:space="preserve"> PAGEREF _Toc92715901 \h </w:instrText>
            </w:r>
            <w:r>
              <w:rPr>
                <w:noProof/>
                <w:webHidden/>
              </w:rPr>
            </w:r>
            <w:r>
              <w:rPr>
                <w:noProof/>
                <w:webHidden/>
              </w:rPr>
              <w:fldChar w:fldCharType="separate"/>
            </w:r>
            <w:r>
              <w:rPr>
                <w:noProof/>
                <w:webHidden/>
              </w:rPr>
              <w:t>19</w:t>
            </w:r>
            <w:r>
              <w:rPr>
                <w:noProof/>
                <w:webHidden/>
              </w:rPr>
              <w:fldChar w:fldCharType="end"/>
            </w:r>
          </w:hyperlink>
        </w:p>
        <w:p w14:paraId="62F4BDB2" w14:textId="45507D75" w:rsidR="00383C24" w:rsidRDefault="00383C24">
          <w:pPr>
            <w:pStyle w:val="TOC2"/>
            <w:rPr>
              <w:rFonts w:asciiTheme="minorHAnsi" w:eastAsiaTheme="minorEastAsia" w:hAnsiTheme="minorHAnsi" w:cstheme="minorBidi"/>
              <w:b w:val="0"/>
              <w:noProof/>
              <w:sz w:val="22"/>
              <w:lang w:eastAsia="en-AU"/>
            </w:rPr>
          </w:pPr>
          <w:hyperlink w:anchor="_Toc92715902" w:history="1">
            <w:r w:rsidRPr="007E3665">
              <w:rPr>
                <w:rStyle w:val="Hyperlink"/>
                <w:noProof/>
              </w:rPr>
              <w:t>Risk-benefit analysis</w:t>
            </w:r>
            <w:r>
              <w:rPr>
                <w:noProof/>
                <w:webHidden/>
              </w:rPr>
              <w:tab/>
            </w:r>
            <w:r>
              <w:rPr>
                <w:noProof/>
                <w:webHidden/>
              </w:rPr>
              <w:fldChar w:fldCharType="begin"/>
            </w:r>
            <w:r>
              <w:rPr>
                <w:noProof/>
                <w:webHidden/>
              </w:rPr>
              <w:instrText xml:space="preserve"> PAGEREF _Toc92715902 \h </w:instrText>
            </w:r>
            <w:r>
              <w:rPr>
                <w:noProof/>
                <w:webHidden/>
              </w:rPr>
            </w:r>
            <w:r>
              <w:rPr>
                <w:noProof/>
                <w:webHidden/>
              </w:rPr>
              <w:fldChar w:fldCharType="separate"/>
            </w:r>
            <w:r>
              <w:rPr>
                <w:noProof/>
                <w:webHidden/>
              </w:rPr>
              <w:t>21</w:t>
            </w:r>
            <w:r>
              <w:rPr>
                <w:noProof/>
                <w:webHidden/>
              </w:rPr>
              <w:fldChar w:fldCharType="end"/>
            </w:r>
          </w:hyperlink>
        </w:p>
        <w:p w14:paraId="621E4262" w14:textId="1C966B88" w:rsidR="00383C24" w:rsidRDefault="00383C24">
          <w:pPr>
            <w:pStyle w:val="TOC2"/>
            <w:rPr>
              <w:rFonts w:asciiTheme="minorHAnsi" w:eastAsiaTheme="minorEastAsia" w:hAnsiTheme="minorHAnsi" w:cstheme="minorBidi"/>
              <w:b w:val="0"/>
              <w:noProof/>
              <w:sz w:val="22"/>
              <w:lang w:eastAsia="en-AU"/>
            </w:rPr>
          </w:pPr>
          <w:hyperlink w:anchor="_Toc92715903" w:history="1">
            <w:r w:rsidRPr="007E3665">
              <w:rPr>
                <w:rStyle w:val="Hyperlink"/>
                <w:noProof/>
              </w:rPr>
              <w:t>Outcome</w:t>
            </w:r>
            <w:r>
              <w:rPr>
                <w:noProof/>
                <w:webHidden/>
              </w:rPr>
              <w:tab/>
            </w:r>
            <w:r>
              <w:rPr>
                <w:noProof/>
                <w:webHidden/>
              </w:rPr>
              <w:fldChar w:fldCharType="begin"/>
            </w:r>
            <w:r>
              <w:rPr>
                <w:noProof/>
                <w:webHidden/>
              </w:rPr>
              <w:instrText xml:space="preserve"> PAGEREF _Toc92715903 \h </w:instrText>
            </w:r>
            <w:r>
              <w:rPr>
                <w:noProof/>
                <w:webHidden/>
              </w:rPr>
            </w:r>
            <w:r>
              <w:rPr>
                <w:noProof/>
                <w:webHidden/>
              </w:rPr>
              <w:fldChar w:fldCharType="separate"/>
            </w:r>
            <w:r>
              <w:rPr>
                <w:noProof/>
                <w:webHidden/>
              </w:rPr>
              <w:t>22</w:t>
            </w:r>
            <w:r>
              <w:rPr>
                <w:noProof/>
                <w:webHidden/>
              </w:rPr>
              <w:fldChar w:fldCharType="end"/>
            </w:r>
          </w:hyperlink>
        </w:p>
        <w:p w14:paraId="3DE598F2" w14:textId="3BEC54B6" w:rsidR="00383C24" w:rsidRDefault="00383C24">
          <w:pPr>
            <w:pStyle w:val="TOC1"/>
            <w:rPr>
              <w:rFonts w:asciiTheme="minorHAnsi" w:eastAsiaTheme="minorEastAsia" w:hAnsiTheme="minorHAnsi" w:cstheme="minorBidi"/>
              <w:b w:val="0"/>
              <w:noProof/>
              <w:sz w:val="22"/>
              <w:lang w:eastAsia="en-AU"/>
            </w:rPr>
          </w:pPr>
          <w:hyperlink w:anchor="_Toc92715904" w:history="1">
            <w:r w:rsidRPr="007E3665">
              <w:rPr>
                <w:rStyle w:val="Hyperlink"/>
                <w:noProof/>
              </w:rPr>
              <w:t>Attachment 1. Product Information</w:t>
            </w:r>
            <w:r>
              <w:rPr>
                <w:noProof/>
                <w:webHidden/>
              </w:rPr>
              <w:tab/>
            </w:r>
            <w:r>
              <w:rPr>
                <w:noProof/>
                <w:webHidden/>
              </w:rPr>
              <w:fldChar w:fldCharType="begin"/>
            </w:r>
            <w:r>
              <w:rPr>
                <w:noProof/>
                <w:webHidden/>
              </w:rPr>
              <w:instrText xml:space="preserve"> PAGEREF _Toc92715904 \h </w:instrText>
            </w:r>
            <w:r>
              <w:rPr>
                <w:noProof/>
                <w:webHidden/>
              </w:rPr>
            </w:r>
            <w:r>
              <w:rPr>
                <w:noProof/>
                <w:webHidden/>
              </w:rPr>
              <w:fldChar w:fldCharType="separate"/>
            </w:r>
            <w:r>
              <w:rPr>
                <w:noProof/>
                <w:webHidden/>
              </w:rPr>
              <w:t>23</w:t>
            </w:r>
            <w:r>
              <w:rPr>
                <w:noProof/>
                <w:webHidden/>
              </w:rPr>
              <w:fldChar w:fldCharType="end"/>
            </w:r>
          </w:hyperlink>
        </w:p>
        <w:p w14:paraId="62291BD1" w14:textId="2C29529C" w:rsidR="003A7F6C" w:rsidRPr="00B811C6" w:rsidRDefault="00C525A2" w:rsidP="00B811C6">
          <w:pPr>
            <w:pStyle w:val="TOC2"/>
          </w:pPr>
          <w:r>
            <w:fldChar w:fldCharType="end"/>
          </w:r>
        </w:p>
      </w:sdtContent>
    </w:sdt>
    <w:bookmarkStart w:id="2" w:name="_Toc314842482" w:displacedByCustomXml="prev"/>
    <w:p w14:paraId="5E1D0541" w14:textId="77777777" w:rsidR="00FD119B" w:rsidRDefault="00FD119B">
      <w:pPr>
        <w:spacing w:before="0" w:after="200" w:line="0" w:lineRule="auto"/>
      </w:pPr>
      <w:r>
        <w:br w:type="page"/>
      </w:r>
    </w:p>
    <w:p w14:paraId="1A5F70C6" w14:textId="77777777" w:rsidR="00C52E24" w:rsidRPr="00C52E24" w:rsidRDefault="00324E45" w:rsidP="00E745FA">
      <w:pPr>
        <w:pStyle w:val="Heading2"/>
      </w:pPr>
      <w:bookmarkStart w:id="3" w:name="_Toc351716269"/>
      <w:bookmarkStart w:id="4" w:name="_Toc351718881"/>
      <w:bookmarkStart w:id="5" w:name="_Toc355338616"/>
      <w:bookmarkStart w:id="6" w:name="_Toc356306144"/>
      <w:bookmarkStart w:id="7" w:name="_Toc92715890"/>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9"/>
        <w:gridCol w:w="6695"/>
      </w:tblGrid>
      <w:tr w:rsidR="002E479B" w:rsidRPr="00FD119B" w14:paraId="5957AC5F" w14:textId="77777777" w:rsidTr="00E745FA">
        <w:trPr>
          <w:cnfStyle w:val="100000000000" w:firstRow="1" w:lastRow="0" w:firstColumn="0" w:lastColumn="0" w:oddVBand="0" w:evenVBand="0" w:oddHBand="0" w:evenHBand="0" w:firstRowFirstColumn="0" w:firstRowLastColumn="0" w:lastRowFirstColumn="0" w:lastRowLastColumn="0"/>
        </w:trPr>
        <w:tc>
          <w:tcPr>
            <w:tcW w:w="1799" w:type="dxa"/>
            <w:tcBorders>
              <w:top w:val="single" w:sz="4" w:space="0" w:color="auto"/>
              <w:left w:val="single" w:sz="4" w:space="0" w:color="auto"/>
              <w:bottom w:val="single" w:sz="4" w:space="0" w:color="auto"/>
              <w:right w:val="single" w:sz="4" w:space="0" w:color="auto"/>
            </w:tcBorders>
          </w:tcPr>
          <w:p w14:paraId="5A760D75" w14:textId="77777777" w:rsidR="002E479B" w:rsidRPr="00FD119B" w:rsidRDefault="002E479B" w:rsidP="00CF5DAD">
            <w:pPr>
              <w:keepNext w:val="0"/>
              <w:ind w:left="0" w:right="0"/>
              <w:rPr>
                <w:szCs w:val="22"/>
                <w:lang w:eastAsia="en-US"/>
              </w:rPr>
            </w:pPr>
            <w:r w:rsidRPr="00FD119B">
              <w:rPr>
                <w:szCs w:val="22"/>
                <w:lang w:eastAsia="en-US"/>
              </w:rPr>
              <w:t>Abbreviation</w:t>
            </w:r>
          </w:p>
        </w:tc>
        <w:tc>
          <w:tcPr>
            <w:tcW w:w="6695" w:type="dxa"/>
            <w:tcBorders>
              <w:top w:val="single" w:sz="4" w:space="0" w:color="auto"/>
              <w:left w:val="single" w:sz="4" w:space="0" w:color="auto"/>
              <w:bottom w:val="single" w:sz="4" w:space="0" w:color="auto"/>
              <w:right w:val="single" w:sz="4" w:space="0" w:color="auto"/>
            </w:tcBorders>
          </w:tcPr>
          <w:p w14:paraId="7DEF1DD0" w14:textId="77777777" w:rsidR="002E479B" w:rsidRPr="00FD119B" w:rsidRDefault="002E479B" w:rsidP="00CF5DAD">
            <w:pPr>
              <w:keepNext w:val="0"/>
              <w:ind w:left="0" w:right="0"/>
              <w:rPr>
                <w:szCs w:val="22"/>
                <w:lang w:eastAsia="en-US"/>
              </w:rPr>
            </w:pPr>
            <w:r w:rsidRPr="00FD119B">
              <w:rPr>
                <w:szCs w:val="22"/>
                <w:lang w:eastAsia="en-US"/>
              </w:rPr>
              <w:t>Meaning</w:t>
            </w:r>
          </w:p>
        </w:tc>
      </w:tr>
      <w:tr w:rsidR="002E479B" w:rsidRPr="00FD119B" w14:paraId="448C369C" w14:textId="77777777" w:rsidTr="00E745FA">
        <w:tc>
          <w:tcPr>
            <w:tcW w:w="1799" w:type="dxa"/>
          </w:tcPr>
          <w:p w14:paraId="137CA370" w14:textId="77777777" w:rsidR="002E479B" w:rsidRPr="00FD119B" w:rsidRDefault="002E479B" w:rsidP="00CF5DAD">
            <w:r>
              <w:t>ABLV</w:t>
            </w:r>
          </w:p>
        </w:tc>
        <w:tc>
          <w:tcPr>
            <w:tcW w:w="6695" w:type="dxa"/>
          </w:tcPr>
          <w:p w14:paraId="2F96BAE2" w14:textId="77777777" w:rsidR="002E479B" w:rsidRPr="00FD119B" w:rsidRDefault="002E479B" w:rsidP="00CF5DAD">
            <w:r>
              <w:t>Australian bat lyssavirus</w:t>
            </w:r>
          </w:p>
        </w:tc>
      </w:tr>
      <w:tr w:rsidR="002E479B" w:rsidRPr="00FD119B" w14:paraId="316920FF" w14:textId="77777777" w:rsidTr="00E745FA">
        <w:tc>
          <w:tcPr>
            <w:tcW w:w="1799" w:type="dxa"/>
            <w:tcBorders>
              <w:top w:val="single" w:sz="4" w:space="0" w:color="auto"/>
            </w:tcBorders>
          </w:tcPr>
          <w:p w14:paraId="5217D597" w14:textId="77777777" w:rsidR="002E479B" w:rsidRPr="002E479B" w:rsidRDefault="002E479B" w:rsidP="002E479B">
            <w:r w:rsidRPr="002E479B">
              <w:t>ACM</w:t>
            </w:r>
          </w:p>
        </w:tc>
        <w:tc>
          <w:tcPr>
            <w:tcW w:w="6695" w:type="dxa"/>
            <w:tcBorders>
              <w:top w:val="single" w:sz="4" w:space="0" w:color="auto"/>
            </w:tcBorders>
          </w:tcPr>
          <w:p w14:paraId="7769D04D" w14:textId="77777777" w:rsidR="002E479B" w:rsidRPr="002E479B" w:rsidRDefault="002E479B" w:rsidP="002E479B">
            <w:r w:rsidRPr="002E479B">
              <w:t>Advisory Committee on Medicines</w:t>
            </w:r>
          </w:p>
        </w:tc>
      </w:tr>
      <w:tr w:rsidR="002E479B" w:rsidRPr="00FD119B" w14:paraId="21723CB7" w14:textId="77777777" w:rsidTr="00E745FA">
        <w:tc>
          <w:tcPr>
            <w:tcW w:w="1799" w:type="dxa"/>
          </w:tcPr>
          <w:p w14:paraId="29239667" w14:textId="77777777" w:rsidR="002E479B" w:rsidRPr="002E479B" w:rsidRDefault="002E479B" w:rsidP="002E479B">
            <w:r w:rsidRPr="002E479B">
              <w:t>ARTG</w:t>
            </w:r>
          </w:p>
        </w:tc>
        <w:tc>
          <w:tcPr>
            <w:tcW w:w="6695" w:type="dxa"/>
          </w:tcPr>
          <w:p w14:paraId="554DB6FF" w14:textId="77777777" w:rsidR="002E479B" w:rsidRPr="002E479B" w:rsidRDefault="002E479B" w:rsidP="002E479B">
            <w:r w:rsidRPr="002E479B">
              <w:t>Australian Register of Therapeutic Goods</w:t>
            </w:r>
          </w:p>
        </w:tc>
      </w:tr>
      <w:tr w:rsidR="002E479B" w:rsidRPr="00FD119B" w14:paraId="2AE8FA83" w14:textId="77777777" w:rsidTr="00E745FA">
        <w:tc>
          <w:tcPr>
            <w:tcW w:w="1799" w:type="dxa"/>
          </w:tcPr>
          <w:p w14:paraId="368FF76C" w14:textId="77777777" w:rsidR="002E479B" w:rsidRDefault="002E479B" w:rsidP="00CF5DAD">
            <w:r>
              <w:t>ASA</w:t>
            </w:r>
          </w:p>
        </w:tc>
        <w:tc>
          <w:tcPr>
            <w:tcW w:w="6695" w:type="dxa"/>
          </w:tcPr>
          <w:p w14:paraId="4C13B3E3" w14:textId="77777777" w:rsidR="002E479B" w:rsidRDefault="002E479B" w:rsidP="00CF5DAD">
            <w:r>
              <w:t>Australian-specific annex</w:t>
            </w:r>
          </w:p>
        </w:tc>
      </w:tr>
      <w:tr w:rsidR="002E479B" w:rsidRPr="00FD119B" w14:paraId="6C854F81" w14:textId="77777777" w:rsidTr="00E745FA">
        <w:tc>
          <w:tcPr>
            <w:tcW w:w="1799" w:type="dxa"/>
          </w:tcPr>
          <w:p w14:paraId="46DF2E69" w14:textId="77777777" w:rsidR="002E479B" w:rsidRPr="00FD119B" w:rsidRDefault="002E479B" w:rsidP="00CF5DAD">
            <w:r>
              <w:t>AUC</w:t>
            </w:r>
            <w:r w:rsidRPr="002E479B">
              <w:rPr>
                <w:vertAlign w:val="subscript"/>
              </w:rPr>
              <w:t>0-inf</w:t>
            </w:r>
          </w:p>
        </w:tc>
        <w:tc>
          <w:tcPr>
            <w:tcW w:w="6695" w:type="dxa"/>
          </w:tcPr>
          <w:p w14:paraId="7B043C2C" w14:textId="77777777" w:rsidR="002E479B" w:rsidRPr="00FD119B" w:rsidRDefault="002E479B" w:rsidP="00CF5DAD">
            <w:r>
              <w:t>Area under the concentration versus time curve from dosing (time zero) extrapolated to infinity</w:t>
            </w:r>
          </w:p>
        </w:tc>
      </w:tr>
      <w:tr w:rsidR="002E479B" w:rsidRPr="00FD119B" w14:paraId="5EA08255" w14:textId="77777777" w:rsidTr="00E745FA">
        <w:tc>
          <w:tcPr>
            <w:tcW w:w="1799" w:type="dxa"/>
          </w:tcPr>
          <w:p w14:paraId="5147FAE1" w14:textId="77777777" w:rsidR="002E479B" w:rsidRPr="00FD119B" w:rsidRDefault="002E479B" w:rsidP="00CF5DAD">
            <w:r w:rsidRPr="00FC72C1">
              <w:t>AUC</w:t>
            </w:r>
            <w:r w:rsidRPr="00E264BF">
              <w:rPr>
                <w:vertAlign w:val="subscript"/>
              </w:rPr>
              <w:t>T</w:t>
            </w:r>
          </w:p>
        </w:tc>
        <w:tc>
          <w:tcPr>
            <w:tcW w:w="6695" w:type="dxa"/>
          </w:tcPr>
          <w:p w14:paraId="51705CAF" w14:textId="77777777" w:rsidR="002E479B" w:rsidRPr="00FD119B" w:rsidRDefault="002E479B" w:rsidP="00CF5DAD">
            <w:r>
              <w:t>Area under the concentration versus time curve from dosing (time zero) to the end of the dosing period</w:t>
            </w:r>
          </w:p>
        </w:tc>
      </w:tr>
      <w:tr w:rsidR="002E479B" w:rsidRPr="00FD119B" w14:paraId="0FD8C095" w14:textId="77777777" w:rsidTr="00E745FA">
        <w:tc>
          <w:tcPr>
            <w:tcW w:w="1799" w:type="dxa"/>
          </w:tcPr>
          <w:p w14:paraId="4EB4F223" w14:textId="77777777" w:rsidR="002E479B" w:rsidRPr="00FD119B" w:rsidRDefault="002E479B" w:rsidP="00CF5DAD">
            <w:r>
              <w:t>CDNA</w:t>
            </w:r>
          </w:p>
        </w:tc>
        <w:tc>
          <w:tcPr>
            <w:tcW w:w="6695" w:type="dxa"/>
          </w:tcPr>
          <w:p w14:paraId="0EB9FAD7" w14:textId="77777777" w:rsidR="002E479B" w:rsidRPr="00FD119B" w:rsidRDefault="002E479B" w:rsidP="00E745FA">
            <w:r>
              <w:t>Communicable Diseases Network Australia</w:t>
            </w:r>
          </w:p>
        </w:tc>
      </w:tr>
      <w:tr w:rsidR="002E479B" w:rsidRPr="00FD119B" w14:paraId="3B40DF9F" w14:textId="77777777" w:rsidTr="00E745FA">
        <w:tc>
          <w:tcPr>
            <w:tcW w:w="1799" w:type="dxa"/>
          </w:tcPr>
          <w:p w14:paraId="0960C9A2" w14:textId="77777777" w:rsidR="002E479B" w:rsidRPr="00FD119B" w:rsidRDefault="002E479B" w:rsidP="00CF5DAD">
            <w:r>
              <w:t>CI</w:t>
            </w:r>
          </w:p>
        </w:tc>
        <w:tc>
          <w:tcPr>
            <w:tcW w:w="6695" w:type="dxa"/>
          </w:tcPr>
          <w:p w14:paraId="6123F37D" w14:textId="77777777" w:rsidR="002E479B" w:rsidRPr="00FD119B" w:rsidRDefault="002E479B" w:rsidP="00CF5DAD">
            <w:r>
              <w:t>Confidence interval</w:t>
            </w:r>
          </w:p>
        </w:tc>
      </w:tr>
      <w:tr w:rsidR="002E479B" w:rsidRPr="00FD119B" w14:paraId="47ADA1F9" w14:textId="77777777" w:rsidTr="00E745FA">
        <w:tc>
          <w:tcPr>
            <w:tcW w:w="1799" w:type="dxa"/>
          </w:tcPr>
          <w:p w14:paraId="42CFAF1A" w14:textId="77777777" w:rsidR="002E479B" w:rsidRPr="00FD119B" w:rsidRDefault="002E479B" w:rsidP="00CF5DAD">
            <w:proofErr w:type="spellStart"/>
            <w:r>
              <w:t>C</w:t>
            </w:r>
            <w:r w:rsidRPr="00A87EF9">
              <w:rPr>
                <w:vertAlign w:val="subscript"/>
              </w:rPr>
              <w:t>max</w:t>
            </w:r>
            <w:proofErr w:type="spellEnd"/>
          </w:p>
        </w:tc>
        <w:tc>
          <w:tcPr>
            <w:tcW w:w="6695" w:type="dxa"/>
          </w:tcPr>
          <w:p w14:paraId="347D5834" w14:textId="77777777" w:rsidR="002E479B" w:rsidRPr="00FD119B" w:rsidRDefault="002E479B" w:rsidP="00CF5DAD">
            <w:r>
              <w:t>Maximum concentration</w:t>
            </w:r>
          </w:p>
        </w:tc>
      </w:tr>
      <w:tr w:rsidR="002E479B" w:rsidRPr="00FD119B" w14:paraId="38025186" w14:textId="77777777" w:rsidTr="00E745FA">
        <w:tc>
          <w:tcPr>
            <w:tcW w:w="1799" w:type="dxa"/>
          </w:tcPr>
          <w:p w14:paraId="6B2BBA8D" w14:textId="77777777" w:rsidR="002E479B" w:rsidRPr="00FD119B" w:rsidRDefault="002E479B" w:rsidP="00CF5DAD">
            <w:r>
              <w:t>CMI</w:t>
            </w:r>
          </w:p>
        </w:tc>
        <w:tc>
          <w:tcPr>
            <w:tcW w:w="6695" w:type="dxa"/>
          </w:tcPr>
          <w:p w14:paraId="07A09F0C" w14:textId="77777777" w:rsidR="002E479B" w:rsidRPr="00FD119B" w:rsidRDefault="002E479B" w:rsidP="00CF5DAD">
            <w:r>
              <w:t>Consumer Medicines Information</w:t>
            </w:r>
          </w:p>
        </w:tc>
      </w:tr>
      <w:tr w:rsidR="002E479B" w:rsidRPr="00FD119B" w14:paraId="573F2185" w14:textId="77777777" w:rsidTr="00E745FA">
        <w:tc>
          <w:tcPr>
            <w:tcW w:w="1799" w:type="dxa"/>
          </w:tcPr>
          <w:p w14:paraId="4BFE4411" w14:textId="77777777" w:rsidR="002E479B" w:rsidRPr="00FD119B" w:rsidRDefault="002E479B" w:rsidP="00CF5DAD">
            <w:r>
              <w:t>COR-B</w:t>
            </w:r>
          </w:p>
        </w:tc>
        <w:tc>
          <w:tcPr>
            <w:tcW w:w="6695" w:type="dxa"/>
          </w:tcPr>
          <w:p w14:paraId="74861777" w14:textId="77777777" w:rsidR="002E479B" w:rsidRPr="00FD119B" w:rsidRDefault="002E479B" w:rsidP="00CF5DAD">
            <w:r>
              <w:t xml:space="preserve">Comparable Overseas Regulator </w:t>
            </w:r>
            <w:proofErr w:type="gramStart"/>
            <w:r>
              <w:t>approach</w:t>
            </w:r>
            <w:proofErr w:type="gramEnd"/>
            <w:r>
              <w:t xml:space="preserve"> B</w:t>
            </w:r>
          </w:p>
        </w:tc>
      </w:tr>
      <w:tr w:rsidR="002E479B" w:rsidRPr="00FD119B" w14:paraId="776A8D6A" w14:textId="77777777" w:rsidTr="00E745FA">
        <w:tc>
          <w:tcPr>
            <w:tcW w:w="1799" w:type="dxa"/>
          </w:tcPr>
          <w:p w14:paraId="2BF5DDBC" w14:textId="77777777" w:rsidR="002E479B" w:rsidRPr="00FD119B" w:rsidRDefault="002E479B" w:rsidP="00CF5DAD">
            <w:r>
              <w:t>CPD</w:t>
            </w:r>
          </w:p>
        </w:tc>
        <w:tc>
          <w:tcPr>
            <w:tcW w:w="6695" w:type="dxa"/>
          </w:tcPr>
          <w:p w14:paraId="124836CA" w14:textId="77777777" w:rsidR="002E479B" w:rsidRPr="00FD119B" w:rsidRDefault="002E479B" w:rsidP="00CF5DAD">
            <w:r>
              <w:t>Certified Product Details</w:t>
            </w:r>
          </w:p>
        </w:tc>
      </w:tr>
      <w:tr w:rsidR="002E479B" w:rsidRPr="00FD119B" w14:paraId="78E29458" w14:textId="77777777" w:rsidTr="00E745FA">
        <w:tc>
          <w:tcPr>
            <w:tcW w:w="1799" w:type="dxa"/>
          </w:tcPr>
          <w:p w14:paraId="4DC017E3" w14:textId="77777777" w:rsidR="002E479B" w:rsidRDefault="002E479B" w:rsidP="00CF5DAD">
            <w:r>
              <w:t>DLP</w:t>
            </w:r>
          </w:p>
        </w:tc>
        <w:tc>
          <w:tcPr>
            <w:tcW w:w="6695" w:type="dxa"/>
          </w:tcPr>
          <w:p w14:paraId="5D614D62" w14:textId="77777777" w:rsidR="002E479B" w:rsidRDefault="002E479B" w:rsidP="00CF5DAD">
            <w:r>
              <w:t>Data lock point</w:t>
            </w:r>
          </w:p>
        </w:tc>
      </w:tr>
      <w:tr w:rsidR="002E479B" w:rsidRPr="00FD119B" w14:paraId="0BE6D024" w14:textId="77777777" w:rsidTr="00E745FA">
        <w:tc>
          <w:tcPr>
            <w:tcW w:w="1799" w:type="dxa"/>
          </w:tcPr>
          <w:p w14:paraId="2761FBD1" w14:textId="77777777" w:rsidR="002E479B" w:rsidRDefault="002E479B" w:rsidP="00CF5DAD">
            <w:r>
              <w:t>FDA</w:t>
            </w:r>
          </w:p>
        </w:tc>
        <w:tc>
          <w:tcPr>
            <w:tcW w:w="6695" w:type="dxa"/>
          </w:tcPr>
          <w:p w14:paraId="75064089" w14:textId="77777777" w:rsidR="002E479B" w:rsidRDefault="002E479B" w:rsidP="00CF5DAD">
            <w:r>
              <w:t>Food and Drug Administration (United States of America)</w:t>
            </w:r>
          </w:p>
        </w:tc>
      </w:tr>
      <w:tr w:rsidR="002E479B" w:rsidRPr="00FD119B" w14:paraId="43A2D191" w14:textId="77777777" w:rsidTr="00E745FA">
        <w:tc>
          <w:tcPr>
            <w:tcW w:w="1799" w:type="dxa"/>
          </w:tcPr>
          <w:p w14:paraId="30CBBF09" w14:textId="77777777" w:rsidR="002E479B" w:rsidRDefault="002E479B" w:rsidP="00CF5DAD">
            <w:r>
              <w:t>GVP</w:t>
            </w:r>
          </w:p>
        </w:tc>
        <w:tc>
          <w:tcPr>
            <w:tcW w:w="6695" w:type="dxa"/>
          </w:tcPr>
          <w:p w14:paraId="136C7A77" w14:textId="77777777" w:rsidR="002E479B" w:rsidRDefault="002E479B" w:rsidP="00CF5DAD">
            <w:r>
              <w:t>Good Pharmacovigilance Practices</w:t>
            </w:r>
          </w:p>
        </w:tc>
      </w:tr>
      <w:tr w:rsidR="002E479B" w:rsidRPr="00FD119B" w14:paraId="1009B067" w14:textId="77777777" w:rsidTr="00E745FA">
        <w:tc>
          <w:tcPr>
            <w:tcW w:w="1799" w:type="dxa"/>
          </w:tcPr>
          <w:p w14:paraId="584E7334" w14:textId="77777777" w:rsidR="002E479B" w:rsidRPr="00FD119B" w:rsidRDefault="002E479B" w:rsidP="00CF5DAD">
            <w:r>
              <w:t>HRIG</w:t>
            </w:r>
          </w:p>
        </w:tc>
        <w:tc>
          <w:tcPr>
            <w:tcW w:w="6695" w:type="dxa"/>
          </w:tcPr>
          <w:p w14:paraId="54A66F53" w14:textId="77777777" w:rsidR="002E479B" w:rsidRPr="00FD119B" w:rsidRDefault="002E479B" w:rsidP="00CF5DAD">
            <w:r>
              <w:t>Human rabies immunoglobulin</w:t>
            </w:r>
          </w:p>
        </w:tc>
      </w:tr>
      <w:tr w:rsidR="002E479B" w:rsidRPr="00FD119B" w14:paraId="4C92E114" w14:textId="77777777" w:rsidTr="00E745FA">
        <w:tc>
          <w:tcPr>
            <w:tcW w:w="1799" w:type="dxa"/>
          </w:tcPr>
          <w:p w14:paraId="5EC10C73" w14:textId="77777777" w:rsidR="002E479B" w:rsidRPr="00FD119B" w:rsidRDefault="002E479B" w:rsidP="00CF5DAD">
            <w:r>
              <w:t>IgG</w:t>
            </w:r>
          </w:p>
        </w:tc>
        <w:tc>
          <w:tcPr>
            <w:tcW w:w="6695" w:type="dxa"/>
          </w:tcPr>
          <w:p w14:paraId="2F0777FD" w14:textId="77777777" w:rsidR="002E479B" w:rsidRPr="00FD119B" w:rsidRDefault="002E479B" w:rsidP="00CF5DAD">
            <w:r>
              <w:t>Immunoglobulin G</w:t>
            </w:r>
          </w:p>
        </w:tc>
      </w:tr>
      <w:tr w:rsidR="002E479B" w:rsidRPr="00FD119B" w14:paraId="0A46250F" w14:textId="77777777" w:rsidTr="00E745FA">
        <w:tc>
          <w:tcPr>
            <w:tcW w:w="1799" w:type="dxa"/>
          </w:tcPr>
          <w:p w14:paraId="39D190A3" w14:textId="77777777" w:rsidR="002E479B" w:rsidRPr="00FD119B" w:rsidRDefault="002E479B" w:rsidP="00CF5DAD">
            <w:r>
              <w:t>LS</w:t>
            </w:r>
          </w:p>
        </w:tc>
        <w:tc>
          <w:tcPr>
            <w:tcW w:w="6695" w:type="dxa"/>
          </w:tcPr>
          <w:p w14:paraId="37A684EC" w14:textId="77777777" w:rsidR="002E479B" w:rsidRPr="00FD119B" w:rsidRDefault="002E479B" w:rsidP="00CF5DAD">
            <w:r>
              <w:t>Least squares</w:t>
            </w:r>
          </w:p>
        </w:tc>
      </w:tr>
      <w:tr w:rsidR="002E479B" w:rsidRPr="00FD119B" w14:paraId="0AD0ABD6" w14:textId="77777777" w:rsidTr="00E745FA">
        <w:tc>
          <w:tcPr>
            <w:tcW w:w="1799" w:type="dxa"/>
          </w:tcPr>
          <w:p w14:paraId="40086353" w14:textId="77777777" w:rsidR="002E479B" w:rsidRPr="00FD119B" w:rsidRDefault="002E479B" w:rsidP="00CF5DAD">
            <w:r>
              <w:t>PEP</w:t>
            </w:r>
          </w:p>
        </w:tc>
        <w:tc>
          <w:tcPr>
            <w:tcW w:w="6695" w:type="dxa"/>
          </w:tcPr>
          <w:p w14:paraId="1CD74DCE" w14:textId="77777777" w:rsidR="002E479B" w:rsidRPr="00FD119B" w:rsidRDefault="002E479B" w:rsidP="00CF5DAD">
            <w:r>
              <w:t>Post-exposure prophylaxis</w:t>
            </w:r>
          </w:p>
        </w:tc>
      </w:tr>
      <w:tr w:rsidR="002E479B" w:rsidRPr="00FD119B" w14:paraId="23666C2B" w14:textId="77777777" w:rsidTr="00E745FA">
        <w:tc>
          <w:tcPr>
            <w:tcW w:w="1799" w:type="dxa"/>
          </w:tcPr>
          <w:p w14:paraId="025CD59C" w14:textId="77777777" w:rsidR="002E479B" w:rsidRPr="00FD119B" w:rsidRDefault="002E479B" w:rsidP="00CF5DAD">
            <w:r>
              <w:t>PI</w:t>
            </w:r>
          </w:p>
        </w:tc>
        <w:tc>
          <w:tcPr>
            <w:tcW w:w="6695" w:type="dxa"/>
          </w:tcPr>
          <w:p w14:paraId="3E7B833C" w14:textId="77777777" w:rsidR="002E479B" w:rsidRPr="00FD119B" w:rsidRDefault="002E479B" w:rsidP="00CF5DAD">
            <w:r>
              <w:t>Product Information</w:t>
            </w:r>
          </w:p>
        </w:tc>
      </w:tr>
      <w:tr w:rsidR="002E479B" w:rsidRPr="00FD119B" w14:paraId="33906287" w14:textId="77777777" w:rsidTr="00E745FA">
        <w:tc>
          <w:tcPr>
            <w:tcW w:w="1799" w:type="dxa"/>
          </w:tcPr>
          <w:p w14:paraId="2B507029" w14:textId="77777777" w:rsidR="002E479B" w:rsidRPr="00FD119B" w:rsidRDefault="002E479B" w:rsidP="00CF5DAD">
            <w:r>
              <w:t>PK</w:t>
            </w:r>
          </w:p>
        </w:tc>
        <w:tc>
          <w:tcPr>
            <w:tcW w:w="6695" w:type="dxa"/>
          </w:tcPr>
          <w:p w14:paraId="47EB93C2" w14:textId="77777777" w:rsidR="002E479B" w:rsidRPr="00FD119B" w:rsidRDefault="002E479B" w:rsidP="00CF5DAD">
            <w:r>
              <w:t>Pharmacokinetic(s)</w:t>
            </w:r>
          </w:p>
        </w:tc>
      </w:tr>
      <w:tr w:rsidR="002E479B" w:rsidRPr="00FD119B" w14:paraId="2E5CBD58" w14:textId="77777777" w:rsidTr="00E745FA">
        <w:tc>
          <w:tcPr>
            <w:tcW w:w="1799" w:type="dxa"/>
          </w:tcPr>
          <w:p w14:paraId="4520A1D8" w14:textId="77777777" w:rsidR="002E479B" w:rsidRDefault="002E479B" w:rsidP="00CF5DAD">
            <w:r>
              <w:t>PSUR</w:t>
            </w:r>
          </w:p>
        </w:tc>
        <w:tc>
          <w:tcPr>
            <w:tcW w:w="6695" w:type="dxa"/>
          </w:tcPr>
          <w:p w14:paraId="0FEDBC48" w14:textId="77777777" w:rsidR="002E479B" w:rsidRDefault="002E479B" w:rsidP="00CF5DAD">
            <w:r>
              <w:t>P</w:t>
            </w:r>
            <w:r w:rsidRPr="00F12A97">
              <w:t>eriodic safety update reports</w:t>
            </w:r>
          </w:p>
        </w:tc>
      </w:tr>
      <w:tr w:rsidR="002E479B" w:rsidRPr="00FD119B" w14:paraId="67265A82" w14:textId="77777777" w:rsidTr="00E745FA">
        <w:tc>
          <w:tcPr>
            <w:tcW w:w="1799" w:type="dxa"/>
          </w:tcPr>
          <w:p w14:paraId="36D8B2BC" w14:textId="77777777" w:rsidR="002E479B" w:rsidRPr="00FD119B" w:rsidRDefault="002E479B" w:rsidP="00CF5DAD">
            <w:r>
              <w:t>RFFIT</w:t>
            </w:r>
          </w:p>
        </w:tc>
        <w:tc>
          <w:tcPr>
            <w:tcW w:w="6695" w:type="dxa"/>
          </w:tcPr>
          <w:p w14:paraId="324DA100" w14:textId="77777777" w:rsidR="002E479B" w:rsidRPr="00FD119B" w:rsidRDefault="002E479B" w:rsidP="00CF5DAD">
            <w:r>
              <w:t>R</w:t>
            </w:r>
            <w:r w:rsidRPr="002E479B">
              <w:t>apid fluorescent foci inhibition test</w:t>
            </w:r>
          </w:p>
        </w:tc>
      </w:tr>
      <w:tr w:rsidR="002E479B" w:rsidRPr="00FD119B" w14:paraId="16953FBD" w14:textId="77777777" w:rsidTr="00E745FA">
        <w:tc>
          <w:tcPr>
            <w:tcW w:w="1799" w:type="dxa"/>
          </w:tcPr>
          <w:p w14:paraId="456B2171" w14:textId="77777777" w:rsidR="002E479B" w:rsidRPr="00FD119B" w:rsidRDefault="002E479B" w:rsidP="00CF5DAD">
            <w:r>
              <w:t>RMP</w:t>
            </w:r>
          </w:p>
        </w:tc>
        <w:tc>
          <w:tcPr>
            <w:tcW w:w="6695" w:type="dxa"/>
          </w:tcPr>
          <w:p w14:paraId="39EEBB53" w14:textId="77777777" w:rsidR="002E479B" w:rsidRPr="00FD119B" w:rsidRDefault="002E479B" w:rsidP="00CF5DAD">
            <w:r>
              <w:t>Risk management plan</w:t>
            </w:r>
          </w:p>
        </w:tc>
      </w:tr>
      <w:tr w:rsidR="002E479B" w:rsidRPr="00FD119B" w14:paraId="65CBFAE2" w14:textId="77777777" w:rsidTr="00E745FA">
        <w:tc>
          <w:tcPr>
            <w:tcW w:w="1799" w:type="dxa"/>
          </w:tcPr>
          <w:p w14:paraId="76BAEE4E" w14:textId="77777777" w:rsidR="002E479B" w:rsidRPr="00FD119B" w:rsidRDefault="002E479B" w:rsidP="00CF5DAD">
            <w:r>
              <w:lastRenderedPageBreak/>
              <w:t>RVNA</w:t>
            </w:r>
          </w:p>
        </w:tc>
        <w:tc>
          <w:tcPr>
            <w:tcW w:w="6695" w:type="dxa"/>
          </w:tcPr>
          <w:p w14:paraId="7C550C76" w14:textId="77777777" w:rsidR="002E479B" w:rsidRPr="00FD119B" w:rsidRDefault="002E479B" w:rsidP="00CF5DAD">
            <w:r w:rsidRPr="00A87EF9">
              <w:t>Rabies virus neutralising antibody</w:t>
            </w:r>
          </w:p>
        </w:tc>
      </w:tr>
      <w:tr w:rsidR="002E479B" w:rsidRPr="00FD119B" w14:paraId="5988410B" w14:textId="77777777" w:rsidTr="00E745FA">
        <w:tc>
          <w:tcPr>
            <w:tcW w:w="1799" w:type="dxa"/>
          </w:tcPr>
          <w:p w14:paraId="5D649F38" w14:textId="77777777" w:rsidR="002E479B" w:rsidRPr="00FD119B" w:rsidRDefault="002E479B" w:rsidP="00CF5DAD">
            <w:r>
              <w:t>SAS</w:t>
            </w:r>
          </w:p>
        </w:tc>
        <w:tc>
          <w:tcPr>
            <w:tcW w:w="6695" w:type="dxa"/>
          </w:tcPr>
          <w:p w14:paraId="783D0F7E" w14:textId="77777777" w:rsidR="002E479B" w:rsidRPr="00FD119B" w:rsidRDefault="002E479B" w:rsidP="00CF5DAD">
            <w:r>
              <w:t>Special Access Scheme</w:t>
            </w:r>
          </w:p>
        </w:tc>
      </w:tr>
      <w:tr w:rsidR="002E479B" w:rsidRPr="00FD119B" w14:paraId="5B434870" w14:textId="77777777" w:rsidTr="00E745FA">
        <w:tc>
          <w:tcPr>
            <w:tcW w:w="1799" w:type="dxa"/>
          </w:tcPr>
          <w:p w14:paraId="5B342EF7" w14:textId="77777777" w:rsidR="002E479B" w:rsidRPr="00FD119B" w:rsidRDefault="002E479B" w:rsidP="00CF5DAD">
            <w:r>
              <w:t>SD</w:t>
            </w:r>
          </w:p>
        </w:tc>
        <w:tc>
          <w:tcPr>
            <w:tcW w:w="6695" w:type="dxa"/>
          </w:tcPr>
          <w:p w14:paraId="7BFAB01D" w14:textId="77777777" w:rsidR="002E479B" w:rsidRPr="00FD119B" w:rsidRDefault="002E479B" w:rsidP="00CF5DAD">
            <w:r>
              <w:t>Standard deviation</w:t>
            </w:r>
          </w:p>
        </w:tc>
      </w:tr>
      <w:tr w:rsidR="002E479B" w:rsidRPr="00FD119B" w14:paraId="602D785F" w14:textId="77777777" w:rsidTr="00E745FA">
        <w:tc>
          <w:tcPr>
            <w:tcW w:w="1799" w:type="dxa"/>
          </w:tcPr>
          <w:p w14:paraId="3F3ECCED" w14:textId="77777777" w:rsidR="002E479B" w:rsidRPr="00FD119B" w:rsidRDefault="002E479B" w:rsidP="00CF5DAD">
            <w:r>
              <w:t>t</w:t>
            </w:r>
            <w:r w:rsidRPr="002E479B">
              <w:rPr>
                <w:vertAlign w:val="subscript"/>
              </w:rPr>
              <w:t>1/2</w:t>
            </w:r>
          </w:p>
        </w:tc>
        <w:tc>
          <w:tcPr>
            <w:tcW w:w="6695" w:type="dxa"/>
          </w:tcPr>
          <w:p w14:paraId="67486A93" w14:textId="77777777" w:rsidR="002E479B" w:rsidRPr="00FD119B" w:rsidRDefault="002E479B" w:rsidP="00CF5DAD">
            <w:r>
              <w:t>Half life</w:t>
            </w:r>
          </w:p>
        </w:tc>
      </w:tr>
      <w:tr w:rsidR="002E479B" w:rsidRPr="00FD119B" w14:paraId="02C2F4FF" w14:textId="77777777" w:rsidTr="00E745FA">
        <w:tc>
          <w:tcPr>
            <w:tcW w:w="1799" w:type="dxa"/>
          </w:tcPr>
          <w:p w14:paraId="4B6FAEBA" w14:textId="77777777" w:rsidR="002E479B" w:rsidRPr="00FD119B" w:rsidRDefault="002E479B" w:rsidP="00CF5DAD">
            <w:proofErr w:type="spellStart"/>
            <w:r>
              <w:t>t</w:t>
            </w:r>
            <w:r w:rsidRPr="00A87EF9">
              <w:rPr>
                <w:vertAlign w:val="subscript"/>
              </w:rPr>
              <w:t>max</w:t>
            </w:r>
            <w:proofErr w:type="spellEnd"/>
          </w:p>
        </w:tc>
        <w:tc>
          <w:tcPr>
            <w:tcW w:w="6695" w:type="dxa"/>
          </w:tcPr>
          <w:p w14:paraId="168EE3B9" w14:textId="77777777" w:rsidR="002E479B" w:rsidRPr="00FD119B" w:rsidRDefault="002E479B" w:rsidP="00CF5DAD">
            <w:r>
              <w:t>Time of maximum concentration</w:t>
            </w:r>
          </w:p>
        </w:tc>
      </w:tr>
      <w:tr w:rsidR="002E479B" w:rsidRPr="00FD119B" w14:paraId="7CF5DBD9" w14:textId="77777777" w:rsidTr="00E745FA">
        <w:tc>
          <w:tcPr>
            <w:tcW w:w="1799" w:type="dxa"/>
          </w:tcPr>
          <w:p w14:paraId="0C3D8460" w14:textId="77777777" w:rsidR="002E479B" w:rsidRPr="00FD119B" w:rsidRDefault="002E479B" w:rsidP="00CF5DAD">
            <w:r>
              <w:t>US(A)</w:t>
            </w:r>
          </w:p>
        </w:tc>
        <w:tc>
          <w:tcPr>
            <w:tcW w:w="6695" w:type="dxa"/>
          </w:tcPr>
          <w:p w14:paraId="2F0C1106" w14:textId="77777777" w:rsidR="002E479B" w:rsidRPr="00FD119B" w:rsidRDefault="002E479B" w:rsidP="00CF5DAD">
            <w:r>
              <w:t>United States (of America)</w:t>
            </w:r>
          </w:p>
        </w:tc>
      </w:tr>
      <w:tr w:rsidR="002E479B" w:rsidRPr="00FD119B" w14:paraId="4962B97C" w14:textId="77777777" w:rsidTr="00E745FA">
        <w:tc>
          <w:tcPr>
            <w:tcW w:w="1799" w:type="dxa"/>
          </w:tcPr>
          <w:p w14:paraId="7F000C20" w14:textId="77777777" w:rsidR="002E479B" w:rsidRPr="00FD119B" w:rsidRDefault="002E479B" w:rsidP="00CF5DAD">
            <w:proofErr w:type="spellStart"/>
            <w:r>
              <w:t>VNAb</w:t>
            </w:r>
            <w:proofErr w:type="spellEnd"/>
          </w:p>
        </w:tc>
        <w:tc>
          <w:tcPr>
            <w:tcW w:w="6695" w:type="dxa"/>
          </w:tcPr>
          <w:p w14:paraId="3FDE2CA0" w14:textId="77777777" w:rsidR="002E479B" w:rsidRPr="00FD119B" w:rsidRDefault="002E479B" w:rsidP="00CF5DAD">
            <w:r>
              <w:t>Virus neutralising antibody</w:t>
            </w:r>
          </w:p>
        </w:tc>
      </w:tr>
      <w:tr w:rsidR="002E479B" w:rsidRPr="00FD119B" w14:paraId="16BB46AC" w14:textId="77777777" w:rsidTr="00E745FA">
        <w:tc>
          <w:tcPr>
            <w:tcW w:w="1799" w:type="dxa"/>
          </w:tcPr>
          <w:p w14:paraId="6B72AF33" w14:textId="77777777" w:rsidR="002E479B" w:rsidRPr="00FD119B" w:rsidRDefault="002E479B" w:rsidP="00CF5DAD">
            <w:r>
              <w:t>WHO</w:t>
            </w:r>
          </w:p>
        </w:tc>
        <w:tc>
          <w:tcPr>
            <w:tcW w:w="6695" w:type="dxa"/>
          </w:tcPr>
          <w:p w14:paraId="29B8199C" w14:textId="77777777" w:rsidR="002E479B" w:rsidRPr="00FD119B" w:rsidRDefault="002E479B" w:rsidP="00CF5DAD">
            <w:r>
              <w:t>World Health Organization</w:t>
            </w:r>
          </w:p>
        </w:tc>
      </w:tr>
    </w:tbl>
    <w:p w14:paraId="05E1E2A3"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5C0293B" w14:textId="58D7C307" w:rsidR="008E7846" w:rsidRDefault="00F53C07" w:rsidP="008E7846">
      <w:pPr>
        <w:pStyle w:val="Heading2"/>
      </w:pPr>
      <w:bookmarkStart w:id="8" w:name="_Toc92715891"/>
      <w:r>
        <w:lastRenderedPageBreak/>
        <w:t>I.</w:t>
      </w:r>
      <w:r w:rsidR="008E7846">
        <w:t xml:space="preserve"> Introduction to product submission</w:t>
      </w:r>
      <w:bookmarkEnd w:id="0"/>
      <w:bookmarkEnd w:id="2"/>
      <w:bookmarkEnd w:id="8"/>
    </w:p>
    <w:p w14:paraId="77FAA81A" w14:textId="77777777" w:rsidR="008E7846" w:rsidRDefault="008E7846" w:rsidP="008E7846">
      <w:pPr>
        <w:pStyle w:val="Heading3"/>
        <w:rPr>
          <w:lang w:eastAsia="en-AU"/>
        </w:rPr>
      </w:pPr>
      <w:bookmarkStart w:id="9" w:name="_Toc247691502"/>
      <w:bookmarkStart w:id="10" w:name="_Toc314842483"/>
      <w:bookmarkStart w:id="11" w:name="_Toc92715892"/>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281D6B3A" w14:textId="77777777" w:rsidTr="003735BC">
        <w:tc>
          <w:tcPr>
            <w:tcW w:w="2907" w:type="dxa"/>
          </w:tcPr>
          <w:p w14:paraId="660FEE52"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0C36A9D1" w14:textId="77777777" w:rsidR="008E7846" w:rsidRPr="003D1E62" w:rsidRDefault="008E7846" w:rsidP="00165C39">
            <w:r w:rsidRPr="003D1E62">
              <w:t xml:space="preserve">New </w:t>
            </w:r>
            <w:r w:rsidR="00165C39">
              <w:t>biological</w:t>
            </w:r>
            <w:r w:rsidRPr="003D1E62">
              <w:t xml:space="preserve"> </w:t>
            </w:r>
            <w:r w:rsidR="001B5C90">
              <w:t>e</w:t>
            </w:r>
            <w:r w:rsidR="00165C39">
              <w:t>ntity</w:t>
            </w:r>
          </w:p>
        </w:tc>
      </w:tr>
      <w:tr w:rsidR="00460036" w:rsidRPr="003D1E62" w14:paraId="450D39D8" w14:textId="77777777" w:rsidTr="003735BC">
        <w:tc>
          <w:tcPr>
            <w:tcW w:w="2907" w:type="dxa"/>
          </w:tcPr>
          <w:p w14:paraId="0BA761AC" w14:textId="77777777" w:rsidR="00460036" w:rsidRPr="003D1E62" w:rsidRDefault="00165C39" w:rsidP="003D1E62">
            <w:pPr>
              <w:rPr>
                <w:i/>
              </w:rPr>
            </w:pPr>
            <w:r>
              <w:rPr>
                <w:i/>
              </w:rPr>
              <w:t>Product name</w:t>
            </w:r>
            <w:r w:rsidR="00460036" w:rsidRPr="00460036">
              <w:rPr>
                <w:i/>
              </w:rPr>
              <w:t>:</w:t>
            </w:r>
          </w:p>
        </w:tc>
        <w:tc>
          <w:tcPr>
            <w:tcW w:w="6307" w:type="dxa"/>
          </w:tcPr>
          <w:p w14:paraId="2F5AAF8B" w14:textId="7551A540" w:rsidR="00460036" w:rsidRPr="003D1E62" w:rsidRDefault="00B471D6" w:rsidP="001B5C90">
            <w:proofErr w:type="spellStart"/>
            <w:r>
              <w:t>KamRAB</w:t>
            </w:r>
            <w:proofErr w:type="spellEnd"/>
          </w:p>
        </w:tc>
      </w:tr>
      <w:tr w:rsidR="00460036" w:rsidRPr="003D1E62" w14:paraId="228D5E01" w14:textId="77777777" w:rsidTr="003735BC">
        <w:tc>
          <w:tcPr>
            <w:tcW w:w="2907" w:type="dxa"/>
          </w:tcPr>
          <w:p w14:paraId="2770DED9" w14:textId="77777777" w:rsidR="00460036" w:rsidRPr="003D1E62" w:rsidRDefault="00165C39" w:rsidP="003D1E62">
            <w:pPr>
              <w:rPr>
                <w:i/>
              </w:rPr>
            </w:pPr>
            <w:r>
              <w:rPr>
                <w:i/>
              </w:rPr>
              <w:t>Active ingredient</w:t>
            </w:r>
            <w:r w:rsidR="00460036" w:rsidRPr="00460036">
              <w:rPr>
                <w:i/>
              </w:rPr>
              <w:t>:</w:t>
            </w:r>
          </w:p>
        </w:tc>
        <w:tc>
          <w:tcPr>
            <w:tcW w:w="6307" w:type="dxa"/>
          </w:tcPr>
          <w:p w14:paraId="3021FA55" w14:textId="77777777" w:rsidR="00460036" w:rsidRPr="003D1E62" w:rsidRDefault="00165C39" w:rsidP="001B5C90">
            <w:r>
              <w:t>Rabies immunoglobulin</w:t>
            </w:r>
          </w:p>
        </w:tc>
      </w:tr>
      <w:tr w:rsidR="008E7846" w:rsidRPr="003D1E62" w14:paraId="14C73A34" w14:textId="77777777" w:rsidTr="003735BC">
        <w:tc>
          <w:tcPr>
            <w:tcW w:w="2907" w:type="dxa"/>
          </w:tcPr>
          <w:p w14:paraId="245C1F03" w14:textId="77777777" w:rsidR="008E7846" w:rsidRPr="003D1E62" w:rsidRDefault="008E7846" w:rsidP="003D1E62">
            <w:r w:rsidRPr="003D1E62">
              <w:rPr>
                <w:i/>
              </w:rPr>
              <w:t>Decision</w:t>
            </w:r>
            <w:r w:rsidRPr="003D1E62">
              <w:t>:</w:t>
            </w:r>
          </w:p>
        </w:tc>
        <w:tc>
          <w:tcPr>
            <w:tcW w:w="6307" w:type="dxa"/>
          </w:tcPr>
          <w:p w14:paraId="7D1E76F9" w14:textId="77777777" w:rsidR="008E7846" w:rsidRPr="003D1E62" w:rsidRDefault="00165C39" w:rsidP="00165C39">
            <w:r>
              <w:t>Approved</w:t>
            </w:r>
          </w:p>
        </w:tc>
      </w:tr>
      <w:tr w:rsidR="008E7846" w:rsidRPr="003D1E62" w14:paraId="25FED605" w14:textId="77777777" w:rsidTr="003735BC">
        <w:tc>
          <w:tcPr>
            <w:tcW w:w="2907" w:type="dxa"/>
          </w:tcPr>
          <w:p w14:paraId="3A10873A"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720879A" w14:textId="77777777" w:rsidR="008E7846" w:rsidRPr="003D1E62" w:rsidRDefault="003E69FD" w:rsidP="001B5C90">
            <w:r>
              <w:t>11 August 2021</w:t>
            </w:r>
          </w:p>
        </w:tc>
      </w:tr>
      <w:tr w:rsidR="00ED2922" w:rsidRPr="003D1E62" w14:paraId="45DEC171" w14:textId="77777777" w:rsidTr="003735BC">
        <w:tc>
          <w:tcPr>
            <w:tcW w:w="2907" w:type="dxa"/>
          </w:tcPr>
          <w:p w14:paraId="3C6544B3" w14:textId="77777777" w:rsidR="00ED2922" w:rsidRPr="00441C3F" w:rsidRDefault="00ED2922" w:rsidP="001B5C90">
            <w:pPr>
              <w:rPr>
                <w:i/>
              </w:rPr>
            </w:pPr>
            <w:r w:rsidRPr="00441C3F">
              <w:rPr>
                <w:i/>
              </w:rPr>
              <w:t>Date of entry onto ARTG</w:t>
            </w:r>
            <w:r w:rsidR="00500337">
              <w:rPr>
                <w:i/>
              </w:rPr>
              <w:t>:</w:t>
            </w:r>
          </w:p>
        </w:tc>
        <w:tc>
          <w:tcPr>
            <w:tcW w:w="6307" w:type="dxa"/>
          </w:tcPr>
          <w:p w14:paraId="14095A6D" w14:textId="77777777" w:rsidR="00ED2922" w:rsidRPr="00441C3F" w:rsidRDefault="00165C39" w:rsidP="00D153D8">
            <w:pPr>
              <w:rPr>
                <w:i/>
              </w:rPr>
            </w:pPr>
            <w:r>
              <w:t>16 August 2021</w:t>
            </w:r>
          </w:p>
        </w:tc>
      </w:tr>
      <w:tr w:rsidR="00500337" w:rsidRPr="003D1E62" w14:paraId="62AD5C34" w14:textId="77777777" w:rsidTr="003735BC">
        <w:tc>
          <w:tcPr>
            <w:tcW w:w="2907" w:type="dxa"/>
          </w:tcPr>
          <w:p w14:paraId="0DAFEE96" w14:textId="77777777" w:rsidR="00500337" w:rsidRPr="00441C3F" w:rsidRDefault="00165C39" w:rsidP="001B5C90">
            <w:pPr>
              <w:rPr>
                <w:i/>
              </w:rPr>
            </w:pPr>
            <w:r>
              <w:rPr>
                <w:i/>
              </w:rPr>
              <w:t>ARTG number</w:t>
            </w:r>
            <w:r w:rsidR="00500337">
              <w:rPr>
                <w:i/>
              </w:rPr>
              <w:t>:</w:t>
            </w:r>
          </w:p>
        </w:tc>
        <w:tc>
          <w:tcPr>
            <w:tcW w:w="6307" w:type="dxa"/>
          </w:tcPr>
          <w:p w14:paraId="31609E80" w14:textId="77777777" w:rsidR="00500337" w:rsidRPr="00441C3F" w:rsidRDefault="00165C39" w:rsidP="00EC463D">
            <w:r w:rsidRPr="00165C39">
              <w:t>336970</w:t>
            </w:r>
          </w:p>
        </w:tc>
      </w:tr>
      <w:tr w:rsidR="003735BC" w:rsidRPr="003D1E62" w14:paraId="51A4CD6D" w14:textId="77777777" w:rsidTr="003735BC">
        <w:tc>
          <w:tcPr>
            <w:tcW w:w="2907" w:type="dxa"/>
          </w:tcPr>
          <w:p w14:paraId="2FB73093"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bookmarkStart w:id="12" w:name="_Ref85178733"/>
            <w:r w:rsidR="00460036">
              <w:rPr>
                <w:rStyle w:val="FootnoteReference"/>
                <w:i/>
              </w:rPr>
              <w:footnoteReference w:id="1"/>
            </w:r>
            <w:bookmarkEnd w:id="12"/>
          </w:p>
        </w:tc>
        <w:tc>
          <w:tcPr>
            <w:tcW w:w="6307" w:type="dxa"/>
          </w:tcPr>
          <w:p w14:paraId="21CF50A5" w14:textId="77777777" w:rsidR="003735BC" w:rsidRDefault="00165C39" w:rsidP="003735BC">
            <w:r>
              <w:t>Yes</w:t>
            </w:r>
          </w:p>
          <w:p w14:paraId="29558A3B" w14:textId="77777777" w:rsidR="003735BC" w:rsidRPr="00487162" w:rsidRDefault="003735BC" w:rsidP="003735BC">
            <w:r>
              <w:t xml:space="preserve">This product will remain in the scheme for 5 years, starting on the date the product is first supplied in </w:t>
            </w:r>
            <w:r w:rsidR="00165C39">
              <w:t>Australia.</w:t>
            </w:r>
          </w:p>
        </w:tc>
      </w:tr>
      <w:tr w:rsidR="008E7846" w:rsidRPr="00487162" w14:paraId="1B9FFE09" w14:textId="77777777" w:rsidTr="00BF1190">
        <w:tc>
          <w:tcPr>
            <w:tcW w:w="2907" w:type="dxa"/>
          </w:tcPr>
          <w:p w14:paraId="05FED95E"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CE59C27" w14:textId="77777777" w:rsidR="008E7846" w:rsidRDefault="00165C39" w:rsidP="00E45619">
            <w:r w:rsidRPr="00165C39">
              <w:t>Link Medical Products Pty Ltd T/A Link Pharmaceuticals</w:t>
            </w:r>
          </w:p>
          <w:p w14:paraId="2FA45611" w14:textId="77777777" w:rsidR="00165C39" w:rsidRDefault="00165C39" w:rsidP="00E45619">
            <w:r w:rsidRPr="00165C39">
              <w:t>PO Box 718</w:t>
            </w:r>
            <w:r>
              <w:t>,</w:t>
            </w:r>
          </w:p>
          <w:p w14:paraId="4E86921B" w14:textId="77777777" w:rsidR="00165C39" w:rsidRPr="00487162" w:rsidRDefault="00165C39" w:rsidP="00E45619">
            <w:r>
              <w:t>Mona Vale, NSW, 1660</w:t>
            </w:r>
          </w:p>
        </w:tc>
      </w:tr>
      <w:tr w:rsidR="008E7846" w:rsidRPr="00487162" w14:paraId="1A94C0C7" w14:textId="77777777" w:rsidTr="00BF1190">
        <w:tc>
          <w:tcPr>
            <w:tcW w:w="2907" w:type="dxa"/>
          </w:tcPr>
          <w:p w14:paraId="63E16C25" w14:textId="77777777" w:rsidR="008E7846" w:rsidRPr="00487162" w:rsidRDefault="00165C39" w:rsidP="00E45619">
            <w:pPr>
              <w:rPr>
                <w:i/>
              </w:rPr>
            </w:pPr>
            <w:r>
              <w:rPr>
                <w:i/>
              </w:rPr>
              <w:t>Dose form</w:t>
            </w:r>
            <w:r w:rsidR="001B5C90">
              <w:rPr>
                <w:i/>
              </w:rPr>
              <w:t>:</w:t>
            </w:r>
          </w:p>
        </w:tc>
        <w:tc>
          <w:tcPr>
            <w:tcW w:w="6307" w:type="dxa"/>
          </w:tcPr>
          <w:p w14:paraId="59FEAF37" w14:textId="77777777" w:rsidR="008E7846" w:rsidRPr="00487162" w:rsidRDefault="00165C39" w:rsidP="00E45619">
            <w:r>
              <w:t>Solution for injection</w:t>
            </w:r>
          </w:p>
        </w:tc>
      </w:tr>
      <w:tr w:rsidR="008E7846" w:rsidRPr="00487162" w14:paraId="69F66D1C" w14:textId="77777777" w:rsidTr="00BF1190">
        <w:tc>
          <w:tcPr>
            <w:tcW w:w="2907" w:type="dxa"/>
          </w:tcPr>
          <w:p w14:paraId="57B44611" w14:textId="77777777" w:rsidR="008E7846" w:rsidRPr="00487162" w:rsidRDefault="00165C39" w:rsidP="00E45619">
            <w:pPr>
              <w:rPr>
                <w:i/>
              </w:rPr>
            </w:pPr>
            <w:r>
              <w:rPr>
                <w:i/>
              </w:rPr>
              <w:t>Strength</w:t>
            </w:r>
            <w:r w:rsidR="00324E45">
              <w:rPr>
                <w:i/>
              </w:rPr>
              <w:t>:</w:t>
            </w:r>
          </w:p>
        </w:tc>
        <w:tc>
          <w:tcPr>
            <w:tcW w:w="6307" w:type="dxa"/>
          </w:tcPr>
          <w:p w14:paraId="39F0E7B9" w14:textId="77777777" w:rsidR="008E7846" w:rsidRPr="00487162" w:rsidRDefault="00165C39" w:rsidP="00E45619">
            <w:r>
              <w:t>150 IU/mL</w:t>
            </w:r>
          </w:p>
        </w:tc>
      </w:tr>
      <w:tr w:rsidR="008E7846" w:rsidRPr="00487162" w14:paraId="04FC4403" w14:textId="77777777" w:rsidTr="00BF1190">
        <w:tc>
          <w:tcPr>
            <w:tcW w:w="2907" w:type="dxa"/>
          </w:tcPr>
          <w:p w14:paraId="2DC4C143" w14:textId="77777777" w:rsidR="008E7846" w:rsidRPr="00487162" w:rsidRDefault="00165C39" w:rsidP="00E45619">
            <w:pPr>
              <w:rPr>
                <w:i/>
              </w:rPr>
            </w:pPr>
            <w:r>
              <w:rPr>
                <w:i/>
              </w:rPr>
              <w:t>Container</w:t>
            </w:r>
            <w:r w:rsidR="008E7846" w:rsidRPr="00487162">
              <w:rPr>
                <w:i/>
              </w:rPr>
              <w:t>:</w:t>
            </w:r>
          </w:p>
        </w:tc>
        <w:tc>
          <w:tcPr>
            <w:tcW w:w="6307" w:type="dxa"/>
          </w:tcPr>
          <w:p w14:paraId="7036E501" w14:textId="77777777" w:rsidR="008E7846" w:rsidRPr="00487162" w:rsidRDefault="00165C39" w:rsidP="00E45619">
            <w:r>
              <w:t>Glass vial</w:t>
            </w:r>
          </w:p>
        </w:tc>
      </w:tr>
      <w:tr w:rsidR="008E7846" w:rsidRPr="00487162" w14:paraId="0BC6484C" w14:textId="77777777" w:rsidTr="00BF1190">
        <w:tc>
          <w:tcPr>
            <w:tcW w:w="2907" w:type="dxa"/>
          </w:tcPr>
          <w:p w14:paraId="5CC9E940" w14:textId="77777777" w:rsidR="008E7846" w:rsidRPr="00487162" w:rsidRDefault="00165C39" w:rsidP="00E45619">
            <w:pPr>
              <w:rPr>
                <w:i/>
              </w:rPr>
            </w:pPr>
            <w:r>
              <w:rPr>
                <w:i/>
              </w:rPr>
              <w:t>Pack sizes</w:t>
            </w:r>
            <w:r w:rsidR="008E7846" w:rsidRPr="00487162">
              <w:rPr>
                <w:i/>
              </w:rPr>
              <w:t>:</w:t>
            </w:r>
          </w:p>
        </w:tc>
        <w:tc>
          <w:tcPr>
            <w:tcW w:w="6307" w:type="dxa"/>
          </w:tcPr>
          <w:p w14:paraId="49062500" w14:textId="77777777" w:rsidR="008E7846" w:rsidRPr="00487162" w:rsidRDefault="00A5289A" w:rsidP="00A5289A">
            <w:r>
              <w:t>Single-</w:t>
            </w:r>
            <w:r w:rsidR="00966608">
              <w:t xml:space="preserve">use </w:t>
            </w:r>
            <w:r>
              <w:t>packs containing one vial (</w:t>
            </w:r>
            <w:r w:rsidR="00165C39">
              <w:t>2 mL</w:t>
            </w:r>
            <w:r w:rsidR="00966608">
              <w:t xml:space="preserve"> </w:t>
            </w:r>
            <w:r>
              <w:t>or 10 mL).</w:t>
            </w:r>
          </w:p>
        </w:tc>
      </w:tr>
      <w:tr w:rsidR="008E7846" w:rsidRPr="00487162" w14:paraId="3A723F3B" w14:textId="77777777" w:rsidTr="00BF1190">
        <w:tc>
          <w:tcPr>
            <w:tcW w:w="2907" w:type="dxa"/>
          </w:tcPr>
          <w:p w14:paraId="50D0302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DD4FA66" w14:textId="4DCDB869" w:rsidR="00A5289A" w:rsidRPr="004A2340" w:rsidRDefault="00B471D6" w:rsidP="00A5289A">
            <w:pPr>
              <w:rPr>
                <w:i/>
              </w:rPr>
            </w:pPr>
            <w:proofErr w:type="spellStart"/>
            <w:r>
              <w:rPr>
                <w:i/>
              </w:rPr>
              <w:t>KamRAB</w:t>
            </w:r>
            <w:proofErr w:type="spellEnd"/>
            <w:r w:rsidR="00A5289A" w:rsidRPr="004A2340">
              <w:rPr>
                <w:i/>
              </w:rPr>
              <w:t xml:space="preserve"> is rabies immunoglobulin indicated for passive, transient post-exposure prophylaxis (PEP) of rabies infection, when given immediately after contact with a rabid or possibly rabid animal. </w:t>
            </w:r>
            <w:proofErr w:type="spellStart"/>
            <w:r>
              <w:rPr>
                <w:i/>
              </w:rPr>
              <w:t>KamRAB</w:t>
            </w:r>
            <w:proofErr w:type="spellEnd"/>
            <w:r w:rsidR="00A5289A" w:rsidRPr="004A2340">
              <w:rPr>
                <w:i/>
              </w:rPr>
              <w:t xml:space="preserve"> should be administered concurrently with a full course of rabies vaccine.</w:t>
            </w:r>
          </w:p>
          <w:p w14:paraId="4E9702E8" w14:textId="68287F71" w:rsidR="00A5289A" w:rsidRPr="004A2340" w:rsidRDefault="00A5289A" w:rsidP="00A5289A">
            <w:pPr>
              <w:rPr>
                <w:i/>
              </w:rPr>
            </w:pPr>
            <w:r w:rsidRPr="004A2340">
              <w:rPr>
                <w:i/>
              </w:rPr>
              <w:t xml:space="preserve">• Do not administer additional (repeat) doses of </w:t>
            </w:r>
            <w:proofErr w:type="spellStart"/>
            <w:r w:rsidR="00B471D6">
              <w:rPr>
                <w:i/>
              </w:rPr>
              <w:t>KamRAB</w:t>
            </w:r>
            <w:proofErr w:type="spellEnd"/>
            <w:r w:rsidRPr="004A2340">
              <w:rPr>
                <w:i/>
              </w:rPr>
              <w:t xml:space="preserve"> once vaccine treatment has been initiated, since this may interfere with the immune response to the rabies vaccine.</w:t>
            </w:r>
          </w:p>
          <w:p w14:paraId="12574EAF" w14:textId="74ADFB8C" w:rsidR="008E7846" w:rsidRPr="00A5289A" w:rsidRDefault="00A5289A" w:rsidP="00A5289A">
            <w:pPr>
              <w:rPr>
                <w:i/>
              </w:rPr>
            </w:pPr>
            <w:r w:rsidRPr="004A2340">
              <w:rPr>
                <w:i/>
              </w:rPr>
              <w:t xml:space="preserve">• Do not administer </w:t>
            </w:r>
            <w:proofErr w:type="spellStart"/>
            <w:r w:rsidR="00B471D6">
              <w:rPr>
                <w:i/>
              </w:rPr>
              <w:t>KamRAB</w:t>
            </w:r>
            <w:proofErr w:type="spellEnd"/>
            <w:r w:rsidRPr="004A2340">
              <w:rPr>
                <w:i/>
              </w:rPr>
              <w:t xml:space="preserve"> to patients with a history of a complete pre-exposure or postexposure vaccination regimen and confirmed adequate rabies antibody titre.</w:t>
            </w:r>
          </w:p>
        </w:tc>
      </w:tr>
      <w:tr w:rsidR="008E7846" w:rsidRPr="00487162" w14:paraId="764DB883" w14:textId="77777777" w:rsidTr="00BF1190">
        <w:tc>
          <w:tcPr>
            <w:tcW w:w="2907" w:type="dxa"/>
          </w:tcPr>
          <w:p w14:paraId="4BF081FD" w14:textId="77777777" w:rsidR="008E7846" w:rsidRPr="00487162" w:rsidRDefault="00165C39" w:rsidP="00E45619">
            <w:pPr>
              <w:rPr>
                <w:i/>
              </w:rPr>
            </w:pPr>
            <w:r>
              <w:rPr>
                <w:i/>
              </w:rPr>
              <w:lastRenderedPageBreak/>
              <w:t>Route</w:t>
            </w:r>
            <w:r w:rsidR="008E7846" w:rsidRPr="00487162">
              <w:rPr>
                <w:i/>
              </w:rPr>
              <w:t xml:space="preserve"> of administration:</w:t>
            </w:r>
          </w:p>
        </w:tc>
        <w:tc>
          <w:tcPr>
            <w:tcW w:w="6307" w:type="dxa"/>
          </w:tcPr>
          <w:p w14:paraId="64B7B2A8" w14:textId="77777777" w:rsidR="008E7846" w:rsidRPr="00487162" w:rsidRDefault="00165C39" w:rsidP="00E45619">
            <w:r>
              <w:t>Intramuscular</w:t>
            </w:r>
          </w:p>
        </w:tc>
      </w:tr>
      <w:tr w:rsidR="008E7846" w:rsidRPr="00487162" w14:paraId="69DB7BC1" w14:textId="77777777" w:rsidTr="00BF1190">
        <w:tc>
          <w:tcPr>
            <w:tcW w:w="2907" w:type="dxa"/>
          </w:tcPr>
          <w:p w14:paraId="1EAC5F7F" w14:textId="77777777" w:rsidR="008E7846" w:rsidRPr="00487162" w:rsidRDefault="008E7846" w:rsidP="00E45619">
            <w:pPr>
              <w:rPr>
                <w:i/>
              </w:rPr>
            </w:pPr>
            <w:r w:rsidRPr="00487162">
              <w:rPr>
                <w:i/>
              </w:rPr>
              <w:t>Dosage:</w:t>
            </w:r>
          </w:p>
        </w:tc>
        <w:tc>
          <w:tcPr>
            <w:tcW w:w="6307" w:type="dxa"/>
          </w:tcPr>
          <w:p w14:paraId="62322C30" w14:textId="0250DDDA" w:rsidR="007767F1" w:rsidRDefault="007767F1" w:rsidP="006C3774">
            <w:r>
              <w:t xml:space="preserve">Post-exposure prophylaxis consists of a single dose of </w:t>
            </w:r>
            <w:proofErr w:type="spellStart"/>
            <w:r w:rsidR="00B471D6">
              <w:t>KamRAB</w:t>
            </w:r>
            <w:proofErr w:type="spellEnd"/>
            <w:r>
              <w:t xml:space="preserve"> and a full course of rabies vaccine. The recommended dose of </w:t>
            </w:r>
            <w:proofErr w:type="spellStart"/>
            <w:r w:rsidR="00B471D6">
              <w:t>KamRAB</w:t>
            </w:r>
            <w:proofErr w:type="spellEnd"/>
            <w:r>
              <w:t xml:space="preserve"> is 20 IU/kg body weight, given at the time of the first vaccine dose. </w:t>
            </w:r>
            <w:proofErr w:type="spellStart"/>
            <w:r w:rsidR="00B471D6">
              <w:t>KamRAB</w:t>
            </w:r>
            <w:proofErr w:type="spellEnd"/>
            <w:r>
              <w:t xml:space="preserve"> and the first dose of rabies vaccine should be given as soon as possible after exposure, and regardless of the time interval between exposure and initiation of post-exposure prophylaxis, as delays are potentially lethal. However, should a delay occur, </w:t>
            </w:r>
            <w:proofErr w:type="spellStart"/>
            <w:r w:rsidR="00B471D6">
              <w:t>KamRAB</w:t>
            </w:r>
            <w:proofErr w:type="spellEnd"/>
            <w:r>
              <w:t xml:space="preserve"> should be administered at any time up to and including seven days after the first dose of vaccine. The rabies vaccine should be given according to the manufacturer’s instructions</w:t>
            </w:r>
            <w:r w:rsidR="00B471D6">
              <w:t>.</w:t>
            </w:r>
          </w:p>
          <w:p w14:paraId="333A97BA" w14:textId="77777777" w:rsidR="00460036" w:rsidRPr="00487162" w:rsidRDefault="00460036" w:rsidP="00E45619">
            <w:r w:rsidRPr="00460036">
              <w:t>For further information regarding dosage, refer to the Product Information.</w:t>
            </w:r>
          </w:p>
        </w:tc>
      </w:tr>
      <w:tr w:rsidR="00460036" w:rsidRPr="00487162" w14:paraId="03C1A381" w14:textId="77777777" w:rsidTr="00BF1190">
        <w:tc>
          <w:tcPr>
            <w:tcW w:w="2907" w:type="dxa"/>
          </w:tcPr>
          <w:p w14:paraId="24279C5E" w14:textId="77777777" w:rsidR="00460036" w:rsidRPr="00487162" w:rsidRDefault="00460036" w:rsidP="00E45619">
            <w:pPr>
              <w:rPr>
                <w:i/>
              </w:rPr>
            </w:pPr>
            <w:r w:rsidRPr="00460036">
              <w:rPr>
                <w:i/>
              </w:rPr>
              <w:t>Pregnancy category</w:t>
            </w:r>
            <w:r>
              <w:rPr>
                <w:i/>
              </w:rPr>
              <w:t>:</w:t>
            </w:r>
          </w:p>
        </w:tc>
        <w:tc>
          <w:tcPr>
            <w:tcW w:w="6307" w:type="dxa"/>
          </w:tcPr>
          <w:p w14:paraId="1EA6824A" w14:textId="77777777" w:rsidR="00E745FA" w:rsidRDefault="00E745FA" w:rsidP="00966608">
            <w:r>
              <w:t>B2</w:t>
            </w:r>
          </w:p>
          <w:p w14:paraId="74E116F0" w14:textId="77777777" w:rsidR="00966608" w:rsidRDefault="00966608" w:rsidP="00966608">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7A39EF05" w14:textId="77777777" w:rsidR="00966608" w:rsidRDefault="00966608" w:rsidP="00966608">
            <w:r>
              <w:t xml:space="preserve">Studies in animals are inadequate or may be lacking, but available data show no evidence of an increased occurrence of </w:t>
            </w:r>
            <w:proofErr w:type="spellStart"/>
            <w:r>
              <w:t>fetal</w:t>
            </w:r>
            <w:proofErr w:type="spellEnd"/>
            <w:r>
              <w:t xml:space="preserve"> damage.</w:t>
            </w:r>
          </w:p>
          <w:p w14:paraId="1B937A25"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966608">
              <w:t>ces in your State or Territory.</w:t>
            </w:r>
          </w:p>
        </w:tc>
      </w:tr>
    </w:tbl>
    <w:p w14:paraId="36AA38F9" w14:textId="77777777" w:rsidR="008E7846" w:rsidRDefault="008E7846" w:rsidP="008E7846">
      <w:pPr>
        <w:pStyle w:val="Heading3"/>
      </w:pPr>
      <w:bookmarkStart w:id="13" w:name="_Toc247691503"/>
      <w:bookmarkStart w:id="14" w:name="_Toc314842484"/>
      <w:bookmarkStart w:id="15" w:name="_Toc92715893"/>
      <w:r>
        <w:t>Product background</w:t>
      </w:r>
      <w:bookmarkEnd w:id="13"/>
      <w:bookmarkEnd w:id="14"/>
      <w:bookmarkEnd w:id="15"/>
    </w:p>
    <w:p w14:paraId="3B586945" w14:textId="207E092B" w:rsidR="008E7846" w:rsidRDefault="00250271" w:rsidP="00940A89">
      <w:r w:rsidRPr="00250271">
        <w:t xml:space="preserve">This </w:t>
      </w:r>
      <w:proofErr w:type="spellStart"/>
      <w:r w:rsidRPr="00250271">
        <w:t>AusPA</w:t>
      </w:r>
      <w:r w:rsidR="00966608">
        <w:t>R</w:t>
      </w:r>
      <w:proofErr w:type="spellEnd"/>
      <w:r w:rsidR="00966608">
        <w:t xml:space="preserve"> describes the application by</w:t>
      </w:r>
      <w:r w:rsidRPr="00250271">
        <w:t xml:space="preserve"> </w:t>
      </w:r>
      <w:r w:rsidR="00F3770A" w:rsidRPr="00F3770A">
        <w:t xml:space="preserve">Link Medical Products Pty Ltd T/A Link Pharmaceuticals </w:t>
      </w:r>
      <w:r w:rsidRPr="00250271">
        <w:t>(the sponsor) to register</w:t>
      </w:r>
      <w:r w:rsidR="00F3770A">
        <w:t xml:space="preserve"> </w:t>
      </w:r>
      <w:proofErr w:type="spellStart"/>
      <w:r w:rsidR="00B471D6">
        <w:t>KamRAB</w:t>
      </w:r>
      <w:proofErr w:type="spellEnd"/>
      <w:r w:rsidR="00F3770A">
        <w:t xml:space="preserve"> (rabies immunoglobulin) 150</w:t>
      </w:r>
      <w:r w:rsidR="008D751D">
        <w:t> </w:t>
      </w:r>
      <w:r w:rsidR="00F3770A">
        <w:t xml:space="preserve">IU/mL solution for injection, 2 </w:t>
      </w:r>
      <w:proofErr w:type="gramStart"/>
      <w:r w:rsidR="00F3770A">
        <w:t>mL</w:t>
      </w:r>
      <w:proofErr w:type="gramEnd"/>
      <w:r w:rsidR="00F3770A">
        <w:t xml:space="preserve"> and 10 mL vials </w:t>
      </w:r>
      <w:r w:rsidRPr="00250271">
        <w:t>for the following proposed ind</w:t>
      </w:r>
      <w:r w:rsidR="00F3770A">
        <w:t>ication</w:t>
      </w:r>
      <w:r w:rsidR="00CF5DAD">
        <w:t>:</w:t>
      </w:r>
    </w:p>
    <w:p w14:paraId="49CB5A7A" w14:textId="0F175304" w:rsidR="00F3770A" w:rsidRPr="00F3770A" w:rsidRDefault="00B471D6" w:rsidP="00F3770A">
      <w:pPr>
        <w:ind w:left="720"/>
        <w:rPr>
          <w:i/>
        </w:rPr>
      </w:pPr>
      <w:proofErr w:type="spellStart"/>
      <w:r>
        <w:rPr>
          <w:i/>
        </w:rPr>
        <w:t>KamRAB</w:t>
      </w:r>
      <w:proofErr w:type="spellEnd"/>
      <w:r w:rsidR="00F3770A" w:rsidRPr="00F3770A">
        <w:rPr>
          <w:i/>
        </w:rPr>
        <w:t xml:space="preserve"> is a human rabies immunoglobulin (HRIG) indicated for passive, transient postexposure prophylaxis (PEP) of rabies infection, when given immediately after contact with a rabid or possibly rabid animal. </w:t>
      </w:r>
      <w:proofErr w:type="spellStart"/>
      <w:r>
        <w:rPr>
          <w:i/>
        </w:rPr>
        <w:t>KamRAB</w:t>
      </w:r>
      <w:proofErr w:type="spellEnd"/>
      <w:r w:rsidR="00F3770A" w:rsidRPr="00F3770A">
        <w:rPr>
          <w:i/>
        </w:rPr>
        <w:t xml:space="preserve"> should be administered concurrently with a full course of rabies vaccine.</w:t>
      </w:r>
    </w:p>
    <w:p w14:paraId="195ACF11" w14:textId="0CD87BBA" w:rsidR="00F3770A" w:rsidRPr="00F3770A" w:rsidRDefault="00F3770A" w:rsidP="00F3770A">
      <w:pPr>
        <w:ind w:left="1440"/>
        <w:rPr>
          <w:i/>
        </w:rPr>
      </w:pPr>
      <w:r w:rsidRPr="00F3770A">
        <w:rPr>
          <w:i/>
        </w:rPr>
        <w:t xml:space="preserve">Do not administer additional (repeat) doses of </w:t>
      </w:r>
      <w:proofErr w:type="spellStart"/>
      <w:r w:rsidR="00B471D6">
        <w:rPr>
          <w:i/>
        </w:rPr>
        <w:t>KamRAB</w:t>
      </w:r>
      <w:proofErr w:type="spellEnd"/>
      <w:r w:rsidRPr="00F3770A">
        <w:rPr>
          <w:i/>
        </w:rPr>
        <w:t xml:space="preserve"> once vaccine treatment has been initiated, since this may interfere with the immune response to the rabies vaccine.</w:t>
      </w:r>
    </w:p>
    <w:p w14:paraId="4BC6835C" w14:textId="680F35AE" w:rsidR="00F3770A" w:rsidRDefault="00F3770A" w:rsidP="00F3770A">
      <w:pPr>
        <w:ind w:left="1440"/>
        <w:rPr>
          <w:i/>
        </w:rPr>
      </w:pPr>
      <w:r w:rsidRPr="00F3770A">
        <w:rPr>
          <w:i/>
        </w:rPr>
        <w:t xml:space="preserve">Do not administer </w:t>
      </w:r>
      <w:proofErr w:type="spellStart"/>
      <w:r w:rsidR="00B471D6">
        <w:rPr>
          <w:i/>
        </w:rPr>
        <w:t>KamRAB</w:t>
      </w:r>
      <w:proofErr w:type="spellEnd"/>
      <w:r w:rsidRPr="00F3770A">
        <w:rPr>
          <w:i/>
        </w:rPr>
        <w:t xml:space="preserve"> to patients with a history of a complete pre-exposure or postexposure vaccination regimen and confirmed adequate rabies antibody </w:t>
      </w:r>
      <w:proofErr w:type="spellStart"/>
      <w:r w:rsidRPr="00F3770A">
        <w:rPr>
          <w:i/>
        </w:rPr>
        <w:t>titer</w:t>
      </w:r>
      <w:proofErr w:type="spellEnd"/>
      <w:r w:rsidRPr="00F3770A">
        <w:rPr>
          <w:i/>
        </w:rPr>
        <w:t>.</w:t>
      </w:r>
    </w:p>
    <w:p w14:paraId="71E88059" w14:textId="169DFD7A" w:rsidR="008D751D" w:rsidRDefault="008D751D" w:rsidP="00227762">
      <w:pPr>
        <w:pStyle w:val="Heading4"/>
      </w:pPr>
      <w:r>
        <w:lastRenderedPageBreak/>
        <w:t>Lyssavirus</w:t>
      </w:r>
      <w:r w:rsidR="000C4EC6">
        <w:t>es</w:t>
      </w:r>
      <w:r>
        <w:t xml:space="preserve"> in Australia</w:t>
      </w:r>
    </w:p>
    <w:p w14:paraId="19AA4581" w14:textId="70D336C1" w:rsidR="00B86A24" w:rsidRDefault="00B86A24" w:rsidP="00B86A24">
      <w:r>
        <w:t>Rabies is a zoonotic disease caused by infection with rabies virus, or other lyssaviruses including Australian bat lyssavirus (ABLV). Aside from endemic lyssavirus, 2 imported human cases of rabies have been reported in Australia, in people from enzootic areas, that is, areas where the viruses that cause rabies are constantly present and regularly effect animals. Rabies lyssavirus is enzootic in Asia (including Southeast Asia where large numbers of Australians travel), Africa, North and South America and parts of Europe.</w:t>
      </w:r>
    </w:p>
    <w:p w14:paraId="34391A9D" w14:textId="231C868B" w:rsidR="00B86A24" w:rsidRDefault="00B86A24" w:rsidP="00B86A24">
      <w:r>
        <w:t xml:space="preserve">Clinical stages of rabies can progress from </w:t>
      </w:r>
      <w:r w:rsidR="008D751D">
        <w:t xml:space="preserve">an </w:t>
      </w:r>
      <w:r>
        <w:t xml:space="preserve">incubation period (typically </w:t>
      </w:r>
      <w:r w:rsidR="008D751D">
        <w:t xml:space="preserve">of </w:t>
      </w:r>
      <w:r>
        <w:t xml:space="preserve">2 to 3 months </w:t>
      </w:r>
      <w:r w:rsidR="008D751D">
        <w:t>in </w:t>
      </w:r>
      <w:r>
        <w:t>duration), to a prodromal state (between 0 and 10 days duration), evolving to an acute neurologic period (</w:t>
      </w:r>
      <w:r w:rsidR="008D751D">
        <w:t xml:space="preserve">of </w:t>
      </w:r>
      <w:r>
        <w:t>2 to 7 days duration), to coma (5 to 14 days duration), and in the worst scenario, culminating in death.</w:t>
      </w:r>
    </w:p>
    <w:p w14:paraId="45C36B0E" w14:textId="77777777" w:rsidR="008D751D" w:rsidRPr="008D751D" w:rsidRDefault="00B86A24" w:rsidP="0090240F">
      <w:pPr>
        <w:pStyle w:val="Heading4"/>
      </w:pPr>
      <w:r w:rsidRPr="008D751D">
        <w:t>Current treatment options</w:t>
      </w:r>
    </w:p>
    <w:p w14:paraId="0DBECE15" w14:textId="2A8B4D5F" w:rsidR="00B86A24" w:rsidRDefault="00B86A24" w:rsidP="00B86A24">
      <w:r>
        <w:t>The Australian Immunisation Handbook (2018)</w:t>
      </w:r>
      <w:r w:rsidR="00A87EF9">
        <w:t>;</w:t>
      </w:r>
      <w:r w:rsidR="00A87EF9">
        <w:rPr>
          <w:rStyle w:val="FootnoteReference"/>
        </w:rPr>
        <w:footnoteReference w:id="2"/>
      </w:r>
      <w:r>
        <w:t xml:space="preserve"> recommends post-exposure prophylaxis for rabies with wound management and rabies vaccine following potential exposures to rabies virus, with the addition of human rabies immunoglobulin in non-</w:t>
      </w:r>
      <w:r w:rsidR="00747763">
        <w:t>immune persons after potential Category III</w:t>
      </w:r>
      <w:r>
        <w:t xml:space="preserve"> exposures to lyssaviruses from a terrestrial animal </w:t>
      </w:r>
      <w:r w:rsidR="00747763">
        <w:t>in a rabies-enzootic area, and Category II or III</w:t>
      </w:r>
      <w:r>
        <w:t xml:space="preserve"> exposures to lyssavirus from bats in Australia or overseas.</w:t>
      </w:r>
    </w:p>
    <w:p w14:paraId="6BF4B552" w14:textId="3D240456" w:rsidR="00747763" w:rsidRDefault="00747763" w:rsidP="00B86A24">
      <w:pPr>
        <w:rPr>
          <w:noProof/>
          <w:lang w:val="en-GB" w:eastAsia="en-GB"/>
        </w:rPr>
      </w:pPr>
      <w:r>
        <w:rPr>
          <w:noProof/>
          <w:lang w:val="en-GB" w:eastAsia="en-GB"/>
        </w:rPr>
        <w:t>Figure 1, shown below, is reproduced from the Australian Immunisation Handbook (2018) and provides an overview of the p</w:t>
      </w:r>
      <w:r w:rsidRPr="00747763">
        <w:rPr>
          <w:noProof/>
          <w:lang w:val="en-GB" w:eastAsia="en-GB"/>
        </w:rPr>
        <w:t>ost-exposure prophylaxis algorithm for potential exposure to lyssaviruses from a terrestrial animal in a rabies-enzootic area</w:t>
      </w:r>
      <w:r w:rsidR="002C359B">
        <w:rPr>
          <w:noProof/>
          <w:lang w:val="en-GB" w:eastAsia="en-GB"/>
        </w:rPr>
        <w:t>. Note, t</w:t>
      </w:r>
      <w:r w:rsidR="002C359B" w:rsidRPr="002C359B">
        <w:rPr>
          <w:noProof/>
          <w:lang w:val="en-GB" w:eastAsia="en-GB"/>
        </w:rPr>
        <w:t>his algorithm is also suitable for potential exposure to a terrestrial animal with a laboratoryconfirmed lyssavirus infection in an area where rabies is not enzootic, such as Australia.</w:t>
      </w:r>
    </w:p>
    <w:p w14:paraId="25DD05C0" w14:textId="41DB85D9" w:rsidR="00747763" w:rsidRDefault="00747763" w:rsidP="00747763">
      <w:pPr>
        <w:pStyle w:val="FigureTitle"/>
      </w:pPr>
      <w:r>
        <w:lastRenderedPageBreak/>
        <w:t xml:space="preserve">Figure </w:t>
      </w:r>
      <w:fldSimple w:instr=" SEQ Figure \* ARABIC ">
        <w:r w:rsidR="003A2870">
          <w:rPr>
            <w:noProof/>
          </w:rPr>
          <w:t>1</w:t>
        </w:r>
      </w:fldSimple>
      <w:r>
        <w:t xml:space="preserve">: </w:t>
      </w:r>
      <w:r w:rsidRPr="00747763">
        <w:t>Post-exposure prophylaxis algorithm for potential exposure to lyssaviruses from a terrestrial animal in a rabies-enzootic area</w:t>
      </w:r>
    </w:p>
    <w:p w14:paraId="2B324D13" w14:textId="77777777" w:rsidR="00747763" w:rsidRDefault="00747763" w:rsidP="00B86A24">
      <w:r>
        <w:rPr>
          <w:noProof/>
          <w:lang w:val="en-GB" w:eastAsia="en-GB"/>
        </w:rPr>
        <w:drawing>
          <wp:inline distT="0" distB="0" distL="0" distR="0" wp14:anchorId="60DBD18D" wp14:editId="6C03038F">
            <wp:extent cx="4490535" cy="6414448"/>
            <wp:effectExtent l="0" t="0" r="5715" b="5715"/>
            <wp:docPr id="1" name="Picture 1" descr="Post-exposure prophylaxis algorithm for potential exposure to lyssaviruses from a terrestrial animal in a rabies-enzootic area&#10;There are 3 categories of rabies exposure: 1) touching or feeding animals, or animal licks on intact skin. 2) Animal nibbling of uncovered skin, or minor scratches or abrasions without bleeding. 3) Single or multiple transdermal bites or scratches; or contamination of mucous membrane or broken skin with saliva from animal licks. Category 1 does not require any prophylaxis if the contact history is reliable. Category II exposure in a non-immune person (see note a) requires vaccination. Immunocompetent people receive 4 doses intramuscularly on days 0, 3, 7 and 14. HRIG is not indicated for immunocompetent people.&#10;&#10;Immunocompromised people receive 5 doses on days 0, 3, 7, 14 and 28. They also receive HRIG. Immunocompromised people also have their serology checked 2–4 weeks after dose 5, and receive another dose if VNAb titre is &lt;0.5 IU/mL. Category II or III exposure in people who have been previously immunised (see note b) requires vaccination. If in doubt, treat as non-immune. Immunocompetent people and immunocompromised people receive 2 doses intramuscularly on days 0 and 3. HRIG is not indicated. Immunocompromised people should have their serology checked 2–4 weeks after dose 2; if VNAb titre is &lt;0.5 IU/mL, seek expert advice for total number of doses. Category III exposure in a non-immune person (see note a) requires vaccination and HRIG. Immunocompetent people receive 4 doses intramuscularly on days 0, 3, 7 and 14. They receive 1 dose of HRIG as soon as possible after starting PEP. Do not give HRIG beyond the 7th day after the 1st vaccine dose on day 0.&#10;&#10;Immunocompromised people receive 5 doses on days 0, 3, 7, 14 and 28. They receive 1 dose of HRIG as soon as possible after starting PEP. Do not give HRIG beyond the 7th day after the 1st vaccine dose on day 0. Immunocompromised people also have their serology checked 2–4 weeks after dose 5, and receive another dose if VNAb titre is &lt;0.5 IU/mL. If any of these groups is further exposed in the future, treat as previously immunised and follow the algorithm as above. If there is ongoing occupational exposure, see the booster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xposure prophylaxis algorithm for potential exposure to lyssaviruses from a terrestrial animal in a rabies-enzootic area"/>
                    <pic:cNvPicPr>
                      <a:picLocks noChangeAspect="1" noChangeArrowheads="1"/>
                    </pic:cNvPicPr>
                  </pic:nvPicPr>
                  <pic:blipFill rotWithShape="1">
                    <a:blip r:embed="rId13">
                      <a:extLst>
                        <a:ext uri="{28A0092B-C50C-407E-A947-70E740481C1C}">
                          <a14:useLocalDpi xmlns:a14="http://schemas.microsoft.com/office/drawing/2010/main" val="0"/>
                        </a:ext>
                      </a:extLst>
                    </a:blip>
                    <a:srcRect l="3790" t="3127" r="3575" b="3322"/>
                    <a:stretch/>
                  </pic:blipFill>
                  <pic:spPr bwMode="auto">
                    <a:xfrm>
                      <a:off x="0" y="0"/>
                      <a:ext cx="4515151" cy="6449611"/>
                    </a:xfrm>
                    <a:prstGeom prst="rect">
                      <a:avLst/>
                    </a:prstGeom>
                    <a:noFill/>
                    <a:ln>
                      <a:noFill/>
                    </a:ln>
                    <a:extLst>
                      <a:ext uri="{53640926-AAD7-44D8-BBD7-CCE9431645EC}">
                        <a14:shadowObscured xmlns:a14="http://schemas.microsoft.com/office/drawing/2010/main"/>
                      </a:ext>
                    </a:extLst>
                  </pic:spPr>
                </pic:pic>
              </a:graphicData>
            </a:graphic>
          </wp:inline>
        </w:drawing>
      </w:r>
    </w:p>
    <w:p w14:paraId="42D75E42" w14:textId="77777777" w:rsidR="00747763" w:rsidRDefault="00747763" w:rsidP="00747763">
      <w:pPr>
        <w:pStyle w:val="FigureDescription"/>
      </w:pPr>
      <w:r>
        <w:t xml:space="preserve">HRIG = human rabies immunoglobulin; IM = intramuscularly; PEP = post-exposure prophylaxis; </w:t>
      </w:r>
      <w:proofErr w:type="spellStart"/>
      <w:r>
        <w:t>VNAb</w:t>
      </w:r>
      <w:proofErr w:type="spellEnd"/>
      <w:r>
        <w:t> = virus neutralising antibody</w:t>
      </w:r>
    </w:p>
    <w:p w14:paraId="5B47E670" w14:textId="77777777" w:rsidR="00747763" w:rsidRDefault="00747763" w:rsidP="00747763">
      <w:pPr>
        <w:pStyle w:val="FigureDescription"/>
      </w:pPr>
      <w:r>
        <w:t xml:space="preserve">a) Non-immune: person who has never received pre- or post-exposure prophylaxis with rabies </w:t>
      </w:r>
      <w:proofErr w:type="gramStart"/>
      <w:r>
        <w:t>vaccine, or</w:t>
      </w:r>
      <w:proofErr w:type="gramEnd"/>
      <w:r>
        <w:t xml:space="preserve"> has had an incomplete or inadequate primary vaccination course; b) Previously immunised: documentation of a completed recommended pre- or post-exposure prophylaxis rabies vaccine regimen. This is regardless of the time since the last dose was given. It may be either a completed primary pre-exposure course or post-exposure course. It includes people who had subsequent boosters, or who have documented rabies </w:t>
      </w:r>
      <w:proofErr w:type="spellStart"/>
      <w:r>
        <w:t>VNAb</w:t>
      </w:r>
      <w:proofErr w:type="spellEnd"/>
      <w:r>
        <w:t xml:space="preserve"> titres ≥ 0.5 IU/</w:t>
      </w:r>
      <w:proofErr w:type="spellStart"/>
      <w:r>
        <w:t>mL.</w:t>
      </w:r>
      <w:proofErr w:type="spellEnd"/>
    </w:p>
    <w:p w14:paraId="70603612" w14:textId="77777777" w:rsidR="00B86A24" w:rsidRDefault="00D90B54" w:rsidP="00B86A24">
      <w:r>
        <w:t>Category II</w:t>
      </w:r>
      <w:r w:rsidR="00B86A24">
        <w:t xml:space="preserve"> exposure is defined as nibbling of uncovered skin, minor </w:t>
      </w:r>
      <w:proofErr w:type="gramStart"/>
      <w:r w:rsidR="00B86A24">
        <w:t>scratches</w:t>
      </w:r>
      <w:proofErr w:type="gramEnd"/>
      <w:r w:rsidR="00B86A24">
        <w:t xml:space="preserve"> or abrasi</w:t>
      </w:r>
      <w:r>
        <w:t>ons without bleeding. Category III</w:t>
      </w:r>
      <w:r w:rsidR="00B86A24">
        <w:t xml:space="preserve"> exposure is defined as single or multiple transdermal bites or scratches, contamination of mucous membrane or broken skin with saliva from animal licks, or exposure due to direct contact with bats.</w:t>
      </w:r>
    </w:p>
    <w:p w14:paraId="36073325" w14:textId="77777777" w:rsidR="00D90B54" w:rsidRDefault="00D90B54" w:rsidP="00B86A24">
      <w:r>
        <w:lastRenderedPageBreak/>
        <w:t>Figure 2, below, is the algorithm (reproduced from the Australian Immunisation Handbook (2018)) for post-exposure prophylaxis for potential exposure to lyssaviruses from bats.</w:t>
      </w:r>
    </w:p>
    <w:p w14:paraId="4D41EDC7" w14:textId="55ED10C2" w:rsidR="00D90B54" w:rsidRDefault="00D90B54" w:rsidP="00D90B54">
      <w:pPr>
        <w:pStyle w:val="FigureTitle"/>
      </w:pPr>
      <w:r>
        <w:t xml:space="preserve">Figure </w:t>
      </w:r>
      <w:fldSimple w:instr=" SEQ Figure \* ARABIC ">
        <w:r w:rsidR="003A2870">
          <w:rPr>
            <w:noProof/>
          </w:rPr>
          <w:t>2</w:t>
        </w:r>
      </w:fldSimple>
      <w:r>
        <w:t xml:space="preserve">: </w:t>
      </w:r>
      <w:r w:rsidRPr="001D5F25">
        <w:t>Post-exposure prophylaxis algorithm for potential exposure to lyssaviruses from bats in Australia or overseas</w:t>
      </w:r>
    </w:p>
    <w:p w14:paraId="754BD53D" w14:textId="77777777" w:rsidR="00D90B54" w:rsidRDefault="00D90B54" w:rsidP="00B86A24">
      <w:r>
        <w:rPr>
          <w:noProof/>
          <w:lang w:val="en-GB" w:eastAsia="en-GB"/>
        </w:rPr>
        <w:drawing>
          <wp:inline distT="0" distB="0" distL="0" distR="0" wp14:anchorId="4AAC7005" wp14:editId="7B41F049">
            <wp:extent cx="4105126" cy="5676405"/>
            <wp:effectExtent l="0" t="0" r="0" b="635"/>
            <wp:docPr id="2" name="Picture 2" descr="There are 3 categories of exposure to lyssaviruses from bats: 1) touching or feeding animals, or animal licks on intact skin. 2) Animal nibbling of uncovered skin, or minor scratches or abrasions without bleeding. 3) Single or multiple transdermal bites or scratches; or contamination of mucous membrane or broken skin with saliva from animal licks (also see note a). Category 1 does not require any prophylaxis if the contact history is reliable. Category II or III exposure in people who have been previously immunised (see note b) requires vaccination. If in doubt, treat as non-immune (see note b). Immunocompetent people and immunocompromised people receive 2 doses intramuscularly on days 0 and 3. HRIG is not indicated. Immunocompromised people should have their serology checked 2–4 weeks after dose 2; if VNAb titre is &lt;0.5 IU/mL, seek expert advice for total number of doses. Category II or III exposure in a non-immune person (see note b) requires vaccination and HRIG. Immunocompetent people receive 4 doses intramuscularly on days 0, 3, 7 and 14. They receive 1 dose of HRIG as soon as possible after starting PEP. Do not give HRIG beyond the 7th day after the 1st vaccine dose on day 0. Immunocompromised people receive 5 doses on days 0, 3, 7, 14 and 28. They receive 1 dose of HRIG as soon as possible after starting PEP. Do not give HRIG beyond the 7th day after the 1st vaccine dose on day 0. Immunocompromised people also have their serology checked 2–4 weeks after dose 5, and receive another dose if VNAb titre is &lt;0.5 IU/mL. If any of these groups is further exposed in the future, treat as previously immunised and follow the algorithm as above. If there is ongoing occupational exposure, see the booster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xposure prophylaxis algorithm for potential exposure to lyssaviruses from bats in Australia or overseas"/>
                    <pic:cNvPicPr>
                      <a:picLocks noChangeAspect="1" noChangeArrowheads="1"/>
                    </pic:cNvPicPr>
                  </pic:nvPicPr>
                  <pic:blipFill rotWithShape="1">
                    <a:blip r:embed="rId14">
                      <a:extLst>
                        <a:ext uri="{28A0092B-C50C-407E-A947-70E740481C1C}">
                          <a14:useLocalDpi xmlns:a14="http://schemas.microsoft.com/office/drawing/2010/main" val="0"/>
                        </a:ext>
                      </a:extLst>
                    </a:blip>
                    <a:srcRect l="5054" t="3485" r="4454" b="8050"/>
                    <a:stretch/>
                  </pic:blipFill>
                  <pic:spPr bwMode="auto">
                    <a:xfrm>
                      <a:off x="0" y="0"/>
                      <a:ext cx="4117341" cy="5693296"/>
                    </a:xfrm>
                    <a:prstGeom prst="rect">
                      <a:avLst/>
                    </a:prstGeom>
                    <a:noFill/>
                    <a:ln>
                      <a:noFill/>
                    </a:ln>
                    <a:extLst>
                      <a:ext uri="{53640926-AAD7-44D8-BBD7-CCE9431645EC}">
                        <a14:shadowObscured xmlns:a14="http://schemas.microsoft.com/office/drawing/2010/main"/>
                      </a:ext>
                    </a:extLst>
                  </pic:spPr>
                </pic:pic>
              </a:graphicData>
            </a:graphic>
          </wp:inline>
        </w:drawing>
      </w:r>
    </w:p>
    <w:p w14:paraId="79407F37" w14:textId="77777777" w:rsidR="00D90B54" w:rsidRDefault="00D90B54" w:rsidP="00D90B54">
      <w:pPr>
        <w:pStyle w:val="FigureDescription"/>
      </w:pPr>
      <w:r>
        <w:t xml:space="preserve">HRIG = human rabies immunoglobulin; IM = intramuscularly; PEP = post-exposure prophylaxis; </w:t>
      </w:r>
      <w:proofErr w:type="spellStart"/>
      <w:r>
        <w:t>VNAb</w:t>
      </w:r>
      <w:proofErr w:type="spellEnd"/>
      <w:r>
        <w:t> = virus neutralising antibody</w:t>
      </w:r>
    </w:p>
    <w:p w14:paraId="3A5D5D23" w14:textId="77777777" w:rsidR="00D90B54" w:rsidRDefault="00D90B54" w:rsidP="00D90B54">
      <w:pPr>
        <w:pStyle w:val="FigureDescription"/>
      </w:pPr>
      <w:r>
        <w:t xml:space="preserve">a) Includes situations where the exposure may be difficult to categorise, because a person does not know or cannot communicate if or how an exposure to a bat has occurred; b) Previously immunised: documentation of a completed recommended pre-exposure prophylaxis or PEP rabies vaccine regimen. This is regardless of the time since the last dose was given. It may be either a completed primary pre-exposure course or a post-exposure course, and includes people given subsequent boosters or whose documented rabies </w:t>
      </w:r>
      <w:proofErr w:type="spellStart"/>
      <w:r>
        <w:t>VNAb</w:t>
      </w:r>
      <w:proofErr w:type="spellEnd"/>
      <w:r>
        <w:t xml:space="preserve"> titres are ≥ 0.5 IU/mL; c) Non-immune: a person who has never received pre- or post-exposure rabies vaccine, or has had an incomplete or inadequate primary vaccination course.</w:t>
      </w:r>
    </w:p>
    <w:p w14:paraId="2ACAE0CE" w14:textId="46D661EF" w:rsidR="00250271" w:rsidRDefault="00B86A24" w:rsidP="00AD7FFE">
      <w:r>
        <w:lastRenderedPageBreak/>
        <w:t xml:space="preserve">Rabies vaccines available in Australia include </w:t>
      </w:r>
      <w:proofErr w:type="spellStart"/>
      <w:r>
        <w:t>Merieux</w:t>
      </w:r>
      <w:proofErr w:type="spellEnd"/>
      <w:r>
        <w:t xml:space="preserve"> I</w:t>
      </w:r>
      <w:r w:rsidR="00D90B54">
        <w:t>n</w:t>
      </w:r>
      <w:r w:rsidR="0044465F">
        <w:t>activated Rabies Vaccine;</w:t>
      </w:r>
      <w:r w:rsidR="0044465F">
        <w:rPr>
          <w:rStyle w:val="FootnoteReference"/>
        </w:rPr>
        <w:footnoteReference w:id="3"/>
      </w:r>
      <w:r>
        <w:t xml:space="preserve"> and Rabipur Inacti</w:t>
      </w:r>
      <w:r w:rsidR="0044465F">
        <w:t>vated Rabies Virus Vaccine</w:t>
      </w:r>
      <w:r w:rsidR="00D90B54">
        <w:t>.</w:t>
      </w:r>
      <w:r w:rsidR="0044465F">
        <w:rPr>
          <w:rStyle w:val="FootnoteReference"/>
        </w:rPr>
        <w:footnoteReference w:id="4"/>
      </w:r>
      <w:r w:rsidR="00D90B54">
        <w:t xml:space="preserve"> </w:t>
      </w:r>
      <w:proofErr w:type="spellStart"/>
      <w:r w:rsidR="0044465F">
        <w:t>Imogam</w:t>
      </w:r>
      <w:proofErr w:type="spellEnd"/>
      <w:r w:rsidR="0044465F">
        <w:t xml:space="preserve"> </w:t>
      </w:r>
      <w:r w:rsidR="000C4EC6">
        <w:t>R</w:t>
      </w:r>
      <w:r w:rsidR="0044465F">
        <w:t xml:space="preserve">abies </w:t>
      </w:r>
      <w:r w:rsidR="000C4EC6">
        <w:t>P</w:t>
      </w:r>
      <w:r w:rsidR="0044465F">
        <w:t>asteurised, as a</w:t>
      </w:r>
      <w:r>
        <w:t xml:space="preserve"> rabies immunoglobulin</w:t>
      </w:r>
      <w:r w:rsidR="0044465F">
        <w:t>,</w:t>
      </w:r>
      <w:r>
        <w:t xml:space="preserve"> is registered in Australia for post-exposure prophylaxis.</w:t>
      </w:r>
      <w:r w:rsidR="0044465F">
        <w:rPr>
          <w:rStyle w:val="FootnoteReference"/>
        </w:rPr>
        <w:footnoteReference w:id="5"/>
      </w:r>
    </w:p>
    <w:p w14:paraId="77D75875" w14:textId="77777777" w:rsidR="008E7846" w:rsidRPr="003F31A2" w:rsidRDefault="00386150" w:rsidP="008E7846">
      <w:pPr>
        <w:pStyle w:val="Heading3"/>
      </w:pPr>
      <w:bookmarkStart w:id="16" w:name="_Toc314842485"/>
      <w:bookmarkStart w:id="17" w:name="_Toc247691504"/>
      <w:bookmarkStart w:id="18" w:name="_Toc92715894"/>
      <w:r>
        <w:t>Regulatory s</w:t>
      </w:r>
      <w:r w:rsidR="008E7846">
        <w:t>tatus</w:t>
      </w:r>
      <w:bookmarkEnd w:id="16"/>
      <w:bookmarkEnd w:id="17"/>
      <w:bookmarkEnd w:id="18"/>
    </w:p>
    <w:p w14:paraId="1B697159" w14:textId="77777777" w:rsidR="00940A89" w:rsidRDefault="00006FAB" w:rsidP="00940A89">
      <w:bookmarkStart w:id="19" w:name="_Toc247691505"/>
      <w:bookmarkStart w:id="20" w:name="_Toc314842486"/>
      <w:r w:rsidRPr="00006FAB">
        <w:t>This produ</w:t>
      </w:r>
      <w:r w:rsidR="00630871">
        <w:t xml:space="preserve">ct is considered a new biological entity </w:t>
      </w:r>
      <w:r w:rsidRPr="00006FAB">
        <w:t>for Australian regulatory purposes.</w:t>
      </w:r>
    </w:p>
    <w:p w14:paraId="372E2C17" w14:textId="4DEA42DC" w:rsidR="00630871" w:rsidRDefault="00B471D6" w:rsidP="00940A89">
      <w:proofErr w:type="spellStart"/>
      <w:r>
        <w:t>KamRAB</w:t>
      </w:r>
      <w:proofErr w:type="spellEnd"/>
      <w:r w:rsidR="00630871" w:rsidRPr="00630871">
        <w:t xml:space="preserve"> was first supplied in Australia under the Special Access Scheme </w:t>
      </w:r>
      <w:r w:rsidR="00630871">
        <w:t xml:space="preserve">(SAS) </w:t>
      </w:r>
      <w:r w:rsidR="00630871" w:rsidRPr="00630871">
        <w:t>from Dec</w:t>
      </w:r>
      <w:r w:rsidR="00630871">
        <w:t>ember</w:t>
      </w:r>
      <w:r w:rsidR="000C4EC6">
        <w:t> </w:t>
      </w:r>
      <w:r w:rsidR="006C04CE">
        <w:t>2013 to July 2016. A S</w:t>
      </w:r>
      <w:r w:rsidR="00630871" w:rsidRPr="00630871">
        <w:t xml:space="preserve">ection 19A application </w:t>
      </w:r>
      <w:r w:rsidR="00630871">
        <w:t xml:space="preserve">to supply Israeli registered </w:t>
      </w:r>
      <w:proofErr w:type="spellStart"/>
      <w:r>
        <w:t>KamRAB</w:t>
      </w:r>
      <w:proofErr w:type="spellEnd"/>
      <w:r w:rsidR="00630871" w:rsidRPr="00630871">
        <w:t xml:space="preserve"> to address the anticipated shortage of </w:t>
      </w:r>
      <w:proofErr w:type="spellStart"/>
      <w:r w:rsidR="00630871" w:rsidRPr="00630871">
        <w:t>Imogam</w:t>
      </w:r>
      <w:proofErr w:type="spellEnd"/>
      <w:r w:rsidR="00630871" w:rsidRPr="00630871">
        <w:t xml:space="preserve"> (supply impact dates 1</w:t>
      </w:r>
      <w:r w:rsidR="000C4EC6">
        <w:t> </w:t>
      </w:r>
      <w:r w:rsidR="00630871" w:rsidRPr="00630871">
        <w:t>November</w:t>
      </w:r>
      <w:r w:rsidR="000C4EC6">
        <w:t> </w:t>
      </w:r>
      <w:r w:rsidR="00630871" w:rsidRPr="00630871">
        <w:t>2019 to 1 January 2021) was approved on 25 September 2019.</w:t>
      </w:r>
      <w:r w:rsidR="002A3D32">
        <w:rPr>
          <w:rStyle w:val="FootnoteReference"/>
        </w:rPr>
        <w:footnoteReference w:id="6"/>
      </w:r>
    </w:p>
    <w:p w14:paraId="015E3026" w14:textId="77777777" w:rsidR="00006FAB" w:rsidRDefault="00006FAB" w:rsidP="00006FAB">
      <w:r>
        <w:t>At the time the TGA</w:t>
      </w:r>
      <w:r w:rsidR="00A87EF9">
        <w:t xml:space="preserve"> considered this application, </w:t>
      </w:r>
      <w:r>
        <w:t>similar application</w:t>
      </w:r>
      <w:r w:rsidR="00A87EF9">
        <w:t>s</w:t>
      </w:r>
      <w:r>
        <w:t xml:space="preserve"> had been approved </w:t>
      </w:r>
      <w:r w:rsidR="00A87EF9">
        <w:t>in the countries listed in Table 1, below.</w:t>
      </w:r>
    </w:p>
    <w:p w14:paraId="1569C15A" w14:textId="0E24C43A" w:rsidR="00324E45" w:rsidRPr="00F0146F" w:rsidRDefault="00324E45" w:rsidP="000C4EC6">
      <w:pPr>
        <w:pStyle w:val="TableTitle"/>
      </w:pPr>
      <w:r>
        <w:t xml:space="preserve">Table </w:t>
      </w:r>
      <w:fldSimple w:instr=" SEQ Table \* ARABIC ">
        <w:r w:rsidR="003A2870">
          <w:rPr>
            <w:noProof/>
          </w:rPr>
          <w:t>1</w:t>
        </w:r>
      </w:fldSimple>
      <w:r>
        <w:t>: International regulatory status</w:t>
      </w:r>
    </w:p>
    <w:tbl>
      <w:tblPr>
        <w:tblStyle w:val="TableTGAblue"/>
        <w:tblW w:w="0" w:type="auto"/>
        <w:tblLook w:val="04A0" w:firstRow="1" w:lastRow="0" w:firstColumn="1" w:lastColumn="0" w:noHBand="0" w:noVBand="1"/>
      </w:tblPr>
      <w:tblGrid>
        <w:gridCol w:w="1525"/>
        <w:gridCol w:w="2160"/>
        <w:gridCol w:w="2160"/>
        <w:gridCol w:w="2649"/>
      </w:tblGrid>
      <w:tr w:rsidR="00006FAB" w14:paraId="27E66ABD" w14:textId="77777777" w:rsidTr="002A3D32">
        <w:trPr>
          <w:cnfStyle w:val="100000000000" w:firstRow="1" w:lastRow="0" w:firstColumn="0" w:lastColumn="0" w:oddVBand="0" w:evenVBand="0" w:oddHBand="0" w:evenHBand="0" w:firstRowFirstColumn="0" w:firstRowLastColumn="0" w:lastRowFirstColumn="0" w:lastRowLastColumn="0"/>
        </w:trPr>
        <w:tc>
          <w:tcPr>
            <w:tcW w:w="1525" w:type="dxa"/>
            <w:tcBorders>
              <w:top w:val="single" w:sz="4" w:space="0" w:color="auto"/>
              <w:left w:val="single" w:sz="4" w:space="0" w:color="auto"/>
              <w:bottom w:val="single" w:sz="4" w:space="0" w:color="auto"/>
              <w:right w:val="single" w:sz="4" w:space="0" w:color="auto"/>
            </w:tcBorders>
          </w:tcPr>
          <w:p w14:paraId="152B5F3C" w14:textId="77777777" w:rsidR="00006FAB" w:rsidRDefault="00006FAB" w:rsidP="000C4EC6">
            <w:pPr>
              <w:ind w:left="0" w:right="0"/>
            </w:pPr>
            <w:r>
              <w:t>Region</w:t>
            </w:r>
          </w:p>
        </w:tc>
        <w:tc>
          <w:tcPr>
            <w:tcW w:w="2160" w:type="dxa"/>
            <w:tcBorders>
              <w:top w:val="single" w:sz="4" w:space="0" w:color="auto"/>
              <w:left w:val="single" w:sz="4" w:space="0" w:color="auto"/>
              <w:bottom w:val="single" w:sz="4" w:space="0" w:color="auto"/>
              <w:right w:val="single" w:sz="4" w:space="0" w:color="auto"/>
            </w:tcBorders>
          </w:tcPr>
          <w:p w14:paraId="3BF12EFE" w14:textId="77777777" w:rsidR="00006FAB" w:rsidRDefault="00006FAB" w:rsidP="000C4EC6">
            <w:pPr>
              <w:ind w:left="0" w:right="0"/>
            </w:pPr>
            <w:r>
              <w:t>Submission date</w:t>
            </w:r>
          </w:p>
        </w:tc>
        <w:tc>
          <w:tcPr>
            <w:tcW w:w="2160" w:type="dxa"/>
            <w:tcBorders>
              <w:top w:val="single" w:sz="4" w:space="0" w:color="auto"/>
              <w:left w:val="single" w:sz="4" w:space="0" w:color="auto"/>
              <w:bottom w:val="single" w:sz="4" w:space="0" w:color="auto"/>
              <w:right w:val="single" w:sz="4" w:space="0" w:color="auto"/>
            </w:tcBorders>
          </w:tcPr>
          <w:p w14:paraId="2EA48C38" w14:textId="77777777" w:rsidR="00006FAB" w:rsidRDefault="00006FAB" w:rsidP="000C4EC6">
            <w:pPr>
              <w:ind w:left="0" w:right="0"/>
            </w:pPr>
            <w:r>
              <w:t>Status</w:t>
            </w:r>
          </w:p>
        </w:tc>
        <w:tc>
          <w:tcPr>
            <w:tcW w:w="2649" w:type="dxa"/>
            <w:tcBorders>
              <w:top w:val="single" w:sz="4" w:space="0" w:color="auto"/>
              <w:left w:val="single" w:sz="4" w:space="0" w:color="auto"/>
              <w:bottom w:val="single" w:sz="4" w:space="0" w:color="auto"/>
              <w:right w:val="single" w:sz="4" w:space="0" w:color="auto"/>
            </w:tcBorders>
          </w:tcPr>
          <w:p w14:paraId="79A41C81" w14:textId="77777777" w:rsidR="00006FAB" w:rsidRDefault="00006FAB" w:rsidP="000C4EC6">
            <w:pPr>
              <w:ind w:left="0" w:right="0"/>
            </w:pPr>
            <w:r>
              <w:t>Approved indications</w:t>
            </w:r>
          </w:p>
        </w:tc>
      </w:tr>
      <w:tr w:rsidR="00006FAB" w14:paraId="5EAEE324" w14:textId="77777777" w:rsidTr="002A3D32">
        <w:tc>
          <w:tcPr>
            <w:tcW w:w="1525" w:type="dxa"/>
            <w:tcBorders>
              <w:top w:val="single" w:sz="4" w:space="0" w:color="auto"/>
            </w:tcBorders>
          </w:tcPr>
          <w:p w14:paraId="4D99A176" w14:textId="77777777" w:rsidR="00006FAB" w:rsidRDefault="007F0039" w:rsidP="0090240F">
            <w:pPr>
              <w:keepNext/>
              <w:ind w:left="0" w:right="0"/>
            </w:pPr>
            <w:r>
              <w:t>United States of America</w:t>
            </w:r>
          </w:p>
        </w:tc>
        <w:tc>
          <w:tcPr>
            <w:tcW w:w="2160" w:type="dxa"/>
            <w:tcBorders>
              <w:top w:val="single" w:sz="4" w:space="0" w:color="auto"/>
            </w:tcBorders>
          </w:tcPr>
          <w:p w14:paraId="19D40CAD" w14:textId="77777777" w:rsidR="00006FAB" w:rsidRDefault="007F0039" w:rsidP="0090240F">
            <w:pPr>
              <w:keepNext/>
              <w:ind w:left="0"/>
            </w:pPr>
            <w:r>
              <w:t>29 August 2016</w:t>
            </w:r>
          </w:p>
        </w:tc>
        <w:tc>
          <w:tcPr>
            <w:tcW w:w="2160" w:type="dxa"/>
            <w:tcBorders>
              <w:top w:val="single" w:sz="4" w:space="0" w:color="auto"/>
            </w:tcBorders>
          </w:tcPr>
          <w:p w14:paraId="76F71665" w14:textId="77777777" w:rsidR="00006FAB" w:rsidRDefault="007F0039" w:rsidP="0090240F">
            <w:pPr>
              <w:keepNext/>
              <w:ind w:left="0"/>
            </w:pPr>
            <w:r>
              <w:t>23 August 2017</w:t>
            </w:r>
          </w:p>
        </w:tc>
        <w:tc>
          <w:tcPr>
            <w:tcW w:w="2649" w:type="dxa"/>
            <w:tcBorders>
              <w:top w:val="single" w:sz="4" w:space="0" w:color="auto"/>
            </w:tcBorders>
          </w:tcPr>
          <w:p w14:paraId="002320D3" w14:textId="2F13C95D" w:rsidR="00006FAB" w:rsidRPr="00B8406A" w:rsidRDefault="007F0039" w:rsidP="0090240F">
            <w:pPr>
              <w:keepNext/>
              <w:ind w:left="0"/>
              <w:rPr>
                <w:i/>
              </w:rPr>
            </w:pPr>
            <w:r w:rsidRPr="00B8406A">
              <w:rPr>
                <w:i/>
              </w:rPr>
              <w:t xml:space="preserve">Passive, transient post-exposure prophylaxis (PEP) of rabies infection </w:t>
            </w:r>
            <w:r w:rsidR="00AB7075">
              <w:rPr>
                <w:i/>
              </w:rPr>
              <w:t xml:space="preserve">to persons of all ages </w:t>
            </w:r>
            <w:r w:rsidRPr="00B8406A">
              <w:rPr>
                <w:i/>
              </w:rPr>
              <w:t>when given immediately after contact with a rabid or possibly rabid animal</w:t>
            </w:r>
          </w:p>
        </w:tc>
      </w:tr>
      <w:tr w:rsidR="00006FAB" w14:paraId="4A3184F6" w14:textId="77777777" w:rsidTr="0090240F">
        <w:trPr>
          <w:cantSplit/>
        </w:trPr>
        <w:tc>
          <w:tcPr>
            <w:tcW w:w="0" w:type="dxa"/>
          </w:tcPr>
          <w:p w14:paraId="764CC786" w14:textId="77777777" w:rsidR="00006FAB" w:rsidRDefault="007F0039" w:rsidP="00006FAB">
            <w:pPr>
              <w:ind w:left="0" w:right="0"/>
            </w:pPr>
            <w:r>
              <w:t>Canada</w:t>
            </w:r>
          </w:p>
        </w:tc>
        <w:tc>
          <w:tcPr>
            <w:tcW w:w="0" w:type="dxa"/>
          </w:tcPr>
          <w:p w14:paraId="7A8F5A09" w14:textId="77777777" w:rsidR="00006FAB" w:rsidRDefault="007F0039" w:rsidP="007F0039">
            <w:pPr>
              <w:ind w:left="0"/>
            </w:pPr>
            <w:r>
              <w:t>22 November 2017</w:t>
            </w:r>
          </w:p>
        </w:tc>
        <w:tc>
          <w:tcPr>
            <w:tcW w:w="0" w:type="dxa"/>
          </w:tcPr>
          <w:p w14:paraId="687DFCEF" w14:textId="38075959" w:rsidR="00006FAB" w:rsidRDefault="007F0039" w:rsidP="00006FAB">
            <w:pPr>
              <w:ind w:left="0" w:right="0"/>
            </w:pPr>
            <w:r>
              <w:t>7 November 2018</w:t>
            </w:r>
          </w:p>
        </w:tc>
        <w:tc>
          <w:tcPr>
            <w:tcW w:w="0" w:type="dxa"/>
          </w:tcPr>
          <w:p w14:paraId="445D4BCB" w14:textId="77777777" w:rsidR="00006FAB" w:rsidRPr="00B8406A" w:rsidRDefault="007F0039" w:rsidP="007F0039">
            <w:pPr>
              <w:ind w:left="0" w:right="0"/>
              <w:rPr>
                <w:i/>
              </w:rPr>
            </w:pPr>
            <w:r w:rsidRPr="00B8406A">
              <w:rPr>
                <w:i/>
              </w:rPr>
              <w:t>Passive, transient post-exposure prophylaxis (PEP) of rabies infection, when given immediately after contact with a rabid or possibly rabid animal</w:t>
            </w:r>
          </w:p>
        </w:tc>
      </w:tr>
      <w:tr w:rsidR="007F0039" w14:paraId="08852A68" w14:textId="77777777" w:rsidTr="002A3D32">
        <w:tc>
          <w:tcPr>
            <w:tcW w:w="1525" w:type="dxa"/>
          </w:tcPr>
          <w:p w14:paraId="68C69F84" w14:textId="77777777" w:rsidR="007F0039" w:rsidRDefault="007F0039" w:rsidP="007F0039">
            <w:pPr>
              <w:ind w:left="0"/>
            </w:pPr>
            <w:r>
              <w:lastRenderedPageBreak/>
              <w:t>Israel</w:t>
            </w:r>
          </w:p>
        </w:tc>
        <w:tc>
          <w:tcPr>
            <w:tcW w:w="2160" w:type="dxa"/>
          </w:tcPr>
          <w:p w14:paraId="26E2761A" w14:textId="77777777" w:rsidR="007F0039" w:rsidRDefault="007F0039" w:rsidP="007F0039">
            <w:pPr>
              <w:ind w:left="0"/>
            </w:pPr>
            <w:r>
              <w:t>14 January 2008</w:t>
            </w:r>
          </w:p>
        </w:tc>
        <w:tc>
          <w:tcPr>
            <w:tcW w:w="2160" w:type="dxa"/>
          </w:tcPr>
          <w:p w14:paraId="58D9938B" w14:textId="77777777" w:rsidR="007F0039" w:rsidRDefault="007F0039" w:rsidP="007F0039">
            <w:pPr>
              <w:ind w:left="0"/>
            </w:pPr>
            <w:r>
              <w:t>9 July 2008</w:t>
            </w:r>
          </w:p>
        </w:tc>
        <w:tc>
          <w:tcPr>
            <w:tcW w:w="2649" w:type="dxa"/>
          </w:tcPr>
          <w:p w14:paraId="2DFE1C01" w14:textId="0CFB73F1" w:rsidR="007F0039" w:rsidRPr="00B8406A" w:rsidRDefault="007F0039" w:rsidP="007F0039">
            <w:pPr>
              <w:ind w:left="0"/>
              <w:rPr>
                <w:i/>
              </w:rPr>
            </w:pPr>
            <w:r w:rsidRPr="00B8406A">
              <w:rPr>
                <w:i/>
              </w:rPr>
              <w:t xml:space="preserve">Passive, transient post-exposure prophylaxis (PEP) of rabies infection, when given immediately </w:t>
            </w:r>
            <w:r w:rsidR="00BD289B">
              <w:rPr>
                <w:i/>
              </w:rPr>
              <w:t>to individuals in cases of</w:t>
            </w:r>
            <w:r w:rsidR="00BD289B" w:rsidRPr="00B8406A">
              <w:rPr>
                <w:i/>
              </w:rPr>
              <w:t xml:space="preserve"> </w:t>
            </w:r>
            <w:r w:rsidRPr="00B8406A">
              <w:rPr>
                <w:i/>
              </w:rPr>
              <w:t>contact with a rabid or possibly rabid animal</w:t>
            </w:r>
          </w:p>
        </w:tc>
      </w:tr>
    </w:tbl>
    <w:p w14:paraId="77B89BAA" w14:textId="546A2184" w:rsidR="008E7846" w:rsidRDefault="008E7846" w:rsidP="00940A89">
      <w:pPr>
        <w:pStyle w:val="Heading3"/>
      </w:pPr>
      <w:bookmarkStart w:id="21" w:name="_Toc92715895"/>
      <w:r>
        <w:t>Product Information</w:t>
      </w:r>
      <w:bookmarkEnd w:id="19"/>
      <w:bookmarkEnd w:id="20"/>
      <w:bookmarkEnd w:id="21"/>
    </w:p>
    <w:p w14:paraId="0038B855" w14:textId="33889780" w:rsidR="00006FAB" w:rsidRDefault="006136D7" w:rsidP="002A3D32">
      <w:bookmarkStart w:id="22" w:name="_Toc247691506"/>
      <w:bookmarkStart w:id="23"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5" w:history="1">
        <w:r w:rsidR="00441C3F" w:rsidRPr="00441C3F">
          <w:rPr>
            <w:rStyle w:val="Hyperlink"/>
          </w:rPr>
          <w:t>https://www.tga.gov.au/product-information-pi</w:t>
        </w:r>
      </w:hyperlink>
      <w:r w:rsidR="00441C3F">
        <w:t>&gt;</w:t>
      </w:r>
      <w:r w:rsidR="00940A89" w:rsidRPr="00940A89">
        <w:t>.</w:t>
      </w:r>
    </w:p>
    <w:p w14:paraId="1B0433D4" w14:textId="77777777" w:rsidR="00500337" w:rsidRDefault="00500337" w:rsidP="00500337">
      <w:pPr>
        <w:pStyle w:val="Heading2"/>
      </w:pPr>
      <w:bookmarkStart w:id="24" w:name="_Toc504480011"/>
      <w:bookmarkStart w:id="25" w:name="_Toc92715896"/>
      <w:r>
        <w:t>II. Registration timeline</w:t>
      </w:r>
      <w:bookmarkEnd w:id="24"/>
      <w:bookmarkEnd w:id="25"/>
    </w:p>
    <w:p w14:paraId="0B45002C" w14:textId="77777777" w:rsidR="006A58A8" w:rsidRDefault="00500337" w:rsidP="00E745FA">
      <w:r>
        <w:t xml:space="preserve">The following table captures the key steps and dates for this </w:t>
      </w:r>
      <w:proofErr w:type="gramStart"/>
      <w:r>
        <w:t>application</w:t>
      </w:r>
      <w:proofErr w:type="gramEnd"/>
      <w:r>
        <w:t xml:space="preserve"> and which are detaile</w:t>
      </w:r>
      <w:r w:rsidR="00E745FA">
        <w:t xml:space="preserve">d and discussed in this </w:t>
      </w:r>
      <w:proofErr w:type="spellStart"/>
      <w:r w:rsidR="00E745FA">
        <w:t>AusPAR</w:t>
      </w:r>
      <w:proofErr w:type="spellEnd"/>
      <w:r w:rsidR="00E745FA">
        <w:t>.</w:t>
      </w:r>
    </w:p>
    <w:p w14:paraId="712443AA" w14:textId="42ED65D4" w:rsidR="00E745FA" w:rsidRDefault="00E745FA" w:rsidP="000C4EC6">
      <w:pPr>
        <w:pStyle w:val="TableTitle"/>
      </w:pPr>
      <w:r>
        <w:t xml:space="preserve">Table </w:t>
      </w:r>
      <w:fldSimple w:instr=" SEQ Table \* ARABIC ">
        <w:r w:rsidR="003A2870">
          <w:rPr>
            <w:noProof/>
          </w:rPr>
          <w:t>2</w:t>
        </w:r>
      </w:fldSimple>
      <w:r>
        <w:t xml:space="preserve">: </w:t>
      </w:r>
      <w:r w:rsidRPr="006A58A8">
        <w:t>Timeline for Submission PM-</w:t>
      </w:r>
      <w:r w:rsidR="00A438C4">
        <w:t>2020-</w:t>
      </w:r>
      <w:r>
        <w:t>02488-1-2</w:t>
      </w:r>
    </w:p>
    <w:tbl>
      <w:tblPr>
        <w:tblStyle w:val="TableTGAblue"/>
        <w:tblW w:w="0" w:type="auto"/>
        <w:tblLook w:val="04A0" w:firstRow="1" w:lastRow="0" w:firstColumn="1" w:lastColumn="0" w:noHBand="0" w:noVBand="1"/>
      </w:tblPr>
      <w:tblGrid>
        <w:gridCol w:w="4254"/>
        <w:gridCol w:w="4240"/>
      </w:tblGrid>
      <w:tr w:rsidR="00500337" w14:paraId="4A1E0F8F" w14:textId="77777777" w:rsidTr="00716E39">
        <w:trPr>
          <w:cnfStyle w:val="100000000000" w:firstRow="1" w:lastRow="0" w:firstColumn="0" w:lastColumn="0" w:oddVBand="0" w:evenVBand="0" w:oddHBand="0" w:evenHBand="0" w:firstRowFirstColumn="0" w:firstRowLastColumn="0" w:lastRowFirstColumn="0" w:lastRowLastColumn="0"/>
          <w:cantSplit/>
        </w:trPr>
        <w:tc>
          <w:tcPr>
            <w:tcW w:w="4254" w:type="dxa"/>
            <w:tcBorders>
              <w:top w:val="single" w:sz="4" w:space="0" w:color="auto"/>
              <w:left w:val="single" w:sz="4" w:space="0" w:color="auto"/>
              <w:bottom w:val="single" w:sz="4" w:space="0" w:color="auto"/>
              <w:right w:val="single" w:sz="4" w:space="0" w:color="auto"/>
            </w:tcBorders>
          </w:tcPr>
          <w:p w14:paraId="1744CCFE" w14:textId="77777777" w:rsidR="00500337" w:rsidRDefault="00500337" w:rsidP="000C4EC6">
            <w:pPr>
              <w:ind w:left="0" w:right="0"/>
            </w:pPr>
            <w:r>
              <w:t>Description</w:t>
            </w:r>
          </w:p>
        </w:tc>
        <w:tc>
          <w:tcPr>
            <w:tcW w:w="4240" w:type="dxa"/>
            <w:tcBorders>
              <w:top w:val="single" w:sz="4" w:space="0" w:color="auto"/>
              <w:left w:val="single" w:sz="4" w:space="0" w:color="auto"/>
              <w:bottom w:val="single" w:sz="4" w:space="0" w:color="auto"/>
              <w:right w:val="single" w:sz="4" w:space="0" w:color="auto"/>
            </w:tcBorders>
          </w:tcPr>
          <w:p w14:paraId="4578E60B" w14:textId="77777777" w:rsidR="00500337" w:rsidRDefault="00500337" w:rsidP="000C4EC6">
            <w:pPr>
              <w:ind w:left="0" w:right="0"/>
            </w:pPr>
            <w:r>
              <w:t>Date</w:t>
            </w:r>
          </w:p>
        </w:tc>
      </w:tr>
      <w:tr w:rsidR="00500337" w14:paraId="7ECFE571" w14:textId="77777777" w:rsidTr="00716E39">
        <w:tc>
          <w:tcPr>
            <w:tcW w:w="4254" w:type="dxa"/>
            <w:tcBorders>
              <w:top w:val="single" w:sz="4" w:space="0" w:color="auto"/>
            </w:tcBorders>
          </w:tcPr>
          <w:p w14:paraId="7E47B970" w14:textId="77777777" w:rsidR="00500337" w:rsidRDefault="00500337" w:rsidP="0090240F">
            <w:pPr>
              <w:keepNext/>
              <w:ind w:left="0" w:right="0"/>
            </w:pPr>
            <w:r>
              <w:t>Submission dossier accepted and first round evaluation commenced</w:t>
            </w:r>
          </w:p>
        </w:tc>
        <w:tc>
          <w:tcPr>
            <w:tcW w:w="4240" w:type="dxa"/>
            <w:tcBorders>
              <w:top w:val="single" w:sz="4" w:space="0" w:color="auto"/>
            </w:tcBorders>
          </w:tcPr>
          <w:p w14:paraId="20A1EB62" w14:textId="77777777" w:rsidR="00500337" w:rsidRDefault="00716E39" w:rsidP="0090240F">
            <w:pPr>
              <w:keepNext/>
              <w:ind w:left="0" w:right="0"/>
            </w:pPr>
            <w:r>
              <w:t>30 June 2020</w:t>
            </w:r>
          </w:p>
        </w:tc>
      </w:tr>
      <w:tr w:rsidR="00500337" w14:paraId="1B114571" w14:textId="77777777" w:rsidTr="00716E39">
        <w:tc>
          <w:tcPr>
            <w:tcW w:w="4254" w:type="dxa"/>
          </w:tcPr>
          <w:p w14:paraId="08A20DE6" w14:textId="77777777" w:rsidR="00500337" w:rsidRDefault="00500337" w:rsidP="0090240F">
            <w:pPr>
              <w:keepNext/>
              <w:ind w:left="0" w:right="0"/>
            </w:pPr>
            <w:r>
              <w:t>First round evaluation completed</w:t>
            </w:r>
          </w:p>
        </w:tc>
        <w:tc>
          <w:tcPr>
            <w:tcW w:w="4240" w:type="dxa"/>
          </w:tcPr>
          <w:p w14:paraId="4BFBEF1F" w14:textId="77777777" w:rsidR="00500337" w:rsidRDefault="00716E39" w:rsidP="0090240F">
            <w:pPr>
              <w:keepNext/>
              <w:ind w:left="0" w:right="0"/>
            </w:pPr>
            <w:r>
              <w:t>30 November 2020</w:t>
            </w:r>
          </w:p>
        </w:tc>
      </w:tr>
      <w:tr w:rsidR="00500337" w14:paraId="1BB533D8" w14:textId="77777777" w:rsidTr="00716E39">
        <w:tc>
          <w:tcPr>
            <w:tcW w:w="4254" w:type="dxa"/>
          </w:tcPr>
          <w:p w14:paraId="00A1B6FA" w14:textId="77777777" w:rsidR="00500337" w:rsidRDefault="00500337" w:rsidP="0090240F">
            <w:pPr>
              <w:keepNext/>
              <w:ind w:left="0" w:right="0"/>
            </w:pPr>
            <w:r>
              <w:t>Sponsor provides responses on questions raised in first round evaluation</w:t>
            </w:r>
          </w:p>
        </w:tc>
        <w:tc>
          <w:tcPr>
            <w:tcW w:w="4240" w:type="dxa"/>
          </w:tcPr>
          <w:p w14:paraId="56F54DC4" w14:textId="77777777" w:rsidR="00500337" w:rsidRDefault="00716E39" w:rsidP="0090240F">
            <w:pPr>
              <w:keepNext/>
              <w:ind w:left="0" w:right="0"/>
            </w:pPr>
            <w:r>
              <w:t>25 February 2021</w:t>
            </w:r>
          </w:p>
        </w:tc>
      </w:tr>
      <w:tr w:rsidR="00500337" w14:paraId="6A1D9BF3" w14:textId="77777777" w:rsidTr="00716E39">
        <w:tc>
          <w:tcPr>
            <w:tcW w:w="4254" w:type="dxa"/>
          </w:tcPr>
          <w:p w14:paraId="1192AA08" w14:textId="77777777" w:rsidR="00500337" w:rsidRDefault="00500337" w:rsidP="0090240F">
            <w:pPr>
              <w:keepNext/>
              <w:ind w:left="0" w:right="0"/>
            </w:pPr>
            <w:r>
              <w:t>Second round evaluation completed</w:t>
            </w:r>
          </w:p>
        </w:tc>
        <w:tc>
          <w:tcPr>
            <w:tcW w:w="4240" w:type="dxa"/>
          </w:tcPr>
          <w:p w14:paraId="4291B01A" w14:textId="77777777" w:rsidR="00500337" w:rsidRDefault="00716E39" w:rsidP="0090240F">
            <w:pPr>
              <w:keepNext/>
              <w:ind w:left="0" w:right="0"/>
            </w:pPr>
            <w:r>
              <w:t>31 March 2021</w:t>
            </w:r>
          </w:p>
        </w:tc>
      </w:tr>
      <w:tr w:rsidR="00500337" w14:paraId="2BF4DBB7" w14:textId="77777777" w:rsidTr="00716E39">
        <w:tc>
          <w:tcPr>
            <w:tcW w:w="4254" w:type="dxa"/>
          </w:tcPr>
          <w:p w14:paraId="0CF4B690" w14:textId="77777777" w:rsidR="00500337" w:rsidRDefault="00324E45" w:rsidP="00716E39">
            <w:pPr>
              <w:ind w:left="0" w:right="0"/>
            </w:pPr>
            <w:r>
              <w:t xml:space="preserve">Delegate’s </w:t>
            </w:r>
            <w:r w:rsidR="00716E39">
              <w:t>Overall benefit-risk assessment</w:t>
            </w:r>
          </w:p>
        </w:tc>
        <w:tc>
          <w:tcPr>
            <w:tcW w:w="4240" w:type="dxa"/>
          </w:tcPr>
          <w:p w14:paraId="230C5A67" w14:textId="77777777" w:rsidR="00500337" w:rsidRDefault="00E745FA" w:rsidP="00500337">
            <w:pPr>
              <w:ind w:left="0" w:right="0"/>
            </w:pPr>
            <w:r>
              <w:t>9 July 2021</w:t>
            </w:r>
          </w:p>
        </w:tc>
      </w:tr>
      <w:tr w:rsidR="00500337" w14:paraId="5927CE86" w14:textId="77777777" w:rsidTr="00716E39">
        <w:tc>
          <w:tcPr>
            <w:tcW w:w="4254" w:type="dxa"/>
          </w:tcPr>
          <w:p w14:paraId="6B9DBB18" w14:textId="77777777" w:rsidR="00500337" w:rsidRDefault="00500337" w:rsidP="00500337">
            <w:pPr>
              <w:ind w:left="0" w:right="0"/>
            </w:pPr>
            <w:r>
              <w:t>Registration decision (Outcome)</w:t>
            </w:r>
          </w:p>
        </w:tc>
        <w:tc>
          <w:tcPr>
            <w:tcW w:w="4240" w:type="dxa"/>
          </w:tcPr>
          <w:p w14:paraId="1D1F69BA" w14:textId="77777777" w:rsidR="00500337" w:rsidRDefault="00716E39" w:rsidP="00500337">
            <w:pPr>
              <w:ind w:left="0" w:right="0"/>
            </w:pPr>
            <w:r>
              <w:t>11 August 2021</w:t>
            </w:r>
          </w:p>
        </w:tc>
      </w:tr>
      <w:tr w:rsidR="00500337" w14:paraId="3B0F30AA" w14:textId="77777777" w:rsidTr="00716E39">
        <w:tc>
          <w:tcPr>
            <w:tcW w:w="4254" w:type="dxa"/>
          </w:tcPr>
          <w:p w14:paraId="672ACF3B" w14:textId="77777777" w:rsidR="00500337" w:rsidRDefault="00500337" w:rsidP="00500337">
            <w:pPr>
              <w:ind w:left="0" w:right="0"/>
            </w:pPr>
            <w:r>
              <w:t xml:space="preserve">Completion of administrative activities and registration on </w:t>
            </w:r>
            <w:r w:rsidR="00006FAB">
              <w:t xml:space="preserve">the </w:t>
            </w:r>
            <w:r>
              <w:t>ARTG</w:t>
            </w:r>
          </w:p>
        </w:tc>
        <w:tc>
          <w:tcPr>
            <w:tcW w:w="4240" w:type="dxa"/>
          </w:tcPr>
          <w:p w14:paraId="705D017E" w14:textId="77777777" w:rsidR="00500337" w:rsidRDefault="00716E39" w:rsidP="00500337">
            <w:pPr>
              <w:ind w:left="0" w:right="0"/>
            </w:pPr>
            <w:r>
              <w:t>16 August 2021</w:t>
            </w:r>
          </w:p>
        </w:tc>
      </w:tr>
      <w:tr w:rsidR="00500337" w14:paraId="10CAEFC2" w14:textId="77777777" w:rsidTr="00716E39">
        <w:tc>
          <w:tcPr>
            <w:tcW w:w="4254" w:type="dxa"/>
          </w:tcPr>
          <w:p w14:paraId="50CAC731" w14:textId="259B9867" w:rsidR="00500337" w:rsidRDefault="00500337" w:rsidP="00500337">
            <w:pPr>
              <w:ind w:left="0" w:right="0"/>
            </w:pPr>
            <w:r>
              <w:t>Number of working days from submission dossier acceptance to registration decision</w:t>
            </w:r>
          </w:p>
        </w:tc>
        <w:tc>
          <w:tcPr>
            <w:tcW w:w="4240" w:type="dxa"/>
          </w:tcPr>
          <w:p w14:paraId="0E48900D" w14:textId="77777777" w:rsidR="00500337" w:rsidRDefault="00716E39" w:rsidP="00500337">
            <w:pPr>
              <w:ind w:left="0" w:right="0"/>
            </w:pPr>
            <w:r>
              <w:t>181</w:t>
            </w:r>
          </w:p>
        </w:tc>
      </w:tr>
    </w:tbl>
    <w:p w14:paraId="1B8066C5" w14:textId="320D8A90" w:rsidR="0090240F" w:rsidRDefault="005D0007" w:rsidP="00500337">
      <w:pPr>
        <w:pStyle w:val="TableDescription"/>
      </w:pPr>
      <w:r>
        <w:t>*Statutory timeframe for standard applications is 255 working days</w:t>
      </w:r>
      <w:r w:rsidR="00703367">
        <w:t>.</w:t>
      </w:r>
    </w:p>
    <w:p w14:paraId="0058EF53" w14:textId="77777777" w:rsidR="008E7846" w:rsidRPr="00792A32" w:rsidRDefault="00456765" w:rsidP="008E7846">
      <w:pPr>
        <w:pStyle w:val="Heading2"/>
      </w:pPr>
      <w:bookmarkStart w:id="26" w:name="_Toc196046504"/>
      <w:bookmarkStart w:id="27" w:name="_Toc247691527"/>
      <w:bookmarkStart w:id="28" w:name="_Toc314842510"/>
      <w:bookmarkStart w:id="29" w:name="_Toc163441390"/>
      <w:bookmarkStart w:id="30" w:name="_Toc92715897"/>
      <w:bookmarkEnd w:id="22"/>
      <w:bookmarkEnd w:id="23"/>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30"/>
    </w:p>
    <w:p w14:paraId="6EE1F128" w14:textId="77777777" w:rsidR="00006FAB" w:rsidRDefault="00006FAB" w:rsidP="00006FAB">
      <w:bookmarkStart w:id="31" w:name="_Toc247691528"/>
      <w:r>
        <w:t>The submission was summarised in the following Delegate’s overview and recommendations.</w:t>
      </w:r>
    </w:p>
    <w:p w14:paraId="6CED799A" w14:textId="1DD2BE1C" w:rsidR="00006FAB" w:rsidRDefault="00006FAB" w:rsidP="00006FAB">
      <w:r>
        <w:lastRenderedPageBreak/>
        <w:t xml:space="preserve">This section is a TGA summary of wording used in </w:t>
      </w:r>
      <w:r w:rsidR="00703367">
        <w:t xml:space="preserve">the </w:t>
      </w:r>
      <w:r>
        <w:t>TGA’s evaluation report, which discussed numerous aspects of overseas evaluation reports and included some information that was commercial-in-confidence.</w:t>
      </w:r>
    </w:p>
    <w:p w14:paraId="6D5EEAB9" w14:textId="77777777" w:rsidR="008E7846" w:rsidRDefault="008E7846" w:rsidP="008E7846">
      <w:pPr>
        <w:pStyle w:val="Heading3"/>
      </w:pPr>
      <w:bookmarkStart w:id="32" w:name="_Toc314842511"/>
      <w:bookmarkStart w:id="33" w:name="_Toc92715898"/>
      <w:r>
        <w:t>Quality</w:t>
      </w:r>
      <w:bookmarkEnd w:id="31"/>
      <w:bookmarkEnd w:id="32"/>
      <w:bookmarkEnd w:id="33"/>
    </w:p>
    <w:p w14:paraId="6D5FBD0E" w14:textId="77777777" w:rsidR="006D24FF" w:rsidRPr="006D24FF" w:rsidRDefault="006D24FF" w:rsidP="006D24FF">
      <w:pPr>
        <w:pStyle w:val="Heading4"/>
      </w:pPr>
      <w:r>
        <w:t>Pharmaceutical particulars</w:t>
      </w:r>
    </w:p>
    <w:p w14:paraId="0CE4BA0D" w14:textId="5F896BEB" w:rsidR="00E1192E" w:rsidRPr="00E1192E" w:rsidRDefault="00B471D6" w:rsidP="00E1192E">
      <w:proofErr w:type="spellStart"/>
      <w:r>
        <w:t>KamRAB</w:t>
      </w:r>
      <w:proofErr w:type="spellEnd"/>
      <w:r w:rsidR="006D24FF">
        <w:t xml:space="preserve"> (rabies immunoglobulin)</w:t>
      </w:r>
      <w:r w:rsidR="00E1192E">
        <w:t xml:space="preserve"> is supplied as solution for injection (sterile) in single-use Type I clear glass vials in two pack </w:t>
      </w:r>
      <w:proofErr w:type="gramStart"/>
      <w:r w:rsidR="00E1192E">
        <w:t>sizes;</w:t>
      </w:r>
      <w:proofErr w:type="gramEnd"/>
      <w:r w:rsidR="00E1192E">
        <w:t xml:space="preserve"> one vial containing 2 mL, and one vial containing 10 mL of solution. One mL of solution contains 150 IU rabies immunoglobulin (from human plasma), corresponding with 300 IU in 2 mL or 1,500 IU in 10 </w:t>
      </w:r>
      <w:proofErr w:type="spellStart"/>
      <w:r w:rsidR="00E1192E">
        <w:t>mL.</w:t>
      </w:r>
      <w:proofErr w:type="spellEnd"/>
    </w:p>
    <w:p w14:paraId="3DC230DB" w14:textId="35FE0DA8" w:rsidR="007F0039" w:rsidRDefault="00E1192E" w:rsidP="007F0039">
      <w:r>
        <w:t xml:space="preserve">In appearance, </w:t>
      </w:r>
      <w:proofErr w:type="spellStart"/>
      <w:r w:rsidR="00B471D6">
        <w:t>KamRAB</w:t>
      </w:r>
      <w:proofErr w:type="spellEnd"/>
      <w:r w:rsidR="007F0039">
        <w:t xml:space="preserve"> solution is a clear to slightly opalescent, colourless to pale yellow. The solution may contain some protein particles.</w:t>
      </w:r>
    </w:p>
    <w:p w14:paraId="5DD91ADF" w14:textId="6E5EC676" w:rsidR="00E1192E" w:rsidRDefault="00B471D6" w:rsidP="007F0039">
      <w:proofErr w:type="spellStart"/>
      <w:r>
        <w:t>KamRAB</w:t>
      </w:r>
      <w:proofErr w:type="spellEnd"/>
      <w:r w:rsidR="00E1192E">
        <w:t xml:space="preserve"> is formulated with the following excipients: glycine, water for injection, and sodium hydroxide (for pH adjustment).</w:t>
      </w:r>
    </w:p>
    <w:p w14:paraId="6CE8CAA1" w14:textId="5C763C7E" w:rsidR="007F0039" w:rsidRDefault="00B471D6" w:rsidP="006D24FF">
      <w:proofErr w:type="spellStart"/>
      <w:r>
        <w:t>KamRAB</w:t>
      </w:r>
      <w:proofErr w:type="spellEnd"/>
      <w:r w:rsidR="006D24FF">
        <w:t xml:space="preserve"> should be stored (refrigerated) at 2°C to 8°C. </w:t>
      </w:r>
      <w:proofErr w:type="spellStart"/>
      <w:r>
        <w:t>KamRAB</w:t>
      </w:r>
      <w:proofErr w:type="spellEnd"/>
      <w:r w:rsidR="006D24FF">
        <w:t xml:space="preserve"> should not be frozen.</w:t>
      </w:r>
    </w:p>
    <w:p w14:paraId="39B278BA" w14:textId="3EFB848A" w:rsidR="006D24FF" w:rsidRDefault="006D24FF" w:rsidP="006D24FF">
      <w:r>
        <w:t xml:space="preserve">When refrigerated, </w:t>
      </w:r>
      <w:proofErr w:type="spellStart"/>
      <w:r w:rsidR="00B471D6">
        <w:t>KamRAB</w:t>
      </w:r>
      <w:proofErr w:type="spellEnd"/>
      <w:r>
        <w:t xml:space="preserve"> has a maximum shelf life of 30 months. The exact expiry date is stated on the product packaging.</w:t>
      </w:r>
    </w:p>
    <w:p w14:paraId="0ECE4353" w14:textId="52188902" w:rsidR="007F0039" w:rsidRDefault="00B471D6" w:rsidP="007F0039">
      <w:proofErr w:type="spellStart"/>
      <w:r>
        <w:t>KamRAB</w:t>
      </w:r>
      <w:proofErr w:type="spellEnd"/>
      <w:r w:rsidR="006D24FF" w:rsidRPr="006D24FF">
        <w:t xml:space="preserve"> may be stored at room temperatures not exceeding 25 °C for up to one month. </w:t>
      </w:r>
      <w:r w:rsidR="006D24FF">
        <w:t>The vial should be used</w:t>
      </w:r>
      <w:r w:rsidR="006D24FF" w:rsidRPr="006D24FF">
        <w:t xml:space="preserve"> within one month a</w:t>
      </w:r>
      <w:r w:rsidR="006D24FF">
        <w:t>fter removal from refrigeration;</w:t>
      </w:r>
      <w:r w:rsidR="006D24FF" w:rsidRPr="006D24FF">
        <w:t xml:space="preserve"> do not return to refrigeration.</w:t>
      </w:r>
    </w:p>
    <w:p w14:paraId="19F99322" w14:textId="77777777" w:rsidR="006D24FF" w:rsidRPr="007F0039" w:rsidRDefault="006D24FF" w:rsidP="006D24FF">
      <w:pPr>
        <w:pStyle w:val="Heading4"/>
      </w:pPr>
      <w:r>
        <w:t>Summary and conclusion</w:t>
      </w:r>
    </w:p>
    <w:p w14:paraId="168E39E0" w14:textId="124CFAA1" w:rsidR="00D91B62" w:rsidRDefault="00D91B62" w:rsidP="00D91B62">
      <w:r>
        <w:t xml:space="preserve">There are no objections on quality grounds to the approval of </w:t>
      </w:r>
      <w:proofErr w:type="spellStart"/>
      <w:r w:rsidR="00B471D6">
        <w:t>KamRAB</w:t>
      </w:r>
      <w:proofErr w:type="spellEnd"/>
      <w:r w:rsidR="00A87EF9">
        <w:t xml:space="preserve"> rabies immunoglobulin.</w:t>
      </w:r>
    </w:p>
    <w:p w14:paraId="694EF487" w14:textId="2E37B15B" w:rsidR="00D91B62" w:rsidRDefault="00B471D6" w:rsidP="00D91B62">
      <w:proofErr w:type="spellStart"/>
      <w:r>
        <w:t>KamRAB</w:t>
      </w:r>
      <w:proofErr w:type="spellEnd"/>
      <w:r w:rsidR="00D91B62">
        <w:t xml:space="preserve"> is a human rabies immunoglobulin isolated from healthy human plasma immunised with rabies vaccine to achieve high titres of anti-rabies antibodies. The human plasma is collected from donors in the USA. The sponsor demonstrated overall compliance with relevant international and Australia regulatory requirements for collection of plasma for fractionation. There are no objections to the registration of this product from sterility, endotoxin, container safety and viral safety related aspects. </w:t>
      </w:r>
    </w:p>
    <w:p w14:paraId="1507DB0D" w14:textId="77777777" w:rsidR="00D91B62" w:rsidRDefault="00D91B62" w:rsidP="00D91B62">
      <w:r>
        <w:t>Overall, sufficient evidence has been provided to demonstrate that the risks related to the manufacturing quality have been controlled to an acceptable level.</w:t>
      </w:r>
    </w:p>
    <w:p w14:paraId="696B4CCC" w14:textId="77777777" w:rsidR="00D91B62" w:rsidRDefault="00D91B62" w:rsidP="00D91B62">
      <w:r>
        <w:t>The PI, Consumer Medicines Information (CMI) and labels are acceptable with respect to quality matters.</w:t>
      </w:r>
    </w:p>
    <w:p w14:paraId="546E2E76" w14:textId="77777777" w:rsidR="00D91B62" w:rsidRDefault="00D91B62" w:rsidP="00D91B62">
      <w:pPr>
        <w:pStyle w:val="Heading4"/>
      </w:pPr>
      <w:r>
        <w:t>Quality-related proposed conditions of registration</w:t>
      </w:r>
    </w:p>
    <w:p w14:paraId="21F9447A" w14:textId="77777777" w:rsidR="00D91B62" w:rsidRPr="00D91B62" w:rsidRDefault="00D91B62" w:rsidP="00D91B62">
      <w:r>
        <w:t>The following are proposed quality-related conditions of registration.</w:t>
      </w:r>
    </w:p>
    <w:p w14:paraId="72C4CD77" w14:textId="77777777" w:rsidR="00D91B62" w:rsidRDefault="00D91B62" w:rsidP="00D91B62">
      <w:r>
        <w:t>Laboratory testing and compliance with Certified Product Details (CPD):</w:t>
      </w:r>
    </w:p>
    <w:p w14:paraId="030B4392" w14:textId="299BB2BF" w:rsidR="00D91B62" w:rsidRDefault="00D91B62" w:rsidP="00D91B62">
      <w:pPr>
        <w:pStyle w:val="Numberbullet0"/>
      </w:pPr>
      <w:r>
        <w:t xml:space="preserve">All batches of </w:t>
      </w:r>
      <w:proofErr w:type="spellStart"/>
      <w:r w:rsidR="00B471D6">
        <w:t>KamRAB</w:t>
      </w:r>
      <w:proofErr w:type="spellEnd"/>
      <w:r>
        <w:t xml:space="preserve"> rabies immunoglobulin supplied in Australia must comply with the product details and specifications approved during evaluation and detailed in the Certified Product Details (CPD).</w:t>
      </w:r>
    </w:p>
    <w:p w14:paraId="622BFCE5" w14:textId="77777777" w:rsidR="00D91B62" w:rsidRPr="00D91B62" w:rsidRDefault="00D91B62" w:rsidP="00D91B62">
      <w:pPr>
        <w:pStyle w:val="Numberbullet0"/>
      </w:pPr>
      <w:r>
        <w:t xml:space="preserve">When requested by the TGA, the sponsor should be prepared to provide product samples, specified reference materials and documentary evidence to enable the TGA to conduct laboratory testing on the Product. Outcomes of laboratory testing are </w:t>
      </w:r>
      <w:r>
        <w:lastRenderedPageBreak/>
        <w:t>published biannually in the TGA Database of Laboratory Testing Results http://www.tga.gov.au/ws-labs-index and periodically in testing reports on the TGA website.</w:t>
      </w:r>
    </w:p>
    <w:p w14:paraId="4C91DAA0" w14:textId="77777777" w:rsidR="008E7846" w:rsidRDefault="008E7846" w:rsidP="008E7846">
      <w:pPr>
        <w:pStyle w:val="Heading3"/>
      </w:pPr>
      <w:bookmarkStart w:id="34" w:name="_Toc314842512"/>
      <w:bookmarkStart w:id="35" w:name="_Toc92715899"/>
      <w:r>
        <w:t>Nonclinical</w:t>
      </w:r>
      <w:bookmarkEnd w:id="34"/>
      <w:bookmarkEnd w:id="35"/>
    </w:p>
    <w:p w14:paraId="127CF928" w14:textId="0AD11040" w:rsidR="00B8406A" w:rsidRDefault="00B8406A" w:rsidP="00B8406A">
      <w:r>
        <w:t xml:space="preserve">One single dose toxicity study in rats with </w:t>
      </w:r>
      <w:proofErr w:type="spellStart"/>
      <w:r w:rsidR="00B471D6">
        <w:t>KamRAB</w:t>
      </w:r>
      <w:proofErr w:type="spellEnd"/>
      <w:r>
        <w:t xml:space="preserve"> was conducted with no evidence of significant toxicity at 120 IU/kg (6 x clinical dose</w:t>
      </w:r>
      <w:r w:rsidR="00B21E67">
        <w:t xml:space="preserve">). The efficacy and safety of </w:t>
      </w:r>
      <w:proofErr w:type="spellStart"/>
      <w:r w:rsidR="00B471D6">
        <w:t>KamRAB</w:t>
      </w:r>
      <w:proofErr w:type="spellEnd"/>
      <w:r>
        <w:t xml:space="preserve"> and similar products are well established. It is expected to be administered once in a lifetime.</w:t>
      </w:r>
    </w:p>
    <w:p w14:paraId="5F6F1C84" w14:textId="77777777" w:rsidR="00B8406A" w:rsidRDefault="00B8406A" w:rsidP="00B8406A">
      <w:r>
        <w:t>The proposed li</w:t>
      </w:r>
      <w:r w:rsidR="00B21E67">
        <w:t>mits for residual chemicals tri</w:t>
      </w:r>
      <w:r>
        <w:t>-(</w:t>
      </w:r>
      <w:r w:rsidRPr="00B21E67">
        <w:rPr>
          <w:i/>
        </w:rPr>
        <w:t>n</w:t>
      </w:r>
      <w:r>
        <w:t>-butyl) phosphate (</w:t>
      </w:r>
      <w:proofErr w:type="spellStart"/>
      <w:r>
        <w:t>TnBP</w:t>
      </w:r>
      <w:proofErr w:type="spellEnd"/>
      <w:r>
        <w:t xml:space="preserve">) and </w:t>
      </w:r>
      <w:proofErr w:type="spellStart"/>
      <w:r>
        <w:t>octoxinol</w:t>
      </w:r>
      <w:proofErr w:type="spellEnd"/>
      <w:r>
        <w:t xml:space="preserve"> 9 (Triton X-100) in the drug product were comparable with the levels of these residues in TGA approved similar products.</w:t>
      </w:r>
    </w:p>
    <w:p w14:paraId="44A5DB81" w14:textId="11690E71" w:rsidR="00B8406A" w:rsidRDefault="00B8406A" w:rsidP="00B8406A">
      <w:r>
        <w:t xml:space="preserve">There are no </w:t>
      </w:r>
      <w:proofErr w:type="gramStart"/>
      <w:r>
        <w:t>non clinical</w:t>
      </w:r>
      <w:proofErr w:type="gramEnd"/>
      <w:r>
        <w:t xml:space="preserve"> obje</w:t>
      </w:r>
      <w:r w:rsidR="00B21E67">
        <w:t xml:space="preserve">ctions to the registration of </w:t>
      </w:r>
      <w:proofErr w:type="spellStart"/>
      <w:r w:rsidR="00B471D6">
        <w:t>KamRAB</w:t>
      </w:r>
      <w:proofErr w:type="spellEnd"/>
      <w:r>
        <w:t>.</w:t>
      </w:r>
    </w:p>
    <w:p w14:paraId="29E2BEC1" w14:textId="77777777" w:rsidR="00B8406A" w:rsidRPr="00B8406A" w:rsidRDefault="00B8406A" w:rsidP="00B8406A">
      <w:r>
        <w:t xml:space="preserve">The draft Product Information is acceptable with respect to </w:t>
      </w:r>
      <w:r w:rsidR="00B21E67">
        <w:t>nonclinical</w:t>
      </w:r>
      <w:r>
        <w:t xml:space="preserve"> matters.</w:t>
      </w:r>
    </w:p>
    <w:p w14:paraId="7ABCB240" w14:textId="77777777" w:rsidR="008E7846" w:rsidRDefault="008E7846" w:rsidP="008E7846">
      <w:pPr>
        <w:pStyle w:val="Heading3"/>
      </w:pPr>
      <w:bookmarkStart w:id="36" w:name="_Toc247691530"/>
      <w:bookmarkStart w:id="37" w:name="_Toc314842513"/>
      <w:bookmarkStart w:id="38" w:name="_Toc92715900"/>
      <w:r>
        <w:t>Clinical</w:t>
      </w:r>
      <w:bookmarkEnd w:id="36"/>
      <w:bookmarkEnd w:id="37"/>
      <w:bookmarkEnd w:id="38"/>
    </w:p>
    <w:p w14:paraId="340F2DAC" w14:textId="065BB875" w:rsidR="00B21E67" w:rsidRDefault="00B471D6" w:rsidP="00B21E67">
      <w:bookmarkStart w:id="39" w:name="_Toc314842514"/>
      <w:proofErr w:type="spellStart"/>
      <w:r>
        <w:t>KamRAB</w:t>
      </w:r>
      <w:proofErr w:type="spellEnd"/>
      <w:r w:rsidR="00B21E67" w:rsidRPr="00B21E67">
        <w:t xml:space="preserve"> was developed in line with established mono</w:t>
      </w:r>
      <w:r w:rsidR="00B21E67">
        <w:t>graphs;</w:t>
      </w:r>
      <w:r w:rsidR="00B21E67">
        <w:rPr>
          <w:rStyle w:val="FootnoteReference"/>
        </w:rPr>
        <w:footnoteReference w:id="7"/>
      </w:r>
      <w:r w:rsidR="00703367" w:rsidRPr="00227762">
        <w:rPr>
          <w:vertAlign w:val="superscript"/>
        </w:rPr>
        <w:t>,</w:t>
      </w:r>
      <w:r w:rsidR="004C0507">
        <w:rPr>
          <w:rStyle w:val="FootnoteReference"/>
        </w:rPr>
        <w:footnoteReference w:id="8"/>
      </w:r>
      <w:r w:rsidR="00B21E67" w:rsidRPr="00B21E67">
        <w:t xml:space="preserve"> on a non-inferior basis to an established comparator produc</w:t>
      </w:r>
      <w:r w:rsidR="004C0507">
        <w:t>t.</w:t>
      </w:r>
    </w:p>
    <w:p w14:paraId="4557F308" w14:textId="77777777" w:rsidR="00DE1914" w:rsidRPr="00DE1914" w:rsidRDefault="00DE1914" w:rsidP="00DE1914">
      <w:pPr>
        <w:pStyle w:val="Heading4"/>
      </w:pPr>
      <w:r w:rsidRPr="00DE1914">
        <w:t>Pharmacology</w:t>
      </w:r>
    </w:p>
    <w:p w14:paraId="5A1341B0" w14:textId="77777777" w:rsidR="00DE1914" w:rsidRDefault="00DE1914" w:rsidP="00DE1914">
      <w:pPr>
        <w:pStyle w:val="Heading5"/>
      </w:pPr>
      <w:r>
        <w:t>Pharmacokinetics</w:t>
      </w:r>
    </w:p>
    <w:p w14:paraId="2FCBD73A" w14:textId="6C86AFFA" w:rsidR="00DE1914" w:rsidRPr="00A82DC3" w:rsidRDefault="00DE1914" w:rsidP="00DE1914">
      <w:pPr>
        <w:rPr>
          <w:b/>
          <w:i/>
        </w:rPr>
      </w:pPr>
      <w:r w:rsidRPr="00A82DC3">
        <w:t xml:space="preserve">The </w:t>
      </w:r>
      <w:r w:rsidRPr="00DE1914">
        <w:t>pharmacokinetics</w:t>
      </w:r>
      <w:r w:rsidRPr="00A82DC3">
        <w:t xml:space="preserve"> (PK) of </w:t>
      </w:r>
      <w:proofErr w:type="spellStart"/>
      <w:r w:rsidR="00B471D6">
        <w:t>KamRAB</w:t>
      </w:r>
      <w:proofErr w:type="spellEnd"/>
      <w:r w:rsidRPr="00A82DC3">
        <w:t xml:space="preserve"> were assessed in Study 23630, and </w:t>
      </w:r>
      <w:r>
        <w:t>Study</w:t>
      </w:r>
      <w:r w:rsidR="00703367">
        <w:t> </w:t>
      </w:r>
      <w:r>
        <w:t>24061. T</w:t>
      </w:r>
      <w:r w:rsidRPr="00A82DC3">
        <w:t xml:space="preserve">hese two Phase </w:t>
      </w:r>
      <w:r>
        <w:t>I</w:t>
      </w:r>
      <w:r w:rsidRPr="00A82DC3">
        <w:t xml:space="preserve"> studies include safety information and</w:t>
      </w:r>
      <w:r>
        <w:t xml:space="preserve"> measured the</w:t>
      </w:r>
      <w:r w:rsidRPr="00A82DC3">
        <w:t xml:space="preserve"> levels of rabies virus neutralising antibody</w:t>
      </w:r>
      <w:r>
        <w:t xml:space="preserve"> in clinical study plasma samples.</w:t>
      </w:r>
    </w:p>
    <w:p w14:paraId="3A0CA131" w14:textId="77777777" w:rsidR="00DE1914" w:rsidRDefault="00DE1914" w:rsidP="00DE1914">
      <w:r w:rsidRPr="00DE1914">
        <w:rPr>
          <w:i/>
        </w:rPr>
        <w:t>Rabies virus neutralising antibody (RVNA) levels</w:t>
      </w:r>
      <w:r w:rsidRPr="00A82DC3">
        <w:t xml:space="preserve">: The RVNA level of 500 IU/L has been defined by </w:t>
      </w:r>
      <w:r>
        <w:t xml:space="preserve">the </w:t>
      </w:r>
      <w:r w:rsidRPr="00A82DC3">
        <w:t>WHO</w:t>
      </w:r>
      <w:r>
        <w:t xml:space="preserve"> (World Health Organization)</w:t>
      </w:r>
      <w:r w:rsidRPr="00A82DC3">
        <w:t xml:space="preserve"> as the protective level that prevents development of rabies infection</w:t>
      </w:r>
      <w:r>
        <w:t>.</w:t>
      </w:r>
      <w:r w:rsidRPr="00A82DC3">
        <w:t xml:space="preserve"> The WHO standard for RVNA level of 500 IU/L </w:t>
      </w:r>
      <w:r>
        <w:t>that is,</w:t>
      </w:r>
      <w:r w:rsidRPr="00A82DC3">
        <w:t xml:space="preserve"> &gt;</w:t>
      </w:r>
      <w:r>
        <w:t> </w:t>
      </w:r>
      <w:r w:rsidRPr="00A82DC3">
        <w:t>0.5 IU/mL) on Day 14. Day 14 is most commonly cited in the literature as the day by which protective target antibody levels should have be</w:t>
      </w:r>
      <w:r>
        <w:t>en reached for those receiving post</w:t>
      </w:r>
      <w:r>
        <w:noBreakHyphen/>
        <w:t>exposure prophylaxis</w:t>
      </w:r>
      <w:r w:rsidRPr="00A82DC3">
        <w:t xml:space="preserve"> even though the antibody measured on that day is a mixture of </w:t>
      </w:r>
      <w:r>
        <w:t>both passive and active antibodies</w:t>
      </w:r>
      <w:r w:rsidRPr="00A82DC3">
        <w:t>.</w:t>
      </w:r>
    </w:p>
    <w:p w14:paraId="11909578" w14:textId="08B32F32" w:rsidR="00DE1914" w:rsidRDefault="00D24821" w:rsidP="00DE1914">
      <w:r>
        <w:t xml:space="preserve">Studies 24061 and 23630 were analysed at a site in Israel. Study 003 analysed at a site in the USA. A later accuracy qualification study was performed. </w:t>
      </w:r>
      <w:r w:rsidR="00DE1914">
        <w:t>Q</w:t>
      </w:r>
      <w:r w:rsidR="00DE1914" w:rsidRPr="00DA0573">
        <w:t>uantitatively similar plasma RVNA titres were observed at Day 7 and earlier time points in each of the 3 studies</w:t>
      </w:r>
      <w:r w:rsidR="00DE1914">
        <w:t xml:space="preserve">, which </w:t>
      </w:r>
      <w:r w:rsidR="00DE1914" w:rsidRPr="00DA0573">
        <w:t>suggests assay reliability for determination of RVNA titres across studies</w:t>
      </w:r>
      <w:r w:rsidR="00DE1914">
        <w:t>.</w:t>
      </w:r>
    </w:p>
    <w:p w14:paraId="72C2C6B3" w14:textId="77777777" w:rsidR="008F6E1B" w:rsidRDefault="008F6E1B" w:rsidP="008F6E1B">
      <w:pPr>
        <w:pStyle w:val="Heading5"/>
      </w:pPr>
      <w:r w:rsidRPr="00B92538">
        <w:t>Study 23630</w:t>
      </w:r>
    </w:p>
    <w:p w14:paraId="354DC461" w14:textId="77777777" w:rsidR="00DE1914" w:rsidRDefault="00DE1914" w:rsidP="00DE1914">
      <w:r w:rsidRPr="00B92538">
        <w:t>Study 23630</w:t>
      </w:r>
      <w:r>
        <w:t xml:space="preserve"> was a</w:t>
      </w:r>
      <w:r w:rsidRPr="00493367">
        <w:t xml:space="preserve"> Phase </w:t>
      </w:r>
      <w:r>
        <w:t>I,</w:t>
      </w:r>
      <w:r w:rsidRPr="00493367">
        <w:t xml:space="preserve"> randomised, single dose, double blind, two-period crossover study in healthy </w:t>
      </w:r>
      <w:r>
        <w:t xml:space="preserve">adult </w:t>
      </w:r>
      <w:r w:rsidRPr="00493367">
        <w:t>volunteers</w:t>
      </w:r>
      <w:r>
        <w:t xml:space="preserve"> conducted at a single centre in Israel in 2004.</w:t>
      </w:r>
    </w:p>
    <w:p w14:paraId="037380C1" w14:textId="77777777" w:rsidR="00DE1914" w:rsidRDefault="00DE1914" w:rsidP="00DE1914">
      <w:r>
        <w:t>Study treatments were:</w:t>
      </w:r>
    </w:p>
    <w:p w14:paraId="011F127B" w14:textId="21466C31" w:rsidR="00DE1914" w:rsidRDefault="00DE1914" w:rsidP="00DE1914">
      <w:pPr>
        <w:pStyle w:val="Numberbullet0"/>
        <w:numPr>
          <w:ilvl w:val="0"/>
          <w:numId w:val="33"/>
        </w:numPr>
      </w:pPr>
      <w:r>
        <w:t xml:space="preserve">Injection </w:t>
      </w:r>
      <w:proofErr w:type="spellStart"/>
      <w:r w:rsidR="00B471D6">
        <w:t>KamRAB</w:t>
      </w:r>
      <w:proofErr w:type="spellEnd"/>
      <w:r>
        <w:t xml:space="preserve"> 20 IU/kg IM (</w:t>
      </w:r>
      <w:proofErr w:type="spellStart"/>
      <w:r>
        <w:t>Kamada</w:t>
      </w:r>
      <w:proofErr w:type="spellEnd"/>
      <w:r>
        <w:t>, Israel; Test); and</w:t>
      </w:r>
    </w:p>
    <w:p w14:paraId="2014AC29" w14:textId="007483F8" w:rsidR="00DE1914" w:rsidRDefault="00DE1914" w:rsidP="00DE1914">
      <w:pPr>
        <w:pStyle w:val="Numberbullet0"/>
        <w:numPr>
          <w:ilvl w:val="0"/>
          <w:numId w:val="33"/>
        </w:numPr>
      </w:pPr>
      <w:r>
        <w:t xml:space="preserve">Injection </w:t>
      </w:r>
      <w:proofErr w:type="spellStart"/>
      <w:r>
        <w:t>BayRab</w:t>
      </w:r>
      <w:proofErr w:type="spellEnd"/>
      <w:r>
        <w:t xml:space="preserve"> 20 IU/kg (</w:t>
      </w:r>
      <w:proofErr w:type="spellStart"/>
      <w:r>
        <w:t>Talercris</w:t>
      </w:r>
      <w:proofErr w:type="spellEnd"/>
      <w:r>
        <w:t xml:space="preserve"> Biotherapeutics, USA, Reference</w:t>
      </w:r>
      <w:proofErr w:type="gramStart"/>
      <w:r>
        <w:t>);</w:t>
      </w:r>
      <w:proofErr w:type="gramEnd"/>
    </w:p>
    <w:p w14:paraId="541D7291" w14:textId="77777777" w:rsidR="00DE1914" w:rsidRDefault="00DE1914" w:rsidP="00DE1914">
      <w:r>
        <w:lastRenderedPageBreak/>
        <w:t>This was a crossover study with passive vaccine administered on Days 1, single dose, intramuscularly to the gluteus.</w:t>
      </w:r>
    </w:p>
    <w:p w14:paraId="08C10992" w14:textId="77777777" w:rsidR="00DE1914" w:rsidRDefault="00DE1914" w:rsidP="00DE1914">
      <w:r>
        <w:t xml:space="preserve">Study visits were </w:t>
      </w:r>
      <w:r w:rsidR="008F6E1B">
        <w:t xml:space="preserve">at </w:t>
      </w:r>
      <w:r>
        <w:t xml:space="preserve">screening, </w:t>
      </w:r>
      <w:r w:rsidR="008F6E1B">
        <w:t xml:space="preserve">and at Days </w:t>
      </w:r>
      <w:r>
        <w:t>3, 7, 14, 18, 35 and 42 post-</w:t>
      </w:r>
      <w:proofErr w:type="gramStart"/>
      <w:r>
        <w:t>dose</w:t>
      </w:r>
      <w:proofErr w:type="gramEnd"/>
      <w:r>
        <w:t>.</w:t>
      </w:r>
    </w:p>
    <w:p w14:paraId="7098DC96" w14:textId="7B7DA533" w:rsidR="00DD72E0" w:rsidRDefault="00DE1914" w:rsidP="00DD72E0">
      <w:r>
        <w:t xml:space="preserve">A total of </w:t>
      </w:r>
      <w:r w:rsidRPr="00493367">
        <w:t>26 subjects were enrolled and randomised</w:t>
      </w:r>
      <w:r>
        <w:t>,</w:t>
      </w:r>
      <w:r w:rsidRPr="00493367">
        <w:t xml:space="preserve"> </w:t>
      </w:r>
      <w:r>
        <w:t xml:space="preserve">of these, </w:t>
      </w:r>
      <w:r w:rsidRPr="00493367">
        <w:t xml:space="preserve">23 completed both doses of the study. The </w:t>
      </w:r>
      <w:r>
        <w:t>mean age was 27.0 years, a mean weight of 66.9 kg</w:t>
      </w:r>
      <w:r w:rsidRPr="00493367">
        <w:t xml:space="preserve"> and a mean height of 1.73 metres.</w:t>
      </w:r>
    </w:p>
    <w:p w14:paraId="286BE371" w14:textId="3F40434D" w:rsidR="00D24821" w:rsidRPr="00D24821" w:rsidRDefault="00D24821" w:rsidP="00D24821">
      <w:pPr>
        <w:keepNext/>
        <w:rPr>
          <w:b/>
        </w:rPr>
      </w:pPr>
      <w:r w:rsidRPr="00D24821">
        <w:rPr>
          <w:b/>
        </w:rPr>
        <w:t xml:space="preserve">Table </w:t>
      </w:r>
      <w:r w:rsidRPr="00D24821">
        <w:rPr>
          <w:b/>
        </w:rPr>
        <w:fldChar w:fldCharType="begin"/>
      </w:r>
      <w:r w:rsidRPr="00D24821">
        <w:rPr>
          <w:b/>
        </w:rPr>
        <w:instrText xml:space="preserve"> SEQ Table \* ARABIC </w:instrText>
      </w:r>
      <w:r w:rsidRPr="00D24821">
        <w:rPr>
          <w:b/>
        </w:rPr>
        <w:fldChar w:fldCharType="separate"/>
      </w:r>
      <w:r w:rsidR="003A2870">
        <w:rPr>
          <w:b/>
          <w:noProof/>
        </w:rPr>
        <w:t>3</w:t>
      </w:r>
      <w:r w:rsidRPr="00D24821">
        <w:rPr>
          <w:b/>
          <w:noProof/>
        </w:rPr>
        <w:fldChar w:fldCharType="end"/>
      </w:r>
      <w:r w:rsidRPr="00D24821">
        <w:rPr>
          <w:b/>
        </w:rPr>
        <w:t>: Study 23630 Mean (standard deviation) of main anti-rabies antibody titre pharmacokinetic findings for each dose administered</w:t>
      </w:r>
    </w:p>
    <w:tbl>
      <w:tblPr>
        <w:tblStyle w:val="TableTGAblue1"/>
        <w:tblW w:w="0" w:type="auto"/>
        <w:tblLook w:val="04A0" w:firstRow="1" w:lastRow="0" w:firstColumn="1" w:lastColumn="0" w:noHBand="0" w:noVBand="1"/>
      </w:tblPr>
      <w:tblGrid>
        <w:gridCol w:w="1469"/>
        <w:gridCol w:w="1411"/>
        <w:gridCol w:w="1365"/>
        <w:gridCol w:w="1413"/>
        <w:gridCol w:w="1413"/>
        <w:gridCol w:w="1413"/>
      </w:tblGrid>
      <w:tr w:rsidR="00D24821" w:rsidRPr="00D24821" w14:paraId="68F0CF73" w14:textId="77777777" w:rsidTr="0060187F">
        <w:trPr>
          <w:cnfStyle w:val="100000000000" w:firstRow="1" w:lastRow="0" w:firstColumn="0" w:lastColumn="0" w:oddVBand="0" w:evenVBand="0" w:oddHBand="0" w:evenHBand="0" w:firstRowFirstColumn="0" w:firstRowLastColumn="0" w:lastRowFirstColumn="0" w:lastRowLastColumn="0"/>
        </w:trPr>
        <w:tc>
          <w:tcPr>
            <w:tcW w:w="1469" w:type="dxa"/>
          </w:tcPr>
          <w:p w14:paraId="4E0125AA" w14:textId="77777777" w:rsidR="00D24821" w:rsidRPr="00383C24" w:rsidRDefault="00D24821" w:rsidP="00D24821">
            <w:pPr>
              <w:keepNext w:val="0"/>
              <w:ind w:left="0" w:right="0"/>
              <w:rPr>
                <w:bCs/>
                <w:szCs w:val="22"/>
                <w:lang w:eastAsia="en-US"/>
              </w:rPr>
            </w:pPr>
            <w:r w:rsidRPr="00383C24">
              <w:rPr>
                <w:bCs/>
                <w:szCs w:val="22"/>
                <w:lang w:eastAsia="en-US"/>
              </w:rPr>
              <w:t>Treatment</w:t>
            </w:r>
          </w:p>
        </w:tc>
        <w:tc>
          <w:tcPr>
            <w:tcW w:w="1411" w:type="dxa"/>
          </w:tcPr>
          <w:p w14:paraId="1D0ECCC4" w14:textId="77777777" w:rsidR="00D24821" w:rsidRPr="00383C24" w:rsidRDefault="00D24821" w:rsidP="00D24821">
            <w:pPr>
              <w:keepNext w:val="0"/>
              <w:ind w:left="0" w:right="0"/>
              <w:rPr>
                <w:bCs/>
                <w:szCs w:val="22"/>
                <w:lang w:eastAsia="en-US"/>
              </w:rPr>
            </w:pPr>
            <w:proofErr w:type="spellStart"/>
            <w:r w:rsidRPr="00383C24">
              <w:rPr>
                <w:bCs/>
                <w:szCs w:val="22"/>
                <w:lang w:eastAsia="en-US"/>
              </w:rPr>
              <w:t>C</w:t>
            </w:r>
            <w:r w:rsidRPr="00383C24">
              <w:rPr>
                <w:bCs/>
                <w:szCs w:val="22"/>
                <w:vertAlign w:val="subscript"/>
                <w:lang w:eastAsia="en-US"/>
              </w:rPr>
              <w:t>max</w:t>
            </w:r>
            <w:proofErr w:type="spellEnd"/>
            <w:r w:rsidRPr="00383C24">
              <w:rPr>
                <w:bCs/>
                <w:szCs w:val="22"/>
                <w:lang w:eastAsia="en-US"/>
              </w:rPr>
              <w:t xml:space="preserve"> (IU/mL)</w:t>
            </w:r>
          </w:p>
        </w:tc>
        <w:tc>
          <w:tcPr>
            <w:tcW w:w="1365" w:type="dxa"/>
          </w:tcPr>
          <w:p w14:paraId="5BD24528" w14:textId="77777777" w:rsidR="00D24821" w:rsidRPr="00383C24" w:rsidRDefault="00D24821" w:rsidP="00D24821">
            <w:pPr>
              <w:keepNext w:val="0"/>
              <w:ind w:left="0" w:right="0"/>
              <w:rPr>
                <w:bCs/>
                <w:szCs w:val="22"/>
                <w:lang w:eastAsia="en-US"/>
              </w:rPr>
            </w:pPr>
            <w:proofErr w:type="spellStart"/>
            <w:r w:rsidRPr="00383C24">
              <w:rPr>
                <w:bCs/>
                <w:szCs w:val="22"/>
                <w:lang w:eastAsia="en-US"/>
              </w:rPr>
              <w:t>t</w:t>
            </w:r>
            <w:r w:rsidRPr="00383C24">
              <w:rPr>
                <w:bCs/>
                <w:szCs w:val="22"/>
                <w:vertAlign w:val="subscript"/>
                <w:lang w:eastAsia="en-US"/>
              </w:rPr>
              <w:t>max</w:t>
            </w:r>
            <w:proofErr w:type="spellEnd"/>
            <w:r w:rsidRPr="00383C24">
              <w:rPr>
                <w:bCs/>
                <w:szCs w:val="22"/>
                <w:lang w:eastAsia="en-US"/>
              </w:rPr>
              <w:t xml:space="preserve"> (Day)</w:t>
            </w:r>
          </w:p>
        </w:tc>
        <w:tc>
          <w:tcPr>
            <w:tcW w:w="1413" w:type="dxa"/>
          </w:tcPr>
          <w:p w14:paraId="2CB3F416" w14:textId="77777777" w:rsidR="00D24821" w:rsidRPr="00383C24" w:rsidRDefault="00D24821" w:rsidP="00D24821">
            <w:pPr>
              <w:keepNext w:val="0"/>
              <w:ind w:left="0" w:right="0"/>
              <w:rPr>
                <w:bCs/>
                <w:szCs w:val="22"/>
                <w:lang w:eastAsia="en-US"/>
              </w:rPr>
            </w:pPr>
            <w:r w:rsidRPr="00383C24">
              <w:rPr>
                <w:bCs/>
                <w:szCs w:val="22"/>
                <w:lang w:eastAsia="en-US"/>
              </w:rPr>
              <w:t>AUC</w:t>
            </w:r>
            <w:r w:rsidRPr="00383C24">
              <w:rPr>
                <w:bCs/>
                <w:szCs w:val="22"/>
                <w:vertAlign w:val="subscript"/>
                <w:lang w:eastAsia="en-US"/>
              </w:rPr>
              <w:t>T</w:t>
            </w:r>
          </w:p>
        </w:tc>
        <w:tc>
          <w:tcPr>
            <w:tcW w:w="1413" w:type="dxa"/>
          </w:tcPr>
          <w:p w14:paraId="0EA7C0B1" w14:textId="77777777" w:rsidR="00D24821" w:rsidRPr="00383C24" w:rsidRDefault="00D24821" w:rsidP="00D24821">
            <w:pPr>
              <w:keepNext w:val="0"/>
              <w:ind w:left="0" w:right="0"/>
              <w:rPr>
                <w:bCs/>
                <w:szCs w:val="22"/>
                <w:lang w:eastAsia="en-US"/>
              </w:rPr>
            </w:pPr>
            <w:r w:rsidRPr="00383C24">
              <w:rPr>
                <w:bCs/>
                <w:szCs w:val="22"/>
                <w:lang w:eastAsia="en-US"/>
              </w:rPr>
              <w:t>AUC</w:t>
            </w:r>
            <w:r w:rsidRPr="00383C24">
              <w:rPr>
                <w:bCs/>
                <w:szCs w:val="22"/>
                <w:vertAlign w:val="subscript"/>
                <w:lang w:eastAsia="en-US"/>
              </w:rPr>
              <w:t>I</w:t>
            </w:r>
          </w:p>
        </w:tc>
        <w:tc>
          <w:tcPr>
            <w:tcW w:w="1413" w:type="dxa"/>
          </w:tcPr>
          <w:p w14:paraId="549811D4" w14:textId="77777777" w:rsidR="00D24821" w:rsidRPr="00383C24" w:rsidRDefault="00D24821" w:rsidP="00D24821">
            <w:pPr>
              <w:keepNext w:val="0"/>
              <w:ind w:left="0" w:right="0"/>
              <w:rPr>
                <w:bCs/>
                <w:szCs w:val="22"/>
                <w:lang w:eastAsia="en-US"/>
              </w:rPr>
            </w:pPr>
            <w:r w:rsidRPr="00383C24">
              <w:rPr>
                <w:bCs/>
                <w:szCs w:val="22"/>
                <w:lang w:eastAsia="en-US"/>
              </w:rPr>
              <w:t>t</w:t>
            </w:r>
            <w:r w:rsidRPr="00383C24">
              <w:rPr>
                <w:bCs/>
                <w:szCs w:val="22"/>
                <w:vertAlign w:val="subscript"/>
                <w:lang w:eastAsia="en-US"/>
              </w:rPr>
              <w:t xml:space="preserve">1/2 </w:t>
            </w:r>
            <w:r w:rsidRPr="00383C24">
              <w:rPr>
                <w:bCs/>
                <w:szCs w:val="22"/>
                <w:lang w:eastAsia="en-US"/>
              </w:rPr>
              <w:t>(Day)</w:t>
            </w:r>
          </w:p>
        </w:tc>
      </w:tr>
      <w:tr w:rsidR="00D24821" w:rsidRPr="00D24821" w14:paraId="5EAABF0C" w14:textId="77777777" w:rsidTr="0060187F">
        <w:tc>
          <w:tcPr>
            <w:tcW w:w="1469" w:type="dxa"/>
          </w:tcPr>
          <w:p w14:paraId="79535C05" w14:textId="77777777" w:rsidR="00D24821" w:rsidRPr="00D24821" w:rsidRDefault="00D24821" w:rsidP="00D24821">
            <w:pPr>
              <w:ind w:left="0" w:right="0"/>
              <w:rPr>
                <w:color w:val="auto"/>
                <w:szCs w:val="22"/>
                <w:lang w:eastAsia="en-US"/>
              </w:rPr>
            </w:pPr>
            <w:proofErr w:type="spellStart"/>
            <w:r w:rsidRPr="00D24821">
              <w:rPr>
                <w:color w:val="auto"/>
                <w:szCs w:val="22"/>
                <w:lang w:eastAsia="en-US"/>
              </w:rPr>
              <w:t>KamRAB</w:t>
            </w:r>
            <w:proofErr w:type="spellEnd"/>
          </w:p>
        </w:tc>
        <w:tc>
          <w:tcPr>
            <w:tcW w:w="1411" w:type="dxa"/>
          </w:tcPr>
          <w:p w14:paraId="0DFE2594" w14:textId="77777777" w:rsidR="00D24821" w:rsidRPr="00D24821" w:rsidRDefault="00D24821" w:rsidP="00D24821">
            <w:pPr>
              <w:ind w:left="0" w:right="0"/>
              <w:rPr>
                <w:color w:val="auto"/>
                <w:szCs w:val="22"/>
                <w:lang w:eastAsia="en-US"/>
              </w:rPr>
            </w:pPr>
            <w:r w:rsidRPr="00D24821">
              <w:rPr>
                <w:color w:val="auto"/>
                <w:szCs w:val="22"/>
                <w:lang w:eastAsia="en-US"/>
              </w:rPr>
              <w:t>0.249 (SD 0.063)</w:t>
            </w:r>
          </w:p>
        </w:tc>
        <w:tc>
          <w:tcPr>
            <w:tcW w:w="1365" w:type="dxa"/>
          </w:tcPr>
          <w:p w14:paraId="69F458AF" w14:textId="77777777" w:rsidR="00D24821" w:rsidRPr="00D24821" w:rsidRDefault="00D24821" w:rsidP="00D24821">
            <w:pPr>
              <w:ind w:left="0" w:right="0"/>
              <w:rPr>
                <w:color w:val="auto"/>
                <w:szCs w:val="22"/>
                <w:lang w:eastAsia="en-US"/>
              </w:rPr>
            </w:pPr>
            <w:r w:rsidRPr="00D24821">
              <w:rPr>
                <w:color w:val="auto"/>
                <w:szCs w:val="22"/>
                <w:lang w:eastAsia="en-US"/>
              </w:rPr>
              <w:t>7.000 (3</w:t>
            </w:r>
            <w:r w:rsidRPr="00D24821">
              <w:rPr>
                <w:color w:val="auto"/>
                <w:szCs w:val="22"/>
                <w:lang w:eastAsia="en-US"/>
              </w:rPr>
              <w:noBreakHyphen/>
              <w:t>14)</w:t>
            </w:r>
          </w:p>
        </w:tc>
        <w:tc>
          <w:tcPr>
            <w:tcW w:w="1413" w:type="dxa"/>
          </w:tcPr>
          <w:p w14:paraId="5DFB1B12" w14:textId="77777777" w:rsidR="00D24821" w:rsidRPr="00D24821" w:rsidRDefault="00D24821" w:rsidP="00D24821">
            <w:pPr>
              <w:ind w:left="0" w:right="0"/>
              <w:rPr>
                <w:color w:val="auto"/>
                <w:szCs w:val="22"/>
                <w:lang w:eastAsia="en-US"/>
              </w:rPr>
            </w:pPr>
            <w:r w:rsidRPr="00D24821">
              <w:rPr>
                <w:color w:val="auto"/>
                <w:szCs w:val="22"/>
                <w:lang w:eastAsia="en-US"/>
              </w:rPr>
              <w:t>5.222 (SD 1.297)</w:t>
            </w:r>
          </w:p>
        </w:tc>
        <w:tc>
          <w:tcPr>
            <w:tcW w:w="1413" w:type="dxa"/>
          </w:tcPr>
          <w:p w14:paraId="054A7828" w14:textId="77777777" w:rsidR="00D24821" w:rsidRPr="00D24821" w:rsidRDefault="00D24821" w:rsidP="00D24821">
            <w:pPr>
              <w:ind w:left="0" w:right="0"/>
              <w:rPr>
                <w:color w:val="auto"/>
                <w:szCs w:val="22"/>
                <w:lang w:eastAsia="en-US"/>
              </w:rPr>
            </w:pPr>
            <w:r w:rsidRPr="00D24821">
              <w:rPr>
                <w:color w:val="auto"/>
                <w:szCs w:val="22"/>
                <w:lang w:eastAsia="en-US"/>
              </w:rPr>
              <w:t>6.734 (SD 1.274)</w:t>
            </w:r>
          </w:p>
        </w:tc>
        <w:tc>
          <w:tcPr>
            <w:tcW w:w="1413" w:type="dxa"/>
          </w:tcPr>
          <w:p w14:paraId="14F03840" w14:textId="77777777" w:rsidR="00D24821" w:rsidRPr="00D24821" w:rsidRDefault="00D24821" w:rsidP="00D24821">
            <w:pPr>
              <w:ind w:left="0" w:right="0"/>
              <w:rPr>
                <w:color w:val="auto"/>
                <w:szCs w:val="22"/>
                <w:lang w:eastAsia="en-US"/>
              </w:rPr>
            </w:pPr>
            <w:r w:rsidRPr="00D24821">
              <w:rPr>
                <w:color w:val="auto"/>
                <w:szCs w:val="22"/>
                <w:lang w:eastAsia="en-US"/>
              </w:rPr>
              <w:t>17.87 (SD 6.370)</w:t>
            </w:r>
          </w:p>
        </w:tc>
      </w:tr>
      <w:tr w:rsidR="00D24821" w:rsidRPr="00D24821" w14:paraId="00C01DE8" w14:textId="77777777" w:rsidTr="0060187F">
        <w:tc>
          <w:tcPr>
            <w:tcW w:w="1469" w:type="dxa"/>
          </w:tcPr>
          <w:p w14:paraId="57701A5B" w14:textId="77777777" w:rsidR="00D24821" w:rsidRPr="00D24821" w:rsidRDefault="00D24821" w:rsidP="00D24821">
            <w:pPr>
              <w:ind w:left="0" w:right="0"/>
              <w:rPr>
                <w:color w:val="auto"/>
                <w:szCs w:val="22"/>
                <w:lang w:eastAsia="en-US"/>
              </w:rPr>
            </w:pPr>
            <w:proofErr w:type="spellStart"/>
            <w:r w:rsidRPr="00D24821">
              <w:rPr>
                <w:color w:val="auto"/>
                <w:szCs w:val="22"/>
                <w:lang w:eastAsia="en-US"/>
              </w:rPr>
              <w:t>BayRab</w:t>
            </w:r>
            <w:proofErr w:type="spellEnd"/>
          </w:p>
        </w:tc>
        <w:tc>
          <w:tcPr>
            <w:tcW w:w="1411" w:type="dxa"/>
          </w:tcPr>
          <w:p w14:paraId="02AFFD96" w14:textId="77777777" w:rsidR="00D24821" w:rsidRPr="00D24821" w:rsidRDefault="00D24821" w:rsidP="00D24821">
            <w:pPr>
              <w:ind w:left="0" w:right="0"/>
              <w:rPr>
                <w:color w:val="auto"/>
                <w:szCs w:val="22"/>
                <w:lang w:eastAsia="en-US"/>
              </w:rPr>
            </w:pPr>
            <w:r w:rsidRPr="00D24821">
              <w:rPr>
                <w:color w:val="auto"/>
                <w:szCs w:val="22"/>
                <w:lang w:eastAsia="en-US"/>
              </w:rPr>
              <w:t>0.302 (SD 0.068)</w:t>
            </w:r>
          </w:p>
        </w:tc>
        <w:tc>
          <w:tcPr>
            <w:tcW w:w="1365" w:type="dxa"/>
          </w:tcPr>
          <w:p w14:paraId="34A025E1" w14:textId="77777777" w:rsidR="00D24821" w:rsidRPr="00D24821" w:rsidRDefault="00D24821" w:rsidP="00D24821">
            <w:pPr>
              <w:ind w:left="0" w:right="0"/>
              <w:rPr>
                <w:color w:val="auto"/>
                <w:szCs w:val="22"/>
                <w:lang w:eastAsia="en-US"/>
              </w:rPr>
            </w:pPr>
            <w:r w:rsidRPr="00D24821">
              <w:rPr>
                <w:color w:val="auto"/>
                <w:szCs w:val="22"/>
                <w:lang w:eastAsia="en-US"/>
              </w:rPr>
              <w:t>3.000 (3</w:t>
            </w:r>
            <w:r w:rsidRPr="00D24821">
              <w:rPr>
                <w:color w:val="auto"/>
                <w:szCs w:val="22"/>
                <w:lang w:eastAsia="en-US"/>
              </w:rPr>
              <w:noBreakHyphen/>
              <w:t>14)</w:t>
            </w:r>
          </w:p>
        </w:tc>
        <w:tc>
          <w:tcPr>
            <w:tcW w:w="1413" w:type="dxa"/>
          </w:tcPr>
          <w:p w14:paraId="7EDA0007" w14:textId="77777777" w:rsidR="00D24821" w:rsidRPr="00D24821" w:rsidRDefault="00D24821" w:rsidP="00D24821">
            <w:pPr>
              <w:ind w:left="0" w:right="0"/>
              <w:rPr>
                <w:color w:val="auto"/>
                <w:szCs w:val="22"/>
                <w:lang w:eastAsia="en-US"/>
              </w:rPr>
            </w:pPr>
            <w:r w:rsidRPr="00D24821">
              <w:rPr>
                <w:color w:val="auto"/>
                <w:szCs w:val="22"/>
                <w:lang w:eastAsia="en-US"/>
              </w:rPr>
              <w:t>6.266 (SD 1.236)</w:t>
            </w:r>
          </w:p>
        </w:tc>
        <w:tc>
          <w:tcPr>
            <w:tcW w:w="1413" w:type="dxa"/>
          </w:tcPr>
          <w:p w14:paraId="0C4014D7" w14:textId="77777777" w:rsidR="00D24821" w:rsidRPr="00D24821" w:rsidRDefault="00D24821" w:rsidP="00D24821">
            <w:pPr>
              <w:ind w:left="0" w:right="0"/>
              <w:rPr>
                <w:color w:val="auto"/>
                <w:szCs w:val="22"/>
                <w:lang w:eastAsia="en-US"/>
              </w:rPr>
            </w:pPr>
            <w:r w:rsidRPr="00D24821">
              <w:rPr>
                <w:color w:val="auto"/>
                <w:szCs w:val="22"/>
                <w:lang w:eastAsia="en-US"/>
              </w:rPr>
              <w:t>7.972 (SD 1.362)</w:t>
            </w:r>
          </w:p>
        </w:tc>
        <w:tc>
          <w:tcPr>
            <w:tcW w:w="1413" w:type="dxa"/>
          </w:tcPr>
          <w:p w14:paraId="116C3F2B" w14:textId="77777777" w:rsidR="00D24821" w:rsidRPr="00D24821" w:rsidRDefault="00D24821" w:rsidP="00D24821">
            <w:pPr>
              <w:ind w:left="0" w:right="0"/>
              <w:rPr>
                <w:color w:val="auto"/>
                <w:szCs w:val="22"/>
                <w:lang w:eastAsia="en-US"/>
              </w:rPr>
            </w:pPr>
            <w:r w:rsidRPr="00D24821">
              <w:rPr>
                <w:color w:val="auto"/>
                <w:szCs w:val="22"/>
                <w:lang w:eastAsia="en-US"/>
              </w:rPr>
              <w:t>17.79 (SD 6.741)</w:t>
            </w:r>
          </w:p>
        </w:tc>
      </w:tr>
    </w:tbl>
    <w:p w14:paraId="6547F31E" w14:textId="77777777" w:rsidR="00D24821" w:rsidRPr="00D24821" w:rsidRDefault="00D24821" w:rsidP="00D24821">
      <w:pPr>
        <w:spacing w:after="0" w:line="240" w:lineRule="auto"/>
        <w:rPr>
          <w:sz w:val="19"/>
          <w:szCs w:val="19"/>
        </w:rPr>
      </w:pPr>
      <w:proofErr w:type="spellStart"/>
      <w:r w:rsidRPr="00D24821">
        <w:rPr>
          <w:sz w:val="19"/>
          <w:szCs w:val="19"/>
        </w:rPr>
        <w:t>t</w:t>
      </w:r>
      <w:r w:rsidRPr="00D24821">
        <w:rPr>
          <w:sz w:val="19"/>
          <w:szCs w:val="19"/>
          <w:vertAlign w:val="subscript"/>
        </w:rPr>
        <w:t>max</w:t>
      </w:r>
      <w:proofErr w:type="spellEnd"/>
      <w:r w:rsidRPr="00D24821">
        <w:rPr>
          <w:sz w:val="19"/>
          <w:szCs w:val="19"/>
        </w:rPr>
        <w:t xml:space="preserve"> is expressed as days not as hours as stated in protocol</w:t>
      </w:r>
    </w:p>
    <w:p w14:paraId="1446BBB1" w14:textId="77777777" w:rsidR="00D24821" w:rsidRPr="00D24821" w:rsidRDefault="00D24821" w:rsidP="00D24821">
      <w:pPr>
        <w:spacing w:after="0" w:line="240" w:lineRule="auto"/>
        <w:rPr>
          <w:sz w:val="19"/>
          <w:szCs w:val="19"/>
        </w:rPr>
      </w:pPr>
      <w:r w:rsidRPr="00D24821">
        <w:rPr>
          <w:sz w:val="19"/>
          <w:szCs w:val="19"/>
        </w:rPr>
        <w:t xml:space="preserve">Median (range) expressed for </w:t>
      </w:r>
      <w:proofErr w:type="spellStart"/>
      <w:r w:rsidRPr="00D24821">
        <w:rPr>
          <w:sz w:val="19"/>
          <w:szCs w:val="19"/>
        </w:rPr>
        <w:t>t</w:t>
      </w:r>
      <w:r w:rsidRPr="00D24821">
        <w:rPr>
          <w:sz w:val="19"/>
          <w:szCs w:val="19"/>
          <w:vertAlign w:val="subscript"/>
        </w:rPr>
        <w:t>max</w:t>
      </w:r>
      <w:proofErr w:type="spellEnd"/>
      <w:r w:rsidRPr="00D24821">
        <w:rPr>
          <w:sz w:val="19"/>
          <w:szCs w:val="19"/>
        </w:rPr>
        <w:t xml:space="preserve"> values</w:t>
      </w:r>
    </w:p>
    <w:p w14:paraId="30AE1C18" w14:textId="77777777" w:rsidR="006E0AB7" w:rsidRDefault="006E0AB7" w:rsidP="006E0AB7">
      <w:r w:rsidRPr="00FC72C1">
        <w:t xml:space="preserve">A statistical bioequivalence analysis was performed for </w:t>
      </w:r>
      <w:r>
        <w:t xml:space="preserve">selected PK parameters such as </w:t>
      </w:r>
      <w:proofErr w:type="spellStart"/>
      <w:r w:rsidRPr="004F766F">
        <w:rPr>
          <w:rFonts w:asciiTheme="minorHAnsi" w:eastAsiaTheme="minorHAnsi" w:hAnsiTheme="minorHAnsi" w:cs="TimesNewRoman"/>
        </w:rPr>
        <w:t>C</w:t>
      </w:r>
      <w:r w:rsidRPr="0078314D">
        <w:rPr>
          <w:rFonts w:asciiTheme="minorHAnsi" w:eastAsiaTheme="minorHAnsi" w:hAnsiTheme="minorHAnsi" w:cs="TimesNewRoman"/>
          <w:vertAlign w:val="subscript"/>
        </w:rPr>
        <w:t>max</w:t>
      </w:r>
      <w:proofErr w:type="spellEnd"/>
      <w:r w:rsidRPr="004F766F">
        <w:rPr>
          <w:rFonts w:asciiTheme="minorHAnsi" w:eastAsiaTheme="minorHAnsi" w:hAnsiTheme="minorHAnsi" w:cs="TimesNewRoman"/>
        </w:rPr>
        <w:t xml:space="preserve">, </w:t>
      </w:r>
      <w:proofErr w:type="spellStart"/>
      <w:r w:rsidRPr="004F766F">
        <w:rPr>
          <w:rFonts w:asciiTheme="minorHAnsi" w:eastAsiaTheme="minorHAnsi" w:hAnsiTheme="minorHAnsi" w:cs="TimesNewRoman"/>
        </w:rPr>
        <w:t>t</w:t>
      </w:r>
      <w:r w:rsidRPr="0078314D">
        <w:rPr>
          <w:rFonts w:asciiTheme="minorHAnsi" w:eastAsiaTheme="minorHAnsi" w:hAnsiTheme="minorHAnsi" w:cs="TimesNewRoman"/>
          <w:vertAlign w:val="subscript"/>
        </w:rPr>
        <w:t>max</w:t>
      </w:r>
      <w:proofErr w:type="spellEnd"/>
      <w:r w:rsidRPr="004F766F">
        <w:rPr>
          <w:rFonts w:asciiTheme="minorHAnsi" w:eastAsiaTheme="minorHAnsi" w:hAnsiTheme="minorHAnsi" w:cs="TimesNewRoman"/>
        </w:rPr>
        <w:t>, AUC</w:t>
      </w:r>
      <w:r>
        <w:rPr>
          <w:rFonts w:asciiTheme="minorHAnsi" w:eastAsiaTheme="minorHAnsi" w:hAnsiTheme="minorHAnsi" w:cs="TimesNewRoman"/>
          <w:vertAlign w:val="subscript"/>
        </w:rPr>
        <w:t>0-</w:t>
      </w:r>
      <w:r w:rsidRPr="0078314D">
        <w:rPr>
          <w:rFonts w:asciiTheme="minorHAnsi" w:eastAsiaTheme="minorHAnsi" w:hAnsiTheme="minorHAnsi" w:cs="TimesNewRoman"/>
          <w:vertAlign w:val="subscript"/>
        </w:rPr>
        <w:t>last</w:t>
      </w:r>
      <w:r w:rsidRPr="004F766F">
        <w:rPr>
          <w:rFonts w:asciiTheme="minorHAnsi" w:eastAsiaTheme="minorHAnsi" w:hAnsiTheme="minorHAnsi" w:cs="TimesNewRoman"/>
        </w:rPr>
        <w:t>, AUC</w:t>
      </w:r>
      <w:r>
        <w:rPr>
          <w:rFonts w:asciiTheme="minorHAnsi" w:eastAsiaTheme="minorHAnsi" w:hAnsiTheme="minorHAnsi" w:cs="TimesNewRoman"/>
          <w:vertAlign w:val="subscript"/>
        </w:rPr>
        <w:t>0-inf</w:t>
      </w:r>
      <w:r w:rsidRPr="0078314D">
        <w:rPr>
          <w:rFonts w:asciiTheme="minorHAnsi" w:eastAsiaTheme="minorHAnsi" w:hAnsiTheme="minorHAnsi" w:cs="TimesNewRoman"/>
          <w:vertAlign w:val="subscript"/>
        </w:rPr>
        <w:t>,</w:t>
      </w:r>
      <w:r w:rsidRPr="004F766F">
        <w:rPr>
          <w:rFonts w:asciiTheme="minorHAnsi" w:eastAsiaTheme="minorHAnsi" w:hAnsiTheme="minorHAnsi" w:cs="TimesNewRoman"/>
        </w:rPr>
        <w:t xml:space="preserve"> or t</w:t>
      </w:r>
      <w:r w:rsidRPr="0078314D">
        <w:rPr>
          <w:rFonts w:asciiTheme="minorHAnsi" w:eastAsiaTheme="minorHAnsi" w:hAnsiTheme="minorHAnsi" w:cs="TimesNewRoman"/>
          <w:vertAlign w:val="subscript"/>
        </w:rPr>
        <w:t>1/</w:t>
      </w:r>
      <w:proofErr w:type="gramStart"/>
      <w:r w:rsidRPr="0078314D">
        <w:rPr>
          <w:rFonts w:asciiTheme="minorHAnsi" w:eastAsiaTheme="minorHAnsi" w:hAnsiTheme="minorHAnsi" w:cs="TimesNewRoman"/>
          <w:vertAlign w:val="subscript"/>
        </w:rPr>
        <w:t>2</w:t>
      </w:r>
      <w:r>
        <w:rPr>
          <w:rFonts w:asciiTheme="minorHAnsi" w:eastAsiaTheme="minorHAnsi" w:hAnsiTheme="minorHAnsi" w:cs="TimesNewRoman"/>
          <w:vertAlign w:val="subscript"/>
        </w:rPr>
        <w:t xml:space="preserve">  </w:t>
      </w:r>
      <w:r>
        <w:t>for</w:t>
      </w:r>
      <w:proofErr w:type="gramEnd"/>
      <w:r>
        <w:t xml:space="preserve"> </w:t>
      </w:r>
      <w:proofErr w:type="spellStart"/>
      <w:r>
        <w:t>KamRAB</w:t>
      </w:r>
      <w:proofErr w:type="spellEnd"/>
      <w:r w:rsidRPr="00FC72C1">
        <w:t>-</w:t>
      </w:r>
      <w:r>
        <w:t>human rabies immunoglobulin</w:t>
      </w:r>
      <w:r w:rsidRPr="00FC72C1">
        <w:t xml:space="preserve"> relative to comparator </w:t>
      </w:r>
      <w:r>
        <w:t>human rabies immunoglobulin</w:t>
      </w:r>
      <w:r w:rsidRPr="00FC72C1">
        <w:t>. The point estimates for the geometric least squares (LS)</w:t>
      </w:r>
      <w:r>
        <w:t xml:space="preserve"> mean ratios were within the 80 to </w:t>
      </w:r>
      <w:r w:rsidRPr="00FC72C1">
        <w:t>125% bioequivalence range</w:t>
      </w:r>
      <w:r>
        <w:t>.</w:t>
      </w:r>
    </w:p>
    <w:p w14:paraId="2803B11B" w14:textId="2866576C" w:rsidR="006E0AB7" w:rsidRDefault="006E0AB7" w:rsidP="00F0191C">
      <w:pPr>
        <w:pStyle w:val="ListBullet"/>
        <w:numPr>
          <w:ilvl w:val="0"/>
          <w:numId w:val="0"/>
        </w:numPr>
      </w:pPr>
      <w:r>
        <w:t>In S</w:t>
      </w:r>
      <w:r w:rsidRPr="00DA0573">
        <w:t>tudy 23630, RVNA PK parameters were quantitatively similar foll</w:t>
      </w:r>
      <w:r>
        <w:t xml:space="preserve">owing treatment with </w:t>
      </w:r>
      <w:proofErr w:type="spellStart"/>
      <w:r>
        <w:t>KamRAB</w:t>
      </w:r>
      <w:proofErr w:type="spellEnd"/>
      <w:r>
        <w:t>-human rabies immunoglobulin</w:t>
      </w:r>
      <w:r w:rsidRPr="00FC72C1">
        <w:t xml:space="preserve"> </w:t>
      </w:r>
      <w:r w:rsidRPr="00DA0573">
        <w:t xml:space="preserve">(test) or </w:t>
      </w:r>
      <w:proofErr w:type="spellStart"/>
      <w:r w:rsidRPr="00DA0573">
        <w:t>BayRab</w:t>
      </w:r>
      <w:proofErr w:type="spellEnd"/>
      <w:r w:rsidRPr="00DA0573">
        <w:t xml:space="preserve"> </w:t>
      </w:r>
      <w:r>
        <w:t>human rabies immunoglobulin</w:t>
      </w:r>
      <w:r w:rsidRPr="00FC72C1">
        <w:t xml:space="preserve"> </w:t>
      </w:r>
      <w:r w:rsidRPr="00DA0573">
        <w:t xml:space="preserve">(reference). Point estimates of ratios of test to reference geometric LS means for </w:t>
      </w:r>
      <w:proofErr w:type="spellStart"/>
      <w:r w:rsidRPr="00DA0573">
        <w:t>C</w:t>
      </w:r>
      <w:r w:rsidRPr="00B92538">
        <w:rPr>
          <w:vertAlign w:val="subscript"/>
        </w:rPr>
        <w:t>max</w:t>
      </w:r>
      <w:proofErr w:type="spellEnd"/>
      <w:r w:rsidRPr="00DA0573">
        <w:t>, AUC</w:t>
      </w:r>
      <w:r w:rsidRPr="00B92538">
        <w:rPr>
          <w:vertAlign w:val="subscript"/>
        </w:rPr>
        <w:t>0-last</w:t>
      </w:r>
      <w:r w:rsidRPr="00DA0573">
        <w:t>, and AUC</w:t>
      </w:r>
      <w:r>
        <w:rPr>
          <w:vertAlign w:val="subscript"/>
        </w:rPr>
        <w:t>0-inf</w:t>
      </w:r>
      <w:r>
        <w:t xml:space="preserve"> were within the 80 to </w:t>
      </w:r>
      <w:r w:rsidRPr="00DA0573">
        <w:t>125% range</w:t>
      </w:r>
      <w:r>
        <w:t>:</w:t>
      </w:r>
    </w:p>
    <w:p w14:paraId="284FB133" w14:textId="5F6104D8" w:rsidR="00660616" w:rsidRPr="00FC72C1" w:rsidRDefault="00660616" w:rsidP="00660616">
      <w:pPr>
        <w:pStyle w:val="ListBullet"/>
      </w:pPr>
      <w:r w:rsidRPr="00FC72C1">
        <w:t xml:space="preserve">The point estimate for the ratio of </w:t>
      </w:r>
      <w:r w:rsidR="00B92538" w:rsidRPr="00FC72C1">
        <w:t xml:space="preserve">anti-rabies antibody titre </w:t>
      </w:r>
      <w:r w:rsidR="00B92538">
        <w:t>maximum concentration (</w:t>
      </w:r>
      <w:proofErr w:type="spellStart"/>
      <w:r w:rsidRPr="00FC72C1">
        <w:t>C</w:t>
      </w:r>
      <w:r w:rsidRPr="00FC72C1">
        <w:rPr>
          <w:vertAlign w:val="subscript"/>
        </w:rPr>
        <w:t>max</w:t>
      </w:r>
      <w:proofErr w:type="spellEnd"/>
      <w:r w:rsidR="00B92538">
        <w:t xml:space="preserve">) </w:t>
      </w:r>
      <w:r w:rsidRPr="00FC72C1">
        <w:t>values of the test formulation and refer</w:t>
      </w:r>
      <w:r w:rsidR="00B92538">
        <w:t>ence formulation was 81.71 (90% </w:t>
      </w:r>
      <w:r w:rsidRPr="00FC72C1">
        <w:t>co</w:t>
      </w:r>
      <w:r>
        <w:t>nfidence interval (CI), 75.34% to 88.62%).</w:t>
      </w:r>
    </w:p>
    <w:p w14:paraId="144DA754" w14:textId="2A65F342" w:rsidR="00660616" w:rsidRPr="00FC72C1" w:rsidRDefault="00660616" w:rsidP="00660616">
      <w:pPr>
        <w:pStyle w:val="ListBullet"/>
      </w:pPr>
      <w:r w:rsidRPr="00FC72C1">
        <w:t xml:space="preserve">The point estimate for the ratio of </w:t>
      </w:r>
      <w:r w:rsidR="00B92538" w:rsidRPr="00FC72C1">
        <w:t xml:space="preserve">anti-rabies antibody titre </w:t>
      </w:r>
      <w:r w:rsidR="00B92538">
        <w:t>area under the concentration versus time curve from dosing (time zero) to the end of the dosing period (</w:t>
      </w:r>
      <w:r w:rsidRPr="00FC72C1">
        <w:t>AUC</w:t>
      </w:r>
      <w:r w:rsidRPr="00E264BF">
        <w:rPr>
          <w:vertAlign w:val="subscript"/>
        </w:rPr>
        <w:t>T</w:t>
      </w:r>
      <w:r w:rsidR="00B92538">
        <w:t xml:space="preserve">) </w:t>
      </w:r>
      <w:r w:rsidRPr="00FC72C1">
        <w:t>values of the test formulation and reference formula</w:t>
      </w:r>
      <w:r>
        <w:t>tion was 82.35 (90% CI, 77.39% to</w:t>
      </w:r>
      <w:r w:rsidRPr="00FC72C1">
        <w:t xml:space="preserve"> 87.63%).</w:t>
      </w:r>
    </w:p>
    <w:p w14:paraId="02190508" w14:textId="6C2266D6" w:rsidR="00660616" w:rsidRPr="00FC72C1" w:rsidRDefault="00660616" w:rsidP="00660616">
      <w:pPr>
        <w:pStyle w:val="ListBullet"/>
      </w:pPr>
      <w:r w:rsidRPr="00FC72C1">
        <w:t xml:space="preserve">The point estimate for the ratio of </w:t>
      </w:r>
      <w:r w:rsidR="00B92538" w:rsidRPr="00FC72C1">
        <w:t>anti-rabies antibody titre</w:t>
      </w:r>
      <w:r w:rsidR="00B92538">
        <w:t xml:space="preserve"> area under the concentration versus time curve from dosing (time zero) extrapolated to infinity</w:t>
      </w:r>
      <w:r w:rsidR="00B92538" w:rsidRPr="00FC72C1">
        <w:t xml:space="preserve"> </w:t>
      </w:r>
      <w:r w:rsidR="00B92538">
        <w:t>(</w:t>
      </w:r>
      <w:r w:rsidRPr="00FC72C1">
        <w:t>AUC</w:t>
      </w:r>
      <w:r w:rsidR="00B92538">
        <w:rPr>
          <w:vertAlign w:val="subscript"/>
        </w:rPr>
        <w:t>0-inf</w:t>
      </w:r>
      <w:r w:rsidR="00B92538">
        <w:t xml:space="preserve">) </w:t>
      </w:r>
      <w:r w:rsidRPr="00FC72C1">
        <w:t>values of the test formulation and reference formula</w:t>
      </w:r>
      <w:r>
        <w:t>ti</w:t>
      </w:r>
      <w:r w:rsidR="00B92538">
        <w:t>on was 84.44 (90% CI, </w:t>
      </w:r>
      <w:r>
        <w:t>78.63% to</w:t>
      </w:r>
      <w:r w:rsidRPr="00FC72C1">
        <w:t xml:space="preserve"> 90.68%).</w:t>
      </w:r>
    </w:p>
    <w:p w14:paraId="14E2AA46" w14:textId="2A9E67CE" w:rsidR="00660616" w:rsidRPr="00FC72C1" w:rsidRDefault="00660616" w:rsidP="00660616">
      <w:pPr>
        <w:pStyle w:val="ListBullet"/>
      </w:pPr>
      <w:r w:rsidRPr="00FC72C1">
        <w:t>There was no statistically significant difference (p</w:t>
      </w:r>
      <w:r>
        <w:t xml:space="preserve"> </w:t>
      </w:r>
      <w:r w:rsidRPr="00FC72C1">
        <w:t>=</w:t>
      </w:r>
      <w:r>
        <w:t xml:space="preserve"> </w:t>
      </w:r>
      <w:r w:rsidRPr="00FC72C1">
        <w:t xml:space="preserve">0.4491) in </w:t>
      </w:r>
      <w:r w:rsidR="00B92538" w:rsidRPr="00FC72C1">
        <w:t xml:space="preserve">anti-rabies antibody titre </w:t>
      </w:r>
      <w:r w:rsidR="00B92538">
        <w:t>time to maximum concentration (</w:t>
      </w:r>
      <w:proofErr w:type="spellStart"/>
      <w:r w:rsidRPr="00FC72C1">
        <w:t>t</w:t>
      </w:r>
      <w:r w:rsidRPr="00FC72C1">
        <w:rPr>
          <w:vertAlign w:val="subscript"/>
        </w:rPr>
        <w:t>max</w:t>
      </w:r>
      <w:proofErr w:type="spellEnd"/>
      <w:r w:rsidR="00B92538">
        <w:t xml:space="preserve">) </w:t>
      </w:r>
      <w:r w:rsidRPr="00FC72C1">
        <w:t>between the test formula</w:t>
      </w:r>
      <w:r w:rsidR="00B92538">
        <w:t>tion and reference formulation.</w:t>
      </w:r>
    </w:p>
    <w:p w14:paraId="5DED0553" w14:textId="69FF5CBD" w:rsidR="00660616" w:rsidRDefault="00660616" w:rsidP="0090240F">
      <w:pPr>
        <w:pStyle w:val="ListBullet"/>
      </w:pPr>
      <w:r w:rsidRPr="00FC72C1">
        <w:t xml:space="preserve">There is a marginally statistically significant sequence effect seen in </w:t>
      </w:r>
      <w:proofErr w:type="spellStart"/>
      <w:r w:rsidRPr="00FC72C1">
        <w:t>C</w:t>
      </w:r>
      <w:r w:rsidRPr="00FC72C1">
        <w:rPr>
          <w:vertAlign w:val="subscript"/>
        </w:rPr>
        <w:t>max</w:t>
      </w:r>
      <w:proofErr w:type="spellEnd"/>
      <w:r w:rsidRPr="00FC72C1">
        <w:t xml:space="preserve"> (p</w:t>
      </w:r>
      <w:r>
        <w:t xml:space="preserve"> </w:t>
      </w:r>
      <w:r w:rsidRPr="00FC72C1">
        <w:t>=</w:t>
      </w:r>
      <w:r>
        <w:t xml:space="preserve"> </w:t>
      </w:r>
      <w:r w:rsidRPr="00FC72C1">
        <w:t>0.0415) and AUC</w:t>
      </w:r>
      <w:r w:rsidRPr="00E264BF">
        <w:rPr>
          <w:vertAlign w:val="subscript"/>
        </w:rPr>
        <w:t>T</w:t>
      </w:r>
      <w:r w:rsidRPr="00FC72C1">
        <w:t xml:space="preserve"> (p</w:t>
      </w:r>
      <w:r>
        <w:t xml:space="preserve"> </w:t>
      </w:r>
      <w:r w:rsidRPr="00FC72C1">
        <w:t>=</w:t>
      </w:r>
      <w:r>
        <w:t xml:space="preserve"> </w:t>
      </w:r>
      <w:r w:rsidRPr="00FC72C1">
        <w:t>0.0329). This is effectively a treatment by period interaction.</w:t>
      </w:r>
    </w:p>
    <w:p w14:paraId="68F23690" w14:textId="77777777" w:rsidR="008F6E1B" w:rsidRDefault="008F6E1B" w:rsidP="008F6E1B">
      <w:pPr>
        <w:pStyle w:val="Heading5"/>
      </w:pPr>
      <w:r w:rsidRPr="00660616">
        <w:t>Study 24061</w:t>
      </w:r>
    </w:p>
    <w:p w14:paraId="2F24245B" w14:textId="0495B49B" w:rsidR="00660616" w:rsidRDefault="00660616" w:rsidP="00660616">
      <w:r w:rsidRPr="00660616">
        <w:t>Study 24061</w:t>
      </w:r>
      <w:r w:rsidRPr="005E09E0">
        <w:rPr>
          <w:b/>
        </w:rPr>
        <w:t xml:space="preserve"> </w:t>
      </w:r>
      <w:r>
        <w:t>was a Phase I,</w:t>
      </w:r>
      <w:r w:rsidRPr="00493367">
        <w:t xml:space="preserve"> randomised, single dose</w:t>
      </w:r>
      <w:r>
        <w:t xml:space="preserve"> </w:t>
      </w:r>
      <w:proofErr w:type="spellStart"/>
      <w:r w:rsidR="00B471D6">
        <w:t>KamRAB</w:t>
      </w:r>
      <w:proofErr w:type="spellEnd"/>
      <w:r>
        <w:t xml:space="preserve"> with three do</w:t>
      </w:r>
      <w:r w:rsidR="00B92538">
        <w:t>ses of rabies vaccine (Rabipur)</w:t>
      </w:r>
      <w:r w:rsidRPr="00493367">
        <w:t xml:space="preserve">, double blind, </w:t>
      </w:r>
      <w:r>
        <w:t>one</w:t>
      </w:r>
      <w:r w:rsidRPr="00493367">
        <w:t>-period</w:t>
      </w:r>
      <w:r>
        <w:t>, parallel</w:t>
      </w:r>
      <w:r w:rsidRPr="00493367">
        <w:t xml:space="preserve"> study in healthy </w:t>
      </w:r>
      <w:r>
        <w:t xml:space="preserve">adult </w:t>
      </w:r>
      <w:r w:rsidRPr="00493367">
        <w:t>volunteers</w:t>
      </w:r>
      <w:r>
        <w:t xml:space="preserve"> conducted at a single centre in Israel in 2004.</w:t>
      </w:r>
    </w:p>
    <w:p w14:paraId="18937C12" w14:textId="7E3E3EAD" w:rsidR="00660616" w:rsidRPr="005E09E0" w:rsidRDefault="00660616" w:rsidP="00660616">
      <w:r>
        <w:lastRenderedPageBreak/>
        <w:t xml:space="preserve">Study treatments were </w:t>
      </w:r>
      <w:proofErr w:type="spellStart"/>
      <w:r w:rsidR="00B471D6">
        <w:t>KamRAB</w:t>
      </w:r>
      <w:proofErr w:type="spellEnd"/>
      <w:r>
        <w:t xml:space="preserve"> </w:t>
      </w:r>
      <w:r w:rsidRPr="005C5895">
        <w:rPr>
          <w:rFonts w:asciiTheme="minorHAnsi" w:eastAsia="TimesNewRomanPSMT" w:hAnsiTheme="minorHAnsi" w:cs="TimesNewRomanPSMT"/>
        </w:rPr>
        <w:t xml:space="preserve">20 IU/kg (0.133ml/kg) </w:t>
      </w:r>
      <w:r>
        <w:t xml:space="preserve">or </w:t>
      </w:r>
      <w:r w:rsidR="00B92538">
        <w:t>sodium chloride (</w:t>
      </w:r>
      <w:r w:rsidRPr="005C5895">
        <w:rPr>
          <w:rFonts w:asciiTheme="minorHAnsi" w:eastAsia="TimesNewRomanPSMT" w:hAnsiTheme="minorHAnsi" w:cs="TimesNewRomanPSMT"/>
        </w:rPr>
        <w:t>NaCl</w:t>
      </w:r>
      <w:r w:rsidR="00B92538">
        <w:rPr>
          <w:rFonts w:asciiTheme="minorHAnsi" w:eastAsia="TimesNewRomanPSMT" w:hAnsiTheme="minorHAnsi" w:cs="TimesNewRomanPSMT"/>
        </w:rPr>
        <w:t>)</w:t>
      </w:r>
      <w:r w:rsidRPr="005C5895">
        <w:rPr>
          <w:rFonts w:asciiTheme="minorHAnsi" w:eastAsia="TimesNewRomanPSMT" w:hAnsiTheme="minorHAnsi" w:cs="TimesNewRomanPSMT"/>
        </w:rPr>
        <w:t xml:space="preserve"> 0.9% 0.133ml/kg </w:t>
      </w:r>
      <w:r>
        <w:t xml:space="preserve">(placebo) injected </w:t>
      </w:r>
      <w:r w:rsidR="00B92538">
        <w:t>intramuscularly</w:t>
      </w:r>
      <w:r>
        <w:t xml:space="preserve"> to the gluteus, and </w:t>
      </w:r>
      <w:r w:rsidRPr="00496C28">
        <w:t xml:space="preserve">3 x </w:t>
      </w:r>
      <w:r w:rsidR="00B92538">
        <w:t>intramuscular injections of Rabipur rabies vaccine 1.0 mL</w:t>
      </w:r>
      <w:r w:rsidRPr="00496C28">
        <w:t xml:space="preserve"> (≥</w:t>
      </w:r>
      <w:r w:rsidR="00B92538">
        <w:t xml:space="preserve"> 2.5 IU/mL</w:t>
      </w:r>
      <w:r w:rsidRPr="00496C28">
        <w:t>)</w:t>
      </w:r>
      <w:r w:rsidR="00B92538">
        <w:t>, at Days 0, 7, 28.</w:t>
      </w:r>
    </w:p>
    <w:p w14:paraId="6D0B7D2D" w14:textId="77777777" w:rsidR="00660616" w:rsidRDefault="00660616" w:rsidP="00660616">
      <w:r w:rsidRPr="00A655C9">
        <w:t xml:space="preserve">Study visits were screening, </w:t>
      </w:r>
      <w:r w:rsidR="00822DEC">
        <w:t xml:space="preserve">and Days 3, 7, 14, 18, 35 and 42 </w:t>
      </w:r>
      <w:r w:rsidRPr="00A655C9">
        <w:t>post-</w:t>
      </w:r>
      <w:proofErr w:type="gramStart"/>
      <w:r w:rsidRPr="00A655C9">
        <w:t>dose</w:t>
      </w:r>
      <w:proofErr w:type="gramEnd"/>
      <w:r w:rsidRPr="00A655C9">
        <w:t>.</w:t>
      </w:r>
    </w:p>
    <w:p w14:paraId="6CCE21DA" w14:textId="77777777" w:rsidR="00660616" w:rsidRDefault="00B92538" w:rsidP="00660616">
      <w:r>
        <w:t xml:space="preserve">In total, </w:t>
      </w:r>
      <w:r w:rsidR="00660616" w:rsidRPr="00A655C9">
        <w:t>16 subjects enrolled; 15 successfully completed the whole study.</w:t>
      </w:r>
      <w:r w:rsidR="00660616">
        <w:t xml:space="preserve"> One subject was discontinued because of a positive urin</w:t>
      </w:r>
      <w:r>
        <w:t>e analysis for cannabinoids on D</w:t>
      </w:r>
      <w:r w:rsidR="00660616">
        <w:t xml:space="preserve">ay 7 of the study. The subjects had a mean age of 27.3 years, a </w:t>
      </w:r>
      <w:r>
        <w:t>mean weight of 69.7 kg</w:t>
      </w:r>
      <w:r w:rsidR="00660616">
        <w:t xml:space="preserve"> and a m</w:t>
      </w:r>
      <w:r>
        <w:t>ean height of 1.71 metres.</w:t>
      </w:r>
    </w:p>
    <w:p w14:paraId="5BB703C6" w14:textId="1B990625" w:rsidR="00773937" w:rsidRPr="0090240F" w:rsidRDefault="00773937" w:rsidP="00097DF6">
      <w:pPr>
        <w:pStyle w:val="TableTitle"/>
      </w:pPr>
      <w:r w:rsidRPr="00F70299">
        <w:t xml:space="preserve">Table </w:t>
      </w:r>
      <w:fldSimple w:instr=" SEQ Table \* ARABIC ">
        <w:r w:rsidR="003A2870">
          <w:rPr>
            <w:noProof/>
          </w:rPr>
          <w:t>4</w:t>
        </w:r>
      </w:fldSimple>
      <w:r w:rsidRPr="00F70299">
        <w:t>: Study 24061 mean of main anti-rabies antibody titre pharmacokinetic findings for each dose administered</w:t>
      </w:r>
    </w:p>
    <w:p w14:paraId="7D3323D5" w14:textId="4AC98348" w:rsidR="00F70299" w:rsidRPr="00A655C9" w:rsidRDefault="00773937" w:rsidP="00097DF6">
      <w:pPr>
        <w:pStyle w:val="TableTitle"/>
        <w:rPr>
          <w:rFonts w:asciiTheme="minorHAnsi" w:eastAsiaTheme="minorHAnsi" w:hAnsiTheme="minorHAnsi" w:cs="TimesNewRoman,Bold"/>
          <w:bCs/>
        </w:rPr>
      </w:pPr>
      <w:r>
        <w:rPr>
          <w:noProof/>
          <w:lang w:val="en-GB" w:eastAsia="en-GB"/>
        </w:rPr>
        <w:drawing>
          <wp:inline distT="0" distB="0" distL="0" distR="0" wp14:anchorId="71181DE4" wp14:editId="4C651571">
            <wp:extent cx="4578824" cy="1176723"/>
            <wp:effectExtent l="0" t="0" r="0" b="4445"/>
            <wp:docPr id="5" name="Picture 5" descr="Study 24061 mean of main anti-rabies antibody titre pharmacokinetic findings for each dose admin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24061 mean of main anti-rabies antibody titre pharmacokinetic findings for each dose administer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3665" cy="1183107"/>
                    </a:xfrm>
                    <a:prstGeom prst="rect">
                      <a:avLst/>
                    </a:prstGeom>
                    <a:noFill/>
                    <a:ln>
                      <a:noFill/>
                    </a:ln>
                  </pic:spPr>
                </pic:pic>
              </a:graphicData>
            </a:graphic>
          </wp:inline>
        </w:drawing>
      </w:r>
    </w:p>
    <w:p w14:paraId="2DF2A3B5" w14:textId="2FCC63F8" w:rsidR="00097DF6" w:rsidRDefault="00097DF6" w:rsidP="00097DF6">
      <w:r w:rsidRPr="00A655C9">
        <w:t xml:space="preserve">Protection was zero for the placebo group and positive for the </w:t>
      </w:r>
      <w:proofErr w:type="spellStart"/>
      <w:r w:rsidR="00B471D6">
        <w:t>KamRAB</w:t>
      </w:r>
      <w:proofErr w:type="spellEnd"/>
      <w:r>
        <w:t xml:space="preserve"> group starting at Day 3.</w:t>
      </w:r>
      <w:r w:rsidRPr="00A655C9">
        <w:t xml:space="preserve"> The first </w:t>
      </w:r>
      <w:r>
        <w:t xml:space="preserve">positive </w:t>
      </w:r>
      <w:r w:rsidR="00B92538">
        <w:t>antibody titre was observed on D</w:t>
      </w:r>
      <w:r w:rsidRPr="00A655C9">
        <w:t>ay 7 for the placebo group.</w:t>
      </w:r>
    </w:p>
    <w:p w14:paraId="507F1E03" w14:textId="77777777" w:rsidR="00097DF6" w:rsidRDefault="00097DF6" w:rsidP="00097DF6">
      <w:r w:rsidRPr="00BE7376">
        <w:t xml:space="preserve">The statistical analysis of the PK data shows that the </w:t>
      </w:r>
      <w:proofErr w:type="spellStart"/>
      <w:r w:rsidRPr="00BE7376">
        <w:t>C</w:t>
      </w:r>
      <w:r w:rsidRPr="00BD5F25">
        <w:rPr>
          <w:vertAlign w:val="subscript"/>
        </w:rPr>
        <w:t>max</w:t>
      </w:r>
      <w:proofErr w:type="spellEnd"/>
      <w:r w:rsidRPr="00BE7376">
        <w:t xml:space="preserve"> for the test formulation appears to be substantially lower than the </w:t>
      </w:r>
      <w:proofErr w:type="spellStart"/>
      <w:r w:rsidRPr="00BE7376">
        <w:t>C</w:t>
      </w:r>
      <w:r w:rsidRPr="00BD5F25">
        <w:rPr>
          <w:vertAlign w:val="subscript"/>
        </w:rPr>
        <w:t>max</w:t>
      </w:r>
      <w:proofErr w:type="spellEnd"/>
      <w:r w:rsidRPr="00BE7376">
        <w:t xml:space="preserve"> for the placebo formulation (42.93%). The mean AUC</w:t>
      </w:r>
      <w:r w:rsidRPr="00E264BF">
        <w:rPr>
          <w:rFonts w:asciiTheme="minorHAnsi" w:eastAsiaTheme="minorHAnsi" w:hAnsiTheme="minorHAnsi" w:cs="TimesNewRoman"/>
          <w:vertAlign w:val="subscript"/>
        </w:rPr>
        <w:t>T</w:t>
      </w:r>
      <w:r>
        <w:t xml:space="preserve"> </w:t>
      </w:r>
      <w:r w:rsidRPr="00BE7376">
        <w:t>for the test formulation is statistically significantly lower than mean AUC</w:t>
      </w:r>
      <w:r w:rsidRPr="00E264BF">
        <w:rPr>
          <w:rFonts w:asciiTheme="minorHAnsi" w:eastAsiaTheme="minorHAnsi" w:hAnsiTheme="minorHAnsi" w:cs="TimesNewRoman"/>
          <w:vertAlign w:val="subscript"/>
        </w:rPr>
        <w:t>T</w:t>
      </w:r>
      <w:r w:rsidRPr="00BE7376">
        <w:t xml:space="preserve"> for the placebo formulation as illustrat</w:t>
      </w:r>
      <w:r w:rsidR="00BD5F25">
        <w:t>ed by the 95% CI values (10.14 to</w:t>
      </w:r>
      <w:r w:rsidRPr="00BE7376">
        <w:t xml:space="preserve"> 100.42).</w:t>
      </w:r>
    </w:p>
    <w:p w14:paraId="37AF28F7" w14:textId="4F23DD69" w:rsidR="00097DF6" w:rsidRDefault="00B471D6" w:rsidP="00097DF6">
      <w:proofErr w:type="spellStart"/>
      <w:r>
        <w:t>KamRAB</w:t>
      </w:r>
      <w:proofErr w:type="spellEnd"/>
      <w:r w:rsidR="00097DF6" w:rsidRPr="00BE7376">
        <w:t xml:space="preserve"> </w:t>
      </w:r>
      <w:r w:rsidR="00097DF6">
        <w:t xml:space="preserve">showed </w:t>
      </w:r>
      <w:r w:rsidR="00097DF6" w:rsidRPr="00BE7376">
        <w:t xml:space="preserve">detectable rabies antibodies </w:t>
      </w:r>
      <w:r w:rsidR="00097DF6">
        <w:t xml:space="preserve">at earlier times </w:t>
      </w:r>
      <w:r w:rsidR="00097DF6" w:rsidRPr="00BE7376">
        <w:t>compared to placebo. There is some blunting of the immune response to the rabies vaccine as expected, but the levels achieved are still considered protective.</w:t>
      </w:r>
    </w:p>
    <w:p w14:paraId="55C35755" w14:textId="77777777" w:rsidR="00AC33BC" w:rsidRDefault="00AC33BC" w:rsidP="00AC33BC">
      <w:pPr>
        <w:pStyle w:val="Heading4"/>
      </w:pPr>
      <w:r>
        <w:t>Efficacy</w:t>
      </w:r>
    </w:p>
    <w:p w14:paraId="41FA3C48" w14:textId="77777777" w:rsidR="00822DEC" w:rsidRPr="00822DEC" w:rsidRDefault="00822DEC" w:rsidP="00822DEC">
      <w:pPr>
        <w:pStyle w:val="Heading5"/>
      </w:pPr>
      <w:r>
        <w:t>Study 003</w:t>
      </w:r>
    </w:p>
    <w:p w14:paraId="37E77F48" w14:textId="18F9CA34" w:rsidR="00097DF6" w:rsidRDefault="00097DF6" w:rsidP="00AC33BC">
      <w:r w:rsidRPr="002422E1">
        <w:t>Study 003</w:t>
      </w:r>
      <w:r>
        <w:t xml:space="preserve"> </w:t>
      </w:r>
      <w:r w:rsidRPr="002422E1">
        <w:t xml:space="preserve">is a randomised, </w:t>
      </w:r>
      <w:r>
        <w:t xml:space="preserve">double-blind, Phase II/III study </w:t>
      </w:r>
      <w:r w:rsidRPr="00AA16E1">
        <w:t xml:space="preserve">of </w:t>
      </w:r>
      <w:proofErr w:type="spellStart"/>
      <w:r w:rsidR="00B471D6">
        <w:t>KamRAB</w:t>
      </w:r>
      <w:proofErr w:type="spellEnd"/>
      <w:r w:rsidRPr="00AA16E1">
        <w:t xml:space="preserve"> </w:t>
      </w:r>
      <w:r w:rsidR="00BD5F25">
        <w:t>human rabies immunoglobulin</w:t>
      </w:r>
      <w:r w:rsidR="00BD5F25" w:rsidRPr="00FC72C1">
        <w:t xml:space="preserve"> </w:t>
      </w:r>
      <w:r w:rsidRPr="00AA16E1">
        <w:t xml:space="preserve">compared with comparator </w:t>
      </w:r>
      <w:r w:rsidR="00BD5F25">
        <w:t>human rabies immunoglobulin</w:t>
      </w:r>
      <w:r w:rsidR="00BD5F25" w:rsidRPr="00FC72C1">
        <w:t xml:space="preserve"> </w:t>
      </w:r>
      <w:r w:rsidR="00BD5F25">
        <w:t>when co</w:t>
      </w:r>
      <w:r w:rsidR="00BD5F25">
        <w:noBreakHyphen/>
      </w:r>
      <w:r w:rsidRPr="00AA16E1">
        <w:t xml:space="preserve">administered with active rabies vaccine in healthy male and female </w:t>
      </w:r>
      <w:r>
        <w:t xml:space="preserve">adult </w:t>
      </w:r>
      <w:r w:rsidRPr="00AA16E1">
        <w:t>volunteers.</w:t>
      </w:r>
      <w:r>
        <w:t xml:space="preserve"> </w:t>
      </w:r>
      <w:r w:rsidR="00BD5F25">
        <w:t>The study was conducted at one</w:t>
      </w:r>
      <w:r>
        <w:t xml:space="preserve"> site in the USA between April 2013 and August 2014.</w:t>
      </w:r>
    </w:p>
    <w:p w14:paraId="470AC0ED" w14:textId="41CEE097" w:rsidR="00097DF6" w:rsidRDefault="00097DF6" w:rsidP="00AC33BC">
      <w:pPr>
        <w:rPr>
          <w:b/>
        </w:rPr>
      </w:pPr>
      <w:r w:rsidRPr="00AC33BC">
        <w:t>The</w:t>
      </w:r>
      <w:r>
        <w:t xml:space="preserve"> primary endpoint was </w:t>
      </w:r>
      <w:r w:rsidR="00BD5F25">
        <w:t>a</w:t>
      </w:r>
      <w:r w:rsidRPr="00B45028">
        <w:t>n</w:t>
      </w:r>
      <w:r w:rsidR="00BD5F25">
        <w:t>ti-rabies immunoglobulin subtype G (IgG) concentration on Day </w:t>
      </w:r>
      <w:r w:rsidRPr="00B45028">
        <w:t xml:space="preserve">14. The primary hypothesis is that the proportion of </w:t>
      </w:r>
      <w:proofErr w:type="spellStart"/>
      <w:r w:rsidR="00B471D6">
        <w:t>KamRAB</w:t>
      </w:r>
      <w:proofErr w:type="spellEnd"/>
      <w:r w:rsidR="00BD5F25">
        <w:t xml:space="preserve"> plus</w:t>
      </w:r>
      <w:r w:rsidRPr="00B45028">
        <w:t xml:space="preserve"> vaccine recipients with anti-rabi</w:t>
      </w:r>
      <w:r w:rsidR="00BD5F25">
        <w:t>es concentration ≥ 0.5 IU/mL on D</w:t>
      </w:r>
      <w:r w:rsidRPr="00B45028">
        <w:t xml:space="preserve">ay 14 will not be less than the corresponding proportion of </w:t>
      </w:r>
      <w:r w:rsidR="00BD5F25">
        <w:t>human rabies immunoglobulin</w:t>
      </w:r>
      <w:r w:rsidR="00BD5F25" w:rsidRPr="00FC72C1">
        <w:t xml:space="preserve"> </w:t>
      </w:r>
      <w:r w:rsidRPr="00B45028">
        <w:t>comparator subjects by as much as 0.1.</w:t>
      </w:r>
      <w:r w:rsidRPr="006F115C">
        <w:t xml:space="preserve"> </w:t>
      </w:r>
      <w:r>
        <w:t>The RFFIT test</w:t>
      </w:r>
      <w:r w:rsidR="00BD5F25">
        <w:rPr>
          <w:rStyle w:val="FootnoteReference"/>
        </w:rPr>
        <w:footnoteReference w:id="9"/>
      </w:r>
      <w:r>
        <w:t xml:space="preserve"> specified in the protocol determined RVNA titres rather than IgG concentrations and was prespecified for evaluation of the primary endpoint.</w:t>
      </w:r>
    </w:p>
    <w:p w14:paraId="029820CA" w14:textId="77777777" w:rsidR="00097DF6" w:rsidRDefault="00097DF6" w:rsidP="00097DF6">
      <w:r>
        <w:t>Inclusion criteria were healthy ma</w:t>
      </w:r>
      <w:r w:rsidR="00BD5F25">
        <w:t xml:space="preserve">le or female subjects of age 18 to </w:t>
      </w:r>
      <w:r>
        <w:t>75 years wh</w:t>
      </w:r>
      <w:r w:rsidR="00BD5F25">
        <w:t>o have no previous exposure to rabies, the rabies vaccine or rabies i</w:t>
      </w:r>
      <w:r>
        <w:t>mmune globulin.</w:t>
      </w:r>
    </w:p>
    <w:p w14:paraId="212E8CF2" w14:textId="35549DE3" w:rsidR="00097DF6" w:rsidRPr="00AC33BC" w:rsidRDefault="00097DF6" w:rsidP="00AC33BC">
      <w:r w:rsidRPr="00541946">
        <w:t xml:space="preserve">Subjects </w:t>
      </w:r>
      <w:r w:rsidRPr="00AC33BC">
        <w:t xml:space="preserve">were randomised to receive a single dose of </w:t>
      </w:r>
      <w:proofErr w:type="spellStart"/>
      <w:r w:rsidR="00B471D6">
        <w:t>KamRAB</w:t>
      </w:r>
      <w:proofErr w:type="spellEnd"/>
      <w:r w:rsidR="00822DEC">
        <w:t xml:space="preserve"> </w:t>
      </w:r>
      <w:r w:rsidRPr="00AC33BC">
        <w:t>HRIG (20 IU/kg) or HRIG Comparator (</w:t>
      </w:r>
      <w:proofErr w:type="spellStart"/>
      <w:r w:rsidRPr="00AC33BC">
        <w:t>HyperRAB</w:t>
      </w:r>
      <w:proofErr w:type="spellEnd"/>
      <w:r w:rsidRPr="00AC33BC">
        <w:t xml:space="preserve">, 20 IU/kg) and the first dose </w:t>
      </w:r>
      <w:r w:rsidR="00BD5F25">
        <w:t>of the rabies vaccine (</w:t>
      </w:r>
      <w:proofErr w:type="spellStart"/>
      <w:r w:rsidR="00BD5F25">
        <w:t>RabAvert</w:t>
      </w:r>
      <w:proofErr w:type="spellEnd"/>
      <w:r w:rsidRPr="00AC33BC">
        <w:t>, 1 mL of ≥</w:t>
      </w:r>
      <w:r w:rsidR="00BD5F25">
        <w:t> 2.5 </w:t>
      </w:r>
      <w:r w:rsidRPr="00AC33BC">
        <w:t xml:space="preserve">IU/mL) on Day 0. Subjects subsequently received 4 more doses of rabies vaccine </w:t>
      </w:r>
      <w:r w:rsidRPr="00AC33BC">
        <w:lastRenderedPageBreak/>
        <w:t>during the treatment period at Visit 3 (Day 3), Visit 4 (Day 7), Visit 5 (Day 14), and Visit 6 (Day 28</w:t>
      </w:r>
      <w:r w:rsidR="00AC33BC" w:rsidRPr="00AC33BC">
        <w:t>).</w:t>
      </w:r>
    </w:p>
    <w:p w14:paraId="11E1F629" w14:textId="77777777" w:rsidR="00097DF6" w:rsidRPr="00AC33BC" w:rsidRDefault="00BD5F25" w:rsidP="00AC33BC">
      <w:r>
        <w:t xml:space="preserve">In total, </w:t>
      </w:r>
      <w:r w:rsidR="00097DF6" w:rsidRPr="00AC33BC">
        <w:t xml:space="preserve">118 subjects were included in the </w:t>
      </w:r>
      <w:r w:rsidRPr="00AC33BC">
        <w:t>safety population</w:t>
      </w:r>
      <w:r w:rsidR="00097DF6" w:rsidRPr="00AC33BC">
        <w:t>; 115 of these subjects (97.5%) were</w:t>
      </w:r>
      <w:r>
        <w:t xml:space="preserve"> </w:t>
      </w:r>
      <w:r w:rsidR="00097DF6" w:rsidRPr="00AC33BC">
        <w:t xml:space="preserve">included in the </w:t>
      </w:r>
      <w:r>
        <w:t>‘</w:t>
      </w:r>
      <w:r w:rsidRPr="00AC33BC">
        <w:t>as-treated</w:t>
      </w:r>
      <w:r>
        <w:t>’</w:t>
      </w:r>
      <w:r w:rsidRPr="00AC33BC">
        <w:t xml:space="preserve"> population</w:t>
      </w:r>
      <w:r w:rsidR="00097DF6" w:rsidRPr="00AC33BC">
        <w:t xml:space="preserve">. Three subjects (2.5%) were excluded from </w:t>
      </w:r>
      <w:r w:rsidRPr="00AC33BC">
        <w:t>the</w:t>
      </w:r>
      <w:r>
        <w:t xml:space="preserve"> </w:t>
      </w:r>
      <w:r w:rsidRPr="00AC33BC">
        <w:t>as-treated populati</w:t>
      </w:r>
      <w:r w:rsidR="00097DF6" w:rsidRPr="00AC33BC">
        <w:t>on, which was defined as all randomised subjects who received at least</w:t>
      </w:r>
      <w:r>
        <w:t xml:space="preserve"> </w:t>
      </w:r>
      <w:r w:rsidR="00097DF6" w:rsidRPr="00AC33BC">
        <w:t xml:space="preserve">3 vaccine doses (until Day 14 before the serum sample was taken) and </w:t>
      </w:r>
      <w:r>
        <w:t>one</w:t>
      </w:r>
      <w:r w:rsidR="00097DF6" w:rsidRPr="00AC33BC">
        <w:t xml:space="preserve"> dose of HRIG. The PK population comprised 117 of the 118</w:t>
      </w:r>
      <w:r w:rsidR="00822DEC">
        <w:t xml:space="preserve"> subjects</w:t>
      </w:r>
      <w:r w:rsidR="00097DF6" w:rsidRPr="00AC33BC">
        <w:t>.</w:t>
      </w:r>
    </w:p>
    <w:p w14:paraId="24AD4FFF" w14:textId="77777777" w:rsidR="00097DF6" w:rsidRDefault="00097DF6" w:rsidP="00AC33BC">
      <w:r w:rsidRPr="00AC33BC">
        <w:t>Subjects were predominately female (63.6%), white (93.2%), were not of Hispanic or Latino ethnicity (97.5%</w:t>
      </w:r>
      <w:proofErr w:type="gramStart"/>
      <w:r w:rsidRPr="00AC33BC">
        <w:t>), and</w:t>
      </w:r>
      <w:proofErr w:type="gramEnd"/>
      <w:r w:rsidRPr="006F115C">
        <w:t xml:space="preserve"> had a median age of 47.5 </w:t>
      </w:r>
      <w:r w:rsidR="00C000F1">
        <w:t>years. The median BMI was 26.32 </w:t>
      </w:r>
      <w:r w:rsidRPr="006F115C">
        <w:t>kg/m</w:t>
      </w:r>
      <w:r w:rsidRPr="00822DEC">
        <w:rPr>
          <w:vertAlign w:val="superscript"/>
        </w:rPr>
        <w:t>2</w:t>
      </w:r>
      <w:r w:rsidRPr="006F115C">
        <w:t>.</w:t>
      </w:r>
    </w:p>
    <w:p w14:paraId="27E2BFF5" w14:textId="77777777" w:rsidR="00AC33BC" w:rsidRDefault="00097DF6" w:rsidP="00822DEC">
      <w:pPr>
        <w:pStyle w:val="Heading6"/>
      </w:pPr>
      <w:r>
        <w:t xml:space="preserve">Results for the primary efficacy </w:t>
      </w:r>
      <w:r w:rsidR="00AC33BC">
        <w:t>outcome</w:t>
      </w:r>
    </w:p>
    <w:p w14:paraId="40EAD712" w14:textId="73030503" w:rsidR="00097DF6" w:rsidRDefault="00C000F1" w:rsidP="00097DF6">
      <w:r>
        <w:rPr>
          <w:rFonts w:asciiTheme="minorHAnsi" w:eastAsiaTheme="minorHAnsi" w:hAnsiTheme="minorHAnsi" w:cs="TimesNewRoman"/>
        </w:rPr>
        <w:t xml:space="preserve">Overall, </w:t>
      </w:r>
      <w:r w:rsidR="00097DF6" w:rsidRPr="00B417B6">
        <w:rPr>
          <w:rFonts w:asciiTheme="minorHAnsi" w:eastAsiaTheme="minorHAnsi" w:hAnsiTheme="minorHAnsi" w:cs="TimesNewRoman"/>
        </w:rPr>
        <w:t>55 of 56 subjects</w:t>
      </w:r>
      <w:r w:rsidR="00097DF6">
        <w:rPr>
          <w:rFonts w:asciiTheme="minorHAnsi" w:eastAsiaTheme="minorHAnsi" w:hAnsiTheme="minorHAnsi" w:cs="TimesNewRoman"/>
        </w:rPr>
        <w:t xml:space="preserve"> (</w:t>
      </w:r>
      <w:r w:rsidR="00097DF6" w:rsidRPr="00B417B6">
        <w:rPr>
          <w:rFonts w:asciiTheme="minorHAnsi" w:eastAsiaTheme="minorHAnsi" w:hAnsiTheme="minorHAnsi" w:cs="TimesNewRoman"/>
        </w:rPr>
        <w:t xml:space="preserve">98.2%) </w:t>
      </w:r>
      <w:r w:rsidR="00097DF6">
        <w:rPr>
          <w:rFonts w:asciiTheme="minorHAnsi" w:eastAsiaTheme="minorHAnsi" w:hAnsiTheme="minorHAnsi" w:cs="TimesNewRoman"/>
        </w:rPr>
        <w:t xml:space="preserve">in the </w:t>
      </w:r>
      <w:proofErr w:type="spellStart"/>
      <w:r w:rsidR="00B471D6">
        <w:rPr>
          <w:rFonts w:asciiTheme="minorHAnsi" w:eastAsiaTheme="minorHAnsi" w:hAnsiTheme="minorHAnsi" w:cs="TimesNewRoman"/>
        </w:rPr>
        <w:t>KamRAB</w:t>
      </w:r>
      <w:proofErr w:type="spellEnd"/>
      <w:r w:rsidR="00097DF6">
        <w:rPr>
          <w:rFonts w:asciiTheme="minorHAnsi" w:eastAsiaTheme="minorHAnsi" w:hAnsiTheme="minorHAnsi" w:cs="TimesNewRoman"/>
        </w:rPr>
        <w:t xml:space="preserve"> group </w:t>
      </w:r>
      <w:r w:rsidR="00097DF6" w:rsidRPr="00B417B6">
        <w:rPr>
          <w:rFonts w:asciiTheme="minorHAnsi" w:eastAsiaTheme="minorHAnsi" w:hAnsiTheme="minorHAnsi" w:cs="TimesNewRoman"/>
        </w:rPr>
        <w:t xml:space="preserve">and all in the HRIG </w:t>
      </w:r>
      <w:r>
        <w:rPr>
          <w:rFonts w:asciiTheme="minorHAnsi" w:eastAsiaTheme="minorHAnsi" w:hAnsiTheme="minorHAnsi" w:cs="TimesNewRoman"/>
        </w:rPr>
        <w:t>c</w:t>
      </w:r>
      <w:r w:rsidR="00097DF6" w:rsidRPr="00B417B6">
        <w:rPr>
          <w:rFonts w:asciiTheme="minorHAnsi" w:eastAsiaTheme="minorHAnsi" w:hAnsiTheme="minorHAnsi" w:cs="TimesNewRoman"/>
        </w:rPr>
        <w:t>omparator group had an anti-rabies IgG antibody titre ≥</w:t>
      </w:r>
      <w:r>
        <w:rPr>
          <w:rFonts w:asciiTheme="minorHAnsi" w:eastAsiaTheme="minorHAnsi" w:hAnsiTheme="minorHAnsi" w:cs="TimesNewRoman"/>
        </w:rPr>
        <w:t xml:space="preserve"> </w:t>
      </w:r>
      <w:r w:rsidR="00097DF6" w:rsidRPr="00B417B6">
        <w:rPr>
          <w:rFonts w:asciiTheme="minorHAnsi" w:eastAsiaTheme="minorHAnsi" w:hAnsiTheme="minorHAnsi" w:cs="TimesNewRoman"/>
        </w:rPr>
        <w:t>0.5 IU/mL on Day 14.</w:t>
      </w:r>
      <w:r w:rsidR="00097DF6" w:rsidRPr="006F115C">
        <w:t xml:space="preserve"> </w:t>
      </w:r>
      <w:r w:rsidR="00097DF6" w:rsidRPr="006F115C">
        <w:rPr>
          <w:rFonts w:asciiTheme="minorHAnsi" w:eastAsiaTheme="minorHAnsi" w:hAnsiTheme="minorHAnsi" w:cs="TimesNewRoman"/>
        </w:rPr>
        <w:t>The difference between the proportion of subjects with an anti-rabies IgG antibody titre ≥</w:t>
      </w:r>
      <w:r w:rsidR="00703367">
        <w:rPr>
          <w:rFonts w:asciiTheme="minorHAnsi" w:eastAsiaTheme="minorHAnsi" w:hAnsiTheme="minorHAnsi" w:cs="TimesNewRoman"/>
        </w:rPr>
        <w:t> </w:t>
      </w:r>
      <w:r w:rsidR="00097DF6" w:rsidRPr="006F115C">
        <w:rPr>
          <w:rFonts w:asciiTheme="minorHAnsi" w:eastAsiaTheme="minorHAnsi" w:hAnsiTheme="minorHAnsi" w:cs="TimesNewRoman"/>
        </w:rPr>
        <w:t>0.5</w:t>
      </w:r>
      <w:r w:rsidR="00703367">
        <w:rPr>
          <w:rFonts w:asciiTheme="minorHAnsi" w:eastAsiaTheme="minorHAnsi" w:hAnsiTheme="minorHAnsi" w:cs="TimesNewRoman"/>
        </w:rPr>
        <w:t> </w:t>
      </w:r>
      <w:r w:rsidR="00097DF6" w:rsidRPr="006F115C">
        <w:rPr>
          <w:rFonts w:asciiTheme="minorHAnsi" w:eastAsiaTheme="minorHAnsi" w:hAnsiTheme="minorHAnsi" w:cs="TimesNewRoman"/>
        </w:rPr>
        <w:t>IU/mL</w:t>
      </w:r>
      <w:r w:rsidR="00097DF6" w:rsidRPr="006F115C">
        <w:t xml:space="preserve"> </w:t>
      </w:r>
      <w:r w:rsidR="00097DF6" w:rsidRPr="006F115C">
        <w:rPr>
          <w:rFonts w:asciiTheme="minorHAnsi" w:eastAsiaTheme="minorHAnsi" w:hAnsiTheme="minorHAnsi" w:cs="TimesNewRoman"/>
        </w:rPr>
        <w:t xml:space="preserve">on Day 14 in the </w:t>
      </w:r>
      <w:proofErr w:type="spellStart"/>
      <w:r w:rsidR="00B471D6">
        <w:rPr>
          <w:rFonts w:asciiTheme="minorHAnsi" w:eastAsiaTheme="minorHAnsi" w:hAnsiTheme="minorHAnsi" w:cs="TimesNewRoman"/>
        </w:rPr>
        <w:t>KamRAB</w:t>
      </w:r>
      <w:proofErr w:type="spellEnd"/>
      <w:r w:rsidR="00097DF6" w:rsidRPr="006F115C">
        <w:rPr>
          <w:rFonts w:asciiTheme="minorHAnsi" w:eastAsiaTheme="minorHAnsi" w:hAnsiTheme="minorHAnsi" w:cs="TimesNewRoman"/>
        </w:rPr>
        <w:t xml:space="preserve"> and HRIG </w:t>
      </w:r>
      <w:r>
        <w:rPr>
          <w:rFonts w:asciiTheme="minorHAnsi" w:eastAsiaTheme="minorHAnsi" w:hAnsiTheme="minorHAnsi" w:cs="TimesNewRoman"/>
        </w:rPr>
        <w:t>c</w:t>
      </w:r>
      <w:r w:rsidR="00097DF6" w:rsidRPr="006F115C">
        <w:rPr>
          <w:rFonts w:asciiTheme="minorHAnsi" w:eastAsiaTheme="minorHAnsi" w:hAnsiTheme="minorHAnsi" w:cs="TimesNewRoman"/>
        </w:rPr>
        <w:t xml:space="preserve">omparator groups was -1.8% (90% CI: -8.2, 3.1). The lower limit of the 90% CI was greater than the pre-specified non-inferiority margin of -10%, demonstrating </w:t>
      </w:r>
      <w:proofErr w:type="spellStart"/>
      <w:r w:rsidR="00B471D6">
        <w:rPr>
          <w:rFonts w:asciiTheme="minorHAnsi" w:eastAsiaTheme="minorHAnsi" w:hAnsiTheme="minorHAnsi" w:cs="TimesNewRoman"/>
        </w:rPr>
        <w:t>KamRAB</w:t>
      </w:r>
      <w:proofErr w:type="spellEnd"/>
      <w:r w:rsidR="00097DF6" w:rsidRPr="006F115C">
        <w:rPr>
          <w:rFonts w:asciiTheme="minorHAnsi" w:eastAsiaTheme="minorHAnsi" w:hAnsiTheme="minorHAnsi" w:cs="TimesNewRoman"/>
        </w:rPr>
        <w:t xml:space="preserve"> was non-inferior to HR</w:t>
      </w:r>
      <w:r>
        <w:rPr>
          <w:rFonts w:asciiTheme="minorHAnsi" w:eastAsiaTheme="minorHAnsi" w:hAnsiTheme="minorHAnsi" w:cs="TimesNewRoman"/>
        </w:rPr>
        <w:t>IG c</w:t>
      </w:r>
      <w:r w:rsidR="00097DF6" w:rsidRPr="006F115C">
        <w:rPr>
          <w:rFonts w:asciiTheme="minorHAnsi" w:eastAsiaTheme="minorHAnsi" w:hAnsiTheme="minorHAnsi" w:cs="TimesNewRoman"/>
        </w:rPr>
        <w:t>omparator for the primary endpoint.</w:t>
      </w:r>
    </w:p>
    <w:p w14:paraId="0C49A8CE" w14:textId="246C81FF" w:rsidR="00097DF6" w:rsidRDefault="00097DF6" w:rsidP="00097DF6">
      <w:r>
        <w:t>Pharmacokinetic parameters (</w:t>
      </w:r>
      <w:proofErr w:type="spellStart"/>
      <w:r w:rsidRPr="00902274">
        <w:rPr>
          <w:rFonts w:asciiTheme="minorHAnsi" w:eastAsia="TTE5t00" w:hAnsiTheme="minorHAnsi" w:cs="TTE5t00"/>
        </w:rPr>
        <w:t>C</w:t>
      </w:r>
      <w:r w:rsidRPr="00902274">
        <w:rPr>
          <w:rFonts w:asciiTheme="minorHAnsi" w:eastAsia="TTE5t00" w:hAnsiTheme="minorHAnsi" w:cs="TTE5t00"/>
          <w:vertAlign w:val="subscript"/>
        </w:rPr>
        <w:t>max</w:t>
      </w:r>
      <w:proofErr w:type="spellEnd"/>
      <w:r w:rsidRPr="00902274">
        <w:rPr>
          <w:rFonts w:asciiTheme="minorHAnsi" w:eastAsia="TTE5t00" w:hAnsiTheme="minorHAnsi" w:cs="TTE5t00"/>
        </w:rPr>
        <w:t xml:space="preserve">, </w:t>
      </w:r>
      <w:proofErr w:type="spellStart"/>
      <w:r w:rsidRPr="00902274">
        <w:rPr>
          <w:rFonts w:asciiTheme="minorHAnsi" w:eastAsia="TTE5t00" w:hAnsiTheme="minorHAnsi" w:cs="TTE5t00"/>
        </w:rPr>
        <w:t>t</w:t>
      </w:r>
      <w:r w:rsidRPr="00902274">
        <w:rPr>
          <w:rFonts w:asciiTheme="minorHAnsi" w:eastAsia="TTE5t00" w:hAnsiTheme="minorHAnsi" w:cs="TTE5t00"/>
          <w:vertAlign w:val="subscript"/>
        </w:rPr>
        <w:t>max</w:t>
      </w:r>
      <w:proofErr w:type="spellEnd"/>
      <w:r w:rsidRPr="00902274">
        <w:rPr>
          <w:rFonts w:asciiTheme="minorHAnsi" w:eastAsia="TTE5t00" w:hAnsiTheme="minorHAnsi" w:cs="TTE5t00"/>
        </w:rPr>
        <w:t>, AUC</w:t>
      </w:r>
      <w:r w:rsidRPr="00902274">
        <w:rPr>
          <w:rFonts w:asciiTheme="minorHAnsi" w:eastAsia="TTE5t00" w:hAnsiTheme="minorHAnsi" w:cs="TTE5t00"/>
          <w:vertAlign w:val="subscript"/>
        </w:rPr>
        <w:t>T</w:t>
      </w:r>
      <w:r w:rsidRPr="00902274">
        <w:rPr>
          <w:rFonts w:asciiTheme="minorHAnsi" w:eastAsia="TTE5t00" w:hAnsiTheme="minorHAnsi" w:cs="TTE5t00"/>
        </w:rPr>
        <w:t>, AUC</w:t>
      </w:r>
      <w:r w:rsidRPr="00902274">
        <w:rPr>
          <w:rFonts w:asciiTheme="minorHAnsi" w:eastAsia="TTE5t00" w:hAnsiTheme="minorHAnsi" w:cs="TTE5t00"/>
          <w:vertAlign w:val="subscript"/>
        </w:rPr>
        <w:t>I</w:t>
      </w:r>
      <w:r w:rsidRPr="00902274">
        <w:rPr>
          <w:rFonts w:asciiTheme="minorHAnsi" w:eastAsia="TTE5t00" w:hAnsiTheme="minorHAnsi" w:cs="TTE5t00"/>
        </w:rPr>
        <w:t>, and t</w:t>
      </w:r>
      <w:r w:rsidRPr="00902274">
        <w:rPr>
          <w:rFonts w:asciiTheme="minorHAnsi" w:eastAsia="TTE5t00" w:hAnsiTheme="minorHAnsi" w:cs="TTE5t00"/>
          <w:vertAlign w:val="subscript"/>
        </w:rPr>
        <w:t xml:space="preserve">1/2 </w:t>
      </w:r>
      <w:r w:rsidRPr="00902274">
        <w:rPr>
          <w:rFonts w:asciiTheme="minorHAnsi" w:eastAsia="TTE5t00" w:hAnsiTheme="minorHAnsi" w:cs="TTE5t00"/>
        </w:rPr>
        <w:t>of anti-rabies</w:t>
      </w:r>
      <w:r>
        <w:rPr>
          <w:rFonts w:asciiTheme="minorHAnsi" w:eastAsia="TTE5t00" w:hAnsiTheme="minorHAnsi" w:cs="TTE5t00"/>
        </w:rPr>
        <w:t xml:space="preserve"> </w:t>
      </w:r>
      <w:r w:rsidRPr="00902274">
        <w:rPr>
          <w:rFonts w:asciiTheme="minorHAnsi" w:eastAsia="TTE5t00" w:hAnsiTheme="minorHAnsi" w:cs="TTE5t00"/>
        </w:rPr>
        <w:t>IgG</w:t>
      </w:r>
      <w:r>
        <w:rPr>
          <w:rFonts w:asciiTheme="minorHAnsi" w:eastAsia="TTE5t00" w:hAnsiTheme="minorHAnsi" w:cs="TTE5t00"/>
        </w:rPr>
        <w:t xml:space="preserve"> </w:t>
      </w:r>
      <w:r>
        <w:t xml:space="preserve">antibody concentrations) were analysed as secondary endpoints. </w:t>
      </w:r>
      <w:r w:rsidR="00C000F1">
        <w:t>The plasma HRIG concentration</w:t>
      </w:r>
      <w:r w:rsidR="00C000F1">
        <w:noBreakHyphen/>
      </w:r>
      <w:r w:rsidRPr="004F4B96">
        <w:t xml:space="preserve">time profiles following </w:t>
      </w:r>
      <w:r w:rsidR="00C000F1">
        <w:t>intramuscular</w:t>
      </w:r>
      <w:r w:rsidRPr="004F4B96">
        <w:t xml:space="preserve"> injection of </w:t>
      </w:r>
      <w:proofErr w:type="spellStart"/>
      <w:r w:rsidR="00B471D6">
        <w:t>KamRAB</w:t>
      </w:r>
      <w:proofErr w:type="spellEnd"/>
      <w:r w:rsidRPr="004F4B96">
        <w:t xml:space="preserve"> or HRIG </w:t>
      </w:r>
      <w:r w:rsidR="00C000F1">
        <w:t>c</w:t>
      </w:r>
      <w:r w:rsidRPr="004F4B96">
        <w:t>omparator appeared to be similar</w:t>
      </w:r>
      <w:r>
        <w:t>.</w:t>
      </w:r>
      <w:r w:rsidRPr="004F4B96">
        <w:t xml:space="preserve"> Only the plasma HRIG</w:t>
      </w:r>
      <w:r w:rsidR="00C000F1">
        <w:t xml:space="preserve"> concentrations on Visit 3 (Day </w:t>
      </w:r>
      <w:r w:rsidRPr="004F4B96">
        <w:t xml:space="preserve">3) were statistically different for the </w:t>
      </w:r>
      <w:proofErr w:type="spellStart"/>
      <w:r w:rsidR="00B471D6">
        <w:t>KamRAB</w:t>
      </w:r>
      <w:proofErr w:type="spellEnd"/>
      <w:r w:rsidRPr="004F4B96">
        <w:t xml:space="preserve"> treatm</w:t>
      </w:r>
      <w:r w:rsidR="00C000F1">
        <w:t>ent group relative to the HRIG c</w:t>
      </w:r>
      <w:r w:rsidRPr="004F4B96">
        <w:t>omparator treatment group</w:t>
      </w:r>
      <w:r>
        <w:t xml:space="preserve">. </w:t>
      </w:r>
      <w:r w:rsidRPr="004F766F">
        <w:rPr>
          <w:rFonts w:asciiTheme="minorHAnsi" w:eastAsiaTheme="minorHAnsi" w:hAnsiTheme="minorHAnsi" w:cs="TimesNewRoman"/>
        </w:rPr>
        <w:t>No statistically significant differences in plasma HRIG PK parameters</w:t>
      </w:r>
      <w:r w:rsidRPr="00A7181E">
        <w:t xml:space="preserve"> </w:t>
      </w:r>
      <w:r>
        <w:t>(</w:t>
      </w:r>
      <w:proofErr w:type="spellStart"/>
      <w:r w:rsidRPr="004F766F">
        <w:rPr>
          <w:rFonts w:asciiTheme="minorHAnsi" w:eastAsiaTheme="minorHAnsi" w:hAnsiTheme="minorHAnsi" w:cs="TimesNewRoman"/>
        </w:rPr>
        <w:t>C</w:t>
      </w:r>
      <w:r w:rsidRPr="0078314D">
        <w:rPr>
          <w:rFonts w:asciiTheme="minorHAnsi" w:eastAsiaTheme="minorHAnsi" w:hAnsiTheme="minorHAnsi" w:cs="TimesNewRoman"/>
          <w:vertAlign w:val="subscript"/>
        </w:rPr>
        <w:t>max</w:t>
      </w:r>
      <w:proofErr w:type="spellEnd"/>
      <w:r w:rsidRPr="004F766F">
        <w:rPr>
          <w:rFonts w:asciiTheme="minorHAnsi" w:eastAsiaTheme="minorHAnsi" w:hAnsiTheme="minorHAnsi" w:cs="TimesNewRoman"/>
        </w:rPr>
        <w:t xml:space="preserve">, </w:t>
      </w:r>
      <w:proofErr w:type="spellStart"/>
      <w:r w:rsidRPr="004F766F">
        <w:rPr>
          <w:rFonts w:asciiTheme="minorHAnsi" w:eastAsiaTheme="minorHAnsi" w:hAnsiTheme="minorHAnsi" w:cs="TimesNewRoman"/>
        </w:rPr>
        <w:t>t</w:t>
      </w:r>
      <w:r w:rsidRPr="0078314D">
        <w:rPr>
          <w:rFonts w:asciiTheme="minorHAnsi" w:eastAsiaTheme="minorHAnsi" w:hAnsiTheme="minorHAnsi" w:cs="TimesNewRoman"/>
          <w:vertAlign w:val="subscript"/>
        </w:rPr>
        <w:t>max</w:t>
      </w:r>
      <w:proofErr w:type="spellEnd"/>
      <w:r w:rsidRPr="004F766F">
        <w:rPr>
          <w:rFonts w:asciiTheme="minorHAnsi" w:eastAsiaTheme="minorHAnsi" w:hAnsiTheme="minorHAnsi" w:cs="TimesNewRoman"/>
        </w:rPr>
        <w:t>, AUC</w:t>
      </w:r>
      <w:r w:rsidRPr="0078314D">
        <w:rPr>
          <w:rFonts w:asciiTheme="minorHAnsi" w:eastAsiaTheme="minorHAnsi" w:hAnsiTheme="minorHAnsi" w:cs="TimesNewRoman"/>
          <w:vertAlign w:val="subscript"/>
        </w:rPr>
        <w:t>0-tlast</w:t>
      </w:r>
      <w:r w:rsidRPr="004F766F">
        <w:rPr>
          <w:rFonts w:asciiTheme="minorHAnsi" w:eastAsiaTheme="minorHAnsi" w:hAnsiTheme="minorHAnsi" w:cs="TimesNewRoman"/>
        </w:rPr>
        <w:t>, AUC</w:t>
      </w:r>
      <w:r w:rsidR="00C000F1">
        <w:rPr>
          <w:rFonts w:asciiTheme="minorHAnsi" w:eastAsiaTheme="minorHAnsi" w:hAnsiTheme="minorHAnsi" w:cs="TimesNewRoman"/>
          <w:vertAlign w:val="subscript"/>
        </w:rPr>
        <w:t>0-inf</w:t>
      </w:r>
      <w:r w:rsidRPr="0078314D">
        <w:rPr>
          <w:rFonts w:asciiTheme="minorHAnsi" w:eastAsiaTheme="minorHAnsi" w:hAnsiTheme="minorHAnsi" w:cs="TimesNewRoman"/>
          <w:vertAlign w:val="subscript"/>
        </w:rPr>
        <w:t>,</w:t>
      </w:r>
      <w:r w:rsidRPr="004F766F">
        <w:rPr>
          <w:rFonts w:asciiTheme="minorHAnsi" w:eastAsiaTheme="minorHAnsi" w:hAnsiTheme="minorHAnsi" w:cs="TimesNewRoman"/>
        </w:rPr>
        <w:t xml:space="preserve"> or t</w:t>
      </w:r>
      <w:r w:rsidRPr="0078314D">
        <w:rPr>
          <w:rFonts w:asciiTheme="minorHAnsi" w:eastAsiaTheme="minorHAnsi" w:hAnsiTheme="minorHAnsi" w:cs="TimesNewRoman"/>
          <w:vertAlign w:val="subscript"/>
        </w:rPr>
        <w:t>1/2</w:t>
      </w:r>
      <w:r w:rsidRPr="004F766F">
        <w:rPr>
          <w:rFonts w:asciiTheme="minorHAnsi" w:eastAsiaTheme="minorHAnsi" w:hAnsiTheme="minorHAnsi" w:cs="TimesNewRoman"/>
        </w:rPr>
        <w:t xml:space="preserve">) </w:t>
      </w:r>
      <w:r w:rsidRPr="00A7181E">
        <w:rPr>
          <w:rFonts w:asciiTheme="minorHAnsi" w:eastAsiaTheme="minorHAnsi" w:hAnsiTheme="minorHAnsi" w:cs="TimesNewRoman"/>
        </w:rPr>
        <w:t>were detect</w:t>
      </w:r>
      <w:r w:rsidR="00C000F1">
        <w:rPr>
          <w:rFonts w:asciiTheme="minorHAnsi" w:eastAsiaTheme="minorHAnsi" w:hAnsiTheme="minorHAnsi" w:cs="TimesNewRoman"/>
        </w:rPr>
        <w:t xml:space="preserve">ed between the </w:t>
      </w:r>
      <w:proofErr w:type="spellStart"/>
      <w:r w:rsidR="00B471D6">
        <w:rPr>
          <w:rFonts w:asciiTheme="minorHAnsi" w:eastAsiaTheme="minorHAnsi" w:hAnsiTheme="minorHAnsi" w:cs="TimesNewRoman"/>
        </w:rPr>
        <w:t>KamRAB</w:t>
      </w:r>
      <w:proofErr w:type="spellEnd"/>
      <w:r w:rsidR="00C000F1">
        <w:rPr>
          <w:rFonts w:asciiTheme="minorHAnsi" w:eastAsiaTheme="minorHAnsi" w:hAnsiTheme="minorHAnsi" w:cs="TimesNewRoman"/>
        </w:rPr>
        <w:t xml:space="preserve"> and HRIG c</w:t>
      </w:r>
      <w:r w:rsidRPr="00A7181E">
        <w:rPr>
          <w:rFonts w:asciiTheme="minorHAnsi" w:eastAsiaTheme="minorHAnsi" w:hAnsiTheme="minorHAnsi" w:cs="TimesNewRoman"/>
        </w:rPr>
        <w:t>omparator treatment groups</w:t>
      </w:r>
      <w:r w:rsidR="00C000F1">
        <w:rPr>
          <w:rFonts w:asciiTheme="minorHAnsi" w:eastAsiaTheme="minorHAnsi" w:hAnsiTheme="minorHAnsi" w:cs="TimesNewRoman"/>
        </w:rPr>
        <w:t>.</w:t>
      </w:r>
    </w:p>
    <w:p w14:paraId="00DDA375" w14:textId="77777777" w:rsidR="00C000F1" w:rsidRDefault="00C000F1" w:rsidP="00C000F1">
      <w:pPr>
        <w:pStyle w:val="Heading4"/>
      </w:pPr>
      <w:r>
        <w:t>Safety</w:t>
      </w:r>
    </w:p>
    <w:p w14:paraId="51D470F5" w14:textId="78C9AEF2" w:rsidR="00AC33BC" w:rsidRDefault="00AC33BC" w:rsidP="00AC33BC">
      <w:r w:rsidRPr="0084306C">
        <w:t>Safety was assesse</w:t>
      </w:r>
      <w:r w:rsidR="00822DEC">
        <w:t>d in Study 003 and the two</w:t>
      </w:r>
      <w:r>
        <w:t xml:space="preserve"> Phase I</w:t>
      </w:r>
      <w:r w:rsidRPr="0084306C">
        <w:t xml:space="preserve"> PK studies</w:t>
      </w:r>
      <w:r w:rsidR="00C000F1">
        <w:t>.</w:t>
      </w:r>
      <w:r w:rsidR="00822DEC">
        <w:t xml:space="preserve"> In the three</w:t>
      </w:r>
      <w:r w:rsidRPr="0084306C">
        <w:t xml:space="preserve"> studies, 91</w:t>
      </w:r>
      <w:r w:rsidR="00822DEC">
        <w:rPr>
          <w:b/>
        </w:rPr>
        <w:t> </w:t>
      </w:r>
      <w:r w:rsidRPr="0084306C">
        <w:t xml:space="preserve">subjects </w:t>
      </w:r>
      <w:r w:rsidRPr="0084306C">
        <w:rPr>
          <w:bCs/>
          <w:szCs w:val="21"/>
        </w:rPr>
        <w:t xml:space="preserve">were exposed to </w:t>
      </w:r>
      <w:proofErr w:type="spellStart"/>
      <w:r w:rsidR="00B471D6">
        <w:rPr>
          <w:bCs/>
          <w:szCs w:val="21"/>
        </w:rPr>
        <w:t>KamRAB</w:t>
      </w:r>
      <w:proofErr w:type="spellEnd"/>
      <w:r w:rsidR="00C000F1">
        <w:rPr>
          <w:bCs/>
          <w:szCs w:val="21"/>
        </w:rPr>
        <w:t xml:space="preserve">-HRIG with 67 exposed to </w:t>
      </w:r>
      <w:proofErr w:type="spellStart"/>
      <w:r w:rsidR="00B471D6">
        <w:rPr>
          <w:bCs/>
          <w:szCs w:val="21"/>
        </w:rPr>
        <w:t>KamRAB</w:t>
      </w:r>
      <w:proofErr w:type="spellEnd"/>
      <w:r w:rsidRPr="0084306C">
        <w:rPr>
          <w:bCs/>
          <w:szCs w:val="21"/>
        </w:rPr>
        <w:t>-HRIG with rabies vaccine</w:t>
      </w:r>
      <w:r>
        <w:rPr>
          <w:bCs/>
          <w:szCs w:val="21"/>
        </w:rPr>
        <w:t xml:space="preserve"> and 24 subjects were </w:t>
      </w:r>
      <w:r>
        <w:t xml:space="preserve">exposed to </w:t>
      </w:r>
      <w:proofErr w:type="spellStart"/>
      <w:r w:rsidR="00B471D6">
        <w:t>KamRAB</w:t>
      </w:r>
      <w:proofErr w:type="spellEnd"/>
      <w:r w:rsidR="00C000F1">
        <w:t>-HRIG without rabies vaccine. A total of 84 </w:t>
      </w:r>
      <w:r>
        <w:t>subjects were exposed to comparator HRIG, with 59 subjects exposed to comparator HRIG with rabies vaccine, and 25 subjects exposed to comparator HRIG without rabies vaccine.</w:t>
      </w:r>
    </w:p>
    <w:p w14:paraId="5DFE3C59" w14:textId="5475ABE2" w:rsidR="00AC33BC" w:rsidRDefault="00AC33BC" w:rsidP="00AC33BC">
      <w:r>
        <w:t>A</w:t>
      </w:r>
      <w:r w:rsidRPr="00407BDB">
        <w:t xml:space="preserve"> similar proportion </w:t>
      </w:r>
      <w:r w:rsidR="00822DEC">
        <w:t>in the a</w:t>
      </w:r>
      <w:r w:rsidR="00BA5B5F">
        <w:t xml:space="preserve">ll </w:t>
      </w:r>
      <w:proofErr w:type="spellStart"/>
      <w:r w:rsidR="00B471D6">
        <w:t>KamRAB</w:t>
      </w:r>
      <w:proofErr w:type="spellEnd"/>
      <w:r w:rsidR="00BA5B5F">
        <w:t>-HRIG</w:t>
      </w:r>
      <w:r w:rsidR="00822DEC">
        <w:t xml:space="preserve"> population and a</w:t>
      </w:r>
      <w:r w:rsidR="00BA5B5F">
        <w:t>ll c</w:t>
      </w:r>
      <w:r w:rsidRPr="00407BDB">
        <w:t>o</w:t>
      </w:r>
      <w:r w:rsidR="00BA5B5F">
        <w:t>mparator-</w:t>
      </w:r>
      <w:r w:rsidRPr="00407BDB">
        <w:t xml:space="preserve">HRIG </w:t>
      </w:r>
      <w:r w:rsidR="00822DEC">
        <w:t xml:space="preserve">population </w:t>
      </w:r>
      <w:r w:rsidRPr="00407BDB">
        <w:t xml:space="preserve">groups had related </w:t>
      </w:r>
      <w:r w:rsidR="00BA5B5F">
        <w:t>adverse events</w:t>
      </w:r>
      <w:r w:rsidRPr="00407BDB">
        <w:t xml:space="preserve">, injection site </w:t>
      </w:r>
      <w:r w:rsidR="00BA5B5F">
        <w:t>adverse events</w:t>
      </w:r>
      <w:r w:rsidRPr="00407BDB">
        <w:t xml:space="preserve">, related injection site </w:t>
      </w:r>
      <w:r w:rsidR="00BA5B5F">
        <w:t>adverse events</w:t>
      </w:r>
      <w:r w:rsidRPr="00407BDB">
        <w:t xml:space="preserve">, </w:t>
      </w:r>
      <w:r w:rsidR="00BA5B5F">
        <w:t>adverse events</w:t>
      </w:r>
      <w:r w:rsidR="00BA5B5F" w:rsidRPr="00407BDB">
        <w:t xml:space="preserve"> </w:t>
      </w:r>
      <w:r w:rsidRPr="00407BDB">
        <w:t xml:space="preserve">occurring within 72 hours of administration, and related </w:t>
      </w:r>
      <w:r w:rsidR="00BA5B5F">
        <w:t>adverse events</w:t>
      </w:r>
      <w:r w:rsidR="00BA5B5F" w:rsidRPr="00407BDB">
        <w:t xml:space="preserve"> </w:t>
      </w:r>
      <w:r w:rsidRPr="00407BDB">
        <w:t xml:space="preserve">occurring within 72 hours of administration. The proportion of subjects </w:t>
      </w:r>
      <w:r w:rsidR="00822DEC">
        <w:t>in the a</w:t>
      </w:r>
      <w:r w:rsidR="00BA5B5F">
        <w:t xml:space="preserve">ll </w:t>
      </w:r>
      <w:proofErr w:type="spellStart"/>
      <w:r w:rsidR="00B471D6">
        <w:t>KamRAB</w:t>
      </w:r>
      <w:proofErr w:type="spellEnd"/>
      <w:r w:rsidR="00822DEC">
        <w:t>-HRIG and a</w:t>
      </w:r>
      <w:r w:rsidR="00BA5B5F">
        <w:t>ll c</w:t>
      </w:r>
      <w:r w:rsidR="00822DEC">
        <w:t>omparator-</w:t>
      </w:r>
      <w:r w:rsidRPr="00407BDB">
        <w:t xml:space="preserve">HRIG groups with mild </w:t>
      </w:r>
      <w:r w:rsidR="00BA5B5F">
        <w:t>adverse events</w:t>
      </w:r>
      <w:r w:rsidR="00BA5B5F" w:rsidRPr="00407BDB">
        <w:t xml:space="preserve"> </w:t>
      </w:r>
      <w:r w:rsidRPr="00407BDB">
        <w:t xml:space="preserve">was similar, while the percent of subjects with moderate </w:t>
      </w:r>
      <w:r w:rsidR="00BA5B5F">
        <w:t>adverse events</w:t>
      </w:r>
      <w:r w:rsidR="00BA5B5F" w:rsidRPr="00407BDB">
        <w:t xml:space="preserve"> </w:t>
      </w:r>
      <w:r w:rsidR="00822DEC">
        <w:t xml:space="preserve">was lower in the all </w:t>
      </w:r>
      <w:proofErr w:type="spellStart"/>
      <w:r w:rsidR="00B471D6">
        <w:t>KamRAB</w:t>
      </w:r>
      <w:proofErr w:type="spellEnd"/>
      <w:r w:rsidRPr="00407BDB">
        <w:t xml:space="preserve">-HRIG group. In the placebo group, a lower proportion of subjects, compared with the other treatment groups, had </w:t>
      </w:r>
      <w:r w:rsidR="00BA5B5F">
        <w:t>adverse events</w:t>
      </w:r>
      <w:r w:rsidRPr="00407BDB">
        <w:t xml:space="preserve">, related </w:t>
      </w:r>
      <w:r w:rsidR="00BA5B5F">
        <w:t>adverse events</w:t>
      </w:r>
      <w:r w:rsidRPr="00407BDB">
        <w:t xml:space="preserve">, injection site </w:t>
      </w:r>
      <w:r w:rsidR="00BA5B5F">
        <w:t>adverse events</w:t>
      </w:r>
      <w:r w:rsidRPr="00407BDB">
        <w:t xml:space="preserve">, </w:t>
      </w:r>
      <w:r w:rsidR="00BA5B5F">
        <w:t>adverse events</w:t>
      </w:r>
      <w:r w:rsidR="00BA5B5F" w:rsidRPr="00407BDB">
        <w:t xml:space="preserve"> </w:t>
      </w:r>
      <w:r w:rsidRPr="00407BDB">
        <w:t xml:space="preserve">occurring within 72 hours of administration, related </w:t>
      </w:r>
      <w:r w:rsidR="00BA5B5F">
        <w:t>adverse events</w:t>
      </w:r>
      <w:r w:rsidR="00BA5B5F" w:rsidRPr="00407BDB">
        <w:t xml:space="preserve"> </w:t>
      </w:r>
      <w:r w:rsidR="00BA5B5F">
        <w:t>occurring within 72 </w:t>
      </w:r>
      <w:r w:rsidRPr="00407BDB">
        <w:t xml:space="preserve">hours of administration, and moderate </w:t>
      </w:r>
      <w:r w:rsidR="00BA5B5F">
        <w:t>adverse events</w:t>
      </w:r>
      <w:r w:rsidRPr="00407BDB">
        <w:t xml:space="preserve">. The proportion of subjects in the placebo group with related injection site </w:t>
      </w:r>
      <w:r w:rsidR="00BA5B5F">
        <w:t>adverse events</w:t>
      </w:r>
      <w:r w:rsidR="00BA5B5F" w:rsidRPr="00407BDB">
        <w:t xml:space="preserve"> </w:t>
      </w:r>
      <w:r w:rsidRPr="00407BDB">
        <w:t xml:space="preserve">and mild </w:t>
      </w:r>
      <w:r w:rsidR="00BA5B5F">
        <w:t>adverse events</w:t>
      </w:r>
      <w:r w:rsidR="00BA5B5F" w:rsidRPr="00407BDB">
        <w:t xml:space="preserve"> </w:t>
      </w:r>
      <w:r w:rsidRPr="00407BDB">
        <w:t xml:space="preserve">were </w:t>
      </w:r>
      <w:proofErr w:type="gramStart"/>
      <w:r w:rsidRPr="00407BDB">
        <w:t>similar to</w:t>
      </w:r>
      <w:proofErr w:type="gramEnd"/>
      <w:r w:rsidRPr="00407BDB">
        <w:t xml:space="preserve"> those in the </w:t>
      </w:r>
      <w:r w:rsidR="00822DEC">
        <w:t>all</w:t>
      </w:r>
      <w:r w:rsidRPr="00407BDB">
        <w:t xml:space="preserve"> </w:t>
      </w:r>
      <w:proofErr w:type="spellStart"/>
      <w:r w:rsidR="00B471D6">
        <w:t>KamRAB</w:t>
      </w:r>
      <w:proofErr w:type="spellEnd"/>
      <w:r w:rsidRPr="00407BDB">
        <w:t>-HRIG a</w:t>
      </w:r>
      <w:r w:rsidR="00444BA8">
        <w:t xml:space="preserve">nd </w:t>
      </w:r>
      <w:r w:rsidR="00822DEC">
        <w:t>all</w:t>
      </w:r>
      <w:r w:rsidR="00444BA8">
        <w:t xml:space="preserve"> c</w:t>
      </w:r>
      <w:r w:rsidR="00BA5B5F">
        <w:t xml:space="preserve">omparator HRIG groups. </w:t>
      </w:r>
      <w:r w:rsidRPr="00407BDB">
        <w:t xml:space="preserve">The proportion of subjects with </w:t>
      </w:r>
      <w:r w:rsidR="00BA5B5F">
        <w:t>adverse events</w:t>
      </w:r>
      <w:r w:rsidR="00BA5B5F" w:rsidRPr="00407BDB">
        <w:t xml:space="preserve"> </w:t>
      </w:r>
      <w:r w:rsidRPr="00407BDB">
        <w:t>were higher in St</w:t>
      </w:r>
      <w:r w:rsidR="00BA5B5F">
        <w:t>udy 003 than the other studies.</w:t>
      </w:r>
    </w:p>
    <w:p w14:paraId="7D5E035C" w14:textId="2D91755C" w:rsidR="00AC33BC" w:rsidRDefault="00AC33BC" w:rsidP="00AC33BC">
      <w:r>
        <w:t xml:space="preserve">In the </w:t>
      </w:r>
      <w:r w:rsidR="00BA5B5F">
        <w:t>all studies pooling</w:t>
      </w:r>
      <w:r>
        <w:t xml:space="preserve">, common </w:t>
      </w:r>
      <w:r w:rsidR="00444BA8">
        <w:t xml:space="preserve">adverse events </w:t>
      </w:r>
      <w:r>
        <w:t>by preferred term were injection site pai</w:t>
      </w:r>
      <w:r w:rsidR="00444BA8">
        <w:t xml:space="preserve">n (33% in the </w:t>
      </w:r>
      <w:r w:rsidR="00822DEC">
        <w:t>all</w:t>
      </w:r>
      <w:r w:rsidR="00444BA8">
        <w:t xml:space="preserve"> </w:t>
      </w:r>
      <w:proofErr w:type="spellStart"/>
      <w:r w:rsidR="00B471D6">
        <w:t>KamRAB</w:t>
      </w:r>
      <w:proofErr w:type="spellEnd"/>
      <w:r w:rsidR="00444BA8">
        <w:t xml:space="preserve">-HRIG, </w:t>
      </w:r>
      <w:r>
        <w:t xml:space="preserve">31% in the </w:t>
      </w:r>
      <w:r w:rsidR="00822DEC">
        <w:t>all comparator-</w:t>
      </w:r>
      <w:r>
        <w:t>HRIG, and 25% in the saline placebo with vaccine groups, respectively), headache (15%, 13%, and 3</w:t>
      </w:r>
      <w:r w:rsidR="00463777">
        <w:t>8</w:t>
      </w:r>
      <w:r>
        <w:t xml:space="preserve">%, </w:t>
      </w:r>
      <w:r>
        <w:lastRenderedPageBreak/>
        <w:t>respectively), myalgia (</w:t>
      </w:r>
      <w:r w:rsidR="00463777">
        <w:t>9</w:t>
      </w:r>
      <w:r>
        <w:t>%, 7%, and 0%, respectively), arthralgia (</w:t>
      </w:r>
      <w:r w:rsidR="00463777">
        <w:t>6</w:t>
      </w:r>
      <w:r>
        <w:t xml:space="preserve">%, 0%, and </w:t>
      </w:r>
      <w:r w:rsidR="00463777">
        <w:t>13</w:t>
      </w:r>
      <w:r>
        <w:t>%, respectively) and upper respiratory tract infection (</w:t>
      </w:r>
      <w:r w:rsidR="00463777">
        <w:t>9</w:t>
      </w:r>
      <w:r>
        <w:t xml:space="preserve">%, </w:t>
      </w:r>
      <w:r w:rsidR="00463777">
        <w:t>10</w:t>
      </w:r>
      <w:r>
        <w:t>%, and 0%, respectively).</w:t>
      </w:r>
    </w:p>
    <w:p w14:paraId="1AB3E93E" w14:textId="42D0FECB" w:rsidR="00AC33BC" w:rsidRDefault="00AC33BC" w:rsidP="00AC33BC">
      <w:r>
        <w:t xml:space="preserve">In the </w:t>
      </w:r>
      <w:r w:rsidR="00444BA8" w:rsidRPr="003017C1">
        <w:t xml:space="preserve">related adverse events that occurred in at least one subject </w:t>
      </w:r>
      <w:r w:rsidR="00444BA8">
        <w:t xml:space="preserve">category in the </w:t>
      </w:r>
      <w:proofErr w:type="spellStart"/>
      <w:r w:rsidR="00B471D6">
        <w:t>KamRAB</w:t>
      </w:r>
      <w:proofErr w:type="spellEnd"/>
      <w:r w:rsidR="00444BA8">
        <w:noBreakHyphen/>
        <w:t>HRIG with v</w:t>
      </w:r>
      <w:r w:rsidRPr="003017C1">
        <w:t xml:space="preserve">accine </w:t>
      </w:r>
      <w:r w:rsidR="00444BA8" w:rsidRPr="003017C1">
        <w:t xml:space="preserve">group, test article or comparator with vaccine </w:t>
      </w:r>
      <w:r w:rsidR="00444BA8">
        <w:t>p</w:t>
      </w:r>
      <w:r w:rsidRPr="003017C1">
        <w:t>ooling</w:t>
      </w:r>
      <w:r>
        <w:t xml:space="preserve">, common </w:t>
      </w:r>
      <w:r w:rsidR="00444BA8">
        <w:t xml:space="preserve">adverse events were </w:t>
      </w:r>
      <w:r>
        <w:t xml:space="preserve">injection site pain (37.3% in the </w:t>
      </w:r>
      <w:r w:rsidR="00822DEC">
        <w:t>all</w:t>
      </w:r>
      <w:r>
        <w:t xml:space="preserve"> </w:t>
      </w:r>
      <w:proofErr w:type="spellStart"/>
      <w:r w:rsidR="00B471D6">
        <w:t>KamRAB</w:t>
      </w:r>
      <w:proofErr w:type="spellEnd"/>
      <w:r w:rsidR="00444BA8">
        <w:t xml:space="preserve">-HRIG,  28.8% in the </w:t>
      </w:r>
      <w:r w:rsidR="00822DEC">
        <w:t>all</w:t>
      </w:r>
      <w:r w:rsidR="00444BA8">
        <w:t xml:space="preserve"> c</w:t>
      </w:r>
      <w:r>
        <w:t>omparator HRIG, and 25.0% in the saline placebo with vaccine groups, respectively), abdominal pain (3%,0%,0%, respectively), headache (3%, 5.1%,12</w:t>
      </w:r>
      <w:r w:rsidR="001C0D9A">
        <w:t>.</w:t>
      </w:r>
      <w:r>
        <w:t>5%, respectively), musculoskeletal stiffness (3%, 0%,0%, respectively), nausea (3%, 0%,0%, respectively) and presyncop</w:t>
      </w:r>
      <w:r w:rsidR="00444BA8">
        <w:t>e (3%, 1.7%, 0%, respectively).</w:t>
      </w:r>
    </w:p>
    <w:p w14:paraId="0307BD14" w14:textId="66CB9373" w:rsidR="00AC33BC" w:rsidRDefault="00AC33BC" w:rsidP="00AC33BC">
      <w:r>
        <w:t xml:space="preserve">No deaths were reported in Studies 23630, 24061 and 003. </w:t>
      </w:r>
      <w:r w:rsidRPr="008C0E6D">
        <w:t>The one subject with a</w:t>
      </w:r>
      <w:r w:rsidR="00444BA8">
        <w:t xml:space="preserve"> serious adverse event</w:t>
      </w:r>
      <w:r w:rsidRPr="008C0E6D">
        <w:t xml:space="preserve"> (intraductal proliferative breast lesion) and the one subject with a severe </w:t>
      </w:r>
      <w:r w:rsidR="00444BA8">
        <w:t xml:space="preserve">adverse event </w:t>
      </w:r>
      <w:r w:rsidRPr="008C0E6D">
        <w:t xml:space="preserve">occurring in the clinical studies were both in the </w:t>
      </w:r>
      <w:r w:rsidR="00822DEC">
        <w:t>all</w:t>
      </w:r>
      <w:r w:rsidRPr="008C0E6D">
        <w:t xml:space="preserve"> </w:t>
      </w:r>
      <w:proofErr w:type="spellStart"/>
      <w:r w:rsidR="00B471D6">
        <w:t>KamRAB</w:t>
      </w:r>
      <w:proofErr w:type="spellEnd"/>
      <w:r w:rsidRPr="008C0E6D">
        <w:t>-HRIG group; neither of these events was assessed by the investigator as study treatment related.</w:t>
      </w:r>
      <w:r>
        <w:t xml:space="preserve"> </w:t>
      </w:r>
      <w:r w:rsidR="00444BA8">
        <w:t>Nine </w:t>
      </w:r>
      <w:r w:rsidRPr="008C0E6D">
        <w:t>subjects were withdrawn</w:t>
      </w:r>
      <w:r>
        <w:t xml:space="preserve"> from the 3 studies</w:t>
      </w:r>
      <w:r w:rsidRPr="008C0E6D">
        <w:t xml:space="preserve">. For five of these subjects, the reason for withdrawal was an </w:t>
      </w:r>
      <w:r w:rsidR="00444BA8">
        <w:t>adverse event</w:t>
      </w:r>
      <w:r w:rsidRPr="008C0E6D">
        <w:t xml:space="preserve">. In 2 the </w:t>
      </w:r>
      <w:r w:rsidR="00444BA8">
        <w:t>adverse event</w:t>
      </w:r>
      <w:r w:rsidR="00444BA8" w:rsidRPr="008C0E6D">
        <w:t xml:space="preserve"> </w:t>
      </w:r>
      <w:r w:rsidRPr="008C0E6D">
        <w:t>was haematuria, considered possibly related.</w:t>
      </w:r>
    </w:p>
    <w:p w14:paraId="5AED5BAA" w14:textId="77777777" w:rsidR="00444BA8" w:rsidRDefault="00444BA8" w:rsidP="00444BA8">
      <w:pPr>
        <w:pStyle w:val="Heading4"/>
      </w:pPr>
      <w:r>
        <w:t>Post</w:t>
      </w:r>
      <w:r>
        <w:noBreakHyphen/>
      </w:r>
      <w:r w:rsidR="00AC33BC" w:rsidRPr="002B2A22">
        <w:t>marketing experience</w:t>
      </w:r>
    </w:p>
    <w:p w14:paraId="5EE279D3" w14:textId="3326B782" w:rsidR="00AC33BC" w:rsidRDefault="00AC33BC" w:rsidP="00AC33BC">
      <w:r>
        <w:t>T</w:t>
      </w:r>
      <w:r w:rsidRPr="002B2A22">
        <w:t xml:space="preserve">his product </w:t>
      </w:r>
      <w:r w:rsidR="00F0191C">
        <w:t>was first</w:t>
      </w:r>
      <w:r w:rsidRPr="002B2A22">
        <w:t xml:space="preserve"> marketed </w:t>
      </w:r>
      <w:r w:rsidR="00F0191C">
        <w:t xml:space="preserve">in Israel in </w:t>
      </w:r>
      <w:r>
        <w:t xml:space="preserve">2008 </w:t>
      </w:r>
      <w:r w:rsidR="005C75FA">
        <w:t xml:space="preserve">and used safely </w:t>
      </w:r>
      <w:r w:rsidR="00F0191C">
        <w:t xml:space="preserve">in </w:t>
      </w:r>
      <w:r w:rsidR="00C27598">
        <w:t>other</w:t>
      </w:r>
      <w:r w:rsidR="00F0191C">
        <w:t xml:space="preserve"> markets </w:t>
      </w:r>
      <w:r w:rsidR="005C75FA">
        <w:t>in over</w:t>
      </w:r>
      <w:r w:rsidR="00444BA8">
        <w:t xml:space="preserve"> </w:t>
      </w:r>
      <w:r w:rsidRPr="002B2A22">
        <w:t>200,000 individuals,</w:t>
      </w:r>
      <w:r w:rsidR="00444BA8">
        <w:t xml:space="preserve"> including Australian patients.</w:t>
      </w:r>
    </w:p>
    <w:p w14:paraId="3168882B" w14:textId="77777777" w:rsidR="00660616" w:rsidRPr="00444BA8" w:rsidRDefault="00444BA8" w:rsidP="00660616">
      <w:pPr>
        <w:rPr>
          <w:b/>
        </w:rPr>
      </w:pPr>
      <w:r>
        <w:t>Periodic safety update reports for 2016-2017,</w:t>
      </w:r>
      <w:r w:rsidR="00AC33BC" w:rsidRPr="002B2A22">
        <w:t xml:space="preserve"> 2017-2018</w:t>
      </w:r>
      <w:r w:rsidR="005C75FA">
        <w:t>,</w:t>
      </w:r>
      <w:r w:rsidR="00AC33BC" w:rsidRPr="002B2A22">
        <w:t xml:space="preserve"> and 2018-2019 were provided in this </w:t>
      </w:r>
      <w:r w:rsidR="00AC33BC">
        <w:t xml:space="preserve">submission and </w:t>
      </w:r>
      <w:r>
        <w:t>were reviewed</w:t>
      </w:r>
      <w:r w:rsidR="00AC33BC" w:rsidRPr="002B2A22">
        <w:t>.</w:t>
      </w:r>
      <w:r w:rsidR="00AC33BC">
        <w:t xml:space="preserve"> </w:t>
      </w:r>
      <w:r w:rsidR="00AC33BC" w:rsidRPr="002B2A22">
        <w:t>No new significant safety issues were identified during the reporting period</w:t>
      </w:r>
      <w:r w:rsidR="00AC33BC">
        <w:t>s</w:t>
      </w:r>
      <w:r w:rsidR="005C75FA">
        <w:t>. The b</w:t>
      </w:r>
      <w:r w:rsidR="00AC33BC" w:rsidRPr="002B2A22">
        <w:t>enefit-risk balance remains the same and comparable to that of currently marketed HRIG products.</w:t>
      </w:r>
    </w:p>
    <w:p w14:paraId="123C9E69" w14:textId="77777777" w:rsidR="007B6132" w:rsidRDefault="007B6132" w:rsidP="00555280">
      <w:pPr>
        <w:pStyle w:val="Heading4"/>
      </w:pPr>
      <w:r w:rsidRPr="007B6132">
        <w:t>Clinical evaluator’s recommendation</w:t>
      </w:r>
    </w:p>
    <w:p w14:paraId="3A95CBE1" w14:textId="08C7BB0B" w:rsidR="00513E74" w:rsidRDefault="00B471D6" w:rsidP="00513E74">
      <w:proofErr w:type="spellStart"/>
      <w:r>
        <w:t>KamRAB</w:t>
      </w:r>
      <w:proofErr w:type="spellEnd"/>
      <w:r w:rsidR="00513E74">
        <w:t xml:space="preserve"> was non-inferior to the HRIG Comparator for the primary efficacy endpoint of the proportion of subjects with an anti-rabies IgG antibody titre ≥</w:t>
      </w:r>
      <w:r w:rsidR="005C75FA">
        <w:t xml:space="preserve"> </w:t>
      </w:r>
      <w:r w:rsidR="00513E74">
        <w:t xml:space="preserve">0.5 IU/mL on Day 14. This result indicated that </w:t>
      </w:r>
      <w:proofErr w:type="spellStart"/>
      <w:r>
        <w:t>KamRAB</w:t>
      </w:r>
      <w:proofErr w:type="spellEnd"/>
      <w:r w:rsidR="00513E74">
        <w:t>, when given in conjunction with rabies vaccine, provides a level of protection of anti-rabies antibodies that is sufficient and co</w:t>
      </w:r>
      <w:r w:rsidR="005C75FA">
        <w:t>mparable with that of the HRIG-</w:t>
      </w:r>
      <w:r w:rsidR="00444BA8">
        <w:t>c</w:t>
      </w:r>
      <w:r w:rsidR="00513E74">
        <w:t xml:space="preserve">omparator, when also given in conjunction with the rabies vaccine. </w:t>
      </w:r>
    </w:p>
    <w:p w14:paraId="1FBB5740" w14:textId="6F1B9F3F" w:rsidR="00513E74" w:rsidRDefault="00B471D6" w:rsidP="00513E74">
      <w:proofErr w:type="spellStart"/>
      <w:r>
        <w:t>KamRAB</w:t>
      </w:r>
      <w:proofErr w:type="spellEnd"/>
      <w:r w:rsidR="00513E74">
        <w:t xml:space="preserve"> was very well tolerated and had a compara</w:t>
      </w:r>
      <w:r w:rsidR="00444BA8">
        <w:t>ble safety profile to the HRIG c</w:t>
      </w:r>
      <w:r w:rsidR="00513E74">
        <w:t>omparator, which was also very well tolerated. There were no clinically meaningful differen</w:t>
      </w:r>
      <w:r w:rsidR="005C75FA">
        <w:t xml:space="preserve">ces between </w:t>
      </w:r>
      <w:proofErr w:type="spellStart"/>
      <w:r>
        <w:t>KamRAB</w:t>
      </w:r>
      <w:proofErr w:type="spellEnd"/>
      <w:r w:rsidR="005C75FA">
        <w:t xml:space="preserve"> and the HRIG-</w:t>
      </w:r>
      <w:r w:rsidR="00513E74">
        <w:t xml:space="preserve">Comparator </w:t>
      </w:r>
      <w:proofErr w:type="gramStart"/>
      <w:r w:rsidR="00513E74">
        <w:t>with regard to</w:t>
      </w:r>
      <w:proofErr w:type="gramEnd"/>
      <w:r w:rsidR="00513E74">
        <w:t xml:space="preserve"> </w:t>
      </w:r>
      <w:r w:rsidR="00444BA8">
        <w:t>treatment emergent adverse events</w:t>
      </w:r>
      <w:r w:rsidR="00513E74">
        <w:t>, laboratory values, vital signs, and ECGs</w:t>
      </w:r>
      <w:r w:rsidR="005C75FA">
        <w:t xml:space="preserve"> (electrocardiograms)</w:t>
      </w:r>
      <w:r w:rsidR="00513E74">
        <w:t>. There were no haemolysis or thrombotic events.</w:t>
      </w:r>
    </w:p>
    <w:p w14:paraId="710EE3ED" w14:textId="11B93418" w:rsidR="00513E74" w:rsidRDefault="00B471D6" w:rsidP="00513E74">
      <w:proofErr w:type="spellStart"/>
      <w:r>
        <w:t>KamRAB</w:t>
      </w:r>
      <w:proofErr w:type="spellEnd"/>
      <w:r w:rsidR="00513E74">
        <w:t xml:space="preserve"> was not infiltrated around an imaginary wound, as it would be in the treatment schedule in the clinical setting. Instead the entire dose was given </w:t>
      </w:r>
      <w:r w:rsidR="00444BA8">
        <w:t>intramuscularly</w:t>
      </w:r>
      <w:r w:rsidR="00513E74">
        <w:t xml:space="preserve"> either in one site, or across two sites if the volume was too large for a single </w:t>
      </w:r>
      <w:r w:rsidR="00444BA8">
        <w:t>intramuscularly injection.</w:t>
      </w:r>
    </w:p>
    <w:p w14:paraId="634AE558" w14:textId="0910281B" w:rsidR="00513E74" w:rsidRDefault="00513E74" w:rsidP="00513E74">
      <w:r>
        <w:t xml:space="preserve">The </w:t>
      </w:r>
      <w:r w:rsidR="00444BA8">
        <w:t>clinical evaluator</w:t>
      </w:r>
      <w:r>
        <w:t xml:space="preserve"> concludes the small studies presented in this </w:t>
      </w:r>
      <w:r w:rsidR="00444BA8">
        <w:t>submission</w:t>
      </w:r>
      <w:r>
        <w:t xml:space="preserve"> taken together with the huge body of efficacy and safety data amassed for </w:t>
      </w:r>
      <w:proofErr w:type="spellStart"/>
      <w:r w:rsidR="00B471D6">
        <w:t>KamRAB</w:t>
      </w:r>
      <w:proofErr w:type="spellEnd"/>
      <w:r>
        <w:t>-HRIG for post-exposure prophylaxis in the countries were licensed provide ov</w:t>
      </w:r>
      <w:r w:rsidR="00444BA8">
        <w:t>erwhelming evidence of benefit.</w:t>
      </w:r>
    </w:p>
    <w:p w14:paraId="4B4D50B0" w14:textId="4BDF4DCD" w:rsidR="00513E74" w:rsidRPr="00513E74" w:rsidRDefault="00513E74" w:rsidP="00513E74">
      <w:r>
        <w:t xml:space="preserve">The clinical studies were conducted in healthy volunteers and excluded populations such as children. The </w:t>
      </w:r>
      <w:r w:rsidR="00444BA8">
        <w:t>clinical evaluator</w:t>
      </w:r>
      <w:r>
        <w:t xml:space="preserve"> notes that patients of diverse age groups, races, ethnicities, and health status have all received </w:t>
      </w:r>
      <w:proofErr w:type="spellStart"/>
      <w:r w:rsidR="00B471D6">
        <w:t>KamRAB</w:t>
      </w:r>
      <w:proofErr w:type="spellEnd"/>
      <w:r>
        <w:t>-HRIG for post-exposure prophylaxis against rabies infection, with no safety signals identified amongst certain groups.</w:t>
      </w:r>
    </w:p>
    <w:p w14:paraId="701D431B" w14:textId="77777777" w:rsidR="008E7846" w:rsidRDefault="00386150" w:rsidP="007B6132">
      <w:pPr>
        <w:pStyle w:val="Heading3"/>
        <w:rPr>
          <w:lang w:eastAsia="en-AU"/>
        </w:rPr>
      </w:pPr>
      <w:bookmarkStart w:id="40" w:name="_Toc92715901"/>
      <w:r>
        <w:rPr>
          <w:lang w:eastAsia="en-AU"/>
        </w:rPr>
        <w:lastRenderedPageBreak/>
        <w:t>Risk m</w:t>
      </w:r>
      <w:r w:rsidR="008E7846">
        <w:rPr>
          <w:lang w:eastAsia="en-AU"/>
        </w:rPr>
        <w:t xml:space="preserve">anagement </w:t>
      </w:r>
      <w:r>
        <w:rPr>
          <w:lang w:eastAsia="en-AU"/>
        </w:rPr>
        <w:t>p</w:t>
      </w:r>
      <w:r w:rsidR="008E7846">
        <w:rPr>
          <w:lang w:eastAsia="en-AU"/>
        </w:rPr>
        <w:t>lan</w:t>
      </w:r>
      <w:bookmarkEnd w:id="39"/>
      <w:bookmarkEnd w:id="40"/>
    </w:p>
    <w:p w14:paraId="2DA4547A" w14:textId="77777777" w:rsidR="00B34D02" w:rsidRDefault="00444BA8" w:rsidP="007D53B6">
      <w:r>
        <w:t xml:space="preserve">With this submission the sponsor submitted the </w:t>
      </w:r>
      <w:r w:rsidR="00B34D02" w:rsidRPr="007442CF">
        <w:t xml:space="preserve">Canadian </w:t>
      </w:r>
      <w:r>
        <w:t>risk management plan (</w:t>
      </w:r>
      <w:r w:rsidR="00B34D02" w:rsidRPr="007442CF">
        <w:t>RMP</w:t>
      </w:r>
      <w:r>
        <w:t>)</w:t>
      </w:r>
      <w:r w:rsidR="00B34D02" w:rsidRPr="007442CF">
        <w:t xml:space="preserve"> Version 1.0 </w:t>
      </w:r>
      <w:r>
        <w:t>with a data lock point (</w:t>
      </w:r>
      <w:r w:rsidR="00B34D02" w:rsidRPr="007442CF">
        <w:t>DLP</w:t>
      </w:r>
      <w:r>
        <w:t xml:space="preserve">) October 2017; and an Australian-specific annex (ASA) </w:t>
      </w:r>
      <w:r w:rsidR="001302D9">
        <w:t xml:space="preserve">version 0.2 dated </w:t>
      </w:r>
      <w:r w:rsidR="00B34D02" w:rsidRPr="007442CF">
        <w:t>January 2021.</w:t>
      </w:r>
    </w:p>
    <w:p w14:paraId="144994EE" w14:textId="69AB5A5B" w:rsidR="007D53B6" w:rsidRDefault="007D53B6" w:rsidP="007D53B6">
      <w:r>
        <w:t xml:space="preserve">The summary of safety concerns and their associated risk monitoring and mitigation strategies are summarised in </w:t>
      </w:r>
      <w:r w:rsidR="005C75FA">
        <w:fldChar w:fldCharType="begin"/>
      </w:r>
      <w:r w:rsidR="005C75FA">
        <w:instrText xml:space="preserve"> REF _Ref85178607 \h </w:instrText>
      </w:r>
      <w:r w:rsidR="005C75FA">
        <w:fldChar w:fldCharType="separate"/>
      </w:r>
      <w:r w:rsidR="003A2870">
        <w:t xml:space="preserve">Table </w:t>
      </w:r>
      <w:r w:rsidR="003A2870">
        <w:rPr>
          <w:noProof/>
        </w:rPr>
        <w:t>5</w:t>
      </w:r>
      <w:r w:rsidR="003A2870">
        <w:t>: Summary of safety concerns</w:t>
      </w:r>
      <w:r w:rsidR="005C75FA">
        <w:fldChar w:fldCharType="end"/>
      </w:r>
      <w:r>
        <w:t>.</w:t>
      </w:r>
      <w:r>
        <w:rPr>
          <w:rStyle w:val="FootnoteReference"/>
        </w:rPr>
        <w:footnoteReference w:id="10"/>
      </w:r>
    </w:p>
    <w:p w14:paraId="65E3224F" w14:textId="39DEE9B4" w:rsidR="001302D9" w:rsidRDefault="001302D9" w:rsidP="001302D9">
      <w:pPr>
        <w:pStyle w:val="TableTitle"/>
      </w:pPr>
      <w:bookmarkStart w:id="41" w:name="_Ref85178607"/>
      <w:r>
        <w:t xml:space="preserve">Table </w:t>
      </w:r>
      <w:fldSimple w:instr=" SEQ Table \* ARABIC ">
        <w:r w:rsidR="003A2870">
          <w:rPr>
            <w:noProof/>
          </w:rPr>
          <w:t>5</w:t>
        </w:r>
      </w:fldSimple>
      <w:r>
        <w:t>: Summary of safety concerns</w:t>
      </w:r>
      <w:bookmarkEnd w:id="41"/>
    </w:p>
    <w:tbl>
      <w:tblPr>
        <w:tblStyle w:val="TableTGAblue"/>
        <w:tblW w:w="8540" w:type="dxa"/>
        <w:tblLayout w:type="fixed"/>
        <w:tblLook w:val="04A0" w:firstRow="1" w:lastRow="0" w:firstColumn="1" w:lastColumn="0" w:noHBand="0" w:noVBand="1"/>
      </w:tblPr>
      <w:tblGrid>
        <w:gridCol w:w="1555"/>
        <w:gridCol w:w="2800"/>
        <w:gridCol w:w="968"/>
        <w:gridCol w:w="1105"/>
        <w:gridCol w:w="968"/>
        <w:gridCol w:w="1144"/>
      </w:tblGrid>
      <w:tr w:rsidR="00513E74" w:rsidRPr="00BF52F4" w14:paraId="088EC87C" w14:textId="77777777" w:rsidTr="002A1F00">
        <w:trPr>
          <w:cnfStyle w:val="100000000000" w:firstRow="1" w:lastRow="0" w:firstColumn="0" w:lastColumn="0" w:oddVBand="0" w:evenVBand="0" w:oddHBand="0" w:evenHBand="0" w:firstRowFirstColumn="0" w:firstRowLastColumn="0" w:lastRowFirstColumn="0" w:lastRowLastColumn="0"/>
          <w:trHeight w:val="131"/>
        </w:trPr>
        <w:tc>
          <w:tcPr>
            <w:tcW w:w="4355" w:type="dxa"/>
            <w:gridSpan w:val="2"/>
            <w:vMerge w:val="restart"/>
            <w:tcBorders>
              <w:top w:val="single" w:sz="4" w:space="0" w:color="auto"/>
              <w:left w:val="single" w:sz="4" w:space="0" w:color="auto"/>
              <w:bottom w:val="single" w:sz="4" w:space="0" w:color="auto"/>
              <w:right w:val="single" w:sz="4" w:space="0" w:color="auto"/>
            </w:tcBorders>
          </w:tcPr>
          <w:p w14:paraId="55A82536" w14:textId="77777777" w:rsidR="00513E74" w:rsidRPr="002A1F00" w:rsidRDefault="00513E74" w:rsidP="00513E74">
            <w:pPr>
              <w:pStyle w:val="Tabletext"/>
              <w:ind w:left="0" w:right="0"/>
            </w:pPr>
            <w:r w:rsidRPr="002A1F00">
              <w:t>Summary of safety concerns</w:t>
            </w:r>
          </w:p>
        </w:tc>
        <w:tc>
          <w:tcPr>
            <w:tcW w:w="2073" w:type="dxa"/>
            <w:gridSpan w:val="2"/>
            <w:tcBorders>
              <w:top w:val="single" w:sz="4" w:space="0" w:color="auto"/>
              <w:left w:val="single" w:sz="4" w:space="0" w:color="auto"/>
              <w:bottom w:val="single" w:sz="4" w:space="0" w:color="auto"/>
              <w:right w:val="single" w:sz="4" w:space="0" w:color="auto"/>
            </w:tcBorders>
          </w:tcPr>
          <w:p w14:paraId="2EA873C4" w14:textId="77777777" w:rsidR="00513E74" w:rsidRPr="002A1F00" w:rsidRDefault="00513E74" w:rsidP="00513E74">
            <w:pPr>
              <w:pStyle w:val="Tabletext"/>
              <w:ind w:left="0" w:right="0"/>
              <w:rPr>
                <w:sz w:val="18"/>
              </w:rPr>
            </w:pPr>
            <w:r w:rsidRPr="002A1F00">
              <w:rPr>
                <w:sz w:val="18"/>
              </w:rPr>
              <w:t>Pharmacovigilance</w:t>
            </w:r>
          </w:p>
        </w:tc>
        <w:tc>
          <w:tcPr>
            <w:tcW w:w="2112" w:type="dxa"/>
            <w:gridSpan w:val="2"/>
            <w:tcBorders>
              <w:top w:val="single" w:sz="4" w:space="0" w:color="auto"/>
              <w:left w:val="single" w:sz="4" w:space="0" w:color="auto"/>
              <w:bottom w:val="single" w:sz="4" w:space="0" w:color="auto"/>
              <w:right w:val="single" w:sz="4" w:space="0" w:color="auto"/>
            </w:tcBorders>
          </w:tcPr>
          <w:p w14:paraId="0F6DF64E" w14:textId="77777777" w:rsidR="00513E74" w:rsidRPr="002A1F00" w:rsidRDefault="00513E74" w:rsidP="00513E74">
            <w:pPr>
              <w:pStyle w:val="Tabletext"/>
              <w:ind w:left="0" w:right="0"/>
              <w:rPr>
                <w:sz w:val="18"/>
              </w:rPr>
            </w:pPr>
            <w:r w:rsidRPr="002A1F00">
              <w:rPr>
                <w:sz w:val="18"/>
              </w:rPr>
              <w:t>Risk Minimisation</w:t>
            </w:r>
          </w:p>
        </w:tc>
      </w:tr>
      <w:tr w:rsidR="002A1F00" w:rsidRPr="00BF52F4" w14:paraId="28CA2D32" w14:textId="77777777" w:rsidTr="002A1F00">
        <w:trPr>
          <w:trHeight w:val="150"/>
        </w:trPr>
        <w:tc>
          <w:tcPr>
            <w:tcW w:w="4355" w:type="dxa"/>
            <w:gridSpan w:val="2"/>
            <w:vMerge/>
            <w:tcBorders>
              <w:top w:val="single" w:sz="4" w:space="0" w:color="auto"/>
              <w:left w:val="single" w:sz="4" w:space="0" w:color="auto"/>
              <w:bottom w:val="single" w:sz="4" w:space="0" w:color="auto"/>
              <w:right w:val="single" w:sz="4" w:space="0" w:color="auto"/>
            </w:tcBorders>
            <w:shd w:val="clear" w:color="auto" w:fill="006DA7"/>
          </w:tcPr>
          <w:p w14:paraId="68ADEEB9" w14:textId="77777777" w:rsidR="00513E74" w:rsidRPr="002A1F00" w:rsidRDefault="00513E74" w:rsidP="00513E74">
            <w:pPr>
              <w:pStyle w:val="Tabletext"/>
              <w:ind w:left="0" w:right="0"/>
              <w:rPr>
                <w:b/>
                <w:color w:val="FFFFFF" w:themeColor="background1"/>
              </w:rPr>
            </w:pPr>
          </w:p>
        </w:tc>
        <w:tc>
          <w:tcPr>
            <w:tcW w:w="968" w:type="dxa"/>
            <w:tcBorders>
              <w:top w:val="single" w:sz="4" w:space="0" w:color="auto"/>
              <w:left w:val="single" w:sz="4" w:space="0" w:color="auto"/>
              <w:bottom w:val="single" w:sz="4" w:space="0" w:color="auto"/>
              <w:right w:val="single" w:sz="4" w:space="0" w:color="auto"/>
            </w:tcBorders>
            <w:shd w:val="clear" w:color="auto" w:fill="006DA7"/>
          </w:tcPr>
          <w:p w14:paraId="73AC1974" w14:textId="77777777" w:rsidR="00513E74" w:rsidRPr="002A1F00" w:rsidRDefault="00513E74" w:rsidP="00513E74">
            <w:pPr>
              <w:pStyle w:val="Tabletext"/>
              <w:ind w:left="0" w:right="0"/>
              <w:rPr>
                <w:b/>
                <w:color w:val="FFFFFF" w:themeColor="background1"/>
                <w:sz w:val="18"/>
              </w:rPr>
            </w:pPr>
            <w:r w:rsidRPr="002A1F00">
              <w:rPr>
                <w:b/>
                <w:color w:val="FFFFFF" w:themeColor="background1"/>
                <w:sz w:val="18"/>
              </w:rPr>
              <w:t>Routine</w:t>
            </w:r>
          </w:p>
        </w:tc>
        <w:tc>
          <w:tcPr>
            <w:tcW w:w="1105" w:type="dxa"/>
            <w:tcBorders>
              <w:top w:val="single" w:sz="4" w:space="0" w:color="auto"/>
              <w:left w:val="single" w:sz="4" w:space="0" w:color="auto"/>
              <w:bottom w:val="single" w:sz="4" w:space="0" w:color="auto"/>
              <w:right w:val="single" w:sz="4" w:space="0" w:color="auto"/>
            </w:tcBorders>
            <w:shd w:val="clear" w:color="auto" w:fill="006DA7"/>
          </w:tcPr>
          <w:p w14:paraId="2C5966B6" w14:textId="77777777" w:rsidR="00513E74" w:rsidRPr="002A1F00" w:rsidRDefault="00513E74" w:rsidP="00513E74">
            <w:pPr>
              <w:pStyle w:val="Tabletext"/>
              <w:ind w:left="0" w:right="0"/>
              <w:rPr>
                <w:b/>
                <w:color w:val="FFFFFF" w:themeColor="background1"/>
                <w:sz w:val="18"/>
              </w:rPr>
            </w:pPr>
            <w:r w:rsidRPr="002A1F00">
              <w:rPr>
                <w:b/>
                <w:color w:val="FFFFFF" w:themeColor="background1"/>
                <w:sz w:val="18"/>
              </w:rPr>
              <w:t>Additional</w:t>
            </w:r>
          </w:p>
        </w:tc>
        <w:tc>
          <w:tcPr>
            <w:tcW w:w="968" w:type="dxa"/>
            <w:tcBorders>
              <w:top w:val="single" w:sz="4" w:space="0" w:color="auto"/>
              <w:left w:val="single" w:sz="4" w:space="0" w:color="auto"/>
              <w:bottom w:val="single" w:sz="4" w:space="0" w:color="auto"/>
              <w:right w:val="single" w:sz="4" w:space="0" w:color="auto"/>
            </w:tcBorders>
            <w:shd w:val="clear" w:color="auto" w:fill="006DA7"/>
          </w:tcPr>
          <w:p w14:paraId="7CC6196C" w14:textId="77777777" w:rsidR="00513E74" w:rsidRPr="002A1F00" w:rsidRDefault="00513E74" w:rsidP="00513E74">
            <w:pPr>
              <w:pStyle w:val="Tabletext"/>
              <w:ind w:left="0" w:right="0"/>
              <w:rPr>
                <w:b/>
                <w:color w:val="FFFFFF" w:themeColor="background1"/>
                <w:sz w:val="18"/>
              </w:rPr>
            </w:pPr>
            <w:r w:rsidRPr="002A1F00">
              <w:rPr>
                <w:b/>
                <w:color w:val="FFFFFF" w:themeColor="background1"/>
                <w:sz w:val="18"/>
              </w:rPr>
              <w:t>Routine</w:t>
            </w:r>
          </w:p>
        </w:tc>
        <w:tc>
          <w:tcPr>
            <w:tcW w:w="1144" w:type="dxa"/>
            <w:tcBorders>
              <w:top w:val="single" w:sz="4" w:space="0" w:color="auto"/>
              <w:left w:val="single" w:sz="4" w:space="0" w:color="auto"/>
              <w:bottom w:val="single" w:sz="4" w:space="0" w:color="auto"/>
              <w:right w:val="single" w:sz="4" w:space="0" w:color="auto"/>
            </w:tcBorders>
            <w:shd w:val="clear" w:color="auto" w:fill="006DA7"/>
          </w:tcPr>
          <w:p w14:paraId="56CA451C" w14:textId="77777777" w:rsidR="00513E74" w:rsidRPr="002A1F00" w:rsidRDefault="00513E74" w:rsidP="00513E74">
            <w:pPr>
              <w:pStyle w:val="Tabletext"/>
              <w:ind w:left="0" w:right="0"/>
              <w:rPr>
                <w:b/>
                <w:color w:val="FFFFFF" w:themeColor="background1"/>
                <w:sz w:val="18"/>
              </w:rPr>
            </w:pPr>
            <w:r w:rsidRPr="002A1F00">
              <w:rPr>
                <w:b/>
                <w:color w:val="FFFFFF" w:themeColor="background1"/>
                <w:sz w:val="18"/>
              </w:rPr>
              <w:t>Additional</w:t>
            </w:r>
          </w:p>
        </w:tc>
      </w:tr>
      <w:tr w:rsidR="00513E74" w:rsidRPr="00BF52F4" w14:paraId="69D33A69" w14:textId="77777777" w:rsidTr="002A1F00">
        <w:trPr>
          <w:trHeight w:val="137"/>
        </w:trPr>
        <w:tc>
          <w:tcPr>
            <w:tcW w:w="1555" w:type="dxa"/>
            <w:tcBorders>
              <w:top w:val="single" w:sz="4" w:space="0" w:color="auto"/>
            </w:tcBorders>
          </w:tcPr>
          <w:p w14:paraId="6F34B1D3" w14:textId="77777777" w:rsidR="00513E74" w:rsidRPr="00BF52F4" w:rsidRDefault="00513E74" w:rsidP="00513E74">
            <w:pPr>
              <w:pStyle w:val="Tabletext"/>
              <w:ind w:left="0" w:right="0"/>
              <w:rPr>
                <w:b/>
              </w:rPr>
            </w:pPr>
            <w:r w:rsidRPr="00BF52F4">
              <w:rPr>
                <w:b/>
              </w:rPr>
              <w:t>Important identified risks</w:t>
            </w:r>
          </w:p>
        </w:tc>
        <w:tc>
          <w:tcPr>
            <w:tcW w:w="2800" w:type="dxa"/>
            <w:tcBorders>
              <w:top w:val="single" w:sz="4" w:space="0" w:color="auto"/>
            </w:tcBorders>
          </w:tcPr>
          <w:p w14:paraId="5396E39D" w14:textId="77777777" w:rsidR="00513E74" w:rsidRPr="00BF52F4" w:rsidRDefault="00513E74" w:rsidP="00513E74">
            <w:pPr>
              <w:pStyle w:val="Tabletext"/>
              <w:ind w:left="0" w:right="0"/>
            </w:pPr>
            <w:r>
              <w:t>None</w:t>
            </w:r>
          </w:p>
        </w:tc>
        <w:tc>
          <w:tcPr>
            <w:tcW w:w="968" w:type="dxa"/>
            <w:tcBorders>
              <w:top w:val="single" w:sz="4" w:space="0" w:color="auto"/>
            </w:tcBorders>
          </w:tcPr>
          <w:p w14:paraId="5EA6D088" w14:textId="77777777" w:rsidR="00513E74" w:rsidRPr="0036321D" w:rsidRDefault="00513E74" w:rsidP="00513E74">
            <w:pPr>
              <w:pStyle w:val="Tabletext"/>
              <w:ind w:left="0" w:right="0"/>
              <w:jc w:val="center"/>
            </w:pPr>
            <w:r w:rsidRPr="0036321D">
              <w:t>–</w:t>
            </w:r>
          </w:p>
        </w:tc>
        <w:tc>
          <w:tcPr>
            <w:tcW w:w="1105" w:type="dxa"/>
            <w:tcBorders>
              <w:top w:val="single" w:sz="4" w:space="0" w:color="auto"/>
            </w:tcBorders>
          </w:tcPr>
          <w:p w14:paraId="409ACAB9" w14:textId="77777777" w:rsidR="00513E74" w:rsidRPr="0036321D" w:rsidRDefault="00513E74" w:rsidP="00513E74">
            <w:pPr>
              <w:pStyle w:val="Tabletext"/>
              <w:ind w:left="0" w:right="0"/>
              <w:jc w:val="center"/>
            </w:pPr>
            <w:r w:rsidRPr="0036321D">
              <w:t>–</w:t>
            </w:r>
          </w:p>
        </w:tc>
        <w:tc>
          <w:tcPr>
            <w:tcW w:w="968" w:type="dxa"/>
            <w:tcBorders>
              <w:top w:val="single" w:sz="4" w:space="0" w:color="auto"/>
            </w:tcBorders>
          </w:tcPr>
          <w:p w14:paraId="0D5FE278" w14:textId="77777777" w:rsidR="00513E74" w:rsidRPr="0036321D" w:rsidRDefault="00513E74" w:rsidP="00513E74">
            <w:pPr>
              <w:pStyle w:val="Tabletext"/>
              <w:ind w:left="0" w:right="0"/>
              <w:jc w:val="center"/>
            </w:pPr>
            <w:r w:rsidRPr="0036321D">
              <w:t>–</w:t>
            </w:r>
          </w:p>
        </w:tc>
        <w:tc>
          <w:tcPr>
            <w:tcW w:w="1144" w:type="dxa"/>
            <w:tcBorders>
              <w:top w:val="single" w:sz="4" w:space="0" w:color="auto"/>
            </w:tcBorders>
          </w:tcPr>
          <w:p w14:paraId="327FBF1B" w14:textId="77777777" w:rsidR="00513E74" w:rsidRPr="0036321D" w:rsidRDefault="00513E74" w:rsidP="00513E74">
            <w:pPr>
              <w:pStyle w:val="Tabletext"/>
              <w:ind w:left="0" w:right="0"/>
              <w:jc w:val="center"/>
            </w:pPr>
            <w:r w:rsidRPr="0036321D">
              <w:t>–</w:t>
            </w:r>
          </w:p>
        </w:tc>
      </w:tr>
      <w:tr w:rsidR="00513E74" w:rsidRPr="00BF52F4" w14:paraId="2D7F0212" w14:textId="77777777" w:rsidTr="002A1F00">
        <w:trPr>
          <w:trHeight w:val="159"/>
        </w:trPr>
        <w:tc>
          <w:tcPr>
            <w:tcW w:w="1555" w:type="dxa"/>
            <w:vMerge w:val="restart"/>
          </w:tcPr>
          <w:p w14:paraId="65D8B816" w14:textId="34D5B9E3" w:rsidR="0060187F" w:rsidRDefault="0060187F" w:rsidP="00513E74">
            <w:pPr>
              <w:pStyle w:val="Tabletext"/>
              <w:ind w:left="0" w:right="0"/>
              <w:rPr>
                <w:b/>
              </w:rPr>
            </w:pPr>
            <w:r>
              <w:rPr>
                <w:b/>
              </w:rPr>
              <w:t>Important potential risks</w:t>
            </w:r>
          </w:p>
          <w:p w14:paraId="6774B28C" w14:textId="79673144" w:rsidR="00513E74" w:rsidRPr="00BF52F4" w:rsidRDefault="00513E74" w:rsidP="00513E74">
            <w:pPr>
              <w:pStyle w:val="Tabletext"/>
              <w:ind w:left="0" w:right="0"/>
              <w:rPr>
                <w:b/>
              </w:rPr>
            </w:pPr>
          </w:p>
        </w:tc>
        <w:tc>
          <w:tcPr>
            <w:tcW w:w="2800" w:type="dxa"/>
          </w:tcPr>
          <w:p w14:paraId="02F28DFD" w14:textId="06D9E449" w:rsidR="00513E74" w:rsidRPr="0036321D" w:rsidRDefault="0060187F" w:rsidP="00513E74">
            <w:pPr>
              <w:pStyle w:val="Summaryofsafetyconcerns"/>
              <w:keepNext/>
              <w:keepLines/>
              <w:ind w:left="0" w:right="0"/>
              <w:rPr>
                <w:b w:val="0"/>
                <w:kern w:val="0"/>
              </w:rPr>
            </w:pPr>
            <w:r>
              <w:rPr>
                <w:b w:val="0"/>
                <w:kern w:val="0"/>
              </w:rPr>
              <w:t>Thromosis</w:t>
            </w:r>
            <w:r>
              <w:rPr>
                <w:b w:val="0"/>
                <w:kern w:val="0"/>
                <w:vertAlign w:val="superscript"/>
              </w:rPr>
              <w:t>1</w:t>
            </w:r>
            <w:r>
              <w:rPr>
                <w:b w:val="0"/>
                <w:kern w:val="0"/>
              </w:rPr>
              <w:t xml:space="preserve"> </w:t>
            </w:r>
          </w:p>
        </w:tc>
        <w:tc>
          <w:tcPr>
            <w:tcW w:w="968" w:type="dxa"/>
          </w:tcPr>
          <w:p w14:paraId="2E3DD051" w14:textId="70176B41" w:rsidR="00513E74" w:rsidRPr="00280FB9" w:rsidRDefault="0060187F" w:rsidP="00513E74">
            <w:pPr>
              <w:pStyle w:val="Tabletext"/>
              <w:ind w:left="0" w:right="0"/>
              <w:jc w:val="center"/>
            </w:pPr>
            <w:r w:rsidRPr="00280FB9">
              <w:sym w:font="Wingdings" w:char="F0FC"/>
            </w:r>
          </w:p>
        </w:tc>
        <w:tc>
          <w:tcPr>
            <w:tcW w:w="1105" w:type="dxa"/>
          </w:tcPr>
          <w:p w14:paraId="146D901E" w14:textId="4D7A994B" w:rsidR="00513E74" w:rsidRPr="00280FB9" w:rsidRDefault="0060187F" w:rsidP="00513E74">
            <w:pPr>
              <w:pStyle w:val="Tabletext"/>
              <w:ind w:left="0" w:right="0"/>
              <w:jc w:val="center"/>
            </w:pPr>
            <w:r w:rsidRPr="00280FB9">
              <w:t>–</w:t>
            </w:r>
          </w:p>
        </w:tc>
        <w:tc>
          <w:tcPr>
            <w:tcW w:w="968" w:type="dxa"/>
          </w:tcPr>
          <w:p w14:paraId="4A3E8D77" w14:textId="7357B5AC" w:rsidR="00513E74" w:rsidRPr="00280FB9" w:rsidRDefault="0060187F" w:rsidP="00513E74">
            <w:pPr>
              <w:pStyle w:val="Tabletext"/>
              <w:ind w:left="0" w:right="0"/>
              <w:jc w:val="center"/>
            </w:pPr>
            <w:r w:rsidRPr="00280FB9">
              <w:t>–</w:t>
            </w:r>
          </w:p>
        </w:tc>
        <w:tc>
          <w:tcPr>
            <w:tcW w:w="1144" w:type="dxa"/>
          </w:tcPr>
          <w:p w14:paraId="5CC5DB68" w14:textId="06E1891D" w:rsidR="00513E74" w:rsidRPr="00280FB9" w:rsidRDefault="0060187F" w:rsidP="00513E74">
            <w:pPr>
              <w:pStyle w:val="Tabletext"/>
              <w:ind w:left="0" w:right="0"/>
              <w:jc w:val="center"/>
            </w:pPr>
            <w:r w:rsidRPr="00280FB9">
              <w:t>–</w:t>
            </w:r>
          </w:p>
        </w:tc>
      </w:tr>
      <w:tr w:rsidR="00513E74" w:rsidRPr="00BF52F4" w14:paraId="0FE00B49" w14:textId="77777777" w:rsidTr="002A1F00">
        <w:trPr>
          <w:trHeight w:val="122"/>
        </w:trPr>
        <w:tc>
          <w:tcPr>
            <w:tcW w:w="1555" w:type="dxa"/>
            <w:vMerge/>
          </w:tcPr>
          <w:p w14:paraId="7C7F257B" w14:textId="77777777" w:rsidR="00513E74" w:rsidRPr="00BF52F4" w:rsidRDefault="00513E74" w:rsidP="00513E74">
            <w:pPr>
              <w:pStyle w:val="Tabletext"/>
              <w:ind w:left="0" w:right="0"/>
              <w:rPr>
                <w:b/>
              </w:rPr>
            </w:pPr>
          </w:p>
        </w:tc>
        <w:tc>
          <w:tcPr>
            <w:tcW w:w="2800" w:type="dxa"/>
          </w:tcPr>
          <w:p w14:paraId="34CDE1AF" w14:textId="1555DA4E" w:rsidR="00513E74" w:rsidRPr="0036321D" w:rsidRDefault="0060187F" w:rsidP="00513E74">
            <w:pPr>
              <w:pStyle w:val="Summaryofsafetyconcerns"/>
              <w:keepNext/>
              <w:keepLines/>
              <w:ind w:left="0" w:right="0"/>
              <w:rPr>
                <w:b w:val="0"/>
                <w:kern w:val="0"/>
              </w:rPr>
            </w:pPr>
            <w:r>
              <w:rPr>
                <w:b w:val="0"/>
                <w:kern w:val="0"/>
              </w:rPr>
              <w:t>Haemolysis</w:t>
            </w:r>
            <w:r>
              <w:rPr>
                <w:b w:val="0"/>
                <w:kern w:val="0"/>
                <w:vertAlign w:val="superscript"/>
              </w:rPr>
              <w:t>1</w:t>
            </w:r>
            <w:r>
              <w:rPr>
                <w:b w:val="0"/>
                <w:kern w:val="0"/>
              </w:rPr>
              <w:t xml:space="preserve"> </w:t>
            </w:r>
          </w:p>
        </w:tc>
        <w:tc>
          <w:tcPr>
            <w:tcW w:w="968" w:type="dxa"/>
          </w:tcPr>
          <w:p w14:paraId="5957D61B" w14:textId="19A4A1BA" w:rsidR="00513E74" w:rsidRPr="00280FB9" w:rsidRDefault="0060187F" w:rsidP="00513E74">
            <w:pPr>
              <w:pStyle w:val="Tabletext"/>
              <w:ind w:left="0" w:right="0"/>
              <w:jc w:val="center"/>
            </w:pPr>
            <w:r w:rsidRPr="00280FB9">
              <w:sym w:font="Wingdings" w:char="F0FC"/>
            </w:r>
          </w:p>
        </w:tc>
        <w:tc>
          <w:tcPr>
            <w:tcW w:w="1105" w:type="dxa"/>
          </w:tcPr>
          <w:p w14:paraId="19BDBA5B" w14:textId="5BDD29AC" w:rsidR="00513E74" w:rsidRPr="00280FB9" w:rsidRDefault="0060187F" w:rsidP="00513E74">
            <w:pPr>
              <w:pStyle w:val="Tabletext"/>
              <w:ind w:left="0" w:right="0"/>
              <w:jc w:val="center"/>
            </w:pPr>
            <w:r w:rsidRPr="00280FB9">
              <w:t>–</w:t>
            </w:r>
          </w:p>
        </w:tc>
        <w:tc>
          <w:tcPr>
            <w:tcW w:w="968" w:type="dxa"/>
          </w:tcPr>
          <w:p w14:paraId="1EA2E1CB" w14:textId="4E9481CD" w:rsidR="00513E74" w:rsidRPr="00280FB9" w:rsidRDefault="0060187F" w:rsidP="00513E74">
            <w:pPr>
              <w:pStyle w:val="Tabletext"/>
              <w:ind w:left="0" w:right="0"/>
              <w:jc w:val="center"/>
            </w:pPr>
            <w:r w:rsidRPr="00280FB9">
              <w:t>–</w:t>
            </w:r>
          </w:p>
        </w:tc>
        <w:tc>
          <w:tcPr>
            <w:tcW w:w="1144" w:type="dxa"/>
          </w:tcPr>
          <w:p w14:paraId="69BCED14" w14:textId="324478E7" w:rsidR="00513E74" w:rsidRPr="00280FB9" w:rsidRDefault="0060187F" w:rsidP="00513E74">
            <w:pPr>
              <w:pStyle w:val="Tabletext"/>
              <w:ind w:left="0" w:right="0"/>
              <w:jc w:val="center"/>
            </w:pPr>
            <w:r w:rsidRPr="00280FB9">
              <w:t>–</w:t>
            </w:r>
          </w:p>
        </w:tc>
      </w:tr>
      <w:tr w:rsidR="00513E74" w:rsidRPr="00BF52F4" w14:paraId="281854DC" w14:textId="77777777" w:rsidTr="002A1F00">
        <w:trPr>
          <w:trHeight w:val="122"/>
        </w:trPr>
        <w:tc>
          <w:tcPr>
            <w:tcW w:w="1555" w:type="dxa"/>
            <w:vMerge/>
          </w:tcPr>
          <w:p w14:paraId="211D9C07" w14:textId="77777777" w:rsidR="00513E74" w:rsidRPr="00BF52F4" w:rsidRDefault="00513E74" w:rsidP="00513E74">
            <w:pPr>
              <w:pStyle w:val="Tabletext"/>
              <w:ind w:left="0" w:right="0"/>
              <w:rPr>
                <w:b/>
              </w:rPr>
            </w:pPr>
          </w:p>
        </w:tc>
        <w:tc>
          <w:tcPr>
            <w:tcW w:w="2800" w:type="dxa"/>
          </w:tcPr>
          <w:p w14:paraId="07F78E57" w14:textId="77777777" w:rsidR="00513E74" w:rsidRPr="0036321D" w:rsidRDefault="00513E74" w:rsidP="00513E74">
            <w:pPr>
              <w:pStyle w:val="Summaryofsafetyconcerns"/>
              <w:keepNext/>
              <w:keepLines/>
              <w:ind w:left="0" w:right="0"/>
              <w:rPr>
                <w:b w:val="0"/>
                <w:kern w:val="0"/>
              </w:rPr>
            </w:pPr>
            <w:r w:rsidRPr="0036321D">
              <w:rPr>
                <w:b w:val="0"/>
                <w:kern w:val="0"/>
              </w:rPr>
              <w:t>Hypersensitivity reactions</w:t>
            </w:r>
          </w:p>
        </w:tc>
        <w:tc>
          <w:tcPr>
            <w:tcW w:w="968" w:type="dxa"/>
          </w:tcPr>
          <w:p w14:paraId="3F1C5242" w14:textId="77777777" w:rsidR="00513E74" w:rsidRPr="00280FB9" w:rsidRDefault="00513E74" w:rsidP="00513E74">
            <w:pPr>
              <w:pStyle w:val="Tabletext"/>
              <w:ind w:left="0" w:right="0"/>
              <w:jc w:val="center"/>
            </w:pPr>
            <w:r w:rsidRPr="00280FB9">
              <w:sym w:font="Wingdings" w:char="F0FC"/>
            </w:r>
          </w:p>
        </w:tc>
        <w:tc>
          <w:tcPr>
            <w:tcW w:w="1105" w:type="dxa"/>
          </w:tcPr>
          <w:p w14:paraId="3C8C7FB9" w14:textId="77777777" w:rsidR="00513E74" w:rsidRPr="00280FB9" w:rsidRDefault="00513E74" w:rsidP="00513E74">
            <w:pPr>
              <w:pStyle w:val="Tabletext"/>
              <w:ind w:left="0" w:right="0"/>
              <w:jc w:val="center"/>
            </w:pPr>
            <w:r w:rsidRPr="00280FB9">
              <w:t>–</w:t>
            </w:r>
          </w:p>
        </w:tc>
        <w:tc>
          <w:tcPr>
            <w:tcW w:w="968" w:type="dxa"/>
          </w:tcPr>
          <w:p w14:paraId="750CBC90" w14:textId="77777777" w:rsidR="00513E74" w:rsidRPr="00280FB9" w:rsidRDefault="00513E74" w:rsidP="00513E74">
            <w:pPr>
              <w:pStyle w:val="Tabletext"/>
              <w:ind w:left="0" w:right="0"/>
              <w:jc w:val="center"/>
            </w:pPr>
            <w:r w:rsidRPr="00280FB9">
              <w:sym w:font="Wingdings" w:char="F0FC"/>
            </w:r>
          </w:p>
        </w:tc>
        <w:tc>
          <w:tcPr>
            <w:tcW w:w="1144" w:type="dxa"/>
          </w:tcPr>
          <w:p w14:paraId="04AAD0C9" w14:textId="77777777" w:rsidR="00513E74" w:rsidRPr="00280FB9" w:rsidRDefault="00513E74" w:rsidP="00513E74">
            <w:pPr>
              <w:pStyle w:val="Tabletext"/>
              <w:ind w:left="0" w:right="0"/>
              <w:jc w:val="center"/>
            </w:pPr>
            <w:r w:rsidRPr="00280FB9">
              <w:t>–</w:t>
            </w:r>
          </w:p>
        </w:tc>
      </w:tr>
      <w:tr w:rsidR="00513E74" w:rsidRPr="00BF52F4" w14:paraId="51F9CC94" w14:textId="77777777" w:rsidTr="002A1F00">
        <w:trPr>
          <w:trHeight w:val="122"/>
        </w:trPr>
        <w:tc>
          <w:tcPr>
            <w:tcW w:w="1555" w:type="dxa"/>
            <w:vMerge/>
          </w:tcPr>
          <w:p w14:paraId="487C4B58" w14:textId="77777777" w:rsidR="00513E74" w:rsidRPr="00BF52F4" w:rsidRDefault="00513E74" w:rsidP="00513E74">
            <w:pPr>
              <w:pStyle w:val="Tabletext"/>
              <w:ind w:left="0" w:right="0"/>
              <w:rPr>
                <w:b/>
              </w:rPr>
            </w:pPr>
          </w:p>
        </w:tc>
        <w:tc>
          <w:tcPr>
            <w:tcW w:w="2800" w:type="dxa"/>
          </w:tcPr>
          <w:p w14:paraId="63635D7C" w14:textId="77777777" w:rsidR="00513E74" w:rsidRPr="0036321D" w:rsidRDefault="00513E74" w:rsidP="00513E74">
            <w:pPr>
              <w:pStyle w:val="Summaryofsafetyconcerns"/>
              <w:keepNext/>
              <w:keepLines/>
              <w:ind w:left="0" w:right="0"/>
              <w:rPr>
                <w:b w:val="0"/>
                <w:kern w:val="0"/>
              </w:rPr>
            </w:pPr>
            <w:r w:rsidRPr="0036321D">
              <w:rPr>
                <w:b w:val="0"/>
                <w:kern w:val="0"/>
              </w:rPr>
              <w:t>Interaction with concomitant vaccine administration</w:t>
            </w:r>
          </w:p>
        </w:tc>
        <w:tc>
          <w:tcPr>
            <w:tcW w:w="968" w:type="dxa"/>
          </w:tcPr>
          <w:p w14:paraId="76065B2D" w14:textId="77777777" w:rsidR="00513E74" w:rsidRPr="00280FB9" w:rsidRDefault="00513E74" w:rsidP="00513E74">
            <w:pPr>
              <w:pStyle w:val="Tabletext"/>
              <w:ind w:left="0" w:right="0"/>
              <w:jc w:val="center"/>
            </w:pPr>
            <w:r w:rsidRPr="00280FB9">
              <w:sym w:font="Wingdings" w:char="F0FC"/>
            </w:r>
          </w:p>
        </w:tc>
        <w:tc>
          <w:tcPr>
            <w:tcW w:w="1105" w:type="dxa"/>
          </w:tcPr>
          <w:p w14:paraId="6CE4B439" w14:textId="77777777" w:rsidR="00513E74" w:rsidRPr="00280FB9" w:rsidRDefault="00513E74" w:rsidP="00513E74">
            <w:pPr>
              <w:pStyle w:val="Tabletext"/>
              <w:ind w:left="0" w:right="0"/>
              <w:jc w:val="center"/>
            </w:pPr>
            <w:r w:rsidRPr="00280FB9">
              <w:t>–</w:t>
            </w:r>
          </w:p>
        </w:tc>
        <w:tc>
          <w:tcPr>
            <w:tcW w:w="968" w:type="dxa"/>
          </w:tcPr>
          <w:p w14:paraId="1CE2D7AF" w14:textId="77777777" w:rsidR="00513E74" w:rsidRPr="00280FB9" w:rsidRDefault="00513E74" w:rsidP="00513E74">
            <w:pPr>
              <w:pStyle w:val="Tabletext"/>
              <w:ind w:left="0" w:right="0"/>
              <w:jc w:val="center"/>
            </w:pPr>
            <w:r w:rsidRPr="00280FB9">
              <w:sym w:font="Wingdings" w:char="F0FC"/>
            </w:r>
          </w:p>
        </w:tc>
        <w:tc>
          <w:tcPr>
            <w:tcW w:w="1144" w:type="dxa"/>
          </w:tcPr>
          <w:p w14:paraId="45791A7B" w14:textId="77777777" w:rsidR="00513E74" w:rsidRPr="00280FB9" w:rsidRDefault="00513E74" w:rsidP="00513E74">
            <w:pPr>
              <w:pStyle w:val="Tabletext"/>
              <w:ind w:left="0" w:right="0"/>
              <w:jc w:val="center"/>
            </w:pPr>
            <w:r w:rsidRPr="00280FB9">
              <w:t>–</w:t>
            </w:r>
          </w:p>
        </w:tc>
      </w:tr>
      <w:tr w:rsidR="00513E74" w:rsidRPr="00BF52F4" w14:paraId="13FF4D9B" w14:textId="77777777" w:rsidTr="002A1F00">
        <w:trPr>
          <w:trHeight w:val="112"/>
        </w:trPr>
        <w:tc>
          <w:tcPr>
            <w:tcW w:w="1555" w:type="dxa"/>
            <w:vMerge/>
          </w:tcPr>
          <w:p w14:paraId="772A392E" w14:textId="77777777" w:rsidR="00513E74" w:rsidRPr="00BF52F4" w:rsidRDefault="00513E74" w:rsidP="00513E74">
            <w:pPr>
              <w:pStyle w:val="Tabletext"/>
              <w:ind w:left="0" w:right="0"/>
              <w:rPr>
                <w:b/>
              </w:rPr>
            </w:pPr>
          </w:p>
        </w:tc>
        <w:tc>
          <w:tcPr>
            <w:tcW w:w="2800" w:type="dxa"/>
          </w:tcPr>
          <w:p w14:paraId="29E09DBC" w14:textId="77777777" w:rsidR="00513E74" w:rsidRPr="0036321D" w:rsidRDefault="00513E74" w:rsidP="00513E74">
            <w:pPr>
              <w:pStyle w:val="Summaryofsafetyconcerns"/>
              <w:keepNext/>
              <w:keepLines/>
              <w:ind w:left="0" w:right="0"/>
              <w:rPr>
                <w:b w:val="0"/>
                <w:kern w:val="0"/>
              </w:rPr>
            </w:pPr>
            <w:r w:rsidRPr="0036321D">
              <w:rPr>
                <w:b w:val="0"/>
                <w:kern w:val="0"/>
              </w:rPr>
              <w:t>Transmission of infectious agents</w:t>
            </w:r>
          </w:p>
        </w:tc>
        <w:tc>
          <w:tcPr>
            <w:tcW w:w="968" w:type="dxa"/>
          </w:tcPr>
          <w:p w14:paraId="2910113C" w14:textId="77777777" w:rsidR="00513E74" w:rsidRPr="00280FB9" w:rsidRDefault="00513E74" w:rsidP="00513E74">
            <w:pPr>
              <w:pStyle w:val="Tabletext"/>
              <w:ind w:left="0" w:right="0"/>
              <w:jc w:val="center"/>
            </w:pPr>
            <w:r w:rsidRPr="00280FB9">
              <w:sym w:font="Wingdings" w:char="F0FC"/>
            </w:r>
          </w:p>
        </w:tc>
        <w:tc>
          <w:tcPr>
            <w:tcW w:w="1105" w:type="dxa"/>
          </w:tcPr>
          <w:p w14:paraId="6871FFC3" w14:textId="77777777" w:rsidR="00513E74" w:rsidRPr="00280FB9" w:rsidRDefault="00513E74" w:rsidP="00513E74">
            <w:pPr>
              <w:pStyle w:val="Tabletext"/>
              <w:ind w:left="0" w:right="0"/>
              <w:jc w:val="center"/>
            </w:pPr>
            <w:r w:rsidRPr="00280FB9">
              <w:t>–</w:t>
            </w:r>
          </w:p>
        </w:tc>
        <w:tc>
          <w:tcPr>
            <w:tcW w:w="968" w:type="dxa"/>
          </w:tcPr>
          <w:p w14:paraId="786DDB4A" w14:textId="77777777" w:rsidR="00513E74" w:rsidRPr="00280FB9" w:rsidRDefault="00513E74" w:rsidP="00513E74">
            <w:pPr>
              <w:pStyle w:val="Tabletext"/>
              <w:ind w:left="0" w:right="0"/>
              <w:jc w:val="center"/>
            </w:pPr>
            <w:r w:rsidRPr="00280FB9">
              <w:sym w:font="Wingdings" w:char="F0FC"/>
            </w:r>
          </w:p>
        </w:tc>
        <w:tc>
          <w:tcPr>
            <w:tcW w:w="1144" w:type="dxa"/>
          </w:tcPr>
          <w:p w14:paraId="2982A4F6" w14:textId="77777777" w:rsidR="00513E74" w:rsidRPr="00280FB9" w:rsidRDefault="00513E74" w:rsidP="00513E74">
            <w:pPr>
              <w:pStyle w:val="Tabletext"/>
              <w:ind w:left="0" w:right="0"/>
              <w:jc w:val="center"/>
            </w:pPr>
            <w:r w:rsidRPr="00280FB9">
              <w:t>–</w:t>
            </w:r>
          </w:p>
        </w:tc>
      </w:tr>
      <w:tr w:rsidR="00513E74" w:rsidRPr="00BF52F4" w14:paraId="3F92111C" w14:textId="77777777" w:rsidTr="002A1F00">
        <w:trPr>
          <w:trHeight w:val="178"/>
        </w:trPr>
        <w:tc>
          <w:tcPr>
            <w:tcW w:w="1555" w:type="dxa"/>
            <w:vMerge w:val="restart"/>
          </w:tcPr>
          <w:p w14:paraId="4450FDCA" w14:textId="77777777" w:rsidR="00513E74" w:rsidRPr="00BF52F4" w:rsidRDefault="00513E74" w:rsidP="00513E74">
            <w:pPr>
              <w:pStyle w:val="Tabletext"/>
              <w:ind w:left="0" w:right="0"/>
              <w:rPr>
                <w:b/>
              </w:rPr>
            </w:pPr>
            <w:r w:rsidRPr="00BF52F4">
              <w:rPr>
                <w:b/>
              </w:rPr>
              <w:t>Missing information</w:t>
            </w:r>
          </w:p>
        </w:tc>
        <w:tc>
          <w:tcPr>
            <w:tcW w:w="2800" w:type="dxa"/>
          </w:tcPr>
          <w:p w14:paraId="7224F6FC" w14:textId="77777777" w:rsidR="00513E74" w:rsidRPr="0036321D" w:rsidRDefault="00513E74" w:rsidP="00513E74">
            <w:pPr>
              <w:pStyle w:val="Summaryofsafetyconcerns"/>
              <w:keepNext/>
              <w:keepLines/>
              <w:ind w:left="0" w:right="0"/>
              <w:rPr>
                <w:b w:val="0"/>
                <w:kern w:val="0"/>
              </w:rPr>
            </w:pPr>
            <w:r w:rsidRPr="0036321D">
              <w:rPr>
                <w:b w:val="0"/>
                <w:kern w:val="0"/>
              </w:rPr>
              <w:t>Exposure during pregnancy</w:t>
            </w:r>
          </w:p>
        </w:tc>
        <w:tc>
          <w:tcPr>
            <w:tcW w:w="968" w:type="dxa"/>
          </w:tcPr>
          <w:p w14:paraId="0F242221" w14:textId="77777777" w:rsidR="00513E74" w:rsidRPr="00280FB9" w:rsidRDefault="00513E74" w:rsidP="00513E74">
            <w:pPr>
              <w:pStyle w:val="Tabletext"/>
              <w:ind w:left="0" w:right="0"/>
              <w:jc w:val="center"/>
            </w:pPr>
            <w:r w:rsidRPr="00280FB9">
              <w:sym w:font="Wingdings" w:char="F0FC"/>
            </w:r>
          </w:p>
        </w:tc>
        <w:tc>
          <w:tcPr>
            <w:tcW w:w="1105" w:type="dxa"/>
          </w:tcPr>
          <w:p w14:paraId="783DF3C6" w14:textId="77777777" w:rsidR="00513E74" w:rsidRPr="00280FB9" w:rsidRDefault="00513E74" w:rsidP="00513E74">
            <w:pPr>
              <w:pStyle w:val="Tabletext"/>
              <w:ind w:left="0" w:right="0"/>
              <w:jc w:val="center"/>
            </w:pPr>
            <w:r w:rsidRPr="00280FB9">
              <w:t>–</w:t>
            </w:r>
          </w:p>
        </w:tc>
        <w:tc>
          <w:tcPr>
            <w:tcW w:w="968" w:type="dxa"/>
          </w:tcPr>
          <w:p w14:paraId="7BBDDE13" w14:textId="77777777" w:rsidR="00513E74" w:rsidRPr="00280FB9" w:rsidRDefault="00513E74" w:rsidP="00513E74">
            <w:pPr>
              <w:pStyle w:val="Tabletext"/>
              <w:ind w:left="0" w:right="0"/>
              <w:jc w:val="center"/>
            </w:pPr>
            <w:r w:rsidRPr="00280FB9">
              <w:sym w:font="Wingdings" w:char="F0FC"/>
            </w:r>
          </w:p>
        </w:tc>
        <w:tc>
          <w:tcPr>
            <w:tcW w:w="1144" w:type="dxa"/>
          </w:tcPr>
          <w:p w14:paraId="3DFD7584" w14:textId="77777777" w:rsidR="00513E74" w:rsidRPr="00280FB9" w:rsidRDefault="00513E74" w:rsidP="00513E74">
            <w:pPr>
              <w:pStyle w:val="Tabletext"/>
              <w:ind w:left="0" w:right="0"/>
              <w:jc w:val="center"/>
            </w:pPr>
            <w:r w:rsidRPr="00280FB9">
              <w:t>–</w:t>
            </w:r>
          </w:p>
        </w:tc>
      </w:tr>
      <w:tr w:rsidR="00513E74" w:rsidRPr="00BF52F4" w14:paraId="5FBC0305" w14:textId="77777777" w:rsidTr="002A1F00">
        <w:trPr>
          <w:trHeight w:val="103"/>
        </w:trPr>
        <w:tc>
          <w:tcPr>
            <w:tcW w:w="1555" w:type="dxa"/>
            <w:vMerge/>
          </w:tcPr>
          <w:p w14:paraId="61A735F0" w14:textId="77777777" w:rsidR="00513E74" w:rsidRPr="00BF52F4" w:rsidRDefault="00513E74" w:rsidP="00513E74">
            <w:pPr>
              <w:pStyle w:val="Tabletext"/>
              <w:ind w:left="0" w:right="0"/>
            </w:pPr>
          </w:p>
        </w:tc>
        <w:tc>
          <w:tcPr>
            <w:tcW w:w="2800" w:type="dxa"/>
          </w:tcPr>
          <w:p w14:paraId="66CD1F10" w14:textId="77777777" w:rsidR="00513E74" w:rsidRPr="0036321D" w:rsidRDefault="00513E74" w:rsidP="00513E74">
            <w:pPr>
              <w:pStyle w:val="Summaryofsafetyconcerns"/>
              <w:keepNext/>
              <w:keepLines/>
              <w:ind w:left="0" w:right="0"/>
              <w:rPr>
                <w:b w:val="0"/>
                <w:kern w:val="0"/>
              </w:rPr>
            </w:pPr>
            <w:r w:rsidRPr="0036321D">
              <w:rPr>
                <w:b w:val="0"/>
                <w:kern w:val="0"/>
              </w:rPr>
              <w:t>Exposure during breast-feeding</w:t>
            </w:r>
          </w:p>
        </w:tc>
        <w:tc>
          <w:tcPr>
            <w:tcW w:w="968" w:type="dxa"/>
          </w:tcPr>
          <w:p w14:paraId="662D91B6" w14:textId="77777777" w:rsidR="00513E74" w:rsidRPr="00280FB9" w:rsidRDefault="00513E74" w:rsidP="00513E74">
            <w:pPr>
              <w:pStyle w:val="Tabletext"/>
              <w:ind w:left="0" w:right="0"/>
              <w:jc w:val="center"/>
            </w:pPr>
            <w:r w:rsidRPr="00280FB9">
              <w:sym w:font="Wingdings" w:char="F0FC"/>
            </w:r>
          </w:p>
        </w:tc>
        <w:tc>
          <w:tcPr>
            <w:tcW w:w="1105" w:type="dxa"/>
          </w:tcPr>
          <w:p w14:paraId="7D3BD858" w14:textId="77777777" w:rsidR="00513E74" w:rsidRPr="00280FB9" w:rsidRDefault="00513E74" w:rsidP="00513E74">
            <w:pPr>
              <w:pStyle w:val="Tabletext"/>
              <w:ind w:left="0" w:right="0"/>
              <w:jc w:val="center"/>
            </w:pPr>
            <w:r w:rsidRPr="00280FB9">
              <w:t>–</w:t>
            </w:r>
          </w:p>
        </w:tc>
        <w:tc>
          <w:tcPr>
            <w:tcW w:w="968" w:type="dxa"/>
          </w:tcPr>
          <w:p w14:paraId="7BE79104" w14:textId="77777777" w:rsidR="00513E74" w:rsidRPr="00280FB9" w:rsidRDefault="00513E74" w:rsidP="00513E74">
            <w:pPr>
              <w:pStyle w:val="Tabletext"/>
              <w:ind w:left="0" w:right="0"/>
              <w:jc w:val="center"/>
            </w:pPr>
            <w:r w:rsidRPr="00280FB9">
              <w:sym w:font="Wingdings" w:char="F0FC"/>
            </w:r>
          </w:p>
        </w:tc>
        <w:tc>
          <w:tcPr>
            <w:tcW w:w="1144" w:type="dxa"/>
          </w:tcPr>
          <w:p w14:paraId="7DB339C4" w14:textId="77777777" w:rsidR="00513E74" w:rsidRPr="00280FB9" w:rsidRDefault="00513E74" w:rsidP="00513E74">
            <w:pPr>
              <w:pStyle w:val="Tabletext"/>
              <w:ind w:left="0" w:right="0"/>
              <w:jc w:val="center"/>
            </w:pPr>
            <w:r w:rsidRPr="00280FB9">
              <w:t>–</w:t>
            </w:r>
          </w:p>
        </w:tc>
      </w:tr>
      <w:tr w:rsidR="00513E74" w:rsidRPr="00BF52F4" w14:paraId="0F8CDBCE" w14:textId="77777777" w:rsidTr="002A1F00">
        <w:trPr>
          <w:trHeight w:val="103"/>
        </w:trPr>
        <w:tc>
          <w:tcPr>
            <w:tcW w:w="1555" w:type="dxa"/>
            <w:vMerge/>
          </w:tcPr>
          <w:p w14:paraId="4ACCC988" w14:textId="77777777" w:rsidR="00513E74" w:rsidRPr="00BF52F4" w:rsidRDefault="00513E74" w:rsidP="00513E74">
            <w:pPr>
              <w:pStyle w:val="Tabletext"/>
              <w:ind w:left="0" w:right="0"/>
            </w:pPr>
          </w:p>
        </w:tc>
        <w:tc>
          <w:tcPr>
            <w:tcW w:w="2800" w:type="dxa"/>
          </w:tcPr>
          <w:p w14:paraId="2D5C43C5" w14:textId="0603DF05" w:rsidR="00513E74" w:rsidRPr="0036321D" w:rsidRDefault="00A911D0" w:rsidP="00513E74">
            <w:pPr>
              <w:pStyle w:val="Summaryofsafetyconcerns"/>
              <w:keepNext/>
              <w:keepLines/>
              <w:ind w:left="0" w:right="0"/>
              <w:rPr>
                <w:b w:val="0"/>
                <w:kern w:val="0"/>
              </w:rPr>
            </w:pPr>
            <w:r>
              <w:rPr>
                <w:b w:val="0"/>
                <w:kern w:val="0"/>
              </w:rPr>
              <w:t>Paediatric exposure</w:t>
            </w:r>
          </w:p>
        </w:tc>
        <w:tc>
          <w:tcPr>
            <w:tcW w:w="968" w:type="dxa"/>
          </w:tcPr>
          <w:p w14:paraId="47A09C7B" w14:textId="13A2F4B2" w:rsidR="00513E74" w:rsidRPr="00280FB9" w:rsidRDefault="00A911D0" w:rsidP="00513E74">
            <w:pPr>
              <w:pStyle w:val="Tabletext"/>
              <w:ind w:left="0" w:right="0"/>
              <w:jc w:val="center"/>
            </w:pPr>
            <w:r w:rsidRPr="00280FB9">
              <w:sym w:font="Wingdings" w:char="F0FC"/>
            </w:r>
          </w:p>
        </w:tc>
        <w:tc>
          <w:tcPr>
            <w:tcW w:w="1105" w:type="dxa"/>
          </w:tcPr>
          <w:p w14:paraId="779FF232" w14:textId="15680E3F" w:rsidR="00513E74" w:rsidRPr="00280FB9" w:rsidRDefault="00A911D0" w:rsidP="00513E74">
            <w:pPr>
              <w:pStyle w:val="Tabletext"/>
              <w:ind w:left="0" w:right="0"/>
              <w:jc w:val="center"/>
            </w:pPr>
            <w:r w:rsidRPr="00280FB9">
              <w:sym w:font="Wingdings" w:char="F0FC"/>
            </w:r>
          </w:p>
        </w:tc>
        <w:tc>
          <w:tcPr>
            <w:tcW w:w="968" w:type="dxa"/>
          </w:tcPr>
          <w:p w14:paraId="4E1B6E5C" w14:textId="53F7362A" w:rsidR="00513E74" w:rsidRPr="00280FB9" w:rsidRDefault="00A911D0" w:rsidP="00513E74">
            <w:pPr>
              <w:pStyle w:val="Tabletext"/>
              <w:ind w:left="0" w:right="0"/>
              <w:jc w:val="center"/>
            </w:pPr>
            <w:r w:rsidRPr="00280FB9">
              <w:sym w:font="Wingdings" w:char="F0FC"/>
            </w:r>
          </w:p>
        </w:tc>
        <w:tc>
          <w:tcPr>
            <w:tcW w:w="1144" w:type="dxa"/>
          </w:tcPr>
          <w:p w14:paraId="0D65A58D" w14:textId="4DE5DAB3" w:rsidR="00513E74" w:rsidRPr="00280FB9" w:rsidRDefault="00A911D0" w:rsidP="00513E74">
            <w:pPr>
              <w:pStyle w:val="Tabletext"/>
              <w:ind w:left="0" w:right="0"/>
              <w:jc w:val="center"/>
            </w:pPr>
            <w:r w:rsidRPr="00280FB9">
              <w:t>–</w:t>
            </w:r>
          </w:p>
        </w:tc>
      </w:tr>
      <w:tr w:rsidR="00513E74" w:rsidRPr="00BF52F4" w14:paraId="1511C647" w14:textId="77777777" w:rsidTr="002A1F00">
        <w:trPr>
          <w:trHeight w:val="103"/>
        </w:trPr>
        <w:tc>
          <w:tcPr>
            <w:tcW w:w="1555" w:type="dxa"/>
            <w:vMerge/>
          </w:tcPr>
          <w:p w14:paraId="29D92F8D" w14:textId="77777777" w:rsidR="00513E74" w:rsidRPr="00BF52F4" w:rsidRDefault="00513E74" w:rsidP="00513E74">
            <w:pPr>
              <w:pStyle w:val="Tabletext"/>
              <w:ind w:left="0" w:right="0"/>
            </w:pPr>
          </w:p>
        </w:tc>
        <w:tc>
          <w:tcPr>
            <w:tcW w:w="2800" w:type="dxa"/>
          </w:tcPr>
          <w:p w14:paraId="0C01F32A" w14:textId="77777777" w:rsidR="00513E74" w:rsidRPr="0036321D" w:rsidRDefault="00513E74" w:rsidP="00513E74">
            <w:pPr>
              <w:pStyle w:val="Summaryofsafetyconcerns"/>
              <w:keepNext/>
              <w:keepLines/>
              <w:ind w:left="0" w:right="0"/>
              <w:rPr>
                <w:b w:val="0"/>
                <w:kern w:val="0"/>
              </w:rPr>
            </w:pPr>
            <w:r w:rsidRPr="0036321D">
              <w:rPr>
                <w:b w:val="0"/>
                <w:kern w:val="0"/>
              </w:rPr>
              <w:t>Geriatric exposure</w:t>
            </w:r>
          </w:p>
        </w:tc>
        <w:tc>
          <w:tcPr>
            <w:tcW w:w="968" w:type="dxa"/>
          </w:tcPr>
          <w:p w14:paraId="41DA5BEA" w14:textId="77777777" w:rsidR="00513E74" w:rsidRPr="00280FB9" w:rsidRDefault="00513E74" w:rsidP="00513E74">
            <w:pPr>
              <w:pStyle w:val="Tabletext"/>
              <w:ind w:left="0" w:right="0"/>
              <w:jc w:val="center"/>
            </w:pPr>
            <w:r w:rsidRPr="00280FB9">
              <w:sym w:font="Wingdings" w:char="F0FC"/>
            </w:r>
          </w:p>
        </w:tc>
        <w:tc>
          <w:tcPr>
            <w:tcW w:w="1105" w:type="dxa"/>
          </w:tcPr>
          <w:p w14:paraId="7104E8B0" w14:textId="77777777" w:rsidR="00513E74" w:rsidRPr="00280FB9" w:rsidRDefault="00513E74" w:rsidP="00513E74">
            <w:pPr>
              <w:pStyle w:val="Tabletext"/>
              <w:ind w:left="0" w:right="0"/>
              <w:jc w:val="center"/>
            </w:pPr>
            <w:r w:rsidRPr="00280FB9">
              <w:t>–</w:t>
            </w:r>
          </w:p>
        </w:tc>
        <w:tc>
          <w:tcPr>
            <w:tcW w:w="968" w:type="dxa"/>
          </w:tcPr>
          <w:p w14:paraId="645F891E" w14:textId="77777777" w:rsidR="00513E74" w:rsidRPr="00280FB9" w:rsidRDefault="00513E74" w:rsidP="00513E74">
            <w:pPr>
              <w:pStyle w:val="Tabletext"/>
              <w:ind w:left="0" w:right="0"/>
              <w:jc w:val="center"/>
            </w:pPr>
            <w:r w:rsidRPr="00280FB9">
              <w:sym w:font="Wingdings" w:char="F0FC"/>
            </w:r>
          </w:p>
        </w:tc>
        <w:tc>
          <w:tcPr>
            <w:tcW w:w="1144" w:type="dxa"/>
          </w:tcPr>
          <w:p w14:paraId="401C345E" w14:textId="77777777" w:rsidR="00513E74" w:rsidRPr="00280FB9" w:rsidRDefault="00513E74" w:rsidP="00513E74">
            <w:pPr>
              <w:pStyle w:val="Tabletext"/>
              <w:ind w:left="0" w:right="0"/>
              <w:jc w:val="center"/>
            </w:pPr>
            <w:r w:rsidRPr="00280FB9">
              <w:t>–</w:t>
            </w:r>
          </w:p>
        </w:tc>
      </w:tr>
      <w:tr w:rsidR="00513E74" w:rsidRPr="00BF52F4" w14:paraId="701FE71A" w14:textId="77777777" w:rsidTr="002A1F00">
        <w:trPr>
          <w:trHeight w:val="140"/>
        </w:trPr>
        <w:tc>
          <w:tcPr>
            <w:tcW w:w="1555" w:type="dxa"/>
            <w:vMerge/>
          </w:tcPr>
          <w:p w14:paraId="65F05A3F" w14:textId="77777777" w:rsidR="00513E74" w:rsidRPr="00BF52F4" w:rsidRDefault="00513E74" w:rsidP="00513E74">
            <w:pPr>
              <w:pStyle w:val="Tabletext"/>
              <w:ind w:left="0" w:right="0"/>
            </w:pPr>
          </w:p>
        </w:tc>
        <w:tc>
          <w:tcPr>
            <w:tcW w:w="2800" w:type="dxa"/>
          </w:tcPr>
          <w:p w14:paraId="50C31587" w14:textId="77777777" w:rsidR="00513E74" w:rsidRPr="0036321D" w:rsidRDefault="00513E74" w:rsidP="00513E74">
            <w:pPr>
              <w:pStyle w:val="Summaryofsafetyconcerns"/>
              <w:keepNext/>
              <w:keepLines/>
              <w:ind w:left="0" w:right="0"/>
              <w:rPr>
                <w:b w:val="0"/>
                <w:kern w:val="0"/>
              </w:rPr>
            </w:pPr>
            <w:r w:rsidRPr="0036321D">
              <w:rPr>
                <w:b w:val="0"/>
                <w:kern w:val="0"/>
              </w:rPr>
              <w:t>Use in patients with important concomitant medical conditions</w:t>
            </w:r>
          </w:p>
        </w:tc>
        <w:tc>
          <w:tcPr>
            <w:tcW w:w="968" w:type="dxa"/>
          </w:tcPr>
          <w:p w14:paraId="671DB26F" w14:textId="77777777" w:rsidR="00513E74" w:rsidRPr="00280FB9" w:rsidRDefault="00513E74" w:rsidP="00513E74">
            <w:pPr>
              <w:pStyle w:val="Tabletext"/>
              <w:ind w:left="0" w:right="0"/>
              <w:jc w:val="center"/>
            </w:pPr>
            <w:r w:rsidRPr="00280FB9">
              <w:sym w:font="Wingdings" w:char="F0FC"/>
            </w:r>
          </w:p>
        </w:tc>
        <w:tc>
          <w:tcPr>
            <w:tcW w:w="1105" w:type="dxa"/>
          </w:tcPr>
          <w:p w14:paraId="795336B8" w14:textId="77777777" w:rsidR="00513E74" w:rsidRPr="00280FB9" w:rsidRDefault="00513E74" w:rsidP="00513E74">
            <w:pPr>
              <w:pStyle w:val="Tabletext"/>
              <w:ind w:left="0" w:right="0"/>
              <w:jc w:val="center"/>
            </w:pPr>
            <w:r w:rsidRPr="00280FB9">
              <w:t>–</w:t>
            </w:r>
          </w:p>
        </w:tc>
        <w:tc>
          <w:tcPr>
            <w:tcW w:w="968" w:type="dxa"/>
          </w:tcPr>
          <w:p w14:paraId="08672E5A" w14:textId="77777777" w:rsidR="00513E74" w:rsidRPr="00280FB9" w:rsidRDefault="00513E74" w:rsidP="00513E74">
            <w:pPr>
              <w:pStyle w:val="Tabletext"/>
              <w:ind w:left="0" w:right="0"/>
              <w:jc w:val="center"/>
            </w:pPr>
            <w:r w:rsidRPr="00280FB9">
              <w:sym w:font="Wingdings" w:char="F0FC"/>
            </w:r>
          </w:p>
        </w:tc>
        <w:tc>
          <w:tcPr>
            <w:tcW w:w="1144" w:type="dxa"/>
          </w:tcPr>
          <w:p w14:paraId="7969EFC2" w14:textId="77777777" w:rsidR="00513E74" w:rsidRPr="00280FB9" w:rsidRDefault="00513E74" w:rsidP="00513E74">
            <w:pPr>
              <w:pStyle w:val="Tabletext"/>
              <w:ind w:left="0" w:right="0"/>
              <w:jc w:val="center"/>
            </w:pPr>
            <w:r w:rsidRPr="00280FB9">
              <w:t>–</w:t>
            </w:r>
          </w:p>
        </w:tc>
      </w:tr>
    </w:tbl>
    <w:p w14:paraId="70DABD0B" w14:textId="055DCFF1" w:rsidR="0060187F" w:rsidRDefault="00A911D0" w:rsidP="00227762">
      <w:pPr>
        <w:pStyle w:val="TableDescription"/>
      </w:pPr>
      <w:r>
        <w:t>1) Thrombosis and Haemolysis are to be removed from the</w:t>
      </w:r>
      <w:r w:rsidRPr="00A911D0">
        <w:t xml:space="preserve"> Canadian RMP and Product Monograph and in the Global RMP and ASA to be submitted in November 2021; and that the potential risks for thrombosis and haemolysis are to be removed</w:t>
      </w:r>
      <w:r>
        <w:t xml:space="preserve"> </w:t>
      </w:r>
      <w:r w:rsidRPr="00A911D0">
        <w:t>in the post approval condition to update the RMP to the Global version within 3 months of approval</w:t>
      </w:r>
      <w:r>
        <w:t>.</w:t>
      </w:r>
    </w:p>
    <w:p w14:paraId="799C053F" w14:textId="1ED00F2A" w:rsidR="00A911D0" w:rsidRDefault="00A911D0" w:rsidP="00227762">
      <w:pPr>
        <w:pStyle w:val="TableDescription"/>
      </w:pPr>
      <w:r>
        <w:t xml:space="preserve">2) Missing Information (Paediatric data) </w:t>
      </w:r>
      <w:r w:rsidRPr="00A911D0">
        <w:t xml:space="preserve">will be deleted in the post-approval condition to update </w:t>
      </w:r>
      <w:r>
        <w:t xml:space="preserve">the </w:t>
      </w:r>
      <w:r w:rsidRPr="00A911D0">
        <w:t xml:space="preserve">RMP to </w:t>
      </w:r>
      <w:r>
        <w:t xml:space="preserve">the </w:t>
      </w:r>
      <w:r w:rsidRPr="00A911D0">
        <w:t>Global vers</w:t>
      </w:r>
      <w:r>
        <w:t>ion within 3 months of approval.</w:t>
      </w:r>
    </w:p>
    <w:p w14:paraId="12F1B394" w14:textId="49DE511E" w:rsidR="00513E74" w:rsidRPr="001302D9" w:rsidRDefault="00513E74" w:rsidP="001302D9">
      <w:r w:rsidRPr="001302D9">
        <w:lastRenderedPageBreak/>
        <w:t>The summary of safety concerns is acceptable from an RMP perspective. Routine pharmacovigilance activities will be conducted to monitor all potential risks and missing information. The safety concerns associated with this product are expected to be adequately managed through routine risk minimisation measures.</w:t>
      </w:r>
    </w:p>
    <w:p w14:paraId="5D82F43A" w14:textId="07143B77" w:rsidR="00513E74" w:rsidRPr="001302D9" w:rsidRDefault="00B471D6" w:rsidP="001302D9">
      <w:proofErr w:type="spellStart"/>
      <w:r>
        <w:t>KamRAB</w:t>
      </w:r>
      <w:proofErr w:type="spellEnd"/>
      <w:r w:rsidR="00513E74" w:rsidRPr="001302D9">
        <w:t xml:space="preserve"> is a new biological entity, and as such meets the inclusion criteria</w:t>
      </w:r>
      <w:r w:rsidR="001302D9">
        <w:t xml:space="preserve"> for the Black Triangle Scheme.</w:t>
      </w:r>
      <w:r w:rsidR="005C75FA" w:rsidRPr="005C75FA">
        <w:rPr>
          <w:vertAlign w:val="superscript"/>
        </w:rPr>
        <w:fldChar w:fldCharType="begin"/>
      </w:r>
      <w:r w:rsidR="005C75FA" w:rsidRPr="005C75FA">
        <w:rPr>
          <w:vertAlign w:val="superscript"/>
        </w:rPr>
        <w:instrText xml:space="preserve"> NOTEREF _Ref85178733 \h </w:instrText>
      </w:r>
      <w:r w:rsidR="005C75FA">
        <w:rPr>
          <w:vertAlign w:val="superscript"/>
        </w:rPr>
        <w:instrText xml:space="preserve"> \* MERGEFORMAT </w:instrText>
      </w:r>
      <w:r w:rsidR="005C75FA" w:rsidRPr="005C75FA">
        <w:rPr>
          <w:vertAlign w:val="superscript"/>
        </w:rPr>
      </w:r>
      <w:r w:rsidR="005C75FA" w:rsidRPr="005C75FA">
        <w:rPr>
          <w:vertAlign w:val="superscript"/>
        </w:rPr>
        <w:fldChar w:fldCharType="separate"/>
      </w:r>
      <w:r w:rsidR="003A2870">
        <w:rPr>
          <w:vertAlign w:val="superscript"/>
        </w:rPr>
        <w:t>1</w:t>
      </w:r>
      <w:r w:rsidR="005C75FA" w:rsidRPr="005C75FA">
        <w:rPr>
          <w:vertAlign w:val="superscript"/>
        </w:rPr>
        <w:fldChar w:fldCharType="end"/>
      </w:r>
    </w:p>
    <w:p w14:paraId="03E04F82" w14:textId="77777777" w:rsidR="005C75FA" w:rsidRDefault="005C75FA" w:rsidP="005C75FA">
      <w:pPr>
        <w:pStyle w:val="Heading4"/>
      </w:pPr>
      <w:r>
        <w:t>R</w:t>
      </w:r>
      <w:r w:rsidR="00513E74" w:rsidRPr="005C75FA">
        <w:t>eco</w:t>
      </w:r>
      <w:r>
        <w:t>mmendations regarding condition</w:t>
      </w:r>
      <w:r w:rsidR="00513E74" w:rsidRPr="005C75FA">
        <w:t>s of registration</w:t>
      </w:r>
    </w:p>
    <w:p w14:paraId="4F56DA0F" w14:textId="77777777" w:rsidR="005C75FA" w:rsidRPr="005C75FA" w:rsidRDefault="005C75FA" w:rsidP="005C75FA">
      <w:r>
        <w:t>The RMP evaluator recommended the following wording as conditions of registration.</w:t>
      </w:r>
    </w:p>
    <w:p w14:paraId="51F85541" w14:textId="19F0A658" w:rsidR="00513E74" w:rsidRPr="005C75FA" w:rsidRDefault="00513E74" w:rsidP="005C75FA">
      <w:pPr>
        <w:ind w:left="720"/>
      </w:pPr>
      <w:r w:rsidRPr="005C75FA">
        <w:t xml:space="preserve">The </w:t>
      </w:r>
      <w:proofErr w:type="spellStart"/>
      <w:r w:rsidR="00B471D6">
        <w:t>KamRAB</w:t>
      </w:r>
      <w:proofErr w:type="spellEnd"/>
      <w:r w:rsidRPr="005C75FA">
        <w:t xml:space="preserve"> Canadian Risk Management Plan (RMP) (version 1.0 (date not provided; </w:t>
      </w:r>
      <w:r w:rsidR="005C75FA">
        <w:t>data lock point (</w:t>
      </w:r>
      <w:r w:rsidRPr="005C75FA">
        <w:t>DLP</w:t>
      </w:r>
      <w:r w:rsidR="005C75FA">
        <w:t>)</w:t>
      </w:r>
      <w:r w:rsidRPr="005C75FA">
        <w:t xml:space="preserve"> October 2017), with Australia-Specific Annex (</w:t>
      </w:r>
      <w:r w:rsidR="005C75FA">
        <w:t xml:space="preserve">ASA; </w:t>
      </w:r>
      <w:r w:rsidRPr="005C75FA">
        <w:t>version 0.2, January 2021), included with submission PM-2020-02488-1-2, and any subsequent revisions, as agreed with the TGA will be implemented in Australia.</w:t>
      </w:r>
    </w:p>
    <w:p w14:paraId="3EEB765B" w14:textId="77777777" w:rsidR="00513E74" w:rsidRPr="00F12A97" w:rsidRDefault="00513E74" w:rsidP="005C75FA">
      <w:pPr>
        <w:ind w:left="720"/>
      </w:pPr>
      <w:r w:rsidRPr="00F12A97">
        <w:t xml:space="preserve">The sponsor should provide a global or core RMP with an Australia-Specific Annex, or an Australia-specific RMP to replace the Canadian RMP, within 3 months of approval of this product. If an EU RMP become available within the next 3 months, the EU RMP and an ASA should be provided. </w:t>
      </w:r>
    </w:p>
    <w:p w14:paraId="6A284F6E" w14:textId="77777777" w:rsidR="00513E74" w:rsidRPr="00F12A97" w:rsidRDefault="00513E74" w:rsidP="005C75FA">
      <w:pPr>
        <w:ind w:left="720"/>
      </w:pPr>
      <w:r w:rsidRPr="00F12A97">
        <w:t>An obligatory component of risk management plans is routine pharmacovigilance. Routine pharmacovigilance includes the submission of periodic safety update reports (PSURs).</w:t>
      </w:r>
    </w:p>
    <w:p w14:paraId="277C2F04" w14:textId="77777777" w:rsidR="00513E74" w:rsidRPr="00F12A97" w:rsidRDefault="00513E74" w:rsidP="005C75FA">
      <w:pPr>
        <w:ind w:left="720"/>
      </w:pPr>
      <w:r w:rsidRPr="00F12A97">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w:t>
      </w:r>
      <w:proofErr w:type="gramStart"/>
      <w:r w:rsidRPr="00F12A97">
        <w:t>six monthly</w:t>
      </w:r>
      <w:proofErr w:type="gramEnd"/>
      <w:r w:rsidRPr="00F12A97">
        <w:t xml:space="preserve"> reports may be submitted separately as they become available.</w:t>
      </w:r>
    </w:p>
    <w:p w14:paraId="62247030" w14:textId="77777777" w:rsidR="00513E74" w:rsidRDefault="00513E74" w:rsidP="005C75FA">
      <w:pPr>
        <w:ind w:left="720"/>
      </w:pPr>
      <w:r w:rsidRPr="00F12A97">
        <w:t xml:space="preserve">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 </w:t>
      </w:r>
    </w:p>
    <w:p w14:paraId="2AF0C312" w14:textId="77777777" w:rsidR="00513E74" w:rsidRDefault="00513E74" w:rsidP="005C75FA">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71785703" w14:textId="304CD658" w:rsidR="00513E74" w:rsidRDefault="00B471D6" w:rsidP="005C75FA">
      <w:pPr>
        <w:ind w:left="720"/>
      </w:pPr>
      <w:proofErr w:type="spellStart"/>
      <w:r>
        <w:t>KamRAB</w:t>
      </w:r>
      <w:proofErr w:type="spellEnd"/>
      <w:r w:rsidR="00513E74">
        <w:t xml:space="preserve"> (rabies immunoglobulin) is to be included in the Black Triangle Scheme. The PI and CMI for </w:t>
      </w:r>
      <w:proofErr w:type="spellStart"/>
      <w:r>
        <w:t>KamRAB</w:t>
      </w:r>
      <w:proofErr w:type="spellEnd"/>
      <w:r w:rsidR="00513E74">
        <w:t xml:space="preserve"> must include the black triangle symbol and mandatory accompanying text for five years, which starts from the date that the sponsor notifies the TGA of supply of the product.</w:t>
      </w:r>
    </w:p>
    <w:p w14:paraId="30AF0740" w14:textId="77777777" w:rsidR="008E7846" w:rsidRDefault="00AA0ED0" w:rsidP="008E7846">
      <w:pPr>
        <w:pStyle w:val="Heading3"/>
      </w:pPr>
      <w:bookmarkStart w:id="42" w:name="_Toc247691531"/>
      <w:bookmarkStart w:id="43" w:name="_Toc314842515"/>
      <w:bookmarkStart w:id="44" w:name="_Toc196046505"/>
      <w:bookmarkStart w:id="45" w:name="_Toc196046949"/>
      <w:bookmarkStart w:id="46" w:name="_Toc92715902"/>
      <w:r>
        <w:lastRenderedPageBreak/>
        <w:t>Risk-benefit a</w:t>
      </w:r>
      <w:r w:rsidR="008E7846">
        <w:t>nalysis</w:t>
      </w:r>
      <w:bookmarkEnd w:id="42"/>
      <w:bookmarkEnd w:id="43"/>
      <w:bookmarkEnd w:id="46"/>
    </w:p>
    <w:p w14:paraId="45B5F126" w14:textId="77777777" w:rsidR="00D23139" w:rsidRDefault="007D53B6" w:rsidP="00D23139">
      <w:pPr>
        <w:pStyle w:val="Heading4"/>
      </w:pPr>
      <w:r>
        <w:t>Delegate’s considerations</w:t>
      </w:r>
    </w:p>
    <w:p w14:paraId="6FF122E8" w14:textId="1D275177" w:rsidR="00513E74" w:rsidRDefault="00513E74" w:rsidP="00513E74">
      <w:r>
        <w:t xml:space="preserve">The </w:t>
      </w:r>
      <w:r w:rsidR="005C75FA">
        <w:t>conclusions of the clinical evaluation</w:t>
      </w:r>
      <w:r>
        <w:t xml:space="preserve"> on </w:t>
      </w:r>
      <w:r w:rsidR="005C75FA">
        <w:t xml:space="preserve">the </w:t>
      </w:r>
      <w:r>
        <w:t xml:space="preserve">benefit risk balance of </w:t>
      </w:r>
      <w:proofErr w:type="spellStart"/>
      <w:r w:rsidR="00B471D6">
        <w:t>KamRAB</w:t>
      </w:r>
      <w:proofErr w:type="spellEnd"/>
      <w:r>
        <w:t xml:space="preserve"> are accepted by the Delegate. The three small clinical studies presented in the submission are taken together with efficacy and safety data available for </w:t>
      </w:r>
      <w:proofErr w:type="spellStart"/>
      <w:r w:rsidR="00B471D6">
        <w:t>KamRAB</w:t>
      </w:r>
      <w:proofErr w:type="spellEnd"/>
      <w:r>
        <w:t>-HRIG for post-exposure prophylaxis in the countries were licensed, or used on compassionate grounds (including Australia), and provide adequate support for registration.</w:t>
      </w:r>
    </w:p>
    <w:p w14:paraId="10D511E6" w14:textId="77777777" w:rsidR="00513E74" w:rsidRDefault="00513E74" w:rsidP="00513E74">
      <w:r>
        <w:t>The post marketing safety data provides reassurance about deficiencies in the clinical study program concerning specific populations such as children and</w:t>
      </w:r>
      <w:r w:rsidR="005C75FA">
        <w:t xml:space="preserve"> lack of information on ‘wound’</w:t>
      </w:r>
      <w:r>
        <w:t xml:space="preserve"> infiltration w</w:t>
      </w:r>
      <w:r w:rsidR="005C75FA">
        <w:t>ith rabies immunoglobulin.</w:t>
      </w:r>
    </w:p>
    <w:p w14:paraId="591C6285" w14:textId="77777777" w:rsidR="00D23139" w:rsidRDefault="00D23139" w:rsidP="00D23139">
      <w:pPr>
        <w:pStyle w:val="Heading4"/>
      </w:pPr>
      <w:r w:rsidRPr="00D23139">
        <w:t>Proposed action</w:t>
      </w:r>
    </w:p>
    <w:p w14:paraId="30FC6A79" w14:textId="086D09A4" w:rsidR="00513E74" w:rsidRPr="00513E74" w:rsidRDefault="00513E74" w:rsidP="00513E74">
      <w:r>
        <w:t>The Dele</w:t>
      </w:r>
      <w:r w:rsidR="005C75FA">
        <w:t xml:space="preserve">gate proposes to approve </w:t>
      </w:r>
      <w:proofErr w:type="spellStart"/>
      <w:r w:rsidR="00B471D6">
        <w:t>KamRAB</w:t>
      </w:r>
      <w:proofErr w:type="spellEnd"/>
      <w:r>
        <w:t xml:space="preserve"> (human rabies immunoglobulin) for the </w:t>
      </w:r>
      <w:proofErr w:type="gramStart"/>
      <w:r>
        <w:t>indications  proposed</w:t>
      </w:r>
      <w:proofErr w:type="gramEnd"/>
      <w:r>
        <w:t xml:space="preserve"> in Australia</w:t>
      </w:r>
      <w:r w:rsidR="006C04CE">
        <w:t>.</w:t>
      </w:r>
    </w:p>
    <w:p w14:paraId="5E8D7BD9" w14:textId="77777777" w:rsidR="007D53B6" w:rsidRDefault="007D53B6" w:rsidP="007D53B6">
      <w:pPr>
        <w:pStyle w:val="Heading4"/>
      </w:pPr>
      <w:r>
        <w:t xml:space="preserve">Questions for </w:t>
      </w:r>
      <w:r w:rsidR="00744121">
        <w:t xml:space="preserve">the </w:t>
      </w:r>
      <w:r>
        <w:t>sponsor</w:t>
      </w:r>
    </w:p>
    <w:p w14:paraId="74D51024" w14:textId="77777777" w:rsidR="00744121" w:rsidRDefault="00744121" w:rsidP="00744121">
      <w:r>
        <w:t>The sponsor provided the following response to questions from the Delegate.</w:t>
      </w:r>
    </w:p>
    <w:p w14:paraId="2CD92CE4" w14:textId="77777777" w:rsidR="006C04CE" w:rsidRDefault="006C04CE" w:rsidP="006C04CE">
      <w:pPr>
        <w:pStyle w:val="Numberbullet0"/>
        <w:numPr>
          <w:ilvl w:val="0"/>
          <w:numId w:val="36"/>
        </w:numPr>
        <w:rPr>
          <w:b/>
          <w:i/>
        </w:rPr>
      </w:pPr>
      <w:r w:rsidRPr="006C04CE">
        <w:rPr>
          <w:b/>
          <w:i/>
        </w:rPr>
        <w:t>Does the Canadian Monograph and US Product Information, currently include potential risks for haemolysis and thrombosis?</w:t>
      </w:r>
    </w:p>
    <w:p w14:paraId="229BEB64" w14:textId="77777777" w:rsidR="002A3D32" w:rsidRPr="002A3D32" w:rsidRDefault="002A3D32" w:rsidP="002A3D32">
      <w:r w:rsidRPr="002A3D32">
        <w:t>The current US Product Information does not include potential risks for haemolysis and thrombosis.</w:t>
      </w:r>
    </w:p>
    <w:p w14:paraId="52A21685" w14:textId="77777777" w:rsidR="002A3D32" w:rsidRPr="002A3D32" w:rsidRDefault="002A3D32" w:rsidP="002A3D32">
      <w:r w:rsidRPr="002A3D32">
        <w:t>These warnings were previously included in the US product In</w:t>
      </w:r>
      <w:r>
        <w:t xml:space="preserve">formation and were removed in a </w:t>
      </w:r>
      <w:r w:rsidRPr="002A3D32">
        <w:t xml:space="preserve">recent submission to the </w:t>
      </w:r>
      <w:r>
        <w:t xml:space="preserve">US </w:t>
      </w:r>
      <w:r w:rsidRPr="002A3D32">
        <w:t>FDA</w:t>
      </w:r>
      <w:r>
        <w:t xml:space="preserve"> (Food and Drug Administration)</w:t>
      </w:r>
      <w:r w:rsidRPr="002A3D32">
        <w:t xml:space="preserve"> following their approval (PI approved in May 2021).</w:t>
      </w:r>
    </w:p>
    <w:p w14:paraId="2F46D930" w14:textId="251F458F" w:rsidR="002A3D32" w:rsidRPr="002A3D32" w:rsidRDefault="002A3D32" w:rsidP="002A3D32">
      <w:r w:rsidRPr="002A3D32">
        <w:t xml:space="preserve">The current Canadian Monograph includes these potential risks. </w:t>
      </w:r>
      <w:r>
        <w:t xml:space="preserve">The sponsor intends to submit a </w:t>
      </w:r>
      <w:r w:rsidRPr="002A3D32">
        <w:t>Canadian Monograph update to remove these potential risks</w:t>
      </w:r>
      <w:r w:rsidR="00A911D0">
        <w:t xml:space="preserve"> in [redacted</w:t>
      </w:r>
      <w:proofErr w:type="gramStart"/>
      <w:r w:rsidR="00A911D0">
        <w:t>].</w:t>
      </w:r>
      <w:r w:rsidRPr="002A3D32">
        <w:t>.</w:t>
      </w:r>
      <w:proofErr w:type="gramEnd"/>
    </w:p>
    <w:p w14:paraId="4C06DD5B" w14:textId="77777777" w:rsidR="002A3D32" w:rsidRPr="002A3D32" w:rsidRDefault="002A3D32" w:rsidP="002A3D32">
      <w:r w:rsidRPr="002A3D32">
        <w:t>Please note, further justification for the omission of these potential ris</w:t>
      </w:r>
      <w:r>
        <w:t xml:space="preserve">ks was included in the cover of </w:t>
      </w:r>
      <w:r w:rsidRPr="002A3D32">
        <w:t>registration application</w:t>
      </w:r>
    </w:p>
    <w:p w14:paraId="3E66BA82" w14:textId="77777777" w:rsidR="002A3D32" w:rsidRDefault="002A3D32" w:rsidP="002A3D32">
      <w:pPr>
        <w:pStyle w:val="Numberbullet0"/>
        <w:numPr>
          <w:ilvl w:val="0"/>
          <w:numId w:val="36"/>
        </w:numPr>
        <w:rPr>
          <w:b/>
          <w:i/>
        </w:rPr>
      </w:pPr>
      <w:r w:rsidRPr="002A3D32">
        <w:rPr>
          <w:b/>
          <w:i/>
        </w:rPr>
        <w:t xml:space="preserve">The PSURs submitted with the submission and RMP evaluation report mention </w:t>
      </w:r>
      <w:r>
        <w:rPr>
          <w:b/>
          <w:i/>
        </w:rPr>
        <w:t>an ongoing paediatric clinical study. The s</w:t>
      </w:r>
      <w:r w:rsidRPr="002A3D32">
        <w:rPr>
          <w:b/>
          <w:i/>
        </w:rPr>
        <w:t>ponsor is requested to provide an update on t</w:t>
      </w:r>
      <w:r>
        <w:rPr>
          <w:b/>
          <w:i/>
        </w:rPr>
        <w:t xml:space="preserve">he status of this study and any </w:t>
      </w:r>
      <w:r w:rsidRPr="002A3D32">
        <w:rPr>
          <w:b/>
          <w:i/>
        </w:rPr>
        <w:t>expected date for completion and availability of a clinical study report.</w:t>
      </w:r>
    </w:p>
    <w:p w14:paraId="060DEDE3" w14:textId="77777777" w:rsidR="002A3D32" w:rsidRPr="002A3D32" w:rsidRDefault="002A3D32" w:rsidP="002A3D32">
      <w:r w:rsidRPr="002A3D32">
        <w:t>The paediatric clinical stu</w:t>
      </w:r>
      <w:r>
        <w:t>dy ended successfully in 2020. T</w:t>
      </w:r>
      <w:r w:rsidRPr="002A3D32">
        <w:t xml:space="preserve">he </w:t>
      </w:r>
      <w:r>
        <w:t>clinical study report</w:t>
      </w:r>
      <w:r w:rsidRPr="002A3D32">
        <w:t xml:space="preserve"> of this study, as well as evaluation</w:t>
      </w:r>
      <w:r>
        <w:t xml:space="preserve"> </w:t>
      </w:r>
      <w:r w:rsidRPr="002A3D32">
        <w:t>report f</w:t>
      </w:r>
      <w:r>
        <w:t xml:space="preserve">rom the FDA are </w:t>
      </w:r>
      <w:proofErr w:type="gramStart"/>
      <w:r>
        <w:t>enclosed herein</w:t>
      </w:r>
      <w:proofErr w:type="gramEnd"/>
      <w:r>
        <w:t xml:space="preserve"> [not included in this </w:t>
      </w:r>
      <w:proofErr w:type="spellStart"/>
      <w:r>
        <w:t>AusPAR</w:t>
      </w:r>
      <w:proofErr w:type="spellEnd"/>
      <w:r>
        <w:t>].</w:t>
      </w:r>
    </w:p>
    <w:p w14:paraId="5F6BDD14"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11"/>
      </w:r>
    </w:p>
    <w:p w14:paraId="480D2A46" w14:textId="77777777" w:rsidR="00744121" w:rsidRPr="007D53B6" w:rsidRDefault="00744121" w:rsidP="00744121">
      <w:bookmarkStart w:id="47" w:name="_Toc247691532"/>
      <w:bookmarkStart w:id="48" w:name="_Toc314842516"/>
      <w:bookmarkEnd w:id="29"/>
      <w:bookmarkEnd w:id="44"/>
      <w:bookmarkEnd w:id="45"/>
      <w:r w:rsidRPr="007D53B6">
        <w:t>The Delegate did not refer this application to the Advisory Committee on Medicines (ACM) for advice.</w:t>
      </w:r>
    </w:p>
    <w:p w14:paraId="3C1B8962" w14:textId="2E85321A" w:rsidR="008E7846" w:rsidRPr="002E238E" w:rsidRDefault="008E7846" w:rsidP="008E7846">
      <w:pPr>
        <w:pStyle w:val="Heading3"/>
      </w:pPr>
      <w:bookmarkStart w:id="49" w:name="_Toc92715903"/>
      <w:r>
        <w:lastRenderedPageBreak/>
        <w:t>Outcome</w:t>
      </w:r>
      <w:bookmarkEnd w:id="47"/>
      <w:bookmarkEnd w:id="48"/>
      <w:bookmarkEnd w:id="49"/>
    </w:p>
    <w:p w14:paraId="07725929" w14:textId="3BBC53EB" w:rsidR="00744121" w:rsidRDefault="00744121" w:rsidP="004A2340">
      <w:bookmarkStart w:id="50" w:name="_Toc247691533"/>
      <w:bookmarkStart w:id="51" w:name="_Toc314842517"/>
      <w:r>
        <w:t xml:space="preserve">Based on a review of quality, </w:t>
      </w:r>
      <w:proofErr w:type="gramStart"/>
      <w:r>
        <w:t>safety</w:t>
      </w:r>
      <w:proofErr w:type="gramEnd"/>
      <w:r>
        <w:t xml:space="preserve"> and efficacy, the TGA approved the registration of </w:t>
      </w:r>
      <w:proofErr w:type="spellStart"/>
      <w:r w:rsidR="00B471D6">
        <w:t>KamRAB</w:t>
      </w:r>
      <w:proofErr w:type="spellEnd"/>
      <w:r w:rsidR="004A2340">
        <w:t xml:space="preserve"> (rabies immunoglobulin) 150 IU/mL</w:t>
      </w:r>
      <w:r w:rsidR="007767F1">
        <w:t>,</w:t>
      </w:r>
      <w:r w:rsidR="004A2340">
        <w:t xml:space="preserve"> solution for injection, vial </w:t>
      </w:r>
      <w:r>
        <w:t xml:space="preserve">indicated for following </w:t>
      </w:r>
      <w:r w:rsidR="004A2340">
        <w:t>indication</w:t>
      </w:r>
      <w:r>
        <w:t>:</w:t>
      </w:r>
    </w:p>
    <w:p w14:paraId="48D3243B" w14:textId="7B188294" w:rsidR="004A2340" w:rsidRPr="004A2340" w:rsidRDefault="00B471D6" w:rsidP="004A2340">
      <w:pPr>
        <w:ind w:left="720"/>
        <w:rPr>
          <w:i/>
        </w:rPr>
      </w:pPr>
      <w:proofErr w:type="spellStart"/>
      <w:r>
        <w:rPr>
          <w:i/>
        </w:rPr>
        <w:t>KamRAB</w:t>
      </w:r>
      <w:proofErr w:type="spellEnd"/>
      <w:r w:rsidR="004A2340" w:rsidRPr="004A2340">
        <w:rPr>
          <w:i/>
        </w:rPr>
        <w:t xml:space="preserve"> is rabies immunoglobulin indicated for passive, transient post-exposure prophylaxis (PEP) of rabies infection, when given immediately after contact with a rabid or possibly rabid animal. </w:t>
      </w:r>
      <w:proofErr w:type="spellStart"/>
      <w:r>
        <w:rPr>
          <w:i/>
        </w:rPr>
        <w:t>KamRAB</w:t>
      </w:r>
      <w:proofErr w:type="spellEnd"/>
      <w:r w:rsidR="004A2340" w:rsidRPr="004A2340">
        <w:rPr>
          <w:i/>
        </w:rPr>
        <w:t xml:space="preserve"> should be administered concurrently with a full course of rabies vaccine.</w:t>
      </w:r>
    </w:p>
    <w:p w14:paraId="6721B6F6" w14:textId="76566A5D" w:rsidR="004A2340" w:rsidRPr="004A2340" w:rsidRDefault="004A2340" w:rsidP="004A2340">
      <w:pPr>
        <w:ind w:left="720"/>
        <w:rPr>
          <w:i/>
        </w:rPr>
      </w:pPr>
      <w:r w:rsidRPr="004A2340">
        <w:rPr>
          <w:i/>
        </w:rPr>
        <w:t xml:space="preserve">• Do not administer additional (repeat) doses of </w:t>
      </w:r>
      <w:proofErr w:type="spellStart"/>
      <w:r w:rsidR="00B471D6">
        <w:rPr>
          <w:i/>
        </w:rPr>
        <w:t>KamRAB</w:t>
      </w:r>
      <w:proofErr w:type="spellEnd"/>
      <w:r w:rsidRPr="004A2340">
        <w:rPr>
          <w:i/>
        </w:rPr>
        <w:t xml:space="preserve"> once vaccine treatment has been initiated, since this may interfere with the immune response to the rabies vaccine.</w:t>
      </w:r>
    </w:p>
    <w:p w14:paraId="1374D8CE" w14:textId="6C3B62B3" w:rsidR="007D53B6" w:rsidRPr="004A2340" w:rsidRDefault="004A2340" w:rsidP="004A2340">
      <w:pPr>
        <w:ind w:left="720"/>
        <w:rPr>
          <w:i/>
        </w:rPr>
      </w:pPr>
      <w:r w:rsidRPr="004A2340">
        <w:rPr>
          <w:i/>
        </w:rPr>
        <w:t xml:space="preserve">• Do not administer </w:t>
      </w:r>
      <w:proofErr w:type="spellStart"/>
      <w:r w:rsidR="00B471D6">
        <w:rPr>
          <w:i/>
        </w:rPr>
        <w:t>KamRAB</w:t>
      </w:r>
      <w:proofErr w:type="spellEnd"/>
      <w:r w:rsidRPr="004A2340">
        <w:rPr>
          <w:i/>
        </w:rPr>
        <w:t xml:space="preserve"> to patients with a history of a complete pre-exposure or postexposure vaccination regimen and confirmed adequate rabies antibody titre.</w:t>
      </w:r>
    </w:p>
    <w:p w14:paraId="04AE1DB9" w14:textId="77777777" w:rsidR="00D23139" w:rsidRDefault="00D23139" w:rsidP="00D23139">
      <w:pPr>
        <w:pStyle w:val="Heading4"/>
      </w:pPr>
      <w:r w:rsidRPr="00D23139">
        <w:t>Specific conditions of registration applying to these goods</w:t>
      </w:r>
    </w:p>
    <w:p w14:paraId="7BC713AD" w14:textId="3D46630A" w:rsidR="00A5289A" w:rsidRDefault="00B471D6" w:rsidP="004A2340">
      <w:pPr>
        <w:pStyle w:val="ListBullet"/>
      </w:pPr>
      <w:proofErr w:type="spellStart"/>
      <w:r>
        <w:t>KamRAB</w:t>
      </w:r>
      <w:proofErr w:type="spellEnd"/>
      <w:r w:rsidR="004A2340" w:rsidRPr="004A2340">
        <w:t xml:space="preserve"> (rabies immunoglobulin) is to be included in the Black Triangle Scheme.</w:t>
      </w:r>
    </w:p>
    <w:p w14:paraId="1F4ACE95" w14:textId="505253C5" w:rsidR="004A2340" w:rsidRPr="004A2340" w:rsidRDefault="004A2340" w:rsidP="00A5289A">
      <w:pPr>
        <w:pStyle w:val="ListBullet"/>
        <w:numPr>
          <w:ilvl w:val="0"/>
          <w:numId w:val="0"/>
        </w:numPr>
        <w:ind w:left="360"/>
      </w:pPr>
      <w:r w:rsidRPr="004A2340">
        <w:t xml:space="preserve">The PI and CMI for </w:t>
      </w:r>
      <w:proofErr w:type="spellStart"/>
      <w:r w:rsidR="00B471D6">
        <w:t>KamRAB</w:t>
      </w:r>
      <w:proofErr w:type="spellEnd"/>
      <w:r w:rsidRPr="004A2340">
        <w:t xml:space="preserve"> must include the blac</w:t>
      </w:r>
      <w:r>
        <w:t xml:space="preserve">k triangle symbol and mandatory </w:t>
      </w:r>
      <w:r w:rsidRPr="004A2340">
        <w:t>accompanying text for five years, which starts</w:t>
      </w:r>
      <w:r>
        <w:t xml:space="preserve"> from the date that the sponsor </w:t>
      </w:r>
      <w:r w:rsidRPr="004A2340">
        <w:t>notifies the TGA of supply of the product.</w:t>
      </w:r>
    </w:p>
    <w:p w14:paraId="13E3F1FD" w14:textId="01647DF1" w:rsidR="004A2340" w:rsidRPr="004A2340" w:rsidRDefault="004A2340" w:rsidP="00A5289A">
      <w:pPr>
        <w:pStyle w:val="ListBullet"/>
      </w:pPr>
      <w:r w:rsidRPr="004A2340">
        <w:t xml:space="preserve">The </w:t>
      </w:r>
      <w:proofErr w:type="spellStart"/>
      <w:r w:rsidR="00B471D6">
        <w:t>KamRAB</w:t>
      </w:r>
      <w:proofErr w:type="spellEnd"/>
      <w:r w:rsidRPr="004A2340">
        <w:t xml:space="preserve"> Canadian Risk Management Plan (RMP) (</w:t>
      </w:r>
      <w:r>
        <w:t xml:space="preserve">version 1.0 (date not provided; </w:t>
      </w:r>
      <w:r w:rsidRPr="004A2340">
        <w:t>DLP October 2017), with Australia-Specific Annex (versi</w:t>
      </w:r>
      <w:r>
        <w:t xml:space="preserve">on 0.2, January 2021), included </w:t>
      </w:r>
      <w:r w:rsidRPr="004A2340">
        <w:t>with submission PM-2020-02488-1-2, and any subse</w:t>
      </w:r>
      <w:r>
        <w:t xml:space="preserve">quent revisions, as agreed with </w:t>
      </w:r>
      <w:r w:rsidRPr="004A2340">
        <w:t>the TGA will be implemented in Australia.</w:t>
      </w:r>
    </w:p>
    <w:p w14:paraId="2AC731CE" w14:textId="77777777" w:rsidR="004A2340" w:rsidRDefault="004A2340" w:rsidP="00A5289A">
      <w:pPr>
        <w:ind w:left="360"/>
      </w:pPr>
      <w:r w:rsidRPr="004A2340">
        <w:t xml:space="preserve">The sponsor should provide a global or core RMP with </w:t>
      </w:r>
      <w:r>
        <w:t xml:space="preserve">an Australia-Specific Annex, or </w:t>
      </w:r>
      <w:r w:rsidRPr="004A2340">
        <w:t>an Australia-specific RMP to replace the Canadian RMP, within 3 months of approval of</w:t>
      </w:r>
      <w:r>
        <w:t xml:space="preserve"> his product. If an EU RMP become available within the next 3 months, the EU RMP and an ASA should be provided.</w:t>
      </w:r>
    </w:p>
    <w:p w14:paraId="36CE7CD6" w14:textId="77777777" w:rsidR="004A2340" w:rsidRDefault="004A2340" w:rsidP="00A5289A">
      <w:pPr>
        <w:ind w:left="360"/>
      </w:pPr>
      <w:r>
        <w:t>An obligatory component of risk management plans is routine pharmacovigilance. Routine pharmacovigilance includes the submission of periodic safety update reports (PSURs). Unless agreed separately between the supplier who is the recipient of the approval and the TGA, the first report must be submitted t</w:t>
      </w:r>
      <w:r w:rsidR="00A5289A">
        <w:t>o TGA no later than 15 </w:t>
      </w:r>
      <w:r>
        <w:t xml:space="preserve">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w:t>
      </w:r>
      <w:proofErr w:type="gramStart"/>
      <w:r>
        <w:t>six monthly</w:t>
      </w:r>
      <w:proofErr w:type="gramEnd"/>
      <w:r>
        <w:t xml:space="preserve"> reports may be submitted separately as they become available.</w:t>
      </w:r>
    </w:p>
    <w:p w14:paraId="2A97DEC8" w14:textId="77777777" w:rsidR="004A2340" w:rsidRDefault="004A2340" w:rsidP="00A5289A">
      <w:pPr>
        <w:ind w:left="360"/>
      </w:pPr>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1F4A6B9C" w14:textId="77777777" w:rsidR="004A2340" w:rsidRDefault="004A2340" w:rsidP="00A5289A">
      <w:pPr>
        <w:ind w:left="360"/>
      </w:pPr>
      <w:r>
        <w:t>The reports are to be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809E215" w14:textId="77777777" w:rsidR="004A2340" w:rsidRDefault="004A2340" w:rsidP="00A5289A">
      <w:pPr>
        <w:pStyle w:val="ListBullet"/>
      </w:pPr>
      <w:r>
        <w:t>Laboratory testing &amp; compliance with Certified Product Details (CPD)</w:t>
      </w:r>
    </w:p>
    <w:p w14:paraId="0E33120E" w14:textId="07404412" w:rsidR="00A5289A" w:rsidRDefault="00A5289A" w:rsidP="00A5289A">
      <w:pPr>
        <w:pStyle w:val="Numberbullet2"/>
        <w:numPr>
          <w:ilvl w:val="1"/>
          <w:numId w:val="37"/>
        </w:numPr>
      </w:pPr>
      <w:r>
        <w:lastRenderedPageBreak/>
        <w:t xml:space="preserve">All batches of </w:t>
      </w:r>
      <w:proofErr w:type="spellStart"/>
      <w:r w:rsidR="00B471D6">
        <w:t>KamRAB</w:t>
      </w:r>
      <w:proofErr w:type="spellEnd"/>
      <w:r w:rsidR="004A2340">
        <w:t xml:space="preserve"> rabies immunoglobulin supplied in Australia must comply</w:t>
      </w:r>
      <w:r>
        <w:t xml:space="preserve"> </w:t>
      </w:r>
      <w:r w:rsidR="004A2340">
        <w:t>with the product details and specifications approved during evaluation and detailed</w:t>
      </w:r>
      <w:r>
        <w:t xml:space="preserve"> </w:t>
      </w:r>
      <w:r w:rsidR="004A2340">
        <w:t>in the Certified Product Details (CPD).</w:t>
      </w:r>
    </w:p>
    <w:p w14:paraId="58484F11" w14:textId="198804C7" w:rsidR="004A2340" w:rsidRDefault="004A2340" w:rsidP="00A5289A">
      <w:pPr>
        <w:pStyle w:val="Numberbullet2"/>
        <w:numPr>
          <w:ilvl w:val="1"/>
          <w:numId w:val="37"/>
        </w:numPr>
      </w:pPr>
      <w:r w:rsidRPr="00A5289A">
        <w:t>When requested by the TGA, the Sponsor should be prepared to provide product</w:t>
      </w:r>
      <w:r w:rsidR="00A5289A" w:rsidRPr="00A5289A">
        <w:t xml:space="preserve"> </w:t>
      </w:r>
      <w:r w:rsidRPr="00A5289A">
        <w:t>samples, specified reference materials and documentary evidence to enable the TGA</w:t>
      </w:r>
      <w:r w:rsidR="00A5289A" w:rsidRPr="00A5289A">
        <w:t xml:space="preserve"> to conduct laboratory testing on the Product. Outcomes of laboratory testing are</w:t>
      </w:r>
      <w:r w:rsidR="00A5289A">
        <w:t xml:space="preserve"> </w:t>
      </w:r>
      <w:r w:rsidR="00A5289A" w:rsidRPr="00A5289A">
        <w:t>published biannually in the TGA Database of Laboratory Testing Results</w:t>
      </w:r>
      <w:r w:rsidR="00A5289A">
        <w:t xml:space="preserve"> </w:t>
      </w:r>
      <w:r w:rsidR="00A5289A" w:rsidRPr="00A5289A">
        <w:t>http://www.tga.gov.au/ws-labs-index and periodically in testing reports on the TGA website.</w:t>
      </w:r>
    </w:p>
    <w:p w14:paraId="122C08AF" w14:textId="1A376678" w:rsidR="007767F1" w:rsidRPr="00A5289A" w:rsidRDefault="007767F1" w:rsidP="002A1F00">
      <w:pPr>
        <w:pStyle w:val="ListBullet"/>
      </w:pPr>
      <w:r w:rsidRPr="00A5289A">
        <w:t>For all injectable products the Product Information must be included with the product</w:t>
      </w:r>
      <w:r>
        <w:t xml:space="preserve"> </w:t>
      </w:r>
      <w:r w:rsidRPr="00A5289A">
        <w:t>as a package insert.</w:t>
      </w:r>
    </w:p>
    <w:p w14:paraId="70762AE8" w14:textId="0B910D8C" w:rsidR="008E7846" w:rsidRDefault="00A80B5B" w:rsidP="00D23139">
      <w:pPr>
        <w:pStyle w:val="Heading2"/>
      </w:pPr>
      <w:bookmarkStart w:id="52" w:name="_Toc92715904"/>
      <w:r>
        <w:t xml:space="preserve">Attachment 1. </w:t>
      </w:r>
      <w:r w:rsidR="008E7846">
        <w:t xml:space="preserve">Product </w:t>
      </w:r>
      <w:r w:rsidR="00AA0ED0">
        <w:t>I</w:t>
      </w:r>
      <w:r w:rsidR="008E7846">
        <w:t>nformation</w:t>
      </w:r>
      <w:bookmarkEnd w:id="50"/>
      <w:bookmarkEnd w:id="51"/>
      <w:bookmarkEnd w:id="52"/>
    </w:p>
    <w:p w14:paraId="0058F135" w14:textId="2747054A" w:rsidR="00C80137" w:rsidRDefault="006136D7" w:rsidP="00C80137">
      <w:pPr>
        <w:rPr>
          <w:color w:val="000000"/>
          <w:lang w:eastAsia="en-AU"/>
        </w:rPr>
      </w:pPr>
      <w:r w:rsidRPr="002B3624">
        <w:t xml:space="preserve">The </w:t>
      </w:r>
      <w:r>
        <w:t>PI</w:t>
      </w:r>
      <w:r w:rsidRPr="002B3624">
        <w:t xml:space="preserve"> for </w:t>
      </w:r>
      <w:proofErr w:type="spellStart"/>
      <w:r w:rsidR="00B471D6">
        <w:t>KamRAB</w:t>
      </w:r>
      <w:proofErr w:type="spellEnd"/>
      <w:r w:rsidR="00A5289A">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17" w:history="1">
        <w:r w:rsidR="007C6B9B" w:rsidRPr="007C6B9B">
          <w:rPr>
            <w:rStyle w:val="Hyperlink"/>
          </w:rPr>
          <w:t>https://www.tga.gov.au/product-information-pi</w:t>
        </w:r>
      </w:hyperlink>
      <w:r w:rsidR="00A5289A">
        <w:t>&gt;.</w:t>
      </w:r>
    </w:p>
    <w:p w14:paraId="6F2A3985" w14:textId="77777777" w:rsidR="00744121" w:rsidRPr="002E479B" w:rsidRDefault="008E7846" w:rsidP="002E479B">
      <w:pPr>
        <w:autoSpaceDE w:val="0"/>
        <w:autoSpaceDN w:val="0"/>
        <w:adjustRightInd w:val="0"/>
        <w:spacing w:after="0"/>
        <w:rPr>
          <w:b/>
        </w:rPr>
      </w:pPr>
      <w:r w:rsidRPr="00C80137">
        <w:rPr>
          <w:b/>
        </w:rPr>
        <w:br w:type="page"/>
      </w:r>
    </w:p>
    <w:p w14:paraId="41ED9728" w14:textId="77777777" w:rsidR="00C80137" w:rsidRPr="001D043B" w:rsidRDefault="00C80137" w:rsidP="003A7F6C">
      <w:pPr>
        <w:pStyle w:val="TableTitle"/>
        <w:sectPr w:rsidR="00C80137" w:rsidRPr="001D043B" w:rsidSect="00B452CE">
          <w:headerReference w:type="even" r:id="rId18"/>
          <w:headerReference w:type="default" r:id="rId19"/>
          <w:headerReference w:type="first" r:id="rId20"/>
          <w:footerReference w:type="first" r:id="rId2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323C883" w14:textId="77777777" w:rsidTr="00A05FA4">
        <w:trPr>
          <w:trHeight w:hRule="exact" w:val="704"/>
        </w:trPr>
        <w:tc>
          <w:tcPr>
            <w:tcW w:w="9175" w:type="dxa"/>
          </w:tcPr>
          <w:p w14:paraId="52CCBAB6" w14:textId="77777777" w:rsidR="001C32CD" w:rsidRPr="00487162" w:rsidRDefault="001C32CD" w:rsidP="00A05FA4">
            <w:pPr>
              <w:pStyle w:val="TGASignoff"/>
            </w:pPr>
            <w:r w:rsidRPr="00487162">
              <w:lastRenderedPageBreak/>
              <w:t>Therapeutic Goods Administration</w:t>
            </w:r>
          </w:p>
        </w:tc>
      </w:tr>
      <w:tr w:rsidR="001C32CD" w:rsidRPr="004C239D" w14:paraId="194F64DD" w14:textId="77777777" w:rsidTr="00A05FA4">
        <w:trPr>
          <w:trHeight w:val="1221"/>
        </w:trPr>
        <w:tc>
          <w:tcPr>
            <w:tcW w:w="9175" w:type="dxa"/>
            <w:tcMar>
              <w:top w:w="28" w:type="dxa"/>
            </w:tcMar>
          </w:tcPr>
          <w:p w14:paraId="5ED00EBF" w14:textId="77777777" w:rsidR="001C32CD" w:rsidRPr="00487162" w:rsidRDefault="001C32CD" w:rsidP="00A05FA4">
            <w:pPr>
              <w:pStyle w:val="Address"/>
            </w:pPr>
            <w:r w:rsidRPr="00487162">
              <w:t>PO Box 100 Woden ACT 2606 Australia</w:t>
            </w:r>
          </w:p>
          <w:p w14:paraId="6ED2A853" w14:textId="6AA2AE9D" w:rsidR="001C32CD" w:rsidRPr="00487162" w:rsidRDefault="001C32CD" w:rsidP="00A05FA4">
            <w:pPr>
              <w:pStyle w:val="Address"/>
            </w:pPr>
            <w:r w:rsidRPr="00487162">
              <w:t xml:space="preserve">Email: </w:t>
            </w:r>
            <w:hyperlink r:id="rId22"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22906A6C" w14:textId="7E11A8DA" w:rsidR="001C32CD" w:rsidRPr="004C239D" w:rsidRDefault="005E6BF6" w:rsidP="00A05FA4">
            <w:pPr>
              <w:pStyle w:val="Address"/>
              <w:spacing w:line="260" w:lineRule="atLeast"/>
              <w:rPr>
                <w:b/>
                <w:color w:val="0000FF"/>
                <w:u w:val="single"/>
              </w:rPr>
            </w:pPr>
            <w:hyperlink r:id="rId23" w:history="1">
              <w:r w:rsidR="007C6B9B" w:rsidRPr="007C6B9B">
                <w:rPr>
                  <w:rStyle w:val="Hyperlink"/>
                  <w:b/>
                </w:rPr>
                <w:t>https://www.tga.gov.au</w:t>
              </w:r>
            </w:hyperlink>
          </w:p>
        </w:tc>
      </w:tr>
    </w:tbl>
    <w:p w14:paraId="15DD2B89" w14:textId="77777777" w:rsidR="00774E1D" w:rsidRPr="008A5E0B" w:rsidRDefault="00774E1D" w:rsidP="00D543EA">
      <w:pPr>
        <w:pStyle w:val="Summaryofsafetyconcerns"/>
      </w:pPr>
    </w:p>
    <w:sectPr w:rsidR="00774E1D" w:rsidRPr="008A5E0B" w:rsidSect="001C32CD">
      <w:headerReference w:type="even" r:id="rId24"/>
      <w:headerReference w:type="default" r:id="rId25"/>
      <w:footerReference w:type="default" r:id="rId26"/>
      <w:headerReference w:type="first" r:id="rId27"/>
      <w:footerReference w:type="first" r:id="rId2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84D3A" w14:textId="77777777" w:rsidR="005E6BF6" w:rsidRDefault="005E6BF6" w:rsidP="00C40A36">
      <w:pPr>
        <w:spacing w:after="0"/>
      </w:pPr>
      <w:r>
        <w:separator/>
      </w:r>
    </w:p>
  </w:endnote>
  <w:endnote w:type="continuationSeparator" w:id="0">
    <w:p w14:paraId="0651A2FC" w14:textId="77777777" w:rsidR="005E6BF6" w:rsidRDefault="005E6BF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
    <w:altName w:val="MS Mincho"/>
    <w:panose1 w:val="00000000000000000000"/>
    <w:charset w:val="0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7" w:usb1="09070000" w:usb2="00000010" w:usb3="00000000" w:csb0="000A0003" w:csb1="00000000"/>
  </w:font>
  <w:font w:name="TimesNewRoman,Bold">
    <w:altName w:val="Yu Gothic UI"/>
    <w:panose1 w:val="00000000000000000000"/>
    <w:charset w:val="00"/>
    <w:family w:val="auto"/>
    <w:notTrueType/>
    <w:pitch w:val="default"/>
    <w:sig w:usb0="00000083" w:usb1="08070000" w:usb2="00000010" w:usb3="00000000" w:csb0="00020009" w:csb1="00000000"/>
  </w:font>
  <w:font w:name="TTE5t00">
    <w:altName w:val="Arial Unicode MS"/>
    <w:panose1 w:val="00000000000000000000"/>
    <w:charset w:val="81"/>
    <w:family w:val="auto"/>
    <w:notTrueType/>
    <w:pitch w:val="default"/>
    <w:sig w:usb0="00000001" w:usb1="09060000" w:usb2="00000010" w:usb3="00000000" w:csb0="0008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E6BF6" w:rsidRPr="00487162" w14:paraId="0A43EF05" w14:textId="77777777" w:rsidTr="00DB750B">
      <w:trPr>
        <w:trHeight w:val="269"/>
      </w:trPr>
      <w:tc>
        <w:tcPr>
          <w:tcW w:w="7371" w:type="dxa"/>
          <w:tcMar>
            <w:top w:w="142" w:type="dxa"/>
            <w:bottom w:w="0" w:type="dxa"/>
          </w:tcMar>
        </w:tcPr>
        <w:p w14:paraId="7A4FBD22" w14:textId="7DAD86B5" w:rsidR="005E6BF6" w:rsidRPr="00487162" w:rsidRDefault="005E6BF6" w:rsidP="002940E9">
          <w:pPr>
            <w:pStyle w:val="Footer"/>
          </w:pPr>
          <w:proofErr w:type="spellStart"/>
          <w:r w:rsidRPr="00487162">
            <w:t>AusPA</w:t>
          </w:r>
          <w:r>
            <w:t>R</w:t>
          </w:r>
          <w:proofErr w:type="spellEnd"/>
          <w:r>
            <w:t xml:space="preserve"> - </w:t>
          </w:r>
          <w:proofErr w:type="spellStart"/>
          <w:r>
            <w:t>KamRAB</w:t>
          </w:r>
          <w:proofErr w:type="spellEnd"/>
          <w:r w:rsidRPr="002940E9">
            <w:t xml:space="preserve"> - rabies immunoglobulin - Link Medical Products Pty Ltd TA Link Pharmaceuticals - PM-2020-02488-1-2</w:t>
          </w:r>
          <w:r>
            <w:t xml:space="preserve"> </w:t>
          </w:r>
          <w:r>
            <w:br/>
            <w:t>FINAL</w:t>
          </w:r>
          <w:r w:rsidRPr="00487162">
            <w:t xml:space="preserve"> </w:t>
          </w:r>
          <w:r>
            <w:t>4 January 2022</w:t>
          </w:r>
        </w:p>
      </w:tc>
      <w:tc>
        <w:tcPr>
          <w:tcW w:w="1490" w:type="dxa"/>
          <w:tcMar>
            <w:top w:w="142" w:type="dxa"/>
            <w:bottom w:w="0" w:type="dxa"/>
          </w:tcMar>
        </w:tcPr>
        <w:p w14:paraId="6017C095" w14:textId="76070AE5" w:rsidR="005E6BF6" w:rsidRPr="00487162" w:rsidRDefault="005E6BF6" w:rsidP="00DB750B">
          <w:pPr>
            <w:pStyle w:val="Footer"/>
            <w:jc w:val="right"/>
          </w:pPr>
          <w:r w:rsidRPr="00487162">
            <w:t xml:space="preserve">Page </w:t>
          </w:r>
          <w:r>
            <w:fldChar w:fldCharType="begin"/>
          </w:r>
          <w:r>
            <w:instrText xml:space="preserve"> PAGE  \* Arabic </w:instrText>
          </w:r>
          <w:r>
            <w:fldChar w:fldCharType="separate"/>
          </w:r>
          <w:r>
            <w:rPr>
              <w:noProof/>
            </w:rPr>
            <w:t>25</w:t>
          </w:r>
          <w:r>
            <w:fldChar w:fldCharType="end"/>
          </w:r>
          <w:r w:rsidRPr="00487162">
            <w:t xml:space="preserve"> of </w:t>
          </w:r>
          <w:fldSimple w:instr=" NUMPAGES  \* Arabic ">
            <w:r>
              <w:rPr>
                <w:noProof/>
              </w:rPr>
              <w:t>26</w:t>
            </w:r>
          </w:fldSimple>
        </w:p>
      </w:tc>
    </w:tr>
  </w:tbl>
  <w:p w14:paraId="6B3552F4" w14:textId="77777777" w:rsidR="005E6BF6" w:rsidRDefault="005E6BF6"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E6BF6" w:rsidRPr="00487162" w14:paraId="6F85DB23" w14:textId="77777777" w:rsidTr="00E45619">
      <w:trPr>
        <w:trHeight w:val="269"/>
      </w:trPr>
      <w:tc>
        <w:tcPr>
          <w:tcW w:w="4519" w:type="dxa"/>
          <w:tcBorders>
            <w:top w:val="single" w:sz="4" w:space="0" w:color="auto"/>
          </w:tcBorders>
          <w:tcMar>
            <w:top w:w="142" w:type="dxa"/>
            <w:bottom w:w="0" w:type="dxa"/>
          </w:tcMar>
        </w:tcPr>
        <w:p w14:paraId="09DCFC4D" w14:textId="77777777" w:rsidR="005E6BF6" w:rsidRPr="00487162" w:rsidRDefault="005E6BF6" w:rsidP="00FE1DEE">
          <w:pPr>
            <w:pStyle w:val="Footer"/>
          </w:pPr>
          <w:r w:rsidRPr="00487162">
            <w:t>Document title, Part #, Section # - Section title</w:t>
          </w:r>
        </w:p>
        <w:p w14:paraId="7DC7DD6A" w14:textId="77777777" w:rsidR="005E6BF6" w:rsidRPr="00487162" w:rsidRDefault="005E6BF6" w:rsidP="00FE1DEE">
          <w:pPr>
            <w:pStyle w:val="Footer"/>
          </w:pPr>
          <w:r w:rsidRPr="00487162">
            <w:t>V1.0 October 2010</w:t>
          </w:r>
        </w:p>
      </w:tc>
      <w:tc>
        <w:tcPr>
          <w:tcW w:w="4342" w:type="dxa"/>
          <w:tcBorders>
            <w:top w:val="single" w:sz="4" w:space="0" w:color="auto"/>
          </w:tcBorders>
          <w:tcMar>
            <w:top w:w="142" w:type="dxa"/>
            <w:bottom w:w="0" w:type="dxa"/>
          </w:tcMar>
        </w:tcPr>
        <w:p w14:paraId="77861FFB" w14:textId="77777777" w:rsidR="005E6BF6" w:rsidRPr="00487162" w:rsidRDefault="005E6BF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7D34D0C3" w14:textId="77777777" w:rsidR="005E6BF6" w:rsidRDefault="005E6B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9048B" w14:textId="77777777" w:rsidR="005E6BF6" w:rsidRPr="001C32CD" w:rsidRDefault="005E6BF6"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E6BF6" w14:paraId="27010F6E" w14:textId="77777777" w:rsidTr="0010601F">
      <w:trPr>
        <w:trHeight w:val="108"/>
      </w:trPr>
      <w:tc>
        <w:tcPr>
          <w:tcW w:w="8875" w:type="dxa"/>
          <w:gridSpan w:val="2"/>
          <w:tcBorders>
            <w:bottom w:val="single" w:sz="4" w:space="0" w:color="auto"/>
          </w:tcBorders>
          <w:tcMar>
            <w:right w:w="284" w:type="dxa"/>
          </w:tcMar>
        </w:tcPr>
        <w:p w14:paraId="323ED499" w14:textId="77777777" w:rsidR="005E6BF6" w:rsidRDefault="005E6BF6" w:rsidP="006E08B3">
          <w:pPr>
            <w:pStyle w:val="Heading3"/>
          </w:pPr>
          <w:r>
            <w:t>Copyright</w:t>
          </w:r>
        </w:p>
        <w:p w14:paraId="2F6EC222" w14:textId="77777777" w:rsidR="005E6BF6" w:rsidRDefault="005E6BF6" w:rsidP="006E08B3">
          <w:r>
            <w:rPr>
              <w:rFonts w:cs="Arial"/>
            </w:rPr>
            <w:t>©</w:t>
          </w:r>
          <w:r>
            <w:t xml:space="preserve"> Commonwealth of Australia [add year]</w:t>
          </w:r>
        </w:p>
        <w:p w14:paraId="471A4FF1" w14:textId="77777777" w:rsidR="005E6BF6" w:rsidRDefault="005E6BF6" w:rsidP="006E08B3"/>
        <w:p w14:paraId="5779B63A" w14:textId="77777777" w:rsidR="005E6BF6" w:rsidRDefault="005E6BF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7350BB90" w14:textId="77777777" w:rsidR="005E6BF6" w:rsidRDefault="005E6BF6" w:rsidP="006E08B3"/>
        <w:p w14:paraId="7B38841C" w14:textId="77777777" w:rsidR="005E6BF6" w:rsidRDefault="005E6BF6" w:rsidP="006E08B3">
          <w:pPr>
            <w:pStyle w:val="Heading3"/>
          </w:pPr>
          <w:r>
            <w:t>Confidentiality</w:t>
          </w:r>
        </w:p>
        <w:p w14:paraId="42312FAA" w14:textId="77777777" w:rsidR="005E6BF6" w:rsidRDefault="005E6BF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3FE7295" w14:textId="77777777" w:rsidR="005E6BF6" w:rsidRDefault="005E6BF6" w:rsidP="006E08B3"/>
        <w:p w14:paraId="037EB891" w14:textId="77777777" w:rsidR="005E6BF6" w:rsidRDefault="005E6BF6" w:rsidP="006E08B3">
          <w:r>
            <w:t>For submission made by individuals, all personal details, other than your name, will be removed from your submission before it is published on the TGA’s Internet site.</w:t>
          </w:r>
        </w:p>
        <w:p w14:paraId="2F7B3EA9" w14:textId="77777777" w:rsidR="005E6BF6" w:rsidRDefault="005E6BF6" w:rsidP="006E08B3"/>
        <w:p w14:paraId="261FA4C6" w14:textId="77777777" w:rsidR="005E6BF6" w:rsidRDefault="005E6BF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E6BF6" w14:paraId="6A07627A" w14:textId="77777777" w:rsidTr="0010601F">
      <w:trPr>
        <w:trHeight w:val="417"/>
      </w:trPr>
      <w:tc>
        <w:tcPr>
          <w:tcW w:w="4519" w:type="dxa"/>
          <w:tcBorders>
            <w:top w:val="single" w:sz="4" w:space="0" w:color="auto"/>
          </w:tcBorders>
          <w:tcMar>
            <w:top w:w="142" w:type="dxa"/>
            <w:bottom w:w="0" w:type="dxa"/>
          </w:tcMar>
        </w:tcPr>
        <w:p w14:paraId="6EB9BE15" w14:textId="77777777" w:rsidR="005E6BF6" w:rsidRDefault="005E6BF6" w:rsidP="006E08B3">
          <w:r>
            <w:t>Document title, Part #, Section # - Section title</w:t>
          </w:r>
        </w:p>
        <w:p w14:paraId="66BE24A3" w14:textId="77777777" w:rsidR="005E6BF6" w:rsidRDefault="005E6BF6" w:rsidP="006E08B3">
          <w:r>
            <w:t>V1.0 October 2010</w:t>
          </w:r>
        </w:p>
      </w:tc>
      <w:tc>
        <w:tcPr>
          <w:tcW w:w="4356" w:type="dxa"/>
          <w:tcBorders>
            <w:top w:val="single" w:sz="4" w:space="0" w:color="auto"/>
          </w:tcBorders>
          <w:tcMar>
            <w:top w:w="142" w:type="dxa"/>
            <w:bottom w:w="0" w:type="dxa"/>
          </w:tcMar>
        </w:tcPr>
        <w:p w14:paraId="2790688B" w14:textId="77777777" w:rsidR="005E6BF6" w:rsidRDefault="005E6BF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14:paraId="3859D530" w14:textId="77777777" w:rsidR="005E6BF6" w:rsidRDefault="005E6B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723FE" w14:textId="77777777" w:rsidR="005E6BF6" w:rsidRDefault="005E6BF6" w:rsidP="00C40A36">
      <w:pPr>
        <w:spacing w:after="0"/>
      </w:pPr>
      <w:r>
        <w:separator/>
      </w:r>
    </w:p>
  </w:footnote>
  <w:footnote w:type="continuationSeparator" w:id="0">
    <w:p w14:paraId="1C07249F" w14:textId="77777777" w:rsidR="005E6BF6" w:rsidRDefault="005E6BF6" w:rsidP="00C40A36">
      <w:pPr>
        <w:spacing w:after="0"/>
      </w:pPr>
      <w:r>
        <w:continuationSeparator/>
      </w:r>
    </w:p>
  </w:footnote>
  <w:footnote w:id="1">
    <w:p w14:paraId="30E68DB7" w14:textId="77777777" w:rsidR="005E6BF6" w:rsidRDefault="005E6BF6">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17D76BD7" w14:textId="77777777" w:rsidR="005E6BF6" w:rsidRPr="00A87EF9" w:rsidRDefault="005E6BF6">
      <w:pPr>
        <w:pStyle w:val="FootnoteText"/>
        <w:rPr>
          <w:lang w:val="en-US"/>
        </w:rPr>
      </w:pPr>
      <w:r>
        <w:rPr>
          <w:rStyle w:val="FootnoteReference"/>
        </w:rPr>
        <w:footnoteRef/>
      </w:r>
      <w:r>
        <w:t xml:space="preserve"> The Australian Immunisation Handbook is available at: </w:t>
      </w:r>
      <w:r w:rsidRPr="00A87EF9">
        <w:t>https://immunisationhandbook.health.gov.au</w:t>
      </w:r>
    </w:p>
  </w:footnote>
  <w:footnote w:id="3">
    <w:p w14:paraId="3E50E016" w14:textId="77777777" w:rsidR="005E6BF6" w:rsidRPr="0044465F" w:rsidRDefault="005E6BF6">
      <w:pPr>
        <w:pStyle w:val="FootnoteText"/>
        <w:rPr>
          <w:lang w:val="en-US"/>
        </w:rPr>
      </w:pPr>
      <w:r>
        <w:rPr>
          <w:rStyle w:val="FootnoteReference"/>
        </w:rPr>
        <w:footnoteRef/>
      </w:r>
      <w:r>
        <w:t xml:space="preserve"> </w:t>
      </w:r>
      <w:proofErr w:type="spellStart"/>
      <w:r>
        <w:t>Merieux</w:t>
      </w:r>
      <w:proofErr w:type="spellEnd"/>
      <w:r>
        <w:t xml:space="preserve"> inactivated rabies v</w:t>
      </w:r>
      <w:r w:rsidRPr="0044465F">
        <w:t>accine 2.5</w:t>
      </w:r>
      <w:r>
        <w:t xml:space="preserve"> </w:t>
      </w:r>
      <w:r w:rsidRPr="0044465F">
        <w:t>IU powder for injection vial with diluent syringe</w:t>
      </w:r>
      <w:r>
        <w:t>.</w:t>
      </w:r>
      <w:r w:rsidRPr="0044465F">
        <w:t xml:space="preserve"> </w:t>
      </w:r>
      <w:r>
        <w:t>ARTG number: </w:t>
      </w:r>
      <w:r w:rsidRPr="0044465F">
        <w:t>26675</w:t>
      </w:r>
      <w:r>
        <w:t xml:space="preserve"> Date of first approval: </w:t>
      </w:r>
      <w:r w:rsidRPr="0044465F">
        <w:t>21 October 1991</w:t>
      </w:r>
    </w:p>
  </w:footnote>
  <w:footnote w:id="4">
    <w:p w14:paraId="3FB182AF" w14:textId="77777777" w:rsidR="005E6BF6" w:rsidRPr="0044465F" w:rsidRDefault="005E6BF6">
      <w:pPr>
        <w:pStyle w:val="FootnoteText"/>
        <w:rPr>
          <w:lang w:val="en-US"/>
        </w:rPr>
      </w:pPr>
      <w:r>
        <w:rPr>
          <w:rStyle w:val="FootnoteReference"/>
        </w:rPr>
        <w:footnoteRef/>
      </w:r>
      <w:r>
        <w:t xml:space="preserve"> </w:t>
      </w:r>
      <w:r w:rsidRPr="0044465F">
        <w:t>Rabipur rabies virus vaccine (Inactivated) 2.5 IU powder for injection vial with diluent pre-filled syringe</w:t>
      </w:r>
      <w:r>
        <w:t xml:space="preserve">. ARTG number: </w:t>
      </w:r>
      <w:r w:rsidRPr="0044465F">
        <w:t>298194</w:t>
      </w:r>
      <w:r>
        <w:t xml:space="preserve">. Date of first approval: </w:t>
      </w:r>
      <w:r w:rsidRPr="0044465F">
        <w:t>25 July 2005</w:t>
      </w:r>
      <w:r>
        <w:t>.</w:t>
      </w:r>
    </w:p>
  </w:footnote>
  <w:footnote w:id="5">
    <w:p w14:paraId="17EF537C" w14:textId="77777777" w:rsidR="005E6BF6" w:rsidRPr="0044465F" w:rsidRDefault="005E6BF6">
      <w:pPr>
        <w:pStyle w:val="FootnoteText"/>
        <w:rPr>
          <w:lang w:val="en-US"/>
        </w:rPr>
      </w:pPr>
      <w:r>
        <w:rPr>
          <w:rStyle w:val="FootnoteReference"/>
        </w:rPr>
        <w:footnoteRef/>
      </w:r>
      <w:r>
        <w:t xml:space="preserve"> </w:t>
      </w:r>
      <w:proofErr w:type="spellStart"/>
      <w:r>
        <w:t>Imogam</w:t>
      </w:r>
      <w:proofErr w:type="spellEnd"/>
      <w:r>
        <w:t xml:space="preserve"> rabies p</w:t>
      </w:r>
      <w:r w:rsidRPr="0044465F">
        <w:t>asteurized</w:t>
      </w:r>
      <w:r>
        <w:t>, human rabies immunoglobulin 150 IU/mL injection v</w:t>
      </w:r>
      <w:r w:rsidRPr="0044465F">
        <w:t>ial</w:t>
      </w:r>
      <w:r>
        <w:t xml:space="preserve">. ARTG number: </w:t>
      </w:r>
      <w:r w:rsidRPr="0044465F">
        <w:t>72931</w:t>
      </w:r>
      <w:r>
        <w:t xml:space="preserve">. Date of first approval: </w:t>
      </w:r>
      <w:r w:rsidRPr="0044465F">
        <w:t>23 July 2007</w:t>
      </w:r>
      <w:r>
        <w:t>.</w:t>
      </w:r>
    </w:p>
  </w:footnote>
  <w:footnote w:id="6">
    <w:p w14:paraId="536282B4" w14:textId="77777777" w:rsidR="005E6BF6" w:rsidRDefault="005E6BF6" w:rsidP="002A3D32">
      <w:pPr>
        <w:pStyle w:val="FootnoteText"/>
      </w:pPr>
      <w:r>
        <w:rPr>
          <w:rStyle w:val="FootnoteReference"/>
        </w:rPr>
        <w:footnoteRef/>
      </w:r>
      <w:r>
        <w:t xml:space="preserve"> Section 19A approvals are granted for a specified period, which usually coincides with the period that the medicine on the ARTG is unavailable or in short supply. However, approval may lapse early if:</w:t>
      </w:r>
    </w:p>
    <w:p w14:paraId="053D183F" w14:textId="77777777" w:rsidR="005E6BF6" w:rsidRDefault="005E6BF6" w:rsidP="002A3D32">
      <w:pPr>
        <w:pStyle w:val="FootnoteText"/>
      </w:pPr>
      <w:r>
        <w:t xml:space="preserve">- a decision has been made about </w:t>
      </w:r>
      <w:proofErr w:type="gramStart"/>
      <w:r>
        <w:t>whether or not</w:t>
      </w:r>
      <w:proofErr w:type="gramEnd"/>
      <w:r>
        <w:t xml:space="preserve"> to register the medicine in Australia</w:t>
      </w:r>
    </w:p>
    <w:p w14:paraId="13D7EF19" w14:textId="77777777" w:rsidR="005E6BF6" w:rsidRDefault="005E6BF6" w:rsidP="002A3D32">
      <w:pPr>
        <w:pStyle w:val="FootnoteText"/>
      </w:pPr>
      <w:r>
        <w:t>- any of the specific criteria for approval no longer apply (for example, the registered medicine is no longer in short supply)</w:t>
      </w:r>
    </w:p>
    <w:p w14:paraId="5DFC4D20" w14:textId="77777777" w:rsidR="005E6BF6" w:rsidRDefault="005E6BF6" w:rsidP="002A3D32">
      <w:pPr>
        <w:pStyle w:val="FootnoteText"/>
      </w:pPr>
      <w:r>
        <w:t>- a condition of approval has been breached.</w:t>
      </w:r>
    </w:p>
    <w:p w14:paraId="3327A38F" w14:textId="77777777" w:rsidR="005E6BF6" w:rsidRDefault="005E6BF6" w:rsidP="002A3D32">
      <w:pPr>
        <w:pStyle w:val="FootnoteText"/>
      </w:pPr>
      <w:r>
        <w:t xml:space="preserve">Section 19A approvals are subject to </w:t>
      </w:r>
      <w:proofErr w:type="gramStart"/>
      <w:r>
        <w:t>a number of</w:t>
      </w:r>
      <w:proofErr w:type="gramEnd"/>
      <w:r>
        <w:t xml:space="preserve"> conditions specified by the TGA including the following (though additional conditions can be imposed where the circumstances warrant it):</w:t>
      </w:r>
    </w:p>
    <w:p w14:paraId="12BA841C" w14:textId="77777777" w:rsidR="005E6BF6" w:rsidRDefault="005E6BF6" w:rsidP="002A3D32">
      <w:pPr>
        <w:pStyle w:val="FootnoteText"/>
      </w:pPr>
      <w:r>
        <w:t>- the approval applies only to the medicine specified in the approval</w:t>
      </w:r>
    </w:p>
    <w:p w14:paraId="186AF3E0" w14:textId="77777777" w:rsidR="005E6BF6" w:rsidRDefault="005E6BF6" w:rsidP="002A3D32">
      <w:pPr>
        <w:pStyle w:val="FootnoteText"/>
      </w:pPr>
      <w:r>
        <w:t>- the approval is only for importation into and supply within Australia</w:t>
      </w:r>
    </w:p>
    <w:p w14:paraId="5A1A99B6" w14:textId="77777777" w:rsidR="005E6BF6" w:rsidRDefault="005E6BF6" w:rsidP="002A3D32">
      <w:pPr>
        <w:pStyle w:val="FootnoteText"/>
      </w:pPr>
      <w:r>
        <w:t>- the medicine is sourced from manufacturers with acceptable evidence of Good Manufacturing Practice (GMP)</w:t>
      </w:r>
    </w:p>
    <w:p w14:paraId="4987C3F1" w14:textId="77777777" w:rsidR="005E6BF6" w:rsidRDefault="005E6BF6" w:rsidP="002A3D32">
      <w:pPr>
        <w:pStyle w:val="FootnoteText"/>
      </w:pPr>
      <w:r>
        <w:t>- a letter to health professionals who will be prescribing the medicine is usually required</w:t>
      </w:r>
    </w:p>
    <w:p w14:paraId="7874D2CF" w14:textId="77777777" w:rsidR="005E6BF6" w:rsidRPr="002A3D32" w:rsidRDefault="005E6BF6" w:rsidP="002A3D32">
      <w:pPr>
        <w:pStyle w:val="FootnoteText"/>
        <w:rPr>
          <w:lang w:val="en-US"/>
        </w:rPr>
      </w:pPr>
      <w:r>
        <w:t>- the goods must be labelled with the name and address of the approval holder to ensure that adverse events can be reported.</w:t>
      </w:r>
    </w:p>
  </w:footnote>
  <w:footnote w:id="7">
    <w:p w14:paraId="34C83C5F" w14:textId="77777777" w:rsidR="005E6BF6" w:rsidRPr="00B21E67" w:rsidRDefault="005E6BF6">
      <w:pPr>
        <w:pStyle w:val="FootnoteText"/>
        <w:rPr>
          <w:lang w:val="en-US"/>
        </w:rPr>
      </w:pPr>
      <w:r>
        <w:rPr>
          <w:rStyle w:val="FootnoteReference"/>
        </w:rPr>
        <w:footnoteRef/>
      </w:r>
      <w:r>
        <w:t xml:space="preserve"> United States Pharmacopeia; (BBBBP05) Biologics and Biotechnology – Blood and Blood Products (expert committee): </w:t>
      </w:r>
      <w:r>
        <w:rPr>
          <w:lang w:val="en-US"/>
        </w:rPr>
        <w:t>Rabies Immune Globulin; USP29-NF24, page 1887.</w:t>
      </w:r>
    </w:p>
  </w:footnote>
  <w:footnote w:id="8">
    <w:p w14:paraId="00C0D505" w14:textId="77777777" w:rsidR="005E6BF6" w:rsidRPr="004C0507" w:rsidRDefault="005E6BF6">
      <w:pPr>
        <w:pStyle w:val="FootnoteText"/>
        <w:rPr>
          <w:lang w:val="en-US"/>
        </w:rPr>
      </w:pPr>
      <w:r>
        <w:rPr>
          <w:rStyle w:val="FootnoteReference"/>
        </w:rPr>
        <w:footnoteRef/>
      </w:r>
      <w:r>
        <w:t xml:space="preserve"> </w:t>
      </w:r>
      <w:r w:rsidRPr="004C0507">
        <w:t>Ph. Eur., Monograph 0338 Human Normal, Immunoglobulin for Intramuscular Administration</w:t>
      </w:r>
    </w:p>
  </w:footnote>
  <w:footnote w:id="9">
    <w:p w14:paraId="00B8BF64" w14:textId="77777777" w:rsidR="005E6BF6" w:rsidRPr="00BD5F25" w:rsidRDefault="005E6BF6">
      <w:pPr>
        <w:pStyle w:val="FootnoteText"/>
        <w:rPr>
          <w:lang w:val="en-US"/>
        </w:rPr>
      </w:pPr>
      <w:r>
        <w:rPr>
          <w:rStyle w:val="FootnoteReference"/>
        </w:rPr>
        <w:footnoteRef/>
      </w:r>
      <w:r>
        <w:t xml:space="preserve"> </w:t>
      </w:r>
      <w:r w:rsidRPr="00BD5F25">
        <w:rPr>
          <w:b/>
        </w:rPr>
        <w:t>RFFIT</w:t>
      </w:r>
      <w:r w:rsidRPr="00BD5F25">
        <w:t xml:space="preserve"> stands for </w:t>
      </w:r>
      <w:r w:rsidRPr="00BD5F25">
        <w:rPr>
          <w:b/>
        </w:rPr>
        <w:t>rapid fluorescent foci inhibition test</w:t>
      </w:r>
      <w:r>
        <w:t>. It is a serum neutralis</w:t>
      </w:r>
      <w:r w:rsidRPr="00BD5F25">
        <w:t xml:space="preserve">ation (inhibition) test, which means it measures the ability of rabies </w:t>
      </w:r>
      <w:r>
        <w:t>specific antibodies to neutralis</w:t>
      </w:r>
      <w:r w:rsidRPr="00BD5F25">
        <w:t>e rabies virus and prevent the virus from infecting cells. These antibodies a</w:t>
      </w:r>
      <w:r>
        <w:t>re called rabies virus neutralis</w:t>
      </w:r>
      <w:r w:rsidRPr="00BD5F25">
        <w:t>ing antibodies (RVNA).</w:t>
      </w:r>
    </w:p>
  </w:footnote>
  <w:footnote w:id="10">
    <w:p w14:paraId="4A931700" w14:textId="77777777" w:rsidR="005E6BF6" w:rsidRDefault="005E6BF6"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07E63EC5" w14:textId="77777777" w:rsidR="005E6BF6" w:rsidRDefault="005E6BF6" w:rsidP="007D53B6">
      <w:pPr>
        <w:pStyle w:val="FootnoteText"/>
      </w:pPr>
      <w:r w:rsidRPr="007D53B6">
        <w:rPr>
          <w:i/>
        </w:rPr>
        <w:t>Routine pharmacovigilance</w:t>
      </w:r>
      <w:r>
        <w:t xml:space="preserve"> practices involve the following activities:</w:t>
      </w:r>
    </w:p>
    <w:p w14:paraId="2702B5AE" w14:textId="77777777" w:rsidR="005E6BF6" w:rsidRDefault="005E6BF6"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2E008AD6" w14:textId="77777777" w:rsidR="005E6BF6" w:rsidRDefault="005E6BF6" w:rsidP="007D53B6">
      <w:pPr>
        <w:pStyle w:val="FootnoteText"/>
        <w:numPr>
          <w:ilvl w:val="0"/>
          <w:numId w:val="32"/>
        </w:numPr>
        <w:ind w:left="284" w:hanging="284"/>
      </w:pPr>
      <w:r>
        <w:t xml:space="preserve">Reporting to regulatory </w:t>
      </w:r>
      <w:proofErr w:type="gramStart"/>
      <w:r>
        <w:t>authorities;</w:t>
      </w:r>
      <w:proofErr w:type="gramEnd"/>
    </w:p>
    <w:p w14:paraId="65DAF72D" w14:textId="77777777" w:rsidR="005E6BF6" w:rsidRDefault="005E6BF6"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1C496579" w14:textId="77777777" w:rsidR="005E6BF6" w:rsidRDefault="005E6BF6" w:rsidP="007D53B6">
      <w:pPr>
        <w:pStyle w:val="FootnoteText"/>
        <w:numPr>
          <w:ilvl w:val="0"/>
          <w:numId w:val="32"/>
        </w:numPr>
        <w:ind w:left="284" w:hanging="284"/>
      </w:pPr>
      <w:r>
        <w:t xml:space="preserve">Submission of </w:t>
      </w:r>
      <w:proofErr w:type="gramStart"/>
      <w:r>
        <w:t>PSURs;</w:t>
      </w:r>
      <w:proofErr w:type="gramEnd"/>
    </w:p>
    <w:p w14:paraId="46C68A8E" w14:textId="77777777" w:rsidR="005E6BF6" w:rsidRDefault="005E6BF6" w:rsidP="007D53B6">
      <w:pPr>
        <w:pStyle w:val="FootnoteText"/>
        <w:numPr>
          <w:ilvl w:val="0"/>
          <w:numId w:val="32"/>
        </w:numPr>
        <w:ind w:left="284" w:hanging="284"/>
      </w:pPr>
      <w:r>
        <w:t>Meeting other local regulatory agency requirements.</w:t>
      </w:r>
    </w:p>
  </w:footnote>
  <w:footnote w:id="11">
    <w:p w14:paraId="49BE3AE2" w14:textId="77777777" w:rsidR="005E6BF6" w:rsidRPr="00456765" w:rsidRDefault="005E6BF6"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FB369D">
        <w:t>pre market</w:t>
      </w:r>
      <w:proofErr w:type="gramEnd"/>
      <w:r w:rsidRPr="00FB369D">
        <w:t xml:space="preserve"> and post-market functions for medicines. Further information can be found here: </w:t>
      </w:r>
      <w:hyperlink r:id="rId1" w:history="1">
        <w:r w:rsidRPr="0004151A">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E0B40" w14:textId="77777777" w:rsidR="005E6BF6" w:rsidRDefault="005E6BF6"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F045C" w14:textId="77777777" w:rsidR="005E6BF6" w:rsidRDefault="005E6BF6">
    <w:pPr>
      <w:rPr>
        <w:noProof/>
        <w:lang w:eastAsia="en-AU"/>
      </w:rPr>
    </w:pPr>
    <w:r w:rsidRPr="00347824">
      <w:rPr>
        <w:noProof/>
        <w:lang w:val="en-GB" w:eastAsia="en-GB"/>
      </w:rPr>
      <w:drawing>
        <wp:anchor distT="0" distB="0" distL="114300" distR="114300" simplePos="0" relativeHeight="251659264" behindDoc="1" locked="0" layoutInCell="1" allowOverlap="1" wp14:anchorId="5A499420" wp14:editId="5CF47E1E">
          <wp:simplePos x="0" y="0"/>
          <wp:positionH relativeFrom="column">
            <wp:posOffset>-1089660</wp:posOffset>
          </wp:positionH>
          <wp:positionV relativeFrom="paragraph">
            <wp:posOffset>-585470</wp:posOffset>
          </wp:positionV>
          <wp:extent cx="7572375" cy="10706100"/>
          <wp:effectExtent l="19050" t="0" r="0" b="0"/>
          <wp:wrapNone/>
          <wp:docPr id="7"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0">
                    <a:extLst>
                      <a:ext uri="{C183D7F6-B498-43B3-948B-1728B52AA6E4}">
                        <adec:decorative xmlns:adec="http://schemas.microsoft.com/office/drawing/2017/decorative" val="1"/>
                      </a:ext>
                    </a:extLst>
                  </pic:cNvPr>
                  <pic:cNvPicPr/>
                </pic:nvPicPr>
                <pic:blipFill>
                  <a:blip r:embed="rId1"/>
                  <a:stretch>
                    <a:fillRect/>
                  </a:stretch>
                </pic:blipFill>
                <pic:spPr>
                  <a:xfrm>
                    <a:off x="0" y="0"/>
                    <a:ext cx="7568736" cy="10706100"/>
                  </a:xfrm>
                  <a:prstGeom prst="rect">
                    <a:avLst/>
                  </a:prstGeom>
                </pic:spPr>
              </pic:pic>
            </a:graphicData>
          </a:graphic>
        </wp:anchor>
      </w:drawing>
    </w:r>
  </w:p>
  <w:p w14:paraId="2E570548" w14:textId="77777777" w:rsidR="005E6BF6" w:rsidRDefault="005E6BF6"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C01B8" w14:textId="77777777" w:rsidR="005E6BF6" w:rsidRDefault="005E6B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058D7" w14:textId="77777777" w:rsidR="005E6BF6" w:rsidRDefault="005E6BF6">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5A439" w14:textId="77777777" w:rsidR="005E6BF6" w:rsidRDefault="005E6BF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C512D" w14:textId="77777777" w:rsidR="005E6BF6" w:rsidRDefault="005E6B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F8A8A" w14:textId="77777777" w:rsidR="005E6BF6" w:rsidRDefault="005E6BF6"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65984" w14:textId="77777777" w:rsidR="005E6BF6" w:rsidRDefault="005E6BF6" w:rsidP="006E08B3">
    <w:r>
      <w:t>Therapeutic Goods Administration</w:t>
    </w:r>
  </w:p>
  <w:p w14:paraId="78A5155C" w14:textId="77777777" w:rsidR="005E6BF6" w:rsidRDefault="005E6BF6"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776B7E"/>
    <w:multiLevelType w:val="hybridMultilevel"/>
    <w:tmpl w:val="3B64E9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37C5560"/>
    <w:multiLevelType w:val="hybridMultilevel"/>
    <w:tmpl w:val="605C00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287866"/>
    <w:multiLevelType w:val="hybridMultilevel"/>
    <w:tmpl w:val="490E28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4"/>
  </w:num>
  <w:num w:numId="29">
    <w:abstractNumId w:val="6"/>
  </w:num>
  <w:num w:numId="30">
    <w:abstractNumId w:val="8"/>
  </w:num>
  <w:num w:numId="31">
    <w:abstractNumId w:val="4"/>
  </w:num>
  <w:num w:numId="32">
    <w:abstractNumId w:val="11"/>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601"/>
    <w:rsid w:val="00002031"/>
    <w:rsid w:val="00004734"/>
    <w:rsid w:val="00006B22"/>
    <w:rsid w:val="00006FAB"/>
    <w:rsid w:val="0001276A"/>
    <w:rsid w:val="000246AE"/>
    <w:rsid w:val="00025C67"/>
    <w:rsid w:val="00044772"/>
    <w:rsid w:val="0004541C"/>
    <w:rsid w:val="0005559E"/>
    <w:rsid w:val="000604D6"/>
    <w:rsid w:val="000734D8"/>
    <w:rsid w:val="00077775"/>
    <w:rsid w:val="00090471"/>
    <w:rsid w:val="00096AA7"/>
    <w:rsid w:val="00097DF6"/>
    <w:rsid w:val="000A3AED"/>
    <w:rsid w:val="000B3532"/>
    <w:rsid w:val="000B3A75"/>
    <w:rsid w:val="000C00C2"/>
    <w:rsid w:val="000C4EC6"/>
    <w:rsid w:val="000C67DF"/>
    <w:rsid w:val="000C690F"/>
    <w:rsid w:val="000D1295"/>
    <w:rsid w:val="000D1F85"/>
    <w:rsid w:val="000D391B"/>
    <w:rsid w:val="000D3D6D"/>
    <w:rsid w:val="000D4FC7"/>
    <w:rsid w:val="000E6196"/>
    <w:rsid w:val="000F4869"/>
    <w:rsid w:val="000F5B42"/>
    <w:rsid w:val="000F6E6F"/>
    <w:rsid w:val="0010601F"/>
    <w:rsid w:val="0010788A"/>
    <w:rsid w:val="00107A31"/>
    <w:rsid w:val="00110EA5"/>
    <w:rsid w:val="001129B6"/>
    <w:rsid w:val="00112F56"/>
    <w:rsid w:val="00114F76"/>
    <w:rsid w:val="00122C2E"/>
    <w:rsid w:val="00124ACD"/>
    <w:rsid w:val="00125318"/>
    <w:rsid w:val="001302D9"/>
    <w:rsid w:val="001305A2"/>
    <w:rsid w:val="00133238"/>
    <w:rsid w:val="00133A1B"/>
    <w:rsid w:val="00135FDF"/>
    <w:rsid w:val="0014197B"/>
    <w:rsid w:val="001447CD"/>
    <w:rsid w:val="001516B1"/>
    <w:rsid w:val="00154EBB"/>
    <w:rsid w:val="00156316"/>
    <w:rsid w:val="00161181"/>
    <w:rsid w:val="00162D14"/>
    <w:rsid w:val="00163519"/>
    <w:rsid w:val="00163780"/>
    <w:rsid w:val="00165389"/>
    <w:rsid w:val="00165C39"/>
    <w:rsid w:val="0017693F"/>
    <w:rsid w:val="0018110E"/>
    <w:rsid w:val="00181684"/>
    <w:rsid w:val="001843C6"/>
    <w:rsid w:val="001850E0"/>
    <w:rsid w:val="001A03AF"/>
    <w:rsid w:val="001A2158"/>
    <w:rsid w:val="001A525F"/>
    <w:rsid w:val="001B09F9"/>
    <w:rsid w:val="001B5C90"/>
    <w:rsid w:val="001B6448"/>
    <w:rsid w:val="001C0D9A"/>
    <w:rsid w:val="001C32CD"/>
    <w:rsid w:val="001D2984"/>
    <w:rsid w:val="001E07CF"/>
    <w:rsid w:val="001E59F1"/>
    <w:rsid w:val="001F2CEE"/>
    <w:rsid w:val="001F49EB"/>
    <w:rsid w:val="001F6CBA"/>
    <w:rsid w:val="00201D4E"/>
    <w:rsid w:val="0020251F"/>
    <w:rsid w:val="002076C9"/>
    <w:rsid w:val="00220B8A"/>
    <w:rsid w:val="002257F3"/>
    <w:rsid w:val="00227762"/>
    <w:rsid w:val="00233456"/>
    <w:rsid w:val="002339A5"/>
    <w:rsid w:val="00250271"/>
    <w:rsid w:val="00257848"/>
    <w:rsid w:val="002578E8"/>
    <w:rsid w:val="0027084A"/>
    <w:rsid w:val="00277A3D"/>
    <w:rsid w:val="00280265"/>
    <w:rsid w:val="00286434"/>
    <w:rsid w:val="00286C59"/>
    <w:rsid w:val="00291957"/>
    <w:rsid w:val="002940E9"/>
    <w:rsid w:val="002942D1"/>
    <w:rsid w:val="0029501A"/>
    <w:rsid w:val="002A1F00"/>
    <w:rsid w:val="002A3721"/>
    <w:rsid w:val="002A3D32"/>
    <w:rsid w:val="002A66C5"/>
    <w:rsid w:val="002B1638"/>
    <w:rsid w:val="002B3624"/>
    <w:rsid w:val="002C359B"/>
    <w:rsid w:val="002D0952"/>
    <w:rsid w:val="002E40B3"/>
    <w:rsid w:val="002E479B"/>
    <w:rsid w:val="002E4C9A"/>
    <w:rsid w:val="002F11F8"/>
    <w:rsid w:val="002F3F56"/>
    <w:rsid w:val="002F44B5"/>
    <w:rsid w:val="002F5122"/>
    <w:rsid w:val="00311AC0"/>
    <w:rsid w:val="003176FC"/>
    <w:rsid w:val="00324E45"/>
    <w:rsid w:val="0032583B"/>
    <w:rsid w:val="00327883"/>
    <w:rsid w:val="00331A41"/>
    <w:rsid w:val="00332F20"/>
    <w:rsid w:val="00335504"/>
    <w:rsid w:val="00340C18"/>
    <w:rsid w:val="003442FD"/>
    <w:rsid w:val="00347824"/>
    <w:rsid w:val="00350567"/>
    <w:rsid w:val="003521E8"/>
    <w:rsid w:val="00370CE3"/>
    <w:rsid w:val="003728F3"/>
    <w:rsid w:val="003735BC"/>
    <w:rsid w:val="0037496E"/>
    <w:rsid w:val="00383221"/>
    <w:rsid w:val="00383C24"/>
    <w:rsid w:val="00386150"/>
    <w:rsid w:val="003874CE"/>
    <w:rsid w:val="00390900"/>
    <w:rsid w:val="003A2870"/>
    <w:rsid w:val="003A7F6C"/>
    <w:rsid w:val="003B4D60"/>
    <w:rsid w:val="003B7E39"/>
    <w:rsid w:val="003C58DC"/>
    <w:rsid w:val="003D1E62"/>
    <w:rsid w:val="003E0B99"/>
    <w:rsid w:val="003E2486"/>
    <w:rsid w:val="003E3208"/>
    <w:rsid w:val="003E69FD"/>
    <w:rsid w:val="003F0B04"/>
    <w:rsid w:val="0040134E"/>
    <w:rsid w:val="004334C7"/>
    <w:rsid w:val="0043457A"/>
    <w:rsid w:val="00440A2D"/>
    <w:rsid w:val="00441C3F"/>
    <w:rsid w:val="0044465F"/>
    <w:rsid w:val="00444BA8"/>
    <w:rsid w:val="00444D1A"/>
    <w:rsid w:val="0045186A"/>
    <w:rsid w:val="004564A7"/>
    <w:rsid w:val="00456765"/>
    <w:rsid w:val="00460036"/>
    <w:rsid w:val="004617BF"/>
    <w:rsid w:val="00463658"/>
    <w:rsid w:val="00463777"/>
    <w:rsid w:val="004637A0"/>
    <w:rsid w:val="004722CC"/>
    <w:rsid w:val="00490483"/>
    <w:rsid w:val="004936E4"/>
    <w:rsid w:val="00494E60"/>
    <w:rsid w:val="00497487"/>
    <w:rsid w:val="004A2340"/>
    <w:rsid w:val="004A2771"/>
    <w:rsid w:val="004A351C"/>
    <w:rsid w:val="004A6189"/>
    <w:rsid w:val="004A7390"/>
    <w:rsid w:val="004B7B76"/>
    <w:rsid w:val="004C0507"/>
    <w:rsid w:val="004C239D"/>
    <w:rsid w:val="004C2DCA"/>
    <w:rsid w:val="004C4DE8"/>
    <w:rsid w:val="004C4FBE"/>
    <w:rsid w:val="004C61D2"/>
    <w:rsid w:val="004F0C4A"/>
    <w:rsid w:val="004F0F38"/>
    <w:rsid w:val="004F47D6"/>
    <w:rsid w:val="00500337"/>
    <w:rsid w:val="00501921"/>
    <w:rsid w:val="00513E74"/>
    <w:rsid w:val="005252B2"/>
    <w:rsid w:val="00530354"/>
    <w:rsid w:val="0053625B"/>
    <w:rsid w:val="005434C6"/>
    <w:rsid w:val="00543B39"/>
    <w:rsid w:val="00546154"/>
    <w:rsid w:val="00550096"/>
    <w:rsid w:val="00555280"/>
    <w:rsid w:val="00557FF9"/>
    <w:rsid w:val="00562327"/>
    <w:rsid w:val="00564E2D"/>
    <w:rsid w:val="005711D5"/>
    <w:rsid w:val="00576378"/>
    <w:rsid w:val="00577130"/>
    <w:rsid w:val="00577945"/>
    <w:rsid w:val="00577E38"/>
    <w:rsid w:val="00585322"/>
    <w:rsid w:val="005857C6"/>
    <w:rsid w:val="00592F6E"/>
    <w:rsid w:val="00593AD1"/>
    <w:rsid w:val="00594E5A"/>
    <w:rsid w:val="005A19AC"/>
    <w:rsid w:val="005A68B6"/>
    <w:rsid w:val="005B4EBF"/>
    <w:rsid w:val="005C5570"/>
    <w:rsid w:val="005C5B66"/>
    <w:rsid w:val="005C75FA"/>
    <w:rsid w:val="005C79A4"/>
    <w:rsid w:val="005D0007"/>
    <w:rsid w:val="005D5442"/>
    <w:rsid w:val="005E1A8F"/>
    <w:rsid w:val="005E6BF6"/>
    <w:rsid w:val="0060187F"/>
    <w:rsid w:val="00603F32"/>
    <w:rsid w:val="00605AD4"/>
    <w:rsid w:val="006136D7"/>
    <w:rsid w:val="00625A6E"/>
    <w:rsid w:val="006260C5"/>
    <w:rsid w:val="00630871"/>
    <w:rsid w:val="00632398"/>
    <w:rsid w:val="006336A5"/>
    <w:rsid w:val="00640FC3"/>
    <w:rsid w:val="00642020"/>
    <w:rsid w:val="006430EE"/>
    <w:rsid w:val="0065337B"/>
    <w:rsid w:val="0065419D"/>
    <w:rsid w:val="006603BC"/>
    <w:rsid w:val="006604D8"/>
    <w:rsid w:val="00660616"/>
    <w:rsid w:val="00664A5B"/>
    <w:rsid w:val="0066735C"/>
    <w:rsid w:val="00667671"/>
    <w:rsid w:val="006763D2"/>
    <w:rsid w:val="00680C08"/>
    <w:rsid w:val="006916A0"/>
    <w:rsid w:val="006931B1"/>
    <w:rsid w:val="006A15C0"/>
    <w:rsid w:val="006A58A8"/>
    <w:rsid w:val="006A7977"/>
    <w:rsid w:val="006C04CE"/>
    <w:rsid w:val="006C3774"/>
    <w:rsid w:val="006C3E2A"/>
    <w:rsid w:val="006C642F"/>
    <w:rsid w:val="006D03E5"/>
    <w:rsid w:val="006D24FF"/>
    <w:rsid w:val="006D5D3E"/>
    <w:rsid w:val="006E08B3"/>
    <w:rsid w:val="006E0AB7"/>
    <w:rsid w:val="006E15D2"/>
    <w:rsid w:val="006F17AC"/>
    <w:rsid w:val="006F25B8"/>
    <w:rsid w:val="006F572E"/>
    <w:rsid w:val="006F6317"/>
    <w:rsid w:val="00703367"/>
    <w:rsid w:val="007038EA"/>
    <w:rsid w:val="007046D6"/>
    <w:rsid w:val="00705DB0"/>
    <w:rsid w:val="00716E39"/>
    <w:rsid w:val="00722B57"/>
    <w:rsid w:val="00730F8A"/>
    <w:rsid w:val="00735A8C"/>
    <w:rsid w:val="0074253D"/>
    <w:rsid w:val="00744121"/>
    <w:rsid w:val="0074429B"/>
    <w:rsid w:val="00747763"/>
    <w:rsid w:val="007615BC"/>
    <w:rsid w:val="00762F05"/>
    <w:rsid w:val="007652FF"/>
    <w:rsid w:val="00770CAC"/>
    <w:rsid w:val="00770EF1"/>
    <w:rsid w:val="00773937"/>
    <w:rsid w:val="00773EF7"/>
    <w:rsid w:val="00774E1D"/>
    <w:rsid w:val="007765D8"/>
    <w:rsid w:val="0077675A"/>
    <w:rsid w:val="007767F1"/>
    <w:rsid w:val="00780355"/>
    <w:rsid w:val="007819FD"/>
    <w:rsid w:val="00785717"/>
    <w:rsid w:val="00785721"/>
    <w:rsid w:val="00793A59"/>
    <w:rsid w:val="007A46F5"/>
    <w:rsid w:val="007A6505"/>
    <w:rsid w:val="007B3C4A"/>
    <w:rsid w:val="007B6132"/>
    <w:rsid w:val="007B6E9F"/>
    <w:rsid w:val="007C1216"/>
    <w:rsid w:val="007C1AF7"/>
    <w:rsid w:val="007C6B9B"/>
    <w:rsid w:val="007D53B6"/>
    <w:rsid w:val="007F0039"/>
    <w:rsid w:val="00805D27"/>
    <w:rsid w:val="00806DCB"/>
    <w:rsid w:val="00821776"/>
    <w:rsid w:val="00822DEC"/>
    <w:rsid w:val="008321F5"/>
    <w:rsid w:val="00832369"/>
    <w:rsid w:val="0083314B"/>
    <w:rsid w:val="00834660"/>
    <w:rsid w:val="00836BC2"/>
    <w:rsid w:val="0085156D"/>
    <w:rsid w:val="00852B28"/>
    <w:rsid w:val="0085641B"/>
    <w:rsid w:val="00857136"/>
    <w:rsid w:val="00874A75"/>
    <w:rsid w:val="00875A6B"/>
    <w:rsid w:val="00885B11"/>
    <w:rsid w:val="00886D15"/>
    <w:rsid w:val="00887DD8"/>
    <w:rsid w:val="00891BA9"/>
    <w:rsid w:val="00895199"/>
    <w:rsid w:val="00896018"/>
    <w:rsid w:val="008960DD"/>
    <w:rsid w:val="0089635C"/>
    <w:rsid w:val="008A2B9D"/>
    <w:rsid w:val="008A394F"/>
    <w:rsid w:val="008A3D9F"/>
    <w:rsid w:val="008A5E0B"/>
    <w:rsid w:val="008A6D59"/>
    <w:rsid w:val="008B4B03"/>
    <w:rsid w:val="008B596F"/>
    <w:rsid w:val="008C159F"/>
    <w:rsid w:val="008C1623"/>
    <w:rsid w:val="008C1850"/>
    <w:rsid w:val="008C51A9"/>
    <w:rsid w:val="008D5A32"/>
    <w:rsid w:val="008D751D"/>
    <w:rsid w:val="008E1F44"/>
    <w:rsid w:val="008E7846"/>
    <w:rsid w:val="008F02E5"/>
    <w:rsid w:val="008F1CCC"/>
    <w:rsid w:val="008F2967"/>
    <w:rsid w:val="008F6943"/>
    <w:rsid w:val="008F6E1B"/>
    <w:rsid w:val="0090240F"/>
    <w:rsid w:val="00902A21"/>
    <w:rsid w:val="00906797"/>
    <w:rsid w:val="0091523F"/>
    <w:rsid w:val="00920330"/>
    <w:rsid w:val="009219D7"/>
    <w:rsid w:val="00922D53"/>
    <w:rsid w:val="00923B70"/>
    <w:rsid w:val="00924482"/>
    <w:rsid w:val="00924BC3"/>
    <w:rsid w:val="00930237"/>
    <w:rsid w:val="00937C17"/>
    <w:rsid w:val="00940A89"/>
    <w:rsid w:val="00941F77"/>
    <w:rsid w:val="00946EA5"/>
    <w:rsid w:val="00960520"/>
    <w:rsid w:val="00963C08"/>
    <w:rsid w:val="00966608"/>
    <w:rsid w:val="009752A5"/>
    <w:rsid w:val="0098585A"/>
    <w:rsid w:val="009A4CED"/>
    <w:rsid w:val="009A690D"/>
    <w:rsid w:val="009A77DE"/>
    <w:rsid w:val="009B1D12"/>
    <w:rsid w:val="009B416B"/>
    <w:rsid w:val="009C4BD5"/>
    <w:rsid w:val="009D510A"/>
    <w:rsid w:val="009D7B77"/>
    <w:rsid w:val="009E0BB0"/>
    <w:rsid w:val="009E3FBB"/>
    <w:rsid w:val="009F5A0B"/>
    <w:rsid w:val="009F7353"/>
    <w:rsid w:val="00A04F85"/>
    <w:rsid w:val="00A05FA4"/>
    <w:rsid w:val="00A102E4"/>
    <w:rsid w:val="00A1219C"/>
    <w:rsid w:val="00A12C42"/>
    <w:rsid w:val="00A14DF7"/>
    <w:rsid w:val="00A22D57"/>
    <w:rsid w:val="00A3246D"/>
    <w:rsid w:val="00A36FA7"/>
    <w:rsid w:val="00A438C4"/>
    <w:rsid w:val="00A44DDB"/>
    <w:rsid w:val="00A475B7"/>
    <w:rsid w:val="00A47AF7"/>
    <w:rsid w:val="00A47C3E"/>
    <w:rsid w:val="00A50226"/>
    <w:rsid w:val="00A5289A"/>
    <w:rsid w:val="00A60BAD"/>
    <w:rsid w:val="00A77F87"/>
    <w:rsid w:val="00A80B5B"/>
    <w:rsid w:val="00A84E36"/>
    <w:rsid w:val="00A87EF9"/>
    <w:rsid w:val="00A911D0"/>
    <w:rsid w:val="00A964D1"/>
    <w:rsid w:val="00AA0ED0"/>
    <w:rsid w:val="00AB7075"/>
    <w:rsid w:val="00AC2B40"/>
    <w:rsid w:val="00AC2BB2"/>
    <w:rsid w:val="00AC2C3C"/>
    <w:rsid w:val="00AC33BC"/>
    <w:rsid w:val="00AC512D"/>
    <w:rsid w:val="00AD0083"/>
    <w:rsid w:val="00AD3935"/>
    <w:rsid w:val="00AD4B27"/>
    <w:rsid w:val="00AD7FFE"/>
    <w:rsid w:val="00AE65EB"/>
    <w:rsid w:val="00AE67A7"/>
    <w:rsid w:val="00AF1D94"/>
    <w:rsid w:val="00AF60C5"/>
    <w:rsid w:val="00B009C6"/>
    <w:rsid w:val="00B01548"/>
    <w:rsid w:val="00B056FD"/>
    <w:rsid w:val="00B130C5"/>
    <w:rsid w:val="00B13EBD"/>
    <w:rsid w:val="00B21D29"/>
    <w:rsid w:val="00B21E67"/>
    <w:rsid w:val="00B25034"/>
    <w:rsid w:val="00B30886"/>
    <w:rsid w:val="00B33588"/>
    <w:rsid w:val="00B33863"/>
    <w:rsid w:val="00B34D02"/>
    <w:rsid w:val="00B37D17"/>
    <w:rsid w:val="00B4175E"/>
    <w:rsid w:val="00B41C85"/>
    <w:rsid w:val="00B452CE"/>
    <w:rsid w:val="00B471D6"/>
    <w:rsid w:val="00B54C25"/>
    <w:rsid w:val="00B7047C"/>
    <w:rsid w:val="00B76B91"/>
    <w:rsid w:val="00B77EB1"/>
    <w:rsid w:val="00B811C6"/>
    <w:rsid w:val="00B8406A"/>
    <w:rsid w:val="00B855B0"/>
    <w:rsid w:val="00B86A24"/>
    <w:rsid w:val="00B92538"/>
    <w:rsid w:val="00B92E08"/>
    <w:rsid w:val="00BA5B5F"/>
    <w:rsid w:val="00BA6D19"/>
    <w:rsid w:val="00BC622A"/>
    <w:rsid w:val="00BD1F85"/>
    <w:rsid w:val="00BD289B"/>
    <w:rsid w:val="00BD5F25"/>
    <w:rsid w:val="00BE0A78"/>
    <w:rsid w:val="00BE79F0"/>
    <w:rsid w:val="00BF046D"/>
    <w:rsid w:val="00BF1190"/>
    <w:rsid w:val="00BF3774"/>
    <w:rsid w:val="00BF5D04"/>
    <w:rsid w:val="00C000F1"/>
    <w:rsid w:val="00C009AA"/>
    <w:rsid w:val="00C04580"/>
    <w:rsid w:val="00C1164D"/>
    <w:rsid w:val="00C16861"/>
    <w:rsid w:val="00C27598"/>
    <w:rsid w:val="00C346AB"/>
    <w:rsid w:val="00C404A6"/>
    <w:rsid w:val="00C40A36"/>
    <w:rsid w:val="00C4241F"/>
    <w:rsid w:val="00C44419"/>
    <w:rsid w:val="00C45E7B"/>
    <w:rsid w:val="00C471B1"/>
    <w:rsid w:val="00C525A2"/>
    <w:rsid w:val="00C52E24"/>
    <w:rsid w:val="00C6316B"/>
    <w:rsid w:val="00C634A9"/>
    <w:rsid w:val="00C64586"/>
    <w:rsid w:val="00C70A36"/>
    <w:rsid w:val="00C70D53"/>
    <w:rsid w:val="00C73D0B"/>
    <w:rsid w:val="00C74F5C"/>
    <w:rsid w:val="00C75526"/>
    <w:rsid w:val="00C772FF"/>
    <w:rsid w:val="00C80137"/>
    <w:rsid w:val="00C801AF"/>
    <w:rsid w:val="00C80256"/>
    <w:rsid w:val="00C94CD4"/>
    <w:rsid w:val="00C9747E"/>
    <w:rsid w:val="00CB6BC0"/>
    <w:rsid w:val="00CC1B7C"/>
    <w:rsid w:val="00CC727F"/>
    <w:rsid w:val="00CD1B77"/>
    <w:rsid w:val="00CF15C3"/>
    <w:rsid w:val="00CF2B6F"/>
    <w:rsid w:val="00CF2F3E"/>
    <w:rsid w:val="00CF58B6"/>
    <w:rsid w:val="00CF5DAD"/>
    <w:rsid w:val="00D0062D"/>
    <w:rsid w:val="00D017ED"/>
    <w:rsid w:val="00D040D3"/>
    <w:rsid w:val="00D04C65"/>
    <w:rsid w:val="00D062AB"/>
    <w:rsid w:val="00D153D8"/>
    <w:rsid w:val="00D201D2"/>
    <w:rsid w:val="00D224FE"/>
    <w:rsid w:val="00D23139"/>
    <w:rsid w:val="00D24821"/>
    <w:rsid w:val="00D425BB"/>
    <w:rsid w:val="00D453FA"/>
    <w:rsid w:val="00D543EA"/>
    <w:rsid w:val="00D6493E"/>
    <w:rsid w:val="00D7195D"/>
    <w:rsid w:val="00D7301E"/>
    <w:rsid w:val="00D766DD"/>
    <w:rsid w:val="00D83AE1"/>
    <w:rsid w:val="00D855D4"/>
    <w:rsid w:val="00D902C9"/>
    <w:rsid w:val="00D90B54"/>
    <w:rsid w:val="00D91B62"/>
    <w:rsid w:val="00D93108"/>
    <w:rsid w:val="00D93466"/>
    <w:rsid w:val="00DA1124"/>
    <w:rsid w:val="00DA516A"/>
    <w:rsid w:val="00DA64CB"/>
    <w:rsid w:val="00DB06B8"/>
    <w:rsid w:val="00DB6124"/>
    <w:rsid w:val="00DB750B"/>
    <w:rsid w:val="00DB75B7"/>
    <w:rsid w:val="00DC0A2F"/>
    <w:rsid w:val="00DC1948"/>
    <w:rsid w:val="00DC6E02"/>
    <w:rsid w:val="00DD28CD"/>
    <w:rsid w:val="00DD72E0"/>
    <w:rsid w:val="00DE02AE"/>
    <w:rsid w:val="00DE1914"/>
    <w:rsid w:val="00DE39D1"/>
    <w:rsid w:val="00DF1D7F"/>
    <w:rsid w:val="00DF4BE4"/>
    <w:rsid w:val="00E02382"/>
    <w:rsid w:val="00E02FB4"/>
    <w:rsid w:val="00E040EA"/>
    <w:rsid w:val="00E1192E"/>
    <w:rsid w:val="00E13FC7"/>
    <w:rsid w:val="00E20571"/>
    <w:rsid w:val="00E235F7"/>
    <w:rsid w:val="00E23659"/>
    <w:rsid w:val="00E239D4"/>
    <w:rsid w:val="00E26130"/>
    <w:rsid w:val="00E33D42"/>
    <w:rsid w:val="00E40B22"/>
    <w:rsid w:val="00E44ED1"/>
    <w:rsid w:val="00E45619"/>
    <w:rsid w:val="00E4588F"/>
    <w:rsid w:val="00E46DA3"/>
    <w:rsid w:val="00E51BB1"/>
    <w:rsid w:val="00E55CB0"/>
    <w:rsid w:val="00E624A5"/>
    <w:rsid w:val="00E64BA4"/>
    <w:rsid w:val="00E7344E"/>
    <w:rsid w:val="00E745FA"/>
    <w:rsid w:val="00E82665"/>
    <w:rsid w:val="00E85082"/>
    <w:rsid w:val="00EB0798"/>
    <w:rsid w:val="00EB40AD"/>
    <w:rsid w:val="00EB586E"/>
    <w:rsid w:val="00EB5FC8"/>
    <w:rsid w:val="00EC2601"/>
    <w:rsid w:val="00EC43E8"/>
    <w:rsid w:val="00EC463D"/>
    <w:rsid w:val="00EC7A85"/>
    <w:rsid w:val="00ED2922"/>
    <w:rsid w:val="00ED3CAD"/>
    <w:rsid w:val="00ED5A41"/>
    <w:rsid w:val="00EE1DE8"/>
    <w:rsid w:val="00EE27C2"/>
    <w:rsid w:val="00EF4BAD"/>
    <w:rsid w:val="00EF59DC"/>
    <w:rsid w:val="00F0191C"/>
    <w:rsid w:val="00F033EC"/>
    <w:rsid w:val="00F04F68"/>
    <w:rsid w:val="00F12670"/>
    <w:rsid w:val="00F14B27"/>
    <w:rsid w:val="00F3148D"/>
    <w:rsid w:val="00F325C5"/>
    <w:rsid w:val="00F32FE0"/>
    <w:rsid w:val="00F35298"/>
    <w:rsid w:val="00F3770A"/>
    <w:rsid w:val="00F47333"/>
    <w:rsid w:val="00F47E37"/>
    <w:rsid w:val="00F53C07"/>
    <w:rsid w:val="00F54B65"/>
    <w:rsid w:val="00F63DBF"/>
    <w:rsid w:val="00F640B6"/>
    <w:rsid w:val="00F66DF2"/>
    <w:rsid w:val="00F70299"/>
    <w:rsid w:val="00F80E40"/>
    <w:rsid w:val="00F848D9"/>
    <w:rsid w:val="00FA5069"/>
    <w:rsid w:val="00FA5B82"/>
    <w:rsid w:val="00FA639E"/>
    <w:rsid w:val="00FB369D"/>
    <w:rsid w:val="00FC1FCA"/>
    <w:rsid w:val="00FC25E4"/>
    <w:rsid w:val="00FC4EF7"/>
    <w:rsid w:val="00FD0824"/>
    <w:rsid w:val="00FD119B"/>
    <w:rsid w:val="00FD1EDC"/>
    <w:rsid w:val="00FE1DEE"/>
    <w:rsid w:val="00FF2126"/>
    <w:rsid w:val="00FF4AC4"/>
    <w:rsid w:val="00FF5670"/>
    <w:rsid w:val="00FF5755"/>
    <w:rsid w:val="00FF69BE"/>
    <w:rsid w:val="00FF7B93"/>
    <w:rsid w:val="00FF7C65"/>
  </w:rsids>
  <m:mathPr>
    <m:mathFont m:val="Cambria Math"/>
    <m:brkBin m:val="before"/>
    <m:brkBinSub m:val="--"/>
    <m:smallFrac m:val="0"/>
    <m:dispDef/>
    <m:lMargin m:val="0"/>
    <m:rMargin m:val="0"/>
    <m:defJc m:val="centerGroup"/>
    <m:wrapIndent m:val="1440"/>
    <m:intLim m:val="subSup"/>
    <m:naryLim m:val="undOvr"/>
  </m:mathPr>
  <w:themeFontLang w:val="en-AU"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6CFD9E"/>
  <w15:docId w15:val="{6967997B-1173-4A77-A2E8-B7A2A5305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character" w:customStyle="1" w:styleId="TabletextChar">
    <w:name w:val="Table text Char"/>
    <w:basedOn w:val="DefaultParagraphFont"/>
    <w:link w:val="Tabletext"/>
    <w:rsid w:val="00513E74"/>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513E74"/>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513E74"/>
    <w:rPr>
      <w:rFonts w:ascii="Cambria" w:eastAsia="Times New Roman" w:hAnsi="Cambria" w:cs="Times New Roman"/>
      <w:b/>
      <w:snapToGrid w:val="0"/>
      <w:kern w:val="16"/>
      <w:sz w:val="20"/>
      <w:szCs w:val="24"/>
    </w:rPr>
  </w:style>
  <w:style w:type="table" w:customStyle="1" w:styleId="TableTGAblue1">
    <w:name w:val="Table TGA blue1"/>
    <w:basedOn w:val="TableNormal"/>
    <w:uiPriority w:val="99"/>
    <w:qFormat/>
    <w:rsid w:val="00D24821"/>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ListParagraph">
    <w:name w:val="List Paragraph"/>
    <w:basedOn w:val="Normal"/>
    <w:uiPriority w:val="34"/>
    <w:rsid w:val="006018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526278">
      <w:bodyDiv w:val="1"/>
      <w:marLeft w:val="0"/>
      <w:marRight w:val="0"/>
      <w:marTop w:val="0"/>
      <w:marBottom w:val="0"/>
      <w:divBdr>
        <w:top w:val="none" w:sz="0" w:space="0" w:color="auto"/>
        <w:left w:val="none" w:sz="0" w:space="0" w:color="auto"/>
        <w:bottom w:val="none" w:sz="0" w:space="0" w:color="auto"/>
        <w:right w:val="none" w:sz="0" w:space="0" w:color="auto"/>
      </w:divBdr>
    </w:div>
    <w:div w:id="229735808">
      <w:bodyDiv w:val="1"/>
      <w:marLeft w:val="0"/>
      <w:marRight w:val="0"/>
      <w:marTop w:val="0"/>
      <w:marBottom w:val="0"/>
      <w:divBdr>
        <w:top w:val="none" w:sz="0" w:space="0" w:color="auto"/>
        <w:left w:val="none" w:sz="0" w:space="0" w:color="auto"/>
        <w:bottom w:val="none" w:sz="0" w:space="0" w:color="auto"/>
        <w:right w:val="none" w:sz="0" w:space="0" w:color="auto"/>
      </w:divBdr>
    </w:div>
    <w:div w:id="497044757">
      <w:bodyDiv w:val="1"/>
      <w:marLeft w:val="0"/>
      <w:marRight w:val="0"/>
      <w:marTop w:val="0"/>
      <w:marBottom w:val="0"/>
      <w:divBdr>
        <w:top w:val="none" w:sz="0" w:space="0" w:color="auto"/>
        <w:left w:val="none" w:sz="0" w:space="0" w:color="auto"/>
        <w:bottom w:val="none" w:sz="0" w:space="0" w:color="auto"/>
        <w:right w:val="none" w:sz="0" w:space="0" w:color="auto"/>
      </w:divBdr>
    </w:div>
    <w:div w:id="576403908">
      <w:bodyDiv w:val="1"/>
      <w:marLeft w:val="0"/>
      <w:marRight w:val="0"/>
      <w:marTop w:val="0"/>
      <w:marBottom w:val="0"/>
      <w:divBdr>
        <w:top w:val="none" w:sz="0" w:space="0" w:color="auto"/>
        <w:left w:val="none" w:sz="0" w:space="0" w:color="auto"/>
        <w:bottom w:val="none" w:sz="0" w:space="0" w:color="auto"/>
        <w:right w:val="none" w:sz="0" w:space="0" w:color="auto"/>
      </w:divBdr>
    </w:div>
    <w:div w:id="1100494947">
      <w:bodyDiv w:val="1"/>
      <w:marLeft w:val="0"/>
      <w:marRight w:val="0"/>
      <w:marTop w:val="0"/>
      <w:marBottom w:val="0"/>
      <w:divBdr>
        <w:top w:val="none" w:sz="0" w:space="0" w:color="auto"/>
        <w:left w:val="none" w:sz="0" w:space="0" w:color="auto"/>
        <w:bottom w:val="none" w:sz="0" w:space="0" w:color="auto"/>
        <w:right w:val="none" w:sz="0" w:space="0" w:color="auto"/>
      </w:divBdr>
    </w:div>
    <w:div w:id="158356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tga.gov.au/product-information-pi"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tga.gov.au/product-information-pi" TargetMode="External"/><Relationship Id="rId23" Type="http://schemas.openxmlformats.org/officeDocument/2006/relationships/hyperlink" Target="https://www.tga.gov.au"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hyperlink" Target="mailto:info@tga.gov.au" TargetMode="External"/><Relationship Id="rId27" Type="http://schemas.openxmlformats.org/officeDocument/2006/relationships/header" Target="header8.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committee/advisory-committee-medicines-ac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47880-0121-4F86-B7AF-024117835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24</Pages>
  <Words>6818</Words>
  <Characters>38863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KAMRAB - rabies immunoglobulin - Link Medical Products Pty Ltd TA Link Pharmaceuticals - PM-2020-02488-1-2</vt:lpstr>
    </vt:vector>
  </TitlesOfParts>
  <Company>Department of Health </Company>
  <LinksUpToDate>false</LinksUpToDate>
  <CharactersWithSpaces>45590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Rabies immunoglobulin</dc:title>
  <dc:subject>prescription medicine regulation</dc:subject>
  <dc:creator>Therapeutic Goods Administration</dc:creator>
  <cp:keywords/>
  <cp:lastModifiedBy>KOLARIK-OREILLY, Kristy</cp:lastModifiedBy>
  <cp:revision>9</cp:revision>
  <cp:lastPrinted>2019-08-14T04:30:00Z</cp:lastPrinted>
  <dcterms:created xsi:type="dcterms:W3CDTF">2021-12-22T00:00:00Z</dcterms:created>
  <dcterms:modified xsi:type="dcterms:W3CDTF">2022-01-10T03:20:00Z</dcterms:modified>
  <cp:category/>
</cp:coreProperties>
</file>